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ook w:val="00A0" w:firstRow="1" w:lastRow="0" w:firstColumn="1" w:lastColumn="0" w:noHBand="0" w:noVBand="0"/>
      </w:tblPr>
      <w:tblGrid>
        <w:gridCol w:w="10188"/>
      </w:tblGrid>
      <w:tr w:rsidR="001D314A" w:rsidRPr="000904BE" w14:paraId="56757EF1" w14:textId="77777777" w:rsidTr="00572E43">
        <w:trPr>
          <w:jc w:val="center"/>
        </w:trPr>
        <w:tc>
          <w:tcPr>
            <w:tcW w:w="10188" w:type="dxa"/>
            <w:tcBorders>
              <w:bottom w:val="single" w:sz="6" w:space="0" w:color="000000"/>
            </w:tcBorders>
          </w:tcPr>
          <w:p w14:paraId="115743B2" w14:textId="77777777" w:rsidR="001D314A" w:rsidRPr="001D314A" w:rsidRDefault="001D314A" w:rsidP="00572E43">
            <w:pPr>
              <w:pStyle w:val="Heading1"/>
              <w:spacing w:before="0" w:beforeAutospacing="0" w:after="0" w:afterAutospacing="0"/>
              <w:jc w:val="center"/>
              <w:rPr>
                <w:color w:val="000000"/>
                <w:sz w:val="22"/>
                <w:szCs w:val="22"/>
              </w:rPr>
            </w:pPr>
            <w:bookmarkStart w:id="0" w:name="OLE_LINK1"/>
            <w:bookmarkStart w:id="1" w:name="OLE_LINK2"/>
            <w:r w:rsidRPr="001D314A">
              <w:rPr>
                <w:color w:val="000000"/>
                <w:sz w:val="22"/>
                <w:szCs w:val="22"/>
              </w:rPr>
              <w:t>Izziņa par atzinumos sniegtajiem iebildumiem</w:t>
            </w:r>
          </w:p>
          <w:p w14:paraId="5BCCAF7F" w14:textId="3F80AF10" w:rsidR="001D314A" w:rsidRPr="001D314A" w:rsidRDefault="001D314A" w:rsidP="00572E43">
            <w:pPr>
              <w:spacing w:before="120" w:after="120"/>
              <w:jc w:val="center"/>
              <w:rPr>
                <w:bCs/>
                <w:sz w:val="28"/>
                <w:szCs w:val="28"/>
              </w:rPr>
            </w:pPr>
            <w:r w:rsidRPr="001D314A">
              <w:rPr>
                <w:bCs/>
              </w:rPr>
              <w:t>Ministru kabineta noteikumu projekts “Grozījumi Ministru kabineta 2015.gada 22. decembra noteikumos Nr.805 “Noteikumi par ogļūdeņražu meklēšanu, izpēti un ieguvi””</w:t>
            </w:r>
            <w:bookmarkEnd w:id="0"/>
            <w:bookmarkEnd w:id="1"/>
          </w:p>
        </w:tc>
      </w:tr>
    </w:tbl>
    <w:p w14:paraId="7493BB4A" w14:textId="77777777" w:rsidR="001D314A" w:rsidRPr="000904BE" w:rsidRDefault="001D314A" w:rsidP="001D314A">
      <w:pPr>
        <w:pStyle w:val="naisf"/>
        <w:spacing w:before="0" w:after="0"/>
        <w:ind w:firstLine="0"/>
        <w:rPr>
          <w:b/>
        </w:rPr>
      </w:pPr>
    </w:p>
    <w:p w14:paraId="6284FA9F" w14:textId="77777777" w:rsidR="001D314A" w:rsidRPr="000904BE" w:rsidRDefault="001D314A" w:rsidP="001D314A">
      <w:pPr>
        <w:pStyle w:val="naisf"/>
        <w:spacing w:before="0" w:after="0"/>
        <w:ind w:firstLine="0"/>
        <w:jc w:val="center"/>
        <w:rPr>
          <w:b/>
          <w:sz w:val="22"/>
          <w:szCs w:val="22"/>
        </w:rPr>
      </w:pPr>
      <w:r w:rsidRPr="000904BE">
        <w:rPr>
          <w:b/>
          <w:sz w:val="22"/>
          <w:szCs w:val="22"/>
        </w:rPr>
        <w:t>I. Jautājumi, par kuriem saskaņošanā vienošanās nav panākta</w:t>
      </w:r>
    </w:p>
    <w:p w14:paraId="228F7F9A" w14:textId="77777777" w:rsidR="001D314A" w:rsidRPr="000904BE" w:rsidRDefault="001D314A" w:rsidP="001D314A">
      <w:pPr>
        <w:pStyle w:val="naisf"/>
        <w:spacing w:before="0" w:after="0"/>
        <w:ind w:firstLine="720"/>
      </w:pPr>
    </w:p>
    <w:tbl>
      <w:tblPr>
        <w:tblW w:w="14142"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675"/>
        <w:gridCol w:w="2268"/>
        <w:gridCol w:w="3570"/>
        <w:gridCol w:w="2809"/>
        <w:gridCol w:w="2552"/>
        <w:gridCol w:w="2268"/>
      </w:tblGrid>
      <w:tr w:rsidR="001D314A" w:rsidRPr="000904BE" w14:paraId="79297AB4" w14:textId="77777777" w:rsidTr="00814D11">
        <w:tc>
          <w:tcPr>
            <w:tcW w:w="675"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761F089D" w14:textId="77777777" w:rsidR="001D314A" w:rsidRPr="000904BE" w:rsidRDefault="001D314A" w:rsidP="00572E43">
            <w:pPr>
              <w:pStyle w:val="naisc"/>
              <w:spacing w:before="0" w:after="0"/>
            </w:pPr>
            <w:r w:rsidRPr="000904BE">
              <w:rPr>
                <w:sz w:val="22"/>
                <w:szCs w:val="22"/>
              </w:rPr>
              <w:t>Nr. p.k.</w:t>
            </w:r>
          </w:p>
        </w:tc>
        <w:tc>
          <w:tcPr>
            <w:tcW w:w="2268"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1F9A6ECA" w14:textId="77777777" w:rsidR="001D314A" w:rsidRPr="000904BE" w:rsidRDefault="001D314A" w:rsidP="00572E43">
            <w:pPr>
              <w:pStyle w:val="naisc"/>
              <w:spacing w:before="0" w:after="0"/>
              <w:ind w:firstLine="12"/>
            </w:pPr>
            <w:r w:rsidRPr="000904BE">
              <w:rPr>
                <w:sz w:val="22"/>
                <w:szCs w:val="22"/>
              </w:rPr>
              <w:t>Saskaņošanai nosūtītā projekta redakcija (konkrēta punkta (panta) redakcija)</w:t>
            </w:r>
          </w:p>
        </w:tc>
        <w:tc>
          <w:tcPr>
            <w:tcW w:w="3570"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029909B0" w14:textId="77777777" w:rsidR="001D314A" w:rsidRPr="000904BE" w:rsidRDefault="001D314A" w:rsidP="00572E43">
            <w:pPr>
              <w:pStyle w:val="naisc"/>
              <w:spacing w:before="0" w:after="0"/>
              <w:ind w:right="3"/>
            </w:pPr>
            <w:r w:rsidRPr="000904BE">
              <w:rPr>
                <w:sz w:val="22"/>
                <w:szCs w:val="22"/>
              </w:rPr>
              <w:t>Ministrijas (citas institūcijas) iebildums, kā arī saskaņošanā papildus izteiktais iebildums par projekta konkrēto punktu (pantu)</w:t>
            </w:r>
          </w:p>
        </w:tc>
        <w:tc>
          <w:tcPr>
            <w:tcW w:w="2809"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4415514C" w14:textId="77777777" w:rsidR="001D314A" w:rsidRPr="000904BE" w:rsidRDefault="001D314A" w:rsidP="00572E43">
            <w:pPr>
              <w:pStyle w:val="naisc"/>
              <w:spacing w:before="0" w:after="0"/>
              <w:ind w:firstLine="21"/>
            </w:pPr>
            <w:r w:rsidRPr="000904BE">
              <w:rPr>
                <w:sz w:val="22"/>
                <w:szCs w:val="22"/>
              </w:rPr>
              <w:t>Atbildīgās ministrijas pamatojums iebilduma noraidījumam</w:t>
            </w:r>
          </w:p>
        </w:tc>
        <w:tc>
          <w:tcPr>
            <w:tcW w:w="2552" w:type="dxa"/>
            <w:tcBorders>
              <w:top w:val="single" w:sz="4" w:space="0" w:color="auto"/>
              <w:left w:val="single" w:sz="4" w:space="0" w:color="auto"/>
              <w:bottom w:val="single" w:sz="4" w:space="0" w:color="auto"/>
              <w:right w:val="single" w:sz="4" w:space="0" w:color="auto"/>
            </w:tcBorders>
            <w:shd w:val="clear" w:color="auto" w:fill="D9D9D9"/>
            <w:vAlign w:val="center"/>
          </w:tcPr>
          <w:p w14:paraId="00DC9879" w14:textId="77777777" w:rsidR="001D314A" w:rsidRPr="000904BE" w:rsidRDefault="001D314A" w:rsidP="00572E43">
            <w:pPr>
              <w:jc w:val="center"/>
            </w:pPr>
            <w:r w:rsidRPr="000904BE">
              <w:rPr>
                <w:sz w:val="22"/>
                <w:szCs w:val="22"/>
              </w:rPr>
              <w:t>Atzinuma sniedzēja uzturētais iebildums, ja tas atšķiras no atzinumā norādītā iebilduma pamatojuma</w:t>
            </w:r>
          </w:p>
        </w:tc>
        <w:tc>
          <w:tcPr>
            <w:tcW w:w="2268" w:type="dxa"/>
            <w:tcBorders>
              <w:top w:val="single" w:sz="4" w:space="0" w:color="auto"/>
              <w:left w:val="single" w:sz="4" w:space="0" w:color="auto"/>
              <w:bottom w:val="single" w:sz="4" w:space="0" w:color="auto"/>
            </w:tcBorders>
            <w:shd w:val="clear" w:color="auto" w:fill="D9D9D9"/>
            <w:vAlign w:val="center"/>
          </w:tcPr>
          <w:p w14:paraId="29D2057E" w14:textId="77777777" w:rsidR="001D314A" w:rsidRPr="000904BE" w:rsidRDefault="001D314A" w:rsidP="00572E43">
            <w:pPr>
              <w:jc w:val="center"/>
            </w:pPr>
            <w:r w:rsidRPr="000904BE">
              <w:rPr>
                <w:sz w:val="22"/>
                <w:szCs w:val="22"/>
              </w:rPr>
              <w:t>Projekta attiecīgā punkta (panta) galīgā redakcija</w:t>
            </w:r>
          </w:p>
        </w:tc>
      </w:tr>
      <w:tr w:rsidR="001D314A" w:rsidRPr="000904BE" w14:paraId="246BBEA0" w14:textId="77777777" w:rsidTr="00814D11">
        <w:trPr>
          <w:trHeight w:val="211"/>
        </w:trPr>
        <w:tc>
          <w:tcPr>
            <w:tcW w:w="675" w:type="dxa"/>
            <w:tcBorders>
              <w:top w:val="single" w:sz="6" w:space="0" w:color="000000"/>
              <w:left w:val="single" w:sz="6" w:space="0" w:color="000000"/>
              <w:bottom w:val="single" w:sz="6" w:space="0" w:color="000000"/>
              <w:right w:val="single" w:sz="6" w:space="0" w:color="000000"/>
            </w:tcBorders>
            <w:shd w:val="clear" w:color="auto" w:fill="D9D9D9"/>
          </w:tcPr>
          <w:p w14:paraId="47553F1E" w14:textId="77777777" w:rsidR="001D314A" w:rsidRPr="000904BE" w:rsidRDefault="001D314A" w:rsidP="00572E43">
            <w:pPr>
              <w:pStyle w:val="naisc"/>
              <w:spacing w:before="0" w:after="0"/>
            </w:pPr>
            <w:r w:rsidRPr="000904BE">
              <w:rPr>
                <w:sz w:val="22"/>
                <w:szCs w:val="22"/>
              </w:rPr>
              <w:t>1</w:t>
            </w:r>
          </w:p>
        </w:tc>
        <w:tc>
          <w:tcPr>
            <w:tcW w:w="2268" w:type="dxa"/>
            <w:tcBorders>
              <w:top w:val="single" w:sz="6" w:space="0" w:color="000000"/>
              <w:left w:val="single" w:sz="6" w:space="0" w:color="000000"/>
              <w:bottom w:val="single" w:sz="6" w:space="0" w:color="000000"/>
              <w:right w:val="single" w:sz="6" w:space="0" w:color="000000"/>
            </w:tcBorders>
            <w:shd w:val="clear" w:color="auto" w:fill="D9D9D9"/>
          </w:tcPr>
          <w:p w14:paraId="2C633D8A" w14:textId="77777777" w:rsidR="001D314A" w:rsidRPr="000904BE" w:rsidRDefault="001D314A" w:rsidP="00572E43">
            <w:pPr>
              <w:pStyle w:val="naisc"/>
              <w:spacing w:before="0" w:after="0"/>
              <w:ind w:firstLine="720"/>
            </w:pPr>
            <w:r w:rsidRPr="000904BE">
              <w:rPr>
                <w:sz w:val="22"/>
                <w:szCs w:val="22"/>
              </w:rPr>
              <w:t>2</w:t>
            </w:r>
          </w:p>
        </w:tc>
        <w:tc>
          <w:tcPr>
            <w:tcW w:w="3570" w:type="dxa"/>
            <w:tcBorders>
              <w:top w:val="single" w:sz="6" w:space="0" w:color="000000"/>
              <w:left w:val="single" w:sz="6" w:space="0" w:color="000000"/>
              <w:bottom w:val="single" w:sz="6" w:space="0" w:color="000000"/>
              <w:right w:val="single" w:sz="6" w:space="0" w:color="000000"/>
            </w:tcBorders>
            <w:shd w:val="clear" w:color="auto" w:fill="D9D9D9"/>
          </w:tcPr>
          <w:p w14:paraId="763C903A" w14:textId="77777777" w:rsidR="001D314A" w:rsidRPr="000904BE" w:rsidRDefault="001D314A" w:rsidP="00572E43">
            <w:pPr>
              <w:pStyle w:val="naisc"/>
              <w:spacing w:before="0" w:after="0"/>
              <w:ind w:firstLine="720"/>
            </w:pPr>
            <w:r w:rsidRPr="000904BE">
              <w:rPr>
                <w:sz w:val="22"/>
                <w:szCs w:val="22"/>
              </w:rPr>
              <w:t>3</w:t>
            </w:r>
          </w:p>
        </w:tc>
        <w:tc>
          <w:tcPr>
            <w:tcW w:w="2809" w:type="dxa"/>
            <w:tcBorders>
              <w:top w:val="single" w:sz="6" w:space="0" w:color="000000"/>
              <w:left w:val="single" w:sz="6" w:space="0" w:color="000000"/>
              <w:bottom w:val="single" w:sz="6" w:space="0" w:color="000000"/>
              <w:right w:val="single" w:sz="6" w:space="0" w:color="000000"/>
            </w:tcBorders>
            <w:shd w:val="clear" w:color="auto" w:fill="D9D9D9"/>
          </w:tcPr>
          <w:p w14:paraId="0C75EAA6" w14:textId="77777777" w:rsidR="001D314A" w:rsidRPr="000904BE" w:rsidRDefault="001D314A" w:rsidP="00572E43">
            <w:pPr>
              <w:pStyle w:val="naisc"/>
              <w:spacing w:before="0" w:after="0"/>
              <w:ind w:firstLine="720"/>
            </w:pPr>
            <w:r w:rsidRPr="000904BE">
              <w:rPr>
                <w:sz w:val="22"/>
                <w:szCs w:val="22"/>
              </w:rPr>
              <w:t>4</w:t>
            </w:r>
          </w:p>
        </w:tc>
        <w:tc>
          <w:tcPr>
            <w:tcW w:w="2552" w:type="dxa"/>
            <w:tcBorders>
              <w:top w:val="single" w:sz="4" w:space="0" w:color="auto"/>
              <w:left w:val="single" w:sz="4" w:space="0" w:color="auto"/>
              <w:bottom w:val="single" w:sz="4" w:space="0" w:color="auto"/>
              <w:right w:val="single" w:sz="4" w:space="0" w:color="auto"/>
            </w:tcBorders>
            <w:shd w:val="clear" w:color="auto" w:fill="D9D9D9"/>
          </w:tcPr>
          <w:p w14:paraId="22B7933C" w14:textId="77777777" w:rsidR="001D314A" w:rsidRPr="000904BE" w:rsidRDefault="001D314A" w:rsidP="00572E43">
            <w:pPr>
              <w:jc w:val="center"/>
            </w:pPr>
            <w:r w:rsidRPr="000904BE">
              <w:rPr>
                <w:sz w:val="22"/>
                <w:szCs w:val="22"/>
              </w:rPr>
              <w:t>5</w:t>
            </w:r>
          </w:p>
        </w:tc>
        <w:tc>
          <w:tcPr>
            <w:tcW w:w="2268" w:type="dxa"/>
            <w:tcBorders>
              <w:top w:val="single" w:sz="4" w:space="0" w:color="auto"/>
              <w:left w:val="single" w:sz="4" w:space="0" w:color="auto"/>
              <w:bottom w:val="single" w:sz="4" w:space="0" w:color="auto"/>
            </w:tcBorders>
            <w:shd w:val="clear" w:color="auto" w:fill="D9D9D9"/>
          </w:tcPr>
          <w:p w14:paraId="77982FB9" w14:textId="77777777" w:rsidR="001D314A" w:rsidRPr="000904BE" w:rsidRDefault="001D314A" w:rsidP="00572E43">
            <w:pPr>
              <w:jc w:val="center"/>
            </w:pPr>
            <w:r w:rsidRPr="000904BE">
              <w:rPr>
                <w:sz w:val="22"/>
                <w:szCs w:val="22"/>
              </w:rPr>
              <w:t>6</w:t>
            </w:r>
          </w:p>
        </w:tc>
      </w:tr>
      <w:tr w:rsidR="00B11F97" w:rsidRPr="000904BE" w14:paraId="282CCF53" w14:textId="77777777" w:rsidTr="00814D11">
        <w:trPr>
          <w:trHeight w:val="353"/>
        </w:trPr>
        <w:tc>
          <w:tcPr>
            <w:tcW w:w="675" w:type="dxa"/>
            <w:tcBorders>
              <w:top w:val="single" w:sz="6" w:space="0" w:color="000000"/>
              <w:left w:val="single" w:sz="6" w:space="0" w:color="000000"/>
              <w:bottom w:val="single" w:sz="6" w:space="0" w:color="000000"/>
              <w:right w:val="single" w:sz="6" w:space="0" w:color="000000"/>
            </w:tcBorders>
            <w:shd w:val="clear" w:color="auto" w:fill="auto"/>
          </w:tcPr>
          <w:p w14:paraId="547CC1B0" w14:textId="6F47A19E" w:rsidR="00B11F97" w:rsidRPr="005D513C" w:rsidRDefault="00B11F97" w:rsidP="00B11F97">
            <w:pPr>
              <w:pStyle w:val="naisc"/>
              <w:spacing w:before="0" w:after="0"/>
              <w:rPr>
                <w:sz w:val="22"/>
                <w:szCs w:val="22"/>
              </w:rPr>
            </w:pPr>
            <w:r w:rsidRPr="005D513C">
              <w:rPr>
                <w:sz w:val="22"/>
                <w:szCs w:val="22"/>
              </w:rPr>
              <w:t>1.</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14:paraId="6A46E67E" w14:textId="4C63A93B" w:rsidR="00B11F97" w:rsidRPr="00366669" w:rsidRDefault="00B11F97" w:rsidP="00B11F97">
            <w:pPr>
              <w:jc w:val="both"/>
            </w:pPr>
            <w:r w:rsidRPr="00366669">
              <w:t xml:space="preserve">“49. Licencēšanas komisijas sastāvu apstiprina Ministru kabinets. Licencēšanas komisijā iekļauj trīs pārstāvjus no Būvniecības valsts kontroles biroja un pa vienam pārstāvim no Finanšu ministrijas, Satiksmes ministrijas, Vides aizsardzības un reģionālās attīstības ministrijas, Ekonomikas ministrijas, dienesta, ja nepieciešams, pieaicinot pārstāvjus no citām institūcijām, kā arī </w:t>
            </w:r>
            <w:r w:rsidRPr="00366669">
              <w:lastRenderedPageBreak/>
              <w:t>nozares ekspertus ar padomdevēja tiesībām. Ja licences laukums ir noteikts jūrā, licencēšanas komisijā papildus iekļauj pa vienam pārstāvim no Jūras administrācijas un Krasta apsardzes dienesta.”</w:t>
            </w:r>
          </w:p>
          <w:p w14:paraId="511F544E" w14:textId="629FD1D0" w:rsidR="00B11F97" w:rsidRPr="005D513C" w:rsidRDefault="00B11F97" w:rsidP="00B11F97">
            <w:pPr>
              <w:pStyle w:val="naisc"/>
              <w:spacing w:before="0" w:after="0"/>
              <w:jc w:val="both"/>
              <w:rPr>
                <w:sz w:val="22"/>
                <w:szCs w:val="22"/>
              </w:rPr>
            </w:pPr>
          </w:p>
        </w:tc>
        <w:tc>
          <w:tcPr>
            <w:tcW w:w="3570" w:type="dxa"/>
            <w:tcBorders>
              <w:top w:val="single" w:sz="6" w:space="0" w:color="000000"/>
              <w:left w:val="single" w:sz="6" w:space="0" w:color="000000"/>
              <w:bottom w:val="single" w:sz="6" w:space="0" w:color="000000"/>
              <w:right w:val="single" w:sz="6" w:space="0" w:color="000000"/>
            </w:tcBorders>
            <w:shd w:val="clear" w:color="auto" w:fill="auto"/>
          </w:tcPr>
          <w:p w14:paraId="492548EE" w14:textId="77777777" w:rsidR="00B11F97" w:rsidRPr="005D513C" w:rsidRDefault="00B11F97" w:rsidP="00B11F97">
            <w:pPr>
              <w:pStyle w:val="naisc"/>
              <w:spacing w:before="0" w:after="0"/>
              <w:jc w:val="both"/>
              <w:rPr>
                <w:b/>
                <w:bCs/>
                <w:sz w:val="22"/>
                <w:szCs w:val="22"/>
              </w:rPr>
            </w:pPr>
            <w:r w:rsidRPr="005D513C">
              <w:rPr>
                <w:b/>
                <w:bCs/>
                <w:sz w:val="22"/>
                <w:szCs w:val="22"/>
              </w:rPr>
              <w:lastRenderedPageBreak/>
              <w:t>Satiksmes ministrijas atzinums (27.09.2019)</w:t>
            </w:r>
          </w:p>
          <w:p w14:paraId="366BB884" w14:textId="77777777" w:rsidR="00B11F97" w:rsidRPr="005D513C" w:rsidRDefault="00B11F97" w:rsidP="00B11F97">
            <w:pPr>
              <w:ind w:firstLine="720"/>
              <w:jc w:val="both"/>
              <w:rPr>
                <w:sz w:val="22"/>
                <w:szCs w:val="22"/>
              </w:rPr>
            </w:pPr>
            <w:r w:rsidRPr="005D513C">
              <w:rPr>
                <w:sz w:val="22"/>
                <w:szCs w:val="22"/>
              </w:rPr>
              <w:t xml:space="preserve">Atkārtoti lūdzam precizēt noteikumu projekta 1.4.apakšpunktā ietverto 49.punktu, svītrojot Satiksmes ministrijas pārstāvi no ogļūdeņražu izpētes un ieguves darbu licencēšanas komisijas (turpmāk – licencēšanas komisija) sastāva. Par šādu risinājumu tika panākta vienošanās gan Satiksmes ministrijas un Ekonomikas ministrijas savstarpējā sarakstē (Satiksmes ministrijas 2018. gada 17. aprīļa vēstule Nr. 08-01/1086 un Ekonomikas ministrijas 2018. gada 25. aprīļa vēstule Nr. 2.13.17-2/2018/1897), gan licencēšanas komisijā. </w:t>
            </w:r>
          </w:p>
          <w:p w14:paraId="39F2063C" w14:textId="77777777" w:rsidR="00B11F97" w:rsidRPr="005D513C" w:rsidRDefault="00B11F97" w:rsidP="00B11F97">
            <w:pPr>
              <w:pStyle w:val="naisc"/>
              <w:spacing w:before="0" w:after="0"/>
              <w:jc w:val="both"/>
              <w:rPr>
                <w:sz w:val="22"/>
                <w:szCs w:val="22"/>
              </w:rPr>
            </w:pPr>
          </w:p>
        </w:tc>
        <w:tc>
          <w:tcPr>
            <w:tcW w:w="2809" w:type="dxa"/>
            <w:tcBorders>
              <w:top w:val="single" w:sz="6" w:space="0" w:color="000000"/>
              <w:left w:val="single" w:sz="6" w:space="0" w:color="000000"/>
              <w:bottom w:val="single" w:sz="6" w:space="0" w:color="000000"/>
              <w:right w:val="single" w:sz="6" w:space="0" w:color="000000"/>
            </w:tcBorders>
            <w:shd w:val="clear" w:color="auto" w:fill="auto"/>
          </w:tcPr>
          <w:p w14:paraId="5D926290" w14:textId="77777777" w:rsidR="00B11F97" w:rsidRPr="005D513C" w:rsidRDefault="00B11F97" w:rsidP="00B11F97">
            <w:pPr>
              <w:pStyle w:val="naisc"/>
              <w:spacing w:before="0" w:after="0"/>
              <w:jc w:val="both"/>
              <w:rPr>
                <w:b/>
                <w:bCs/>
                <w:sz w:val="22"/>
                <w:szCs w:val="22"/>
              </w:rPr>
            </w:pPr>
            <w:r w:rsidRPr="005D513C">
              <w:rPr>
                <w:b/>
                <w:bCs/>
                <w:sz w:val="22"/>
                <w:szCs w:val="22"/>
              </w:rPr>
              <w:t>Nav ņemts vērā</w:t>
            </w:r>
          </w:p>
          <w:p w14:paraId="02E80065" w14:textId="752185CC" w:rsidR="00B11F97" w:rsidRPr="00A4316E" w:rsidRDefault="00B11F97" w:rsidP="00B11F97">
            <w:pPr>
              <w:jc w:val="both"/>
              <w:rPr>
                <w:sz w:val="22"/>
                <w:szCs w:val="22"/>
              </w:rPr>
            </w:pPr>
            <w:r w:rsidRPr="00A4316E">
              <w:rPr>
                <w:sz w:val="22"/>
                <w:szCs w:val="22"/>
              </w:rPr>
              <w:t xml:space="preserve">Nav attiecināms uz  VSS-933. Grozījumu mērķis ir enerģētikas politikas īstenošanas funkciju nodošana Būvniecības valsts kontroles birojam un šie ir tehniskie grozījumi. Cita starpā paralēli šiem grozījumiem, Ekonomikas ministrija veic grozījumus Ministru kabineta 2015.gada 22.decembra noteikumos Nr.805 “Noteikumi par ogļūdeņražu meklēšanu, izpēti un ieguvi” (nav izsludināts VSS), kur Satiksmes ministrijas iebildums, kas </w:t>
            </w:r>
            <w:r>
              <w:rPr>
                <w:sz w:val="22"/>
                <w:szCs w:val="22"/>
              </w:rPr>
              <w:t>pausts darba grupas sanāksmē</w:t>
            </w:r>
            <w:r w:rsidRPr="00A4316E">
              <w:rPr>
                <w:sz w:val="22"/>
                <w:szCs w:val="22"/>
              </w:rPr>
              <w:t xml:space="preserve">  attiecībā uz 49. punktu </w:t>
            </w:r>
            <w:r>
              <w:rPr>
                <w:sz w:val="22"/>
                <w:szCs w:val="22"/>
              </w:rPr>
              <w:t>ir</w:t>
            </w:r>
            <w:r w:rsidRPr="00A4316E">
              <w:rPr>
                <w:sz w:val="22"/>
                <w:szCs w:val="22"/>
              </w:rPr>
              <w:t> ņemts vērā.</w:t>
            </w:r>
          </w:p>
          <w:p w14:paraId="14E5F3BB" w14:textId="07B34197" w:rsidR="00B11F97" w:rsidRPr="005D513C" w:rsidRDefault="00B11F97" w:rsidP="00B11F97">
            <w:pPr>
              <w:pStyle w:val="naisc"/>
              <w:spacing w:before="0" w:after="0"/>
              <w:jc w:val="both"/>
              <w:rPr>
                <w:sz w:val="22"/>
                <w:szCs w:val="22"/>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24EB234" w14:textId="77777777" w:rsidR="00B11F97" w:rsidRPr="00BD6BFE" w:rsidRDefault="00B11F97" w:rsidP="00B11F97">
            <w:pPr>
              <w:jc w:val="both"/>
              <w:rPr>
                <w:b/>
                <w:bCs/>
                <w:sz w:val="22"/>
                <w:szCs w:val="22"/>
              </w:rPr>
            </w:pPr>
            <w:r w:rsidRPr="00BD6BFE">
              <w:rPr>
                <w:b/>
                <w:bCs/>
                <w:sz w:val="22"/>
                <w:szCs w:val="22"/>
              </w:rPr>
              <w:t>Satiksmes ministrija (14.11.2019)</w:t>
            </w:r>
          </w:p>
          <w:p w14:paraId="00175840" w14:textId="77777777" w:rsidR="00B11F97" w:rsidRPr="00BD6BFE" w:rsidRDefault="00B11F97" w:rsidP="00B11F97">
            <w:pPr>
              <w:jc w:val="both"/>
              <w:rPr>
                <w:sz w:val="22"/>
                <w:szCs w:val="22"/>
              </w:rPr>
            </w:pPr>
            <w:r w:rsidRPr="00BD6BFE">
              <w:rPr>
                <w:sz w:val="22"/>
                <w:szCs w:val="22"/>
              </w:rPr>
              <w:t>Satiksmes ministrija saņēma Ekonomikas ministrijas sagatavoto precizēto Ministru kabineta noteikumu projektu "Grozījumi Ministru kabineta 2015. gada 22. decembra noteikumos Nr. 805 "Noteikumi par ogļūdeņražu meklēšanu, izpēti un ieguvi"" (VSS-933) un uztur Satiksmes ministrijas 27.09.2019 atzinumā Nr. 03-03/135 izteikto iebildumu (izziņas 1.punkts).</w:t>
            </w:r>
          </w:p>
          <w:p w14:paraId="1AA13D2F" w14:textId="77777777" w:rsidR="00B11F97" w:rsidRPr="00BD6BFE" w:rsidRDefault="00B11F97" w:rsidP="00B11F97">
            <w:pPr>
              <w:jc w:val="both"/>
              <w:rPr>
                <w:sz w:val="22"/>
                <w:szCs w:val="22"/>
              </w:rPr>
            </w:pPr>
          </w:p>
          <w:p w14:paraId="36B4F4D1" w14:textId="77777777" w:rsidR="00B11F97" w:rsidRPr="00BD6BFE" w:rsidRDefault="00B11F97" w:rsidP="00B11F97">
            <w:pPr>
              <w:jc w:val="both"/>
              <w:rPr>
                <w:sz w:val="22"/>
                <w:szCs w:val="22"/>
              </w:rPr>
            </w:pPr>
            <w:r w:rsidRPr="00BD6BFE">
              <w:rPr>
                <w:sz w:val="22"/>
                <w:szCs w:val="22"/>
              </w:rPr>
              <w:t xml:space="preserve">No izziņas 1.punktā sniegtā Ekonomikas ministrijas skaidrojuma izriet, ka Ekonomikas ministrija pēc būtības atbalsta un plāno ņemt </w:t>
            </w:r>
            <w:r w:rsidRPr="00BD6BFE">
              <w:rPr>
                <w:sz w:val="22"/>
                <w:szCs w:val="22"/>
              </w:rPr>
              <w:lastRenderedPageBreak/>
              <w:t>vērā Satiksmes ministrijas iebildumu un noteikumu Nr.805 49.punktā svītrot Satiksmes ministriju no licencēšanas komisijas sastāva, attiecīgo grozījumu ietverot citā noteikumu projektā. Uzskatām, ka nav pamata atteikt ietvert attiecīgo grozījumu šajā noteikumu projektā, jo:</w:t>
            </w:r>
          </w:p>
          <w:p w14:paraId="5720B4A9" w14:textId="77777777" w:rsidR="00B11F97" w:rsidRPr="00BD6BFE" w:rsidRDefault="00B11F97" w:rsidP="00B11F97">
            <w:pPr>
              <w:jc w:val="both"/>
              <w:rPr>
                <w:sz w:val="22"/>
                <w:szCs w:val="22"/>
              </w:rPr>
            </w:pPr>
            <w:r w:rsidRPr="00BD6BFE">
              <w:rPr>
                <w:sz w:val="22"/>
                <w:szCs w:val="22"/>
              </w:rPr>
              <w:t xml:space="preserve">- ar šo noteikumu projektu noteikumu Nr.805 49.punkts tiek izteikts jaunā redakcijā; </w:t>
            </w:r>
          </w:p>
          <w:p w14:paraId="1CBF8AA4" w14:textId="77777777" w:rsidR="00B11F97" w:rsidRPr="00BD6BFE" w:rsidRDefault="00B11F97" w:rsidP="00B11F97">
            <w:pPr>
              <w:jc w:val="both"/>
              <w:rPr>
                <w:sz w:val="22"/>
                <w:szCs w:val="22"/>
              </w:rPr>
            </w:pPr>
            <w:r w:rsidRPr="00BD6BFE">
              <w:rPr>
                <w:sz w:val="22"/>
                <w:szCs w:val="22"/>
              </w:rPr>
              <w:t>- Satiksmes ministrijas svītrošana no licencēšanas komisijas sastāva nav jautājums, par kuru būtu paredzami citu institūciju iebildumi;</w:t>
            </w:r>
          </w:p>
          <w:p w14:paraId="7B3687D9" w14:textId="77777777" w:rsidR="00B11F97" w:rsidRPr="00BD6BFE" w:rsidRDefault="00B11F97" w:rsidP="00B11F97">
            <w:pPr>
              <w:jc w:val="both"/>
              <w:rPr>
                <w:sz w:val="22"/>
                <w:szCs w:val="22"/>
              </w:rPr>
            </w:pPr>
            <w:r w:rsidRPr="00BD6BFE">
              <w:rPr>
                <w:sz w:val="22"/>
                <w:szCs w:val="22"/>
              </w:rPr>
              <w:t>-  Nav pamata argumentam, ka noteikumu projekts ir tehniskie grozījumi (un attiecīgi atbilst Ministru kabineta 2009.gada 7.aprīļa noteikumu Nr.300 “Ministru kabineta kārtības rullis” 73.</w:t>
            </w:r>
            <w:r w:rsidRPr="00BD6BFE">
              <w:rPr>
                <w:sz w:val="22"/>
                <w:szCs w:val="22"/>
                <w:vertAlign w:val="superscript"/>
              </w:rPr>
              <w:t>1</w:t>
            </w:r>
            <w:r w:rsidRPr="00BD6BFE">
              <w:rPr>
                <w:sz w:val="22"/>
                <w:szCs w:val="22"/>
              </w:rPr>
              <w:t xml:space="preserve"> punktā noteiktajiem kritērijiem par saīsinātu izsludināšanas un saskaņošanas kārtības piemērošanu), par ko liecina arī saņemto iebildumu apjoms; </w:t>
            </w:r>
          </w:p>
          <w:p w14:paraId="76067A9A" w14:textId="77777777" w:rsidR="00B11F97" w:rsidRPr="00BD6BFE" w:rsidRDefault="00B11F97" w:rsidP="00B11F97">
            <w:pPr>
              <w:jc w:val="both"/>
              <w:rPr>
                <w:sz w:val="22"/>
                <w:szCs w:val="22"/>
              </w:rPr>
            </w:pPr>
            <w:r w:rsidRPr="00BD6BFE">
              <w:rPr>
                <w:sz w:val="22"/>
                <w:szCs w:val="22"/>
              </w:rPr>
              <w:lastRenderedPageBreak/>
              <w:t>-  nav paredzams, kāda būs Ekonomikas ministrijas skaidrojumā pieminētā noteikumu projekta virzība. Pieminētais noteikumu projekts nav vēl izsludināts Valsts sekretāru sanāksmē, kā arī atbilstoši Satiksmes ministrijas rīcībā esošajai informācijai, vēl turpinās tā izskatīšana Darba grupā ogļūdeņražu ieguves tiesiskās vides uzlabošanai.</w:t>
            </w:r>
          </w:p>
          <w:p w14:paraId="54C40ECB" w14:textId="719A6000" w:rsidR="00B11F97" w:rsidRPr="000904BE" w:rsidRDefault="00B11F97" w:rsidP="00B11F97">
            <w:pPr>
              <w:jc w:val="both"/>
            </w:pPr>
            <w:r w:rsidRPr="00BD6BFE">
              <w:rPr>
                <w:sz w:val="22"/>
                <w:szCs w:val="22"/>
              </w:rPr>
              <w:t>-  atbilstoša grozījuma izdarīšana noteikumu Nr.805 49.punktā atbrīvos Satiksmes ministriju no nepamatota administratīvā sloga.</w:t>
            </w:r>
          </w:p>
        </w:tc>
        <w:tc>
          <w:tcPr>
            <w:tcW w:w="2268" w:type="dxa"/>
            <w:tcBorders>
              <w:top w:val="single" w:sz="4" w:space="0" w:color="auto"/>
              <w:left w:val="single" w:sz="4" w:space="0" w:color="auto"/>
              <w:bottom w:val="single" w:sz="4" w:space="0" w:color="auto"/>
            </w:tcBorders>
            <w:shd w:val="clear" w:color="auto" w:fill="auto"/>
          </w:tcPr>
          <w:p w14:paraId="7192527B" w14:textId="77777777" w:rsidR="00B11F97" w:rsidRPr="00366669" w:rsidRDefault="00B11F97" w:rsidP="00B11F97">
            <w:pPr>
              <w:jc w:val="both"/>
            </w:pPr>
            <w:r w:rsidRPr="00366669">
              <w:lastRenderedPageBreak/>
              <w:t xml:space="preserve">“49. Licencēšanas komisijas sastāvu apstiprina Ministru kabinets. Licencēšanas komisijā iekļauj trīs pārstāvjus no Būvniecības valsts kontroles biroja un pa vienam pārstāvim no Finanšu ministrijas, Satiksmes ministrijas, Vides aizsardzības un reģionālās attīstības ministrijas, Ekonomikas ministrijas, dienesta, ja nepieciešams, pieaicinot pārstāvjus no citām institūcijām, kā arī </w:t>
            </w:r>
            <w:r w:rsidRPr="00366669">
              <w:lastRenderedPageBreak/>
              <w:t>nozares ekspertus ar padomdevēja tiesībām. Ja licences laukums ir noteikts jūrā, licencēšanas komisijā papildus iekļauj pa vienam pārstāvim no Jūras administrācijas un Krasta apsardzes dienesta.”</w:t>
            </w:r>
          </w:p>
          <w:p w14:paraId="007874FD" w14:textId="53D10B39" w:rsidR="00B11F97" w:rsidRPr="00B11F97" w:rsidRDefault="00B11F97" w:rsidP="00B11F97">
            <w:pPr>
              <w:pStyle w:val="naisc"/>
              <w:spacing w:before="0" w:after="0"/>
              <w:jc w:val="both"/>
              <w:rPr>
                <w:b/>
                <w:bCs/>
              </w:rPr>
            </w:pPr>
          </w:p>
        </w:tc>
      </w:tr>
      <w:tr w:rsidR="00B11F97" w:rsidRPr="000904BE" w14:paraId="0DA9FA5C" w14:textId="77777777" w:rsidTr="00814D11">
        <w:trPr>
          <w:trHeight w:val="353"/>
        </w:trPr>
        <w:tc>
          <w:tcPr>
            <w:tcW w:w="675" w:type="dxa"/>
            <w:tcBorders>
              <w:top w:val="single" w:sz="6" w:space="0" w:color="000000"/>
              <w:left w:val="single" w:sz="6" w:space="0" w:color="000000"/>
              <w:bottom w:val="single" w:sz="6" w:space="0" w:color="000000"/>
              <w:right w:val="single" w:sz="6" w:space="0" w:color="000000"/>
            </w:tcBorders>
            <w:shd w:val="clear" w:color="auto" w:fill="auto"/>
          </w:tcPr>
          <w:p w14:paraId="244E8031" w14:textId="097439AD" w:rsidR="00B11F97" w:rsidRPr="000904BE" w:rsidRDefault="0050620E" w:rsidP="00B11F97">
            <w:pPr>
              <w:pStyle w:val="naisc"/>
              <w:spacing w:before="0" w:after="0"/>
            </w:pPr>
            <w:r>
              <w:lastRenderedPageBreak/>
              <w:t>2</w:t>
            </w:r>
            <w:r w:rsidR="00B11F97">
              <w:t>.</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14:paraId="29C4167F" w14:textId="77777777" w:rsidR="00B11F97" w:rsidRDefault="00B11F97" w:rsidP="00B11F97">
            <w:pPr>
              <w:spacing w:before="120"/>
              <w:jc w:val="both"/>
              <w:rPr>
                <w:sz w:val="22"/>
                <w:szCs w:val="22"/>
              </w:rPr>
            </w:pPr>
            <w:r>
              <w:rPr>
                <w:sz w:val="22"/>
                <w:szCs w:val="22"/>
              </w:rPr>
              <w:t>MK noteikumu projekts</w:t>
            </w:r>
          </w:p>
          <w:p w14:paraId="7298AE57" w14:textId="0F46CA1B" w:rsidR="00B11F97" w:rsidRPr="000904BE" w:rsidRDefault="00B11F97" w:rsidP="00B11F97">
            <w:pPr>
              <w:pStyle w:val="naisc"/>
              <w:spacing w:before="0" w:after="0"/>
              <w:jc w:val="both"/>
            </w:pPr>
          </w:p>
        </w:tc>
        <w:tc>
          <w:tcPr>
            <w:tcW w:w="3570" w:type="dxa"/>
            <w:tcBorders>
              <w:top w:val="single" w:sz="6" w:space="0" w:color="000000"/>
              <w:left w:val="single" w:sz="6" w:space="0" w:color="000000"/>
              <w:bottom w:val="single" w:sz="6" w:space="0" w:color="000000"/>
              <w:right w:val="single" w:sz="6" w:space="0" w:color="000000"/>
            </w:tcBorders>
            <w:shd w:val="clear" w:color="auto" w:fill="auto"/>
          </w:tcPr>
          <w:p w14:paraId="75F4D62D" w14:textId="77777777" w:rsidR="00B11F97" w:rsidRPr="00AB01D0" w:rsidRDefault="00B11F97" w:rsidP="00B11F97">
            <w:pPr>
              <w:ind w:right="38"/>
              <w:jc w:val="both"/>
              <w:rPr>
                <w:sz w:val="22"/>
                <w:szCs w:val="22"/>
                <w:shd w:val="clear" w:color="auto" w:fill="FFFFFF"/>
              </w:rPr>
            </w:pPr>
            <w:r w:rsidRPr="00AB01D0">
              <w:rPr>
                <w:b/>
                <w:bCs/>
                <w:sz w:val="22"/>
                <w:szCs w:val="22"/>
                <w:shd w:val="clear" w:color="auto" w:fill="FFFFFF"/>
              </w:rPr>
              <w:t>Baltijas ogļūdeņražu izpētes un ieguves asociācija (02.10.2019)</w:t>
            </w:r>
            <w:r w:rsidRPr="00AB01D0">
              <w:rPr>
                <w:sz w:val="22"/>
                <w:szCs w:val="22"/>
                <w:shd w:val="clear" w:color="auto" w:fill="FFFFFF"/>
              </w:rPr>
              <w:t xml:space="preserve"> </w:t>
            </w:r>
          </w:p>
          <w:p w14:paraId="4CC97AFA" w14:textId="77777777" w:rsidR="00B11F97" w:rsidRPr="00AB01D0" w:rsidRDefault="00B11F97" w:rsidP="00B11F97">
            <w:pPr>
              <w:ind w:right="38"/>
              <w:jc w:val="both"/>
              <w:rPr>
                <w:rStyle w:val="apple-converted-space"/>
                <w:sz w:val="22"/>
                <w:szCs w:val="22"/>
                <w:shd w:val="clear" w:color="auto" w:fill="FFFFFF"/>
              </w:rPr>
            </w:pPr>
            <w:r w:rsidRPr="00AB01D0">
              <w:rPr>
                <w:sz w:val="22"/>
                <w:szCs w:val="22"/>
                <w:shd w:val="clear" w:color="auto" w:fill="FFFFFF"/>
              </w:rPr>
              <w:t>Baltijas ogļūdeņražu izpētes un ieguves asociācija, turpmāk - Asociācija</w:t>
            </w:r>
            <w:r w:rsidRPr="00AB01D0">
              <w:rPr>
                <w:sz w:val="22"/>
                <w:szCs w:val="22"/>
              </w:rPr>
              <w:t>,</w:t>
            </w:r>
            <w:r w:rsidRPr="00AB01D0">
              <w:rPr>
                <w:rStyle w:val="apple-converted-space"/>
                <w:sz w:val="22"/>
                <w:szCs w:val="22"/>
                <w:shd w:val="clear" w:color="auto" w:fill="FFFFFF"/>
              </w:rPr>
              <w:t xml:space="preserve"> ir iepazinusies ar</w:t>
            </w:r>
            <w:r w:rsidRPr="00AB01D0">
              <w:rPr>
                <w:sz w:val="22"/>
                <w:szCs w:val="22"/>
                <w:shd w:val="clear" w:color="auto" w:fill="FFFFFF"/>
              </w:rPr>
              <w:t xml:space="preserve"> grozījumiem Ministru kabineta 2015.gada 22.decembra  noteikumos Nr.805 “Noteikumi par ogļūdeņražu meklēšanu, izpēti un ieguvi”, VSS-933, turpmāk – Projekts, kas pieteikts Valsts sekretāru sanāksmē 2019.gada 19.septembrī, un iebilst pret ieceri aizstāt noteikumu tekstā vārdus “Ekonomikas ministrija” (attiecīgā locījumā) ar vārdiem “Būvniecības valsts kontroles birojs” (attiecīgā locījumā).</w:t>
            </w:r>
          </w:p>
          <w:p w14:paraId="687FA1C2" w14:textId="77777777" w:rsidR="00B11F97" w:rsidRPr="00AB01D0" w:rsidRDefault="00B11F97" w:rsidP="00B11F97">
            <w:pPr>
              <w:ind w:right="38" w:firstLine="720"/>
              <w:jc w:val="both"/>
              <w:rPr>
                <w:sz w:val="22"/>
                <w:szCs w:val="22"/>
              </w:rPr>
            </w:pPr>
            <w:r w:rsidRPr="00AB01D0">
              <w:rPr>
                <w:sz w:val="22"/>
                <w:szCs w:val="22"/>
                <w:shd w:val="clear" w:color="auto" w:fill="FFFFFF"/>
              </w:rPr>
              <w:lastRenderedPageBreak/>
              <w:t xml:space="preserve">Kā redzams Projekts satur būtiskas izmaiņas, būtiski mainot noteikumos iepriekš noteikto kārtību. Proti, ar Projektu ir iecerēts, ka turpmāk Būvniecības valsts kontroles birojs, turpmāk – Birojs, noteiks licences laukumu </w:t>
            </w:r>
            <w:r w:rsidRPr="00AB01D0">
              <w:rPr>
                <w:sz w:val="22"/>
                <w:szCs w:val="22"/>
              </w:rPr>
              <w:t>jūrā vai uz valsts īpašumā esošajiem nekustamajiem īpašumiem vai sauszemē, līdztekus komersantam, kas vēlas veikt ogļūdeņražu meklēšanu vai ogļūdeņražu izpēti un ieguvi, Birojs sagatavos Ministru kabineta rīkojuma projektu par licences laukuma noteikšanu vai grozījumu izdarīšanu licences laukumā, kā arī Birojs turpmāk veiks licencēšanu, kā arī veiks ogļūdeņražu meklēšanas, izpētes un ieguves administratīvo un faktisko pārraudzību.</w:t>
            </w:r>
          </w:p>
          <w:p w14:paraId="036D809F" w14:textId="77777777" w:rsidR="00B11F97" w:rsidRPr="00AB01D0" w:rsidRDefault="00B11F97" w:rsidP="00B11F97">
            <w:pPr>
              <w:ind w:right="38" w:firstLine="720"/>
              <w:jc w:val="both"/>
              <w:rPr>
                <w:sz w:val="22"/>
                <w:szCs w:val="22"/>
              </w:rPr>
            </w:pPr>
            <w:r w:rsidRPr="00AB01D0">
              <w:rPr>
                <w:sz w:val="22"/>
                <w:szCs w:val="22"/>
              </w:rPr>
              <w:t xml:space="preserve"> Asociācija iebilst šādai pārraudzībai, Biroja kompetencē šāda pārraudzība neietilpst un nav pamata paplašināt Biroja funkcijas sekojošo apsvērumu dēļ.</w:t>
            </w:r>
          </w:p>
          <w:p w14:paraId="1AEC11E1" w14:textId="77777777" w:rsidR="00B11F97" w:rsidRPr="00AB01D0" w:rsidRDefault="00B11F97" w:rsidP="00B11F97">
            <w:pPr>
              <w:ind w:right="38" w:firstLine="720"/>
              <w:jc w:val="both"/>
              <w:rPr>
                <w:sz w:val="22"/>
                <w:szCs w:val="22"/>
              </w:rPr>
            </w:pPr>
            <w:r w:rsidRPr="00AB01D0">
              <w:rPr>
                <w:sz w:val="22"/>
                <w:szCs w:val="22"/>
              </w:rPr>
              <w:t>Pirmkārt, Projekts ir pretrunā ar likumu “Par zemes dzīlēm”, kas nosaka, ka Ekonomikas ministrija Ministru kabineta noteiktajos licenču laukumos Ministru kabineta noteiktajā kārtībā izsniedz ogļūdeņražu meklēšanas, izpētes un ieguves licences, kā arī veic ogļūdeņražu meklēšanas, izpētes un ieguves administratīvo pārraudzību (likuma 4.panta ceturtā daļa).</w:t>
            </w:r>
          </w:p>
          <w:p w14:paraId="6D76AE77" w14:textId="77777777" w:rsidR="00B11F97" w:rsidRPr="00AB01D0" w:rsidRDefault="00B11F97" w:rsidP="00B11F97">
            <w:pPr>
              <w:ind w:right="38" w:firstLine="720"/>
              <w:jc w:val="both"/>
              <w:rPr>
                <w:sz w:val="22"/>
                <w:szCs w:val="22"/>
              </w:rPr>
            </w:pPr>
            <w:r w:rsidRPr="00AB01D0">
              <w:rPr>
                <w:sz w:val="22"/>
                <w:szCs w:val="22"/>
              </w:rPr>
              <w:t xml:space="preserve">Otrkārt, pieņemot 22.12.2015. noteikumus, noteikumos </w:t>
            </w:r>
            <w:r w:rsidRPr="00AB01D0">
              <w:rPr>
                <w:sz w:val="22"/>
                <w:szCs w:val="22"/>
              </w:rPr>
              <w:lastRenderedPageBreak/>
              <w:t>tika iekļautas tiesību normas, kas izriet no: 1) Eiropas Parlamenta un Padomes 1994. gada 30. maija Direktīvas </w:t>
            </w:r>
            <w:hyperlink r:id="rId7" w:tgtFrame="_blank" w:history="1">
              <w:r w:rsidRPr="00AB01D0">
                <w:rPr>
                  <w:rStyle w:val="Hyperlink"/>
                  <w:color w:val="auto"/>
                  <w:sz w:val="22"/>
                  <w:szCs w:val="22"/>
                </w:rPr>
                <w:t>94/22/EEK</w:t>
              </w:r>
            </w:hyperlink>
            <w:r w:rsidRPr="00AB01D0">
              <w:rPr>
                <w:sz w:val="22"/>
                <w:szCs w:val="22"/>
              </w:rPr>
              <w:t> par atļauju piešķiršanas un izmantošanas noteikumiem ogļūdeņražu meklēšanai, izpētei un ieguvei; 2) Eiropas Parlamenta un Padomes 2013. gada 12. jūnija Direktīvas </w:t>
            </w:r>
            <w:hyperlink r:id="rId8" w:tgtFrame="_blank" w:history="1">
              <w:r w:rsidRPr="00AB01D0">
                <w:rPr>
                  <w:rStyle w:val="Hyperlink"/>
                  <w:color w:val="auto"/>
                  <w:sz w:val="22"/>
                  <w:szCs w:val="22"/>
                </w:rPr>
                <w:t>2013/30/ES</w:t>
              </w:r>
            </w:hyperlink>
            <w:r w:rsidRPr="00AB01D0">
              <w:rPr>
                <w:sz w:val="22"/>
                <w:szCs w:val="22"/>
              </w:rPr>
              <w:t xml:space="preserve"> par to darbību drošumu, </w:t>
            </w:r>
            <w:r w:rsidRPr="00AB01D0">
              <w:rPr>
                <w:b/>
                <w:bCs/>
                <w:sz w:val="22"/>
                <w:szCs w:val="22"/>
              </w:rPr>
              <w:t>kas saistītas ar naftas un gāzes nozares darbībām jūrā</w:t>
            </w:r>
            <w:r w:rsidRPr="00AB01D0">
              <w:rPr>
                <w:sz w:val="22"/>
                <w:szCs w:val="22"/>
              </w:rPr>
              <w:t>, un ar kuru groza Direktīvu </w:t>
            </w:r>
            <w:hyperlink r:id="rId9" w:tgtFrame="_blank" w:history="1">
              <w:r w:rsidRPr="00AB01D0">
                <w:rPr>
                  <w:rStyle w:val="Hyperlink"/>
                  <w:color w:val="auto"/>
                  <w:sz w:val="22"/>
                  <w:szCs w:val="22"/>
                </w:rPr>
                <w:t>2004/35/EK</w:t>
              </w:r>
            </w:hyperlink>
            <w:r w:rsidRPr="00AB01D0">
              <w:rPr>
                <w:sz w:val="22"/>
                <w:szCs w:val="22"/>
              </w:rPr>
              <w:t>.</w:t>
            </w:r>
          </w:p>
          <w:p w14:paraId="7D10013D" w14:textId="77777777" w:rsidR="00B11F97" w:rsidRPr="00AB01D0" w:rsidRDefault="00B11F97" w:rsidP="00B11F97">
            <w:pPr>
              <w:ind w:right="38" w:firstLine="720"/>
              <w:jc w:val="both"/>
              <w:rPr>
                <w:iCs/>
                <w:sz w:val="22"/>
                <w:szCs w:val="22"/>
              </w:rPr>
            </w:pPr>
            <w:r w:rsidRPr="00AB01D0">
              <w:rPr>
                <w:sz w:val="22"/>
                <w:szCs w:val="22"/>
              </w:rPr>
              <w:t xml:space="preserve">Tieši </w:t>
            </w:r>
            <w:r w:rsidRPr="00AB01D0">
              <w:rPr>
                <w:b/>
                <w:bCs/>
                <w:sz w:val="22"/>
                <w:szCs w:val="22"/>
              </w:rPr>
              <w:t>no Eiropas Parlamenta un Padomes 2013.gada 12.jūnija Direktīvas 2013/30/ES par to darbību drošumu</w:t>
            </w:r>
            <w:r w:rsidRPr="00AB01D0">
              <w:rPr>
                <w:sz w:val="22"/>
                <w:szCs w:val="22"/>
              </w:rPr>
              <w:t xml:space="preserve">, turpmāk – Direktīva, kas saistītas ar naftas un gāzes nozares </w:t>
            </w:r>
            <w:r w:rsidRPr="00AB01D0">
              <w:rPr>
                <w:b/>
                <w:sz w:val="22"/>
                <w:szCs w:val="22"/>
                <w:u w:val="single"/>
              </w:rPr>
              <w:t>darbībām jūrā</w:t>
            </w:r>
            <w:r w:rsidRPr="00AB01D0">
              <w:rPr>
                <w:iCs/>
                <w:sz w:val="22"/>
                <w:szCs w:val="22"/>
              </w:rPr>
              <w:t>,</w:t>
            </w:r>
            <w:r w:rsidRPr="00AB01D0">
              <w:rPr>
                <w:b/>
                <w:bCs/>
                <w:iCs/>
                <w:sz w:val="22"/>
                <w:szCs w:val="22"/>
              </w:rPr>
              <w:t xml:space="preserve"> izriet definīcija “kompetentā iestāde”</w:t>
            </w:r>
            <w:r w:rsidRPr="00AB01D0">
              <w:rPr>
                <w:iCs/>
                <w:sz w:val="22"/>
                <w:szCs w:val="22"/>
              </w:rPr>
              <w:t xml:space="preserve"> – publiska iestāde, kas iecelta, ievērojot šo Direktīvu, un kas atbildīga par izdevumiem, kuru tai uzticēti ar šo Direktīvu. Atbilstoši šai Direktīvai kompetentās iestādes uzdevums veikt pārraudzību naftas un gāzes nozares darbībām jūrā. </w:t>
            </w:r>
          </w:p>
          <w:p w14:paraId="6A0C84A8" w14:textId="77777777" w:rsidR="00B11F97" w:rsidRPr="00AB01D0" w:rsidRDefault="00B11F97" w:rsidP="00B11F97">
            <w:pPr>
              <w:ind w:right="38" w:firstLine="720"/>
              <w:jc w:val="both"/>
              <w:rPr>
                <w:sz w:val="22"/>
                <w:szCs w:val="22"/>
                <w:shd w:val="clear" w:color="auto" w:fill="FFFFFF"/>
              </w:rPr>
            </w:pPr>
            <w:r w:rsidRPr="00AB01D0">
              <w:rPr>
                <w:iCs/>
                <w:sz w:val="22"/>
                <w:szCs w:val="22"/>
              </w:rPr>
              <w:t xml:space="preserve">Līdz šim bija saprotams, ka noteikumos 2.12.punktā “kompetentā iestāde” ir Birojs, kas ar vides drošību un aizsardzību saistītu funkciju veikšanai </w:t>
            </w:r>
            <w:r w:rsidRPr="00AB01D0">
              <w:rPr>
                <w:sz w:val="22"/>
                <w:szCs w:val="22"/>
                <w:shd w:val="clear" w:color="auto" w:fill="FFFFFF"/>
              </w:rPr>
              <w:t xml:space="preserve">uz savstarpēja sadarbības līguma pamata piesaista Valsts vides dienestu, turpmāk – Dienests, un kurš veic ogļūdeņražu izpētes un ieguves darbību  </w:t>
            </w:r>
            <w:r w:rsidRPr="00AB01D0">
              <w:rPr>
                <w:b/>
                <w:bCs/>
                <w:sz w:val="22"/>
                <w:szCs w:val="22"/>
                <w:shd w:val="clear" w:color="auto" w:fill="FFFFFF"/>
              </w:rPr>
              <w:t xml:space="preserve">jūrā </w:t>
            </w:r>
            <w:r w:rsidRPr="00AB01D0">
              <w:rPr>
                <w:sz w:val="22"/>
                <w:szCs w:val="22"/>
                <w:shd w:val="clear" w:color="auto" w:fill="FFFFFF"/>
              </w:rPr>
              <w:t xml:space="preserve">pārraudzību. Faktiski noteikumos viens pret vienu tika pārrakstīta Direktīva, ieviešot tādas </w:t>
            </w:r>
            <w:r w:rsidRPr="00AB01D0">
              <w:rPr>
                <w:sz w:val="22"/>
                <w:szCs w:val="22"/>
                <w:shd w:val="clear" w:color="auto" w:fill="FFFFFF"/>
              </w:rPr>
              <w:lastRenderedPageBreak/>
              <w:t>definīcijas kā “iekšējs plāns reaģēšanai uz ārkārtas situāciju”, “apstiprinājums”, “smags apdraudējums”, “neatkarīga pārbaude”, “risks”, “kompetenta iestāde” u.c. un prasības naftas un gāzes nozares darbībām jūrā, lai novērstu smagus negadījumus un ierobežotu šādu negadījumu sekas.</w:t>
            </w:r>
          </w:p>
          <w:p w14:paraId="7D4A18D7" w14:textId="77777777" w:rsidR="00B11F97" w:rsidRPr="00AB01D0" w:rsidRDefault="00B11F97" w:rsidP="00B11F97">
            <w:pPr>
              <w:ind w:right="38" w:firstLine="720"/>
              <w:jc w:val="both"/>
              <w:rPr>
                <w:sz w:val="22"/>
                <w:szCs w:val="22"/>
              </w:rPr>
            </w:pPr>
            <w:r w:rsidRPr="00AB01D0">
              <w:rPr>
                <w:sz w:val="22"/>
                <w:szCs w:val="22"/>
                <w:shd w:val="clear" w:color="auto" w:fill="FFFFFF"/>
              </w:rPr>
              <w:t xml:space="preserve">Direktīvas ieviešanas rezultātā ir izveidojusies situācija, ka tiek pārkāpts Direktīvas 1.panta 1.punkts un 1.panta 3.punkts, kas nosaka, ka ar šo Direktīvu neskar </w:t>
            </w:r>
            <w:r w:rsidRPr="00AB01D0">
              <w:rPr>
                <w:sz w:val="22"/>
                <w:szCs w:val="22"/>
              </w:rPr>
              <w:t xml:space="preserve">Eiropas Parlamenta un Padomes 1994.gada 30.maija Direktīvu </w:t>
            </w:r>
            <w:hyperlink r:id="rId10" w:tgtFrame="_blank" w:history="1">
              <w:r w:rsidRPr="00AB01D0">
                <w:rPr>
                  <w:rStyle w:val="Hyperlink"/>
                  <w:color w:val="auto"/>
                  <w:sz w:val="22"/>
                  <w:szCs w:val="22"/>
                </w:rPr>
                <w:t>94/22/EEK</w:t>
              </w:r>
            </w:hyperlink>
            <w:r w:rsidRPr="00AB01D0">
              <w:rPr>
                <w:sz w:val="22"/>
                <w:szCs w:val="22"/>
              </w:rPr>
              <w:t> par atļauju piešķiršanas un izmantošanas noteikumiem ogļūdeņražu meklēšanai, izpētei un ieguvei.</w:t>
            </w:r>
          </w:p>
          <w:p w14:paraId="1EA7DAF5" w14:textId="77777777" w:rsidR="00B11F97" w:rsidRPr="00AB01D0" w:rsidRDefault="00B11F97" w:rsidP="00B11F97">
            <w:pPr>
              <w:ind w:right="38" w:firstLine="720"/>
              <w:jc w:val="both"/>
              <w:rPr>
                <w:sz w:val="22"/>
                <w:szCs w:val="22"/>
              </w:rPr>
            </w:pPr>
            <w:r w:rsidRPr="00AB01D0">
              <w:rPr>
                <w:b/>
                <w:bCs/>
                <w:sz w:val="22"/>
                <w:szCs w:val="22"/>
              </w:rPr>
              <w:t xml:space="preserve">Projekts ir vērsts uz Direktīvas 1.panta 1.punkta un Eiropas Parlamenta un Padomes 1994.gada 30.maija Direktīvas </w:t>
            </w:r>
            <w:hyperlink r:id="rId11" w:tgtFrame="_blank" w:history="1">
              <w:r w:rsidRPr="00AB01D0">
                <w:rPr>
                  <w:rStyle w:val="Hyperlink"/>
                  <w:b/>
                  <w:bCs/>
                  <w:color w:val="auto"/>
                  <w:sz w:val="22"/>
                  <w:szCs w:val="22"/>
                </w:rPr>
                <w:t>94/22/EEK</w:t>
              </w:r>
            </w:hyperlink>
            <w:r w:rsidRPr="00AB01D0">
              <w:rPr>
                <w:b/>
                <w:bCs/>
                <w:sz w:val="22"/>
                <w:szCs w:val="22"/>
              </w:rPr>
              <w:t> par atļauju piešķiršanas un izmantošanas noteikumiem ogļūdeņražu meklēšanai, izpētei un ieguvei pārkāpumu</w:t>
            </w:r>
            <w:r w:rsidRPr="00AB01D0">
              <w:rPr>
                <w:sz w:val="22"/>
                <w:szCs w:val="22"/>
              </w:rPr>
              <w:t>, jo ar Projektu Direktīvā noteiktā “kompetentā iestāde” un prasības attieksies arī uz ogļūdeņražu meklēšanu, izpēti un ieguvi sauszemē. Tādējādi nepamatoti palielināsies administratīvais slogs darbībām sauszemē, kā arī palielināsies prasības, kas līdz šim nav izvirzītas darbībām sauszemē.</w:t>
            </w:r>
          </w:p>
          <w:p w14:paraId="28879D61" w14:textId="77777777" w:rsidR="00B11F97" w:rsidRPr="00AB01D0" w:rsidRDefault="00B11F97" w:rsidP="00B11F97">
            <w:pPr>
              <w:ind w:right="38" w:firstLine="720"/>
              <w:jc w:val="both"/>
              <w:rPr>
                <w:sz w:val="22"/>
                <w:szCs w:val="22"/>
              </w:rPr>
            </w:pPr>
            <w:r w:rsidRPr="00AB01D0">
              <w:rPr>
                <w:sz w:val="22"/>
                <w:szCs w:val="22"/>
              </w:rPr>
              <w:lastRenderedPageBreak/>
              <w:t>Citiem vārdiem Projekts Direktīvā noteikto attiecinās ne tikai naftas un gāzes darbībām jūrā, bet arī naftas un gāzes darbībām sauszemē. Šāda pieeja nav atbalstāma.</w:t>
            </w:r>
          </w:p>
          <w:p w14:paraId="75AD6ACD" w14:textId="77777777" w:rsidR="00B11F97" w:rsidRPr="00AB01D0" w:rsidRDefault="00B11F97" w:rsidP="00B11F97">
            <w:pPr>
              <w:ind w:right="38" w:firstLine="720"/>
              <w:jc w:val="both"/>
              <w:rPr>
                <w:sz w:val="22"/>
                <w:szCs w:val="22"/>
              </w:rPr>
            </w:pPr>
            <w:r w:rsidRPr="00AB01D0">
              <w:rPr>
                <w:sz w:val="22"/>
                <w:szCs w:val="22"/>
              </w:rPr>
              <w:t xml:space="preserve">Birojam atbilstoši Direktīvai un noteikumiem pārraudzību ir jāveic darbībām jūrā, nevis sauszemē. </w:t>
            </w:r>
          </w:p>
          <w:p w14:paraId="18E72F24" w14:textId="77777777" w:rsidR="00B11F97" w:rsidRPr="00AB01D0" w:rsidRDefault="00B11F97" w:rsidP="00B11F97">
            <w:pPr>
              <w:ind w:right="38" w:firstLine="720"/>
              <w:jc w:val="both"/>
              <w:rPr>
                <w:sz w:val="22"/>
                <w:szCs w:val="22"/>
              </w:rPr>
            </w:pPr>
            <w:r w:rsidRPr="00AB01D0">
              <w:rPr>
                <w:sz w:val="22"/>
                <w:szCs w:val="22"/>
              </w:rPr>
              <w:t xml:space="preserve">Treškārt, ir apšaubāma Biroja kompetence jautājumos, kas saistītas ar licences laukuma noteikšanu, jo tas neizbēgami ir saistīts ar vides jautājumiem, nevis ar būvniecību. Nebūtu lietderīgi paplašināt Biroja funkcijas, t.sk. pildīt kompetentās iestādes funkcijas ogļūdeņražu meklēšanas, izpētes un ieguves darbībām sauszemē, noteikt ogļūdeņražu meklēšanai, izpētei un ieguvei licences laukumus, izsniegt licences u.tt. Birojs pēc savas būtības nav tā valsts iestāde, kas izsniedz licences, veic </w:t>
            </w:r>
            <w:r w:rsidRPr="00AB01D0">
              <w:rPr>
                <w:iCs/>
                <w:sz w:val="22"/>
                <w:szCs w:val="22"/>
              </w:rPr>
              <w:t xml:space="preserve">vides drošību un aizsardzību saistītu funkciju un </w:t>
            </w:r>
            <w:r w:rsidRPr="00AB01D0">
              <w:rPr>
                <w:sz w:val="22"/>
                <w:szCs w:val="22"/>
              </w:rPr>
              <w:t>enerģētikas politikas īstenošanas funkciju.</w:t>
            </w:r>
          </w:p>
          <w:p w14:paraId="78082482" w14:textId="77777777" w:rsidR="00B11F97" w:rsidRPr="00AB01D0" w:rsidRDefault="00B11F97" w:rsidP="00B11F97">
            <w:pPr>
              <w:ind w:right="38" w:firstLine="720"/>
              <w:jc w:val="both"/>
              <w:rPr>
                <w:iCs/>
                <w:color w:val="000000"/>
                <w:sz w:val="22"/>
                <w:szCs w:val="22"/>
              </w:rPr>
            </w:pPr>
            <w:r w:rsidRPr="00AB01D0">
              <w:rPr>
                <w:iCs/>
                <w:color w:val="000000"/>
                <w:sz w:val="22"/>
                <w:szCs w:val="22"/>
              </w:rPr>
              <w:t xml:space="preserve">Biroja nolikumā noteikto funkciju vidū 3.6. punkts nosaka ”pildīt kompetentās iestādes funkcijas saskaņā ar MK 2015.gada 22.decembra noteikumu Nr. 805 “Noteikumi par ogļūdeņražu meklēšanu, izpēti un ieguvi” prasībām”. Biroja kompetences saistība ar nolikuma 3.6. punktā noteikto neatbilst MK 2014.gada 19.augusta noteikumos Nr.499 “Noteikumi par būvnispektoriem”, </w:t>
            </w:r>
            <w:r w:rsidRPr="00AB01D0">
              <w:rPr>
                <w:iCs/>
                <w:color w:val="000000"/>
                <w:sz w:val="22"/>
                <w:szCs w:val="22"/>
              </w:rPr>
              <w:lastRenderedPageBreak/>
              <w:t>kas izdoti saskaņā ar Būvniecības likuma 5.panta pirmās daļas 5.punktā  būvinspektoriem izvirzītajām prasībām, t.i. “uz būvinspektora tiesību iegūšanu var pretendēt persona kurai ir otrā līmeņa profesionālā augstākā izglītība arhitektūras jomā arhitekta studiju programmā vai vismaz pirmā līmeņa profesionālā augstākā izglītība būvniecības jomā būvinženiera studiju programmā, kurai ir patstāvīgās prakses tiesības arhitektūras jomā arhitekta profesijā vai būvniecības jomā būvinženiera profesijā (būvspeciālista sertifikāts) vai kurai ir patstāvīgā prakse arhitektūras vai būvniecības jomā ne mazāka par diviem gadiem pēc būvspeciālista sertifikāta saņemšanas. Biroja struktūrā ietilpst Būvspeciālistu sertificēšanas nodaļa, būvdarbu kontroles nodaļa, Būvdarbu ekspluatācijas uzraudzības nodaļa un Inženiertehniskā nodaļa, kurās nodarbināto amatpersonu atbilstība veicamajiem pienākumiem saistīta ar būvniecības nozari nevis derīgo izrakteņu ieguvi. Projekta virzība var radīt nepamatotas valsts budžeta izmaksas papildus speciālistu piesaistei vai arī uzlikt nepamatotu slogu Birojā nodarbinātajām amatpersonām, liekot pieņemt lēmumus ar viņu darba pamata pienākumiem nesaistītā nozarē.</w:t>
            </w:r>
          </w:p>
          <w:p w14:paraId="6B6D8469" w14:textId="77777777" w:rsidR="00B11F97" w:rsidRPr="00AB01D0" w:rsidRDefault="00B11F97" w:rsidP="00B11F97">
            <w:pPr>
              <w:ind w:right="38" w:firstLine="720"/>
              <w:jc w:val="both"/>
              <w:rPr>
                <w:sz w:val="22"/>
                <w:szCs w:val="22"/>
              </w:rPr>
            </w:pPr>
            <w:r w:rsidRPr="00AB01D0">
              <w:rPr>
                <w:iCs/>
                <w:sz w:val="22"/>
                <w:szCs w:val="22"/>
              </w:rPr>
              <w:t>Projekts nav pārdomāts</w:t>
            </w:r>
            <w:r w:rsidRPr="00AB01D0">
              <w:rPr>
                <w:sz w:val="22"/>
                <w:szCs w:val="22"/>
              </w:rPr>
              <w:t xml:space="preserve"> un tas nav saistīts ar šī brīža enerģētikas </w:t>
            </w:r>
            <w:r w:rsidRPr="00AB01D0">
              <w:rPr>
                <w:sz w:val="22"/>
                <w:szCs w:val="22"/>
              </w:rPr>
              <w:lastRenderedPageBreak/>
              <w:t>politikas īstenošanas kapacitātes un efektivitātes iespējām Ekonomikas ministrijā un tiem esošajiem un jaunajiem pienākumiem, kas izriet no ES normatīvo aktu pilnīgas ieviešanas, īstenošanas un uzraudzības. Asociācijas ieskatā, Birojam nav arī nebūs šādas kapacitātes, funkcijas pārklājas ar Dienesta funkcijām.</w:t>
            </w:r>
          </w:p>
          <w:p w14:paraId="637DB3A4" w14:textId="77777777" w:rsidR="00B11F97" w:rsidRPr="00AB01D0" w:rsidRDefault="00B11F97" w:rsidP="00B11F97">
            <w:pPr>
              <w:ind w:right="38" w:firstLine="720"/>
              <w:jc w:val="both"/>
              <w:rPr>
                <w:sz w:val="22"/>
                <w:szCs w:val="22"/>
                <w:shd w:val="clear" w:color="auto" w:fill="FFFFFF"/>
              </w:rPr>
            </w:pPr>
            <w:r w:rsidRPr="00AB01D0">
              <w:rPr>
                <w:sz w:val="22"/>
                <w:szCs w:val="22"/>
              </w:rPr>
              <w:t>Asociācija norāda, ka noteikumi šī brīža redakcijā paredz plašas pilnvaras Dienestam, kas saistīts ne tikai paziņ</w:t>
            </w:r>
            <w:r w:rsidRPr="00AB01D0">
              <w:rPr>
                <w:color w:val="000000"/>
                <w:sz w:val="22"/>
                <w:szCs w:val="22"/>
              </w:rPr>
              <w:t>ošanu</w:t>
            </w:r>
            <w:r w:rsidRPr="00AB01D0">
              <w:rPr>
                <w:sz w:val="22"/>
                <w:szCs w:val="22"/>
              </w:rPr>
              <w:t xml:space="preserve"> Dienestam par licences izsniegšanu, bet arī nosaka Dienesta dalību licences izsniegšanā, ogļūdeņražu meklēšanā, izpētes un ieguves darbos, datu apstrādē (visa informācija, kas iegūta ogļūdeņražu meklēšanā, izpētes un ieguves darbos ir nododama Dienestam), D</w:t>
            </w:r>
            <w:r w:rsidRPr="00AB01D0">
              <w:rPr>
                <w:sz w:val="22"/>
                <w:szCs w:val="22"/>
                <w:shd w:val="clear" w:color="auto" w:fill="FFFFFF"/>
              </w:rPr>
              <w:t>ienesta amatpersonas kontrolē vides normatīvo aktu, piesārņojošās darbības veikšanai izsniegtajā atļaujā minēto nosacījumu, kā arī piesārņojuma likvidācijas gatavības prasību ievērošanu ogļūdeņražu izpētes un ieguves darbos (noteikumu XX. sadaļa).</w:t>
            </w:r>
          </w:p>
          <w:p w14:paraId="68619263" w14:textId="77777777" w:rsidR="00B11F97" w:rsidRPr="00AB01D0" w:rsidRDefault="00B11F97" w:rsidP="00B11F97">
            <w:pPr>
              <w:ind w:right="38" w:firstLine="720"/>
              <w:jc w:val="both"/>
              <w:rPr>
                <w:sz w:val="22"/>
                <w:szCs w:val="22"/>
              </w:rPr>
            </w:pPr>
            <w:r w:rsidRPr="00AB01D0">
              <w:rPr>
                <w:sz w:val="22"/>
                <w:szCs w:val="22"/>
                <w:shd w:val="clear" w:color="auto" w:fill="FFFFFF"/>
              </w:rPr>
              <w:t xml:space="preserve">Ievērojot to, ka licences laukuma </w:t>
            </w:r>
            <w:r w:rsidRPr="00AB01D0">
              <w:rPr>
                <w:color w:val="000000"/>
                <w:sz w:val="22"/>
                <w:szCs w:val="22"/>
                <w:shd w:val="clear" w:color="auto" w:fill="FFFFFF"/>
              </w:rPr>
              <w:t xml:space="preserve">noteikšana nav iespēja bez Dienesta atzinuma, ogļūdeņražu izpētes un ieguves darbi ir pakļauti ietekmes uz vidi novērtējumam saskaņā ar likumu “Par ietekmes uz vidi novērtējumu”, t.sk. Dienests kontrolē vides normatīvo aktu prasību </w:t>
            </w:r>
            <w:r w:rsidRPr="00AB01D0">
              <w:rPr>
                <w:color w:val="000000"/>
                <w:sz w:val="22"/>
                <w:szCs w:val="22"/>
                <w:shd w:val="clear" w:color="auto" w:fill="FFFFFF"/>
              </w:rPr>
              <w:lastRenderedPageBreak/>
              <w:t xml:space="preserve">izpildi, kā arī Dienestam ir pieredze un kompetence zemes dzīļu izmantošanas licenču izsniegšanā (sk. </w:t>
            </w:r>
            <w:r w:rsidRPr="00AB01D0">
              <w:rPr>
                <w:color w:val="000000"/>
                <w:sz w:val="22"/>
                <w:szCs w:val="22"/>
              </w:rPr>
              <w:t>Ministru kabineta 06.09.2011. noteikumi Nr.696 “Zemes dzīļu izmantošanas licenču un bieži sastopamo derīgo izrakteņu ieguves atļauju izsniegšanas kārtība, kā arī publiskas personas zemes iznomāšanas kārtība zemes dzīļu izmantošanai”), ogļūdeņražu meklēšanas, izpētes un ieguves darbu pārraudzība, īpaši sauszemē, ir nododama Dienesta kompetencē. Savukārt “kompetentās iestādes” funkcijas kā līdz šim jāatstāj Biroja kompetencē</w:t>
            </w:r>
            <w:r w:rsidRPr="00AB01D0">
              <w:rPr>
                <w:sz w:val="22"/>
                <w:szCs w:val="22"/>
              </w:rPr>
              <w:t xml:space="preserve">, tādējādi izslēdzot Direktīvas un Eiropas Parlamenta un Padomes 1994.gada 30.maija Direktīvu </w:t>
            </w:r>
            <w:hyperlink r:id="rId12" w:tgtFrame="_blank" w:history="1">
              <w:r w:rsidRPr="00AB01D0">
                <w:rPr>
                  <w:rStyle w:val="Hyperlink"/>
                  <w:color w:val="auto"/>
                  <w:sz w:val="22"/>
                  <w:szCs w:val="22"/>
                </w:rPr>
                <w:t>94/22/EEK</w:t>
              </w:r>
            </w:hyperlink>
            <w:r w:rsidRPr="00AB01D0">
              <w:rPr>
                <w:sz w:val="22"/>
                <w:szCs w:val="22"/>
              </w:rPr>
              <w:t> par atļauju piešķiršanas un izmantošanas noteikumiem ogļūdeņražu meklēšanai, izpētei un ieguvei pārkāpumu.</w:t>
            </w:r>
          </w:p>
          <w:p w14:paraId="0239CAD1" w14:textId="77777777" w:rsidR="00B11F97" w:rsidRPr="00AB01D0" w:rsidRDefault="00B11F97" w:rsidP="00B11F97">
            <w:pPr>
              <w:ind w:right="38" w:firstLine="720"/>
              <w:jc w:val="both"/>
              <w:rPr>
                <w:color w:val="000000"/>
                <w:sz w:val="22"/>
                <w:szCs w:val="22"/>
                <w:shd w:val="clear" w:color="auto" w:fill="FFFFFF"/>
              </w:rPr>
            </w:pPr>
            <w:r w:rsidRPr="00AB01D0">
              <w:rPr>
                <w:sz w:val="22"/>
                <w:szCs w:val="22"/>
              </w:rPr>
              <w:t>Iepazīstoties ar Ministru kabineta noteikumu par enerģētikas politikas īstenošanas funkciju nodošanu Būvniecības valsts kontroles birojam (grozījumi MK noteikumos) sākotnējās ietekmes novērtējuma apvienotā ziņojuma, turpmāk – Anotācija, saturu, ir konstatējams, ka Ekonomikas ministrija par nav apsvērusi Dienesta iespējas veikt</w:t>
            </w:r>
            <w:r w:rsidRPr="00AB01D0">
              <w:rPr>
                <w:sz w:val="22"/>
                <w:szCs w:val="22"/>
                <w:shd w:val="clear" w:color="auto" w:fill="FFFFFF"/>
              </w:rPr>
              <w:t xml:space="preserve"> ogļūdeņražu meklēšanas, izpētes un ieguves administratīvo pārraudzību. Tas nav pareizi. Ogļūdeņraži ir derīgais </w:t>
            </w:r>
            <w:r w:rsidRPr="00AB01D0">
              <w:rPr>
                <w:sz w:val="22"/>
                <w:szCs w:val="22"/>
                <w:shd w:val="clear" w:color="auto" w:fill="FFFFFF"/>
              </w:rPr>
              <w:lastRenderedPageBreak/>
              <w:t xml:space="preserve">izraktenis un nav īpaša pamatojuma ogļūdeņražiem </w:t>
            </w:r>
            <w:r w:rsidRPr="00AB01D0">
              <w:rPr>
                <w:color w:val="000000"/>
                <w:sz w:val="22"/>
                <w:szCs w:val="22"/>
                <w:shd w:val="clear" w:color="auto" w:fill="FFFFFF"/>
              </w:rPr>
              <w:t xml:space="preserve">noteikt īpašu kārtību, kādā ir veicama meklēšana, izpēte un ieguve. Ogļūdeņražu ieguves iespējas Latvijā ir niecīgas, savukārt administratīvais slogs un tā pārraudzība ir neadekvāta un ir pārmērīga, kā arī prasa papildus līdzkļus no valsts budžeta, kas varētu tikt novirzīti citiem mērķiem. Līdz šim brīdim nav novērstas noteikumu nepilnības, kas kavē ogļūdeņražu meklēšanu, izpēti un ieguvi Latvijā, šīs nozares attīstību. No noteikumu redakcijas ir izslēdzams 151.punkts, kas dublē ietekmes uz vidi novērtējumu un tā ietvaros izstrādātos risinājumus vides </w:t>
            </w:r>
            <w:r w:rsidRPr="00AB01D0">
              <w:rPr>
                <w:iCs/>
                <w:color w:val="000000"/>
                <w:sz w:val="22"/>
                <w:szCs w:val="22"/>
              </w:rPr>
              <w:t>drošībai un aizsardzībai, tā vietā tiek pastiprinātas prasības. O</w:t>
            </w:r>
            <w:r w:rsidRPr="00AB01D0">
              <w:rPr>
                <w:color w:val="000000"/>
                <w:sz w:val="22"/>
                <w:szCs w:val="22"/>
                <w:shd w:val="clear" w:color="auto" w:fill="FFFFFF"/>
              </w:rPr>
              <w:t>gļūdeņražu izpēte un ieguve sauszemē nav viens un tas pats, kas  darbība - ogļūdeņražu izpēte un ieguve jūrā. Abas darbības ir fundamentāli atšķirīgas ne tikai inženiertehnisko risinājumu jautājumos, bet arī vides aizsardzības prasību ievērošanā.</w:t>
            </w:r>
          </w:p>
          <w:p w14:paraId="7E266826" w14:textId="77777777" w:rsidR="00B11F97" w:rsidRPr="00AB01D0" w:rsidRDefault="00B11F97" w:rsidP="00B11F97">
            <w:pPr>
              <w:ind w:right="38" w:firstLine="720"/>
              <w:jc w:val="both"/>
              <w:rPr>
                <w:color w:val="000000"/>
                <w:sz w:val="22"/>
                <w:szCs w:val="22"/>
              </w:rPr>
            </w:pPr>
            <w:r w:rsidRPr="00AB01D0">
              <w:rPr>
                <w:color w:val="000000"/>
                <w:sz w:val="22"/>
                <w:szCs w:val="22"/>
                <w:shd w:val="clear" w:color="auto" w:fill="FFFFFF"/>
              </w:rPr>
              <w:t xml:space="preserve">Anotācijas </w:t>
            </w:r>
            <w:r w:rsidRPr="00AB01D0">
              <w:rPr>
                <w:color w:val="000000"/>
                <w:sz w:val="22"/>
                <w:szCs w:val="22"/>
              </w:rPr>
              <w:t>VI. sadaļas  “</w:t>
            </w:r>
            <w:r w:rsidRPr="00AB01D0">
              <w:rPr>
                <w:i/>
                <w:iCs/>
                <w:color w:val="000000"/>
                <w:sz w:val="22"/>
                <w:szCs w:val="22"/>
              </w:rPr>
              <w:t>Sabiedrības līdzdalība un komunikācijas aktivitātes</w:t>
            </w:r>
            <w:r w:rsidRPr="00AB01D0">
              <w:rPr>
                <w:color w:val="000000"/>
                <w:sz w:val="22"/>
                <w:szCs w:val="22"/>
              </w:rPr>
              <w:t xml:space="preserve">” 1.punktā ir norādīts, ka 2019.gada 8.jūlijā Ekonomikas ministrija informēja biedrību “Auto Asociācija”, biedrību “Latvijas Degvielas tirgotāju asociācija”, biedrību “Degvielas tirgotāju un ražotāju savienība”, biedrību “Latvijas Biodegvielu un bioenerģijas asociācija”, valsts </w:t>
            </w:r>
            <w:r w:rsidRPr="00AB01D0">
              <w:rPr>
                <w:color w:val="000000"/>
                <w:sz w:val="22"/>
                <w:szCs w:val="22"/>
              </w:rPr>
              <w:lastRenderedPageBreak/>
              <w:t xml:space="preserve">aģentūru “Latvijas nacionālais akreditācijas birojs”, AS “Inspecta Latvia”, SIA “Latvijas Sertifikācijas centrs”, SIA “SGS LATVIJA” un SIA “Latvijas Standarts” par to iespējām piedalīties minētajā sabiebrības līdzdalības procesā. Šajā sakarā ir jautājumi: </w:t>
            </w:r>
          </w:p>
          <w:p w14:paraId="22766ACD" w14:textId="77777777" w:rsidR="00B11F97" w:rsidRPr="00AB01D0" w:rsidRDefault="00B11F97" w:rsidP="00B11F97">
            <w:pPr>
              <w:ind w:right="38"/>
              <w:jc w:val="both"/>
              <w:rPr>
                <w:color w:val="000000"/>
                <w:sz w:val="22"/>
                <w:szCs w:val="22"/>
              </w:rPr>
            </w:pPr>
            <w:r w:rsidRPr="00AB01D0">
              <w:rPr>
                <w:color w:val="000000"/>
                <w:sz w:val="22"/>
                <w:szCs w:val="22"/>
              </w:rPr>
              <w:t xml:space="preserve">– kāds šīm biedrībām ir sakars ar ogļūdeņražu meklēšanas, izpētes un ieguves darbiem? </w:t>
            </w:r>
          </w:p>
          <w:p w14:paraId="33EC01BB" w14:textId="77777777" w:rsidR="00B11F97" w:rsidRPr="00AB01D0" w:rsidRDefault="00B11F97" w:rsidP="00B11F97">
            <w:pPr>
              <w:ind w:right="38"/>
              <w:jc w:val="both"/>
              <w:rPr>
                <w:color w:val="000000"/>
                <w:sz w:val="22"/>
                <w:szCs w:val="22"/>
              </w:rPr>
            </w:pPr>
            <w:r w:rsidRPr="00AB01D0">
              <w:rPr>
                <w:color w:val="000000"/>
                <w:sz w:val="22"/>
                <w:szCs w:val="22"/>
              </w:rPr>
              <w:t>- kā Projekts ietekmē šīs biedrības?</w:t>
            </w:r>
          </w:p>
          <w:p w14:paraId="000B32D0" w14:textId="77777777" w:rsidR="00B11F97" w:rsidRPr="00AB01D0" w:rsidRDefault="00B11F97" w:rsidP="00B11F97">
            <w:pPr>
              <w:ind w:right="38"/>
              <w:jc w:val="both"/>
              <w:rPr>
                <w:color w:val="000000"/>
                <w:sz w:val="22"/>
                <w:szCs w:val="22"/>
              </w:rPr>
            </w:pPr>
            <w:r w:rsidRPr="00AB01D0">
              <w:rPr>
                <w:color w:val="000000"/>
                <w:sz w:val="22"/>
                <w:szCs w:val="22"/>
              </w:rPr>
              <w:t xml:space="preserve">- kādēļ galaprodukta – degvielas tirgotāju asociācijas tiek informētas par izejvielu (resursa)  ieguvi regulējošiem noteikumiem? </w:t>
            </w:r>
          </w:p>
          <w:p w14:paraId="48A8FACD" w14:textId="77777777" w:rsidR="00B11F97" w:rsidRPr="00AB01D0" w:rsidRDefault="00B11F97" w:rsidP="00B11F97">
            <w:pPr>
              <w:ind w:right="38"/>
              <w:jc w:val="both"/>
              <w:rPr>
                <w:sz w:val="22"/>
                <w:szCs w:val="22"/>
              </w:rPr>
            </w:pPr>
            <w:r w:rsidRPr="00AB01D0">
              <w:rPr>
                <w:color w:val="000000"/>
                <w:sz w:val="22"/>
                <w:szCs w:val="22"/>
              </w:rPr>
              <w:t>- kāpēc Ekonomikas ministrija nav informējusi</w:t>
            </w:r>
            <w:r w:rsidRPr="00AB01D0">
              <w:rPr>
                <w:sz w:val="22"/>
                <w:szCs w:val="22"/>
              </w:rPr>
              <w:t xml:space="preserve"> ogļūdeņražu izpētes un ieguves jomā darbojošos biedrību – Asociāciju?</w:t>
            </w:r>
          </w:p>
          <w:p w14:paraId="15AA6EE2" w14:textId="77777777" w:rsidR="00B11F97" w:rsidRPr="00AB01D0" w:rsidRDefault="00B11F97" w:rsidP="00B11F97">
            <w:pPr>
              <w:ind w:right="38"/>
              <w:jc w:val="both"/>
              <w:rPr>
                <w:color w:val="000000"/>
                <w:sz w:val="22"/>
                <w:szCs w:val="22"/>
                <w:shd w:val="clear" w:color="auto" w:fill="FFFFFF"/>
              </w:rPr>
            </w:pPr>
            <w:r w:rsidRPr="00AB01D0">
              <w:rPr>
                <w:sz w:val="22"/>
                <w:szCs w:val="22"/>
              </w:rPr>
              <w:tab/>
              <w:t>Ekonomikas ir zināms</w:t>
            </w:r>
            <w:r w:rsidRPr="00AB01D0">
              <w:rPr>
                <w:color w:val="000000"/>
                <w:sz w:val="22"/>
                <w:szCs w:val="22"/>
              </w:rPr>
              <w:t xml:space="preserve">, ka </w:t>
            </w:r>
            <w:r w:rsidRPr="00AB01D0">
              <w:rPr>
                <w:rStyle w:val="Strong"/>
                <w:b w:val="0"/>
                <w:color w:val="000000"/>
                <w:sz w:val="22"/>
                <w:szCs w:val="22"/>
                <w:bdr w:val="none" w:sz="0" w:space="0" w:color="auto" w:frame="1"/>
                <w:shd w:val="clear" w:color="auto" w:fill="FFFFFF"/>
              </w:rPr>
              <w:t xml:space="preserve">Asociācija </w:t>
            </w:r>
            <w:r w:rsidRPr="00AB01D0">
              <w:rPr>
                <w:color w:val="000000"/>
                <w:sz w:val="22"/>
                <w:szCs w:val="22"/>
              </w:rPr>
              <w:t>ir izveidota ar mērķi veicināt ogļūdeņražu izpēti un ieguvi Latvijā, aizsargāt un pārstāvēt savu biedru intereses un tiesības attiecībās ar valsts un pašvaldības institūcijām, piedalīties normatīvo aktu izstrādāšanā, Asociācija īpaši vēlas atbalstīt</w:t>
            </w:r>
            <w:r w:rsidRPr="00AB01D0">
              <w:rPr>
                <w:rStyle w:val="st"/>
                <w:color w:val="000000"/>
                <w:sz w:val="22"/>
                <w:szCs w:val="22"/>
              </w:rPr>
              <w:t xml:space="preserve"> zemes dzīļu izpēti un derīgo izrakteņu ieguvi. Ir</w:t>
            </w:r>
            <w:r w:rsidRPr="00AB01D0">
              <w:rPr>
                <w:rStyle w:val="Strong"/>
                <w:b w:val="0"/>
                <w:color w:val="000000"/>
                <w:sz w:val="22"/>
                <w:szCs w:val="22"/>
                <w:bdr w:val="none" w:sz="0" w:space="0" w:color="auto" w:frame="1"/>
                <w:shd w:val="clear" w:color="auto" w:fill="FFFFFF"/>
              </w:rPr>
              <w:t xml:space="preserve"> pamats uzskatīt, ka </w:t>
            </w:r>
            <w:r w:rsidRPr="00AB01D0">
              <w:rPr>
                <w:rStyle w:val="Strong"/>
                <w:color w:val="000000"/>
                <w:sz w:val="22"/>
                <w:szCs w:val="22"/>
                <w:bdr w:val="none" w:sz="0" w:space="0" w:color="auto" w:frame="1"/>
                <w:shd w:val="clear" w:color="auto" w:fill="FFFFFF"/>
              </w:rPr>
              <w:t>Ekonomikas ministrija apzināti nav informējusi Asociāciju par Projektu, lai neļautu valdības sociālajam partnerim izteikt savus ierosinājumus un priekšlikumus</w:t>
            </w:r>
            <w:r w:rsidRPr="00AB01D0">
              <w:rPr>
                <w:rStyle w:val="Strong"/>
                <w:b w:val="0"/>
                <w:color w:val="000000"/>
                <w:sz w:val="22"/>
                <w:szCs w:val="22"/>
                <w:bdr w:val="none" w:sz="0" w:space="0" w:color="auto" w:frame="1"/>
                <w:shd w:val="clear" w:color="auto" w:fill="FFFFFF"/>
              </w:rPr>
              <w:t xml:space="preserve"> jautājumā par noteikumu izmaiņām. Nav ie</w:t>
            </w:r>
            <w:r w:rsidRPr="00AB01D0">
              <w:rPr>
                <w:color w:val="000000"/>
                <w:sz w:val="22"/>
                <w:szCs w:val="22"/>
              </w:rPr>
              <w:t xml:space="preserve">vērots labas pārvaldības princips. Citādāk grūti izskaidrot </w:t>
            </w:r>
            <w:r w:rsidRPr="00AB01D0">
              <w:rPr>
                <w:color w:val="000000"/>
                <w:sz w:val="22"/>
                <w:szCs w:val="22"/>
              </w:rPr>
              <w:lastRenderedPageBreak/>
              <w:t xml:space="preserve">Ekonomikas ministrijas rīcību, jo Asociācija piedalās ogļūdeņražu ieguves tiesiskās vides uzlabošanas darba grupā, </w:t>
            </w:r>
            <w:r w:rsidRPr="00AB01D0">
              <w:rPr>
                <w:color w:val="000000"/>
                <w:sz w:val="22"/>
                <w:szCs w:val="22"/>
                <w:shd w:val="clear" w:color="auto" w:fill="FFFFFF"/>
              </w:rPr>
              <w:t>atbilstoši  2018.gada 18.aprīļa ogļūdeņražu ieguves tiesiskās</w:t>
            </w:r>
            <w:r w:rsidRPr="00AB01D0">
              <w:rPr>
                <w:color w:val="222222"/>
                <w:sz w:val="22"/>
                <w:szCs w:val="22"/>
                <w:shd w:val="clear" w:color="auto" w:fill="FFFFFF"/>
              </w:rPr>
              <w:t xml:space="preserve"> vides uzlabošanas darba grupas sanāksmē nolemtajam. </w:t>
            </w:r>
            <w:r w:rsidRPr="00AB01D0">
              <w:rPr>
                <w:sz w:val="22"/>
                <w:szCs w:val="22"/>
                <w:shd w:val="clear" w:color="auto" w:fill="FFFFFF"/>
              </w:rPr>
              <w:t xml:space="preserve">Šajā darba grupa tiek izstrādāts jauns noteikumu Projekts un nav </w:t>
            </w:r>
            <w:r w:rsidRPr="00AB01D0">
              <w:rPr>
                <w:color w:val="000000"/>
                <w:sz w:val="22"/>
                <w:szCs w:val="22"/>
                <w:shd w:val="clear" w:color="auto" w:fill="FFFFFF"/>
              </w:rPr>
              <w:t>izprotams tas, ka Ekonomikas ministrija, neapspriežot ieceri mainīt šajos noteikumos zināmu kārtību, ir nolēmusi virzīt Projektu, to neapspriežot ar darbu grupu, kuras sastāvā ir Asociācija.</w:t>
            </w:r>
          </w:p>
          <w:p w14:paraId="466C7E23" w14:textId="77777777" w:rsidR="00B11F97" w:rsidRPr="00AB01D0" w:rsidRDefault="00B11F97" w:rsidP="00B11F97">
            <w:pPr>
              <w:ind w:right="38" w:firstLine="720"/>
              <w:jc w:val="both"/>
              <w:rPr>
                <w:color w:val="222222"/>
                <w:sz w:val="22"/>
                <w:szCs w:val="22"/>
                <w:shd w:val="clear" w:color="auto" w:fill="FFFFFF"/>
              </w:rPr>
            </w:pPr>
            <w:r w:rsidRPr="00AB01D0">
              <w:rPr>
                <w:color w:val="000000"/>
                <w:sz w:val="22"/>
                <w:szCs w:val="22"/>
              </w:rPr>
              <w:t>Asociācija lūdz ievērot labas pārvaldības principu un, ar mērķi nodrošināt</w:t>
            </w:r>
            <w:r w:rsidRPr="00AB01D0">
              <w:rPr>
                <w:sz w:val="22"/>
                <w:szCs w:val="22"/>
              </w:rPr>
              <w:t xml:space="preserve"> sabiedrības līdzdalību un ieinteresēto personu atzinumu un iebildumu uzklausīšanu, dot Asociācijai iespēju tikt uzaicinātai un uzklausītai Projekta izstrādē un apspriešanā.</w:t>
            </w:r>
          </w:p>
          <w:p w14:paraId="4B2FDABB" w14:textId="77777777" w:rsidR="00B11F97" w:rsidRPr="00AB01D0" w:rsidRDefault="00B11F97" w:rsidP="00B11F97">
            <w:pPr>
              <w:ind w:right="38"/>
              <w:jc w:val="both"/>
              <w:rPr>
                <w:iCs/>
                <w:sz w:val="22"/>
                <w:szCs w:val="22"/>
                <w:shd w:val="clear" w:color="auto" w:fill="FFFFFF"/>
              </w:rPr>
            </w:pPr>
            <w:r w:rsidRPr="00AB01D0">
              <w:rPr>
                <w:color w:val="222222"/>
                <w:sz w:val="22"/>
                <w:szCs w:val="22"/>
                <w:shd w:val="clear" w:color="auto" w:fill="FFFFFF"/>
              </w:rPr>
              <w:tab/>
            </w:r>
            <w:r w:rsidRPr="00AB01D0">
              <w:rPr>
                <w:sz w:val="22"/>
                <w:szCs w:val="22"/>
                <w:shd w:val="clear" w:color="auto" w:fill="FFFFFF"/>
              </w:rPr>
              <w:t xml:space="preserve">Pamatojoties uz augstāk minēto, Asociācija neatbalsta </w:t>
            </w:r>
            <w:r w:rsidRPr="00AB01D0">
              <w:rPr>
                <w:iCs/>
                <w:sz w:val="22"/>
                <w:szCs w:val="22"/>
                <w:shd w:val="clear" w:color="auto" w:fill="FFFFFF"/>
              </w:rPr>
              <w:t>grozījumus Ministru kabineta 2015.gada 22.decembra  noteikumos Nr.805 “Noteikumi par ogļūdeņražu meklēšanu, izpēti un ieguvi”, VSS-933 un lūdz iekļaut Asociāciju projekta VSS-933 saskaņošanas dalībnieku skaitā.</w:t>
            </w:r>
          </w:p>
          <w:p w14:paraId="666537F0" w14:textId="77777777" w:rsidR="00B11F97" w:rsidRPr="00AB01D0" w:rsidRDefault="00B11F97" w:rsidP="00B11F97">
            <w:pPr>
              <w:pStyle w:val="naisc"/>
              <w:spacing w:before="0" w:after="0"/>
              <w:jc w:val="both"/>
              <w:rPr>
                <w:sz w:val="22"/>
                <w:szCs w:val="22"/>
              </w:rPr>
            </w:pPr>
          </w:p>
        </w:tc>
        <w:tc>
          <w:tcPr>
            <w:tcW w:w="2809" w:type="dxa"/>
            <w:tcBorders>
              <w:top w:val="single" w:sz="6" w:space="0" w:color="000000"/>
              <w:left w:val="single" w:sz="6" w:space="0" w:color="000000"/>
              <w:bottom w:val="single" w:sz="6" w:space="0" w:color="000000"/>
              <w:right w:val="single" w:sz="6" w:space="0" w:color="000000"/>
            </w:tcBorders>
            <w:shd w:val="clear" w:color="auto" w:fill="auto"/>
          </w:tcPr>
          <w:p w14:paraId="541FE799" w14:textId="05E725DB" w:rsidR="00B11F97" w:rsidRPr="00AB01D0" w:rsidRDefault="00B11F97" w:rsidP="00B11F97">
            <w:pPr>
              <w:pStyle w:val="naisc"/>
              <w:spacing w:before="0" w:after="0"/>
              <w:jc w:val="both"/>
              <w:rPr>
                <w:b/>
                <w:bCs/>
                <w:sz w:val="22"/>
                <w:szCs w:val="22"/>
              </w:rPr>
            </w:pPr>
            <w:r w:rsidRPr="00AB01D0">
              <w:rPr>
                <w:b/>
                <w:bCs/>
                <w:sz w:val="22"/>
                <w:szCs w:val="22"/>
              </w:rPr>
              <w:lastRenderedPageBreak/>
              <w:t>Nav ņemts vērā</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704CA9F" w14:textId="77777777" w:rsidR="00B11F97" w:rsidRPr="000904BE" w:rsidRDefault="00B11F97" w:rsidP="00B11F97">
            <w:pPr>
              <w:jc w:val="center"/>
            </w:pPr>
          </w:p>
        </w:tc>
        <w:tc>
          <w:tcPr>
            <w:tcW w:w="2268" w:type="dxa"/>
            <w:tcBorders>
              <w:top w:val="single" w:sz="4" w:space="0" w:color="auto"/>
              <w:left w:val="single" w:sz="4" w:space="0" w:color="auto"/>
              <w:bottom w:val="single" w:sz="4" w:space="0" w:color="auto"/>
            </w:tcBorders>
            <w:shd w:val="clear" w:color="auto" w:fill="auto"/>
          </w:tcPr>
          <w:p w14:paraId="3DDE2122" w14:textId="77777777" w:rsidR="00B11F97" w:rsidRPr="000904BE" w:rsidRDefault="00B11F97" w:rsidP="00B11F97">
            <w:pPr>
              <w:jc w:val="center"/>
            </w:pPr>
          </w:p>
        </w:tc>
      </w:tr>
      <w:tr w:rsidR="00B11F97" w:rsidRPr="000904BE" w14:paraId="6AB270D4" w14:textId="77777777" w:rsidTr="00814D11">
        <w:trPr>
          <w:trHeight w:val="353"/>
        </w:trPr>
        <w:tc>
          <w:tcPr>
            <w:tcW w:w="675" w:type="dxa"/>
            <w:tcBorders>
              <w:top w:val="single" w:sz="6" w:space="0" w:color="000000"/>
              <w:left w:val="single" w:sz="6" w:space="0" w:color="000000"/>
              <w:bottom w:val="single" w:sz="6" w:space="0" w:color="000000"/>
              <w:right w:val="single" w:sz="6" w:space="0" w:color="000000"/>
            </w:tcBorders>
            <w:shd w:val="clear" w:color="auto" w:fill="auto"/>
          </w:tcPr>
          <w:p w14:paraId="0B50911F" w14:textId="736857A5" w:rsidR="00B11F97" w:rsidRPr="000904BE" w:rsidRDefault="0050620E" w:rsidP="00B11F97">
            <w:pPr>
              <w:pStyle w:val="naisc"/>
              <w:spacing w:before="0" w:after="0"/>
            </w:pPr>
            <w:r>
              <w:lastRenderedPageBreak/>
              <w:t>3</w:t>
            </w:r>
            <w:r w:rsidR="00B11F97">
              <w:t>.</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14:paraId="5503D673" w14:textId="77777777" w:rsidR="00B11F97" w:rsidRDefault="00B11F97" w:rsidP="00B11F97">
            <w:pPr>
              <w:spacing w:before="120"/>
              <w:jc w:val="both"/>
              <w:rPr>
                <w:sz w:val="22"/>
                <w:szCs w:val="22"/>
              </w:rPr>
            </w:pPr>
            <w:r>
              <w:rPr>
                <w:sz w:val="22"/>
                <w:szCs w:val="22"/>
              </w:rPr>
              <w:t>MK noteikumu projekts</w:t>
            </w:r>
          </w:p>
          <w:p w14:paraId="2CDC09DC" w14:textId="519B7C7E" w:rsidR="00B11F97" w:rsidRPr="00AB01D0" w:rsidRDefault="00B11F97" w:rsidP="00B11F97">
            <w:pPr>
              <w:pStyle w:val="naisc"/>
              <w:spacing w:before="0" w:after="0"/>
              <w:ind w:firstLine="720"/>
              <w:jc w:val="both"/>
              <w:rPr>
                <w:sz w:val="22"/>
                <w:szCs w:val="22"/>
              </w:rPr>
            </w:pPr>
          </w:p>
        </w:tc>
        <w:tc>
          <w:tcPr>
            <w:tcW w:w="3570" w:type="dxa"/>
            <w:tcBorders>
              <w:top w:val="single" w:sz="6" w:space="0" w:color="000000"/>
              <w:left w:val="single" w:sz="6" w:space="0" w:color="000000"/>
              <w:bottom w:val="single" w:sz="6" w:space="0" w:color="000000"/>
              <w:right w:val="single" w:sz="6" w:space="0" w:color="000000"/>
            </w:tcBorders>
            <w:shd w:val="clear" w:color="auto" w:fill="auto"/>
          </w:tcPr>
          <w:p w14:paraId="676A117D" w14:textId="77777777" w:rsidR="00B11F97" w:rsidRPr="00AB01D0" w:rsidRDefault="00B11F97" w:rsidP="00B11F97">
            <w:pPr>
              <w:ind w:right="38"/>
              <w:jc w:val="both"/>
              <w:rPr>
                <w:b/>
                <w:bCs/>
                <w:sz w:val="22"/>
                <w:szCs w:val="22"/>
                <w:shd w:val="clear" w:color="auto" w:fill="FFFFFF"/>
              </w:rPr>
            </w:pPr>
            <w:r w:rsidRPr="00AB01D0">
              <w:rPr>
                <w:b/>
                <w:bCs/>
                <w:sz w:val="22"/>
                <w:szCs w:val="22"/>
                <w:shd w:val="clear" w:color="auto" w:fill="FFFFFF"/>
              </w:rPr>
              <w:t xml:space="preserve">Baltic Oil Management (04.10.2019) </w:t>
            </w:r>
          </w:p>
          <w:p w14:paraId="6B2DCBC3" w14:textId="77777777" w:rsidR="00B11F97" w:rsidRPr="006E001F" w:rsidRDefault="00B11F97" w:rsidP="00B11F97">
            <w:pPr>
              <w:autoSpaceDE w:val="0"/>
              <w:autoSpaceDN w:val="0"/>
              <w:adjustRightInd w:val="0"/>
              <w:jc w:val="both"/>
              <w:rPr>
                <w:rFonts w:eastAsiaTheme="minorHAnsi"/>
                <w:color w:val="000000"/>
                <w:sz w:val="22"/>
                <w:szCs w:val="22"/>
                <w:lang w:eastAsia="en-US"/>
              </w:rPr>
            </w:pPr>
          </w:p>
          <w:p w14:paraId="56EEF27F" w14:textId="77777777" w:rsidR="00B11F97" w:rsidRPr="006E001F" w:rsidRDefault="00B11F97" w:rsidP="00B11F97">
            <w:pPr>
              <w:autoSpaceDE w:val="0"/>
              <w:autoSpaceDN w:val="0"/>
              <w:adjustRightInd w:val="0"/>
              <w:jc w:val="both"/>
              <w:rPr>
                <w:rFonts w:eastAsiaTheme="minorHAnsi"/>
                <w:color w:val="000000"/>
                <w:sz w:val="22"/>
                <w:szCs w:val="22"/>
                <w:lang w:eastAsia="en-US"/>
              </w:rPr>
            </w:pPr>
            <w:r w:rsidRPr="006E001F">
              <w:rPr>
                <w:rFonts w:eastAsiaTheme="minorHAnsi"/>
                <w:color w:val="000000"/>
                <w:sz w:val="22"/>
                <w:szCs w:val="22"/>
                <w:lang w:eastAsia="en-US"/>
              </w:rPr>
              <w:t xml:space="preserve"> SIA „BALTIC OIL MANAGEMENT”, turpmāk – </w:t>
            </w:r>
            <w:r w:rsidRPr="006E001F">
              <w:rPr>
                <w:rFonts w:eastAsiaTheme="minorHAnsi"/>
                <w:color w:val="000000"/>
                <w:sz w:val="22"/>
                <w:szCs w:val="22"/>
                <w:lang w:eastAsia="en-US"/>
              </w:rPr>
              <w:lastRenderedPageBreak/>
              <w:t xml:space="preserve">Sabiedrība, no Baltijas ogļūdeņražu izpētes un ieguves asociācijas, turpmāk – Asociācija, kļuva zināms, ka šobrīd tiek izstrādāti grozījumi Ministru kabineta 22.12.2015. noteikumos Nr.805 “Noteikumi par ogļūdeņražu meklēšanu, izpēti un ieguvi”, VSS-933, turpmāk – Grozījumi, kas paredz aizvietot Ekonomikas ministriju ar Būvniecības valsts kontroles biroju, turpmāk – Birojs. </w:t>
            </w:r>
          </w:p>
          <w:p w14:paraId="27D9D951" w14:textId="77777777" w:rsidR="00B11F97" w:rsidRPr="006E001F" w:rsidRDefault="00B11F97" w:rsidP="00B11F97">
            <w:pPr>
              <w:autoSpaceDE w:val="0"/>
              <w:autoSpaceDN w:val="0"/>
              <w:adjustRightInd w:val="0"/>
              <w:jc w:val="both"/>
              <w:rPr>
                <w:rFonts w:eastAsiaTheme="minorHAnsi"/>
                <w:color w:val="000000"/>
                <w:sz w:val="22"/>
                <w:szCs w:val="22"/>
                <w:lang w:eastAsia="en-US"/>
              </w:rPr>
            </w:pPr>
            <w:r w:rsidRPr="006E001F">
              <w:rPr>
                <w:rFonts w:eastAsiaTheme="minorHAnsi"/>
                <w:color w:val="000000"/>
                <w:sz w:val="22"/>
                <w:szCs w:val="22"/>
                <w:lang w:eastAsia="en-US"/>
              </w:rPr>
              <w:t xml:space="preserve">Sabiedrība norāda, ka neatbalsta Grozījumus, tie nav pārdomāti un nav vērsti uz ogļūdeņražu izpētei un ieguvi sauszemē. </w:t>
            </w:r>
          </w:p>
          <w:p w14:paraId="6B72B078" w14:textId="77777777" w:rsidR="00B11F97" w:rsidRPr="006E001F" w:rsidRDefault="00B11F97" w:rsidP="00B11F97">
            <w:pPr>
              <w:autoSpaceDE w:val="0"/>
              <w:autoSpaceDN w:val="0"/>
              <w:adjustRightInd w:val="0"/>
              <w:jc w:val="both"/>
              <w:rPr>
                <w:rFonts w:eastAsiaTheme="minorHAnsi"/>
                <w:color w:val="000000"/>
                <w:sz w:val="22"/>
                <w:szCs w:val="22"/>
                <w:lang w:eastAsia="en-US"/>
              </w:rPr>
            </w:pPr>
            <w:r w:rsidRPr="006E001F">
              <w:rPr>
                <w:rFonts w:eastAsiaTheme="minorHAnsi"/>
                <w:color w:val="000000"/>
                <w:sz w:val="22"/>
                <w:szCs w:val="22"/>
                <w:lang w:eastAsia="en-US"/>
              </w:rPr>
              <w:t xml:space="preserve">Sabiedrība šobrīd ir vienīgais komersants, kas veic ogļūdeņražu ieguvi sauszemē, un ieinteresēta noteiktībā, kādā ir iespēja ogļūdeņražu ieguve Latvijā. Jebkuriem grozījumiem ir būtiska ietekme uz Sabiedrības darbību. Iepazīstoties ar Grozījumiem, Sabiedrība secina, ka Grozījumu izstrādātājs ir paredzējies būtiskas izmaiņas, kam ir negatīva ietekme uz Sabiedrības darbību, palielinot administratīvo slogu, un ir attiecinājis uz ogļūdeņražu izpētes un ieguves darbiem prasības, kas līdz šim tika attiecinātas uz ogļūdeņražu izpētei un ieguvi jūrā. </w:t>
            </w:r>
          </w:p>
          <w:p w14:paraId="29E8E6B4" w14:textId="77777777" w:rsidR="00B11F97" w:rsidRPr="006E001F" w:rsidRDefault="00B11F97" w:rsidP="00B11F97">
            <w:pPr>
              <w:autoSpaceDE w:val="0"/>
              <w:autoSpaceDN w:val="0"/>
              <w:adjustRightInd w:val="0"/>
              <w:jc w:val="both"/>
              <w:rPr>
                <w:rFonts w:eastAsiaTheme="minorHAnsi"/>
                <w:color w:val="000000"/>
                <w:sz w:val="22"/>
                <w:szCs w:val="22"/>
                <w:lang w:eastAsia="en-US"/>
              </w:rPr>
            </w:pPr>
            <w:r w:rsidRPr="006E001F">
              <w:rPr>
                <w:rFonts w:eastAsiaTheme="minorHAnsi"/>
                <w:color w:val="000000"/>
                <w:sz w:val="22"/>
                <w:szCs w:val="22"/>
                <w:lang w:eastAsia="en-US"/>
              </w:rPr>
              <w:t xml:space="preserve">Sabiedrība kā Asociācijas biedrs, pievienojas Asociācijas iebildumiem un pamatojumam, kādēļ Grozījumi nav atbalstāmi. </w:t>
            </w:r>
          </w:p>
          <w:p w14:paraId="66E74BA6" w14:textId="77777777" w:rsidR="00B11F97" w:rsidRPr="006E001F" w:rsidRDefault="00B11F97" w:rsidP="00B11F97">
            <w:pPr>
              <w:autoSpaceDE w:val="0"/>
              <w:autoSpaceDN w:val="0"/>
              <w:adjustRightInd w:val="0"/>
              <w:jc w:val="both"/>
              <w:rPr>
                <w:rFonts w:eastAsiaTheme="minorHAnsi"/>
                <w:color w:val="000000"/>
                <w:sz w:val="22"/>
                <w:szCs w:val="22"/>
                <w:lang w:eastAsia="en-US"/>
              </w:rPr>
            </w:pPr>
            <w:r w:rsidRPr="006E001F">
              <w:rPr>
                <w:rFonts w:eastAsiaTheme="minorHAnsi"/>
                <w:color w:val="000000"/>
                <w:sz w:val="22"/>
                <w:szCs w:val="22"/>
                <w:lang w:eastAsia="en-US"/>
              </w:rPr>
              <w:t xml:space="preserve">Papildus norādām, ka nav saprotama Biroja ar enerģētikas politiku. No </w:t>
            </w:r>
            <w:r w:rsidRPr="006E001F">
              <w:rPr>
                <w:rFonts w:eastAsiaTheme="minorHAnsi"/>
                <w:color w:val="000000"/>
                <w:sz w:val="22"/>
                <w:szCs w:val="22"/>
                <w:lang w:eastAsia="en-US"/>
              </w:rPr>
              <w:lastRenderedPageBreak/>
              <w:t xml:space="preserve">publiski pieejamas informācijas var izdarīt secinājumu, ka Biroja darbinieku izglītība ir saistīta ar būvniecību (protams ar specializāciju kādā jomā, piemēram, ēku energoefektivitātes mērīšanā) un arhitekti. Bet energoefektivitātes mērīšana ēkai nav tas pats, kas enerģētikas politika. Politiku īsteno ministrija nevis tai pakļauta institūcija. Attiecīgi var izdarīt secinājumu, ka turpmāk zemes dzīļu apsaimniekošanu īstenos cilvēki, kam nav izpratnes vides un zemes dzīļu apsaimniekošanas jautājumos. Šāda pieeja nav atbalstāma. </w:t>
            </w:r>
          </w:p>
          <w:p w14:paraId="10730E39" w14:textId="524E0B5A" w:rsidR="00B11F97" w:rsidRPr="00AB01D0" w:rsidRDefault="00B11F97" w:rsidP="00B11F97">
            <w:pPr>
              <w:pStyle w:val="naisc"/>
              <w:spacing w:before="0" w:after="0"/>
              <w:jc w:val="both"/>
              <w:rPr>
                <w:sz w:val="22"/>
                <w:szCs w:val="22"/>
              </w:rPr>
            </w:pPr>
            <w:r w:rsidRPr="00AB01D0">
              <w:rPr>
                <w:rFonts w:eastAsiaTheme="minorHAnsi"/>
                <w:color w:val="000000"/>
                <w:sz w:val="22"/>
                <w:szCs w:val="22"/>
                <w:lang w:eastAsia="en-US"/>
              </w:rPr>
              <w:t>Sabiedrība lūdz iekļaut Sabiedrību Grozījumu saskaņošanas dalībnieku vidu un turpmāk informēt par Grozījumu virzību.</w:t>
            </w:r>
          </w:p>
        </w:tc>
        <w:tc>
          <w:tcPr>
            <w:tcW w:w="2809" w:type="dxa"/>
            <w:tcBorders>
              <w:top w:val="single" w:sz="6" w:space="0" w:color="000000"/>
              <w:left w:val="single" w:sz="6" w:space="0" w:color="000000"/>
              <w:bottom w:val="single" w:sz="6" w:space="0" w:color="000000"/>
              <w:right w:val="single" w:sz="6" w:space="0" w:color="000000"/>
            </w:tcBorders>
            <w:shd w:val="clear" w:color="auto" w:fill="auto"/>
          </w:tcPr>
          <w:p w14:paraId="28F55742" w14:textId="674EBA28" w:rsidR="00B11F97" w:rsidRPr="00AB01D0" w:rsidRDefault="00B11F97" w:rsidP="00B11F97">
            <w:pPr>
              <w:pStyle w:val="naisc"/>
              <w:spacing w:before="0" w:after="0"/>
              <w:jc w:val="both"/>
              <w:rPr>
                <w:b/>
                <w:bCs/>
              </w:rPr>
            </w:pPr>
            <w:r w:rsidRPr="00AB01D0">
              <w:rPr>
                <w:b/>
                <w:bCs/>
              </w:rPr>
              <w:lastRenderedPageBreak/>
              <w:t>Nav ņemts vērā</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7213B71" w14:textId="77777777" w:rsidR="00B11F97" w:rsidRPr="000904BE" w:rsidRDefault="00B11F97" w:rsidP="00B11F97">
            <w:pPr>
              <w:jc w:val="center"/>
            </w:pPr>
          </w:p>
        </w:tc>
        <w:tc>
          <w:tcPr>
            <w:tcW w:w="2268" w:type="dxa"/>
            <w:tcBorders>
              <w:top w:val="single" w:sz="4" w:space="0" w:color="auto"/>
              <w:left w:val="single" w:sz="4" w:space="0" w:color="auto"/>
              <w:bottom w:val="single" w:sz="4" w:space="0" w:color="auto"/>
            </w:tcBorders>
            <w:shd w:val="clear" w:color="auto" w:fill="auto"/>
          </w:tcPr>
          <w:p w14:paraId="00F24E4C" w14:textId="77777777" w:rsidR="00B11F97" w:rsidRPr="000904BE" w:rsidRDefault="00B11F97" w:rsidP="00B11F97">
            <w:pPr>
              <w:jc w:val="center"/>
            </w:pPr>
          </w:p>
        </w:tc>
      </w:tr>
      <w:tr w:rsidR="00B11F97" w:rsidRPr="000904BE" w14:paraId="2177FADA" w14:textId="77777777" w:rsidTr="00814D11">
        <w:trPr>
          <w:trHeight w:val="353"/>
        </w:trPr>
        <w:tc>
          <w:tcPr>
            <w:tcW w:w="675" w:type="dxa"/>
            <w:tcBorders>
              <w:top w:val="single" w:sz="6" w:space="0" w:color="000000"/>
              <w:left w:val="single" w:sz="6" w:space="0" w:color="000000"/>
              <w:bottom w:val="single" w:sz="6" w:space="0" w:color="000000"/>
              <w:right w:val="single" w:sz="6" w:space="0" w:color="000000"/>
            </w:tcBorders>
            <w:shd w:val="clear" w:color="auto" w:fill="auto"/>
          </w:tcPr>
          <w:p w14:paraId="5C87D91E" w14:textId="6937660E" w:rsidR="00B11F97" w:rsidRDefault="00B11F97" w:rsidP="00B11F97">
            <w:pPr>
              <w:pStyle w:val="naisc"/>
              <w:spacing w:before="0" w:after="0"/>
            </w:pP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14:paraId="62A14377" w14:textId="46669A39" w:rsidR="00B11F97" w:rsidRDefault="00B11F97" w:rsidP="00B11F97">
            <w:pPr>
              <w:spacing w:before="120"/>
              <w:jc w:val="both"/>
              <w:rPr>
                <w:sz w:val="22"/>
                <w:szCs w:val="22"/>
              </w:rPr>
            </w:pPr>
          </w:p>
        </w:tc>
        <w:tc>
          <w:tcPr>
            <w:tcW w:w="3570" w:type="dxa"/>
            <w:tcBorders>
              <w:top w:val="single" w:sz="6" w:space="0" w:color="000000"/>
              <w:left w:val="single" w:sz="6" w:space="0" w:color="000000"/>
              <w:bottom w:val="single" w:sz="6" w:space="0" w:color="000000"/>
              <w:right w:val="single" w:sz="6" w:space="0" w:color="000000"/>
            </w:tcBorders>
            <w:shd w:val="clear" w:color="auto" w:fill="auto"/>
          </w:tcPr>
          <w:p w14:paraId="5FA617D3" w14:textId="7456E8F2" w:rsidR="00B11F97" w:rsidRPr="00BD6BFE" w:rsidRDefault="00B11F97" w:rsidP="00B11F97">
            <w:pPr>
              <w:jc w:val="both"/>
              <w:rPr>
                <w:sz w:val="22"/>
                <w:szCs w:val="22"/>
              </w:rPr>
            </w:pPr>
            <w:r w:rsidRPr="00BD6BFE">
              <w:rPr>
                <w:sz w:val="22"/>
                <w:szCs w:val="22"/>
              </w:rPr>
              <w:t xml:space="preserve"> </w:t>
            </w:r>
          </w:p>
        </w:tc>
        <w:tc>
          <w:tcPr>
            <w:tcW w:w="2809" w:type="dxa"/>
            <w:tcBorders>
              <w:top w:val="single" w:sz="6" w:space="0" w:color="000000"/>
              <w:left w:val="single" w:sz="6" w:space="0" w:color="000000"/>
              <w:bottom w:val="single" w:sz="6" w:space="0" w:color="000000"/>
              <w:right w:val="single" w:sz="6" w:space="0" w:color="000000"/>
            </w:tcBorders>
            <w:shd w:val="clear" w:color="auto" w:fill="auto"/>
          </w:tcPr>
          <w:p w14:paraId="01ECF391" w14:textId="6B642854" w:rsidR="00B11F97" w:rsidRPr="00AB01D0" w:rsidRDefault="00B11F97" w:rsidP="00B11F97">
            <w:pPr>
              <w:jc w:val="both"/>
              <w:rPr>
                <w:b/>
                <w:bCs/>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A48A317" w14:textId="77777777" w:rsidR="00B11F97" w:rsidRPr="000904BE" w:rsidRDefault="00B11F97" w:rsidP="00B11F97">
            <w:pPr>
              <w:jc w:val="center"/>
            </w:pPr>
          </w:p>
        </w:tc>
        <w:tc>
          <w:tcPr>
            <w:tcW w:w="2268" w:type="dxa"/>
            <w:tcBorders>
              <w:top w:val="single" w:sz="4" w:space="0" w:color="auto"/>
              <w:left w:val="single" w:sz="4" w:space="0" w:color="auto"/>
              <w:bottom w:val="single" w:sz="4" w:space="0" w:color="auto"/>
            </w:tcBorders>
            <w:shd w:val="clear" w:color="auto" w:fill="auto"/>
          </w:tcPr>
          <w:p w14:paraId="4FA5AA02" w14:textId="729166C7" w:rsidR="00B11F97" w:rsidRPr="000904BE" w:rsidRDefault="00B11F97" w:rsidP="00B11F97">
            <w:pPr>
              <w:jc w:val="both"/>
            </w:pPr>
          </w:p>
        </w:tc>
      </w:tr>
    </w:tbl>
    <w:p w14:paraId="5A1A6C95" w14:textId="77777777" w:rsidR="001D314A" w:rsidRPr="000904BE" w:rsidRDefault="001D314A" w:rsidP="001D314A">
      <w:pPr>
        <w:spacing w:after="200" w:line="276" w:lineRule="auto"/>
        <w:rPr>
          <w:b/>
          <w:bCs/>
        </w:rPr>
      </w:pPr>
    </w:p>
    <w:p w14:paraId="42C475C5" w14:textId="77777777" w:rsidR="001D314A" w:rsidRPr="000904BE" w:rsidRDefault="001D314A" w:rsidP="001D314A">
      <w:pPr>
        <w:spacing w:after="200" w:line="276" w:lineRule="auto"/>
        <w:rPr>
          <w:sz w:val="22"/>
          <w:szCs w:val="22"/>
        </w:rPr>
      </w:pPr>
      <w:r w:rsidRPr="000904BE">
        <w:rPr>
          <w:b/>
          <w:bCs/>
          <w:sz w:val="22"/>
          <w:szCs w:val="22"/>
        </w:rPr>
        <w:t>Informācija par starpministriju (starpinstitūciju) sanāksmi vai elektronisko saskaņošanu</w:t>
      </w:r>
    </w:p>
    <w:tbl>
      <w:tblPr>
        <w:tblW w:w="12780" w:type="dxa"/>
        <w:tblCellSpacing w:w="0" w:type="dxa"/>
        <w:tblCellMar>
          <w:left w:w="0" w:type="dxa"/>
          <w:right w:w="0" w:type="dxa"/>
        </w:tblCellMar>
        <w:tblLook w:val="04A0" w:firstRow="1" w:lastRow="0" w:firstColumn="1" w:lastColumn="0" w:noHBand="0" w:noVBand="1"/>
      </w:tblPr>
      <w:tblGrid>
        <w:gridCol w:w="2856"/>
        <w:gridCol w:w="3161"/>
        <w:gridCol w:w="2150"/>
        <w:gridCol w:w="2714"/>
        <w:gridCol w:w="1869"/>
        <w:gridCol w:w="30"/>
      </w:tblGrid>
      <w:tr w:rsidR="001D314A" w:rsidRPr="000904BE" w14:paraId="0CCB9A54" w14:textId="77777777" w:rsidTr="00572E43">
        <w:trPr>
          <w:gridAfter w:val="1"/>
          <w:wAfter w:w="30" w:type="dxa"/>
          <w:trHeight w:val="749"/>
          <w:tblCellSpacing w:w="0" w:type="dxa"/>
        </w:trPr>
        <w:tc>
          <w:tcPr>
            <w:tcW w:w="2856" w:type="dxa"/>
            <w:hideMark/>
          </w:tcPr>
          <w:p w14:paraId="05E6DC70" w14:textId="77777777" w:rsidR="001D314A" w:rsidRPr="002567E1" w:rsidRDefault="001D314A" w:rsidP="00572E43">
            <w:pPr>
              <w:spacing w:before="75" w:after="75"/>
            </w:pPr>
            <w:r w:rsidRPr="000904BE">
              <w:rPr>
                <w:b/>
                <w:bCs/>
                <w:sz w:val="22"/>
                <w:szCs w:val="22"/>
              </w:rPr>
              <w:t> </w:t>
            </w:r>
            <w:r w:rsidRPr="002567E1">
              <w:rPr>
                <w:sz w:val="22"/>
                <w:szCs w:val="22"/>
              </w:rPr>
              <w:t>Datums</w:t>
            </w:r>
          </w:p>
        </w:tc>
        <w:tc>
          <w:tcPr>
            <w:tcW w:w="9894" w:type="dxa"/>
            <w:gridSpan w:val="4"/>
            <w:tcBorders>
              <w:top w:val="nil"/>
              <w:left w:val="nil"/>
              <w:bottom w:val="single" w:sz="8" w:space="0" w:color="000000"/>
              <w:right w:val="nil"/>
            </w:tcBorders>
            <w:hideMark/>
          </w:tcPr>
          <w:p w14:paraId="04A36E50" w14:textId="77777777" w:rsidR="001D314A" w:rsidRPr="000904BE" w:rsidRDefault="001D314A" w:rsidP="00572E43">
            <w:pPr>
              <w:jc w:val="both"/>
            </w:pPr>
            <w:r>
              <w:t>19</w:t>
            </w:r>
            <w:r w:rsidRPr="00996F74">
              <w:t>.0</w:t>
            </w:r>
            <w:r>
              <w:t>9</w:t>
            </w:r>
            <w:r w:rsidRPr="00996F74">
              <w:t xml:space="preserve">. – </w:t>
            </w:r>
            <w:r>
              <w:t>04</w:t>
            </w:r>
            <w:r w:rsidRPr="00996F74">
              <w:t>.</w:t>
            </w:r>
            <w:r>
              <w:t>10</w:t>
            </w:r>
            <w:r w:rsidRPr="00996F74">
              <w:t>.2019.</w:t>
            </w:r>
          </w:p>
        </w:tc>
      </w:tr>
      <w:tr w:rsidR="001D314A" w:rsidRPr="000904BE" w14:paraId="526A3B65" w14:textId="77777777" w:rsidTr="00572E43">
        <w:trPr>
          <w:gridAfter w:val="1"/>
          <w:wAfter w:w="30" w:type="dxa"/>
          <w:trHeight w:val="220"/>
          <w:tblCellSpacing w:w="0" w:type="dxa"/>
        </w:trPr>
        <w:tc>
          <w:tcPr>
            <w:tcW w:w="2856" w:type="dxa"/>
            <w:hideMark/>
          </w:tcPr>
          <w:p w14:paraId="79EC42E2" w14:textId="77777777" w:rsidR="001D314A" w:rsidRPr="000904BE" w:rsidRDefault="001D314A" w:rsidP="00572E43">
            <w:pPr>
              <w:spacing w:before="75" w:after="75"/>
              <w:ind w:firstLine="375"/>
              <w:jc w:val="both"/>
            </w:pPr>
            <w:r w:rsidRPr="000904BE">
              <w:rPr>
                <w:sz w:val="22"/>
                <w:szCs w:val="22"/>
              </w:rPr>
              <w:t> </w:t>
            </w:r>
          </w:p>
        </w:tc>
        <w:tc>
          <w:tcPr>
            <w:tcW w:w="9894" w:type="dxa"/>
            <w:gridSpan w:val="4"/>
            <w:tcBorders>
              <w:top w:val="nil"/>
              <w:left w:val="nil"/>
              <w:bottom w:val="nil"/>
              <w:right w:val="nil"/>
            </w:tcBorders>
            <w:hideMark/>
          </w:tcPr>
          <w:p w14:paraId="77CEC50B" w14:textId="77777777" w:rsidR="001D314A" w:rsidRPr="000904BE" w:rsidRDefault="001D314A" w:rsidP="00572E43">
            <w:pPr>
              <w:spacing w:before="75" w:after="75"/>
              <w:jc w:val="both"/>
            </w:pPr>
          </w:p>
        </w:tc>
      </w:tr>
      <w:tr w:rsidR="001D314A" w:rsidRPr="000904BE" w14:paraId="77611CD7" w14:textId="77777777" w:rsidTr="00572E43">
        <w:trPr>
          <w:gridAfter w:val="1"/>
          <w:wAfter w:w="30" w:type="dxa"/>
          <w:trHeight w:val="147"/>
          <w:tblCellSpacing w:w="0" w:type="dxa"/>
        </w:trPr>
        <w:tc>
          <w:tcPr>
            <w:tcW w:w="2856" w:type="dxa"/>
            <w:vAlign w:val="center"/>
            <w:hideMark/>
          </w:tcPr>
          <w:p w14:paraId="50756A08" w14:textId="77777777" w:rsidR="001D314A" w:rsidRPr="00F0659F" w:rsidRDefault="001D314A" w:rsidP="00572E43">
            <w:r w:rsidRPr="00F0659F">
              <w:rPr>
                <w:sz w:val="22"/>
                <w:szCs w:val="22"/>
              </w:rPr>
              <w:t>Saskaņošanas dalībnieki</w:t>
            </w:r>
          </w:p>
        </w:tc>
        <w:tc>
          <w:tcPr>
            <w:tcW w:w="9894" w:type="dxa"/>
            <w:gridSpan w:val="4"/>
            <w:tcBorders>
              <w:bottom w:val="single" w:sz="6" w:space="0" w:color="000000"/>
            </w:tcBorders>
            <w:vAlign w:val="center"/>
            <w:hideMark/>
          </w:tcPr>
          <w:p w14:paraId="437194AA" w14:textId="548180A1" w:rsidR="001D314A" w:rsidRPr="00F0659F" w:rsidRDefault="001D314A" w:rsidP="00572E43">
            <w:r w:rsidRPr="00F0659F">
              <w:t>Finanšu ministrija, Tieslietu ministrija, Vides aizsardzības un reģionālās attīstības ministrija, Satiksmes ministrija</w:t>
            </w:r>
          </w:p>
        </w:tc>
      </w:tr>
      <w:tr w:rsidR="001D314A" w:rsidRPr="000904BE" w14:paraId="5FDD383B" w14:textId="77777777" w:rsidTr="00572E43">
        <w:trPr>
          <w:trHeight w:val="1341"/>
          <w:tblCellSpacing w:w="0" w:type="dxa"/>
        </w:trPr>
        <w:tc>
          <w:tcPr>
            <w:tcW w:w="6017" w:type="dxa"/>
            <w:gridSpan w:val="2"/>
            <w:hideMark/>
          </w:tcPr>
          <w:p w14:paraId="639C5133" w14:textId="77777777" w:rsidR="001D314A" w:rsidRPr="00F0659F" w:rsidRDefault="001D314A" w:rsidP="00572E43"/>
          <w:p w14:paraId="7EE3FD58" w14:textId="77777777" w:rsidR="001D314A" w:rsidRPr="00F0659F" w:rsidRDefault="001D314A" w:rsidP="00572E43">
            <w:r w:rsidRPr="00F0659F">
              <w:rPr>
                <w:sz w:val="22"/>
                <w:szCs w:val="22"/>
              </w:rPr>
              <w:t>Saskaņošanas dalībnieki izskatīja šādu ministriju (citu institūciju) iebildumus</w:t>
            </w:r>
          </w:p>
        </w:tc>
        <w:tc>
          <w:tcPr>
            <w:tcW w:w="4864" w:type="dxa"/>
            <w:gridSpan w:val="2"/>
            <w:hideMark/>
          </w:tcPr>
          <w:p w14:paraId="0B7B27C9" w14:textId="77777777" w:rsidR="001D314A" w:rsidRPr="00F0659F" w:rsidRDefault="001D314A" w:rsidP="00572E43"/>
          <w:p w14:paraId="0EB20597" w14:textId="302B39B9" w:rsidR="001D314A" w:rsidRPr="00F0659F" w:rsidRDefault="001D314A" w:rsidP="00572E43">
            <w:r w:rsidRPr="00F0659F">
              <w:t>Finanšu ministrija , Tieslietu ministrija, Vides aizsardzības un reģionālās attīstības ministrija</w:t>
            </w:r>
            <w:r w:rsidR="00F0659F" w:rsidRPr="00F0659F">
              <w:t>, Satiksmes ministrija, Ogļūdeņražu asociācija, SIA “Baltic Oil Management”</w:t>
            </w:r>
          </w:p>
          <w:p w14:paraId="5E8D34D7" w14:textId="77777777" w:rsidR="001D314A" w:rsidRPr="00F0659F" w:rsidRDefault="001D314A" w:rsidP="00572E43"/>
          <w:p w14:paraId="6A3104C7" w14:textId="77777777" w:rsidR="001D314A" w:rsidRPr="00F0659F" w:rsidRDefault="001D314A" w:rsidP="00572E43"/>
        </w:tc>
        <w:tc>
          <w:tcPr>
            <w:tcW w:w="1899" w:type="dxa"/>
            <w:gridSpan w:val="2"/>
            <w:hideMark/>
          </w:tcPr>
          <w:p w14:paraId="75913CFA" w14:textId="77777777" w:rsidR="001D314A" w:rsidRPr="000904BE" w:rsidRDefault="001D314A" w:rsidP="00572E43">
            <w:pPr>
              <w:spacing w:before="75" w:after="75"/>
            </w:pPr>
            <w:r w:rsidRPr="000904BE">
              <w:rPr>
                <w:sz w:val="22"/>
                <w:szCs w:val="22"/>
              </w:rPr>
              <w:lastRenderedPageBreak/>
              <w:t> </w:t>
            </w:r>
          </w:p>
        </w:tc>
      </w:tr>
      <w:tr w:rsidR="001D314A" w:rsidRPr="000904BE" w14:paraId="2B278769" w14:textId="77777777" w:rsidTr="00572E43">
        <w:trPr>
          <w:trHeight w:val="277"/>
          <w:tblCellSpacing w:w="0" w:type="dxa"/>
        </w:trPr>
        <w:tc>
          <w:tcPr>
            <w:tcW w:w="8167" w:type="dxa"/>
            <w:gridSpan w:val="3"/>
            <w:vAlign w:val="center"/>
            <w:hideMark/>
          </w:tcPr>
          <w:p w14:paraId="44C3218D" w14:textId="77777777" w:rsidR="001D314A" w:rsidRPr="000904BE" w:rsidRDefault="001D314A" w:rsidP="00572E43">
            <w:r w:rsidRPr="000904BE">
              <w:rPr>
                <w:sz w:val="22"/>
                <w:szCs w:val="22"/>
              </w:rPr>
              <w:t>Ministrijas (citas institūcijas), kuras nav ieradušās uz sanāksmi vai kuras nav atbildējušas uz uzaicinājumu piedalīties elektroniskajā saskaņošanā</w:t>
            </w:r>
          </w:p>
        </w:tc>
        <w:tc>
          <w:tcPr>
            <w:tcW w:w="4613" w:type="dxa"/>
            <w:gridSpan w:val="3"/>
            <w:vAlign w:val="center"/>
            <w:hideMark/>
          </w:tcPr>
          <w:p w14:paraId="0CEAEA34" w14:textId="77777777" w:rsidR="001D314A" w:rsidRPr="000904BE" w:rsidRDefault="001D314A" w:rsidP="00572E43">
            <w:pPr>
              <w:spacing w:before="75" w:after="75"/>
            </w:pPr>
          </w:p>
        </w:tc>
      </w:tr>
    </w:tbl>
    <w:p w14:paraId="26829BAA" w14:textId="77777777" w:rsidR="001D314A" w:rsidRPr="000904BE" w:rsidRDefault="001D314A" w:rsidP="001D314A">
      <w:pPr>
        <w:ind w:left="1440" w:firstLine="720"/>
        <w:jc w:val="center"/>
        <w:rPr>
          <w:b/>
          <w:bCs/>
        </w:rPr>
      </w:pPr>
    </w:p>
    <w:p w14:paraId="7B9A9E66" w14:textId="77777777" w:rsidR="001D314A" w:rsidRPr="000904BE" w:rsidRDefault="001D314A" w:rsidP="001D314A">
      <w:pPr>
        <w:ind w:left="1440" w:firstLine="720"/>
        <w:jc w:val="center"/>
        <w:rPr>
          <w:b/>
          <w:bCs/>
        </w:rPr>
      </w:pPr>
    </w:p>
    <w:p w14:paraId="75BBA07E" w14:textId="77777777" w:rsidR="001D314A" w:rsidRPr="000904BE" w:rsidRDefault="001D314A" w:rsidP="001D314A">
      <w:pPr>
        <w:ind w:left="1440" w:firstLine="720"/>
        <w:jc w:val="center"/>
        <w:rPr>
          <w:b/>
          <w:bCs/>
        </w:rPr>
      </w:pPr>
    </w:p>
    <w:p w14:paraId="3A090247" w14:textId="77777777" w:rsidR="001D314A" w:rsidRPr="000904BE" w:rsidRDefault="001D314A" w:rsidP="001D314A">
      <w:pPr>
        <w:ind w:left="851"/>
        <w:jc w:val="center"/>
        <w:rPr>
          <w:b/>
          <w:bCs/>
          <w:sz w:val="22"/>
          <w:szCs w:val="22"/>
        </w:rPr>
      </w:pPr>
      <w:r w:rsidRPr="000904BE">
        <w:rPr>
          <w:b/>
          <w:bCs/>
          <w:sz w:val="22"/>
          <w:szCs w:val="22"/>
        </w:rPr>
        <w:t>II. Jautājumi, par kuriem saskaņošanā vienošanās ir panākta</w:t>
      </w:r>
    </w:p>
    <w:p w14:paraId="06A9250E" w14:textId="77777777" w:rsidR="001D314A" w:rsidRPr="000904BE" w:rsidRDefault="001D314A" w:rsidP="001D314A">
      <w:pPr>
        <w:ind w:left="1440" w:firstLine="720"/>
        <w:jc w:val="center"/>
        <w:rPr>
          <w:b/>
          <w:bCs/>
          <w:sz w:val="22"/>
          <w:szCs w:val="22"/>
        </w:rPr>
      </w:pPr>
    </w:p>
    <w:tbl>
      <w:tblPr>
        <w:tblW w:w="16548" w:type="dxa"/>
        <w:tblCellSpacing w:w="0" w:type="dxa"/>
        <w:tblCellMar>
          <w:left w:w="0" w:type="dxa"/>
          <w:right w:w="0" w:type="dxa"/>
        </w:tblCellMar>
        <w:tblLook w:val="04A0" w:firstRow="1" w:lastRow="0" w:firstColumn="1" w:lastColumn="0" w:noHBand="0" w:noVBand="1"/>
      </w:tblPr>
      <w:tblGrid>
        <w:gridCol w:w="606"/>
        <w:gridCol w:w="2221"/>
        <w:gridCol w:w="1433"/>
        <w:gridCol w:w="3387"/>
        <w:gridCol w:w="3260"/>
        <w:gridCol w:w="3428"/>
        <w:gridCol w:w="679"/>
        <w:gridCol w:w="1534"/>
      </w:tblGrid>
      <w:tr w:rsidR="001D314A" w:rsidRPr="000904BE" w14:paraId="129FD0A2" w14:textId="77777777" w:rsidTr="00572E43">
        <w:trPr>
          <w:gridAfter w:val="1"/>
          <w:wAfter w:w="1534" w:type="dxa"/>
          <w:trHeight w:val="1520"/>
          <w:tblCellSpacing w:w="0" w:type="dxa"/>
        </w:trPr>
        <w:tc>
          <w:tcPr>
            <w:tcW w:w="606" w:type="dxa"/>
            <w:tcBorders>
              <w:top w:val="single" w:sz="6" w:space="0" w:color="808080"/>
              <w:left w:val="single" w:sz="6" w:space="0" w:color="808080"/>
              <w:bottom w:val="single" w:sz="6" w:space="0" w:color="808080"/>
              <w:right w:val="single" w:sz="6" w:space="0" w:color="808080"/>
            </w:tcBorders>
            <w:shd w:val="clear" w:color="auto" w:fill="D9D9D9"/>
            <w:vAlign w:val="center"/>
            <w:hideMark/>
          </w:tcPr>
          <w:p w14:paraId="21FF3399" w14:textId="77777777" w:rsidR="001D314A" w:rsidRPr="000904BE" w:rsidRDefault="001D314A" w:rsidP="00572E43">
            <w:pPr>
              <w:spacing w:before="75" w:after="75"/>
              <w:jc w:val="center"/>
              <w:rPr>
                <w:sz w:val="22"/>
                <w:szCs w:val="22"/>
              </w:rPr>
            </w:pPr>
            <w:r w:rsidRPr="000904BE">
              <w:rPr>
                <w:sz w:val="22"/>
                <w:szCs w:val="22"/>
              </w:rPr>
              <w:t>Nr. p.k.</w:t>
            </w:r>
          </w:p>
        </w:tc>
        <w:tc>
          <w:tcPr>
            <w:tcW w:w="2221" w:type="dxa"/>
            <w:tcBorders>
              <w:top w:val="single" w:sz="6" w:space="0" w:color="808080"/>
              <w:left w:val="single" w:sz="6" w:space="0" w:color="808080"/>
              <w:bottom w:val="single" w:sz="6" w:space="0" w:color="808080"/>
              <w:right w:val="single" w:sz="6" w:space="0" w:color="808080"/>
            </w:tcBorders>
            <w:shd w:val="clear" w:color="auto" w:fill="D9D9D9"/>
            <w:vAlign w:val="center"/>
            <w:hideMark/>
          </w:tcPr>
          <w:p w14:paraId="566B402F" w14:textId="77777777" w:rsidR="001D314A" w:rsidRPr="000904BE" w:rsidRDefault="001D314A" w:rsidP="00572E43">
            <w:pPr>
              <w:spacing w:before="75" w:after="75"/>
              <w:ind w:right="127"/>
              <w:jc w:val="center"/>
              <w:rPr>
                <w:sz w:val="22"/>
                <w:szCs w:val="22"/>
              </w:rPr>
            </w:pPr>
            <w:r w:rsidRPr="000904BE">
              <w:rPr>
                <w:sz w:val="22"/>
                <w:szCs w:val="22"/>
              </w:rPr>
              <w:t>Saskaņošanai nosūtītā projekta redakcija (konkrēta punkta (panta) redakcija)</w:t>
            </w:r>
          </w:p>
        </w:tc>
        <w:tc>
          <w:tcPr>
            <w:tcW w:w="4820" w:type="dxa"/>
            <w:gridSpan w:val="2"/>
            <w:tcBorders>
              <w:top w:val="single" w:sz="6" w:space="0" w:color="808080"/>
              <w:left w:val="single" w:sz="6" w:space="0" w:color="808080"/>
              <w:bottom w:val="single" w:sz="6" w:space="0" w:color="808080"/>
              <w:right w:val="single" w:sz="6" w:space="0" w:color="808080"/>
            </w:tcBorders>
            <w:shd w:val="clear" w:color="auto" w:fill="D9D9D9"/>
            <w:vAlign w:val="center"/>
            <w:hideMark/>
          </w:tcPr>
          <w:p w14:paraId="6B8A2F7A" w14:textId="77777777" w:rsidR="001D314A" w:rsidRPr="00C14E10" w:rsidRDefault="001D314A" w:rsidP="00572E43">
            <w:pPr>
              <w:spacing w:before="75" w:after="75"/>
              <w:ind w:left="127" w:right="127"/>
              <w:jc w:val="both"/>
              <w:rPr>
                <w:sz w:val="22"/>
                <w:szCs w:val="22"/>
              </w:rPr>
            </w:pPr>
            <w:r w:rsidRPr="00C14E10">
              <w:rPr>
                <w:sz w:val="22"/>
                <w:szCs w:val="22"/>
              </w:rPr>
              <w:t>Atzinumā norādītais ministrijas (citas institūcijas) iebildums, kā arī saskaņošanā papildus izteiktais iebildums par projekta konkrēto punktu (pantu)</w:t>
            </w:r>
          </w:p>
        </w:tc>
        <w:tc>
          <w:tcPr>
            <w:tcW w:w="3260" w:type="dxa"/>
            <w:tcBorders>
              <w:top w:val="single" w:sz="6" w:space="0" w:color="808080"/>
              <w:left w:val="single" w:sz="6" w:space="0" w:color="808080"/>
              <w:bottom w:val="single" w:sz="6" w:space="0" w:color="808080"/>
              <w:right w:val="single" w:sz="6" w:space="0" w:color="808080"/>
            </w:tcBorders>
            <w:shd w:val="clear" w:color="auto" w:fill="D9D9D9"/>
            <w:vAlign w:val="center"/>
            <w:hideMark/>
          </w:tcPr>
          <w:p w14:paraId="2F4C4472" w14:textId="77777777" w:rsidR="001D314A" w:rsidRPr="000904BE" w:rsidRDefault="001D314A" w:rsidP="00572E43">
            <w:pPr>
              <w:spacing w:before="75" w:after="75"/>
              <w:ind w:left="140" w:right="127"/>
              <w:jc w:val="center"/>
              <w:rPr>
                <w:sz w:val="22"/>
                <w:szCs w:val="22"/>
              </w:rPr>
            </w:pPr>
            <w:r w:rsidRPr="000904BE">
              <w:rPr>
                <w:sz w:val="22"/>
                <w:szCs w:val="22"/>
              </w:rPr>
              <w:t>Atbildīgās ministrijas norāde par to, ka iebildums ir ņemts vērā, vai informācija par saskaņošanā panākto alternatīvo risinājumu</w:t>
            </w:r>
          </w:p>
        </w:tc>
        <w:tc>
          <w:tcPr>
            <w:tcW w:w="4107" w:type="dxa"/>
            <w:gridSpan w:val="2"/>
            <w:tcBorders>
              <w:top w:val="single" w:sz="6" w:space="0" w:color="808080"/>
              <w:left w:val="single" w:sz="6" w:space="0" w:color="808080"/>
              <w:bottom w:val="single" w:sz="6" w:space="0" w:color="808080"/>
              <w:right w:val="single" w:sz="6" w:space="0" w:color="808080"/>
            </w:tcBorders>
            <w:shd w:val="clear" w:color="auto" w:fill="D9D9D9"/>
            <w:vAlign w:val="center"/>
            <w:hideMark/>
          </w:tcPr>
          <w:p w14:paraId="1BEA9D43" w14:textId="77777777" w:rsidR="001D314A" w:rsidRPr="000904BE" w:rsidRDefault="001D314A" w:rsidP="00572E43">
            <w:pPr>
              <w:spacing w:before="75" w:after="75"/>
              <w:ind w:right="127"/>
              <w:jc w:val="center"/>
              <w:rPr>
                <w:sz w:val="22"/>
                <w:szCs w:val="22"/>
              </w:rPr>
            </w:pPr>
            <w:r w:rsidRPr="000904BE">
              <w:rPr>
                <w:sz w:val="22"/>
                <w:szCs w:val="22"/>
              </w:rPr>
              <w:t>Projekta attiecīgā punkta (panta) galīgā redakcija</w:t>
            </w:r>
          </w:p>
        </w:tc>
      </w:tr>
      <w:tr w:rsidR="001D314A" w:rsidRPr="000904BE" w14:paraId="212A96E4" w14:textId="77777777" w:rsidTr="00572E43">
        <w:trPr>
          <w:gridAfter w:val="1"/>
          <w:wAfter w:w="1534" w:type="dxa"/>
          <w:trHeight w:val="251"/>
          <w:tblCellSpacing w:w="0" w:type="dxa"/>
        </w:trPr>
        <w:tc>
          <w:tcPr>
            <w:tcW w:w="606" w:type="dxa"/>
            <w:tcBorders>
              <w:top w:val="single" w:sz="6" w:space="0" w:color="808080"/>
              <w:left w:val="single" w:sz="6" w:space="0" w:color="808080"/>
              <w:bottom w:val="single" w:sz="6" w:space="0" w:color="808080"/>
              <w:right w:val="single" w:sz="6" w:space="0" w:color="808080"/>
            </w:tcBorders>
            <w:shd w:val="clear" w:color="auto" w:fill="D9D9D9"/>
            <w:hideMark/>
          </w:tcPr>
          <w:p w14:paraId="1813A0A9" w14:textId="77777777" w:rsidR="001D314A" w:rsidRPr="000904BE" w:rsidRDefault="001D314A" w:rsidP="00572E43">
            <w:pPr>
              <w:jc w:val="center"/>
              <w:rPr>
                <w:sz w:val="22"/>
                <w:szCs w:val="22"/>
              </w:rPr>
            </w:pPr>
            <w:r w:rsidRPr="000904BE">
              <w:rPr>
                <w:sz w:val="22"/>
                <w:szCs w:val="22"/>
              </w:rPr>
              <w:t>1</w:t>
            </w:r>
          </w:p>
        </w:tc>
        <w:tc>
          <w:tcPr>
            <w:tcW w:w="2221" w:type="dxa"/>
            <w:tcBorders>
              <w:top w:val="single" w:sz="6" w:space="0" w:color="808080"/>
              <w:left w:val="single" w:sz="6" w:space="0" w:color="808080"/>
              <w:bottom w:val="single" w:sz="6" w:space="0" w:color="808080"/>
              <w:right w:val="single" w:sz="6" w:space="0" w:color="808080"/>
            </w:tcBorders>
            <w:shd w:val="clear" w:color="auto" w:fill="D9D9D9"/>
            <w:hideMark/>
          </w:tcPr>
          <w:p w14:paraId="440723A6" w14:textId="77777777" w:rsidR="001D314A" w:rsidRPr="000904BE" w:rsidRDefault="001D314A" w:rsidP="00572E43">
            <w:pPr>
              <w:jc w:val="center"/>
              <w:rPr>
                <w:sz w:val="22"/>
                <w:szCs w:val="22"/>
              </w:rPr>
            </w:pPr>
            <w:r w:rsidRPr="000904BE">
              <w:rPr>
                <w:sz w:val="22"/>
                <w:szCs w:val="22"/>
              </w:rPr>
              <w:t>2</w:t>
            </w:r>
          </w:p>
        </w:tc>
        <w:tc>
          <w:tcPr>
            <w:tcW w:w="4820" w:type="dxa"/>
            <w:gridSpan w:val="2"/>
            <w:tcBorders>
              <w:top w:val="single" w:sz="6" w:space="0" w:color="808080"/>
              <w:left w:val="single" w:sz="6" w:space="0" w:color="808080"/>
              <w:bottom w:val="single" w:sz="6" w:space="0" w:color="808080"/>
              <w:right w:val="single" w:sz="6" w:space="0" w:color="808080"/>
            </w:tcBorders>
            <w:shd w:val="clear" w:color="auto" w:fill="D9D9D9"/>
            <w:hideMark/>
          </w:tcPr>
          <w:p w14:paraId="60EF703E" w14:textId="77777777" w:rsidR="001D314A" w:rsidRPr="00C14E10" w:rsidRDefault="001D314A" w:rsidP="00572E43">
            <w:pPr>
              <w:jc w:val="center"/>
              <w:rPr>
                <w:sz w:val="22"/>
                <w:szCs w:val="22"/>
              </w:rPr>
            </w:pPr>
            <w:r w:rsidRPr="00C14E10">
              <w:rPr>
                <w:sz w:val="22"/>
                <w:szCs w:val="22"/>
              </w:rPr>
              <w:t>3</w:t>
            </w:r>
          </w:p>
        </w:tc>
        <w:tc>
          <w:tcPr>
            <w:tcW w:w="3260" w:type="dxa"/>
            <w:tcBorders>
              <w:top w:val="single" w:sz="6" w:space="0" w:color="808080"/>
              <w:left w:val="single" w:sz="6" w:space="0" w:color="808080"/>
              <w:bottom w:val="single" w:sz="6" w:space="0" w:color="808080"/>
              <w:right w:val="single" w:sz="6" w:space="0" w:color="808080"/>
            </w:tcBorders>
            <w:shd w:val="clear" w:color="auto" w:fill="D9D9D9"/>
            <w:hideMark/>
          </w:tcPr>
          <w:p w14:paraId="5CB1EBAA" w14:textId="77777777" w:rsidR="001D314A" w:rsidRPr="000904BE" w:rsidRDefault="001D314A" w:rsidP="00572E43">
            <w:pPr>
              <w:jc w:val="center"/>
              <w:rPr>
                <w:sz w:val="22"/>
                <w:szCs w:val="22"/>
              </w:rPr>
            </w:pPr>
            <w:r w:rsidRPr="000904BE">
              <w:rPr>
                <w:sz w:val="22"/>
                <w:szCs w:val="22"/>
              </w:rPr>
              <w:t>4</w:t>
            </w:r>
          </w:p>
        </w:tc>
        <w:tc>
          <w:tcPr>
            <w:tcW w:w="4107" w:type="dxa"/>
            <w:gridSpan w:val="2"/>
            <w:tcBorders>
              <w:top w:val="single" w:sz="6" w:space="0" w:color="808080"/>
              <w:left w:val="single" w:sz="6" w:space="0" w:color="808080"/>
              <w:bottom w:val="single" w:sz="6" w:space="0" w:color="808080"/>
              <w:right w:val="single" w:sz="6" w:space="0" w:color="808080"/>
            </w:tcBorders>
            <w:shd w:val="clear" w:color="auto" w:fill="D9D9D9"/>
            <w:hideMark/>
          </w:tcPr>
          <w:p w14:paraId="30AABD3D" w14:textId="77777777" w:rsidR="001D314A" w:rsidRPr="000904BE" w:rsidRDefault="001D314A" w:rsidP="00572E43">
            <w:pPr>
              <w:jc w:val="center"/>
              <w:rPr>
                <w:sz w:val="22"/>
                <w:szCs w:val="22"/>
              </w:rPr>
            </w:pPr>
            <w:r w:rsidRPr="000904BE">
              <w:rPr>
                <w:sz w:val="22"/>
                <w:szCs w:val="22"/>
              </w:rPr>
              <w:t>5</w:t>
            </w:r>
          </w:p>
        </w:tc>
      </w:tr>
      <w:tr w:rsidR="001D314A" w:rsidRPr="00051CA8" w14:paraId="1E82F857" w14:textId="77777777" w:rsidTr="00C76CE9">
        <w:trPr>
          <w:trHeight w:val="2148"/>
          <w:tblCellSpacing w:w="0" w:type="dxa"/>
        </w:trPr>
        <w:tc>
          <w:tcPr>
            <w:tcW w:w="606" w:type="dxa"/>
            <w:tcBorders>
              <w:top w:val="single" w:sz="6" w:space="0" w:color="808080"/>
              <w:left w:val="single" w:sz="6" w:space="0" w:color="808080"/>
              <w:bottom w:val="single" w:sz="6" w:space="0" w:color="808080"/>
              <w:right w:val="single" w:sz="6" w:space="0" w:color="808080"/>
            </w:tcBorders>
            <w:shd w:val="clear" w:color="auto" w:fill="FFFFFF" w:themeFill="background1"/>
            <w:hideMark/>
          </w:tcPr>
          <w:p w14:paraId="79EB7879" w14:textId="77777777" w:rsidR="001D314A" w:rsidRPr="00051CA8" w:rsidRDefault="001D314A" w:rsidP="00572E43">
            <w:pPr>
              <w:pStyle w:val="naisc"/>
              <w:spacing w:before="0" w:after="0"/>
              <w:rPr>
                <w:sz w:val="22"/>
                <w:szCs w:val="22"/>
              </w:rPr>
            </w:pPr>
            <w:r w:rsidRPr="00051CA8">
              <w:rPr>
                <w:sz w:val="22"/>
                <w:szCs w:val="22"/>
              </w:rPr>
              <w:t>1.</w:t>
            </w:r>
          </w:p>
        </w:tc>
        <w:tc>
          <w:tcPr>
            <w:tcW w:w="2221" w:type="dxa"/>
            <w:tcBorders>
              <w:top w:val="single" w:sz="6" w:space="0" w:color="808080"/>
              <w:left w:val="single" w:sz="6" w:space="0" w:color="808080"/>
              <w:bottom w:val="single" w:sz="6" w:space="0" w:color="808080"/>
              <w:right w:val="single" w:sz="6" w:space="0" w:color="808080"/>
            </w:tcBorders>
            <w:shd w:val="clear" w:color="auto" w:fill="FFFFFF" w:themeFill="background1"/>
          </w:tcPr>
          <w:p w14:paraId="5979BD61" w14:textId="77777777" w:rsidR="001D314A" w:rsidRDefault="001D314A" w:rsidP="00572E43">
            <w:pPr>
              <w:spacing w:before="120"/>
              <w:jc w:val="both"/>
              <w:rPr>
                <w:sz w:val="22"/>
                <w:szCs w:val="22"/>
              </w:rPr>
            </w:pPr>
            <w:r>
              <w:rPr>
                <w:sz w:val="22"/>
                <w:szCs w:val="22"/>
              </w:rPr>
              <w:t>MK noteikumu projekts</w:t>
            </w:r>
          </w:p>
          <w:p w14:paraId="2E632328" w14:textId="77777777" w:rsidR="001D314A" w:rsidRPr="00DD1A41" w:rsidRDefault="001D314A" w:rsidP="00572E43">
            <w:pPr>
              <w:rPr>
                <w:sz w:val="22"/>
                <w:szCs w:val="22"/>
              </w:rPr>
            </w:pPr>
          </w:p>
          <w:p w14:paraId="2C48851B" w14:textId="77777777" w:rsidR="001D314A" w:rsidRPr="00DD1A41" w:rsidRDefault="001D314A" w:rsidP="00572E43">
            <w:pPr>
              <w:rPr>
                <w:sz w:val="22"/>
                <w:szCs w:val="22"/>
              </w:rPr>
            </w:pPr>
          </w:p>
          <w:p w14:paraId="752732E6" w14:textId="77777777" w:rsidR="001D314A" w:rsidRPr="00DD1A41" w:rsidRDefault="001D314A" w:rsidP="00572E43">
            <w:pPr>
              <w:rPr>
                <w:sz w:val="22"/>
                <w:szCs w:val="22"/>
              </w:rPr>
            </w:pPr>
          </w:p>
          <w:p w14:paraId="7BD89671" w14:textId="77777777" w:rsidR="001D314A" w:rsidRPr="00DD1A41" w:rsidRDefault="001D314A" w:rsidP="00572E43">
            <w:pPr>
              <w:rPr>
                <w:sz w:val="22"/>
                <w:szCs w:val="22"/>
              </w:rPr>
            </w:pPr>
          </w:p>
          <w:p w14:paraId="3F1054AD" w14:textId="77777777" w:rsidR="001D314A" w:rsidRPr="00DD1A41" w:rsidRDefault="001D314A" w:rsidP="00572E43">
            <w:pPr>
              <w:rPr>
                <w:sz w:val="22"/>
                <w:szCs w:val="22"/>
              </w:rPr>
            </w:pPr>
          </w:p>
          <w:p w14:paraId="708D52C7" w14:textId="77777777" w:rsidR="001D314A" w:rsidRPr="00DD1A41" w:rsidRDefault="001D314A" w:rsidP="00572E43">
            <w:pPr>
              <w:rPr>
                <w:sz w:val="22"/>
                <w:szCs w:val="22"/>
              </w:rPr>
            </w:pPr>
          </w:p>
          <w:p w14:paraId="78AD85A4" w14:textId="77777777" w:rsidR="001D314A" w:rsidRPr="00DD1A41" w:rsidRDefault="001D314A" w:rsidP="00572E43">
            <w:pPr>
              <w:rPr>
                <w:sz w:val="22"/>
                <w:szCs w:val="22"/>
              </w:rPr>
            </w:pPr>
          </w:p>
          <w:p w14:paraId="33ECCD67" w14:textId="77777777" w:rsidR="001D314A" w:rsidRPr="00DD1A41" w:rsidRDefault="001D314A" w:rsidP="00572E43">
            <w:pPr>
              <w:rPr>
                <w:sz w:val="22"/>
                <w:szCs w:val="22"/>
              </w:rPr>
            </w:pPr>
          </w:p>
          <w:p w14:paraId="1E90C6C1" w14:textId="77777777" w:rsidR="001D314A" w:rsidRPr="00DD1A41" w:rsidRDefault="001D314A" w:rsidP="00572E43">
            <w:pPr>
              <w:rPr>
                <w:sz w:val="22"/>
                <w:szCs w:val="22"/>
              </w:rPr>
            </w:pPr>
          </w:p>
        </w:tc>
        <w:tc>
          <w:tcPr>
            <w:tcW w:w="4820" w:type="dxa"/>
            <w:gridSpan w:val="2"/>
            <w:tcBorders>
              <w:top w:val="single" w:sz="6" w:space="0" w:color="808080"/>
              <w:left w:val="single" w:sz="6" w:space="0" w:color="808080"/>
              <w:bottom w:val="single" w:sz="6" w:space="0" w:color="808080"/>
              <w:right w:val="single" w:sz="6" w:space="0" w:color="808080"/>
            </w:tcBorders>
            <w:shd w:val="clear" w:color="auto" w:fill="FFFFFF" w:themeFill="background1"/>
          </w:tcPr>
          <w:p w14:paraId="3325A7E4" w14:textId="77777777" w:rsidR="001D314A" w:rsidRPr="00C14E10" w:rsidRDefault="001D314A" w:rsidP="00572E43">
            <w:pPr>
              <w:tabs>
                <w:tab w:val="left" w:pos="993"/>
              </w:tabs>
              <w:jc w:val="both"/>
              <w:rPr>
                <w:b/>
                <w:sz w:val="22"/>
                <w:szCs w:val="22"/>
              </w:rPr>
            </w:pPr>
            <w:r w:rsidRPr="00C14E10">
              <w:rPr>
                <w:b/>
                <w:sz w:val="22"/>
                <w:szCs w:val="22"/>
              </w:rPr>
              <w:t>Tieslietu ministrijas atzinums (03.</w:t>
            </w:r>
            <w:r>
              <w:rPr>
                <w:b/>
                <w:sz w:val="22"/>
                <w:szCs w:val="22"/>
              </w:rPr>
              <w:t>10</w:t>
            </w:r>
            <w:r w:rsidRPr="00C14E10">
              <w:rPr>
                <w:b/>
                <w:sz w:val="22"/>
                <w:szCs w:val="22"/>
              </w:rPr>
              <w:t>.2019.)</w:t>
            </w:r>
          </w:p>
          <w:p w14:paraId="46A69E22" w14:textId="77777777" w:rsidR="001D314A" w:rsidRPr="00C14E10" w:rsidRDefault="001D314A" w:rsidP="00572E43">
            <w:pPr>
              <w:jc w:val="both"/>
              <w:rPr>
                <w:sz w:val="22"/>
                <w:szCs w:val="22"/>
              </w:rPr>
            </w:pPr>
            <w:r w:rsidRPr="00755222">
              <w:rPr>
                <w:sz w:val="22"/>
                <w:szCs w:val="22"/>
              </w:rPr>
              <w:t xml:space="preserve">Saskaņā ar Valsts iestāžu juridisko dienestu 2010. gada 12. marta sanāksmes protokollēmuma "Par grozījumiem Ministru kabineta 2009. gada 7. aprīļa noteikumos Nr. 300 "Ministru kabineta kārtības rullis" (Ministru kabineta 2010. gada 23. februāra noteikumi Nr. 170)" (prot. Nr. 2 1. §) 8. punktā noteikto ir atbalstāma Ministru kabineta noteikumu projektu izsludināšana Valsts sekretāru sanāksmē, kad likumprojekts Saeimā izskatīts otrajā lasījumā, kā arī šādi Ministru kabineta noteikumu projekti var tikt izskatīti Ministru kabinetā, kad likumprojekts pieņemts Saeimā. Vēršam uzmanību uz to, ka projektā </w:t>
            </w:r>
            <w:r w:rsidRPr="00E91D34">
              <w:rPr>
                <w:sz w:val="22"/>
                <w:szCs w:val="22"/>
              </w:rPr>
              <w:t xml:space="preserve">paredzētie grozījumi ir saistīti ar likumprojektā “Grozījumi likumā “Par zemes dzīlēm”” paredzētajiem grozījumiem. Šobrīd norit likumprojekta “Grozījumi likumā “Par zemes dzīlēm”” saskaņošanas process, un tas vēl nav atbalstīts Ministru kabinetā. Ņemot vērā </w:t>
            </w:r>
            <w:r w:rsidRPr="00E91D34">
              <w:rPr>
                <w:sz w:val="22"/>
                <w:szCs w:val="22"/>
              </w:rPr>
              <w:lastRenderedPageBreak/>
              <w:t>minēto, norādām uz to, ka projekts var tikt virzīts izskatīšanai Ministru kabinetā tikai pēc tam, kad likumprojekts “Grozījumi likumā “Par zemes dzīlēm”” tiks pieņemts Saeimā otrajā lasījumā, ņemot vērā to, ka likumprojekts “Grozījumi likumā “Par zemes dzīlēm”” tiks virzīts valsts budžeta likumprojektu paketē Saeimā</w:t>
            </w:r>
            <w:r w:rsidRPr="00755222">
              <w:rPr>
                <w:sz w:val="22"/>
                <w:szCs w:val="22"/>
              </w:rPr>
              <w:t xml:space="preserve"> divos lasījumos.</w:t>
            </w:r>
          </w:p>
        </w:tc>
        <w:tc>
          <w:tcPr>
            <w:tcW w:w="3260" w:type="dxa"/>
            <w:tcBorders>
              <w:top w:val="single" w:sz="6" w:space="0" w:color="808080"/>
              <w:left w:val="single" w:sz="6" w:space="0" w:color="808080"/>
              <w:bottom w:val="single" w:sz="6" w:space="0" w:color="808080"/>
              <w:right w:val="single" w:sz="6" w:space="0" w:color="808080"/>
            </w:tcBorders>
            <w:shd w:val="clear" w:color="auto" w:fill="FFFFFF" w:themeFill="background1"/>
          </w:tcPr>
          <w:p w14:paraId="010D630F" w14:textId="77777777" w:rsidR="001D314A" w:rsidRPr="00051CA8" w:rsidRDefault="001D314A" w:rsidP="00572E43">
            <w:pPr>
              <w:pStyle w:val="naisc"/>
              <w:spacing w:before="0" w:after="0"/>
              <w:rPr>
                <w:b/>
                <w:sz w:val="22"/>
                <w:szCs w:val="22"/>
              </w:rPr>
            </w:pPr>
            <w:r w:rsidRPr="00051CA8">
              <w:rPr>
                <w:b/>
                <w:sz w:val="22"/>
                <w:szCs w:val="22"/>
              </w:rPr>
              <w:lastRenderedPageBreak/>
              <w:t>Ņemts vērā.</w:t>
            </w:r>
          </w:p>
          <w:p w14:paraId="799DEEB8" w14:textId="77777777" w:rsidR="001D314A" w:rsidRDefault="001D314A" w:rsidP="00572E43">
            <w:pPr>
              <w:spacing w:before="120"/>
              <w:jc w:val="both"/>
              <w:rPr>
                <w:sz w:val="22"/>
                <w:szCs w:val="22"/>
              </w:rPr>
            </w:pPr>
            <w:r>
              <w:rPr>
                <w:sz w:val="22"/>
                <w:szCs w:val="22"/>
              </w:rPr>
              <w:t>Ministru kabineta noteikumu projekts tiek virzīts izskatīšanai Ministru kabinetā pēc tam, kad saistītais likumprojekts ir izskatīts Ministru kabinetā un pieņemts Saeimā otrajā lasījumā.</w:t>
            </w:r>
          </w:p>
          <w:p w14:paraId="3ADBF27F" w14:textId="77777777" w:rsidR="001D314A" w:rsidRPr="00051CA8" w:rsidRDefault="001D314A" w:rsidP="00572E43">
            <w:pPr>
              <w:spacing w:before="120"/>
              <w:jc w:val="both"/>
              <w:rPr>
                <w:sz w:val="22"/>
                <w:szCs w:val="22"/>
              </w:rPr>
            </w:pPr>
            <w:r w:rsidRPr="00E91D34">
              <w:rPr>
                <w:sz w:val="22"/>
                <w:szCs w:val="22"/>
              </w:rPr>
              <w:t>Likumprojekts “Grozījumi likumā “Par zemes dzīlēm””  tika izskatīts  Ministru kabineta 2019. gada 8. oktobra sēdē un pieņemts Saeimā otrajā lasījumā 2019. gada 14. novembrī.</w:t>
            </w:r>
          </w:p>
        </w:tc>
        <w:tc>
          <w:tcPr>
            <w:tcW w:w="4107" w:type="dxa"/>
            <w:gridSpan w:val="2"/>
            <w:tcBorders>
              <w:top w:val="single" w:sz="6" w:space="0" w:color="808080"/>
              <w:left w:val="single" w:sz="6" w:space="0" w:color="808080"/>
              <w:bottom w:val="single" w:sz="6" w:space="0" w:color="808080"/>
              <w:right w:val="single" w:sz="6" w:space="0" w:color="808080"/>
            </w:tcBorders>
            <w:shd w:val="clear" w:color="auto" w:fill="FFFFFF" w:themeFill="background1"/>
            <w:hideMark/>
          </w:tcPr>
          <w:p w14:paraId="22F2B580" w14:textId="77777777" w:rsidR="001D314A" w:rsidRDefault="001D314A" w:rsidP="00572E43">
            <w:pPr>
              <w:pStyle w:val="NoSpacing"/>
              <w:spacing w:before="120" w:after="120"/>
              <w:jc w:val="both"/>
              <w:rPr>
                <w:sz w:val="22"/>
                <w:szCs w:val="22"/>
                <w:lang w:val="lv-LV"/>
              </w:rPr>
            </w:pPr>
          </w:p>
          <w:p w14:paraId="5429AE4A" w14:textId="77777777" w:rsidR="001D314A" w:rsidRPr="00BC01E4" w:rsidRDefault="001D314A" w:rsidP="00572E43">
            <w:pPr>
              <w:pStyle w:val="NoSpacing"/>
              <w:spacing w:before="120" w:after="120"/>
              <w:jc w:val="both"/>
              <w:rPr>
                <w:sz w:val="22"/>
                <w:szCs w:val="22"/>
                <w:lang w:val="lv-LV"/>
              </w:rPr>
            </w:pPr>
            <w:r>
              <w:rPr>
                <w:sz w:val="22"/>
                <w:szCs w:val="22"/>
                <w:lang w:val="lv-LV"/>
              </w:rPr>
              <w:t>Nav attiecināms.</w:t>
            </w:r>
          </w:p>
        </w:tc>
        <w:tc>
          <w:tcPr>
            <w:tcW w:w="1534" w:type="dxa"/>
          </w:tcPr>
          <w:p w14:paraId="5E102EF6" w14:textId="77777777" w:rsidR="001D314A" w:rsidRDefault="001D314A" w:rsidP="00572E43">
            <w:pPr>
              <w:jc w:val="both"/>
              <w:rPr>
                <w:sz w:val="22"/>
                <w:szCs w:val="22"/>
              </w:rPr>
            </w:pPr>
          </w:p>
          <w:p w14:paraId="2DE68AA8" w14:textId="77777777" w:rsidR="001D314A" w:rsidRDefault="001D314A" w:rsidP="00572E43">
            <w:pPr>
              <w:jc w:val="both"/>
              <w:rPr>
                <w:sz w:val="22"/>
                <w:szCs w:val="22"/>
              </w:rPr>
            </w:pPr>
          </w:p>
          <w:p w14:paraId="0062091B" w14:textId="77777777" w:rsidR="001D314A" w:rsidRDefault="001D314A" w:rsidP="00572E43">
            <w:pPr>
              <w:jc w:val="both"/>
              <w:rPr>
                <w:sz w:val="22"/>
                <w:szCs w:val="22"/>
              </w:rPr>
            </w:pPr>
          </w:p>
          <w:p w14:paraId="4C03FB84" w14:textId="77777777" w:rsidR="001D314A" w:rsidRDefault="001D314A" w:rsidP="00572E43">
            <w:pPr>
              <w:jc w:val="both"/>
              <w:rPr>
                <w:sz w:val="22"/>
                <w:szCs w:val="22"/>
              </w:rPr>
            </w:pPr>
          </w:p>
          <w:p w14:paraId="4FD4E553" w14:textId="77777777" w:rsidR="001D314A" w:rsidRDefault="001D314A" w:rsidP="00572E43">
            <w:pPr>
              <w:jc w:val="both"/>
              <w:rPr>
                <w:sz w:val="22"/>
                <w:szCs w:val="22"/>
              </w:rPr>
            </w:pPr>
          </w:p>
          <w:p w14:paraId="356E785F" w14:textId="77777777" w:rsidR="001D314A" w:rsidRDefault="001D314A" w:rsidP="00572E43">
            <w:pPr>
              <w:jc w:val="both"/>
              <w:rPr>
                <w:sz w:val="22"/>
                <w:szCs w:val="22"/>
              </w:rPr>
            </w:pPr>
          </w:p>
          <w:p w14:paraId="6A0C9878" w14:textId="77777777" w:rsidR="001D314A" w:rsidRDefault="001D314A" w:rsidP="00572E43">
            <w:pPr>
              <w:jc w:val="both"/>
              <w:rPr>
                <w:sz w:val="22"/>
                <w:szCs w:val="22"/>
              </w:rPr>
            </w:pPr>
          </w:p>
          <w:p w14:paraId="00422A22" w14:textId="77777777" w:rsidR="001D314A" w:rsidRDefault="001D314A" w:rsidP="00572E43">
            <w:pPr>
              <w:jc w:val="both"/>
              <w:rPr>
                <w:sz w:val="22"/>
                <w:szCs w:val="22"/>
              </w:rPr>
            </w:pPr>
          </w:p>
          <w:p w14:paraId="05571B78" w14:textId="77777777" w:rsidR="001D314A" w:rsidRDefault="001D314A" w:rsidP="00572E43">
            <w:pPr>
              <w:jc w:val="both"/>
              <w:rPr>
                <w:sz w:val="22"/>
                <w:szCs w:val="22"/>
              </w:rPr>
            </w:pPr>
          </w:p>
          <w:p w14:paraId="79C57826" w14:textId="77777777" w:rsidR="001D314A" w:rsidRDefault="001D314A" w:rsidP="00572E43">
            <w:pPr>
              <w:jc w:val="both"/>
              <w:rPr>
                <w:sz w:val="22"/>
                <w:szCs w:val="22"/>
              </w:rPr>
            </w:pPr>
          </w:p>
          <w:p w14:paraId="279F42CD" w14:textId="77777777" w:rsidR="001D314A" w:rsidRDefault="001D314A" w:rsidP="00572E43">
            <w:pPr>
              <w:jc w:val="both"/>
              <w:rPr>
                <w:sz w:val="22"/>
                <w:szCs w:val="22"/>
              </w:rPr>
            </w:pPr>
          </w:p>
          <w:p w14:paraId="23D282DF" w14:textId="77777777" w:rsidR="001D314A" w:rsidRDefault="001D314A" w:rsidP="00572E43">
            <w:pPr>
              <w:jc w:val="both"/>
              <w:rPr>
                <w:sz w:val="22"/>
                <w:szCs w:val="22"/>
              </w:rPr>
            </w:pPr>
          </w:p>
          <w:p w14:paraId="5DF37B07" w14:textId="77777777" w:rsidR="001D314A" w:rsidRDefault="001D314A" w:rsidP="00572E43">
            <w:pPr>
              <w:jc w:val="both"/>
              <w:rPr>
                <w:sz w:val="22"/>
                <w:szCs w:val="22"/>
              </w:rPr>
            </w:pPr>
          </w:p>
          <w:p w14:paraId="60C3A976" w14:textId="77777777" w:rsidR="001D314A" w:rsidRDefault="001D314A" w:rsidP="00572E43">
            <w:pPr>
              <w:jc w:val="both"/>
              <w:rPr>
                <w:sz w:val="22"/>
                <w:szCs w:val="22"/>
              </w:rPr>
            </w:pPr>
          </w:p>
          <w:p w14:paraId="4D48FF9D" w14:textId="77777777" w:rsidR="001D314A" w:rsidRDefault="001D314A" w:rsidP="00572E43">
            <w:pPr>
              <w:jc w:val="both"/>
              <w:rPr>
                <w:sz w:val="22"/>
                <w:szCs w:val="22"/>
              </w:rPr>
            </w:pPr>
          </w:p>
          <w:p w14:paraId="04830B85" w14:textId="77777777" w:rsidR="001D314A" w:rsidRDefault="001D314A" w:rsidP="00572E43">
            <w:pPr>
              <w:jc w:val="both"/>
              <w:rPr>
                <w:sz w:val="22"/>
                <w:szCs w:val="22"/>
              </w:rPr>
            </w:pPr>
          </w:p>
          <w:p w14:paraId="325DACDB" w14:textId="77777777" w:rsidR="001D314A" w:rsidRDefault="001D314A" w:rsidP="00572E43">
            <w:pPr>
              <w:jc w:val="both"/>
              <w:rPr>
                <w:sz w:val="22"/>
                <w:szCs w:val="22"/>
              </w:rPr>
            </w:pPr>
          </w:p>
          <w:p w14:paraId="4EBD2899" w14:textId="77777777" w:rsidR="001D314A" w:rsidRDefault="001D314A" w:rsidP="00572E43">
            <w:pPr>
              <w:jc w:val="both"/>
              <w:rPr>
                <w:sz w:val="22"/>
                <w:szCs w:val="22"/>
              </w:rPr>
            </w:pPr>
          </w:p>
          <w:p w14:paraId="49CB43A8" w14:textId="77777777" w:rsidR="001D314A" w:rsidRDefault="001D314A" w:rsidP="00572E43">
            <w:pPr>
              <w:jc w:val="both"/>
              <w:rPr>
                <w:sz w:val="22"/>
                <w:szCs w:val="22"/>
              </w:rPr>
            </w:pPr>
          </w:p>
          <w:p w14:paraId="15EF6837" w14:textId="77777777" w:rsidR="001D314A" w:rsidRDefault="001D314A" w:rsidP="00572E43">
            <w:pPr>
              <w:jc w:val="both"/>
              <w:rPr>
                <w:sz w:val="22"/>
                <w:szCs w:val="22"/>
              </w:rPr>
            </w:pPr>
          </w:p>
          <w:p w14:paraId="1C7DB3D7" w14:textId="77777777" w:rsidR="001D314A" w:rsidRDefault="001D314A" w:rsidP="00572E43">
            <w:pPr>
              <w:jc w:val="both"/>
              <w:rPr>
                <w:sz w:val="22"/>
                <w:szCs w:val="22"/>
              </w:rPr>
            </w:pPr>
          </w:p>
          <w:p w14:paraId="1D68F8E1" w14:textId="77777777" w:rsidR="001D314A" w:rsidRDefault="001D314A" w:rsidP="00572E43">
            <w:pPr>
              <w:jc w:val="both"/>
              <w:rPr>
                <w:sz w:val="22"/>
                <w:szCs w:val="22"/>
              </w:rPr>
            </w:pPr>
          </w:p>
          <w:p w14:paraId="5F2084F0" w14:textId="77777777" w:rsidR="001D314A" w:rsidRDefault="001D314A" w:rsidP="00572E43">
            <w:pPr>
              <w:jc w:val="both"/>
              <w:rPr>
                <w:sz w:val="22"/>
                <w:szCs w:val="22"/>
              </w:rPr>
            </w:pPr>
          </w:p>
          <w:p w14:paraId="7D98C3AD" w14:textId="77777777" w:rsidR="001D314A" w:rsidRDefault="001D314A" w:rsidP="00572E43">
            <w:pPr>
              <w:jc w:val="both"/>
              <w:rPr>
                <w:sz w:val="22"/>
                <w:szCs w:val="22"/>
              </w:rPr>
            </w:pPr>
          </w:p>
          <w:p w14:paraId="6897B18A" w14:textId="77777777" w:rsidR="001D314A" w:rsidRPr="00051CA8" w:rsidRDefault="001D314A" w:rsidP="00572E43">
            <w:pPr>
              <w:jc w:val="both"/>
              <w:rPr>
                <w:sz w:val="22"/>
                <w:szCs w:val="22"/>
              </w:rPr>
            </w:pPr>
          </w:p>
        </w:tc>
      </w:tr>
      <w:tr w:rsidR="00DB7A32" w:rsidRPr="00051CA8" w14:paraId="70A1971F" w14:textId="77777777" w:rsidTr="00C76CE9">
        <w:trPr>
          <w:trHeight w:val="1439"/>
          <w:tblCellSpacing w:w="0" w:type="dxa"/>
        </w:trPr>
        <w:tc>
          <w:tcPr>
            <w:tcW w:w="606" w:type="dxa"/>
            <w:tcBorders>
              <w:top w:val="single" w:sz="6" w:space="0" w:color="808080"/>
              <w:left w:val="single" w:sz="6" w:space="0" w:color="808080"/>
              <w:bottom w:val="single" w:sz="6" w:space="0" w:color="808080"/>
              <w:right w:val="single" w:sz="6" w:space="0" w:color="808080"/>
            </w:tcBorders>
            <w:shd w:val="clear" w:color="auto" w:fill="FFFFFF" w:themeFill="background1"/>
          </w:tcPr>
          <w:p w14:paraId="7D78E4C5" w14:textId="72B3AEBC" w:rsidR="00DB7A32" w:rsidRPr="00051CA8" w:rsidRDefault="00DB7A32" w:rsidP="00572E43">
            <w:pPr>
              <w:pStyle w:val="naisc"/>
              <w:spacing w:before="0" w:after="0"/>
              <w:rPr>
                <w:sz w:val="22"/>
                <w:szCs w:val="22"/>
              </w:rPr>
            </w:pPr>
            <w:r>
              <w:rPr>
                <w:sz w:val="22"/>
                <w:szCs w:val="22"/>
              </w:rPr>
              <w:lastRenderedPageBreak/>
              <w:t>2.</w:t>
            </w:r>
          </w:p>
        </w:tc>
        <w:tc>
          <w:tcPr>
            <w:tcW w:w="2221" w:type="dxa"/>
            <w:tcBorders>
              <w:top w:val="single" w:sz="6" w:space="0" w:color="808080"/>
              <w:left w:val="single" w:sz="6" w:space="0" w:color="808080"/>
              <w:bottom w:val="single" w:sz="6" w:space="0" w:color="808080"/>
              <w:right w:val="single" w:sz="6" w:space="0" w:color="808080"/>
            </w:tcBorders>
            <w:shd w:val="clear" w:color="auto" w:fill="FFFFFF" w:themeFill="background1"/>
          </w:tcPr>
          <w:p w14:paraId="16DB6C42" w14:textId="77777777" w:rsidR="00E619EA" w:rsidRDefault="00E619EA" w:rsidP="00E619EA">
            <w:pPr>
              <w:spacing w:before="120"/>
              <w:jc w:val="both"/>
              <w:rPr>
                <w:sz w:val="22"/>
                <w:szCs w:val="22"/>
              </w:rPr>
            </w:pPr>
            <w:r>
              <w:rPr>
                <w:sz w:val="22"/>
                <w:szCs w:val="22"/>
              </w:rPr>
              <w:t>MK noteikumu projekts</w:t>
            </w:r>
          </w:p>
          <w:p w14:paraId="21ED49F6" w14:textId="77777777" w:rsidR="00DB7A32" w:rsidRDefault="00DB7A32" w:rsidP="00572E43">
            <w:pPr>
              <w:spacing w:before="120"/>
              <w:jc w:val="both"/>
              <w:rPr>
                <w:sz w:val="22"/>
                <w:szCs w:val="22"/>
              </w:rPr>
            </w:pPr>
          </w:p>
        </w:tc>
        <w:tc>
          <w:tcPr>
            <w:tcW w:w="4820" w:type="dxa"/>
            <w:gridSpan w:val="2"/>
            <w:tcBorders>
              <w:top w:val="single" w:sz="6" w:space="0" w:color="808080"/>
              <w:left w:val="single" w:sz="6" w:space="0" w:color="808080"/>
              <w:bottom w:val="single" w:sz="6" w:space="0" w:color="808080"/>
              <w:right w:val="single" w:sz="6" w:space="0" w:color="808080"/>
            </w:tcBorders>
            <w:shd w:val="clear" w:color="auto" w:fill="FFFFFF" w:themeFill="background1"/>
          </w:tcPr>
          <w:p w14:paraId="534F5C3D" w14:textId="77777777" w:rsidR="00DB7A32" w:rsidRPr="00C14E10" w:rsidRDefault="00DB7A32" w:rsidP="00FA470A">
            <w:pPr>
              <w:tabs>
                <w:tab w:val="left" w:pos="993"/>
              </w:tabs>
              <w:jc w:val="both"/>
              <w:rPr>
                <w:b/>
                <w:sz w:val="22"/>
                <w:szCs w:val="22"/>
              </w:rPr>
            </w:pPr>
            <w:r w:rsidRPr="00C14E10">
              <w:rPr>
                <w:b/>
                <w:sz w:val="22"/>
                <w:szCs w:val="22"/>
              </w:rPr>
              <w:t>Tieslietu ministrijas atzinums (03.</w:t>
            </w:r>
            <w:r>
              <w:rPr>
                <w:b/>
                <w:sz w:val="22"/>
                <w:szCs w:val="22"/>
              </w:rPr>
              <w:t>10</w:t>
            </w:r>
            <w:r w:rsidRPr="00C14E10">
              <w:rPr>
                <w:b/>
                <w:sz w:val="22"/>
                <w:szCs w:val="22"/>
              </w:rPr>
              <w:t>.2019.)</w:t>
            </w:r>
          </w:p>
          <w:p w14:paraId="724353BD" w14:textId="77777777" w:rsidR="00DB7A32" w:rsidRPr="00DB7A32" w:rsidRDefault="00DB7A32" w:rsidP="00FA470A">
            <w:pPr>
              <w:ind w:firstLine="720"/>
              <w:jc w:val="both"/>
              <w:rPr>
                <w:sz w:val="22"/>
                <w:szCs w:val="22"/>
              </w:rPr>
            </w:pPr>
            <w:r w:rsidRPr="00DB7A32">
              <w:rPr>
                <w:sz w:val="22"/>
                <w:szCs w:val="22"/>
              </w:rPr>
              <w:t xml:space="preserve">Atbilstoši projekta sākotnējās </w:t>
            </w:r>
            <w:r w:rsidRPr="00DB7A32">
              <w:rPr>
                <w:i/>
                <w:sz w:val="22"/>
                <w:szCs w:val="22"/>
              </w:rPr>
              <w:t>(ex-ante)</w:t>
            </w:r>
            <w:r w:rsidRPr="00DB7A32">
              <w:rPr>
                <w:sz w:val="22"/>
                <w:szCs w:val="22"/>
              </w:rPr>
              <w:t xml:space="preserve"> ietekmes novērtējuma ziņojuma (turpmāk – anotācija) I sadaļas 1. punktā ietvertajai informācijai Ekonomikas ministrijai ir uzdots izstrādāt un ekonomikas ministram noteiktā kārtībā iesniegt izskatīšanai Ministru kabinetā tiesību aktu projektus par grozījumiem normatīvajos aktos attiecībā uz enerģētikas politikas īstenošanas funkciju nodošanu Būvniecības valsts kontroles birojam. Līdz ar to projekts paredz aizstāt vārdus "Ekonomikas ministrija" (attiecīgā locījumā) ar vārdiem "Būvniecības valsts kontroles birojs" (attiecīgā locījumā). Vēršam uzmanību uz to, ka Ministru kabineta 2015. gada 22. decembra noteikumu Nr. 805 "Noteikumi par ogļūdeņražu meklēšanu, izpēti un ieguvi" (turpmāk – noteikumi) 2.12. apakšpunkts noteic, ka </w:t>
            </w:r>
            <w:r w:rsidRPr="00DB7A32">
              <w:rPr>
                <w:sz w:val="22"/>
                <w:szCs w:val="22"/>
                <w:u w:val="single"/>
              </w:rPr>
              <w:t>kompetentā iestāde – šo noteikumu izpratnē – Būvniecības valsts kontroles birojs</w:t>
            </w:r>
            <w:r w:rsidRPr="00DB7A32">
              <w:rPr>
                <w:sz w:val="22"/>
                <w:szCs w:val="22"/>
              </w:rPr>
              <w:t>, kas ar vides drošību un aizsardzību saistītu funkciju veikšanai uz savstarpēja sadarbības līguma pamata piesaista Valsts vides dienestu. Līdz ar to nav saprotams, kādēļ noteikumos nepieciešams lietot gan Būvniecības valsts kontroles biroja nosaukumu, gan terminu "kompetentā iestāde", kas attiecas uz Būvniecības valsts kontroles biroju. Turklāt šādā gadījumā, piemēram, noteikumu 108. punkta trešais teikums būs neloģisks, proti,</w:t>
            </w:r>
            <w:r w:rsidRPr="00DB7A32">
              <w:rPr>
                <w:rFonts w:ascii="Arial" w:hAnsi="Arial" w:cs="Arial"/>
                <w:sz w:val="22"/>
                <w:szCs w:val="22"/>
              </w:rPr>
              <w:t xml:space="preserve"> </w:t>
            </w:r>
            <w:r w:rsidRPr="00DB7A32">
              <w:rPr>
                <w:sz w:val="22"/>
                <w:szCs w:val="22"/>
              </w:rPr>
              <w:t xml:space="preserve">atbilstoši projekta 1.1. apakšpunktā paredzētajam grozījumam noteikumu 108. punkts paredzēs, ka </w:t>
            </w:r>
            <w:r w:rsidRPr="00DB7A32">
              <w:rPr>
                <w:sz w:val="22"/>
                <w:szCs w:val="22"/>
                <w:u w:val="single"/>
              </w:rPr>
              <w:t xml:space="preserve">Būvniecības valsts kontroles birojs 15 dienu laikā pēc licences izsniegšanas nosūta </w:t>
            </w:r>
            <w:r w:rsidRPr="00DB7A32">
              <w:rPr>
                <w:sz w:val="22"/>
                <w:szCs w:val="22"/>
                <w:u w:val="single"/>
              </w:rPr>
              <w:lastRenderedPageBreak/>
              <w:t>tās kopiju kompetentajai iestādei, t.i., Būvniecības valsts kontroles birojam</w:t>
            </w:r>
            <w:r w:rsidRPr="00DB7A32">
              <w:rPr>
                <w:sz w:val="22"/>
                <w:szCs w:val="22"/>
              </w:rPr>
              <w:t>, dienestam un centram. Ievērojot minēto, lūdzam precizēt projektā paredzētos grozījumus vai papildināt anotāciju ar atbilstošu skaidrojumu.</w:t>
            </w:r>
          </w:p>
          <w:p w14:paraId="273B2787" w14:textId="77777777" w:rsidR="00DB7A32" w:rsidRPr="00C14E10" w:rsidRDefault="00DB7A32" w:rsidP="00FA470A">
            <w:pPr>
              <w:tabs>
                <w:tab w:val="left" w:pos="993"/>
              </w:tabs>
              <w:jc w:val="both"/>
              <w:rPr>
                <w:b/>
                <w:sz w:val="22"/>
                <w:szCs w:val="22"/>
              </w:rPr>
            </w:pPr>
          </w:p>
        </w:tc>
        <w:tc>
          <w:tcPr>
            <w:tcW w:w="3260" w:type="dxa"/>
            <w:tcBorders>
              <w:top w:val="single" w:sz="6" w:space="0" w:color="808080"/>
              <w:left w:val="single" w:sz="6" w:space="0" w:color="808080"/>
              <w:bottom w:val="single" w:sz="6" w:space="0" w:color="808080"/>
              <w:right w:val="single" w:sz="6" w:space="0" w:color="808080"/>
            </w:tcBorders>
            <w:shd w:val="clear" w:color="auto" w:fill="FFFFFF" w:themeFill="background1"/>
          </w:tcPr>
          <w:p w14:paraId="5FACB3A1" w14:textId="77777777" w:rsidR="00DB7A32" w:rsidRDefault="00DB7A32" w:rsidP="00572E43">
            <w:pPr>
              <w:pStyle w:val="naisc"/>
              <w:spacing w:before="0" w:after="0"/>
              <w:rPr>
                <w:b/>
                <w:sz w:val="22"/>
                <w:szCs w:val="22"/>
              </w:rPr>
            </w:pPr>
            <w:r>
              <w:rPr>
                <w:b/>
                <w:sz w:val="22"/>
                <w:szCs w:val="22"/>
              </w:rPr>
              <w:lastRenderedPageBreak/>
              <w:t>Daļēji ņemts vērā</w:t>
            </w:r>
          </w:p>
          <w:p w14:paraId="0647EC7F" w14:textId="5607E8E9" w:rsidR="00C76CE9" w:rsidRDefault="00FA470A" w:rsidP="00FA470A">
            <w:pPr>
              <w:pStyle w:val="naisc"/>
              <w:spacing w:before="0" w:after="0"/>
              <w:jc w:val="both"/>
              <w:rPr>
                <w:bCs/>
                <w:sz w:val="22"/>
                <w:szCs w:val="22"/>
                <w:shd w:val="clear" w:color="auto" w:fill="FFFFFF"/>
              </w:rPr>
            </w:pPr>
            <w:r w:rsidRPr="00FA470A">
              <w:rPr>
                <w:bCs/>
                <w:sz w:val="22"/>
                <w:szCs w:val="22"/>
                <w:shd w:val="clear" w:color="auto" w:fill="FFFFFF"/>
              </w:rPr>
              <w:t>Eiropas Parlamenta un Padomes 2013. gada 12. jūnija Direktīvas </w:t>
            </w:r>
            <w:hyperlink r:id="rId13" w:tgtFrame="_blank" w:history="1">
              <w:r w:rsidRPr="00FA470A">
                <w:rPr>
                  <w:rStyle w:val="Hyperlink"/>
                  <w:bCs/>
                  <w:color w:val="auto"/>
                  <w:sz w:val="22"/>
                  <w:szCs w:val="22"/>
                  <w:shd w:val="clear" w:color="auto" w:fill="FFFFFF"/>
                </w:rPr>
                <w:t>2013/30/ES</w:t>
              </w:r>
            </w:hyperlink>
            <w:r w:rsidRPr="00FA470A">
              <w:rPr>
                <w:bCs/>
                <w:sz w:val="22"/>
                <w:szCs w:val="22"/>
                <w:shd w:val="clear" w:color="auto" w:fill="FFFFFF"/>
              </w:rPr>
              <w:t> par to darbību drošumu, kas saistītas ar naftas un gāzes nozares darbībām jūrā</w:t>
            </w:r>
            <w:r>
              <w:rPr>
                <w:bCs/>
                <w:sz w:val="22"/>
                <w:szCs w:val="22"/>
                <w:shd w:val="clear" w:color="auto" w:fill="FFFFFF"/>
              </w:rPr>
              <w:t xml:space="preserve">, kompetentās iestādes definīcija nosaka, ka </w:t>
            </w:r>
            <w:r w:rsidRPr="00FA470A">
              <w:rPr>
                <w:sz w:val="22"/>
                <w:szCs w:val="22"/>
              </w:rPr>
              <w:t>“kompetentā iestāde” ir publiska iestāde, kas iecelta, ievērojot šo direktīvu, un kas ir atbildīga par uzdevumiem, kuri tai uzticēti ar šo direktīvu. Kompetentā iestāde var ietvert vienu vai vairākas publiskas iestādes;</w:t>
            </w:r>
            <w:r>
              <w:rPr>
                <w:sz w:val="22"/>
                <w:szCs w:val="22"/>
              </w:rPr>
              <w:t xml:space="preserve"> Lai pārņemtu </w:t>
            </w:r>
            <w:r w:rsidRPr="00FA470A">
              <w:rPr>
                <w:bCs/>
                <w:sz w:val="22"/>
                <w:szCs w:val="22"/>
                <w:shd w:val="clear" w:color="auto" w:fill="FFFFFF"/>
              </w:rPr>
              <w:t>Eiropas Parlamenta un Padomes 2013. gada 12. jūnija Direktīv</w:t>
            </w:r>
            <w:r>
              <w:rPr>
                <w:bCs/>
                <w:sz w:val="22"/>
                <w:szCs w:val="22"/>
                <w:shd w:val="clear" w:color="auto" w:fill="FFFFFF"/>
              </w:rPr>
              <w:t>u</w:t>
            </w:r>
            <w:r w:rsidRPr="00FA470A">
              <w:rPr>
                <w:bCs/>
                <w:sz w:val="22"/>
                <w:szCs w:val="22"/>
                <w:shd w:val="clear" w:color="auto" w:fill="FFFFFF"/>
              </w:rPr>
              <w:t> </w:t>
            </w:r>
            <w:hyperlink r:id="rId14" w:tgtFrame="_blank" w:history="1">
              <w:r w:rsidRPr="00FA470A">
                <w:rPr>
                  <w:rStyle w:val="Hyperlink"/>
                  <w:bCs/>
                  <w:color w:val="auto"/>
                  <w:sz w:val="22"/>
                  <w:szCs w:val="22"/>
                  <w:shd w:val="clear" w:color="auto" w:fill="FFFFFF"/>
                </w:rPr>
                <w:t>2013/30/ES</w:t>
              </w:r>
            </w:hyperlink>
            <w:r w:rsidRPr="00FA470A">
              <w:rPr>
                <w:bCs/>
                <w:sz w:val="22"/>
                <w:szCs w:val="22"/>
                <w:shd w:val="clear" w:color="auto" w:fill="FFFFFF"/>
              </w:rPr>
              <w:t> par to darbību drošumu, kas saistītas ar naftas un gāzes nozares darbībām jūrā</w:t>
            </w:r>
            <w:r>
              <w:rPr>
                <w:bCs/>
                <w:sz w:val="22"/>
                <w:szCs w:val="22"/>
                <w:shd w:val="clear" w:color="auto" w:fill="FFFFFF"/>
              </w:rPr>
              <w:t>, par “kompetento iestādi” tik</w:t>
            </w:r>
            <w:r w:rsidR="00B83597">
              <w:rPr>
                <w:bCs/>
                <w:sz w:val="22"/>
                <w:szCs w:val="22"/>
                <w:shd w:val="clear" w:color="auto" w:fill="FFFFFF"/>
              </w:rPr>
              <w:t>a noteikta Būvniecības valsts kontroles birojs.</w:t>
            </w:r>
            <w:r w:rsidR="00C76CE9">
              <w:rPr>
                <w:bCs/>
                <w:sz w:val="22"/>
                <w:szCs w:val="22"/>
                <w:shd w:val="clear" w:color="auto" w:fill="FFFFFF"/>
              </w:rPr>
              <w:t xml:space="preserve"> Tādejādi, Būvniecības valsts kontroles birojs </w:t>
            </w:r>
            <w:r w:rsidR="00C76CE9" w:rsidRPr="00DB7A32">
              <w:rPr>
                <w:sz w:val="22"/>
                <w:szCs w:val="22"/>
              </w:rPr>
              <w:t>Ministru kabineta 2015. gada 22. decembra noteikumu Nr. 805 "Noteikumi par ogļūdeņražu meklēšanu, izpēti un ieguvi"</w:t>
            </w:r>
            <w:r w:rsidR="00C76CE9">
              <w:rPr>
                <w:sz w:val="22"/>
                <w:szCs w:val="22"/>
              </w:rPr>
              <w:t xml:space="preserve"> veic gan kompetentās iestādes funkcijas, gan funkcijas, kas ir kā Būvniecības valsts kontroles birojam.</w:t>
            </w:r>
            <w:r w:rsidR="00C76CE9">
              <w:rPr>
                <w:bCs/>
                <w:sz w:val="22"/>
                <w:szCs w:val="22"/>
                <w:shd w:val="clear" w:color="auto" w:fill="FFFFFF"/>
              </w:rPr>
              <w:t xml:space="preserve"> </w:t>
            </w:r>
            <w:r w:rsidR="00B83597">
              <w:rPr>
                <w:bCs/>
                <w:sz w:val="22"/>
                <w:szCs w:val="22"/>
                <w:shd w:val="clear" w:color="auto" w:fill="FFFFFF"/>
              </w:rPr>
              <w:t xml:space="preserve"> </w:t>
            </w:r>
          </w:p>
          <w:p w14:paraId="2368329F" w14:textId="522407A2" w:rsidR="00FA470A" w:rsidRPr="00FA470A" w:rsidRDefault="00B83597" w:rsidP="00FA470A">
            <w:pPr>
              <w:pStyle w:val="naisc"/>
              <w:spacing w:before="0" w:after="0"/>
              <w:jc w:val="both"/>
              <w:rPr>
                <w:bCs/>
                <w:sz w:val="22"/>
                <w:szCs w:val="22"/>
                <w:shd w:val="clear" w:color="auto" w:fill="FFFFFF"/>
              </w:rPr>
            </w:pPr>
            <w:r w:rsidRPr="00DB7A32">
              <w:rPr>
                <w:sz w:val="22"/>
                <w:szCs w:val="22"/>
              </w:rPr>
              <w:lastRenderedPageBreak/>
              <w:t>Ministru kabineta 2015. gada 22. decembra noteikumu Nr. 805 "Noteikumi par ogļūdeņražu meklēšanu, izpēti un ieguvi"</w:t>
            </w:r>
            <w:r>
              <w:rPr>
                <w:sz w:val="22"/>
                <w:szCs w:val="22"/>
              </w:rPr>
              <w:t xml:space="preserve"> 108. punkts </w:t>
            </w:r>
            <w:r w:rsidR="00C76CE9">
              <w:rPr>
                <w:sz w:val="22"/>
                <w:szCs w:val="22"/>
              </w:rPr>
              <w:t>precizēts.</w:t>
            </w:r>
          </w:p>
        </w:tc>
        <w:tc>
          <w:tcPr>
            <w:tcW w:w="4107" w:type="dxa"/>
            <w:gridSpan w:val="2"/>
            <w:tcBorders>
              <w:top w:val="single" w:sz="6" w:space="0" w:color="808080"/>
              <w:left w:val="single" w:sz="6" w:space="0" w:color="808080"/>
              <w:bottom w:val="single" w:sz="6" w:space="0" w:color="808080"/>
              <w:right w:val="single" w:sz="6" w:space="0" w:color="808080"/>
            </w:tcBorders>
            <w:shd w:val="clear" w:color="auto" w:fill="FFFFFF" w:themeFill="background1"/>
          </w:tcPr>
          <w:p w14:paraId="1793F8A5" w14:textId="09E6381B" w:rsidR="00DB7A32" w:rsidRPr="00E2374E" w:rsidRDefault="00DB7A32" w:rsidP="00DB7A32">
            <w:pPr>
              <w:pStyle w:val="naisc"/>
              <w:spacing w:before="120" w:after="0"/>
              <w:jc w:val="both"/>
              <w:rPr>
                <w:sz w:val="22"/>
                <w:szCs w:val="22"/>
                <w:u w:val="single"/>
              </w:rPr>
            </w:pPr>
            <w:r w:rsidRPr="00E2374E">
              <w:rPr>
                <w:sz w:val="22"/>
                <w:szCs w:val="22"/>
                <w:u w:val="single"/>
              </w:rPr>
              <w:lastRenderedPageBreak/>
              <w:t>1.</w:t>
            </w:r>
            <w:r>
              <w:rPr>
                <w:sz w:val="22"/>
                <w:szCs w:val="22"/>
                <w:u w:val="single"/>
              </w:rPr>
              <w:t>6</w:t>
            </w:r>
            <w:r w:rsidRPr="00E2374E">
              <w:rPr>
                <w:sz w:val="22"/>
                <w:szCs w:val="22"/>
                <w:u w:val="single"/>
              </w:rPr>
              <w:t xml:space="preserve">. izteikt </w:t>
            </w:r>
            <w:r>
              <w:rPr>
                <w:sz w:val="22"/>
                <w:szCs w:val="22"/>
                <w:u w:val="single"/>
              </w:rPr>
              <w:t>108</w:t>
            </w:r>
            <w:r w:rsidRPr="00E2374E">
              <w:rPr>
                <w:sz w:val="22"/>
                <w:szCs w:val="22"/>
                <w:u w:val="single"/>
              </w:rPr>
              <w:t>. punktu šādā redakcijā:</w:t>
            </w:r>
          </w:p>
          <w:p w14:paraId="6F6AC9A9" w14:textId="40CEE96A" w:rsidR="00DB7A32" w:rsidRDefault="00DB7A32" w:rsidP="00DB7A32">
            <w:pPr>
              <w:pStyle w:val="NoSpacing"/>
              <w:spacing w:before="120" w:after="120"/>
              <w:jc w:val="both"/>
              <w:rPr>
                <w:sz w:val="22"/>
                <w:szCs w:val="22"/>
                <w:lang w:val="lv-LV"/>
              </w:rPr>
            </w:pPr>
            <w:bookmarkStart w:id="2" w:name="_Hlk23771204"/>
            <w:r w:rsidRPr="00E2374E">
              <w:rPr>
                <w:i/>
                <w:iCs/>
                <w:sz w:val="22"/>
                <w:szCs w:val="22"/>
                <w:lang w:val="lv-LV"/>
              </w:rPr>
              <w:t>“</w:t>
            </w:r>
            <w:r>
              <w:rPr>
                <w:i/>
                <w:iCs/>
                <w:sz w:val="22"/>
                <w:szCs w:val="22"/>
                <w:lang w:val="lv-LV"/>
              </w:rPr>
              <w:t>108.</w:t>
            </w:r>
            <w:r w:rsidRPr="00E2374E">
              <w:rPr>
                <w:i/>
                <w:iCs/>
                <w:sz w:val="22"/>
                <w:szCs w:val="22"/>
                <w:lang w:val="lv-LV"/>
              </w:rPr>
              <w:t xml:space="preserve"> </w:t>
            </w:r>
            <w:r w:rsidRPr="00E2374E">
              <w:rPr>
                <w:rFonts w:ascii="Arial" w:hAnsi="Arial" w:cs="Arial"/>
                <w:i/>
                <w:iCs/>
                <w:color w:val="414142"/>
                <w:sz w:val="22"/>
                <w:szCs w:val="22"/>
                <w:shd w:val="clear" w:color="auto" w:fill="FFFFFF"/>
              </w:rPr>
              <w:t> </w:t>
            </w:r>
            <w:r>
              <w:rPr>
                <w:i/>
                <w:iCs/>
                <w:sz w:val="22"/>
                <w:szCs w:val="22"/>
                <w:shd w:val="clear" w:color="auto" w:fill="FFFFFF"/>
                <w:lang w:val="lv-LV"/>
              </w:rPr>
              <w:t>Būvniecības valsts kontroles birojs pēc šo noteikumu 107.1. apakšpunktā minētā iesnieguma saņemšanas izvērtē tā atbilstību šā noteikumu 3. pielikumā minētajām prasībām. Ja iesniegtā informācija un dokumenti atbilst minētajām prasībām, Būvniecības valsts kontroles birojs izsniedz licenci ogļūdeņražu meklēšanai, nemainot sākotnējās licences darbības laiku. Būvniecības valsts kontroles birojs 15 dienu laikā pēc licences izsniegšanas nosūta tās kopiju dienestam un centram.”</w:t>
            </w:r>
            <w:bookmarkEnd w:id="2"/>
          </w:p>
        </w:tc>
        <w:tc>
          <w:tcPr>
            <w:tcW w:w="1534" w:type="dxa"/>
          </w:tcPr>
          <w:p w14:paraId="6EC758AB" w14:textId="77777777" w:rsidR="00DB7A32" w:rsidRDefault="00DB7A32" w:rsidP="00572E43">
            <w:pPr>
              <w:jc w:val="both"/>
              <w:rPr>
                <w:sz w:val="22"/>
                <w:szCs w:val="22"/>
              </w:rPr>
            </w:pPr>
          </w:p>
        </w:tc>
      </w:tr>
      <w:tr w:rsidR="00B83597" w:rsidRPr="00051CA8" w14:paraId="3DB460EC" w14:textId="77777777" w:rsidTr="00B83597">
        <w:trPr>
          <w:trHeight w:val="3694"/>
          <w:tblCellSpacing w:w="0" w:type="dxa"/>
        </w:trPr>
        <w:tc>
          <w:tcPr>
            <w:tcW w:w="606" w:type="dxa"/>
            <w:tcBorders>
              <w:top w:val="single" w:sz="6" w:space="0" w:color="808080"/>
              <w:left w:val="single" w:sz="6" w:space="0" w:color="808080"/>
              <w:bottom w:val="single" w:sz="6" w:space="0" w:color="808080"/>
              <w:right w:val="single" w:sz="6" w:space="0" w:color="808080"/>
            </w:tcBorders>
            <w:shd w:val="clear" w:color="auto" w:fill="FFFFFF" w:themeFill="background1"/>
          </w:tcPr>
          <w:p w14:paraId="420CA25F" w14:textId="62C30364" w:rsidR="00B83597" w:rsidRDefault="00B83597" w:rsidP="00572E43">
            <w:pPr>
              <w:pStyle w:val="naisc"/>
              <w:spacing w:before="0" w:after="0"/>
              <w:rPr>
                <w:sz w:val="22"/>
                <w:szCs w:val="22"/>
              </w:rPr>
            </w:pPr>
            <w:r>
              <w:rPr>
                <w:sz w:val="22"/>
                <w:szCs w:val="22"/>
              </w:rPr>
              <w:t>3.</w:t>
            </w:r>
          </w:p>
        </w:tc>
        <w:tc>
          <w:tcPr>
            <w:tcW w:w="2221" w:type="dxa"/>
            <w:tcBorders>
              <w:top w:val="single" w:sz="6" w:space="0" w:color="808080"/>
              <w:left w:val="single" w:sz="6" w:space="0" w:color="808080"/>
              <w:bottom w:val="single" w:sz="6" w:space="0" w:color="808080"/>
              <w:right w:val="single" w:sz="6" w:space="0" w:color="808080"/>
            </w:tcBorders>
            <w:shd w:val="clear" w:color="auto" w:fill="FFFFFF" w:themeFill="background1"/>
          </w:tcPr>
          <w:p w14:paraId="7AD4D27A" w14:textId="77777777" w:rsidR="00E619EA" w:rsidRDefault="00E619EA" w:rsidP="00E619EA">
            <w:pPr>
              <w:spacing w:before="120"/>
              <w:jc w:val="both"/>
              <w:rPr>
                <w:sz w:val="22"/>
                <w:szCs w:val="22"/>
              </w:rPr>
            </w:pPr>
            <w:r>
              <w:rPr>
                <w:sz w:val="22"/>
                <w:szCs w:val="22"/>
              </w:rPr>
              <w:t>MK noteikumu projekts</w:t>
            </w:r>
          </w:p>
          <w:p w14:paraId="79BDEAA8" w14:textId="77777777" w:rsidR="00B83597" w:rsidRDefault="00B83597" w:rsidP="00572E43">
            <w:pPr>
              <w:spacing w:before="120"/>
              <w:jc w:val="both"/>
              <w:rPr>
                <w:sz w:val="22"/>
                <w:szCs w:val="22"/>
              </w:rPr>
            </w:pPr>
          </w:p>
        </w:tc>
        <w:tc>
          <w:tcPr>
            <w:tcW w:w="4820" w:type="dxa"/>
            <w:gridSpan w:val="2"/>
            <w:tcBorders>
              <w:top w:val="single" w:sz="6" w:space="0" w:color="808080"/>
              <w:left w:val="single" w:sz="6" w:space="0" w:color="808080"/>
              <w:bottom w:val="single" w:sz="6" w:space="0" w:color="808080"/>
              <w:right w:val="single" w:sz="6" w:space="0" w:color="808080"/>
            </w:tcBorders>
            <w:shd w:val="clear" w:color="auto" w:fill="FFFFFF" w:themeFill="background1"/>
          </w:tcPr>
          <w:p w14:paraId="30C3D595" w14:textId="77777777" w:rsidR="00B83597" w:rsidRPr="00C14E10" w:rsidRDefault="00B83597" w:rsidP="00B83597">
            <w:pPr>
              <w:tabs>
                <w:tab w:val="left" w:pos="993"/>
              </w:tabs>
              <w:jc w:val="both"/>
              <w:rPr>
                <w:b/>
                <w:sz w:val="22"/>
                <w:szCs w:val="22"/>
              </w:rPr>
            </w:pPr>
            <w:r w:rsidRPr="00C14E10">
              <w:rPr>
                <w:b/>
                <w:sz w:val="22"/>
                <w:szCs w:val="22"/>
              </w:rPr>
              <w:t>Tieslietu ministrijas atzinums (03.</w:t>
            </w:r>
            <w:r>
              <w:rPr>
                <w:b/>
                <w:sz w:val="22"/>
                <w:szCs w:val="22"/>
              </w:rPr>
              <w:t>10</w:t>
            </w:r>
            <w:r w:rsidRPr="00C14E10">
              <w:rPr>
                <w:b/>
                <w:sz w:val="22"/>
                <w:szCs w:val="22"/>
              </w:rPr>
              <w:t>.2019.)</w:t>
            </w:r>
          </w:p>
          <w:p w14:paraId="05E01F34" w14:textId="7AE152E5" w:rsidR="00B83597" w:rsidRPr="00C14E10" w:rsidRDefault="00B83597" w:rsidP="00FA470A">
            <w:pPr>
              <w:tabs>
                <w:tab w:val="left" w:pos="993"/>
              </w:tabs>
              <w:jc w:val="both"/>
              <w:rPr>
                <w:b/>
                <w:sz w:val="22"/>
                <w:szCs w:val="22"/>
              </w:rPr>
            </w:pPr>
            <w:r w:rsidRPr="00B83597">
              <w:rPr>
                <w:sz w:val="22"/>
                <w:szCs w:val="22"/>
              </w:rPr>
              <w:t xml:space="preserve">Vēršam uzmanību uz to, ka likuma "Par zemes dzīlēm" 10. panta trešā daļa noteic, ka </w:t>
            </w:r>
            <w:r w:rsidRPr="00B83597">
              <w:rPr>
                <w:sz w:val="22"/>
                <w:szCs w:val="22"/>
                <w:u w:val="single"/>
              </w:rPr>
              <w:t>ogļūdeņražu meklēšanas, izpētes un ieguves licences ieguvējam ir</w:t>
            </w:r>
            <w:r w:rsidRPr="00B83597">
              <w:rPr>
                <w:sz w:val="22"/>
                <w:szCs w:val="22"/>
              </w:rPr>
              <w:t xml:space="preserve"> jāatbilst Ministru kabineta noteiktajām prasībām un </w:t>
            </w:r>
            <w:r w:rsidRPr="00B83597">
              <w:rPr>
                <w:sz w:val="22"/>
                <w:szCs w:val="22"/>
                <w:u w:val="single"/>
              </w:rPr>
              <w:t>jāuzņemas visas licencē noteiktās saistības</w:t>
            </w:r>
            <w:r w:rsidRPr="00B83597">
              <w:rPr>
                <w:sz w:val="22"/>
                <w:szCs w:val="22"/>
              </w:rPr>
              <w:t>. Ievērojot minēto, lūdzam svītrot projekta 1.10. apakšpunktā paredzētajā noteikumu 155. punktā, kā arī citās noteikumu vienībās regulējumu par ogļūdeņražu meklēšanas, izpētes un ieguves licences ieguvēja attiecīgo atbildību</w:t>
            </w:r>
          </w:p>
        </w:tc>
        <w:tc>
          <w:tcPr>
            <w:tcW w:w="3260" w:type="dxa"/>
            <w:tcBorders>
              <w:top w:val="single" w:sz="6" w:space="0" w:color="808080"/>
              <w:left w:val="single" w:sz="6" w:space="0" w:color="808080"/>
              <w:bottom w:val="single" w:sz="6" w:space="0" w:color="808080"/>
              <w:right w:val="single" w:sz="6" w:space="0" w:color="808080"/>
            </w:tcBorders>
            <w:shd w:val="clear" w:color="auto" w:fill="FFFFFF" w:themeFill="background1"/>
          </w:tcPr>
          <w:p w14:paraId="72750AE1" w14:textId="77777777" w:rsidR="00B83597" w:rsidRDefault="00B83597" w:rsidP="004569FA">
            <w:pPr>
              <w:pStyle w:val="naisc"/>
              <w:spacing w:before="0" w:after="0"/>
              <w:jc w:val="both"/>
              <w:rPr>
                <w:b/>
                <w:sz w:val="22"/>
                <w:szCs w:val="22"/>
              </w:rPr>
            </w:pPr>
            <w:r>
              <w:rPr>
                <w:b/>
                <w:sz w:val="22"/>
                <w:szCs w:val="22"/>
              </w:rPr>
              <w:t>Daļēji ņemts vērā</w:t>
            </w:r>
          </w:p>
          <w:p w14:paraId="0219BE39" w14:textId="7A3AEEEB" w:rsidR="00B83597" w:rsidRDefault="00B83597" w:rsidP="004569FA">
            <w:pPr>
              <w:pStyle w:val="naisc"/>
              <w:spacing w:before="0" w:after="0"/>
              <w:jc w:val="both"/>
              <w:rPr>
                <w:b/>
                <w:sz w:val="22"/>
                <w:szCs w:val="22"/>
              </w:rPr>
            </w:pPr>
            <w:r w:rsidRPr="00B83597">
              <w:rPr>
                <w:bCs/>
                <w:sz w:val="22"/>
                <w:szCs w:val="22"/>
              </w:rPr>
              <w:t>Ministru kabineta noteikumu projekts “Grozījumi Ministru kabineta 2015.gada 22. decembra noteikumos Nr.805 “Noteikumi par ogļūdeņražu meklēšanu, izpēti un ieguvi””</w:t>
            </w:r>
            <w:r>
              <w:rPr>
                <w:bCs/>
                <w:sz w:val="22"/>
                <w:szCs w:val="22"/>
              </w:rPr>
              <w:t xml:space="preserve"> mērķis ir veikt tehniskos grozījumus, kura mērķis ir funkciju nodošana no Ekonomikas ministrijas uz Būvniecības valsts kontroles biroju. Paralēli šiem grozījumiem, Ekonomikas ministrija veic grozījumus </w:t>
            </w:r>
            <w:r w:rsidRPr="00B83597">
              <w:rPr>
                <w:bCs/>
                <w:sz w:val="22"/>
                <w:szCs w:val="22"/>
              </w:rPr>
              <w:t>Ministru kabineta 2015.gada 22. decembra noteikumos Nr.805 “Noteikumi par ogļūdeņražu meklēšanu, izpēti un ieguvi”</w:t>
            </w:r>
            <w:r>
              <w:rPr>
                <w:bCs/>
                <w:sz w:val="22"/>
                <w:szCs w:val="22"/>
              </w:rPr>
              <w:t>, kur š</w:t>
            </w:r>
            <w:r w:rsidR="002622DC">
              <w:rPr>
                <w:bCs/>
                <w:sz w:val="22"/>
                <w:szCs w:val="22"/>
              </w:rPr>
              <w:t>is</w:t>
            </w:r>
            <w:r>
              <w:rPr>
                <w:bCs/>
                <w:sz w:val="22"/>
                <w:szCs w:val="22"/>
              </w:rPr>
              <w:t xml:space="preserve"> Tieslietu ministrijas iebildum</w:t>
            </w:r>
            <w:r w:rsidR="002622DC">
              <w:rPr>
                <w:bCs/>
                <w:sz w:val="22"/>
                <w:szCs w:val="22"/>
              </w:rPr>
              <w:t>s tiks ņemts vērā.</w:t>
            </w:r>
          </w:p>
        </w:tc>
        <w:tc>
          <w:tcPr>
            <w:tcW w:w="4107" w:type="dxa"/>
            <w:gridSpan w:val="2"/>
            <w:tcBorders>
              <w:top w:val="single" w:sz="6" w:space="0" w:color="808080"/>
              <w:left w:val="single" w:sz="6" w:space="0" w:color="808080"/>
              <w:bottom w:val="single" w:sz="6" w:space="0" w:color="808080"/>
              <w:right w:val="single" w:sz="6" w:space="0" w:color="808080"/>
            </w:tcBorders>
            <w:shd w:val="clear" w:color="auto" w:fill="FFFFFF" w:themeFill="background1"/>
          </w:tcPr>
          <w:p w14:paraId="30A34A41" w14:textId="3083A573" w:rsidR="00B83597" w:rsidRPr="00E2374E" w:rsidRDefault="00E619EA" w:rsidP="00DB7A32">
            <w:pPr>
              <w:pStyle w:val="naisc"/>
              <w:spacing w:before="120" w:after="0"/>
              <w:jc w:val="both"/>
              <w:rPr>
                <w:sz w:val="22"/>
                <w:szCs w:val="22"/>
                <w:u w:val="single"/>
              </w:rPr>
            </w:pPr>
            <w:r>
              <w:rPr>
                <w:sz w:val="22"/>
                <w:szCs w:val="22"/>
              </w:rPr>
              <w:t>Nav attiecināms.</w:t>
            </w:r>
          </w:p>
        </w:tc>
        <w:tc>
          <w:tcPr>
            <w:tcW w:w="1534" w:type="dxa"/>
          </w:tcPr>
          <w:p w14:paraId="03646647" w14:textId="77777777" w:rsidR="00B83597" w:rsidRDefault="00B83597" w:rsidP="00572E43">
            <w:pPr>
              <w:jc w:val="both"/>
              <w:rPr>
                <w:sz w:val="22"/>
                <w:szCs w:val="22"/>
              </w:rPr>
            </w:pPr>
          </w:p>
        </w:tc>
      </w:tr>
      <w:tr w:rsidR="00E91D34" w:rsidRPr="00051CA8" w14:paraId="536E7F63" w14:textId="77777777" w:rsidTr="00B83597">
        <w:trPr>
          <w:trHeight w:val="1426"/>
          <w:tblCellSpacing w:w="0" w:type="dxa"/>
        </w:trPr>
        <w:tc>
          <w:tcPr>
            <w:tcW w:w="606" w:type="dxa"/>
            <w:tcBorders>
              <w:top w:val="single" w:sz="6" w:space="0" w:color="808080"/>
              <w:left w:val="single" w:sz="6" w:space="0" w:color="808080"/>
              <w:bottom w:val="single" w:sz="6" w:space="0" w:color="808080"/>
              <w:right w:val="single" w:sz="6" w:space="0" w:color="808080"/>
            </w:tcBorders>
            <w:shd w:val="clear" w:color="auto" w:fill="FFFFFF" w:themeFill="background1"/>
          </w:tcPr>
          <w:p w14:paraId="5AADF435" w14:textId="4AA0A3A5" w:rsidR="00E91D34" w:rsidRPr="00051CA8" w:rsidRDefault="00E619EA" w:rsidP="00572E43">
            <w:pPr>
              <w:pStyle w:val="naisc"/>
              <w:spacing w:before="0" w:after="0"/>
              <w:rPr>
                <w:sz w:val="22"/>
                <w:szCs w:val="22"/>
              </w:rPr>
            </w:pPr>
            <w:r>
              <w:rPr>
                <w:sz w:val="22"/>
                <w:szCs w:val="22"/>
              </w:rPr>
              <w:t>4</w:t>
            </w:r>
            <w:r w:rsidR="00DB7A32">
              <w:rPr>
                <w:sz w:val="22"/>
                <w:szCs w:val="22"/>
              </w:rPr>
              <w:t>.</w:t>
            </w:r>
          </w:p>
        </w:tc>
        <w:tc>
          <w:tcPr>
            <w:tcW w:w="2221" w:type="dxa"/>
            <w:tcBorders>
              <w:top w:val="single" w:sz="6" w:space="0" w:color="808080"/>
              <w:left w:val="single" w:sz="6" w:space="0" w:color="808080"/>
              <w:bottom w:val="single" w:sz="6" w:space="0" w:color="808080"/>
              <w:right w:val="single" w:sz="6" w:space="0" w:color="808080"/>
            </w:tcBorders>
            <w:shd w:val="clear" w:color="auto" w:fill="FFFFFF" w:themeFill="background1"/>
          </w:tcPr>
          <w:p w14:paraId="7C433FC1" w14:textId="2BB2FF81" w:rsidR="00E91D34" w:rsidRDefault="00E91D34" w:rsidP="00E91D34">
            <w:pPr>
              <w:spacing w:before="120"/>
              <w:jc w:val="both"/>
              <w:rPr>
                <w:sz w:val="22"/>
                <w:szCs w:val="22"/>
              </w:rPr>
            </w:pPr>
            <w:r>
              <w:rPr>
                <w:sz w:val="22"/>
                <w:szCs w:val="22"/>
              </w:rPr>
              <w:t>MK noteikumu projekts</w:t>
            </w:r>
          </w:p>
          <w:p w14:paraId="0EC56532" w14:textId="77777777" w:rsidR="00E91D34" w:rsidRDefault="00E91D34" w:rsidP="00572E43">
            <w:pPr>
              <w:spacing w:before="120"/>
              <w:jc w:val="both"/>
              <w:rPr>
                <w:sz w:val="22"/>
                <w:szCs w:val="22"/>
              </w:rPr>
            </w:pPr>
          </w:p>
          <w:p w14:paraId="22FD8058" w14:textId="77777777" w:rsidR="00A85D85" w:rsidRPr="00A85D85" w:rsidRDefault="00A85D85" w:rsidP="00A85D85">
            <w:pPr>
              <w:rPr>
                <w:sz w:val="22"/>
                <w:szCs w:val="22"/>
              </w:rPr>
            </w:pPr>
          </w:p>
          <w:p w14:paraId="6D8FA943" w14:textId="77777777" w:rsidR="00A85D85" w:rsidRPr="00A85D85" w:rsidRDefault="00A85D85" w:rsidP="00A85D85">
            <w:pPr>
              <w:rPr>
                <w:sz w:val="22"/>
                <w:szCs w:val="22"/>
              </w:rPr>
            </w:pPr>
          </w:p>
          <w:p w14:paraId="08CC8D6C" w14:textId="77777777" w:rsidR="00A85D85" w:rsidRPr="00A85D85" w:rsidRDefault="00A85D85" w:rsidP="00A85D85">
            <w:pPr>
              <w:rPr>
                <w:sz w:val="22"/>
                <w:szCs w:val="22"/>
              </w:rPr>
            </w:pPr>
          </w:p>
          <w:p w14:paraId="5D7B8B93" w14:textId="77777777" w:rsidR="00A85D85" w:rsidRPr="00A85D85" w:rsidRDefault="00A85D85" w:rsidP="00A85D85">
            <w:pPr>
              <w:rPr>
                <w:sz w:val="22"/>
                <w:szCs w:val="22"/>
              </w:rPr>
            </w:pPr>
          </w:p>
          <w:p w14:paraId="74905EA6" w14:textId="77777777" w:rsidR="00A85D85" w:rsidRPr="00A85D85" w:rsidRDefault="00A85D85" w:rsidP="00A85D85">
            <w:pPr>
              <w:rPr>
                <w:sz w:val="22"/>
                <w:szCs w:val="22"/>
              </w:rPr>
            </w:pPr>
          </w:p>
          <w:p w14:paraId="540D991C" w14:textId="77777777" w:rsidR="00A85D85" w:rsidRPr="00A85D85" w:rsidRDefault="00A85D85" w:rsidP="00A85D85">
            <w:pPr>
              <w:rPr>
                <w:sz w:val="22"/>
                <w:szCs w:val="22"/>
              </w:rPr>
            </w:pPr>
          </w:p>
          <w:p w14:paraId="262A72F7" w14:textId="77777777" w:rsidR="00A85D85" w:rsidRPr="00A85D85" w:rsidRDefault="00A85D85" w:rsidP="00A85D85">
            <w:pPr>
              <w:rPr>
                <w:sz w:val="22"/>
                <w:szCs w:val="22"/>
              </w:rPr>
            </w:pPr>
          </w:p>
          <w:p w14:paraId="3A610DB1" w14:textId="77777777" w:rsidR="00A85D85" w:rsidRPr="00A85D85" w:rsidRDefault="00A85D85" w:rsidP="00A85D85">
            <w:pPr>
              <w:rPr>
                <w:sz w:val="22"/>
                <w:szCs w:val="22"/>
              </w:rPr>
            </w:pPr>
          </w:p>
          <w:p w14:paraId="7F837639" w14:textId="77777777" w:rsidR="00A85D85" w:rsidRPr="00A85D85" w:rsidRDefault="00A85D85" w:rsidP="00A85D85">
            <w:pPr>
              <w:rPr>
                <w:sz w:val="22"/>
                <w:szCs w:val="22"/>
              </w:rPr>
            </w:pPr>
          </w:p>
          <w:p w14:paraId="590B78E1" w14:textId="77777777" w:rsidR="00A85D85" w:rsidRPr="00A85D85" w:rsidRDefault="00A85D85" w:rsidP="00A85D85">
            <w:pPr>
              <w:rPr>
                <w:sz w:val="22"/>
                <w:szCs w:val="22"/>
              </w:rPr>
            </w:pPr>
          </w:p>
          <w:p w14:paraId="4E945FC8" w14:textId="77777777" w:rsidR="00A85D85" w:rsidRPr="00A85D85" w:rsidRDefault="00A85D85" w:rsidP="00A85D85">
            <w:pPr>
              <w:rPr>
                <w:sz w:val="22"/>
                <w:szCs w:val="22"/>
              </w:rPr>
            </w:pPr>
          </w:p>
          <w:p w14:paraId="732DF2CA" w14:textId="77777777" w:rsidR="00A85D85" w:rsidRPr="00A85D85" w:rsidRDefault="00A85D85" w:rsidP="00A85D85">
            <w:pPr>
              <w:rPr>
                <w:sz w:val="22"/>
                <w:szCs w:val="22"/>
              </w:rPr>
            </w:pPr>
          </w:p>
          <w:p w14:paraId="4AF98BBA" w14:textId="77777777" w:rsidR="00A85D85" w:rsidRPr="00A85D85" w:rsidRDefault="00A85D85" w:rsidP="00A85D85">
            <w:pPr>
              <w:rPr>
                <w:sz w:val="22"/>
                <w:szCs w:val="22"/>
              </w:rPr>
            </w:pPr>
          </w:p>
          <w:p w14:paraId="539FFDAB" w14:textId="77777777" w:rsidR="00A85D85" w:rsidRPr="00A85D85" w:rsidRDefault="00A85D85" w:rsidP="00A85D85">
            <w:pPr>
              <w:rPr>
                <w:sz w:val="22"/>
                <w:szCs w:val="22"/>
              </w:rPr>
            </w:pPr>
          </w:p>
          <w:p w14:paraId="38CD1A6D" w14:textId="77777777" w:rsidR="00A85D85" w:rsidRPr="00A85D85" w:rsidRDefault="00A85D85" w:rsidP="00A85D85">
            <w:pPr>
              <w:rPr>
                <w:sz w:val="22"/>
                <w:szCs w:val="22"/>
              </w:rPr>
            </w:pPr>
          </w:p>
          <w:p w14:paraId="340FC152" w14:textId="77777777" w:rsidR="00A85D85" w:rsidRPr="00A85D85" w:rsidRDefault="00A85D85" w:rsidP="00A85D85">
            <w:pPr>
              <w:rPr>
                <w:sz w:val="22"/>
                <w:szCs w:val="22"/>
              </w:rPr>
            </w:pPr>
          </w:p>
          <w:p w14:paraId="2B12C32D" w14:textId="77777777" w:rsidR="00A85D85" w:rsidRPr="00A85D85" w:rsidRDefault="00A85D85" w:rsidP="00A85D85">
            <w:pPr>
              <w:rPr>
                <w:sz w:val="22"/>
                <w:szCs w:val="22"/>
              </w:rPr>
            </w:pPr>
          </w:p>
          <w:p w14:paraId="00BC89E6" w14:textId="77777777" w:rsidR="00A85D85" w:rsidRPr="00A85D85" w:rsidRDefault="00A85D85" w:rsidP="00A85D85">
            <w:pPr>
              <w:rPr>
                <w:sz w:val="22"/>
                <w:szCs w:val="22"/>
              </w:rPr>
            </w:pPr>
          </w:p>
          <w:p w14:paraId="7A2EF883" w14:textId="77777777" w:rsidR="00A85D85" w:rsidRPr="00A85D85" w:rsidRDefault="00A85D85" w:rsidP="00A85D85">
            <w:pPr>
              <w:rPr>
                <w:sz w:val="22"/>
                <w:szCs w:val="22"/>
              </w:rPr>
            </w:pPr>
          </w:p>
          <w:p w14:paraId="71C1F40B" w14:textId="77777777" w:rsidR="00A85D85" w:rsidRPr="00A85D85" w:rsidRDefault="00A85D85" w:rsidP="00A85D85">
            <w:pPr>
              <w:rPr>
                <w:sz w:val="22"/>
                <w:szCs w:val="22"/>
              </w:rPr>
            </w:pPr>
          </w:p>
          <w:p w14:paraId="275DFBF8" w14:textId="77777777" w:rsidR="00A85D85" w:rsidRPr="00A85D85" w:rsidRDefault="00A85D85" w:rsidP="00A85D85">
            <w:pPr>
              <w:rPr>
                <w:sz w:val="22"/>
                <w:szCs w:val="22"/>
              </w:rPr>
            </w:pPr>
          </w:p>
          <w:p w14:paraId="77DB7885" w14:textId="77777777" w:rsidR="00A85D85" w:rsidRPr="00A85D85" w:rsidRDefault="00A85D85" w:rsidP="00A85D85">
            <w:pPr>
              <w:rPr>
                <w:sz w:val="22"/>
                <w:szCs w:val="22"/>
              </w:rPr>
            </w:pPr>
          </w:p>
          <w:p w14:paraId="5E7E796E" w14:textId="5A4334BD" w:rsidR="00A85D85" w:rsidRPr="00A85D85" w:rsidRDefault="00A85D85" w:rsidP="00C76CE9">
            <w:pPr>
              <w:rPr>
                <w:sz w:val="22"/>
                <w:szCs w:val="22"/>
              </w:rPr>
            </w:pPr>
          </w:p>
        </w:tc>
        <w:tc>
          <w:tcPr>
            <w:tcW w:w="4820" w:type="dxa"/>
            <w:gridSpan w:val="2"/>
            <w:tcBorders>
              <w:top w:val="single" w:sz="6" w:space="0" w:color="808080"/>
              <w:left w:val="single" w:sz="6" w:space="0" w:color="808080"/>
              <w:bottom w:val="single" w:sz="6" w:space="0" w:color="808080"/>
              <w:right w:val="single" w:sz="6" w:space="0" w:color="808080"/>
            </w:tcBorders>
            <w:shd w:val="clear" w:color="auto" w:fill="FFFFFF" w:themeFill="background1"/>
          </w:tcPr>
          <w:p w14:paraId="3F05508F" w14:textId="77777777" w:rsidR="00DF34CF" w:rsidRPr="00DF34CF" w:rsidRDefault="00DF34CF" w:rsidP="00E91D34">
            <w:pPr>
              <w:jc w:val="both"/>
              <w:rPr>
                <w:b/>
                <w:sz w:val="22"/>
                <w:szCs w:val="22"/>
              </w:rPr>
            </w:pPr>
            <w:r w:rsidRPr="00DF34CF">
              <w:rPr>
                <w:b/>
                <w:sz w:val="22"/>
                <w:szCs w:val="22"/>
              </w:rPr>
              <w:lastRenderedPageBreak/>
              <w:t>Vides aizsardzības un reģionālās attīstības ministrija (03.10.22019)</w:t>
            </w:r>
          </w:p>
          <w:p w14:paraId="33DE5910" w14:textId="047CB3AB" w:rsidR="00E91D34" w:rsidRPr="00E91D34" w:rsidRDefault="00E91D34" w:rsidP="00E91D34">
            <w:pPr>
              <w:jc w:val="both"/>
              <w:rPr>
                <w:bCs/>
                <w:sz w:val="22"/>
                <w:szCs w:val="22"/>
              </w:rPr>
            </w:pPr>
            <w:r w:rsidRPr="00E91D34">
              <w:rPr>
                <w:bCs/>
                <w:sz w:val="22"/>
                <w:szCs w:val="22"/>
              </w:rPr>
              <w:t xml:space="preserve">Saskaņā ar </w:t>
            </w:r>
            <w:r w:rsidRPr="00E91D34">
              <w:rPr>
                <w:sz w:val="22"/>
                <w:szCs w:val="22"/>
              </w:rPr>
              <w:t>Oficiālo publikāciju un tiesiskās informācijas likuma 9. panta pirmo daļu, hierarhiski likums ir augstāks par Ministru kabineta noteikumiem</w:t>
            </w:r>
            <w:r w:rsidRPr="00E91D34">
              <w:rPr>
                <w:bCs/>
                <w:sz w:val="22"/>
                <w:szCs w:val="22"/>
              </w:rPr>
              <w:t xml:space="preserve">, un Ministru kabinets var izdot ārējos normatīvos aktus uz likumā noteiktā pilnvarojuma pamata. Vēršam uzmanību, ka likumā “Par zemes dzīlēm”, uz kā pamata ir izdoti </w:t>
            </w:r>
            <w:r w:rsidRPr="00E91D34">
              <w:rPr>
                <w:sz w:val="22"/>
                <w:szCs w:val="22"/>
              </w:rPr>
              <w:t>Ministru kabineta 2015. gada 22. decembra noteikumi Nr. 805 “Noteikumi par ogļūdeņražu meklēšanu, izpēti un ieguvi” (turpmāk – MKN 805),</w:t>
            </w:r>
            <w:r w:rsidRPr="00E91D34">
              <w:rPr>
                <w:bCs/>
                <w:sz w:val="22"/>
                <w:szCs w:val="22"/>
              </w:rPr>
              <w:t xml:space="preserve"> Ekonomikas ministrijai ir noteikts pienākums izsniegt ogļūdeņražu meklēšanas, izpētes un ieguves licences, kā arī veikt ogļūdeņražu </w:t>
            </w:r>
            <w:r w:rsidRPr="00E91D34">
              <w:rPr>
                <w:bCs/>
                <w:sz w:val="22"/>
                <w:szCs w:val="22"/>
              </w:rPr>
              <w:lastRenderedPageBreak/>
              <w:t xml:space="preserve">meklēšanas, izpētes un ieguves administratīvo pārraudzību. </w:t>
            </w:r>
            <w:r w:rsidRPr="00E91D34">
              <w:rPr>
                <w:sz w:val="22"/>
                <w:szCs w:val="22"/>
              </w:rPr>
              <w:t>Vienlaikus VARAM ne Grozījumu anotācijā, ne izsludināto Latvijas Republikas Ministru kabineta tiesību aktu projektu sarakstā neatrod informāciju par izsludinātu likumprojektu par grozījumiem likumā “Par zemes dzīlēm” saistībā ar funkcijas nodošanu Būvniecības valsts kontroles birojam (turpmāk – BVKB), kas pamatotu Grozījumus. Ņemot vērā minēto, lūdzam sniegt informāciju par plānoto grozījumu likumā “Par zemes dzīlēm” statusu un attiecīgi papildināt Grozījumu anotāciju.</w:t>
            </w:r>
          </w:p>
          <w:p w14:paraId="35056B8B" w14:textId="77777777" w:rsidR="00E91D34" w:rsidRPr="00E91D34" w:rsidRDefault="00E91D34" w:rsidP="00572E43">
            <w:pPr>
              <w:tabs>
                <w:tab w:val="left" w:pos="993"/>
              </w:tabs>
              <w:jc w:val="both"/>
              <w:rPr>
                <w:b/>
                <w:sz w:val="22"/>
                <w:szCs w:val="22"/>
              </w:rPr>
            </w:pPr>
          </w:p>
        </w:tc>
        <w:tc>
          <w:tcPr>
            <w:tcW w:w="3260" w:type="dxa"/>
            <w:tcBorders>
              <w:top w:val="single" w:sz="6" w:space="0" w:color="808080"/>
              <w:left w:val="single" w:sz="6" w:space="0" w:color="808080"/>
              <w:bottom w:val="single" w:sz="6" w:space="0" w:color="808080"/>
              <w:right w:val="single" w:sz="6" w:space="0" w:color="808080"/>
            </w:tcBorders>
            <w:shd w:val="clear" w:color="auto" w:fill="FFFFFF" w:themeFill="background1"/>
          </w:tcPr>
          <w:p w14:paraId="477DA1B5" w14:textId="77777777" w:rsidR="00E91D34" w:rsidRPr="00051CA8" w:rsidRDefault="00E91D34" w:rsidP="00E91D34">
            <w:pPr>
              <w:pStyle w:val="naisc"/>
              <w:spacing w:before="0" w:after="0"/>
              <w:rPr>
                <w:b/>
                <w:sz w:val="22"/>
                <w:szCs w:val="22"/>
              </w:rPr>
            </w:pPr>
            <w:r w:rsidRPr="00051CA8">
              <w:rPr>
                <w:b/>
                <w:sz w:val="22"/>
                <w:szCs w:val="22"/>
              </w:rPr>
              <w:lastRenderedPageBreak/>
              <w:t>Ņemts vērā.</w:t>
            </w:r>
          </w:p>
          <w:p w14:paraId="39B176BE" w14:textId="0D00D3CE" w:rsidR="00E91D34" w:rsidRPr="00E91D34" w:rsidRDefault="00E91D34" w:rsidP="00E91D34">
            <w:pPr>
              <w:spacing w:before="120"/>
              <w:jc w:val="both"/>
              <w:rPr>
                <w:sz w:val="22"/>
                <w:szCs w:val="22"/>
              </w:rPr>
            </w:pPr>
            <w:r>
              <w:rPr>
                <w:sz w:val="22"/>
                <w:szCs w:val="22"/>
              </w:rPr>
              <w:t xml:space="preserve">Ministru kabineta noteikumu projekts tiek virzīts izskatīšanai Ministru kabinetā pēc tam, kad saistītais likumprojekts ir izskatīts Ministru kabinetā un </w:t>
            </w:r>
            <w:r w:rsidRPr="00E91D34">
              <w:rPr>
                <w:sz w:val="22"/>
                <w:szCs w:val="22"/>
              </w:rPr>
              <w:t>pieņemts Saeimā otrajā lasījumā.</w:t>
            </w:r>
          </w:p>
          <w:p w14:paraId="2BFB93A1" w14:textId="682536A1" w:rsidR="00E91D34" w:rsidRPr="00051CA8" w:rsidRDefault="00E91D34" w:rsidP="00E91D34">
            <w:pPr>
              <w:pStyle w:val="naisc"/>
              <w:spacing w:before="0" w:after="0"/>
              <w:jc w:val="both"/>
              <w:rPr>
                <w:b/>
                <w:sz w:val="22"/>
                <w:szCs w:val="22"/>
              </w:rPr>
            </w:pPr>
            <w:r w:rsidRPr="00E91D34">
              <w:rPr>
                <w:sz w:val="22"/>
                <w:szCs w:val="22"/>
              </w:rPr>
              <w:t>Likumprojekts “Grozījumi likumā “Par zemes dzīlēm””  tika izskatīts  Ministru kabineta 2019. gada 8. oktobra sēdē un pieņemts Saeimā otrajā lasījumā 2019. gada 14. novembrī.</w:t>
            </w:r>
          </w:p>
        </w:tc>
        <w:tc>
          <w:tcPr>
            <w:tcW w:w="4107" w:type="dxa"/>
            <w:gridSpan w:val="2"/>
            <w:tcBorders>
              <w:top w:val="single" w:sz="6" w:space="0" w:color="808080"/>
              <w:left w:val="single" w:sz="6" w:space="0" w:color="808080"/>
              <w:bottom w:val="single" w:sz="6" w:space="0" w:color="808080"/>
              <w:right w:val="single" w:sz="6" w:space="0" w:color="808080"/>
            </w:tcBorders>
            <w:shd w:val="clear" w:color="auto" w:fill="FFFFFF" w:themeFill="background1"/>
          </w:tcPr>
          <w:p w14:paraId="6D5B630C" w14:textId="44CC61AE" w:rsidR="00E91D34" w:rsidRDefault="00DF34CF" w:rsidP="00572E43">
            <w:pPr>
              <w:pStyle w:val="NoSpacing"/>
              <w:spacing w:before="120" w:after="120"/>
              <w:jc w:val="both"/>
              <w:rPr>
                <w:sz w:val="22"/>
                <w:szCs w:val="22"/>
                <w:lang w:val="lv-LV"/>
              </w:rPr>
            </w:pPr>
            <w:r>
              <w:rPr>
                <w:sz w:val="22"/>
                <w:szCs w:val="22"/>
                <w:lang w:val="lv-LV"/>
              </w:rPr>
              <w:t>Nav attiecināms.</w:t>
            </w:r>
          </w:p>
        </w:tc>
        <w:tc>
          <w:tcPr>
            <w:tcW w:w="1534" w:type="dxa"/>
          </w:tcPr>
          <w:p w14:paraId="65F3C236" w14:textId="77777777" w:rsidR="00E91D34" w:rsidRDefault="00E91D34" w:rsidP="00572E43">
            <w:pPr>
              <w:jc w:val="both"/>
              <w:rPr>
                <w:sz w:val="22"/>
                <w:szCs w:val="22"/>
              </w:rPr>
            </w:pPr>
          </w:p>
        </w:tc>
      </w:tr>
      <w:tr w:rsidR="001D314A" w:rsidRPr="00051CA8" w14:paraId="6B11BA6D" w14:textId="77777777" w:rsidTr="00572E43">
        <w:trPr>
          <w:trHeight w:val="4275"/>
          <w:tblCellSpacing w:w="0" w:type="dxa"/>
        </w:trPr>
        <w:tc>
          <w:tcPr>
            <w:tcW w:w="606" w:type="dxa"/>
            <w:tcBorders>
              <w:top w:val="single" w:sz="6" w:space="0" w:color="808080"/>
              <w:left w:val="single" w:sz="6" w:space="0" w:color="808080"/>
              <w:bottom w:val="single" w:sz="6" w:space="0" w:color="808080"/>
              <w:right w:val="single" w:sz="6" w:space="0" w:color="808080"/>
            </w:tcBorders>
            <w:shd w:val="clear" w:color="auto" w:fill="FFFFFF" w:themeFill="background1"/>
          </w:tcPr>
          <w:p w14:paraId="217DE917" w14:textId="5AF1971E" w:rsidR="001D314A" w:rsidRPr="00051CA8" w:rsidRDefault="00E619EA" w:rsidP="00572E43">
            <w:pPr>
              <w:pStyle w:val="naisc"/>
              <w:spacing w:before="0" w:after="0"/>
              <w:rPr>
                <w:sz w:val="22"/>
                <w:szCs w:val="22"/>
              </w:rPr>
            </w:pPr>
            <w:r>
              <w:rPr>
                <w:sz w:val="22"/>
                <w:szCs w:val="22"/>
              </w:rPr>
              <w:t>5</w:t>
            </w:r>
            <w:r w:rsidR="00DB7A32">
              <w:rPr>
                <w:sz w:val="22"/>
                <w:szCs w:val="22"/>
              </w:rPr>
              <w:t>.</w:t>
            </w:r>
          </w:p>
        </w:tc>
        <w:tc>
          <w:tcPr>
            <w:tcW w:w="2221" w:type="dxa"/>
            <w:tcBorders>
              <w:top w:val="single" w:sz="6" w:space="0" w:color="808080"/>
              <w:left w:val="single" w:sz="6" w:space="0" w:color="808080"/>
              <w:bottom w:val="single" w:sz="6" w:space="0" w:color="808080"/>
              <w:right w:val="single" w:sz="6" w:space="0" w:color="808080"/>
            </w:tcBorders>
            <w:shd w:val="clear" w:color="auto" w:fill="FFFFFF" w:themeFill="background1"/>
          </w:tcPr>
          <w:p w14:paraId="1948A818" w14:textId="2727FD00" w:rsidR="00DF34CF" w:rsidRDefault="00DF34CF" w:rsidP="00DF34CF">
            <w:pPr>
              <w:spacing w:before="120"/>
              <w:jc w:val="both"/>
              <w:rPr>
                <w:sz w:val="22"/>
                <w:szCs w:val="22"/>
              </w:rPr>
            </w:pPr>
            <w:r>
              <w:rPr>
                <w:sz w:val="22"/>
                <w:szCs w:val="22"/>
              </w:rPr>
              <w:t>MK noteikumu projekts</w:t>
            </w:r>
          </w:p>
          <w:p w14:paraId="7663D5C5" w14:textId="77777777" w:rsidR="001D314A" w:rsidRDefault="001D314A" w:rsidP="00572E43">
            <w:pPr>
              <w:spacing w:before="120"/>
              <w:jc w:val="both"/>
              <w:rPr>
                <w:sz w:val="22"/>
                <w:szCs w:val="22"/>
              </w:rPr>
            </w:pPr>
          </w:p>
        </w:tc>
        <w:tc>
          <w:tcPr>
            <w:tcW w:w="4820" w:type="dxa"/>
            <w:gridSpan w:val="2"/>
            <w:tcBorders>
              <w:top w:val="single" w:sz="6" w:space="0" w:color="808080"/>
              <w:left w:val="single" w:sz="6" w:space="0" w:color="808080"/>
              <w:bottom w:val="single" w:sz="6" w:space="0" w:color="808080"/>
              <w:right w:val="single" w:sz="6" w:space="0" w:color="808080"/>
            </w:tcBorders>
            <w:shd w:val="clear" w:color="auto" w:fill="FFFFFF" w:themeFill="background1"/>
          </w:tcPr>
          <w:p w14:paraId="75D97B36" w14:textId="77777777" w:rsidR="00835981" w:rsidRPr="00DF34CF" w:rsidRDefault="00835981" w:rsidP="00835981">
            <w:pPr>
              <w:jc w:val="both"/>
              <w:rPr>
                <w:b/>
                <w:sz w:val="22"/>
                <w:szCs w:val="22"/>
              </w:rPr>
            </w:pPr>
            <w:r w:rsidRPr="00DF34CF">
              <w:rPr>
                <w:b/>
                <w:sz w:val="22"/>
                <w:szCs w:val="22"/>
              </w:rPr>
              <w:t>Vides aizsardzības un reģionālās attīstības ministrija (03.10.22019)</w:t>
            </w:r>
          </w:p>
          <w:p w14:paraId="6F0CCC2B" w14:textId="6F9A3972" w:rsidR="001D314A" w:rsidRPr="00DF34CF" w:rsidRDefault="00DF34CF" w:rsidP="00DF34CF">
            <w:pPr>
              <w:jc w:val="both"/>
              <w:rPr>
                <w:bCs/>
                <w:sz w:val="22"/>
                <w:szCs w:val="22"/>
              </w:rPr>
            </w:pPr>
            <w:r w:rsidRPr="00DF34CF">
              <w:rPr>
                <w:sz w:val="22"/>
                <w:szCs w:val="22"/>
              </w:rPr>
              <w:t>Norādām, ka ogļūdeņražu meklēšana, izpēte un ieguve uzskatāma ne tikai par enerģētikas politikā ietilpstošu darbību, bet arī par zemes dzīļu izmantošanu, kā pārraudzībai ir nepieciešami jomas speciālisti. VARAM Grozījumu anotācijā nekonstatē izvērtējumu par BVKB pietiekamu kompetenci un kapacitāti uzraudzīt ogļūdeņražu meklēšanas, izpētes un ieguves jomu. Vienlaikus VARAM Grozījumu anotācijā arī nekonstatē informāciju par Ekonomikas ministrijas cilvēkresursu nodošanu BVKB. Ņemot vērā minēto, lūdzam papildināt Grozījumu anotāciju ar informāciju par BVKB gatavību pārņemt pārraudzības funkcijas ogļūdeņražu meklēšanas, izpētes un ieguves jomā.</w:t>
            </w:r>
          </w:p>
        </w:tc>
        <w:tc>
          <w:tcPr>
            <w:tcW w:w="3260" w:type="dxa"/>
            <w:tcBorders>
              <w:top w:val="single" w:sz="6" w:space="0" w:color="808080"/>
              <w:left w:val="single" w:sz="6" w:space="0" w:color="808080"/>
              <w:bottom w:val="single" w:sz="6" w:space="0" w:color="808080"/>
              <w:right w:val="single" w:sz="6" w:space="0" w:color="808080"/>
            </w:tcBorders>
            <w:shd w:val="clear" w:color="auto" w:fill="FFFFFF" w:themeFill="background1"/>
          </w:tcPr>
          <w:p w14:paraId="2F8D7A04" w14:textId="77777777" w:rsidR="001D314A" w:rsidRDefault="00DF34CF" w:rsidP="00572E43">
            <w:pPr>
              <w:pStyle w:val="naisc"/>
              <w:spacing w:before="0" w:after="0"/>
              <w:rPr>
                <w:b/>
                <w:sz w:val="22"/>
                <w:szCs w:val="22"/>
              </w:rPr>
            </w:pPr>
            <w:r>
              <w:rPr>
                <w:b/>
                <w:sz w:val="22"/>
                <w:szCs w:val="22"/>
              </w:rPr>
              <w:t>Ņemts vērā.</w:t>
            </w:r>
          </w:p>
          <w:p w14:paraId="4BBC4E0C" w14:textId="77777777" w:rsidR="00DF34CF" w:rsidRDefault="00DF34CF" w:rsidP="00835981">
            <w:pPr>
              <w:pStyle w:val="naisc"/>
              <w:spacing w:before="0" w:after="0"/>
              <w:jc w:val="both"/>
              <w:rPr>
                <w:bCs/>
                <w:sz w:val="22"/>
                <w:szCs w:val="22"/>
              </w:rPr>
            </w:pPr>
            <w:r w:rsidRPr="00835981">
              <w:rPr>
                <w:bCs/>
                <w:sz w:val="22"/>
                <w:szCs w:val="22"/>
              </w:rPr>
              <w:t xml:space="preserve">Likumprojekta </w:t>
            </w:r>
            <w:r w:rsidR="00835981" w:rsidRPr="00835981">
              <w:rPr>
                <w:bCs/>
                <w:sz w:val="22"/>
                <w:szCs w:val="22"/>
              </w:rPr>
              <w:t>“Grozījumi likumā “Par zemes dzīlēm”” anotācijā norādīts, ka ogļūdeņražu izpētes un ieguves licencēšanas jautājumiem BVKB ir nepieciešamas 2 amata vietas. Finansējums ir iekļauts likumprojektā “Par valsts budžetu 2020.gadam” un likumprojektā “par vidējā termiņa budžeta ietvaru 2020., 2021. un 2022.gadam”.</w:t>
            </w:r>
          </w:p>
          <w:p w14:paraId="59017326" w14:textId="120B0352" w:rsidR="00E2374E" w:rsidRPr="00835981" w:rsidRDefault="00E2374E" w:rsidP="00835981">
            <w:pPr>
              <w:pStyle w:val="naisc"/>
              <w:spacing w:before="0" w:after="0"/>
              <w:jc w:val="both"/>
              <w:rPr>
                <w:bCs/>
                <w:sz w:val="22"/>
                <w:szCs w:val="22"/>
              </w:rPr>
            </w:pPr>
            <w:r w:rsidRPr="00E91D34">
              <w:rPr>
                <w:sz w:val="22"/>
                <w:szCs w:val="22"/>
              </w:rPr>
              <w:t>“Grozījumi likumā “Par zemes dzīlēm””  tika izskatīts  Ministru kabineta 2019. gada 8. oktobra sēdē un pieņemts Saeimā otrajā lasījumā 2019. gada 14. novembrī.</w:t>
            </w:r>
          </w:p>
        </w:tc>
        <w:tc>
          <w:tcPr>
            <w:tcW w:w="4107" w:type="dxa"/>
            <w:gridSpan w:val="2"/>
            <w:tcBorders>
              <w:top w:val="single" w:sz="6" w:space="0" w:color="808080"/>
              <w:left w:val="single" w:sz="6" w:space="0" w:color="808080"/>
              <w:bottom w:val="single" w:sz="6" w:space="0" w:color="808080"/>
              <w:right w:val="single" w:sz="6" w:space="0" w:color="808080"/>
            </w:tcBorders>
            <w:shd w:val="clear" w:color="auto" w:fill="FFFFFF" w:themeFill="background1"/>
          </w:tcPr>
          <w:p w14:paraId="27AB5771" w14:textId="6CFEC4D2" w:rsidR="001D314A" w:rsidRDefault="00835981" w:rsidP="00572E43">
            <w:pPr>
              <w:pStyle w:val="NoSpacing"/>
              <w:spacing w:before="120" w:after="120"/>
              <w:jc w:val="both"/>
              <w:rPr>
                <w:sz w:val="22"/>
                <w:szCs w:val="22"/>
                <w:lang w:val="lv-LV"/>
              </w:rPr>
            </w:pPr>
            <w:r>
              <w:rPr>
                <w:sz w:val="22"/>
                <w:szCs w:val="22"/>
                <w:lang w:val="lv-LV"/>
              </w:rPr>
              <w:t>Nav attiecināms.</w:t>
            </w:r>
          </w:p>
        </w:tc>
        <w:tc>
          <w:tcPr>
            <w:tcW w:w="1534" w:type="dxa"/>
          </w:tcPr>
          <w:p w14:paraId="73464D55" w14:textId="77777777" w:rsidR="001D314A" w:rsidRDefault="001D314A" w:rsidP="00572E43">
            <w:pPr>
              <w:jc w:val="both"/>
              <w:rPr>
                <w:sz w:val="22"/>
                <w:szCs w:val="22"/>
              </w:rPr>
            </w:pPr>
          </w:p>
        </w:tc>
      </w:tr>
      <w:tr w:rsidR="00E2374E" w:rsidRPr="00051CA8" w14:paraId="22F2E2B4" w14:textId="77777777" w:rsidTr="00572E43">
        <w:trPr>
          <w:trHeight w:val="4275"/>
          <w:tblCellSpacing w:w="0" w:type="dxa"/>
        </w:trPr>
        <w:tc>
          <w:tcPr>
            <w:tcW w:w="606" w:type="dxa"/>
            <w:tcBorders>
              <w:top w:val="single" w:sz="6" w:space="0" w:color="808080"/>
              <w:left w:val="single" w:sz="6" w:space="0" w:color="808080"/>
              <w:bottom w:val="single" w:sz="6" w:space="0" w:color="808080"/>
              <w:right w:val="single" w:sz="6" w:space="0" w:color="808080"/>
            </w:tcBorders>
            <w:shd w:val="clear" w:color="auto" w:fill="FFFFFF" w:themeFill="background1"/>
          </w:tcPr>
          <w:p w14:paraId="57FBC648" w14:textId="72D2D2C2" w:rsidR="00E2374E" w:rsidRPr="00E2374E" w:rsidRDefault="00E619EA" w:rsidP="00E2374E">
            <w:pPr>
              <w:pStyle w:val="naisc"/>
              <w:spacing w:before="0" w:after="0"/>
              <w:rPr>
                <w:sz w:val="22"/>
                <w:szCs w:val="22"/>
              </w:rPr>
            </w:pPr>
            <w:r>
              <w:rPr>
                <w:sz w:val="22"/>
                <w:szCs w:val="22"/>
              </w:rPr>
              <w:lastRenderedPageBreak/>
              <w:t>6</w:t>
            </w:r>
            <w:r w:rsidR="00DB7A32">
              <w:rPr>
                <w:sz w:val="22"/>
                <w:szCs w:val="22"/>
              </w:rPr>
              <w:t>.</w:t>
            </w:r>
          </w:p>
        </w:tc>
        <w:tc>
          <w:tcPr>
            <w:tcW w:w="2221" w:type="dxa"/>
            <w:tcBorders>
              <w:top w:val="single" w:sz="6" w:space="0" w:color="808080"/>
              <w:left w:val="single" w:sz="6" w:space="0" w:color="808080"/>
              <w:bottom w:val="single" w:sz="6" w:space="0" w:color="808080"/>
              <w:right w:val="single" w:sz="6" w:space="0" w:color="808080"/>
            </w:tcBorders>
            <w:shd w:val="clear" w:color="auto" w:fill="FFFFFF" w:themeFill="background1"/>
          </w:tcPr>
          <w:p w14:paraId="2F0D3826" w14:textId="1D73A660" w:rsidR="00E2374E" w:rsidRPr="00E2374E" w:rsidRDefault="00E2374E" w:rsidP="00E2374E">
            <w:pPr>
              <w:spacing w:before="120"/>
              <w:jc w:val="both"/>
              <w:rPr>
                <w:sz w:val="22"/>
                <w:szCs w:val="22"/>
              </w:rPr>
            </w:pPr>
            <w:r w:rsidRPr="00E2374E">
              <w:rPr>
                <w:sz w:val="22"/>
                <w:szCs w:val="22"/>
              </w:rPr>
              <w:t>MK noteikumu projekts</w:t>
            </w:r>
          </w:p>
          <w:p w14:paraId="70F2AF4A" w14:textId="77777777" w:rsidR="00E2374E" w:rsidRPr="00E2374E" w:rsidRDefault="00E2374E" w:rsidP="00E2374E">
            <w:pPr>
              <w:spacing w:before="120"/>
              <w:jc w:val="both"/>
              <w:rPr>
                <w:sz w:val="22"/>
                <w:szCs w:val="22"/>
              </w:rPr>
            </w:pPr>
          </w:p>
        </w:tc>
        <w:tc>
          <w:tcPr>
            <w:tcW w:w="4820" w:type="dxa"/>
            <w:gridSpan w:val="2"/>
            <w:tcBorders>
              <w:top w:val="single" w:sz="6" w:space="0" w:color="808080"/>
              <w:left w:val="single" w:sz="6" w:space="0" w:color="808080"/>
              <w:bottom w:val="single" w:sz="6" w:space="0" w:color="808080"/>
              <w:right w:val="single" w:sz="6" w:space="0" w:color="808080"/>
            </w:tcBorders>
            <w:shd w:val="clear" w:color="auto" w:fill="FFFFFF" w:themeFill="background1"/>
          </w:tcPr>
          <w:p w14:paraId="11A0128E" w14:textId="77777777" w:rsidR="00E2374E" w:rsidRPr="00E2374E" w:rsidRDefault="00E2374E" w:rsidP="00E2374E">
            <w:pPr>
              <w:pStyle w:val="naisc"/>
              <w:spacing w:before="0" w:after="0"/>
              <w:jc w:val="both"/>
              <w:rPr>
                <w:b/>
                <w:bCs/>
                <w:sz w:val="22"/>
                <w:szCs w:val="22"/>
              </w:rPr>
            </w:pPr>
            <w:r w:rsidRPr="00E2374E">
              <w:rPr>
                <w:b/>
                <w:bCs/>
                <w:sz w:val="22"/>
                <w:szCs w:val="22"/>
              </w:rPr>
              <w:t>Vides aizsardzības un reģionālās attīstības ministrijas atzinums (03.10.2019)</w:t>
            </w:r>
          </w:p>
          <w:p w14:paraId="44F48EB1" w14:textId="77777777" w:rsidR="00E2374E" w:rsidRPr="00E2374E" w:rsidRDefault="00E2374E" w:rsidP="00E2374E">
            <w:pPr>
              <w:widowControl w:val="0"/>
              <w:spacing w:before="120"/>
              <w:jc w:val="both"/>
              <w:rPr>
                <w:bCs/>
                <w:sz w:val="22"/>
                <w:szCs w:val="22"/>
              </w:rPr>
            </w:pPr>
            <w:r w:rsidRPr="00E2374E">
              <w:rPr>
                <w:bCs/>
                <w:sz w:val="22"/>
                <w:szCs w:val="22"/>
              </w:rPr>
              <w:t xml:space="preserve">Lūdzam precizēt Grozījumu 1.26. apakšpunktu tā, lai, izslēdzot </w:t>
            </w:r>
            <w:r w:rsidRPr="00E2374E">
              <w:rPr>
                <w:sz w:val="22"/>
                <w:szCs w:val="22"/>
              </w:rPr>
              <w:t xml:space="preserve">MKN 805 </w:t>
            </w:r>
            <w:r w:rsidRPr="00E2374E">
              <w:rPr>
                <w:bCs/>
                <w:sz w:val="22"/>
                <w:szCs w:val="22"/>
              </w:rPr>
              <w:t>270.1. apakšpunktā vārdus “un Ekonomikas ministrijas”, visā 270.1. apakšpunkta redakcijā vārdi būtu saskaņotā locījumā.</w:t>
            </w:r>
          </w:p>
          <w:p w14:paraId="7512E7DD" w14:textId="77777777" w:rsidR="00E2374E" w:rsidRPr="00E2374E" w:rsidRDefault="00E2374E" w:rsidP="00E2374E">
            <w:pPr>
              <w:pStyle w:val="naisc"/>
              <w:spacing w:before="0" w:after="0"/>
              <w:jc w:val="both"/>
              <w:rPr>
                <w:b/>
                <w:bCs/>
                <w:sz w:val="22"/>
                <w:szCs w:val="22"/>
              </w:rPr>
            </w:pPr>
          </w:p>
          <w:p w14:paraId="7155FD6C" w14:textId="77777777" w:rsidR="00E2374E" w:rsidRPr="00E2374E" w:rsidRDefault="00E2374E" w:rsidP="00E2374E">
            <w:pPr>
              <w:pStyle w:val="naisc"/>
              <w:spacing w:before="0" w:after="0"/>
              <w:jc w:val="both"/>
              <w:rPr>
                <w:b/>
                <w:bCs/>
                <w:sz w:val="22"/>
                <w:szCs w:val="22"/>
              </w:rPr>
            </w:pPr>
          </w:p>
          <w:p w14:paraId="293BA2BE" w14:textId="0C3969E4" w:rsidR="00E2374E" w:rsidRPr="00E2374E" w:rsidRDefault="00E2374E" w:rsidP="00E2374E">
            <w:pPr>
              <w:jc w:val="both"/>
              <w:rPr>
                <w:b/>
                <w:sz w:val="22"/>
                <w:szCs w:val="22"/>
              </w:rPr>
            </w:pPr>
          </w:p>
        </w:tc>
        <w:tc>
          <w:tcPr>
            <w:tcW w:w="3260" w:type="dxa"/>
            <w:tcBorders>
              <w:top w:val="single" w:sz="6" w:space="0" w:color="808080"/>
              <w:left w:val="single" w:sz="6" w:space="0" w:color="808080"/>
              <w:bottom w:val="single" w:sz="6" w:space="0" w:color="808080"/>
              <w:right w:val="single" w:sz="6" w:space="0" w:color="808080"/>
            </w:tcBorders>
            <w:shd w:val="clear" w:color="auto" w:fill="FFFFFF" w:themeFill="background1"/>
          </w:tcPr>
          <w:p w14:paraId="20122190" w14:textId="77777777" w:rsidR="00E2374E" w:rsidRPr="00E2374E" w:rsidRDefault="00E2374E" w:rsidP="00E2374E">
            <w:pPr>
              <w:pStyle w:val="naisc"/>
              <w:spacing w:before="0" w:after="0"/>
              <w:rPr>
                <w:b/>
                <w:sz w:val="22"/>
                <w:szCs w:val="22"/>
              </w:rPr>
            </w:pPr>
            <w:r w:rsidRPr="00E2374E">
              <w:rPr>
                <w:b/>
                <w:sz w:val="22"/>
                <w:szCs w:val="22"/>
              </w:rPr>
              <w:t>Ņemts vērā.</w:t>
            </w:r>
          </w:p>
          <w:p w14:paraId="6FDF2C69" w14:textId="729E587E" w:rsidR="00E2374E" w:rsidRPr="00E2374E" w:rsidRDefault="00E2374E" w:rsidP="00E2374E">
            <w:pPr>
              <w:pStyle w:val="naisc"/>
              <w:spacing w:before="0" w:after="0"/>
              <w:rPr>
                <w:b/>
                <w:sz w:val="22"/>
                <w:szCs w:val="22"/>
              </w:rPr>
            </w:pPr>
            <w:r w:rsidRPr="00E2374E">
              <w:rPr>
                <w:sz w:val="22"/>
                <w:szCs w:val="22"/>
              </w:rPr>
              <w:t>Veiktas izmaiņas 1.26. apakšpunktā, lai teksts būtu saskaņotā locījumā</w:t>
            </w:r>
          </w:p>
        </w:tc>
        <w:tc>
          <w:tcPr>
            <w:tcW w:w="4107" w:type="dxa"/>
            <w:gridSpan w:val="2"/>
            <w:tcBorders>
              <w:top w:val="single" w:sz="6" w:space="0" w:color="808080"/>
              <w:left w:val="single" w:sz="6" w:space="0" w:color="808080"/>
              <w:bottom w:val="single" w:sz="6" w:space="0" w:color="808080"/>
              <w:right w:val="single" w:sz="6" w:space="0" w:color="808080"/>
            </w:tcBorders>
            <w:shd w:val="clear" w:color="auto" w:fill="FFFFFF" w:themeFill="background1"/>
          </w:tcPr>
          <w:p w14:paraId="3CA711A9" w14:textId="798A0C62" w:rsidR="00E2374E" w:rsidRPr="00E2374E" w:rsidRDefault="00E2374E" w:rsidP="00E2374E">
            <w:pPr>
              <w:pStyle w:val="naisc"/>
              <w:spacing w:before="120" w:after="0"/>
              <w:jc w:val="both"/>
              <w:rPr>
                <w:sz w:val="22"/>
                <w:szCs w:val="22"/>
                <w:u w:val="single"/>
              </w:rPr>
            </w:pPr>
            <w:r w:rsidRPr="00E2374E">
              <w:rPr>
                <w:sz w:val="22"/>
                <w:szCs w:val="22"/>
                <w:u w:val="single"/>
              </w:rPr>
              <w:t>1.2</w:t>
            </w:r>
            <w:r w:rsidR="004569FA">
              <w:rPr>
                <w:sz w:val="22"/>
                <w:szCs w:val="22"/>
                <w:u w:val="single"/>
              </w:rPr>
              <w:t>7</w:t>
            </w:r>
            <w:r w:rsidRPr="00E2374E">
              <w:rPr>
                <w:sz w:val="22"/>
                <w:szCs w:val="22"/>
                <w:u w:val="single"/>
              </w:rPr>
              <w:t>. izteikt 270.1. apakšpunktu šādā redakcijā:</w:t>
            </w:r>
          </w:p>
          <w:p w14:paraId="5FB7ACBB" w14:textId="705D4C72" w:rsidR="00E2374E" w:rsidRPr="00E2374E" w:rsidRDefault="00E2374E" w:rsidP="00E2374E">
            <w:pPr>
              <w:pStyle w:val="NoSpacing"/>
              <w:spacing w:before="120" w:after="120"/>
              <w:jc w:val="both"/>
              <w:rPr>
                <w:sz w:val="22"/>
                <w:szCs w:val="22"/>
                <w:lang w:val="lv-LV"/>
              </w:rPr>
            </w:pPr>
            <w:bookmarkStart w:id="3" w:name="_Hlk23770888"/>
            <w:r w:rsidRPr="00E2374E">
              <w:rPr>
                <w:i/>
                <w:iCs/>
                <w:sz w:val="22"/>
                <w:szCs w:val="22"/>
                <w:lang w:val="lv-LV"/>
              </w:rPr>
              <w:t xml:space="preserve">“270.1. </w:t>
            </w:r>
            <w:r w:rsidRPr="00E2374E">
              <w:rPr>
                <w:rFonts w:ascii="Arial" w:hAnsi="Arial" w:cs="Arial"/>
                <w:i/>
                <w:iCs/>
                <w:color w:val="414142"/>
                <w:sz w:val="22"/>
                <w:szCs w:val="22"/>
                <w:shd w:val="clear" w:color="auto" w:fill="FFFFFF"/>
              </w:rPr>
              <w:t> </w:t>
            </w:r>
            <w:r w:rsidRPr="00E2374E">
              <w:rPr>
                <w:i/>
                <w:iCs/>
                <w:sz w:val="22"/>
                <w:szCs w:val="22"/>
                <w:shd w:val="clear" w:color="auto" w:fill="FFFFFF"/>
                <w:lang w:val="lv-LV"/>
              </w:rPr>
              <w:t>šo noteikumu 268. punktā minētajā gadījumā – dienesta un kompetentās iestādes amatpersonu nogādāšanu uz iekārtu vai kuģi, kas saistīts ar naftas un gāzes nozares darbībām, un no tā (tostarp iestāžu vai personu aprīkojuma pārvadāšanu) jebkurā pieņemamā laikā, kā arī izmitināšanu, ēdināšanu un citas uzturēšanās vajadzības saistībā ar iekārtu apmeklējumiem, lai palīdzētu dienestam un kompetentajai iestādei veikt pārraudzību (tostarp inspekcijas, izmeklēšanas un izpildi);”</w:t>
            </w:r>
            <w:bookmarkEnd w:id="3"/>
          </w:p>
        </w:tc>
        <w:tc>
          <w:tcPr>
            <w:tcW w:w="1534" w:type="dxa"/>
          </w:tcPr>
          <w:p w14:paraId="246A740D" w14:textId="77777777" w:rsidR="00E2374E" w:rsidRDefault="00E2374E" w:rsidP="00E2374E">
            <w:pPr>
              <w:jc w:val="both"/>
              <w:rPr>
                <w:sz w:val="22"/>
                <w:szCs w:val="22"/>
              </w:rPr>
            </w:pPr>
          </w:p>
        </w:tc>
      </w:tr>
      <w:tr w:rsidR="0050620E" w:rsidRPr="00051CA8" w14:paraId="443AA474" w14:textId="77777777" w:rsidTr="00572E43">
        <w:trPr>
          <w:trHeight w:val="4275"/>
          <w:tblCellSpacing w:w="0" w:type="dxa"/>
        </w:trPr>
        <w:tc>
          <w:tcPr>
            <w:tcW w:w="606" w:type="dxa"/>
            <w:tcBorders>
              <w:top w:val="single" w:sz="6" w:space="0" w:color="808080"/>
              <w:left w:val="single" w:sz="6" w:space="0" w:color="808080"/>
              <w:bottom w:val="single" w:sz="6" w:space="0" w:color="808080"/>
              <w:right w:val="single" w:sz="6" w:space="0" w:color="808080"/>
            </w:tcBorders>
            <w:shd w:val="clear" w:color="auto" w:fill="FFFFFF" w:themeFill="background1"/>
          </w:tcPr>
          <w:p w14:paraId="50E85A10" w14:textId="646820BF" w:rsidR="0050620E" w:rsidRDefault="0050620E" w:rsidP="0050620E">
            <w:pPr>
              <w:pStyle w:val="naisc"/>
              <w:spacing w:before="0" w:after="0"/>
              <w:rPr>
                <w:sz w:val="22"/>
                <w:szCs w:val="22"/>
              </w:rPr>
            </w:pPr>
            <w:r>
              <w:t>7</w:t>
            </w:r>
            <w:r>
              <w:t>.</w:t>
            </w:r>
          </w:p>
        </w:tc>
        <w:tc>
          <w:tcPr>
            <w:tcW w:w="2221" w:type="dxa"/>
            <w:tcBorders>
              <w:top w:val="single" w:sz="6" w:space="0" w:color="808080"/>
              <w:left w:val="single" w:sz="6" w:space="0" w:color="808080"/>
              <w:bottom w:val="single" w:sz="6" w:space="0" w:color="808080"/>
              <w:right w:val="single" w:sz="6" w:space="0" w:color="808080"/>
            </w:tcBorders>
            <w:shd w:val="clear" w:color="auto" w:fill="FFFFFF" w:themeFill="background1"/>
          </w:tcPr>
          <w:p w14:paraId="7CD3FDDD" w14:textId="02A761C8" w:rsidR="0050620E" w:rsidRPr="00E2374E" w:rsidRDefault="0050620E" w:rsidP="0050620E">
            <w:pPr>
              <w:spacing w:before="120"/>
              <w:jc w:val="both"/>
              <w:rPr>
                <w:sz w:val="22"/>
                <w:szCs w:val="22"/>
              </w:rPr>
            </w:pPr>
            <w:r>
              <w:rPr>
                <w:sz w:val="22"/>
                <w:szCs w:val="22"/>
              </w:rPr>
              <w:t>MK</w:t>
            </w:r>
            <w:r w:rsidRPr="005D513C">
              <w:rPr>
                <w:sz w:val="22"/>
                <w:szCs w:val="22"/>
              </w:rPr>
              <w:t xml:space="preserve"> noteikumu projekts</w:t>
            </w:r>
          </w:p>
        </w:tc>
        <w:tc>
          <w:tcPr>
            <w:tcW w:w="4820" w:type="dxa"/>
            <w:gridSpan w:val="2"/>
            <w:tcBorders>
              <w:top w:val="single" w:sz="6" w:space="0" w:color="808080"/>
              <w:left w:val="single" w:sz="6" w:space="0" w:color="808080"/>
              <w:bottom w:val="single" w:sz="6" w:space="0" w:color="808080"/>
              <w:right w:val="single" w:sz="6" w:space="0" w:color="808080"/>
            </w:tcBorders>
            <w:shd w:val="clear" w:color="auto" w:fill="FFFFFF" w:themeFill="background1"/>
          </w:tcPr>
          <w:p w14:paraId="6A5EF1D2" w14:textId="77777777" w:rsidR="0050620E" w:rsidRPr="00835981" w:rsidRDefault="0050620E" w:rsidP="0050620E">
            <w:pPr>
              <w:jc w:val="both"/>
              <w:rPr>
                <w:b/>
                <w:sz w:val="22"/>
                <w:szCs w:val="22"/>
              </w:rPr>
            </w:pPr>
            <w:r w:rsidRPr="00835981">
              <w:rPr>
                <w:b/>
                <w:sz w:val="22"/>
                <w:szCs w:val="22"/>
              </w:rPr>
              <w:t>Vides aizsardzības un reģionālās attīstības ministrija (03.10.22019)</w:t>
            </w:r>
          </w:p>
          <w:p w14:paraId="6BBEF042" w14:textId="1476900B" w:rsidR="0050620E" w:rsidRPr="0050620E" w:rsidRDefault="0050620E" w:rsidP="0050620E">
            <w:pPr>
              <w:widowControl w:val="0"/>
              <w:jc w:val="both"/>
              <w:rPr>
                <w:bCs/>
                <w:sz w:val="22"/>
                <w:szCs w:val="22"/>
              </w:rPr>
            </w:pPr>
            <w:r w:rsidRPr="00835981">
              <w:rPr>
                <w:bCs/>
                <w:sz w:val="22"/>
                <w:szCs w:val="22"/>
              </w:rPr>
              <w:t>Vēršam uzmanību, ka uz likuma “Par zemes dzīlēm” 10. panta divpadsmitās daļas pamata ir izdoti Ministru kabineta 2009. gada 18. augusta noteikumi Nr. 942 “</w:t>
            </w:r>
            <w:r w:rsidRPr="00835981">
              <w:rPr>
                <w:sz w:val="22"/>
                <w:szCs w:val="22"/>
              </w:rPr>
              <w:t xml:space="preserve">Noteikumi par ogļūdeņražu ieguves valsts nodevu”, kuru 7. punkts noteic, ka iegūto ogļūdeņražu daudzuma uzskaiti un ar urbuma izplūdes atloku saistītās mērīšanas ierīces (skaitītāja) rādījumus kontrolē Ekonomikas ministrija. </w:t>
            </w:r>
            <w:r w:rsidRPr="00835981">
              <w:rPr>
                <w:bCs/>
                <w:sz w:val="22"/>
                <w:szCs w:val="22"/>
              </w:rPr>
              <w:t>VARAM atbilstoši Grozījumu anotācijai konstatē, ka Ekonomikas ministrija neplāno veikt grozījumus Ministru kabineta 2009. gada 18. augusta noteikumos Nr. 942 “</w:t>
            </w:r>
            <w:r w:rsidRPr="00835981">
              <w:rPr>
                <w:sz w:val="22"/>
                <w:szCs w:val="22"/>
              </w:rPr>
              <w:t>Noteikumi par ogļūdeņražu ieguves valsts nodevu”, lai gan pārraudzību ogļūdeņražu meklēšanas, izpētes un ieguves jomā plānots nodot BVKB. Ņemot vērā minēto, lūdzam skaidrot, kādēļ tiek saglabāta funkcija Ekonomikas ministrijai veikt iegūto ogļūdeņražu daudzuma uzskaiti un ar urbuma izplūdes atloku saistītās mērīšanas ierīces (skaitītāja) rādījumu kontroli.</w:t>
            </w:r>
            <w:bookmarkStart w:id="4" w:name="_GoBack"/>
            <w:bookmarkEnd w:id="4"/>
          </w:p>
        </w:tc>
        <w:tc>
          <w:tcPr>
            <w:tcW w:w="3260" w:type="dxa"/>
            <w:tcBorders>
              <w:top w:val="single" w:sz="6" w:space="0" w:color="808080"/>
              <w:left w:val="single" w:sz="6" w:space="0" w:color="808080"/>
              <w:bottom w:val="single" w:sz="6" w:space="0" w:color="808080"/>
              <w:right w:val="single" w:sz="6" w:space="0" w:color="808080"/>
            </w:tcBorders>
            <w:shd w:val="clear" w:color="auto" w:fill="FFFFFF" w:themeFill="background1"/>
          </w:tcPr>
          <w:p w14:paraId="17140040" w14:textId="63101F53" w:rsidR="0050620E" w:rsidRPr="00E2374E" w:rsidRDefault="0050620E" w:rsidP="0050620E">
            <w:pPr>
              <w:pStyle w:val="naisc"/>
              <w:spacing w:before="0" w:after="0"/>
              <w:rPr>
                <w:b/>
                <w:sz w:val="22"/>
                <w:szCs w:val="22"/>
              </w:rPr>
            </w:pPr>
            <w:r>
              <w:rPr>
                <w:b/>
                <w:bCs/>
                <w:sz w:val="22"/>
                <w:szCs w:val="22"/>
              </w:rPr>
              <w:t>Panākta vienošanās elektroniskās saskaņošanas laikā</w:t>
            </w:r>
          </w:p>
        </w:tc>
        <w:tc>
          <w:tcPr>
            <w:tcW w:w="4107" w:type="dxa"/>
            <w:gridSpan w:val="2"/>
            <w:tcBorders>
              <w:top w:val="single" w:sz="6" w:space="0" w:color="808080"/>
              <w:left w:val="single" w:sz="6" w:space="0" w:color="808080"/>
              <w:bottom w:val="single" w:sz="6" w:space="0" w:color="808080"/>
              <w:right w:val="single" w:sz="6" w:space="0" w:color="808080"/>
            </w:tcBorders>
            <w:shd w:val="clear" w:color="auto" w:fill="FFFFFF" w:themeFill="background1"/>
          </w:tcPr>
          <w:p w14:paraId="755A5CDB" w14:textId="3118836C" w:rsidR="0050620E" w:rsidRPr="0050620E" w:rsidRDefault="0050620E" w:rsidP="0050620E">
            <w:pPr>
              <w:pStyle w:val="naisc"/>
              <w:spacing w:before="120" w:after="0"/>
              <w:jc w:val="both"/>
              <w:rPr>
                <w:sz w:val="22"/>
                <w:szCs w:val="22"/>
              </w:rPr>
            </w:pPr>
            <w:r w:rsidRPr="0050620E">
              <w:rPr>
                <w:sz w:val="22"/>
                <w:szCs w:val="22"/>
              </w:rPr>
              <w:t>Nav attiecināms.</w:t>
            </w:r>
          </w:p>
        </w:tc>
        <w:tc>
          <w:tcPr>
            <w:tcW w:w="1534" w:type="dxa"/>
          </w:tcPr>
          <w:p w14:paraId="26A933F2" w14:textId="77777777" w:rsidR="0050620E" w:rsidRDefault="0050620E" w:rsidP="0050620E">
            <w:pPr>
              <w:jc w:val="both"/>
              <w:rPr>
                <w:sz w:val="22"/>
                <w:szCs w:val="22"/>
              </w:rPr>
            </w:pPr>
          </w:p>
        </w:tc>
      </w:tr>
      <w:tr w:rsidR="0050620E" w:rsidRPr="000904BE" w14:paraId="612FEE56" w14:textId="77777777" w:rsidTr="00572E43">
        <w:trPr>
          <w:gridAfter w:val="2"/>
          <w:wAfter w:w="2213" w:type="dxa"/>
          <w:tblCellSpacing w:w="0" w:type="dxa"/>
        </w:trPr>
        <w:tc>
          <w:tcPr>
            <w:tcW w:w="4260" w:type="dxa"/>
            <w:gridSpan w:val="3"/>
            <w:tcBorders>
              <w:top w:val="nil"/>
              <w:left w:val="nil"/>
              <w:bottom w:val="nil"/>
              <w:right w:val="nil"/>
            </w:tcBorders>
            <w:vAlign w:val="center"/>
            <w:hideMark/>
          </w:tcPr>
          <w:p w14:paraId="2229CDE0" w14:textId="77777777" w:rsidR="0050620E" w:rsidRPr="00C14E10" w:rsidRDefault="0050620E" w:rsidP="0050620E">
            <w:pPr>
              <w:spacing w:before="120" w:after="75"/>
              <w:jc w:val="both"/>
              <w:rPr>
                <w:sz w:val="22"/>
                <w:szCs w:val="22"/>
              </w:rPr>
            </w:pPr>
            <w:r w:rsidRPr="00C14E10">
              <w:rPr>
                <w:sz w:val="22"/>
                <w:szCs w:val="22"/>
              </w:rPr>
              <w:lastRenderedPageBreak/>
              <w:t>Atbildīgā amatpersona</w:t>
            </w:r>
          </w:p>
        </w:tc>
        <w:tc>
          <w:tcPr>
            <w:tcW w:w="6647" w:type="dxa"/>
            <w:gridSpan w:val="2"/>
            <w:tcBorders>
              <w:top w:val="nil"/>
              <w:left w:val="nil"/>
              <w:bottom w:val="nil"/>
              <w:right w:val="nil"/>
            </w:tcBorders>
            <w:hideMark/>
          </w:tcPr>
          <w:p w14:paraId="38CBE1F8" w14:textId="77777777" w:rsidR="0050620E" w:rsidRPr="00C14E10" w:rsidRDefault="0050620E" w:rsidP="0050620E">
            <w:pPr>
              <w:spacing w:after="120"/>
              <w:jc w:val="both"/>
              <w:rPr>
                <w:b/>
                <w:bCs/>
                <w:color w:val="000000"/>
                <w:sz w:val="22"/>
                <w:szCs w:val="22"/>
              </w:rPr>
            </w:pPr>
          </w:p>
        </w:tc>
        <w:tc>
          <w:tcPr>
            <w:tcW w:w="3428" w:type="dxa"/>
            <w:tcBorders>
              <w:top w:val="nil"/>
              <w:left w:val="nil"/>
              <w:bottom w:val="nil"/>
              <w:right w:val="nil"/>
            </w:tcBorders>
            <w:hideMark/>
          </w:tcPr>
          <w:p w14:paraId="00A8A789" w14:textId="77777777" w:rsidR="0050620E" w:rsidRPr="000904BE" w:rsidRDefault="0050620E" w:rsidP="0050620E">
            <w:pPr>
              <w:spacing w:after="120"/>
              <w:jc w:val="both"/>
              <w:rPr>
                <w:b/>
                <w:bCs/>
                <w:color w:val="000000"/>
                <w:sz w:val="22"/>
                <w:szCs w:val="22"/>
              </w:rPr>
            </w:pPr>
          </w:p>
        </w:tc>
      </w:tr>
      <w:tr w:rsidR="0050620E" w:rsidRPr="000904BE" w14:paraId="4162C641" w14:textId="77777777" w:rsidTr="00572E43">
        <w:trPr>
          <w:gridAfter w:val="2"/>
          <w:wAfter w:w="2213" w:type="dxa"/>
          <w:trHeight w:val="237"/>
          <w:tblCellSpacing w:w="0" w:type="dxa"/>
        </w:trPr>
        <w:tc>
          <w:tcPr>
            <w:tcW w:w="4260" w:type="dxa"/>
            <w:gridSpan w:val="3"/>
            <w:tcBorders>
              <w:top w:val="nil"/>
              <w:left w:val="nil"/>
              <w:bottom w:val="nil"/>
              <w:right w:val="nil"/>
            </w:tcBorders>
            <w:vAlign w:val="center"/>
            <w:hideMark/>
          </w:tcPr>
          <w:p w14:paraId="06D74299" w14:textId="77777777" w:rsidR="0050620E" w:rsidRPr="00C14E10" w:rsidRDefault="0050620E" w:rsidP="0050620E">
            <w:pPr>
              <w:spacing w:before="75" w:after="75"/>
              <w:jc w:val="both"/>
              <w:rPr>
                <w:sz w:val="22"/>
                <w:szCs w:val="22"/>
              </w:rPr>
            </w:pPr>
            <w:r w:rsidRPr="00C14E10">
              <w:rPr>
                <w:sz w:val="22"/>
                <w:szCs w:val="22"/>
              </w:rPr>
              <w:t> </w:t>
            </w:r>
          </w:p>
        </w:tc>
        <w:tc>
          <w:tcPr>
            <w:tcW w:w="6647" w:type="dxa"/>
            <w:gridSpan w:val="2"/>
            <w:tcBorders>
              <w:top w:val="single" w:sz="8" w:space="0" w:color="000000"/>
              <w:left w:val="nil"/>
              <w:bottom w:val="nil"/>
              <w:right w:val="nil"/>
            </w:tcBorders>
            <w:vAlign w:val="center"/>
            <w:hideMark/>
          </w:tcPr>
          <w:p w14:paraId="0B228EFF" w14:textId="77777777" w:rsidR="0050620E" w:rsidRPr="00C14E10" w:rsidRDefault="0050620E" w:rsidP="0050620E">
            <w:pPr>
              <w:spacing w:before="75" w:after="75"/>
              <w:jc w:val="both"/>
              <w:rPr>
                <w:sz w:val="22"/>
                <w:szCs w:val="22"/>
              </w:rPr>
            </w:pPr>
            <w:r w:rsidRPr="00C14E10">
              <w:rPr>
                <w:sz w:val="22"/>
                <w:szCs w:val="22"/>
              </w:rPr>
              <w:t>(paraksts)*</w:t>
            </w:r>
          </w:p>
        </w:tc>
        <w:tc>
          <w:tcPr>
            <w:tcW w:w="3428" w:type="dxa"/>
            <w:tcBorders>
              <w:top w:val="nil"/>
              <w:left w:val="nil"/>
              <w:bottom w:val="nil"/>
              <w:right w:val="nil"/>
            </w:tcBorders>
            <w:vAlign w:val="center"/>
            <w:hideMark/>
          </w:tcPr>
          <w:p w14:paraId="47D494F1" w14:textId="77777777" w:rsidR="0050620E" w:rsidRPr="000904BE" w:rsidRDefault="0050620E" w:rsidP="0050620E">
            <w:pPr>
              <w:spacing w:before="75" w:after="75"/>
              <w:ind w:firstLine="375"/>
              <w:jc w:val="both"/>
              <w:rPr>
                <w:sz w:val="22"/>
                <w:szCs w:val="22"/>
              </w:rPr>
            </w:pPr>
            <w:r w:rsidRPr="000904BE">
              <w:rPr>
                <w:sz w:val="22"/>
                <w:szCs w:val="22"/>
              </w:rPr>
              <w:t> </w:t>
            </w:r>
          </w:p>
        </w:tc>
      </w:tr>
    </w:tbl>
    <w:p w14:paraId="055C8A40" w14:textId="77777777" w:rsidR="001D314A" w:rsidRPr="000904BE" w:rsidRDefault="001D314A" w:rsidP="001D314A">
      <w:pPr>
        <w:jc w:val="both"/>
        <w:rPr>
          <w:sz w:val="16"/>
        </w:rPr>
      </w:pPr>
      <w:r w:rsidRPr="000904BE">
        <w:rPr>
          <w:sz w:val="16"/>
        </w:rPr>
        <w:t>Piezīme. * Dokumenta rekvizītu "paraksts" neaizpilda, ja elektroniskais dokuments ir sagatavots atbilstoši normatīvajiem aktiem par elektronisko dokumentu noformēšanu.</w:t>
      </w:r>
    </w:p>
    <w:p w14:paraId="4A307C89" w14:textId="77777777" w:rsidR="001D314A" w:rsidRDefault="001D314A" w:rsidP="001D314A">
      <w:pPr>
        <w:spacing w:before="75" w:after="75"/>
        <w:ind w:firstLine="375"/>
        <w:jc w:val="both"/>
        <w:rPr>
          <w:sz w:val="16"/>
          <w:szCs w:val="16"/>
        </w:rPr>
      </w:pPr>
    </w:p>
    <w:p w14:paraId="412671F4" w14:textId="77777777" w:rsidR="001D314A" w:rsidRPr="000904BE" w:rsidRDefault="001D314A" w:rsidP="001D314A">
      <w:pPr>
        <w:spacing w:before="75" w:after="75"/>
        <w:ind w:firstLine="375"/>
        <w:jc w:val="both"/>
        <w:rPr>
          <w:sz w:val="16"/>
          <w:szCs w:val="16"/>
        </w:rPr>
      </w:pPr>
    </w:p>
    <w:p w14:paraId="7AEE83D7" w14:textId="77777777" w:rsidR="001D314A" w:rsidRPr="0020512A" w:rsidRDefault="001D314A" w:rsidP="001D314A">
      <w:pPr>
        <w:spacing w:after="75"/>
        <w:ind w:firstLine="374"/>
        <w:jc w:val="both"/>
      </w:pPr>
      <w:r w:rsidRPr="0020512A">
        <w:t>Aleksandrs Vlads</w:t>
      </w:r>
    </w:p>
    <w:tbl>
      <w:tblPr>
        <w:tblW w:w="0" w:type="auto"/>
        <w:tblCellSpacing w:w="0" w:type="dxa"/>
        <w:tblCellMar>
          <w:left w:w="0" w:type="dxa"/>
          <w:right w:w="0" w:type="dxa"/>
        </w:tblCellMar>
        <w:tblLook w:val="04A0" w:firstRow="1" w:lastRow="0" w:firstColumn="1" w:lastColumn="0" w:noHBand="0" w:noVBand="1"/>
      </w:tblPr>
      <w:tblGrid>
        <w:gridCol w:w="8265"/>
      </w:tblGrid>
      <w:tr w:rsidR="001D314A" w:rsidRPr="000904BE" w14:paraId="086D6B7C" w14:textId="77777777" w:rsidTr="00572E43">
        <w:trPr>
          <w:tblCellSpacing w:w="0" w:type="dxa"/>
        </w:trPr>
        <w:tc>
          <w:tcPr>
            <w:tcW w:w="8265" w:type="dxa"/>
            <w:tcBorders>
              <w:top w:val="single" w:sz="8" w:space="0" w:color="000000"/>
              <w:left w:val="nil"/>
              <w:bottom w:val="nil"/>
              <w:right w:val="nil"/>
            </w:tcBorders>
            <w:hideMark/>
          </w:tcPr>
          <w:p w14:paraId="2B44C605" w14:textId="77777777" w:rsidR="001D314A" w:rsidRPr="000904BE" w:rsidRDefault="001D314A" w:rsidP="00572E43">
            <w:pPr>
              <w:spacing w:before="120"/>
              <w:jc w:val="center"/>
            </w:pPr>
            <w:r w:rsidRPr="000904BE">
              <w:rPr>
                <w:sz w:val="20"/>
              </w:rPr>
              <w:t>(par projektu atbildīgās amatpersonas vārds un uzvārds)</w:t>
            </w:r>
          </w:p>
        </w:tc>
      </w:tr>
      <w:tr w:rsidR="001D314A" w:rsidRPr="000904BE" w14:paraId="57E790E4" w14:textId="77777777" w:rsidTr="00572E43">
        <w:trPr>
          <w:tblCellSpacing w:w="0" w:type="dxa"/>
        </w:trPr>
        <w:tc>
          <w:tcPr>
            <w:tcW w:w="8265" w:type="dxa"/>
            <w:tcBorders>
              <w:top w:val="nil"/>
              <w:left w:val="nil"/>
              <w:bottom w:val="single" w:sz="8" w:space="0" w:color="000000"/>
              <w:right w:val="nil"/>
            </w:tcBorders>
            <w:hideMark/>
          </w:tcPr>
          <w:p w14:paraId="68C13A54" w14:textId="77777777" w:rsidR="001D314A" w:rsidRPr="000904BE" w:rsidRDefault="001D314A" w:rsidP="00572E43">
            <w:pPr>
              <w:spacing w:before="120"/>
              <w:ind w:firstLine="375"/>
              <w:jc w:val="both"/>
            </w:pPr>
            <w:r w:rsidRPr="0020512A">
              <w:t>Vecākais eksperts</w:t>
            </w:r>
          </w:p>
        </w:tc>
      </w:tr>
      <w:tr w:rsidR="001D314A" w:rsidRPr="000904BE" w14:paraId="6018541C" w14:textId="77777777" w:rsidTr="00572E43">
        <w:trPr>
          <w:tblCellSpacing w:w="0" w:type="dxa"/>
        </w:trPr>
        <w:tc>
          <w:tcPr>
            <w:tcW w:w="8265" w:type="dxa"/>
            <w:tcBorders>
              <w:top w:val="nil"/>
              <w:left w:val="nil"/>
              <w:bottom w:val="single" w:sz="8" w:space="0" w:color="000000"/>
              <w:right w:val="nil"/>
            </w:tcBorders>
            <w:vAlign w:val="center"/>
            <w:hideMark/>
          </w:tcPr>
          <w:p w14:paraId="69AE55A4" w14:textId="77777777" w:rsidR="001D314A" w:rsidRPr="000904BE" w:rsidRDefault="001D314A" w:rsidP="00572E43">
            <w:pPr>
              <w:ind w:firstLine="374"/>
              <w:jc w:val="both"/>
            </w:pPr>
            <w:r w:rsidRPr="0020512A">
              <w:t>67013132</w:t>
            </w:r>
          </w:p>
        </w:tc>
      </w:tr>
      <w:tr w:rsidR="001D314A" w:rsidRPr="000904BE" w14:paraId="108B8D94" w14:textId="77777777" w:rsidTr="00572E43">
        <w:trPr>
          <w:tblCellSpacing w:w="0" w:type="dxa"/>
        </w:trPr>
        <w:tc>
          <w:tcPr>
            <w:tcW w:w="8265" w:type="dxa"/>
            <w:tcBorders>
              <w:top w:val="nil"/>
              <w:left w:val="nil"/>
              <w:bottom w:val="single" w:sz="8" w:space="0" w:color="000000"/>
              <w:right w:val="nil"/>
            </w:tcBorders>
            <w:vAlign w:val="center"/>
            <w:hideMark/>
          </w:tcPr>
          <w:p w14:paraId="205FA6B7" w14:textId="77777777" w:rsidR="001D314A" w:rsidRPr="000904BE" w:rsidRDefault="001D314A" w:rsidP="00572E43">
            <w:pPr>
              <w:spacing w:before="120"/>
              <w:ind w:firstLine="375"/>
              <w:jc w:val="both"/>
            </w:pPr>
            <w:r w:rsidRPr="0020512A">
              <w:t>Aleksandrs.Vlads@em.gov.lv</w:t>
            </w:r>
            <w:r w:rsidRPr="000904BE">
              <w:t xml:space="preserve"> </w:t>
            </w:r>
          </w:p>
        </w:tc>
      </w:tr>
      <w:tr w:rsidR="001D314A" w:rsidRPr="000904BE" w14:paraId="5E595118" w14:textId="77777777" w:rsidTr="00572E43">
        <w:trPr>
          <w:trHeight w:val="405"/>
          <w:tblCellSpacing w:w="0" w:type="dxa"/>
        </w:trPr>
        <w:tc>
          <w:tcPr>
            <w:tcW w:w="8265" w:type="dxa"/>
            <w:tcBorders>
              <w:top w:val="nil"/>
              <w:left w:val="nil"/>
              <w:bottom w:val="nil"/>
              <w:right w:val="nil"/>
            </w:tcBorders>
            <w:vAlign w:val="center"/>
            <w:hideMark/>
          </w:tcPr>
          <w:p w14:paraId="54C32B19" w14:textId="77777777" w:rsidR="001D314A" w:rsidRPr="000904BE" w:rsidRDefault="001D314A" w:rsidP="00572E43">
            <w:pPr>
              <w:spacing w:before="75" w:after="75"/>
              <w:jc w:val="center"/>
              <w:rPr>
                <w:sz w:val="22"/>
              </w:rPr>
            </w:pPr>
          </w:p>
        </w:tc>
      </w:tr>
    </w:tbl>
    <w:p w14:paraId="2388FEF4" w14:textId="77777777" w:rsidR="001D314A" w:rsidRDefault="001D314A" w:rsidP="001D314A">
      <w:pPr>
        <w:tabs>
          <w:tab w:val="left" w:pos="1110"/>
        </w:tabs>
        <w:rPr>
          <w:color w:val="000000"/>
          <w:sz w:val="20"/>
          <w:szCs w:val="20"/>
        </w:rPr>
      </w:pPr>
    </w:p>
    <w:p w14:paraId="1F4DDC75" w14:textId="77777777" w:rsidR="00DB7A32" w:rsidRPr="000904BE" w:rsidRDefault="00DB7A32" w:rsidP="00DB7A32">
      <w:pPr>
        <w:jc w:val="both"/>
        <w:rPr>
          <w:sz w:val="20"/>
          <w:szCs w:val="20"/>
        </w:rPr>
      </w:pPr>
      <w:r>
        <w:rPr>
          <w:sz w:val="20"/>
          <w:szCs w:val="20"/>
        </w:rPr>
        <w:t>A.Vlads</w:t>
      </w:r>
      <w:r w:rsidRPr="000904BE">
        <w:rPr>
          <w:sz w:val="20"/>
          <w:szCs w:val="20"/>
        </w:rPr>
        <w:t>, 67013</w:t>
      </w:r>
      <w:r>
        <w:rPr>
          <w:sz w:val="20"/>
          <w:szCs w:val="20"/>
        </w:rPr>
        <w:t>132</w:t>
      </w:r>
      <w:r w:rsidRPr="000904BE">
        <w:rPr>
          <w:sz w:val="20"/>
          <w:szCs w:val="20"/>
        </w:rPr>
        <w:t xml:space="preserve">, </w:t>
      </w:r>
    </w:p>
    <w:p w14:paraId="090F2702" w14:textId="77777777" w:rsidR="00DB7A32" w:rsidRPr="0010781A" w:rsidRDefault="00DB7A32" w:rsidP="00DB7A32">
      <w:pPr>
        <w:widowControl w:val="0"/>
        <w:jc w:val="both"/>
        <w:rPr>
          <w:szCs w:val="20"/>
        </w:rPr>
      </w:pPr>
      <w:r>
        <w:rPr>
          <w:sz w:val="20"/>
          <w:szCs w:val="20"/>
        </w:rPr>
        <w:t>Aleksandrs.Vlads</w:t>
      </w:r>
      <w:r w:rsidRPr="00AA5833">
        <w:rPr>
          <w:sz w:val="20"/>
          <w:szCs w:val="20"/>
        </w:rPr>
        <w:t>@em.gov.lv</w:t>
      </w:r>
      <w:r w:rsidRPr="0010781A">
        <w:rPr>
          <w:sz w:val="20"/>
          <w:szCs w:val="20"/>
        </w:rPr>
        <w:t xml:space="preserve"> </w:t>
      </w:r>
    </w:p>
    <w:p w14:paraId="08D17232" w14:textId="77777777" w:rsidR="001D314A" w:rsidRPr="0010781A" w:rsidRDefault="001D314A" w:rsidP="001D314A">
      <w:pPr>
        <w:rPr>
          <w:sz w:val="20"/>
          <w:szCs w:val="20"/>
        </w:rPr>
      </w:pPr>
      <w:r w:rsidRPr="0010781A">
        <w:rPr>
          <w:sz w:val="20"/>
          <w:szCs w:val="20"/>
        </w:rPr>
        <w:t xml:space="preserve"> </w:t>
      </w:r>
    </w:p>
    <w:p w14:paraId="730F4267" w14:textId="77777777" w:rsidR="001C1F97" w:rsidRDefault="001C1F97"/>
    <w:sectPr w:rsidR="001C1F97" w:rsidSect="00644436">
      <w:headerReference w:type="even" r:id="rId15"/>
      <w:headerReference w:type="default" r:id="rId16"/>
      <w:footerReference w:type="default" r:id="rId17"/>
      <w:footerReference w:type="first" r:id="rId18"/>
      <w:pgSz w:w="16838" w:h="11906" w:orient="landscape" w:code="9"/>
      <w:pgMar w:top="709"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E5854E" w14:textId="77777777" w:rsidR="002A7800" w:rsidRDefault="002A7800" w:rsidP="00A85D85">
      <w:r>
        <w:separator/>
      </w:r>
    </w:p>
  </w:endnote>
  <w:endnote w:type="continuationSeparator" w:id="0">
    <w:p w14:paraId="26DE6FB8" w14:textId="77777777" w:rsidR="002A7800" w:rsidRDefault="002A7800" w:rsidP="00A85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DC1F13" w14:textId="6B5972E6" w:rsidR="00630973" w:rsidRPr="000C3947" w:rsidRDefault="008B4B27" w:rsidP="000C3947">
    <w:pPr>
      <w:pStyle w:val="Footer"/>
      <w:rPr>
        <w:sz w:val="20"/>
        <w:szCs w:val="20"/>
      </w:rPr>
    </w:pPr>
    <w:r w:rsidRPr="003E0C78">
      <w:rPr>
        <w:sz w:val="20"/>
        <w:szCs w:val="20"/>
      </w:rPr>
      <w:fldChar w:fldCharType="begin"/>
    </w:r>
    <w:r w:rsidRPr="003E0C78">
      <w:rPr>
        <w:sz w:val="20"/>
        <w:szCs w:val="20"/>
      </w:rPr>
      <w:instrText xml:space="preserve"> FILENAME   \* MERGEFORMAT </w:instrText>
    </w:r>
    <w:r w:rsidRPr="003E0C78">
      <w:rPr>
        <w:sz w:val="20"/>
        <w:szCs w:val="20"/>
      </w:rPr>
      <w:fldChar w:fldCharType="separate"/>
    </w:r>
    <w:r>
      <w:rPr>
        <w:noProof/>
        <w:sz w:val="20"/>
        <w:szCs w:val="20"/>
      </w:rPr>
      <w:t>EMIzz_</w:t>
    </w:r>
    <w:r w:rsidR="00A85D85">
      <w:rPr>
        <w:noProof/>
        <w:sz w:val="20"/>
        <w:szCs w:val="20"/>
      </w:rPr>
      <w:t>05</w:t>
    </w:r>
    <w:r>
      <w:rPr>
        <w:noProof/>
        <w:sz w:val="20"/>
        <w:szCs w:val="20"/>
      </w:rPr>
      <w:t>1</w:t>
    </w:r>
    <w:r w:rsidR="00A85D85">
      <w:rPr>
        <w:noProof/>
        <w:sz w:val="20"/>
        <w:szCs w:val="20"/>
      </w:rPr>
      <w:t>1</w:t>
    </w:r>
    <w:r>
      <w:rPr>
        <w:noProof/>
        <w:sz w:val="20"/>
        <w:szCs w:val="20"/>
      </w:rPr>
      <w:t>19_</w:t>
    </w:r>
    <w:r w:rsidR="00A85D85">
      <w:rPr>
        <w:noProof/>
        <w:sz w:val="20"/>
        <w:szCs w:val="20"/>
      </w:rPr>
      <w:t>805</w:t>
    </w:r>
    <w:r>
      <w:rPr>
        <w:noProof/>
        <w:sz w:val="20"/>
        <w:szCs w:val="20"/>
      </w:rPr>
      <w:t>.docx</w:t>
    </w:r>
    <w:r w:rsidRPr="003E0C78">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72B74" w14:textId="77777777" w:rsidR="008B0AA4" w:rsidRPr="000C3947" w:rsidRDefault="008B4B27" w:rsidP="000C3947">
    <w:pPr>
      <w:pStyle w:val="Footer"/>
      <w:rPr>
        <w:sz w:val="20"/>
        <w:szCs w:val="20"/>
      </w:rPr>
    </w:pPr>
    <w:r w:rsidRPr="003E0C78">
      <w:rPr>
        <w:sz w:val="20"/>
        <w:szCs w:val="20"/>
      </w:rPr>
      <w:fldChar w:fldCharType="begin"/>
    </w:r>
    <w:r w:rsidRPr="003E0C78">
      <w:rPr>
        <w:sz w:val="20"/>
        <w:szCs w:val="20"/>
      </w:rPr>
      <w:instrText xml:space="preserve"> FILENAME   \* MERGEFORMAT </w:instrText>
    </w:r>
    <w:r w:rsidRPr="003E0C78">
      <w:rPr>
        <w:sz w:val="20"/>
        <w:szCs w:val="20"/>
      </w:rPr>
      <w:fldChar w:fldCharType="separate"/>
    </w:r>
    <w:r>
      <w:rPr>
        <w:noProof/>
        <w:sz w:val="20"/>
        <w:szCs w:val="20"/>
      </w:rPr>
      <w:t>EMIzz_301019_Horiz.docx</w:t>
    </w:r>
    <w:r w:rsidRPr="003E0C78">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BD084F" w14:textId="77777777" w:rsidR="002A7800" w:rsidRDefault="002A7800" w:rsidP="00A85D85">
      <w:r>
        <w:separator/>
      </w:r>
    </w:p>
  </w:footnote>
  <w:footnote w:type="continuationSeparator" w:id="0">
    <w:p w14:paraId="520D8F74" w14:textId="77777777" w:rsidR="002A7800" w:rsidRDefault="002A7800" w:rsidP="00A85D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68DED" w14:textId="77777777" w:rsidR="00630973" w:rsidRPr="0076341D" w:rsidRDefault="008B4B27" w:rsidP="00F43A16">
    <w:pPr>
      <w:pStyle w:val="Header"/>
      <w:framePr w:wrap="around" w:vAnchor="text" w:hAnchor="margin" w:xAlign="center" w:y="1"/>
      <w:rPr>
        <w:rStyle w:val="PageNumber"/>
        <w:sz w:val="22"/>
        <w:szCs w:val="22"/>
      </w:rPr>
    </w:pPr>
    <w:r w:rsidRPr="0076341D">
      <w:rPr>
        <w:rStyle w:val="PageNumber"/>
        <w:sz w:val="22"/>
        <w:szCs w:val="22"/>
      </w:rPr>
      <w:fldChar w:fldCharType="begin"/>
    </w:r>
    <w:r w:rsidRPr="0076341D">
      <w:rPr>
        <w:rStyle w:val="PageNumber"/>
        <w:sz w:val="22"/>
        <w:szCs w:val="22"/>
      </w:rPr>
      <w:instrText xml:space="preserve">PAGE  </w:instrText>
    </w:r>
    <w:r w:rsidRPr="0076341D">
      <w:rPr>
        <w:rStyle w:val="PageNumber"/>
        <w:sz w:val="22"/>
        <w:szCs w:val="22"/>
      </w:rPr>
      <w:fldChar w:fldCharType="end"/>
    </w:r>
  </w:p>
  <w:p w14:paraId="0A4FABEC" w14:textId="77777777" w:rsidR="00630973" w:rsidRPr="0076341D" w:rsidRDefault="002A7800">
    <w:pPr>
      <w:pStyle w:val="Header"/>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510B3" w14:textId="77777777" w:rsidR="00630973" w:rsidRPr="0076341D" w:rsidRDefault="008B4B27" w:rsidP="00F43A16">
    <w:pPr>
      <w:pStyle w:val="Header"/>
      <w:framePr w:wrap="around" w:vAnchor="text" w:hAnchor="margin" w:xAlign="center" w:y="1"/>
      <w:rPr>
        <w:rStyle w:val="PageNumber"/>
        <w:sz w:val="22"/>
        <w:szCs w:val="22"/>
      </w:rPr>
    </w:pPr>
    <w:r w:rsidRPr="0076341D">
      <w:rPr>
        <w:rStyle w:val="PageNumber"/>
        <w:sz w:val="22"/>
        <w:szCs w:val="22"/>
      </w:rPr>
      <w:fldChar w:fldCharType="begin"/>
    </w:r>
    <w:r w:rsidRPr="0076341D">
      <w:rPr>
        <w:rStyle w:val="PageNumber"/>
        <w:sz w:val="22"/>
        <w:szCs w:val="22"/>
      </w:rPr>
      <w:instrText xml:space="preserve">PAGE  </w:instrText>
    </w:r>
    <w:r w:rsidRPr="0076341D">
      <w:rPr>
        <w:rStyle w:val="PageNumber"/>
        <w:sz w:val="22"/>
        <w:szCs w:val="22"/>
      </w:rPr>
      <w:fldChar w:fldCharType="separate"/>
    </w:r>
    <w:r>
      <w:rPr>
        <w:rStyle w:val="PageNumber"/>
        <w:noProof/>
        <w:sz w:val="22"/>
        <w:szCs w:val="22"/>
      </w:rPr>
      <w:t>7</w:t>
    </w:r>
    <w:r w:rsidRPr="0076341D">
      <w:rPr>
        <w:rStyle w:val="PageNumber"/>
        <w:sz w:val="22"/>
        <w:szCs w:val="22"/>
      </w:rPr>
      <w:fldChar w:fldCharType="end"/>
    </w:r>
  </w:p>
  <w:p w14:paraId="7AEE670F" w14:textId="77777777" w:rsidR="00630973" w:rsidRPr="0076341D" w:rsidRDefault="002A7800">
    <w:pPr>
      <w:pStyle w:val="Header"/>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3E19799B"/>
    <w:multiLevelType w:val="hybridMultilevel"/>
    <w:tmpl w:val="3A320342"/>
    <w:lvl w:ilvl="0" w:tplc="B19E6E8C">
      <w:start w:val="1"/>
      <w:numFmt w:val="decimal"/>
      <w:lvlText w:val="%1."/>
      <w:lvlJc w:val="left"/>
      <w:pPr>
        <w:ind w:left="927" w:hanging="360"/>
      </w:pPr>
      <w:rPr>
        <w:rFonts w:hint="default"/>
      </w:rPr>
    </w:lvl>
    <w:lvl w:ilvl="1" w:tplc="534844DE" w:tentative="1">
      <w:start w:val="1"/>
      <w:numFmt w:val="lowerLetter"/>
      <w:lvlText w:val="%2."/>
      <w:lvlJc w:val="left"/>
      <w:pPr>
        <w:ind w:left="1647" w:hanging="360"/>
      </w:pPr>
    </w:lvl>
    <w:lvl w:ilvl="2" w:tplc="8514AE88" w:tentative="1">
      <w:start w:val="1"/>
      <w:numFmt w:val="lowerRoman"/>
      <w:lvlText w:val="%3."/>
      <w:lvlJc w:val="right"/>
      <w:pPr>
        <w:ind w:left="2367" w:hanging="180"/>
      </w:pPr>
    </w:lvl>
    <w:lvl w:ilvl="3" w:tplc="173CC776" w:tentative="1">
      <w:start w:val="1"/>
      <w:numFmt w:val="decimal"/>
      <w:lvlText w:val="%4."/>
      <w:lvlJc w:val="left"/>
      <w:pPr>
        <w:ind w:left="3087" w:hanging="360"/>
      </w:pPr>
    </w:lvl>
    <w:lvl w:ilvl="4" w:tplc="994441D8" w:tentative="1">
      <w:start w:val="1"/>
      <w:numFmt w:val="lowerLetter"/>
      <w:lvlText w:val="%5."/>
      <w:lvlJc w:val="left"/>
      <w:pPr>
        <w:ind w:left="3807" w:hanging="360"/>
      </w:pPr>
    </w:lvl>
    <w:lvl w:ilvl="5" w:tplc="83D61F3A" w:tentative="1">
      <w:start w:val="1"/>
      <w:numFmt w:val="lowerRoman"/>
      <w:lvlText w:val="%6."/>
      <w:lvlJc w:val="right"/>
      <w:pPr>
        <w:ind w:left="4527" w:hanging="180"/>
      </w:pPr>
    </w:lvl>
    <w:lvl w:ilvl="6" w:tplc="3846448C" w:tentative="1">
      <w:start w:val="1"/>
      <w:numFmt w:val="decimal"/>
      <w:lvlText w:val="%7."/>
      <w:lvlJc w:val="left"/>
      <w:pPr>
        <w:ind w:left="5247" w:hanging="360"/>
      </w:pPr>
    </w:lvl>
    <w:lvl w:ilvl="7" w:tplc="0450DE4C" w:tentative="1">
      <w:start w:val="1"/>
      <w:numFmt w:val="lowerLetter"/>
      <w:lvlText w:val="%8."/>
      <w:lvlJc w:val="left"/>
      <w:pPr>
        <w:ind w:left="5967" w:hanging="360"/>
      </w:pPr>
    </w:lvl>
    <w:lvl w:ilvl="8" w:tplc="9C0619C6"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354"/>
    <w:rsid w:val="00094E5A"/>
    <w:rsid w:val="00135EDF"/>
    <w:rsid w:val="001C1F97"/>
    <w:rsid w:val="001D314A"/>
    <w:rsid w:val="002622DC"/>
    <w:rsid w:val="002A7800"/>
    <w:rsid w:val="00366669"/>
    <w:rsid w:val="00427DB9"/>
    <w:rsid w:val="004569FA"/>
    <w:rsid w:val="0047239A"/>
    <w:rsid w:val="004D573B"/>
    <w:rsid w:val="00504E99"/>
    <w:rsid w:val="0050620E"/>
    <w:rsid w:val="005B41FF"/>
    <w:rsid w:val="005D513C"/>
    <w:rsid w:val="00684E47"/>
    <w:rsid w:val="006E6ACD"/>
    <w:rsid w:val="00716850"/>
    <w:rsid w:val="00730354"/>
    <w:rsid w:val="00814D11"/>
    <w:rsid w:val="00835981"/>
    <w:rsid w:val="00852DA3"/>
    <w:rsid w:val="008B4B27"/>
    <w:rsid w:val="00A4316E"/>
    <w:rsid w:val="00A51FBF"/>
    <w:rsid w:val="00A83B88"/>
    <w:rsid w:val="00A85D85"/>
    <w:rsid w:val="00AB01D0"/>
    <w:rsid w:val="00B11F97"/>
    <w:rsid w:val="00B52ABB"/>
    <w:rsid w:val="00B777DB"/>
    <w:rsid w:val="00B83597"/>
    <w:rsid w:val="00BD6BFE"/>
    <w:rsid w:val="00C76CE9"/>
    <w:rsid w:val="00CA6299"/>
    <w:rsid w:val="00D03919"/>
    <w:rsid w:val="00DB7A32"/>
    <w:rsid w:val="00DF34CF"/>
    <w:rsid w:val="00E2374E"/>
    <w:rsid w:val="00E619EA"/>
    <w:rsid w:val="00E72A4C"/>
    <w:rsid w:val="00E91D34"/>
    <w:rsid w:val="00F0659F"/>
    <w:rsid w:val="00F31A05"/>
    <w:rsid w:val="00F95FB2"/>
    <w:rsid w:val="00FA470A"/>
    <w:rsid w:val="00FB739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CBC6F"/>
  <w15:chartTrackingRefBased/>
  <w15:docId w15:val="{D257983C-F6D0-47E6-B4A5-832E9FA55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7">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D314A"/>
    <w:rPr>
      <w:rFonts w:eastAsia="Times New Roman" w:cs="Times New Roman"/>
      <w:sz w:val="24"/>
      <w:szCs w:val="24"/>
      <w:lang w:eastAsia="lv-LV"/>
    </w:rPr>
  </w:style>
  <w:style w:type="paragraph" w:styleId="Heading1">
    <w:name w:val="heading 1"/>
    <w:basedOn w:val="Normal"/>
    <w:link w:val="Heading1Char"/>
    <w:uiPriority w:val="99"/>
    <w:qFormat/>
    <w:rsid w:val="001D314A"/>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unhideWhenUsed/>
    <w:qFormat/>
    <w:rsid w:val="005D513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D314A"/>
    <w:rPr>
      <w:rFonts w:eastAsia="Times New Roman" w:cs="Times New Roman"/>
      <w:b/>
      <w:bCs/>
      <w:kern w:val="36"/>
      <w:sz w:val="48"/>
      <w:szCs w:val="48"/>
      <w:lang w:eastAsia="lv-LV"/>
    </w:rPr>
  </w:style>
  <w:style w:type="paragraph" w:customStyle="1" w:styleId="naisf">
    <w:name w:val="naisf"/>
    <w:basedOn w:val="Normal"/>
    <w:rsid w:val="001D314A"/>
    <w:pPr>
      <w:spacing w:before="75" w:after="75"/>
      <w:ind w:firstLine="375"/>
      <w:jc w:val="both"/>
    </w:pPr>
  </w:style>
  <w:style w:type="paragraph" w:customStyle="1" w:styleId="naisc">
    <w:name w:val="naisc"/>
    <w:basedOn w:val="Normal"/>
    <w:rsid w:val="001D314A"/>
    <w:pPr>
      <w:spacing w:before="75" w:after="75"/>
      <w:jc w:val="center"/>
    </w:pPr>
  </w:style>
  <w:style w:type="paragraph" w:styleId="Header">
    <w:name w:val="header"/>
    <w:basedOn w:val="Normal"/>
    <w:link w:val="HeaderChar"/>
    <w:uiPriority w:val="99"/>
    <w:rsid w:val="001D314A"/>
    <w:pPr>
      <w:tabs>
        <w:tab w:val="center" w:pos="4153"/>
        <w:tab w:val="right" w:pos="8306"/>
      </w:tabs>
    </w:pPr>
  </w:style>
  <w:style w:type="character" w:customStyle="1" w:styleId="HeaderChar">
    <w:name w:val="Header Char"/>
    <w:basedOn w:val="DefaultParagraphFont"/>
    <w:link w:val="Header"/>
    <w:uiPriority w:val="99"/>
    <w:rsid w:val="001D314A"/>
    <w:rPr>
      <w:rFonts w:eastAsia="Times New Roman" w:cs="Times New Roman"/>
      <w:sz w:val="24"/>
      <w:szCs w:val="24"/>
      <w:lang w:eastAsia="lv-LV"/>
    </w:rPr>
  </w:style>
  <w:style w:type="character" w:styleId="PageNumber">
    <w:name w:val="page number"/>
    <w:basedOn w:val="DefaultParagraphFont"/>
    <w:uiPriority w:val="99"/>
    <w:rsid w:val="001D314A"/>
    <w:rPr>
      <w:rFonts w:cs="Times New Roman"/>
    </w:rPr>
  </w:style>
  <w:style w:type="paragraph" w:styleId="Footer">
    <w:name w:val="footer"/>
    <w:basedOn w:val="Normal"/>
    <w:link w:val="FooterChar"/>
    <w:uiPriority w:val="99"/>
    <w:rsid w:val="001D314A"/>
    <w:pPr>
      <w:tabs>
        <w:tab w:val="center" w:pos="4153"/>
        <w:tab w:val="right" w:pos="8306"/>
      </w:tabs>
    </w:pPr>
  </w:style>
  <w:style w:type="character" w:customStyle="1" w:styleId="FooterChar">
    <w:name w:val="Footer Char"/>
    <w:basedOn w:val="DefaultParagraphFont"/>
    <w:link w:val="Footer"/>
    <w:uiPriority w:val="99"/>
    <w:rsid w:val="001D314A"/>
    <w:rPr>
      <w:rFonts w:eastAsia="Times New Roman" w:cs="Times New Roman"/>
      <w:sz w:val="24"/>
      <w:szCs w:val="24"/>
      <w:lang w:eastAsia="lv-LV"/>
    </w:rPr>
  </w:style>
  <w:style w:type="paragraph" w:styleId="NoSpacing">
    <w:name w:val="No Spacing"/>
    <w:qFormat/>
    <w:rsid w:val="001D314A"/>
    <w:rPr>
      <w:rFonts w:eastAsia="Times New Roman" w:cs="Times New Roman"/>
      <w:sz w:val="24"/>
      <w:szCs w:val="20"/>
      <w:lang w:val="en-AU" w:eastAsia="lv-LV"/>
    </w:rPr>
  </w:style>
  <w:style w:type="character" w:customStyle="1" w:styleId="Heading3Char">
    <w:name w:val="Heading 3 Char"/>
    <w:basedOn w:val="DefaultParagraphFont"/>
    <w:link w:val="Heading3"/>
    <w:rsid w:val="005D513C"/>
    <w:rPr>
      <w:rFonts w:ascii="Cambria" w:eastAsia="Times New Roman" w:hAnsi="Cambria" w:cs="Times New Roman"/>
      <w:b/>
      <w:bCs/>
      <w:sz w:val="26"/>
      <w:szCs w:val="26"/>
      <w:lang w:eastAsia="lv-LV"/>
    </w:rPr>
  </w:style>
  <w:style w:type="paragraph" w:styleId="ListParagraph">
    <w:name w:val="List Paragraph"/>
    <w:basedOn w:val="Normal"/>
    <w:link w:val="ListParagraphChar"/>
    <w:uiPriority w:val="34"/>
    <w:qFormat/>
    <w:rsid w:val="00E91D34"/>
    <w:pPr>
      <w:widowControl w:val="0"/>
      <w:spacing w:after="200" w:line="276" w:lineRule="auto"/>
      <w:ind w:left="720"/>
      <w:contextualSpacing/>
    </w:pPr>
    <w:rPr>
      <w:rFonts w:ascii="Calibri" w:eastAsia="Calibri" w:hAnsi="Calibri"/>
      <w:sz w:val="22"/>
      <w:szCs w:val="22"/>
      <w:lang w:eastAsia="en-US"/>
    </w:rPr>
  </w:style>
  <w:style w:type="character" w:customStyle="1" w:styleId="ListParagraphChar">
    <w:name w:val="List Paragraph Char"/>
    <w:basedOn w:val="DefaultParagraphFont"/>
    <w:link w:val="ListParagraph"/>
    <w:uiPriority w:val="34"/>
    <w:rsid w:val="00E91D34"/>
    <w:rPr>
      <w:rFonts w:ascii="Calibri" w:eastAsia="Calibri" w:hAnsi="Calibri" w:cs="Times New Roman"/>
      <w:sz w:val="22"/>
    </w:rPr>
  </w:style>
  <w:style w:type="character" w:styleId="Hyperlink">
    <w:name w:val="Hyperlink"/>
    <w:basedOn w:val="DefaultParagraphFont"/>
    <w:rsid w:val="00AB01D0"/>
    <w:rPr>
      <w:rFonts w:cs="Times New Roman"/>
      <w:color w:val="0000FF"/>
      <w:u w:val="single"/>
    </w:rPr>
  </w:style>
  <w:style w:type="character" w:styleId="Strong">
    <w:name w:val="Strong"/>
    <w:basedOn w:val="DefaultParagraphFont"/>
    <w:qFormat/>
    <w:rsid w:val="00AB01D0"/>
    <w:rPr>
      <w:rFonts w:cs="Times New Roman"/>
      <w:b/>
      <w:bCs/>
    </w:rPr>
  </w:style>
  <w:style w:type="character" w:customStyle="1" w:styleId="apple-converted-space">
    <w:name w:val="apple-converted-space"/>
    <w:basedOn w:val="DefaultParagraphFont"/>
    <w:uiPriority w:val="99"/>
    <w:rsid w:val="00AB01D0"/>
    <w:rPr>
      <w:rFonts w:cs="Times New Roman"/>
    </w:rPr>
  </w:style>
  <w:style w:type="character" w:customStyle="1" w:styleId="st">
    <w:name w:val="st"/>
    <w:rsid w:val="00AB01D0"/>
    <w:rPr>
      <w:rFonts w:cs="Times New Roman"/>
    </w:rPr>
  </w:style>
  <w:style w:type="paragraph" w:customStyle="1" w:styleId="b">
    <w:name w:val="b"/>
    <w:basedOn w:val="Normal"/>
    <w:uiPriority w:val="99"/>
    <w:rsid w:val="00E2374E"/>
    <w:pPr>
      <w:spacing w:before="100" w:beforeAutospacing="1" w:after="100" w:afterAutospacing="1"/>
    </w:pPr>
    <w:rPr>
      <w:color w:val="306060"/>
    </w:rPr>
  </w:style>
  <w:style w:type="paragraph" w:customStyle="1" w:styleId="Normal1">
    <w:name w:val="Normal1"/>
    <w:basedOn w:val="Normal"/>
    <w:rsid w:val="00FA470A"/>
    <w:pPr>
      <w:spacing w:before="100" w:beforeAutospacing="1" w:after="100" w:afterAutospacing="1"/>
    </w:pPr>
  </w:style>
  <w:style w:type="character" w:styleId="CommentReference">
    <w:name w:val="annotation reference"/>
    <w:basedOn w:val="DefaultParagraphFont"/>
    <w:uiPriority w:val="99"/>
    <w:semiHidden/>
    <w:unhideWhenUsed/>
    <w:rsid w:val="00684E47"/>
    <w:rPr>
      <w:sz w:val="16"/>
      <w:szCs w:val="16"/>
    </w:rPr>
  </w:style>
  <w:style w:type="paragraph" w:styleId="CommentText">
    <w:name w:val="annotation text"/>
    <w:basedOn w:val="Normal"/>
    <w:link w:val="CommentTextChar"/>
    <w:uiPriority w:val="99"/>
    <w:unhideWhenUsed/>
    <w:rsid w:val="00684E47"/>
    <w:rPr>
      <w:sz w:val="20"/>
      <w:szCs w:val="20"/>
    </w:rPr>
  </w:style>
  <w:style w:type="character" w:customStyle="1" w:styleId="CommentTextChar">
    <w:name w:val="Comment Text Char"/>
    <w:basedOn w:val="DefaultParagraphFont"/>
    <w:link w:val="CommentText"/>
    <w:uiPriority w:val="99"/>
    <w:rsid w:val="00684E47"/>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684E47"/>
    <w:rPr>
      <w:b/>
      <w:bCs/>
    </w:rPr>
  </w:style>
  <w:style w:type="character" w:customStyle="1" w:styleId="CommentSubjectChar">
    <w:name w:val="Comment Subject Char"/>
    <w:basedOn w:val="CommentTextChar"/>
    <w:link w:val="CommentSubject"/>
    <w:uiPriority w:val="99"/>
    <w:semiHidden/>
    <w:rsid w:val="00684E47"/>
    <w:rPr>
      <w:rFonts w:eastAsia="Times New Roman" w:cs="Times New Roman"/>
      <w:b/>
      <w:bCs/>
      <w:sz w:val="20"/>
      <w:szCs w:val="20"/>
      <w:lang w:eastAsia="lv-LV"/>
    </w:rPr>
  </w:style>
  <w:style w:type="paragraph" w:styleId="BalloonText">
    <w:name w:val="Balloon Text"/>
    <w:basedOn w:val="Normal"/>
    <w:link w:val="BalloonTextChar"/>
    <w:uiPriority w:val="99"/>
    <w:semiHidden/>
    <w:unhideWhenUsed/>
    <w:rsid w:val="00684E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4E47"/>
    <w:rPr>
      <w:rFonts w:ascii="Segoe UI" w:eastAsia="Times New Roman" w:hAnsi="Segoe UI" w:cs="Segoe UI"/>
      <w:sz w:val="18"/>
      <w:szCs w:val="18"/>
      <w:lang w:eastAsia="lv-LV"/>
    </w:rPr>
  </w:style>
  <w:style w:type="paragraph" w:customStyle="1" w:styleId="select">
    <w:name w:val="select"/>
    <w:basedOn w:val="Normal"/>
    <w:uiPriority w:val="99"/>
    <w:rsid w:val="00716850"/>
    <w:pPr>
      <w:shd w:val="clear" w:color="auto" w:fill="F0F8F8"/>
      <w:spacing w:before="100" w:beforeAutospacing="1" w:after="100" w:afterAutospacing="1"/>
    </w:pPr>
    <w:rPr>
      <w:color w:val="3333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512469">
      <w:bodyDiv w:val="1"/>
      <w:marLeft w:val="0"/>
      <w:marRight w:val="0"/>
      <w:marTop w:val="0"/>
      <w:marBottom w:val="0"/>
      <w:divBdr>
        <w:top w:val="none" w:sz="0" w:space="0" w:color="auto"/>
        <w:left w:val="none" w:sz="0" w:space="0" w:color="auto"/>
        <w:bottom w:val="none" w:sz="0" w:space="0" w:color="auto"/>
        <w:right w:val="none" w:sz="0" w:space="0" w:color="auto"/>
      </w:divBdr>
    </w:div>
    <w:div w:id="533925854">
      <w:bodyDiv w:val="1"/>
      <w:marLeft w:val="0"/>
      <w:marRight w:val="0"/>
      <w:marTop w:val="0"/>
      <w:marBottom w:val="0"/>
      <w:divBdr>
        <w:top w:val="none" w:sz="0" w:space="0" w:color="auto"/>
        <w:left w:val="none" w:sz="0" w:space="0" w:color="auto"/>
        <w:bottom w:val="none" w:sz="0" w:space="0" w:color="auto"/>
        <w:right w:val="none" w:sz="0" w:space="0" w:color="auto"/>
      </w:divBdr>
    </w:div>
    <w:div w:id="884678600">
      <w:bodyDiv w:val="1"/>
      <w:marLeft w:val="0"/>
      <w:marRight w:val="0"/>
      <w:marTop w:val="0"/>
      <w:marBottom w:val="0"/>
      <w:divBdr>
        <w:top w:val="none" w:sz="0" w:space="0" w:color="auto"/>
        <w:left w:val="none" w:sz="0" w:space="0" w:color="auto"/>
        <w:bottom w:val="none" w:sz="0" w:space="0" w:color="auto"/>
        <w:right w:val="none" w:sz="0" w:space="0" w:color="auto"/>
      </w:divBdr>
      <w:divsChild>
        <w:div w:id="860825971">
          <w:marLeft w:val="0"/>
          <w:marRight w:val="0"/>
          <w:marTop w:val="0"/>
          <w:marBottom w:val="0"/>
          <w:divBdr>
            <w:top w:val="none" w:sz="0" w:space="0" w:color="auto"/>
            <w:left w:val="none" w:sz="0" w:space="0" w:color="auto"/>
            <w:bottom w:val="none" w:sz="0" w:space="0" w:color="auto"/>
            <w:right w:val="none" w:sz="0" w:space="0" w:color="auto"/>
          </w:divBdr>
          <w:divsChild>
            <w:div w:id="1278874607">
              <w:marLeft w:val="0"/>
              <w:marRight w:val="0"/>
              <w:marTop w:val="0"/>
              <w:marBottom w:val="0"/>
              <w:divBdr>
                <w:top w:val="none" w:sz="0" w:space="0" w:color="auto"/>
                <w:left w:val="none" w:sz="0" w:space="0" w:color="auto"/>
                <w:bottom w:val="none" w:sz="0" w:space="0" w:color="auto"/>
                <w:right w:val="none" w:sz="0" w:space="0" w:color="auto"/>
              </w:divBdr>
              <w:divsChild>
                <w:div w:id="1232691439">
                  <w:marLeft w:val="0"/>
                  <w:marRight w:val="0"/>
                  <w:marTop w:val="0"/>
                  <w:marBottom w:val="0"/>
                  <w:divBdr>
                    <w:top w:val="none" w:sz="0" w:space="0" w:color="auto"/>
                    <w:left w:val="none" w:sz="0" w:space="0" w:color="auto"/>
                    <w:bottom w:val="none" w:sz="0" w:space="0" w:color="auto"/>
                    <w:right w:val="none" w:sz="0" w:space="0" w:color="auto"/>
                  </w:divBdr>
                  <w:divsChild>
                    <w:div w:id="670915565">
                      <w:marLeft w:val="0"/>
                      <w:marRight w:val="0"/>
                      <w:marTop w:val="0"/>
                      <w:marBottom w:val="0"/>
                      <w:divBdr>
                        <w:top w:val="none" w:sz="0" w:space="0" w:color="auto"/>
                        <w:left w:val="none" w:sz="0" w:space="0" w:color="auto"/>
                        <w:bottom w:val="none" w:sz="0" w:space="0" w:color="auto"/>
                        <w:right w:val="none" w:sz="0" w:space="0" w:color="auto"/>
                      </w:divBdr>
                      <w:divsChild>
                        <w:div w:id="1420131301">
                          <w:marLeft w:val="0"/>
                          <w:marRight w:val="0"/>
                          <w:marTop w:val="0"/>
                          <w:marBottom w:val="0"/>
                          <w:divBdr>
                            <w:top w:val="none" w:sz="0" w:space="0" w:color="auto"/>
                            <w:left w:val="none" w:sz="0" w:space="0" w:color="auto"/>
                            <w:bottom w:val="none" w:sz="0" w:space="0" w:color="auto"/>
                            <w:right w:val="none" w:sz="0" w:space="0" w:color="auto"/>
                          </w:divBdr>
                          <w:divsChild>
                            <w:div w:id="159065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dir/2013/30/oj/?locale=LV" TargetMode="External"/><Relationship Id="rId13" Type="http://schemas.openxmlformats.org/officeDocument/2006/relationships/hyperlink" Target="http://eur-lex.europa.eu/eli/dir/2013/30/oj/?locale=LV"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eur-lex.europa.eu/eli/dir/1994/22/oj/?locale=LV" TargetMode="External"/><Relationship Id="rId12" Type="http://schemas.openxmlformats.org/officeDocument/2006/relationships/hyperlink" Target="http://eur-lex.europa.eu/eli/dir/1994/22/oj/?locale=LV"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ur-lex.europa.eu/eli/dir/1994/22/oj/?locale=LV"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eur-lex.europa.eu/eli/dir/1994/22/oj/?locale=LV"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ur-lex.europa.eu/eli/dir/2004/35/oj/?locale=LV" TargetMode="External"/><Relationship Id="rId14" Type="http://schemas.openxmlformats.org/officeDocument/2006/relationships/hyperlink" Target="http://eur-lex.europa.eu/eli/dir/2013/30/oj/?local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209</TotalTime>
  <Pages>21</Pages>
  <Words>20779</Words>
  <Characters>11845</Characters>
  <Application>Microsoft Office Word</Application>
  <DocSecurity>0</DocSecurity>
  <Lines>98</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Aleksandrs Vlads</dc:creator>
  <cp:keywords/>
  <dc:description/>
  <cp:lastModifiedBy>Aleksandrs Vlads</cp:lastModifiedBy>
  <cp:revision>5</cp:revision>
  <dcterms:created xsi:type="dcterms:W3CDTF">2019-11-08T11:45:00Z</dcterms:created>
  <dcterms:modified xsi:type="dcterms:W3CDTF">2019-12-05T07:19:00Z</dcterms:modified>
</cp:coreProperties>
</file>