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1E35" w14:textId="77777777" w:rsidR="001C2EB1" w:rsidRPr="001C2EB1" w:rsidRDefault="001C2EB1" w:rsidP="001C2EB1">
      <w:pPr>
        <w:jc w:val="center"/>
        <w:rPr>
          <w:b/>
          <w:sz w:val="24"/>
          <w:szCs w:val="24"/>
        </w:rPr>
      </w:pPr>
      <w:bookmarkStart w:id="0" w:name="OLE_LINK1"/>
      <w:bookmarkStart w:id="1" w:name="OLE_LINK2"/>
      <w:r w:rsidRPr="001C2EB1">
        <w:rPr>
          <w:b/>
          <w:bCs/>
          <w:sz w:val="24"/>
          <w:szCs w:val="24"/>
          <w:lang w:eastAsia="lv-LV"/>
        </w:rPr>
        <w:t xml:space="preserve">Ministru kabineta noteikumu projekta “Grozījumi Ministru kabineta 2013.gada 3.janvāra noteikumos Nr.17 “Pievienotās vērtības nodokļa likuma normu piemērošanas kārtība un atsevišķas prasības pievienotās vērtības nodokļa maksāšanai un administrēšanai”” </w:t>
      </w:r>
      <w:r w:rsidRPr="001C2EB1">
        <w:rPr>
          <w:b/>
          <w:sz w:val="24"/>
          <w:szCs w:val="24"/>
        </w:rPr>
        <w:t>sākotnējās ietekmes novērtējuma ziņojums (anotācija)</w:t>
      </w:r>
    </w:p>
    <w:p w14:paraId="3A2AB331" w14:textId="77777777" w:rsidR="001C2EB1" w:rsidRPr="001C2EB1" w:rsidRDefault="001C2EB1" w:rsidP="001C2EB1">
      <w:pPr>
        <w:jc w:val="center"/>
        <w:rPr>
          <w:sz w:val="24"/>
          <w:szCs w:val="24"/>
          <w:lang w:eastAsia="lv-LV"/>
        </w:rPr>
      </w:pPr>
    </w:p>
    <w:tbl>
      <w:tblPr>
        <w:tblW w:w="546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2"/>
        <w:gridCol w:w="6091"/>
        <w:gridCol w:w="12"/>
      </w:tblGrid>
      <w:tr w:rsidR="00BB1B70" w:rsidRPr="00BB1B70" w14:paraId="50D44D19" w14:textId="77777777" w:rsidTr="000A5F1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34614" w14:textId="77777777" w:rsidR="00BB1B70" w:rsidRPr="00BA22C5" w:rsidRDefault="00BB1B70" w:rsidP="006E5ADD">
            <w:pPr>
              <w:ind w:firstLine="301"/>
              <w:jc w:val="center"/>
              <w:rPr>
                <w:b/>
                <w:bCs/>
                <w:sz w:val="26"/>
                <w:szCs w:val="26"/>
              </w:rPr>
            </w:pPr>
            <w:r w:rsidRPr="00BA22C5">
              <w:rPr>
                <w:b/>
                <w:bCs/>
                <w:sz w:val="26"/>
                <w:szCs w:val="26"/>
              </w:rPr>
              <w:t xml:space="preserve">Tiesību akta projekta anotācijas kopsavilkums </w:t>
            </w:r>
          </w:p>
        </w:tc>
      </w:tr>
      <w:tr w:rsidR="00BB1B70" w:rsidRPr="00BB1B70" w14:paraId="28F9C76D" w14:textId="77777777" w:rsidTr="000A5F1D">
        <w:trPr>
          <w:gridAfter w:val="1"/>
          <w:wAfter w:w="6" w:type="pct"/>
        </w:trPr>
        <w:tc>
          <w:tcPr>
            <w:tcW w:w="1916" w:type="pct"/>
            <w:tcBorders>
              <w:top w:val="outset" w:sz="6" w:space="0" w:color="414142"/>
              <w:left w:val="outset" w:sz="6" w:space="0" w:color="414142"/>
              <w:bottom w:val="outset" w:sz="6" w:space="0" w:color="414142"/>
              <w:right w:val="outset" w:sz="6" w:space="0" w:color="414142"/>
            </w:tcBorders>
            <w:hideMark/>
          </w:tcPr>
          <w:p w14:paraId="7B9E9E22" w14:textId="77777777" w:rsidR="00BB1B70" w:rsidRPr="00BA22C5" w:rsidRDefault="00BB1B70" w:rsidP="006E5ADD">
            <w:pPr>
              <w:jc w:val="both"/>
              <w:rPr>
                <w:sz w:val="26"/>
                <w:szCs w:val="26"/>
              </w:rPr>
            </w:pPr>
            <w:r w:rsidRPr="001C2EB1">
              <w:rPr>
                <w:iCs/>
                <w:sz w:val="24"/>
                <w:szCs w:val="24"/>
              </w:rPr>
              <w:t>Mērķis, risinājums un projekta spēkā stāšanās laiks (500 zīmes bez atstarpēm)</w:t>
            </w:r>
          </w:p>
        </w:tc>
        <w:tc>
          <w:tcPr>
            <w:tcW w:w="3078" w:type="pct"/>
            <w:tcBorders>
              <w:top w:val="outset" w:sz="6" w:space="0" w:color="414142"/>
              <w:left w:val="outset" w:sz="6" w:space="0" w:color="414142"/>
              <w:bottom w:val="outset" w:sz="6" w:space="0" w:color="414142"/>
              <w:right w:val="outset" w:sz="6" w:space="0" w:color="414142"/>
            </w:tcBorders>
            <w:hideMark/>
          </w:tcPr>
          <w:p w14:paraId="0F256754" w14:textId="065224AE" w:rsidR="00BB1B70" w:rsidRPr="00BA22C5" w:rsidRDefault="001C2EB1" w:rsidP="00993971">
            <w:pPr>
              <w:tabs>
                <w:tab w:val="left" w:pos="340"/>
              </w:tabs>
              <w:ind w:left="113" w:right="113"/>
              <w:jc w:val="both"/>
              <w:rPr>
                <w:sz w:val="26"/>
                <w:szCs w:val="26"/>
              </w:rPr>
            </w:pPr>
            <w:r w:rsidRPr="001C2EB1">
              <w:rPr>
                <w:iCs/>
                <w:sz w:val="24"/>
                <w:szCs w:val="24"/>
              </w:rPr>
              <w:t>Ministru kabineta noteikumu projekta mērķis ir saskaņot Pievienotās vērtības nodokļa likuma atsevišķu normu attiecībā uz pievienotās vērtības nodokļa (turpmāk – PVN) atbrīvojuma piemērošanu un lai precizētu regulējumu, kas nosaka priekšnodokļa atskaitīšanu par nekustamo īpašumu.</w:t>
            </w:r>
            <w:r>
              <w:rPr>
                <w:iCs/>
                <w:sz w:val="24"/>
                <w:szCs w:val="24"/>
              </w:rPr>
              <w:t xml:space="preserve"> </w:t>
            </w:r>
            <w:r w:rsidRPr="001C2EB1">
              <w:rPr>
                <w:iCs/>
                <w:sz w:val="24"/>
                <w:szCs w:val="24"/>
              </w:rPr>
              <w:t>Paredzēts, ka Ministru kabineta noteikumu projektam jāstājas spēkā vienlaikus ar likumu “Grozījumi Pievienotā</w:t>
            </w:r>
            <w:r w:rsidR="000E00EF">
              <w:rPr>
                <w:iCs/>
                <w:sz w:val="24"/>
                <w:szCs w:val="24"/>
              </w:rPr>
              <w:t>s</w:t>
            </w:r>
            <w:r w:rsidRPr="001C2EB1">
              <w:rPr>
                <w:iCs/>
                <w:sz w:val="24"/>
                <w:szCs w:val="24"/>
              </w:rPr>
              <w:t xml:space="preserve"> vērtības nodokļa likumā</w:t>
            </w:r>
            <w:r w:rsidR="000E00EF">
              <w:rPr>
                <w:iCs/>
                <w:sz w:val="24"/>
                <w:szCs w:val="24"/>
              </w:rPr>
              <w:t>”</w:t>
            </w:r>
            <w:r w:rsidRPr="001C2EB1">
              <w:rPr>
                <w:iCs/>
                <w:sz w:val="24"/>
                <w:szCs w:val="24"/>
              </w:rPr>
              <w:t xml:space="preserve">, kurš Saeimā ir </w:t>
            </w:r>
            <w:r w:rsidR="00332129">
              <w:rPr>
                <w:iCs/>
                <w:sz w:val="24"/>
                <w:szCs w:val="24"/>
              </w:rPr>
              <w:t xml:space="preserve">pieņemts </w:t>
            </w:r>
            <w:r w:rsidR="00993971">
              <w:rPr>
                <w:iCs/>
                <w:sz w:val="24"/>
                <w:szCs w:val="24"/>
              </w:rPr>
              <w:t xml:space="preserve">2019.gada 28.novembrī  un </w:t>
            </w:r>
            <w:r w:rsidRPr="001C2EB1">
              <w:rPr>
                <w:iCs/>
                <w:sz w:val="24"/>
                <w:szCs w:val="24"/>
              </w:rPr>
              <w:t>stāsies spēkā 2020.gada 1.janvārī.</w:t>
            </w:r>
          </w:p>
        </w:tc>
      </w:tr>
    </w:tbl>
    <w:p w14:paraId="53AEEF68" w14:textId="77777777" w:rsidR="00CA70BA" w:rsidRPr="00311AA0" w:rsidRDefault="00CA70BA" w:rsidP="00BA22C5">
      <w:pPr>
        <w:rPr>
          <w:sz w:val="27"/>
          <w:szCs w:val="27"/>
          <w:lang w:eastAsia="lv-LV"/>
        </w:rPr>
      </w:pPr>
    </w:p>
    <w:tbl>
      <w:tblPr>
        <w:tblW w:w="990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3379"/>
        <w:gridCol w:w="6098"/>
      </w:tblGrid>
      <w:tr w:rsidR="00CA70BA" w14:paraId="595238D6" w14:textId="77777777" w:rsidTr="00BA22C5">
        <w:trPr>
          <w:trHeight w:val="362"/>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79234670" w14:textId="77777777" w:rsidR="00CA70BA" w:rsidRPr="00635B2A" w:rsidRDefault="00CA70BA" w:rsidP="00BC2D68">
            <w:pPr>
              <w:jc w:val="center"/>
              <w:rPr>
                <w:rFonts w:eastAsia="Times New Roman"/>
                <w:sz w:val="27"/>
                <w:szCs w:val="27"/>
                <w:lang w:eastAsia="lv-LV"/>
              </w:rPr>
            </w:pPr>
            <w:r w:rsidRPr="00635B2A">
              <w:rPr>
                <w:rFonts w:eastAsia="Times New Roman"/>
                <w:b/>
                <w:bCs/>
                <w:sz w:val="27"/>
                <w:szCs w:val="27"/>
                <w:lang w:eastAsia="lv-LV"/>
              </w:rPr>
              <w:t>I. Tiesību akta projekta izstrādes nepieciešamība</w:t>
            </w:r>
          </w:p>
        </w:tc>
      </w:tr>
      <w:tr w:rsidR="00CA70BA" w14:paraId="02C3D906" w14:textId="77777777" w:rsidTr="00BA22C5">
        <w:trPr>
          <w:trHeight w:val="361"/>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425B5736" w14:textId="77777777" w:rsidR="00CA70BA" w:rsidRPr="00CA74E1" w:rsidRDefault="00CA70BA" w:rsidP="00BC2D68">
            <w:pPr>
              <w:rPr>
                <w:rFonts w:eastAsia="Times New Roman"/>
                <w:sz w:val="26"/>
                <w:szCs w:val="26"/>
                <w:lang w:eastAsia="lv-LV"/>
              </w:rPr>
            </w:pPr>
            <w:r w:rsidRPr="00CA74E1">
              <w:rPr>
                <w:rFonts w:eastAsia="Times New Roman"/>
                <w:sz w:val="26"/>
                <w:szCs w:val="26"/>
                <w:lang w:eastAsia="lv-LV"/>
              </w:rPr>
              <w:t>1.</w:t>
            </w:r>
          </w:p>
        </w:tc>
        <w:tc>
          <w:tcPr>
            <w:tcW w:w="3379" w:type="dxa"/>
            <w:tcBorders>
              <w:top w:val="outset" w:sz="6" w:space="0" w:color="auto"/>
              <w:left w:val="outset" w:sz="6" w:space="0" w:color="auto"/>
              <w:bottom w:val="outset" w:sz="6" w:space="0" w:color="auto"/>
              <w:right w:val="outset" w:sz="6" w:space="0" w:color="auto"/>
            </w:tcBorders>
            <w:hideMark/>
          </w:tcPr>
          <w:p w14:paraId="452D9AEB" w14:textId="77777777" w:rsidR="00CA70BA" w:rsidRPr="00B556B2" w:rsidRDefault="00CA70BA" w:rsidP="00BC2D68">
            <w:pPr>
              <w:rPr>
                <w:rFonts w:eastAsia="Times New Roman"/>
                <w:sz w:val="24"/>
                <w:szCs w:val="24"/>
                <w:lang w:eastAsia="lv-LV"/>
              </w:rPr>
            </w:pPr>
            <w:r w:rsidRPr="00CA74E1">
              <w:rPr>
                <w:rFonts w:eastAsia="Times New Roman"/>
                <w:sz w:val="26"/>
                <w:szCs w:val="26"/>
                <w:lang w:eastAsia="lv-LV"/>
              </w:rPr>
              <w:t> </w:t>
            </w:r>
            <w:r w:rsidRPr="00B556B2">
              <w:rPr>
                <w:rFonts w:eastAsia="Times New Roman"/>
                <w:sz w:val="24"/>
                <w:szCs w:val="24"/>
                <w:lang w:eastAsia="lv-LV"/>
              </w:rPr>
              <w:t>Pamatojums</w:t>
            </w:r>
          </w:p>
        </w:tc>
        <w:tc>
          <w:tcPr>
            <w:tcW w:w="6098" w:type="dxa"/>
            <w:tcBorders>
              <w:top w:val="outset" w:sz="6" w:space="0" w:color="auto"/>
              <w:left w:val="outset" w:sz="6" w:space="0" w:color="auto"/>
              <w:bottom w:val="outset" w:sz="6" w:space="0" w:color="auto"/>
              <w:right w:val="outset" w:sz="6" w:space="0" w:color="auto"/>
            </w:tcBorders>
            <w:hideMark/>
          </w:tcPr>
          <w:p w14:paraId="7EAB0AA2" w14:textId="488ABAB9" w:rsidR="00CA70BA" w:rsidRPr="00CA74E1" w:rsidRDefault="001C2EB1" w:rsidP="005E7280">
            <w:pPr>
              <w:tabs>
                <w:tab w:val="left" w:pos="340"/>
              </w:tabs>
              <w:ind w:left="113" w:right="113"/>
              <w:jc w:val="both"/>
              <w:rPr>
                <w:rFonts w:eastAsia="Times New Roman"/>
                <w:color w:val="2A2A2A"/>
                <w:sz w:val="26"/>
                <w:szCs w:val="26"/>
                <w:lang w:eastAsia="lv-LV"/>
              </w:rPr>
            </w:pPr>
            <w:r w:rsidRPr="001C2EB1">
              <w:rPr>
                <w:iCs/>
                <w:sz w:val="24"/>
                <w:szCs w:val="24"/>
              </w:rPr>
              <w:t>Ministru kabineta noteikumu projekts “Grozījumi Ministru kabineta 2013.gada 3.janvāra noteikumos Nr.17 “Pievienotās vērtības nodokļa likuma normu piemērošanas kārtība un atsevišķas prasības pievienotās vērtības nodokļa maksāšanai</w:t>
            </w:r>
            <w:r w:rsidR="00C708BB">
              <w:rPr>
                <w:iCs/>
                <w:sz w:val="24"/>
                <w:szCs w:val="24"/>
              </w:rPr>
              <w:t xml:space="preserve"> un administrēšanai”” (turpmāk - </w:t>
            </w:r>
            <w:r w:rsidRPr="001C2EB1">
              <w:rPr>
                <w:iCs/>
                <w:sz w:val="24"/>
                <w:szCs w:val="24"/>
              </w:rPr>
              <w:t>MK noteikumu projekts) ir izstrādāts pamatojoties uz likumā “Grozījumi Pievie</w:t>
            </w:r>
            <w:r w:rsidR="00493582">
              <w:rPr>
                <w:iCs/>
                <w:sz w:val="24"/>
                <w:szCs w:val="24"/>
              </w:rPr>
              <w:t>notās vērtības nodokļa likumā”</w:t>
            </w:r>
            <w:r w:rsidR="005E7280">
              <w:rPr>
                <w:iCs/>
                <w:sz w:val="24"/>
                <w:szCs w:val="24"/>
              </w:rPr>
              <w:t xml:space="preserve">, kurš Saeimā ir pieņemts 2019.gada 28.novembrī un stāsies spēkā 2020.gada 1.janvārī, </w:t>
            </w:r>
            <w:r w:rsidRPr="001C2EB1">
              <w:rPr>
                <w:iCs/>
                <w:sz w:val="24"/>
                <w:szCs w:val="24"/>
              </w:rPr>
              <w:t xml:space="preserve">iekļauto regulējumu un lai novērstu neprecizitātes attiecībā uz priekšnodokļa korekciju nekustamā īpašuma </w:t>
            </w:r>
            <w:proofErr w:type="spellStart"/>
            <w:r w:rsidRPr="001C2EB1">
              <w:rPr>
                <w:iCs/>
                <w:sz w:val="24"/>
                <w:szCs w:val="24"/>
              </w:rPr>
              <w:t>pārreģistr</w:t>
            </w:r>
            <w:r w:rsidR="00493582">
              <w:rPr>
                <w:iCs/>
                <w:sz w:val="24"/>
                <w:szCs w:val="24"/>
              </w:rPr>
              <w:t>ācijas</w:t>
            </w:r>
            <w:proofErr w:type="spellEnd"/>
            <w:r w:rsidR="00493582">
              <w:rPr>
                <w:iCs/>
                <w:sz w:val="24"/>
                <w:szCs w:val="24"/>
              </w:rPr>
              <w:t xml:space="preserve"> gadījumos</w:t>
            </w:r>
            <w:r w:rsidRPr="001C2EB1">
              <w:rPr>
                <w:iCs/>
                <w:sz w:val="24"/>
                <w:szCs w:val="24"/>
              </w:rPr>
              <w:t>.</w:t>
            </w:r>
          </w:p>
        </w:tc>
      </w:tr>
      <w:tr w:rsidR="005E7402" w14:paraId="628DE1B0" w14:textId="77777777" w:rsidTr="00BA22C5">
        <w:trPr>
          <w:trHeight w:val="1403"/>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2E69770C" w14:textId="77777777" w:rsidR="005E7402" w:rsidRPr="00CA74E1" w:rsidRDefault="005E7402" w:rsidP="005E7402">
            <w:pPr>
              <w:jc w:val="both"/>
              <w:rPr>
                <w:rFonts w:eastAsia="Times New Roman"/>
                <w:sz w:val="26"/>
                <w:szCs w:val="26"/>
                <w:lang w:eastAsia="lv-LV"/>
              </w:rPr>
            </w:pPr>
            <w:r w:rsidRPr="00CA74E1">
              <w:rPr>
                <w:rFonts w:eastAsia="Times New Roman"/>
                <w:sz w:val="26"/>
                <w:szCs w:val="26"/>
                <w:lang w:eastAsia="lv-LV"/>
              </w:rPr>
              <w:t>2.</w:t>
            </w:r>
          </w:p>
        </w:tc>
        <w:tc>
          <w:tcPr>
            <w:tcW w:w="3379" w:type="dxa"/>
            <w:tcBorders>
              <w:top w:val="outset" w:sz="6" w:space="0" w:color="auto"/>
              <w:left w:val="outset" w:sz="6" w:space="0" w:color="auto"/>
              <w:bottom w:val="outset" w:sz="6" w:space="0" w:color="auto"/>
              <w:right w:val="outset" w:sz="6" w:space="0" w:color="auto"/>
            </w:tcBorders>
            <w:hideMark/>
          </w:tcPr>
          <w:p w14:paraId="1F08E639" w14:textId="77777777" w:rsidR="005E7402" w:rsidRPr="00B556B2" w:rsidRDefault="005E7402" w:rsidP="005E7402">
            <w:pPr>
              <w:tabs>
                <w:tab w:val="left" w:pos="341"/>
              </w:tabs>
              <w:ind w:left="114" w:right="126"/>
              <w:rPr>
                <w:rFonts w:eastAsia="Times New Roman"/>
                <w:sz w:val="24"/>
                <w:szCs w:val="24"/>
                <w:lang w:eastAsia="lv-LV"/>
              </w:rPr>
            </w:pPr>
            <w:r w:rsidRPr="00B556B2">
              <w:rPr>
                <w:rFonts w:eastAsia="Times New Roman"/>
                <w:sz w:val="24"/>
                <w:szCs w:val="24"/>
                <w:lang w:eastAsia="lv-LV"/>
              </w:rPr>
              <w:t xml:space="preserve">Pašreizējā situācija un problēmas, kuru risināšanai tiesību akta projekts izstrādāts, izstrādātā tiesiskā regulējuma mērķis un būtība </w:t>
            </w:r>
          </w:p>
          <w:p w14:paraId="3374E18A" w14:textId="77777777" w:rsidR="005E7402" w:rsidRPr="00CA74E1" w:rsidRDefault="005E7402" w:rsidP="005E7402">
            <w:pPr>
              <w:rPr>
                <w:rFonts w:eastAsia="Times New Roman"/>
                <w:sz w:val="26"/>
                <w:szCs w:val="26"/>
                <w:lang w:eastAsia="lv-LV"/>
              </w:rPr>
            </w:pPr>
          </w:p>
          <w:p w14:paraId="25FD33E4" w14:textId="77777777" w:rsidR="005E7402" w:rsidRPr="00CA74E1" w:rsidRDefault="005E7402" w:rsidP="005E7402">
            <w:pPr>
              <w:rPr>
                <w:rFonts w:eastAsia="Times New Roman"/>
                <w:sz w:val="26"/>
                <w:szCs w:val="26"/>
                <w:lang w:eastAsia="lv-LV"/>
              </w:rPr>
            </w:pPr>
          </w:p>
          <w:p w14:paraId="7DBC739D" w14:textId="77777777" w:rsidR="005E7402" w:rsidRPr="00CA74E1" w:rsidRDefault="005E7402" w:rsidP="005E7402">
            <w:pPr>
              <w:rPr>
                <w:rFonts w:eastAsia="Times New Roman"/>
                <w:sz w:val="26"/>
                <w:szCs w:val="26"/>
                <w:lang w:eastAsia="lv-LV"/>
              </w:rPr>
            </w:pPr>
          </w:p>
          <w:p w14:paraId="41AC3A4F" w14:textId="77777777" w:rsidR="005E7402" w:rsidRPr="00CA74E1" w:rsidRDefault="005E7402" w:rsidP="005E7402">
            <w:pPr>
              <w:rPr>
                <w:rFonts w:eastAsia="Times New Roman"/>
                <w:sz w:val="26"/>
                <w:szCs w:val="26"/>
                <w:lang w:eastAsia="lv-LV"/>
              </w:rPr>
            </w:pPr>
          </w:p>
          <w:p w14:paraId="0745AE50" w14:textId="77777777" w:rsidR="005E7402" w:rsidRPr="00CA74E1" w:rsidRDefault="005E7402" w:rsidP="005E7402">
            <w:pPr>
              <w:rPr>
                <w:rFonts w:eastAsia="Times New Roman"/>
                <w:sz w:val="26"/>
                <w:szCs w:val="26"/>
                <w:lang w:eastAsia="lv-LV"/>
              </w:rPr>
            </w:pPr>
          </w:p>
          <w:p w14:paraId="173CDCBA" w14:textId="77777777" w:rsidR="005E7402" w:rsidRPr="00CA74E1" w:rsidRDefault="005E7402" w:rsidP="005E7402">
            <w:pPr>
              <w:rPr>
                <w:rFonts w:eastAsia="Times New Roman"/>
                <w:sz w:val="26"/>
                <w:szCs w:val="26"/>
                <w:lang w:eastAsia="lv-LV"/>
              </w:rPr>
            </w:pPr>
          </w:p>
          <w:p w14:paraId="14EC7EC0" w14:textId="77777777" w:rsidR="005E7402" w:rsidRPr="00CA74E1" w:rsidRDefault="005E7402" w:rsidP="005E7402">
            <w:pPr>
              <w:rPr>
                <w:rFonts w:eastAsia="Times New Roman"/>
                <w:sz w:val="26"/>
                <w:szCs w:val="26"/>
                <w:lang w:eastAsia="lv-LV"/>
              </w:rPr>
            </w:pPr>
          </w:p>
          <w:p w14:paraId="4FC7418C" w14:textId="77777777" w:rsidR="005E7402" w:rsidRPr="00CA74E1" w:rsidRDefault="005E7402" w:rsidP="005E7402">
            <w:pPr>
              <w:rPr>
                <w:rFonts w:eastAsia="Times New Roman"/>
                <w:sz w:val="26"/>
                <w:szCs w:val="26"/>
                <w:lang w:eastAsia="lv-LV"/>
              </w:rPr>
            </w:pPr>
          </w:p>
          <w:p w14:paraId="2A2A81BC" w14:textId="77777777" w:rsidR="005E7402" w:rsidRPr="00CA74E1" w:rsidRDefault="005E7402" w:rsidP="005E7402">
            <w:pPr>
              <w:rPr>
                <w:rFonts w:eastAsia="Times New Roman"/>
                <w:sz w:val="26"/>
                <w:szCs w:val="26"/>
                <w:lang w:eastAsia="lv-LV"/>
              </w:rPr>
            </w:pPr>
          </w:p>
          <w:p w14:paraId="3BBFD606" w14:textId="77777777" w:rsidR="005E7402" w:rsidRPr="00CA74E1" w:rsidRDefault="005E7402" w:rsidP="005E7402">
            <w:pPr>
              <w:rPr>
                <w:rFonts w:eastAsia="Times New Roman"/>
                <w:sz w:val="26"/>
                <w:szCs w:val="26"/>
                <w:lang w:eastAsia="lv-LV"/>
              </w:rPr>
            </w:pPr>
          </w:p>
          <w:p w14:paraId="49827E05" w14:textId="77777777" w:rsidR="005E7402" w:rsidRPr="00CA74E1" w:rsidRDefault="005E7402" w:rsidP="005E7402">
            <w:pPr>
              <w:rPr>
                <w:rFonts w:eastAsia="Times New Roman"/>
                <w:sz w:val="26"/>
                <w:szCs w:val="26"/>
                <w:lang w:eastAsia="lv-LV"/>
              </w:rPr>
            </w:pPr>
          </w:p>
          <w:p w14:paraId="2E29577D" w14:textId="77777777" w:rsidR="005E7402" w:rsidRPr="00CA74E1" w:rsidRDefault="005E7402" w:rsidP="005E7402">
            <w:pPr>
              <w:rPr>
                <w:rFonts w:eastAsia="Times New Roman"/>
                <w:sz w:val="26"/>
                <w:szCs w:val="26"/>
                <w:lang w:eastAsia="lv-LV"/>
              </w:rPr>
            </w:pPr>
          </w:p>
          <w:p w14:paraId="030E2FCE" w14:textId="77777777" w:rsidR="005E7402" w:rsidRPr="00CA74E1" w:rsidRDefault="005E7402" w:rsidP="005E7402">
            <w:pPr>
              <w:rPr>
                <w:rFonts w:eastAsia="Times New Roman"/>
                <w:sz w:val="26"/>
                <w:szCs w:val="26"/>
                <w:lang w:eastAsia="lv-LV"/>
              </w:rPr>
            </w:pPr>
          </w:p>
          <w:p w14:paraId="524C99B2" w14:textId="77777777" w:rsidR="005E7402" w:rsidRPr="00CA74E1" w:rsidRDefault="005E7402" w:rsidP="005E7402">
            <w:pPr>
              <w:rPr>
                <w:rFonts w:eastAsia="Times New Roman"/>
                <w:sz w:val="26"/>
                <w:szCs w:val="26"/>
                <w:lang w:eastAsia="lv-LV"/>
              </w:rPr>
            </w:pPr>
          </w:p>
          <w:p w14:paraId="5FB133C8" w14:textId="77777777" w:rsidR="005E7402" w:rsidRPr="00CA74E1" w:rsidRDefault="005E7402" w:rsidP="005E7402">
            <w:pPr>
              <w:ind w:firstLine="720"/>
              <w:rPr>
                <w:rFonts w:eastAsia="Times New Roman"/>
                <w:sz w:val="26"/>
                <w:szCs w:val="26"/>
                <w:lang w:eastAsia="lv-LV"/>
              </w:rPr>
            </w:pPr>
          </w:p>
          <w:p w14:paraId="2C1C62A3" w14:textId="77777777" w:rsidR="005E7402" w:rsidRPr="00CA74E1" w:rsidRDefault="005E7402" w:rsidP="005E7402">
            <w:pPr>
              <w:rPr>
                <w:rFonts w:eastAsia="Times New Roman"/>
                <w:sz w:val="26"/>
                <w:szCs w:val="26"/>
                <w:lang w:eastAsia="lv-LV"/>
              </w:rPr>
            </w:pPr>
          </w:p>
          <w:p w14:paraId="5800DF08" w14:textId="77777777" w:rsidR="005E7402" w:rsidRPr="00CA74E1" w:rsidRDefault="005E7402" w:rsidP="005E7402">
            <w:pPr>
              <w:rPr>
                <w:rFonts w:eastAsia="Times New Roman"/>
                <w:sz w:val="26"/>
                <w:szCs w:val="26"/>
                <w:lang w:eastAsia="lv-LV"/>
              </w:rPr>
            </w:pPr>
          </w:p>
          <w:p w14:paraId="34790B40" w14:textId="1D0F3647" w:rsidR="003644DE" w:rsidRDefault="003644DE" w:rsidP="005E7402">
            <w:pPr>
              <w:jc w:val="center"/>
              <w:rPr>
                <w:rFonts w:eastAsia="Times New Roman"/>
                <w:sz w:val="26"/>
                <w:szCs w:val="26"/>
                <w:lang w:eastAsia="lv-LV"/>
              </w:rPr>
            </w:pPr>
          </w:p>
          <w:p w14:paraId="43169DDE" w14:textId="77777777" w:rsidR="003644DE" w:rsidRPr="003644DE" w:rsidRDefault="003644DE" w:rsidP="00744D9D">
            <w:pPr>
              <w:rPr>
                <w:rFonts w:eastAsia="Times New Roman"/>
                <w:sz w:val="26"/>
                <w:szCs w:val="26"/>
                <w:lang w:eastAsia="lv-LV"/>
              </w:rPr>
            </w:pPr>
          </w:p>
          <w:p w14:paraId="55C50F28" w14:textId="77777777" w:rsidR="003644DE" w:rsidRPr="003644DE" w:rsidRDefault="003644DE" w:rsidP="00744D9D">
            <w:pPr>
              <w:rPr>
                <w:rFonts w:eastAsia="Times New Roman"/>
                <w:sz w:val="26"/>
                <w:szCs w:val="26"/>
                <w:lang w:eastAsia="lv-LV"/>
              </w:rPr>
            </w:pPr>
          </w:p>
          <w:p w14:paraId="451F4708" w14:textId="77777777" w:rsidR="003644DE" w:rsidRPr="003644DE" w:rsidRDefault="003644DE" w:rsidP="00744D9D">
            <w:pPr>
              <w:rPr>
                <w:rFonts w:eastAsia="Times New Roman"/>
                <w:sz w:val="26"/>
                <w:szCs w:val="26"/>
                <w:lang w:eastAsia="lv-LV"/>
              </w:rPr>
            </w:pPr>
          </w:p>
          <w:p w14:paraId="5CBD5845" w14:textId="77777777" w:rsidR="003644DE" w:rsidRPr="003644DE" w:rsidRDefault="003644DE" w:rsidP="00744D9D">
            <w:pPr>
              <w:rPr>
                <w:rFonts w:eastAsia="Times New Roman"/>
                <w:sz w:val="26"/>
                <w:szCs w:val="26"/>
                <w:lang w:eastAsia="lv-LV"/>
              </w:rPr>
            </w:pPr>
          </w:p>
          <w:p w14:paraId="298B995B" w14:textId="77777777" w:rsidR="003644DE" w:rsidRPr="003644DE" w:rsidRDefault="003644DE" w:rsidP="00744D9D">
            <w:pPr>
              <w:rPr>
                <w:rFonts w:eastAsia="Times New Roman"/>
                <w:sz w:val="26"/>
                <w:szCs w:val="26"/>
                <w:lang w:eastAsia="lv-LV"/>
              </w:rPr>
            </w:pPr>
          </w:p>
          <w:p w14:paraId="3567F184" w14:textId="77777777" w:rsidR="003644DE" w:rsidRPr="003644DE" w:rsidRDefault="003644DE" w:rsidP="00744D9D">
            <w:pPr>
              <w:rPr>
                <w:rFonts w:eastAsia="Times New Roman"/>
                <w:sz w:val="26"/>
                <w:szCs w:val="26"/>
                <w:lang w:eastAsia="lv-LV"/>
              </w:rPr>
            </w:pPr>
          </w:p>
          <w:p w14:paraId="467B0A2E" w14:textId="77777777" w:rsidR="003644DE" w:rsidRPr="003644DE" w:rsidRDefault="003644DE" w:rsidP="00744D9D">
            <w:pPr>
              <w:rPr>
                <w:rFonts w:eastAsia="Times New Roman"/>
                <w:sz w:val="26"/>
                <w:szCs w:val="26"/>
                <w:lang w:eastAsia="lv-LV"/>
              </w:rPr>
            </w:pPr>
          </w:p>
          <w:p w14:paraId="01E959A0" w14:textId="77777777" w:rsidR="003644DE" w:rsidRPr="003644DE" w:rsidRDefault="003644DE" w:rsidP="00744D9D">
            <w:pPr>
              <w:rPr>
                <w:rFonts w:eastAsia="Times New Roman"/>
                <w:sz w:val="26"/>
                <w:szCs w:val="26"/>
                <w:lang w:eastAsia="lv-LV"/>
              </w:rPr>
            </w:pPr>
          </w:p>
          <w:p w14:paraId="14A3BB8F" w14:textId="77777777" w:rsidR="003644DE" w:rsidRPr="003644DE" w:rsidRDefault="003644DE" w:rsidP="00744D9D">
            <w:pPr>
              <w:rPr>
                <w:rFonts w:eastAsia="Times New Roman"/>
                <w:sz w:val="26"/>
                <w:szCs w:val="26"/>
                <w:lang w:eastAsia="lv-LV"/>
              </w:rPr>
            </w:pPr>
          </w:p>
          <w:p w14:paraId="20D544FB" w14:textId="77777777" w:rsidR="003644DE" w:rsidRPr="003644DE" w:rsidRDefault="003644DE" w:rsidP="00744D9D">
            <w:pPr>
              <w:rPr>
                <w:rFonts w:eastAsia="Times New Roman"/>
                <w:sz w:val="26"/>
                <w:szCs w:val="26"/>
                <w:lang w:eastAsia="lv-LV"/>
              </w:rPr>
            </w:pPr>
          </w:p>
          <w:p w14:paraId="6D1B803C" w14:textId="77777777" w:rsidR="003644DE" w:rsidRPr="003644DE" w:rsidRDefault="003644DE" w:rsidP="00744D9D">
            <w:pPr>
              <w:rPr>
                <w:rFonts w:eastAsia="Times New Roman"/>
                <w:sz w:val="26"/>
                <w:szCs w:val="26"/>
                <w:lang w:eastAsia="lv-LV"/>
              </w:rPr>
            </w:pPr>
          </w:p>
          <w:p w14:paraId="2A2C81E9" w14:textId="77777777" w:rsidR="003644DE" w:rsidRPr="003644DE" w:rsidRDefault="003644DE" w:rsidP="00744D9D">
            <w:pPr>
              <w:rPr>
                <w:rFonts w:eastAsia="Times New Roman"/>
                <w:sz w:val="26"/>
                <w:szCs w:val="26"/>
                <w:lang w:eastAsia="lv-LV"/>
              </w:rPr>
            </w:pPr>
          </w:p>
          <w:p w14:paraId="4516F964" w14:textId="77777777" w:rsidR="003644DE" w:rsidRPr="003644DE" w:rsidRDefault="003644DE" w:rsidP="00744D9D">
            <w:pPr>
              <w:rPr>
                <w:rFonts w:eastAsia="Times New Roman"/>
                <w:sz w:val="26"/>
                <w:szCs w:val="26"/>
                <w:lang w:eastAsia="lv-LV"/>
              </w:rPr>
            </w:pPr>
          </w:p>
          <w:p w14:paraId="0F573EE1" w14:textId="77777777" w:rsidR="003644DE" w:rsidRPr="003644DE" w:rsidRDefault="003644DE" w:rsidP="00744D9D">
            <w:pPr>
              <w:rPr>
                <w:rFonts w:eastAsia="Times New Roman"/>
                <w:sz w:val="26"/>
                <w:szCs w:val="26"/>
                <w:lang w:eastAsia="lv-LV"/>
              </w:rPr>
            </w:pPr>
          </w:p>
          <w:p w14:paraId="138A0EA2" w14:textId="77777777" w:rsidR="003644DE" w:rsidRPr="003644DE" w:rsidRDefault="003644DE" w:rsidP="00744D9D">
            <w:pPr>
              <w:rPr>
                <w:rFonts w:eastAsia="Times New Roman"/>
                <w:sz w:val="26"/>
                <w:szCs w:val="26"/>
                <w:lang w:eastAsia="lv-LV"/>
              </w:rPr>
            </w:pPr>
          </w:p>
          <w:p w14:paraId="29E95D7E" w14:textId="77777777" w:rsidR="003644DE" w:rsidRPr="003644DE" w:rsidRDefault="003644DE" w:rsidP="00744D9D">
            <w:pPr>
              <w:rPr>
                <w:rFonts w:eastAsia="Times New Roman"/>
                <w:sz w:val="26"/>
                <w:szCs w:val="26"/>
                <w:lang w:eastAsia="lv-LV"/>
              </w:rPr>
            </w:pPr>
          </w:p>
          <w:p w14:paraId="3CD254EE" w14:textId="77777777" w:rsidR="003644DE" w:rsidRPr="003644DE" w:rsidRDefault="003644DE" w:rsidP="00744D9D">
            <w:pPr>
              <w:rPr>
                <w:rFonts w:eastAsia="Times New Roman"/>
                <w:sz w:val="26"/>
                <w:szCs w:val="26"/>
                <w:lang w:eastAsia="lv-LV"/>
              </w:rPr>
            </w:pPr>
          </w:p>
          <w:p w14:paraId="6102EB7A" w14:textId="77777777" w:rsidR="003644DE" w:rsidRPr="003644DE" w:rsidRDefault="003644DE" w:rsidP="00744D9D">
            <w:pPr>
              <w:rPr>
                <w:rFonts w:eastAsia="Times New Roman"/>
                <w:sz w:val="26"/>
                <w:szCs w:val="26"/>
                <w:lang w:eastAsia="lv-LV"/>
              </w:rPr>
            </w:pPr>
          </w:p>
          <w:p w14:paraId="3CAACE65" w14:textId="77777777" w:rsidR="003644DE" w:rsidRPr="003644DE" w:rsidRDefault="003644DE" w:rsidP="00744D9D">
            <w:pPr>
              <w:rPr>
                <w:rFonts w:eastAsia="Times New Roman"/>
                <w:sz w:val="26"/>
                <w:szCs w:val="26"/>
                <w:lang w:eastAsia="lv-LV"/>
              </w:rPr>
            </w:pPr>
          </w:p>
          <w:p w14:paraId="081F5184" w14:textId="77777777" w:rsidR="003644DE" w:rsidRPr="003644DE" w:rsidRDefault="003644DE" w:rsidP="00744D9D">
            <w:pPr>
              <w:rPr>
                <w:rFonts w:eastAsia="Times New Roman"/>
                <w:sz w:val="26"/>
                <w:szCs w:val="26"/>
                <w:lang w:eastAsia="lv-LV"/>
              </w:rPr>
            </w:pPr>
          </w:p>
          <w:p w14:paraId="36561838" w14:textId="77777777" w:rsidR="003644DE" w:rsidRPr="003644DE" w:rsidRDefault="003644DE" w:rsidP="00744D9D">
            <w:pPr>
              <w:rPr>
                <w:rFonts w:eastAsia="Times New Roman"/>
                <w:sz w:val="26"/>
                <w:szCs w:val="26"/>
                <w:lang w:eastAsia="lv-LV"/>
              </w:rPr>
            </w:pPr>
          </w:p>
          <w:p w14:paraId="3B1971B2" w14:textId="77777777" w:rsidR="003644DE" w:rsidRPr="003644DE" w:rsidRDefault="003644DE" w:rsidP="00744D9D">
            <w:pPr>
              <w:rPr>
                <w:rFonts w:eastAsia="Times New Roman"/>
                <w:sz w:val="26"/>
                <w:szCs w:val="26"/>
                <w:lang w:eastAsia="lv-LV"/>
              </w:rPr>
            </w:pPr>
          </w:p>
          <w:p w14:paraId="51B8B0B6" w14:textId="77777777" w:rsidR="003644DE" w:rsidRPr="003644DE" w:rsidRDefault="003644DE" w:rsidP="00744D9D">
            <w:pPr>
              <w:rPr>
                <w:rFonts w:eastAsia="Times New Roman"/>
                <w:sz w:val="26"/>
                <w:szCs w:val="26"/>
                <w:lang w:eastAsia="lv-LV"/>
              </w:rPr>
            </w:pPr>
          </w:p>
          <w:p w14:paraId="4281ADF8" w14:textId="77777777" w:rsidR="003644DE" w:rsidRPr="003644DE" w:rsidRDefault="003644DE" w:rsidP="00744D9D">
            <w:pPr>
              <w:rPr>
                <w:rFonts w:eastAsia="Times New Roman"/>
                <w:sz w:val="26"/>
                <w:szCs w:val="26"/>
                <w:lang w:eastAsia="lv-LV"/>
              </w:rPr>
            </w:pPr>
          </w:p>
          <w:p w14:paraId="6E0D28E0" w14:textId="77777777" w:rsidR="003644DE" w:rsidRPr="003644DE" w:rsidRDefault="003644DE" w:rsidP="00744D9D">
            <w:pPr>
              <w:rPr>
                <w:rFonts w:eastAsia="Times New Roman"/>
                <w:sz w:val="26"/>
                <w:szCs w:val="26"/>
                <w:lang w:eastAsia="lv-LV"/>
              </w:rPr>
            </w:pPr>
          </w:p>
          <w:p w14:paraId="5AE05AFA" w14:textId="77777777" w:rsidR="003644DE" w:rsidRPr="003644DE" w:rsidRDefault="003644DE" w:rsidP="00744D9D">
            <w:pPr>
              <w:rPr>
                <w:rFonts w:eastAsia="Times New Roman"/>
                <w:sz w:val="26"/>
                <w:szCs w:val="26"/>
                <w:lang w:eastAsia="lv-LV"/>
              </w:rPr>
            </w:pPr>
          </w:p>
          <w:p w14:paraId="1A021B3F" w14:textId="77777777" w:rsidR="003644DE" w:rsidRPr="003644DE" w:rsidRDefault="003644DE" w:rsidP="00744D9D">
            <w:pPr>
              <w:rPr>
                <w:rFonts w:eastAsia="Times New Roman"/>
                <w:sz w:val="26"/>
                <w:szCs w:val="26"/>
                <w:lang w:eastAsia="lv-LV"/>
              </w:rPr>
            </w:pPr>
          </w:p>
          <w:p w14:paraId="5B6CF8F0" w14:textId="77777777" w:rsidR="003644DE" w:rsidRPr="003644DE" w:rsidRDefault="003644DE" w:rsidP="00744D9D">
            <w:pPr>
              <w:rPr>
                <w:rFonts w:eastAsia="Times New Roman"/>
                <w:sz w:val="26"/>
                <w:szCs w:val="26"/>
                <w:lang w:eastAsia="lv-LV"/>
              </w:rPr>
            </w:pPr>
          </w:p>
          <w:p w14:paraId="7F063CBF" w14:textId="77777777" w:rsidR="003644DE" w:rsidRPr="003644DE" w:rsidRDefault="003644DE" w:rsidP="00744D9D">
            <w:pPr>
              <w:rPr>
                <w:rFonts w:eastAsia="Times New Roman"/>
                <w:sz w:val="26"/>
                <w:szCs w:val="26"/>
                <w:lang w:eastAsia="lv-LV"/>
              </w:rPr>
            </w:pPr>
          </w:p>
          <w:p w14:paraId="3ED9EAF3" w14:textId="77777777" w:rsidR="003644DE" w:rsidRPr="003644DE" w:rsidRDefault="003644DE" w:rsidP="00744D9D">
            <w:pPr>
              <w:rPr>
                <w:rFonts w:eastAsia="Times New Roman"/>
                <w:sz w:val="26"/>
                <w:szCs w:val="26"/>
                <w:lang w:eastAsia="lv-LV"/>
              </w:rPr>
            </w:pPr>
          </w:p>
          <w:p w14:paraId="1E344FB3" w14:textId="77777777" w:rsidR="003644DE" w:rsidRPr="003644DE" w:rsidRDefault="003644DE" w:rsidP="00744D9D">
            <w:pPr>
              <w:rPr>
                <w:rFonts w:eastAsia="Times New Roman"/>
                <w:sz w:val="26"/>
                <w:szCs w:val="26"/>
                <w:lang w:eastAsia="lv-LV"/>
              </w:rPr>
            </w:pPr>
          </w:p>
          <w:p w14:paraId="206B1182" w14:textId="77777777" w:rsidR="003644DE" w:rsidRPr="003644DE" w:rsidRDefault="003644DE" w:rsidP="00744D9D">
            <w:pPr>
              <w:rPr>
                <w:rFonts w:eastAsia="Times New Roman"/>
                <w:sz w:val="26"/>
                <w:szCs w:val="26"/>
                <w:lang w:eastAsia="lv-LV"/>
              </w:rPr>
            </w:pPr>
          </w:p>
          <w:p w14:paraId="6BB9F504" w14:textId="77777777" w:rsidR="003644DE" w:rsidRPr="003644DE" w:rsidRDefault="003644DE" w:rsidP="00744D9D">
            <w:pPr>
              <w:rPr>
                <w:rFonts w:eastAsia="Times New Roman"/>
                <w:sz w:val="26"/>
                <w:szCs w:val="26"/>
                <w:lang w:eastAsia="lv-LV"/>
              </w:rPr>
            </w:pPr>
          </w:p>
          <w:p w14:paraId="1C86DE07" w14:textId="77777777" w:rsidR="003644DE" w:rsidRPr="003644DE" w:rsidRDefault="003644DE" w:rsidP="00744D9D">
            <w:pPr>
              <w:rPr>
                <w:rFonts w:eastAsia="Times New Roman"/>
                <w:sz w:val="26"/>
                <w:szCs w:val="26"/>
                <w:lang w:eastAsia="lv-LV"/>
              </w:rPr>
            </w:pPr>
          </w:p>
          <w:p w14:paraId="13A43C00" w14:textId="77777777" w:rsidR="003644DE" w:rsidRPr="003644DE" w:rsidRDefault="003644DE" w:rsidP="00744D9D">
            <w:pPr>
              <w:rPr>
                <w:rFonts w:eastAsia="Times New Roman"/>
                <w:sz w:val="26"/>
                <w:szCs w:val="26"/>
                <w:lang w:eastAsia="lv-LV"/>
              </w:rPr>
            </w:pPr>
          </w:p>
          <w:p w14:paraId="4211770B" w14:textId="77777777" w:rsidR="003644DE" w:rsidRPr="003644DE" w:rsidRDefault="003644DE" w:rsidP="00744D9D">
            <w:pPr>
              <w:rPr>
                <w:rFonts w:eastAsia="Times New Roman"/>
                <w:sz w:val="26"/>
                <w:szCs w:val="26"/>
                <w:lang w:eastAsia="lv-LV"/>
              </w:rPr>
            </w:pPr>
          </w:p>
          <w:p w14:paraId="24217250" w14:textId="77777777" w:rsidR="003644DE" w:rsidRPr="003644DE" w:rsidRDefault="003644DE" w:rsidP="00744D9D">
            <w:pPr>
              <w:rPr>
                <w:rFonts w:eastAsia="Times New Roman"/>
                <w:sz w:val="26"/>
                <w:szCs w:val="26"/>
                <w:lang w:eastAsia="lv-LV"/>
              </w:rPr>
            </w:pPr>
          </w:p>
          <w:p w14:paraId="3D0196A6" w14:textId="77777777" w:rsidR="003644DE" w:rsidRPr="003644DE" w:rsidRDefault="003644DE" w:rsidP="00744D9D">
            <w:pPr>
              <w:rPr>
                <w:rFonts w:eastAsia="Times New Roman"/>
                <w:sz w:val="26"/>
                <w:szCs w:val="26"/>
                <w:lang w:eastAsia="lv-LV"/>
              </w:rPr>
            </w:pPr>
          </w:p>
          <w:p w14:paraId="0A185AE1" w14:textId="77777777" w:rsidR="003644DE" w:rsidRPr="003644DE" w:rsidRDefault="003644DE" w:rsidP="00744D9D">
            <w:pPr>
              <w:rPr>
                <w:rFonts w:eastAsia="Times New Roman"/>
                <w:sz w:val="26"/>
                <w:szCs w:val="26"/>
                <w:lang w:eastAsia="lv-LV"/>
              </w:rPr>
            </w:pPr>
          </w:p>
          <w:p w14:paraId="6E6FCC9D" w14:textId="77777777" w:rsidR="003644DE" w:rsidRPr="003644DE" w:rsidRDefault="003644DE" w:rsidP="00744D9D">
            <w:pPr>
              <w:rPr>
                <w:rFonts w:eastAsia="Times New Roman"/>
                <w:sz w:val="26"/>
                <w:szCs w:val="26"/>
                <w:lang w:eastAsia="lv-LV"/>
              </w:rPr>
            </w:pPr>
          </w:p>
          <w:p w14:paraId="55BCD902" w14:textId="77777777" w:rsidR="003644DE" w:rsidRPr="003644DE" w:rsidRDefault="003644DE" w:rsidP="00744D9D">
            <w:pPr>
              <w:rPr>
                <w:rFonts w:eastAsia="Times New Roman"/>
                <w:sz w:val="26"/>
                <w:szCs w:val="26"/>
                <w:lang w:eastAsia="lv-LV"/>
              </w:rPr>
            </w:pPr>
          </w:p>
          <w:p w14:paraId="08FFC4B8" w14:textId="77777777" w:rsidR="003644DE" w:rsidRPr="003644DE" w:rsidRDefault="003644DE" w:rsidP="00744D9D">
            <w:pPr>
              <w:rPr>
                <w:rFonts w:eastAsia="Times New Roman"/>
                <w:sz w:val="26"/>
                <w:szCs w:val="26"/>
                <w:lang w:eastAsia="lv-LV"/>
              </w:rPr>
            </w:pPr>
          </w:p>
          <w:p w14:paraId="14BA40EB" w14:textId="77777777" w:rsidR="003644DE" w:rsidRPr="003644DE" w:rsidRDefault="003644DE" w:rsidP="00744D9D">
            <w:pPr>
              <w:rPr>
                <w:rFonts w:eastAsia="Times New Roman"/>
                <w:sz w:val="26"/>
                <w:szCs w:val="26"/>
                <w:lang w:eastAsia="lv-LV"/>
              </w:rPr>
            </w:pPr>
          </w:p>
          <w:p w14:paraId="6BA20693" w14:textId="572A8196" w:rsidR="005E7402" w:rsidRPr="003644DE" w:rsidRDefault="005E7402" w:rsidP="003644DE">
            <w:pPr>
              <w:jc w:val="center"/>
              <w:rPr>
                <w:rFonts w:eastAsia="Times New Roman"/>
                <w:sz w:val="26"/>
                <w:szCs w:val="26"/>
                <w:lang w:eastAsia="lv-LV"/>
              </w:rPr>
            </w:pPr>
          </w:p>
        </w:tc>
        <w:tc>
          <w:tcPr>
            <w:tcW w:w="6098" w:type="dxa"/>
            <w:tcBorders>
              <w:top w:val="outset" w:sz="6" w:space="0" w:color="auto"/>
              <w:left w:val="outset" w:sz="6" w:space="0" w:color="auto"/>
              <w:bottom w:val="outset" w:sz="6" w:space="0" w:color="auto"/>
              <w:right w:val="outset" w:sz="6" w:space="0" w:color="auto"/>
            </w:tcBorders>
          </w:tcPr>
          <w:p w14:paraId="16E6C0EB" w14:textId="77777777" w:rsidR="005E7402" w:rsidRPr="007A5116" w:rsidRDefault="005E7402" w:rsidP="005E7402">
            <w:pPr>
              <w:ind w:left="113" w:right="113"/>
              <w:jc w:val="both"/>
              <w:rPr>
                <w:sz w:val="24"/>
                <w:szCs w:val="24"/>
              </w:rPr>
            </w:pPr>
            <w:r>
              <w:rPr>
                <w:sz w:val="24"/>
                <w:szCs w:val="24"/>
              </w:rPr>
              <w:lastRenderedPageBreak/>
              <w:t>MK noteikumu projekts</w:t>
            </w:r>
            <w:r w:rsidRPr="007A5116">
              <w:rPr>
                <w:sz w:val="24"/>
                <w:szCs w:val="24"/>
              </w:rPr>
              <w:t xml:space="preserve"> ir izstrādāts, lai:</w:t>
            </w:r>
          </w:p>
          <w:p w14:paraId="2D83ADFF" w14:textId="2480132C" w:rsidR="005E7402" w:rsidRPr="007A5116" w:rsidRDefault="005E7402" w:rsidP="005E7402">
            <w:pPr>
              <w:ind w:left="113" w:right="113" w:firstLine="266"/>
              <w:jc w:val="both"/>
              <w:rPr>
                <w:sz w:val="24"/>
                <w:szCs w:val="24"/>
              </w:rPr>
            </w:pPr>
            <w:r w:rsidRPr="007A5116">
              <w:rPr>
                <w:sz w:val="24"/>
                <w:szCs w:val="24"/>
              </w:rPr>
              <w:t>1)</w:t>
            </w:r>
            <w:r w:rsidRPr="007A5116">
              <w:rPr>
                <w:sz w:val="24"/>
                <w:szCs w:val="24"/>
              </w:rPr>
              <w:tab/>
              <w:t>papildinātu noteikumus ar jaunu punktu, nosakot, ka PVN atbrīvojums tiek piemērots arī tādos gadījumos, ja medicīnas pakalpojums tiek sniegts citas ārstniecības iestādes pacientam, balstoties uz starp ārstniecības iestādēm noslēgt</w:t>
            </w:r>
            <w:r w:rsidR="00113803">
              <w:rPr>
                <w:sz w:val="24"/>
                <w:szCs w:val="24"/>
              </w:rPr>
              <w:t xml:space="preserve">as rakstveida vienošanās </w:t>
            </w:r>
            <w:r w:rsidRPr="007A5116">
              <w:rPr>
                <w:sz w:val="24"/>
                <w:szCs w:val="24"/>
              </w:rPr>
              <w:t>pamata;</w:t>
            </w:r>
          </w:p>
          <w:p w14:paraId="2FB6D313" w14:textId="606C42CB" w:rsidR="005E7402" w:rsidRPr="007A5116" w:rsidRDefault="005E7402" w:rsidP="005E7402">
            <w:pPr>
              <w:ind w:left="113" w:right="113" w:firstLine="266"/>
              <w:jc w:val="both"/>
              <w:rPr>
                <w:sz w:val="24"/>
                <w:szCs w:val="24"/>
              </w:rPr>
            </w:pPr>
            <w:r w:rsidRPr="007A5116">
              <w:rPr>
                <w:sz w:val="24"/>
                <w:szCs w:val="24"/>
              </w:rPr>
              <w:t>2)</w:t>
            </w:r>
            <w:r w:rsidRPr="007A5116">
              <w:rPr>
                <w:sz w:val="24"/>
                <w:szCs w:val="24"/>
              </w:rPr>
              <w:tab/>
              <w:t>izslēgtu punktu, kas nosaka, ka atbrīvojums no PVN nav piemērojams, ja zobu tehniķi izgatavo un piegādā protezēšanai zobu protēzes citām ārstniecības iestādēm;</w:t>
            </w:r>
          </w:p>
          <w:p w14:paraId="1DD6B646" w14:textId="77777777" w:rsidR="003A445F" w:rsidRDefault="005E7402" w:rsidP="005E7402">
            <w:pPr>
              <w:ind w:left="113" w:right="113" w:firstLine="266"/>
              <w:jc w:val="both"/>
              <w:rPr>
                <w:sz w:val="24"/>
                <w:szCs w:val="24"/>
              </w:rPr>
            </w:pPr>
            <w:r w:rsidRPr="007A5116">
              <w:rPr>
                <w:sz w:val="24"/>
                <w:szCs w:val="24"/>
              </w:rPr>
              <w:t>3)</w:t>
            </w:r>
            <w:r w:rsidRPr="007A5116">
              <w:rPr>
                <w:sz w:val="24"/>
                <w:szCs w:val="24"/>
              </w:rPr>
              <w:tab/>
              <w:t>papildinātu noteikumus ar jaunu apakšpunktu nosakot, ka gadījumos, kad mainās nekustamā īpašuma reģistrācijas brīdī Valsts ieņēmumu dienestā (turpmāk – VID) norādītā izmantošanas proporcija apliekamiem/neapliekamiem darījumiem, tiek ņemta vērā no valsts budžeta faktiski atskaitītā priekšnodokļa summa</w:t>
            </w:r>
            <w:r w:rsidR="003A445F">
              <w:rPr>
                <w:sz w:val="24"/>
                <w:szCs w:val="24"/>
              </w:rPr>
              <w:t>;</w:t>
            </w:r>
          </w:p>
          <w:p w14:paraId="13CC45AA" w14:textId="344B4E59" w:rsidR="005E7402" w:rsidRDefault="003A445F" w:rsidP="005E7402">
            <w:pPr>
              <w:ind w:left="113" w:right="113" w:firstLine="266"/>
              <w:jc w:val="both"/>
              <w:rPr>
                <w:sz w:val="24"/>
                <w:szCs w:val="24"/>
              </w:rPr>
            </w:pPr>
            <w:r>
              <w:rPr>
                <w:sz w:val="24"/>
                <w:szCs w:val="24"/>
              </w:rPr>
              <w:t>4) izslēgt punktu, kas saistīts ar atsauci uz Pievienotās vērtības nodokļa likuma 143.</w:t>
            </w:r>
            <w:r w:rsidRPr="00744D9D">
              <w:rPr>
                <w:sz w:val="24"/>
                <w:szCs w:val="24"/>
                <w:vertAlign w:val="superscript"/>
              </w:rPr>
              <w:t>5</w:t>
            </w:r>
            <w:r>
              <w:rPr>
                <w:sz w:val="24"/>
                <w:szCs w:val="24"/>
              </w:rPr>
              <w:t xml:space="preserve"> panta piektās daļas izslēgšanu.</w:t>
            </w:r>
          </w:p>
          <w:p w14:paraId="1E99425B" w14:textId="7FDE4DD9" w:rsidR="005E7402" w:rsidRDefault="005E7402" w:rsidP="005E7402">
            <w:pPr>
              <w:ind w:left="113" w:right="113" w:firstLine="266"/>
              <w:jc w:val="both"/>
              <w:rPr>
                <w:sz w:val="24"/>
                <w:szCs w:val="24"/>
              </w:rPr>
            </w:pPr>
            <w:r w:rsidRPr="005C7DA8">
              <w:rPr>
                <w:sz w:val="24"/>
                <w:szCs w:val="24"/>
              </w:rPr>
              <w:t>1. </w:t>
            </w:r>
            <w:r>
              <w:rPr>
                <w:sz w:val="24"/>
                <w:szCs w:val="24"/>
              </w:rPr>
              <w:t xml:space="preserve">Pievienotās vērtības nodokļa </w:t>
            </w:r>
            <w:r w:rsidRPr="00E056D0">
              <w:rPr>
                <w:sz w:val="24"/>
                <w:szCs w:val="24"/>
              </w:rPr>
              <w:t xml:space="preserve">likuma 52.panta pirmās daļas 3.punkta “a” apakšpunktā </w:t>
            </w:r>
            <w:r>
              <w:rPr>
                <w:sz w:val="24"/>
                <w:szCs w:val="24"/>
              </w:rPr>
              <w:t xml:space="preserve">ir </w:t>
            </w:r>
            <w:r w:rsidRPr="00E056D0">
              <w:rPr>
                <w:sz w:val="24"/>
                <w:szCs w:val="24"/>
              </w:rPr>
              <w:t xml:space="preserve">veikts grozījums, lai precizētu atbrīvojuma no PVN medicīnas pakalpojumiem tvērumu. Izslēdzot no </w:t>
            </w:r>
            <w:r>
              <w:rPr>
                <w:sz w:val="24"/>
                <w:szCs w:val="24"/>
              </w:rPr>
              <w:t xml:space="preserve">minētā </w:t>
            </w:r>
            <w:r w:rsidRPr="00E056D0">
              <w:rPr>
                <w:sz w:val="24"/>
                <w:szCs w:val="24"/>
              </w:rPr>
              <w:t>likuma apakšpunkta vārdu “pacients”, tiek paplašināta normas piemē</w:t>
            </w:r>
            <w:r>
              <w:rPr>
                <w:sz w:val="24"/>
                <w:szCs w:val="24"/>
              </w:rPr>
              <w:t xml:space="preserve">rošana, attiecinot </w:t>
            </w:r>
            <w:r>
              <w:rPr>
                <w:sz w:val="24"/>
                <w:szCs w:val="24"/>
              </w:rPr>
              <w:lastRenderedPageBreak/>
              <w:t>normu arī uz</w:t>
            </w:r>
            <w:r w:rsidRPr="00E056D0">
              <w:rPr>
                <w:sz w:val="24"/>
                <w:szCs w:val="24"/>
              </w:rPr>
              <w:t xml:space="preserve"> tādiem medicīnas pakalpojumiem, kurus </w:t>
            </w:r>
            <w:r>
              <w:rPr>
                <w:sz w:val="24"/>
                <w:szCs w:val="24"/>
              </w:rPr>
              <w:t xml:space="preserve">viena </w:t>
            </w:r>
            <w:r w:rsidRPr="00E056D0">
              <w:rPr>
                <w:sz w:val="24"/>
                <w:szCs w:val="24"/>
              </w:rPr>
              <w:t xml:space="preserve">ārstniecības iestāde sniedz citas ārstniecības iestādes pacientam </w:t>
            </w:r>
            <w:r w:rsidR="00E0718D" w:rsidRPr="00E0718D">
              <w:rPr>
                <w:sz w:val="24"/>
                <w:szCs w:val="24"/>
              </w:rPr>
              <w:t>rakstveida vienošanās</w:t>
            </w:r>
            <w:r w:rsidRPr="00E056D0">
              <w:rPr>
                <w:sz w:val="24"/>
                <w:szCs w:val="24"/>
              </w:rPr>
              <w:t xml:space="preserve"> ietvaros, kas ir noslēgt</w:t>
            </w:r>
            <w:r w:rsidR="00E0718D">
              <w:rPr>
                <w:sz w:val="24"/>
                <w:szCs w:val="24"/>
              </w:rPr>
              <w:t>a</w:t>
            </w:r>
            <w:r w:rsidRPr="00E056D0">
              <w:rPr>
                <w:sz w:val="24"/>
                <w:szCs w:val="24"/>
              </w:rPr>
              <w:t xml:space="preserve"> starp šādām ārstniecības iestādēm. Šāds grozījums ir saistīts ar to, ka arī ārstniecības iestādes, līdzīgi kā citās nozarēs darbojošies uzņēmumi, meklē dažādus biznesa modeļus un savstarpējas sadarbības iespējas, lai padarītu efektīvāku savu darbu, samazinātu izmaksas un vienlaicīgi nodrošinātu kvalitatīvu pakalpojumu pacientam. Arī atbilstoši ES judikatūrai (ES Tiesas spriedums lietā C-366/12) šāda atbrīvojuma mērķis ir medicīnas pakalpojumu izmaksu samazinājums un to pieejamība indivīdam. </w:t>
            </w:r>
            <w:r>
              <w:rPr>
                <w:sz w:val="24"/>
                <w:szCs w:val="24"/>
              </w:rPr>
              <w:t>Līdz ar to</w:t>
            </w:r>
            <w:r w:rsidRPr="00E056D0">
              <w:rPr>
                <w:sz w:val="24"/>
                <w:szCs w:val="24"/>
              </w:rPr>
              <w:t xml:space="preserve"> ne</w:t>
            </w:r>
            <w:r>
              <w:rPr>
                <w:sz w:val="24"/>
                <w:szCs w:val="24"/>
              </w:rPr>
              <w:t>pieciešams veikt grozījumus Ministru kabineta</w:t>
            </w:r>
            <w:r w:rsidRPr="00E056D0">
              <w:rPr>
                <w:sz w:val="24"/>
                <w:szCs w:val="24"/>
              </w:rPr>
              <w:t xml:space="preserve"> </w:t>
            </w:r>
            <w:r w:rsidRPr="00FC42C7">
              <w:rPr>
                <w:sz w:val="24"/>
                <w:szCs w:val="24"/>
              </w:rPr>
              <w:t>2013.gada 3.janvāra noteikumos Nr.17 “Pievienotās vērtības nodokļa likuma normu piemērošanas kārtība un atsevišķas prasības pievienotās vērtības nodokļa maksāšanai un administrēšanai</w:t>
            </w:r>
            <w:r>
              <w:rPr>
                <w:sz w:val="24"/>
                <w:szCs w:val="24"/>
              </w:rPr>
              <w:t xml:space="preserve">” </w:t>
            </w:r>
            <w:r w:rsidRPr="009C6BEA">
              <w:rPr>
                <w:sz w:val="24"/>
                <w:szCs w:val="24"/>
              </w:rPr>
              <w:t>(turpmāk – M</w:t>
            </w:r>
            <w:r>
              <w:rPr>
                <w:sz w:val="24"/>
                <w:szCs w:val="24"/>
              </w:rPr>
              <w:t xml:space="preserve">K </w:t>
            </w:r>
            <w:r w:rsidRPr="009C6BEA">
              <w:rPr>
                <w:sz w:val="24"/>
                <w:szCs w:val="24"/>
              </w:rPr>
              <w:t>noteikumi</w:t>
            </w:r>
            <w:r>
              <w:rPr>
                <w:sz w:val="24"/>
                <w:szCs w:val="24"/>
              </w:rPr>
              <w:t xml:space="preserve"> Nr.17</w:t>
            </w:r>
            <w:r w:rsidRPr="009C6BEA">
              <w:rPr>
                <w:sz w:val="24"/>
                <w:szCs w:val="24"/>
              </w:rPr>
              <w:t xml:space="preserve">) </w:t>
            </w:r>
            <w:r>
              <w:rPr>
                <w:sz w:val="24"/>
                <w:szCs w:val="24"/>
              </w:rPr>
              <w:t xml:space="preserve">un </w:t>
            </w:r>
            <w:r w:rsidRPr="003706DF">
              <w:rPr>
                <w:sz w:val="24"/>
                <w:szCs w:val="24"/>
              </w:rPr>
              <w:t xml:space="preserve">noteikt, ka Pievienotās vērtības nodokļa likuma 52.panta pirmās daļas 3.punkta “a” apakšpunktā minētais atbrīvojums no PVN ir piemērojams, ja pacients medicīnas pakalpojumu saņem citā ārstniecības iestādē, ar kuru ārstniecības iestādei ir </w:t>
            </w:r>
            <w:r w:rsidR="00E15046">
              <w:rPr>
                <w:sz w:val="24"/>
                <w:szCs w:val="24"/>
              </w:rPr>
              <w:t xml:space="preserve">noslēgta </w:t>
            </w:r>
            <w:r w:rsidR="00107A74" w:rsidRPr="00107A74">
              <w:rPr>
                <w:sz w:val="24"/>
                <w:szCs w:val="24"/>
              </w:rPr>
              <w:t>rakstveida vienošanās</w:t>
            </w:r>
            <w:r>
              <w:rPr>
                <w:sz w:val="24"/>
                <w:szCs w:val="24"/>
              </w:rPr>
              <w:t xml:space="preserve"> šī pakalpojuma sniegšanai</w:t>
            </w:r>
            <w:r w:rsidRPr="003706DF">
              <w:rPr>
                <w:sz w:val="24"/>
                <w:szCs w:val="24"/>
              </w:rPr>
              <w:t>.</w:t>
            </w:r>
          </w:p>
          <w:p w14:paraId="78936E5A" w14:textId="77777777" w:rsidR="005E7402" w:rsidRDefault="005E7402" w:rsidP="005E7402">
            <w:pPr>
              <w:ind w:left="113" w:right="113" w:firstLine="266"/>
              <w:jc w:val="both"/>
              <w:rPr>
                <w:sz w:val="24"/>
                <w:szCs w:val="24"/>
              </w:rPr>
            </w:pPr>
            <w:r>
              <w:rPr>
                <w:sz w:val="24"/>
                <w:szCs w:val="24"/>
              </w:rPr>
              <w:t xml:space="preserve">2. </w:t>
            </w:r>
            <w:r w:rsidRPr="00CE434C">
              <w:rPr>
                <w:sz w:val="24"/>
                <w:szCs w:val="24"/>
              </w:rPr>
              <w:t xml:space="preserve">Direktīvas 2006/112/EK 132.panta 1.punkta “e” apakšpunktā ir paredzēts PVN atbrīvojums pakalpojumiem, ko sniedz zobu tehniķi, darbojoties savā profesijā, kā arī zobārstu un zobu tehniķu piegādātajām zobu protēzēm. Minētais regulējums ir pārņemts </w:t>
            </w:r>
            <w:r>
              <w:rPr>
                <w:sz w:val="24"/>
                <w:szCs w:val="24"/>
              </w:rPr>
              <w:t xml:space="preserve">Pievienotās vērtības nodokļa </w:t>
            </w:r>
            <w:r w:rsidRPr="00CE434C">
              <w:rPr>
                <w:sz w:val="24"/>
                <w:szCs w:val="24"/>
              </w:rPr>
              <w:t>likuma 52.panta</w:t>
            </w:r>
            <w:r>
              <w:rPr>
                <w:sz w:val="24"/>
                <w:szCs w:val="24"/>
              </w:rPr>
              <w:t xml:space="preserve"> pirmās daļas 7.punktā, no</w:t>
            </w:r>
            <w:r w:rsidRPr="00CE434C">
              <w:rPr>
                <w:sz w:val="24"/>
                <w:szCs w:val="24"/>
              </w:rPr>
              <w:t>s</w:t>
            </w:r>
            <w:r>
              <w:rPr>
                <w:sz w:val="24"/>
                <w:szCs w:val="24"/>
              </w:rPr>
              <w:t>akot</w:t>
            </w:r>
            <w:r w:rsidRPr="00CE434C">
              <w:rPr>
                <w:sz w:val="24"/>
                <w:szCs w:val="24"/>
              </w:rPr>
              <w:t xml:space="preserve">, ka no PVN </w:t>
            </w:r>
            <w:r>
              <w:rPr>
                <w:sz w:val="24"/>
                <w:szCs w:val="24"/>
              </w:rPr>
              <w:t>atbrīvo zobu tehniķu sniegtos pakalpojumus</w:t>
            </w:r>
            <w:r w:rsidRPr="00CE434C">
              <w:rPr>
                <w:sz w:val="24"/>
                <w:szCs w:val="24"/>
              </w:rPr>
              <w:t xml:space="preserve"> pacientam. Savukārt </w:t>
            </w:r>
            <w:r>
              <w:rPr>
                <w:sz w:val="24"/>
                <w:szCs w:val="24"/>
              </w:rPr>
              <w:t>MK noteikumu</w:t>
            </w:r>
            <w:r w:rsidRPr="00A95C48">
              <w:rPr>
                <w:sz w:val="24"/>
                <w:szCs w:val="24"/>
              </w:rPr>
              <w:t xml:space="preserve"> Nr.17</w:t>
            </w:r>
            <w:r>
              <w:rPr>
                <w:sz w:val="24"/>
                <w:szCs w:val="24"/>
              </w:rPr>
              <w:t xml:space="preserve"> </w:t>
            </w:r>
            <w:r w:rsidRPr="00CE434C">
              <w:rPr>
                <w:sz w:val="24"/>
                <w:szCs w:val="24"/>
              </w:rPr>
              <w:t xml:space="preserve">23.punktā ir noteikts, ka PVN atbrīvojums nav piemērojams gadījumos, ja zobu tehniķi izgatavo un piegādā protezēšanai zobu protēzes citām ārstniecības iestādēm. Atbilstoši ES Tiesas spriedumā lietā C-401/05 paustajām atziņām no PVN ir atbrīvoti pakalpojumi, ko sniedz zobu tehniķi, darbojoties savā profesijā un zobu tehniķu un zobārstu veiktajām zobu protēžu piegādēm neatkarīgi no šo preču vai pakalpojumu saņēmēja statusa. Tādējādi </w:t>
            </w:r>
            <w:r>
              <w:rPr>
                <w:sz w:val="24"/>
                <w:szCs w:val="24"/>
              </w:rPr>
              <w:t xml:space="preserve">Pievienotās vērtības nodokļa likumā atbilstoši </w:t>
            </w:r>
            <w:r w:rsidRPr="00CE434C">
              <w:rPr>
                <w:sz w:val="24"/>
                <w:szCs w:val="24"/>
              </w:rPr>
              <w:t>Direktīvas 2006/112/EK</w:t>
            </w:r>
            <w:r>
              <w:rPr>
                <w:sz w:val="24"/>
                <w:szCs w:val="24"/>
              </w:rPr>
              <w:t xml:space="preserve"> regulējumam un minētajam spriedumam </w:t>
            </w:r>
            <w:r w:rsidRPr="00CE434C">
              <w:rPr>
                <w:sz w:val="24"/>
                <w:szCs w:val="24"/>
              </w:rPr>
              <w:t>ir precizēt</w:t>
            </w:r>
            <w:r>
              <w:rPr>
                <w:sz w:val="24"/>
                <w:szCs w:val="24"/>
              </w:rPr>
              <w:t>s</w:t>
            </w:r>
            <w:r w:rsidRPr="00CE434C">
              <w:rPr>
                <w:sz w:val="24"/>
                <w:szCs w:val="24"/>
              </w:rPr>
              <w:t xml:space="preserve"> </w:t>
            </w:r>
            <w:r>
              <w:rPr>
                <w:sz w:val="24"/>
                <w:szCs w:val="24"/>
              </w:rPr>
              <w:t>noteiktais atbrīvojums.</w:t>
            </w:r>
            <w:r w:rsidRPr="00CE434C">
              <w:rPr>
                <w:sz w:val="24"/>
                <w:szCs w:val="24"/>
              </w:rPr>
              <w:t xml:space="preserve"> </w:t>
            </w:r>
            <w:r>
              <w:rPr>
                <w:sz w:val="24"/>
                <w:szCs w:val="24"/>
              </w:rPr>
              <w:t xml:space="preserve">Līdz ar to </w:t>
            </w:r>
            <w:r w:rsidRPr="00CE434C">
              <w:rPr>
                <w:sz w:val="24"/>
                <w:szCs w:val="24"/>
              </w:rPr>
              <w:t xml:space="preserve">ir nepieciešams veikt grozījumu </w:t>
            </w:r>
            <w:r>
              <w:rPr>
                <w:sz w:val="24"/>
                <w:szCs w:val="24"/>
              </w:rPr>
              <w:t>arī MK noteikumos</w:t>
            </w:r>
            <w:r w:rsidRPr="00A95C48">
              <w:rPr>
                <w:sz w:val="24"/>
                <w:szCs w:val="24"/>
              </w:rPr>
              <w:t xml:space="preserve"> Nr.17</w:t>
            </w:r>
            <w:r w:rsidRPr="00CE434C">
              <w:rPr>
                <w:sz w:val="24"/>
                <w:szCs w:val="24"/>
              </w:rPr>
              <w:t>, svītrojot 23.punktu</w:t>
            </w:r>
            <w:r>
              <w:rPr>
                <w:sz w:val="24"/>
                <w:szCs w:val="24"/>
              </w:rPr>
              <w:t xml:space="preserve">, tādējādi </w:t>
            </w:r>
            <w:r w:rsidRPr="00CE434C">
              <w:rPr>
                <w:sz w:val="24"/>
                <w:szCs w:val="24"/>
              </w:rPr>
              <w:t xml:space="preserve">paredzot, ka zobu tehniķu sniegtie pakalpojumi un </w:t>
            </w:r>
            <w:r>
              <w:rPr>
                <w:sz w:val="24"/>
                <w:szCs w:val="24"/>
              </w:rPr>
              <w:t>piegādātās protēzes ir atbrīvoja</w:t>
            </w:r>
            <w:r w:rsidRPr="00CE434C">
              <w:rPr>
                <w:sz w:val="24"/>
                <w:szCs w:val="24"/>
              </w:rPr>
              <w:t xml:space="preserve">mi no PVN ne tikai gadījumos, kad tie tiek sniegti pacientam, bet arī tad, ja tie tiek sniegti citām personām. </w:t>
            </w:r>
          </w:p>
          <w:p w14:paraId="4AFD75F8" w14:textId="77777777" w:rsidR="005E7402" w:rsidRDefault="005E7402" w:rsidP="005E7402">
            <w:pPr>
              <w:ind w:left="113" w:right="113" w:firstLine="266"/>
              <w:jc w:val="both"/>
              <w:rPr>
                <w:sz w:val="24"/>
                <w:szCs w:val="24"/>
              </w:rPr>
            </w:pPr>
            <w:r w:rsidRPr="00DC14D0">
              <w:rPr>
                <w:sz w:val="24"/>
                <w:szCs w:val="24"/>
              </w:rPr>
              <w:t xml:space="preserve">3. Pievienotās vērtības nodokļa likuma 103.panta astotajā daļā noteikts, ja reorganizācijas rezultātā jaundibinātā vai iegūstošā komercsabiedrība, kas ir reģistrēts </w:t>
            </w:r>
            <w:r>
              <w:rPr>
                <w:sz w:val="24"/>
                <w:szCs w:val="24"/>
              </w:rPr>
              <w:t>PVN</w:t>
            </w:r>
            <w:r w:rsidRPr="00DC14D0">
              <w:rPr>
                <w:sz w:val="24"/>
                <w:szCs w:val="24"/>
              </w:rPr>
              <w:t xml:space="preserve"> maksātājs, iegūst nekustamo īpašumu, tā, pamatojoties uz informāciju par nodoto nekustamo īpašumu, ko sniedzis reģistrēts </w:t>
            </w:r>
            <w:r>
              <w:rPr>
                <w:sz w:val="24"/>
                <w:szCs w:val="24"/>
              </w:rPr>
              <w:t>PVN</w:t>
            </w:r>
            <w:r w:rsidRPr="00DC14D0">
              <w:rPr>
                <w:sz w:val="24"/>
                <w:szCs w:val="24"/>
              </w:rPr>
              <w:t xml:space="preserve"> maksātājs, kurš nodod šo nekustamo īpašumu, un kas saskaņota ar </w:t>
            </w:r>
            <w:r>
              <w:rPr>
                <w:sz w:val="24"/>
                <w:szCs w:val="24"/>
              </w:rPr>
              <w:t>VID</w:t>
            </w:r>
            <w:r w:rsidRPr="00DC14D0">
              <w:rPr>
                <w:sz w:val="24"/>
                <w:szCs w:val="24"/>
              </w:rPr>
              <w:t xml:space="preserve">, pārreģistrē </w:t>
            </w:r>
            <w:r>
              <w:rPr>
                <w:sz w:val="24"/>
                <w:szCs w:val="24"/>
              </w:rPr>
              <w:t>VID</w:t>
            </w:r>
            <w:r w:rsidRPr="00DC14D0">
              <w:rPr>
                <w:sz w:val="24"/>
                <w:szCs w:val="24"/>
              </w:rPr>
              <w:t xml:space="preserve"> šo nekustamo īpa</w:t>
            </w:r>
            <w:r>
              <w:rPr>
                <w:sz w:val="24"/>
                <w:szCs w:val="24"/>
              </w:rPr>
              <w:t xml:space="preserve">šumu uz </w:t>
            </w:r>
            <w:r>
              <w:rPr>
                <w:sz w:val="24"/>
                <w:szCs w:val="24"/>
              </w:rPr>
              <w:lastRenderedPageBreak/>
              <w:t>sava vārda atbilstoši Pievienotās vērtības nodokļa</w:t>
            </w:r>
            <w:r w:rsidRPr="00DC14D0">
              <w:rPr>
                <w:sz w:val="24"/>
                <w:szCs w:val="24"/>
              </w:rPr>
              <w:t xml:space="preserve"> likuma 99.panta septītajai daļai un turpina priekšnodokļa koriģēšanu.</w:t>
            </w:r>
            <w:r>
              <w:rPr>
                <w:sz w:val="24"/>
                <w:szCs w:val="24"/>
              </w:rPr>
              <w:t xml:space="preserve"> </w:t>
            </w:r>
          </w:p>
          <w:p w14:paraId="78A38DEC" w14:textId="77777777" w:rsidR="005E7402" w:rsidRPr="00DC14D0" w:rsidRDefault="005E7402" w:rsidP="005E7402">
            <w:pPr>
              <w:ind w:left="113" w:right="113" w:firstLine="266"/>
              <w:jc w:val="both"/>
              <w:rPr>
                <w:sz w:val="24"/>
                <w:szCs w:val="24"/>
              </w:rPr>
            </w:pPr>
            <w:r>
              <w:rPr>
                <w:sz w:val="24"/>
                <w:szCs w:val="24"/>
              </w:rPr>
              <w:t>M</w:t>
            </w:r>
            <w:r w:rsidRPr="00DC14D0">
              <w:rPr>
                <w:sz w:val="24"/>
                <w:szCs w:val="24"/>
              </w:rPr>
              <w:t xml:space="preserve">inētā likuma norma skaidri nosaka priekšnodokļa korekcijas turpinājumu reorganizācijas gadījumā un tādējādi nevar veidoties situācija, ka priekšnodokļa korekcijas rezultāts, ja mainās nekustamā īpašuma izmantošanas proporcija apliekamiem/neapliekamiem darījumiem, iegūstošai sabiedrībai ir lielāks, nekā tad, ja sabiedrība, kas veic reorganizāciju, to neveiktu un pati turpinātu priekšnodokļa korekciju atbilstoši nekustamā īpašuma izmantošanas proporcijai. </w:t>
            </w:r>
          </w:p>
          <w:p w14:paraId="33E65255" w14:textId="1F58407B" w:rsidR="00227E1D" w:rsidRDefault="005E7402" w:rsidP="00227E1D">
            <w:pPr>
              <w:ind w:left="113" w:right="113" w:firstLine="266"/>
              <w:jc w:val="both"/>
              <w:rPr>
                <w:sz w:val="24"/>
                <w:szCs w:val="24"/>
              </w:rPr>
            </w:pPr>
            <w:r>
              <w:rPr>
                <w:sz w:val="24"/>
                <w:szCs w:val="24"/>
              </w:rPr>
              <w:t xml:space="preserve">Tādējādi </w:t>
            </w:r>
            <w:r w:rsidRPr="00DC14D0">
              <w:rPr>
                <w:sz w:val="24"/>
                <w:szCs w:val="24"/>
              </w:rPr>
              <w:t xml:space="preserve">korektai priekšnodokļa korekcijas aprēķināšanai būtu jāņem vērā no </w:t>
            </w:r>
            <w:r>
              <w:rPr>
                <w:sz w:val="24"/>
                <w:szCs w:val="24"/>
              </w:rPr>
              <w:t xml:space="preserve">valsts </w:t>
            </w:r>
            <w:r w:rsidRPr="00DC14D0">
              <w:rPr>
                <w:sz w:val="24"/>
                <w:szCs w:val="24"/>
              </w:rPr>
              <w:t xml:space="preserve">budžeta faktiski atskaitītā priekšnodokļa summa, nevis </w:t>
            </w:r>
            <w:r>
              <w:rPr>
                <w:sz w:val="24"/>
                <w:szCs w:val="24"/>
              </w:rPr>
              <w:t>MK noteikumu</w:t>
            </w:r>
            <w:r w:rsidRPr="00AF54D7">
              <w:rPr>
                <w:sz w:val="24"/>
                <w:szCs w:val="24"/>
              </w:rPr>
              <w:t xml:space="preserve"> Nr.17</w:t>
            </w:r>
            <w:r>
              <w:rPr>
                <w:sz w:val="24"/>
                <w:szCs w:val="24"/>
              </w:rPr>
              <w:t xml:space="preserve"> </w:t>
            </w:r>
            <w:r w:rsidRPr="00DC14D0">
              <w:rPr>
                <w:sz w:val="24"/>
                <w:szCs w:val="24"/>
              </w:rPr>
              <w:t xml:space="preserve">152.1.apakšpunktā norādītā no </w:t>
            </w:r>
            <w:r>
              <w:rPr>
                <w:sz w:val="24"/>
                <w:szCs w:val="24"/>
              </w:rPr>
              <w:t xml:space="preserve">valsts </w:t>
            </w:r>
            <w:r w:rsidRPr="00DC14D0">
              <w:rPr>
                <w:sz w:val="24"/>
                <w:szCs w:val="24"/>
              </w:rPr>
              <w:t xml:space="preserve">budžeta atskaitītā priekšnodokļa summa saskaņā ar </w:t>
            </w:r>
            <w:r>
              <w:rPr>
                <w:sz w:val="24"/>
                <w:szCs w:val="24"/>
              </w:rPr>
              <w:t>MK noteikumu</w:t>
            </w:r>
            <w:r w:rsidRPr="00AF54D7">
              <w:rPr>
                <w:sz w:val="24"/>
                <w:szCs w:val="24"/>
              </w:rPr>
              <w:t xml:space="preserve"> Nr.17</w:t>
            </w:r>
            <w:r>
              <w:rPr>
                <w:sz w:val="24"/>
                <w:szCs w:val="24"/>
              </w:rPr>
              <w:t xml:space="preserve"> </w:t>
            </w:r>
            <w:r w:rsidRPr="00DC14D0">
              <w:rPr>
                <w:sz w:val="24"/>
                <w:szCs w:val="24"/>
              </w:rPr>
              <w:t>148.3.apakšpunktu. Šādā gadījumā par nekustamo īpašumu veikto korekciju gala rezultātā atskaitāmās priekšnodokļa summas būtu vienādas</w:t>
            </w:r>
            <w:r>
              <w:rPr>
                <w:sz w:val="24"/>
                <w:szCs w:val="24"/>
              </w:rPr>
              <w:t>. Līdz ar to ir nepieciešams MK</w:t>
            </w:r>
            <w:r w:rsidRPr="00AF54D7">
              <w:rPr>
                <w:sz w:val="24"/>
                <w:szCs w:val="24"/>
              </w:rPr>
              <w:t xml:space="preserve"> noteikumus Nr.17 </w:t>
            </w:r>
            <w:r>
              <w:rPr>
                <w:sz w:val="24"/>
                <w:szCs w:val="24"/>
              </w:rPr>
              <w:t xml:space="preserve">papildināt ar </w:t>
            </w:r>
            <w:r w:rsidRPr="00DC14D0">
              <w:rPr>
                <w:sz w:val="24"/>
                <w:szCs w:val="24"/>
              </w:rPr>
              <w:t>jaunu 152.1.</w:t>
            </w:r>
            <w:r w:rsidRPr="007F5F41">
              <w:rPr>
                <w:sz w:val="24"/>
                <w:szCs w:val="24"/>
                <w:vertAlign w:val="superscript"/>
              </w:rPr>
              <w:t>1</w:t>
            </w:r>
            <w:r>
              <w:rPr>
                <w:sz w:val="24"/>
                <w:szCs w:val="24"/>
              </w:rPr>
              <w:t xml:space="preserve"> </w:t>
            </w:r>
            <w:r w:rsidRPr="00DC14D0">
              <w:rPr>
                <w:sz w:val="24"/>
                <w:szCs w:val="24"/>
              </w:rPr>
              <w:t xml:space="preserve">apakšpunktu, </w:t>
            </w:r>
            <w:r>
              <w:rPr>
                <w:sz w:val="24"/>
                <w:szCs w:val="24"/>
              </w:rPr>
              <w:t>nosakot</w:t>
            </w:r>
            <w:r w:rsidRPr="00DC14D0">
              <w:rPr>
                <w:sz w:val="24"/>
                <w:szCs w:val="24"/>
              </w:rPr>
              <w:t xml:space="preserve">, ka gadījumos, kad mainās nekustamā īpašuma reģistrācijas brīdī </w:t>
            </w:r>
            <w:r>
              <w:rPr>
                <w:sz w:val="24"/>
                <w:szCs w:val="24"/>
              </w:rPr>
              <w:t>VID</w:t>
            </w:r>
            <w:r w:rsidRPr="00DC14D0">
              <w:rPr>
                <w:sz w:val="24"/>
                <w:szCs w:val="24"/>
              </w:rPr>
              <w:t xml:space="preserve"> norādītā izmantošanas proporcija apliekamiem/neapliekamiem darījumiem, tiek ņemta vērā no valsts budžeta faktiski atskaitītā priekšnodokļa summa.</w:t>
            </w:r>
          </w:p>
          <w:p w14:paraId="17AE6A41" w14:textId="4274CE86" w:rsidR="00587DFB" w:rsidRDefault="003644DE" w:rsidP="00227E1D">
            <w:pPr>
              <w:ind w:left="113" w:right="113" w:firstLine="266"/>
              <w:jc w:val="both"/>
              <w:rPr>
                <w:sz w:val="24"/>
                <w:szCs w:val="24"/>
              </w:rPr>
            </w:pPr>
            <w:r>
              <w:rPr>
                <w:sz w:val="24"/>
                <w:szCs w:val="24"/>
              </w:rPr>
              <w:t xml:space="preserve">4. </w:t>
            </w:r>
            <w:r w:rsidR="00587DFB" w:rsidRPr="00587DFB">
              <w:rPr>
                <w:sz w:val="24"/>
                <w:szCs w:val="24"/>
              </w:rPr>
              <w:t xml:space="preserve">Ievērojot to, ka ar 2019. gada 2. jūlija grozījumiem Ministru kabineta noteikumos Nr. 17 norādē, uz kāda likuma pamata </w:t>
            </w:r>
            <w:r>
              <w:rPr>
                <w:sz w:val="24"/>
                <w:szCs w:val="24"/>
              </w:rPr>
              <w:t xml:space="preserve">minētie </w:t>
            </w:r>
            <w:r w:rsidR="00587DFB" w:rsidRPr="00587DFB">
              <w:rPr>
                <w:sz w:val="24"/>
                <w:szCs w:val="24"/>
              </w:rPr>
              <w:t>noteikumi izdoti, ir svītrota Pievienotās vērtības</w:t>
            </w:r>
            <w:r w:rsidR="0084615C">
              <w:rPr>
                <w:sz w:val="24"/>
                <w:szCs w:val="24"/>
              </w:rPr>
              <w:t xml:space="preserve"> nodokļa</w:t>
            </w:r>
            <w:r w:rsidR="00587DFB" w:rsidRPr="00587DFB">
              <w:rPr>
                <w:sz w:val="24"/>
                <w:szCs w:val="24"/>
              </w:rPr>
              <w:t xml:space="preserve"> likuma 143.</w:t>
            </w:r>
            <w:r w:rsidR="00587DFB" w:rsidRPr="00587DFB">
              <w:rPr>
                <w:sz w:val="24"/>
                <w:szCs w:val="24"/>
                <w:vertAlign w:val="superscript"/>
              </w:rPr>
              <w:t>5</w:t>
            </w:r>
            <w:r w:rsidR="00587DFB" w:rsidRPr="00587DFB">
              <w:rPr>
                <w:sz w:val="24"/>
                <w:szCs w:val="24"/>
              </w:rPr>
              <w:t xml:space="preserve"> panta piektā daļa, </w:t>
            </w:r>
            <w:r w:rsidR="0084615C">
              <w:rPr>
                <w:sz w:val="24"/>
                <w:szCs w:val="24"/>
              </w:rPr>
              <w:t>nepieciešams</w:t>
            </w:r>
            <w:r w:rsidR="00587DFB" w:rsidRPr="00587DFB">
              <w:rPr>
                <w:sz w:val="24"/>
                <w:szCs w:val="24"/>
              </w:rPr>
              <w:t xml:space="preserve"> papildināt </w:t>
            </w:r>
            <w:r w:rsidR="0084615C">
              <w:rPr>
                <w:sz w:val="24"/>
                <w:szCs w:val="24"/>
              </w:rPr>
              <w:t xml:space="preserve">MK noteikumu </w:t>
            </w:r>
            <w:r w:rsidR="00587DFB" w:rsidRPr="00587DFB">
              <w:rPr>
                <w:sz w:val="24"/>
                <w:szCs w:val="24"/>
              </w:rPr>
              <w:t xml:space="preserve">projektu ar attiecīgu grozījumu, proti, svītrot </w:t>
            </w:r>
            <w:r w:rsidR="0084615C">
              <w:rPr>
                <w:sz w:val="24"/>
                <w:szCs w:val="24"/>
              </w:rPr>
              <w:t xml:space="preserve">šo </w:t>
            </w:r>
            <w:r w:rsidR="00587DFB" w:rsidRPr="00587DFB">
              <w:rPr>
                <w:sz w:val="24"/>
                <w:szCs w:val="24"/>
              </w:rPr>
              <w:t>noteikumu 1.34. apakšpunktu.</w:t>
            </w:r>
          </w:p>
          <w:p w14:paraId="31CEB8A2" w14:textId="41ED91D3" w:rsidR="005E7402" w:rsidRPr="005E7402" w:rsidRDefault="005E7402" w:rsidP="00F51B83">
            <w:pPr>
              <w:ind w:left="113" w:right="113" w:firstLine="266"/>
              <w:jc w:val="both"/>
              <w:rPr>
                <w:sz w:val="26"/>
                <w:szCs w:val="26"/>
              </w:rPr>
            </w:pPr>
            <w:r w:rsidRPr="00227E1D">
              <w:rPr>
                <w:sz w:val="24"/>
                <w:szCs w:val="24"/>
              </w:rPr>
              <w:t xml:space="preserve">Plānots, ka MK noteikumu projekts stāsies spēkā 2020.gada 1.janvārī vienlaikus ar </w:t>
            </w:r>
            <w:r w:rsidR="00F51B83">
              <w:rPr>
                <w:sz w:val="24"/>
                <w:szCs w:val="24"/>
              </w:rPr>
              <w:t>likumu “G</w:t>
            </w:r>
            <w:r w:rsidRPr="00227E1D">
              <w:rPr>
                <w:sz w:val="24"/>
                <w:szCs w:val="24"/>
              </w:rPr>
              <w:t>rozījumi Pievienotās vērtības nodokļa likumā</w:t>
            </w:r>
            <w:r w:rsidR="00F51B83">
              <w:rPr>
                <w:sz w:val="24"/>
                <w:szCs w:val="24"/>
              </w:rPr>
              <w:t>”</w:t>
            </w:r>
            <w:r w:rsidRPr="00227E1D">
              <w:rPr>
                <w:sz w:val="24"/>
                <w:szCs w:val="24"/>
              </w:rPr>
              <w:t>, kur</w:t>
            </w:r>
            <w:r w:rsidR="00F51B83">
              <w:rPr>
                <w:sz w:val="24"/>
                <w:szCs w:val="24"/>
              </w:rPr>
              <w:t>š Saeimā ir pieņemts 2019.gada 28.novembrī</w:t>
            </w:r>
            <w:r w:rsidRPr="00227E1D">
              <w:rPr>
                <w:sz w:val="24"/>
                <w:szCs w:val="24"/>
              </w:rPr>
              <w:t xml:space="preserve"> </w:t>
            </w:r>
            <w:r w:rsidR="00F51B83">
              <w:rPr>
                <w:sz w:val="24"/>
                <w:szCs w:val="24"/>
              </w:rPr>
              <w:t>un stāsies spēkā 2020.gada 1.janvārī</w:t>
            </w:r>
            <w:r w:rsidRPr="00227E1D">
              <w:rPr>
                <w:sz w:val="24"/>
                <w:szCs w:val="24"/>
              </w:rPr>
              <w:t>.</w:t>
            </w:r>
            <w:r>
              <w:rPr>
                <w:sz w:val="24"/>
                <w:szCs w:val="24"/>
              </w:rPr>
              <w:t xml:space="preserve"> </w:t>
            </w:r>
          </w:p>
        </w:tc>
      </w:tr>
      <w:tr w:rsidR="005E7402" w14:paraId="60A5C485" w14:textId="77777777" w:rsidTr="00BA22C5">
        <w:trPr>
          <w:trHeight w:val="122"/>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7817F7AC" w14:textId="77777777" w:rsidR="005E7402" w:rsidRPr="00CA74E1" w:rsidRDefault="005E7402" w:rsidP="005E7402">
            <w:pPr>
              <w:rPr>
                <w:rFonts w:eastAsia="Times New Roman"/>
                <w:sz w:val="26"/>
                <w:szCs w:val="26"/>
                <w:lang w:eastAsia="lv-LV"/>
              </w:rPr>
            </w:pPr>
            <w:r w:rsidRPr="00CA74E1">
              <w:rPr>
                <w:rFonts w:eastAsia="Times New Roman"/>
                <w:sz w:val="26"/>
                <w:szCs w:val="26"/>
                <w:lang w:eastAsia="lv-LV"/>
              </w:rPr>
              <w:lastRenderedPageBreak/>
              <w:t>3.</w:t>
            </w:r>
          </w:p>
        </w:tc>
        <w:tc>
          <w:tcPr>
            <w:tcW w:w="3379" w:type="dxa"/>
            <w:tcBorders>
              <w:top w:val="outset" w:sz="6" w:space="0" w:color="auto"/>
              <w:left w:val="outset" w:sz="6" w:space="0" w:color="auto"/>
              <w:bottom w:val="outset" w:sz="6" w:space="0" w:color="auto"/>
              <w:right w:val="outset" w:sz="6" w:space="0" w:color="auto"/>
            </w:tcBorders>
            <w:hideMark/>
          </w:tcPr>
          <w:p w14:paraId="4A85806A" w14:textId="77777777" w:rsidR="005E7402" w:rsidRPr="00B556B2" w:rsidRDefault="005E7402" w:rsidP="005E7402">
            <w:pPr>
              <w:ind w:left="127" w:hanging="19"/>
              <w:rPr>
                <w:rFonts w:eastAsia="Times New Roman"/>
                <w:sz w:val="24"/>
                <w:szCs w:val="24"/>
                <w:lang w:eastAsia="lv-LV"/>
              </w:rPr>
            </w:pPr>
            <w:r w:rsidRPr="00B556B2">
              <w:rPr>
                <w:rFonts w:eastAsia="Times New Roman"/>
                <w:sz w:val="24"/>
                <w:szCs w:val="24"/>
                <w:lang w:eastAsia="lv-LV"/>
              </w:rPr>
              <w:t>Projekta izstrādē iesaistītās institūcijas un publiskas personas kapitālsabiedrības</w:t>
            </w:r>
          </w:p>
        </w:tc>
        <w:tc>
          <w:tcPr>
            <w:tcW w:w="6098" w:type="dxa"/>
            <w:tcBorders>
              <w:top w:val="outset" w:sz="6" w:space="0" w:color="auto"/>
              <w:left w:val="outset" w:sz="6" w:space="0" w:color="auto"/>
              <w:bottom w:val="outset" w:sz="6" w:space="0" w:color="auto"/>
              <w:right w:val="outset" w:sz="6" w:space="0" w:color="auto"/>
            </w:tcBorders>
            <w:hideMark/>
          </w:tcPr>
          <w:p w14:paraId="490F07A9" w14:textId="60E6000B" w:rsidR="005E7402" w:rsidRPr="00CA74E1" w:rsidRDefault="00B556B2" w:rsidP="00A033E3">
            <w:pPr>
              <w:ind w:left="107" w:right="116"/>
              <w:jc w:val="both"/>
              <w:rPr>
                <w:rFonts w:eastAsia="Times New Roman"/>
                <w:sz w:val="26"/>
                <w:szCs w:val="26"/>
              </w:rPr>
            </w:pPr>
            <w:r w:rsidRPr="00A033E3">
              <w:rPr>
                <w:sz w:val="24"/>
                <w:szCs w:val="24"/>
              </w:rPr>
              <w:t>Projekta izstrādē ir iesaistīta Finanšu ministrija un VID.</w:t>
            </w:r>
          </w:p>
        </w:tc>
      </w:tr>
      <w:tr w:rsidR="005E7402" w14:paraId="3949D433" w14:textId="77777777" w:rsidTr="00BA22C5">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358"/>
        </w:trPr>
        <w:tc>
          <w:tcPr>
            <w:tcW w:w="423" w:type="dxa"/>
            <w:tcBorders>
              <w:top w:val="outset" w:sz="6" w:space="0" w:color="000000"/>
              <w:left w:val="outset" w:sz="6" w:space="0" w:color="000000"/>
              <w:bottom w:val="outset" w:sz="6" w:space="0" w:color="000000"/>
              <w:right w:val="outset" w:sz="6" w:space="0" w:color="000000"/>
            </w:tcBorders>
            <w:hideMark/>
          </w:tcPr>
          <w:p w14:paraId="52711242" w14:textId="77777777" w:rsidR="005E7402" w:rsidRPr="00CA74E1" w:rsidRDefault="005E7402" w:rsidP="005E7402">
            <w:pPr>
              <w:spacing w:before="100" w:beforeAutospacing="1" w:after="100" w:afterAutospacing="1"/>
              <w:jc w:val="both"/>
              <w:rPr>
                <w:rFonts w:eastAsia="Times New Roman"/>
                <w:sz w:val="26"/>
                <w:szCs w:val="26"/>
                <w:lang w:eastAsia="lv-LV"/>
              </w:rPr>
            </w:pPr>
            <w:r w:rsidRPr="00CA74E1">
              <w:rPr>
                <w:rFonts w:eastAsia="Times New Roman"/>
                <w:sz w:val="26"/>
                <w:szCs w:val="26"/>
                <w:lang w:eastAsia="lv-LV"/>
              </w:rPr>
              <w:t>4.</w:t>
            </w:r>
          </w:p>
        </w:tc>
        <w:tc>
          <w:tcPr>
            <w:tcW w:w="3379" w:type="dxa"/>
            <w:tcBorders>
              <w:top w:val="outset" w:sz="6" w:space="0" w:color="000000"/>
              <w:left w:val="outset" w:sz="6" w:space="0" w:color="000000"/>
              <w:bottom w:val="outset" w:sz="6" w:space="0" w:color="000000"/>
              <w:right w:val="outset" w:sz="6" w:space="0" w:color="000000"/>
            </w:tcBorders>
            <w:hideMark/>
          </w:tcPr>
          <w:p w14:paraId="56D6560D" w14:textId="77777777" w:rsidR="005E7402" w:rsidRPr="00B556B2" w:rsidRDefault="005E7402" w:rsidP="005E7402">
            <w:pPr>
              <w:spacing w:before="100" w:beforeAutospacing="1" w:after="100" w:afterAutospacing="1"/>
              <w:jc w:val="both"/>
              <w:rPr>
                <w:rFonts w:eastAsia="Times New Roman"/>
                <w:sz w:val="24"/>
                <w:szCs w:val="24"/>
                <w:lang w:eastAsia="lv-LV"/>
              </w:rPr>
            </w:pPr>
            <w:r w:rsidRPr="00B556B2">
              <w:rPr>
                <w:rFonts w:eastAsia="Times New Roman"/>
                <w:sz w:val="24"/>
                <w:szCs w:val="24"/>
                <w:lang w:eastAsia="lv-LV"/>
              </w:rPr>
              <w:t>Cita informācija</w:t>
            </w:r>
          </w:p>
        </w:tc>
        <w:tc>
          <w:tcPr>
            <w:tcW w:w="6098" w:type="dxa"/>
            <w:tcBorders>
              <w:top w:val="outset" w:sz="6" w:space="0" w:color="000000"/>
              <w:left w:val="outset" w:sz="6" w:space="0" w:color="000000"/>
              <w:bottom w:val="outset" w:sz="6" w:space="0" w:color="000000"/>
              <w:right w:val="outset" w:sz="6" w:space="0" w:color="000000"/>
            </w:tcBorders>
            <w:hideMark/>
          </w:tcPr>
          <w:p w14:paraId="77B01606" w14:textId="77777777" w:rsidR="005E7402" w:rsidRPr="00CA74E1" w:rsidRDefault="005E7402" w:rsidP="005E7402">
            <w:pPr>
              <w:spacing w:before="100" w:beforeAutospacing="1" w:after="100" w:afterAutospacing="1"/>
              <w:jc w:val="both"/>
              <w:rPr>
                <w:rFonts w:eastAsia="Times New Roman"/>
                <w:sz w:val="26"/>
                <w:szCs w:val="26"/>
                <w:lang w:eastAsia="lv-LV"/>
              </w:rPr>
            </w:pPr>
            <w:r w:rsidRPr="00CA74E1">
              <w:rPr>
                <w:rFonts w:eastAsia="Times New Roman"/>
                <w:sz w:val="26"/>
                <w:szCs w:val="26"/>
                <w:lang w:eastAsia="lv-LV"/>
              </w:rPr>
              <w:t>Nav</w:t>
            </w:r>
          </w:p>
        </w:tc>
      </w:tr>
    </w:tbl>
    <w:p w14:paraId="605E7148" w14:textId="77777777" w:rsidR="00CA70BA" w:rsidRPr="00CA74E1" w:rsidRDefault="00CA70BA" w:rsidP="00CA70BA">
      <w:pPr>
        <w:rPr>
          <w:sz w:val="26"/>
          <w:szCs w:val="26"/>
        </w:rPr>
      </w:pPr>
    </w:p>
    <w:p w14:paraId="222CBF4F" w14:textId="77777777" w:rsidR="00CA70BA" w:rsidRPr="00CA74E1" w:rsidRDefault="00CA70BA" w:rsidP="00CA70BA">
      <w:pPr>
        <w:rPr>
          <w:sz w:val="26"/>
          <w:szCs w:val="26"/>
        </w:rPr>
      </w:pPr>
    </w:p>
    <w:tbl>
      <w:tblPr>
        <w:tblW w:w="5458"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1"/>
        <w:gridCol w:w="3244"/>
        <w:gridCol w:w="6229"/>
      </w:tblGrid>
      <w:tr w:rsidR="00CA70BA" w14:paraId="7961C934" w14:textId="77777777" w:rsidTr="00BA22C5">
        <w:tc>
          <w:tcPr>
            <w:tcW w:w="5000" w:type="pct"/>
            <w:gridSpan w:val="3"/>
            <w:tcBorders>
              <w:top w:val="single" w:sz="6" w:space="0" w:color="000000"/>
              <w:left w:val="single" w:sz="6" w:space="0" w:color="000000"/>
              <w:bottom w:val="outset" w:sz="6" w:space="0" w:color="000000"/>
              <w:right w:val="single" w:sz="6" w:space="0" w:color="000000"/>
            </w:tcBorders>
            <w:vAlign w:val="center"/>
            <w:hideMark/>
          </w:tcPr>
          <w:p w14:paraId="29B3FF9C" w14:textId="77777777" w:rsidR="00CA70BA" w:rsidRPr="00CA74E1" w:rsidRDefault="00CA70BA" w:rsidP="00BC2D68">
            <w:pPr>
              <w:pStyle w:val="NormalWeb"/>
              <w:jc w:val="center"/>
              <w:rPr>
                <w:b/>
                <w:bCs/>
                <w:sz w:val="26"/>
                <w:szCs w:val="26"/>
                <w:lang w:eastAsia="en-US"/>
              </w:rPr>
            </w:pPr>
            <w:r w:rsidRPr="00CA74E1">
              <w:rPr>
                <w:b/>
                <w:bCs/>
                <w:sz w:val="26"/>
                <w:szCs w:val="26"/>
                <w:lang w:eastAsia="en-US"/>
              </w:rPr>
              <w:t>II. Tiesību akta projekta ietekme uz sabiedrību, tautsaimniecības attīstību un administratīvo slogu</w:t>
            </w:r>
          </w:p>
        </w:tc>
      </w:tr>
      <w:tr w:rsidR="00CA70BA" w14:paraId="4CBD7795"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3770BF4F" w14:textId="77777777" w:rsidR="00CA70BA" w:rsidRPr="00CA74E1" w:rsidRDefault="00CA70BA" w:rsidP="00BC2D68">
            <w:pPr>
              <w:pStyle w:val="NormalWeb"/>
              <w:rPr>
                <w:sz w:val="26"/>
                <w:szCs w:val="26"/>
                <w:lang w:eastAsia="en-US"/>
              </w:rPr>
            </w:pPr>
            <w:r w:rsidRPr="00CA74E1">
              <w:rPr>
                <w:sz w:val="26"/>
                <w:szCs w:val="26"/>
                <w:lang w:eastAsia="en-US"/>
              </w:rPr>
              <w:t>1.</w:t>
            </w:r>
          </w:p>
        </w:tc>
        <w:tc>
          <w:tcPr>
            <w:tcW w:w="1641" w:type="pct"/>
            <w:tcBorders>
              <w:top w:val="outset" w:sz="6" w:space="0" w:color="000000"/>
              <w:left w:val="outset" w:sz="6" w:space="0" w:color="000000"/>
              <w:bottom w:val="outset" w:sz="6" w:space="0" w:color="000000"/>
              <w:right w:val="outset" w:sz="6" w:space="0" w:color="000000"/>
            </w:tcBorders>
            <w:hideMark/>
          </w:tcPr>
          <w:p w14:paraId="7B68176E" w14:textId="77777777" w:rsidR="00CA70BA" w:rsidRPr="00B556B2" w:rsidRDefault="00CA70BA" w:rsidP="00BC2D68">
            <w:pPr>
              <w:pStyle w:val="NormalWeb"/>
              <w:rPr>
                <w:i/>
                <w:u w:val="single"/>
                <w:lang w:eastAsia="en-US"/>
              </w:rPr>
            </w:pPr>
            <w:r w:rsidRPr="00B556B2">
              <w:rPr>
                <w:lang w:eastAsia="en-US"/>
              </w:rPr>
              <w:t>Sabiedrības mērķgrupas, kuras tiesiskais regulējums ietekmē vai varētu ietekmēt</w:t>
            </w:r>
          </w:p>
        </w:tc>
        <w:tc>
          <w:tcPr>
            <w:tcW w:w="3151" w:type="pct"/>
            <w:tcBorders>
              <w:top w:val="outset" w:sz="6" w:space="0" w:color="000000"/>
              <w:left w:val="outset" w:sz="6" w:space="0" w:color="000000"/>
              <w:bottom w:val="outset" w:sz="6" w:space="0" w:color="000000"/>
              <w:right w:val="outset" w:sz="6" w:space="0" w:color="000000"/>
            </w:tcBorders>
            <w:hideMark/>
          </w:tcPr>
          <w:p w14:paraId="3D8F0A97" w14:textId="77777777" w:rsidR="00B556B2" w:rsidRPr="00B556B2" w:rsidRDefault="00B556B2" w:rsidP="00B556B2">
            <w:pPr>
              <w:ind w:left="23" w:right="113"/>
              <w:jc w:val="both"/>
              <w:rPr>
                <w:rFonts w:eastAsia="Times New Roman"/>
                <w:sz w:val="24"/>
                <w:szCs w:val="24"/>
                <w:lang w:eastAsia="lv-LV"/>
              </w:rPr>
            </w:pPr>
            <w:r w:rsidRPr="00B556B2">
              <w:rPr>
                <w:rFonts w:eastAsia="Times New Roman"/>
                <w:sz w:val="24"/>
                <w:szCs w:val="24"/>
                <w:lang w:eastAsia="lv-LV"/>
              </w:rPr>
              <w:t>MK noteikumu projekta tiesiskais regulējums ietekmēs:</w:t>
            </w:r>
          </w:p>
          <w:p w14:paraId="33960EE9" w14:textId="77777777" w:rsidR="00B556B2" w:rsidRPr="00B556B2" w:rsidRDefault="00B556B2" w:rsidP="00532788">
            <w:pPr>
              <w:ind w:left="23" w:right="113" w:firstLine="509"/>
              <w:jc w:val="both"/>
              <w:rPr>
                <w:rFonts w:eastAsia="Times New Roman"/>
                <w:sz w:val="24"/>
                <w:szCs w:val="24"/>
                <w:lang w:eastAsia="lv-LV"/>
              </w:rPr>
            </w:pPr>
            <w:r w:rsidRPr="00B556B2">
              <w:rPr>
                <w:rFonts w:eastAsia="Times New Roman"/>
                <w:sz w:val="24"/>
                <w:szCs w:val="24"/>
                <w:lang w:eastAsia="lv-LV"/>
              </w:rPr>
              <w:t>1) reģistrētus PVN maksātājus, kuri ir medicīnisko pakalpojumu sniedzēji;</w:t>
            </w:r>
          </w:p>
          <w:p w14:paraId="1EC6C222" w14:textId="77777777" w:rsidR="00B556B2" w:rsidRPr="00B556B2" w:rsidRDefault="00B556B2" w:rsidP="00532788">
            <w:pPr>
              <w:ind w:left="23" w:right="113" w:firstLine="509"/>
              <w:jc w:val="both"/>
              <w:rPr>
                <w:rFonts w:eastAsia="Times New Roman"/>
                <w:sz w:val="24"/>
                <w:szCs w:val="24"/>
                <w:lang w:eastAsia="lv-LV"/>
              </w:rPr>
            </w:pPr>
            <w:r w:rsidRPr="00B556B2">
              <w:rPr>
                <w:rFonts w:eastAsia="Times New Roman"/>
                <w:sz w:val="24"/>
                <w:szCs w:val="24"/>
                <w:lang w:eastAsia="lv-LV"/>
              </w:rPr>
              <w:t>2) reģistrētus PVN maksātājus, kuri sniedz zobu tehniķu pakalpojumus;</w:t>
            </w:r>
          </w:p>
          <w:p w14:paraId="4A1262C0" w14:textId="77777777" w:rsidR="00B556B2" w:rsidRPr="00B556B2" w:rsidRDefault="00B556B2" w:rsidP="00532788">
            <w:pPr>
              <w:ind w:left="23" w:right="113" w:firstLine="509"/>
              <w:jc w:val="both"/>
              <w:rPr>
                <w:rFonts w:eastAsia="Times New Roman"/>
                <w:sz w:val="24"/>
                <w:szCs w:val="24"/>
                <w:lang w:eastAsia="lv-LV"/>
              </w:rPr>
            </w:pPr>
            <w:r w:rsidRPr="00B556B2">
              <w:rPr>
                <w:rFonts w:eastAsia="Times New Roman"/>
                <w:sz w:val="24"/>
                <w:szCs w:val="24"/>
                <w:lang w:eastAsia="lv-LV"/>
              </w:rPr>
              <w:t xml:space="preserve">3) reģistrētus PVN maksātājus, kuri veic nekustamā īpašuma </w:t>
            </w:r>
            <w:proofErr w:type="spellStart"/>
            <w:r w:rsidRPr="00B556B2">
              <w:rPr>
                <w:rFonts w:eastAsia="Times New Roman"/>
                <w:sz w:val="24"/>
                <w:szCs w:val="24"/>
                <w:lang w:eastAsia="lv-LV"/>
              </w:rPr>
              <w:t>pārreģistrāciju</w:t>
            </w:r>
            <w:proofErr w:type="spellEnd"/>
            <w:r w:rsidRPr="00B556B2">
              <w:rPr>
                <w:rFonts w:eastAsia="Times New Roman"/>
                <w:sz w:val="24"/>
                <w:szCs w:val="24"/>
                <w:lang w:eastAsia="lv-LV"/>
              </w:rPr>
              <w:t xml:space="preserve"> VID.</w:t>
            </w:r>
          </w:p>
          <w:p w14:paraId="3D3C48B1" w14:textId="6912F6CF" w:rsidR="00CA70BA" w:rsidRPr="00A949AE" w:rsidRDefault="00B556B2" w:rsidP="004658C6">
            <w:pPr>
              <w:ind w:left="23" w:right="113"/>
              <w:jc w:val="both"/>
              <w:rPr>
                <w:rFonts w:eastAsia="Times New Roman"/>
                <w:bCs/>
                <w:kern w:val="1"/>
                <w:sz w:val="26"/>
                <w:szCs w:val="26"/>
                <w:lang w:eastAsia="ar-SA"/>
              </w:rPr>
            </w:pPr>
            <w:r w:rsidRPr="00532788">
              <w:rPr>
                <w:rFonts w:eastAsia="Times New Roman"/>
                <w:sz w:val="24"/>
                <w:szCs w:val="24"/>
                <w:lang w:eastAsia="lv-LV"/>
              </w:rPr>
              <w:lastRenderedPageBreak/>
              <w:t> Pēc VID datiem 2019.gada 1.</w:t>
            </w:r>
            <w:r w:rsidR="004658C6">
              <w:rPr>
                <w:rFonts w:eastAsia="Times New Roman"/>
                <w:sz w:val="24"/>
                <w:szCs w:val="24"/>
                <w:lang w:eastAsia="lv-LV"/>
              </w:rPr>
              <w:t>dec</w:t>
            </w:r>
            <w:r w:rsidR="004658C6" w:rsidRPr="00532788">
              <w:rPr>
                <w:rFonts w:eastAsia="Times New Roman"/>
                <w:sz w:val="24"/>
                <w:szCs w:val="24"/>
                <w:lang w:eastAsia="lv-LV"/>
              </w:rPr>
              <w:t xml:space="preserve">embrī </w:t>
            </w:r>
            <w:r w:rsidRPr="00532788">
              <w:rPr>
                <w:rFonts w:eastAsia="Times New Roman"/>
                <w:sz w:val="24"/>
                <w:szCs w:val="24"/>
                <w:lang w:eastAsia="lv-LV"/>
              </w:rPr>
              <w:t xml:space="preserve">reģistrētu PVN maksātāju skaits ir </w:t>
            </w:r>
            <w:r w:rsidR="004658C6" w:rsidRPr="004658C6">
              <w:rPr>
                <w:rFonts w:eastAsia="Times New Roman"/>
                <w:sz w:val="24"/>
                <w:szCs w:val="24"/>
                <w:lang w:eastAsia="lv-LV"/>
              </w:rPr>
              <w:t>79</w:t>
            </w:r>
            <w:r w:rsidR="004658C6">
              <w:rPr>
                <w:rFonts w:eastAsia="Times New Roman"/>
                <w:sz w:val="24"/>
                <w:szCs w:val="24"/>
                <w:lang w:eastAsia="lv-LV"/>
              </w:rPr>
              <w:t xml:space="preserve"> </w:t>
            </w:r>
            <w:r w:rsidR="004658C6" w:rsidRPr="004658C6">
              <w:rPr>
                <w:rFonts w:eastAsia="Times New Roman"/>
                <w:sz w:val="24"/>
                <w:szCs w:val="24"/>
                <w:lang w:eastAsia="lv-LV"/>
              </w:rPr>
              <w:t>238</w:t>
            </w:r>
            <w:r w:rsidRPr="00532788">
              <w:rPr>
                <w:rFonts w:eastAsia="Times New Roman"/>
                <w:sz w:val="24"/>
                <w:szCs w:val="24"/>
                <w:lang w:eastAsia="lv-LV"/>
              </w:rPr>
              <w:t>.</w:t>
            </w:r>
          </w:p>
        </w:tc>
      </w:tr>
      <w:tr w:rsidR="00CA70BA" w14:paraId="44FDAC29"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1BA15B55" w14:textId="77777777" w:rsidR="00CA70BA" w:rsidRPr="00CA74E1" w:rsidRDefault="00CA70BA" w:rsidP="00BC2D68">
            <w:pPr>
              <w:pStyle w:val="NormalWeb"/>
              <w:rPr>
                <w:sz w:val="26"/>
                <w:szCs w:val="26"/>
                <w:lang w:eastAsia="en-US"/>
              </w:rPr>
            </w:pPr>
            <w:r w:rsidRPr="00CA74E1">
              <w:rPr>
                <w:sz w:val="26"/>
                <w:szCs w:val="26"/>
                <w:lang w:eastAsia="en-US"/>
              </w:rPr>
              <w:lastRenderedPageBreak/>
              <w:t>2.</w:t>
            </w:r>
          </w:p>
        </w:tc>
        <w:tc>
          <w:tcPr>
            <w:tcW w:w="1641" w:type="pct"/>
            <w:tcBorders>
              <w:top w:val="outset" w:sz="6" w:space="0" w:color="000000"/>
              <w:left w:val="outset" w:sz="6" w:space="0" w:color="000000"/>
              <w:bottom w:val="outset" w:sz="6" w:space="0" w:color="000000"/>
              <w:right w:val="outset" w:sz="6" w:space="0" w:color="000000"/>
            </w:tcBorders>
            <w:hideMark/>
          </w:tcPr>
          <w:p w14:paraId="18399B4E" w14:textId="77777777" w:rsidR="00CA70BA" w:rsidRPr="00532788" w:rsidRDefault="00CA70BA" w:rsidP="00BC2D68">
            <w:pPr>
              <w:pStyle w:val="NormalWeb"/>
              <w:rPr>
                <w:lang w:eastAsia="en-US"/>
              </w:rPr>
            </w:pPr>
            <w:r w:rsidRPr="00532788">
              <w:rPr>
                <w:lang w:eastAsia="en-US"/>
              </w:rPr>
              <w:t>Tiesiskā regulējuma ietekme uz tautsaimniecību un administratīvo slogu</w:t>
            </w:r>
          </w:p>
        </w:tc>
        <w:tc>
          <w:tcPr>
            <w:tcW w:w="3151" w:type="pct"/>
            <w:tcBorders>
              <w:top w:val="outset" w:sz="6" w:space="0" w:color="000000"/>
              <w:left w:val="outset" w:sz="6" w:space="0" w:color="000000"/>
              <w:bottom w:val="outset" w:sz="6" w:space="0" w:color="000000"/>
              <w:right w:val="outset" w:sz="6" w:space="0" w:color="000000"/>
            </w:tcBorders>
            <w:hideMark/>
          </w:tcPr>
          <w:p w14:paraId="467D038A" w14:textId="165F4DF0" w:rsidR="00CA70BA" w:rsidRPr="001447A2" w:rsidRDefault="00532788" w:rsidP="00A033E3">
            <w:pPr>
              <w:ind w:left="107" w:right="116"/>
              <w:jc w:val="both"/>
              <w:rPr>
                <w:rFonts w:eastAsia="Times New Roman"/>
                <w:sz w:val="26"/>
                <w:szCs w:val="26"/>
                <w:highlight w:val="yellow"/>
              </w:rPr>
            </w:pPr>
            <w:r w:rsidRPr="00532788">
              <w:rPr>
                <w:sz w:val="24"/>
                <w:szCs w:val="24"/>
              </w:rPr>
              <w:t>MK noteikumu projektā ietvertajam tiesiskajam regulējumam kopumā ir labvēlīga ietekme uz uzņēmējdarbības vidi un tautsaimniecību. Grozījumi tiešā veidā neskar administratīvo slogu un ietekme saglabājas nemainīga.</w:t>
            </w:r>
          </w:p>
        </w:tc>
      </w:tr>
      <w:tr w:rsidR="00CA70BA" w14:paraId="408D57ED"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52C2715E" w14:textId="77777777" w:rsidR="00CA70BA" w:rsidRPr="00CA74E1" w:rsidRDefault="00CA70BA" w:rsidP="00BC2D68">
            <w:pPr>
              <w:pStyle w:val="NormalWeb"/>
              <w:rPr>
                <w:sz w:val="26"/>
                <w:szCs w:val="26"/>
                <w:lang w:eastAsia="en-US"/>
              </w:rPr>
            </w:pPr>
            <w:r w:rsidRPr="00CA74E1">
              <w:rPr>
                <w:sz w:val="26"/>
                <w:szCs w:val="26"/>
                <w:lang w:eastAsia="en-US"/>
              </w:rPr>
              <w:t>3.</w:t>
            </w:r>
          </w:p>
        </w:tc>
        <w:tc>
          <w:tcPr>
            <w:tcW w:w="1641" w:type="pct"/>
            <w:tcBorders>
              <w:top w:val="outset" w:sz="6" w:space="0" w:color="000000"/>
              <w:left w:val="outset" w:sz="6" w:space="0" w:color="000000"/>
              <w:bottom w:val="outset" w:sz="6" w:space="0" w:color="000000"/>
              <w:right w:val="outset" w:sz="6" w:space="0" w:color="000000"/>
            </w:tcBorders>
          </w:tcPr>
          <w:p w14:paraId="08840023" w14:textId="77777777" w:rsidR="00CA70BA" w:rsidRPr="00532788" w:rsidRDefault="00CA70BA" w:rsidP="00BC2D68">
            <w:pPr>
              <w:pStyle w:val="NormalWeb"/>
              <w:rPr>
                <w:lang w:eastAsia="en-US"/>
              </w:rPr>
            </w:pPr>
            <w:r w:rsidRPr="00532788">
              <w:rPr>
                <w:lang w:eastAsia="en-US"/>
              </w:rPr>
              <w:t>Administratīvo izmaksu monetārs novērtējums</w:t>
            </w:r>
          </w:p>
        </w:tc>
        <w:tc>
          <w:tcPr>
            <w:tcW w:w="3151" w:type="pct"/>
            <w:tcBorders>
              <w:top w:val="outset" w:sz="6" w:space="0" w:color="000000"/>
              <w:left w:val="outset" w:sz="6" w:space="0" w:color="000000"/>
              <w:bottom w:val="outset" w:sz="6" w:space="0" w:color="000000"/>
              <w:right w:val="outset" w:sz="6" w:space="0" w:color="000000"/>
            </w:tcBorders>
          </w:tcPr>
          <w:p w14:paraId="4B060226" w14:textId="143E3E73" w:rsidR="00CA70BA" w:rsidRPr="00532788" w:rsidRDefault="00532788" w:rsidP="00A033E3">
            <w:pPr>
              <w:ind w:left="107" w:right="116"/>
              <w:jc w:val="both"/>
              <w:rPr>
                <w:sz w:val="24"/>
                <w:szCs w:val="24"/>
                <w:highlight w:val="yellow"/>
              </w:rPr>
            </w:pPr>
            <w:r w:rsidRPr="00A033E3">
              <w:rPr>
                <w:sz w:val="24"/>
                <w:szCs w:val="24"/>
              </w:rPr>
              <w:t>MK noteikumu projekta administratīvo izmaksu, kas varētu rasties reģistrētiem PVN maksātājiem, monetāru aprēķinu nav iespējams veikt.</w:t>
            </w:r>
          </w:p>
        </w:tc>
      </w:tr>
      <w:tr w:rsidR="00CA70BA" w14:paraId="7B1CD370" w14:textId="77777777" w:rsidTr="00BA22C5">
        <w:tc>
          <w:tcPr>
            <w:tcW w:w="208" w:type="pct"/>
            <w:tcBorders>
              <w:top w:val="outset" w:sz="6" w:space="0" w:color="000000"/>
              <w:left w:val="outset" w:sz="6" w:space="0" w:color="000000"/>
              <w:bottom w:val="outset" w:sz="6" w:space="0" w:color="000000"/>
              <w:right w:val="outset" w:sz="6" w:space="0" w:color="000000"/>
            </w:tcBorders>
          </w:tcPr>
          <w:p w14:paraId="0972FD10" w14:textId="77777777" w:rsidR="00CA70BA" w:rsidRPr="00CA74E1" w:rsidRDefault="00CA70BA" w:rsidP="00BC2D68">
            <w:pPr>
              <w:pStyle w:val="NormalWeb"/>
              <w:rPr>
                <w:sz w:val="26"/>
                <w:szCs w:val="26"/>
                <w:lang w:eastAsia="en-US"/>
              </w:rPr>
            </w:pPr>
            <w:r>
              <w:rPr>
                <w:sz w:val="26"/>
                <w:szCs w:val="26"/>
                <w:lang w:eastAsia="en-US"/>
              </w:rPr>
              <w:t>4.</w:t>
            </w:r>
          </w:p>
        </w:tc>
        <w:tc>
          <w:tcPr>
            <w:tcW w:w="1641" w:type="pct"/>
            <w:tcBorders>
              <w:top w:val="outset" w:sz="6" w:space="0" w:color="000000"/>
              <w:left w:val="outset" w:sz="6" w:space="0" w:color="000000"/>
              <w:bottom w:val="outset" w:sz="6" w:space="0" w:color="000000"/>
              <w:right w:val="outset" w:sz="6" w:space="0" w:color="000000"/>
            </w:tcBorders>
          </w:tcPr>
          <w:p w14:paraId="1B62F9C0" w14:textId="77777777" w:rsidR="00CA70BA" w:rsidRPr="00532788" w:rsidRDefault="00CA70BA" w:rsidP="00BC2D68">
            <w:pPr>
              <w:pStyle w:val="NormalWeb"/>
              <w:rPr>
                <w:lang w:eastAsia="en-US"/>
              </w:rPr>
            </w:pPr>
            <w:r w:rsidRPr="00532788">
              <w:rPr>
                <w:lang w:eastAsia="en-US"/>
              </w:rPr>
              <w:t>Atbilstības izmaksu monetārs novērtējums</w:t>
            </w:r>
          </w:p>
        </w:tc>
        <w:tc>
          <w:tcPr>
            <w:tcW w:w="3151" w:type="pct"/>
            <w:tcBorders>
              <w:top w:val="outset" w:sz="6" w:space="0" w:color="000000"/>
              <w:left w:val="outset" w:sz="6" w:space="0" w:color="000000"/>
              <w:bottom w:val="outset" w:sz="6" w:space="0" w:color="000000"/>
              <w:right w:val="outset" w:sz="6" w:space="0" w:color="000000"/>
            </w:tcBorders>
          </w:tcPr>
          <w:p w14:paraId="3F13F14C" w14:textId="642C2C57" w:rsidR="00CA70BA" w:rsidRPr="00532788" w:rsidRDefault="00532788" w:rsidP="00BC2D68">
            <w:pPr>
              <w:pStyle w:val="NormalWeb"/>
              <w:jc w:val="both"/>
              <w:rPr>
                <w:lang w:eastAsia="en-US"/>
              </w:rPr>
            </w:pPr>
            <w:r w:rsidRPr="00532788">
              <w:rPr>
                <w:lang w:eastAsia="en-US"/>
              </w:rPr>
              <w:t>Projekts šo jomu neskar.</w:t>
            </w:r>
          </w:p>
        </w:tc>
      </w:tr>
      <w:tr w:rsidR="00CA70BA" w14:paraId="001BA3A6"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1BE85FEF" w14:textId="46FABAF6" w:rsidR="00CA70BA" w:rsidRPr="00CA74E1" w:rsidRDefault="00532788" w:rsidP="00BC2D68">
            <w:pPr>
              <w:pStyle w:val="NormalWeb"/>
              <w:rPr>
                <w:sz w:val="26"/>
                <w:szCs w:val="26"/>
                <w:lang w:eastAsia="en-US"/>
              </w:rPr>
            </w:pPr>
            <w:r>
              <w:rPr>
                <w:sz w:val="26"/>
                <w:szCs w:val="26"/>
                <w:lang w:eastAsia="en-US"/>
              </w:rPr>
              <w:t>5</w:t>
            </w:r>
            <w:r w:rsidR="00CA70BA" w:rsidRPr="00CA74E1">
              <w:rPr>
                <w:sz w:val="26"/>
                <w:szCs w:val="26"/>
                <w:lang w:eastAsia="en-US"/>
              </w:rPr>
              <w:t>.</w:t>
            </w:r>
          </w:p>
        </w:tc>
        <w:tc>
          <w:tcPr>
            <w:tcW w:w="1641" w:type="pct"/>
            <w:tcBorders>
              <w:top w:val="outset" w:sz="6" w:space="0" w:color="000000"/>
              <w:left w:val="outset" w:sz="6" w:space="0" w:color="000000"/>
              <w:bottom w:val="outset" w:sz="6" w:space="0" w:color="000000"/>
              <w:right w:val="outset" w:sz="6" w:space="0" w:color="000000"/>
            </w:tcBorders>
            <w:hideMark/>
          </w:tcPr>
          <w:p w14:paraId="3CB50B32" w14:textId="77777777" w:rsidR="00CA70BA" w:rsidRPr="00532788" w:rsidRDefault="00CA70BA" w:rsidP="00BC2D68">
            <w:pPr>
              <w:pStyle w:val="NormalWeb"/>
              <w:rPr>
                <w:lang w:eastAsia="en-US"/>
              </w:rPr>
            </w:pPr>
            <w:r w:rsidRPr="00532788">
              <w:rPr>
                <w:lang w:eastAsia="en-US"/>
              </w:rPr>
              <w:t>Cita informācija</w:t>
            </w:r>
          </w:p>
        </w:tc>
        <w:tc>
          <w:tcPr>
            <w:tcW w:w="3151" w:type="pct"/>
            <w:tcBorders>
              <w:top w:val="outset" w:sz="6" w:space="0" w:color="000000"/>
              <w:left w:val="outset" w:sz="6" w:space="0" w:color="000000"/>
              <w:bottom w:val="outset" w:sz="6" w:space="0" w:color="000000"/>
              <w:right w:val="outset" w:sz="6" w:space="0" w:color="000000"/>
            </w:tcBorders>
            <w:hideMark/>
          </w:tcPr>
          <w:p w14:paraId="087B5FEC" w14:textId="77777777" w:rsidR="00CA70BA" w:rsidRPr="00532788" w:rsidRDefault="00CA70BA" w:rsidP="00BC2D68">
            <w:pPr>
              <w:pStyle w:val="NormalWeb"/>
              <w:rPr>
                <w:lang w:eastAsia="en-US"/>
              </w:rPr>
            </w:pPr>
            <w:r w:rsidRPr="00532788">
              <w:rPr>
                <w:lang w:eastAsia="en-US"/>
              </w:rPr>
              <w:t>Nav</w:t>
            </w:r>
          </w:p>
        </w:tc>
      </w:tr>
    </w:tbl>
    <w:p w14:paraId="3F61D2A6" w14:textId="77777777" w:rsidR="00CA70BA" w:rsidRDefault="00CA70BA" w:rsidP="00CA70BA">
      <w:pPr>
        <w:rPr>
          <w:sz w:val="27"/>
          <w:szCs w:val="27"/>
        </w:rPr>
      </w:pPr>
    </w:p>
    <w:tbl>
      <w:tblPr>
        <w:tblW w:w="5456"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67"/>
        <w:gridCol w:w="1208"/>
        <w:gridCol w:w="1060"/>
        <w:gridCol w:w="894"/>
        <w:gridCol w:w="1309"/>
        <w:gridCol w:w="1232"/>
        <w:gridCol w:w="1394"/>
        <w:gridCol w:w="1123"/>
      </w:tblGrid>
      <w:tr w:rsidR="00CA70BA" w14:paraId="3A6BE8D0" w14:textId="77777777" w:rsidTr="00BA22C5">
        <w:trPr>
          <w:trHeight w:val="77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6DAFEC1" w14:textId="77777777" w:rsidR="00CA70BA" w:rsidRPr="00B34778" w:rsidRDefault="00CA70BA" w:rsidP="00BC2D68">
            <w:pPr>
              <w:pStyle w:val="naislab"/>
              <w:spacing w:before="0" w:after="0"/>
              <w:ind w:firstLine="720"/>
              <w:jc w:val="center"/>
              <w:rPr>
                <w:b/>
                <w:color w:val="000000"/>
                <w:sz w:val="26"/>
                <w:szCs w:val="26"/>
              </w:rPr>
            </w:pPr>
            <w:r w:rsidRPr="00B34778">
              <w:rPr>
                <w:b/>
                <w:bCs/>
                <w:color w:val="000000"/>
                <w:sz w:val="26"/>
                <w:szCs w:val="26"/>
              </w:rPr>
              <w:t>III. Tiesību akta projekta ietekme uz valsts budžetu un pašvaldību budžetiem</w:t>
            </w:r>
          </w:p>
        </w:tc>
      </w:tr>
      <w:tr w:rsidR="00CA70BA" w14:paraId="7F2EACD7" w14:textId="77777777" w:rsidTr="00BA22C5">
        <w:tc>
          <w:tcPr>
            <w:tcW w:w="843" w:type="pct"/>
            <w:vMerge w:val="restart"/>
            <w:tcBorders>
              <w:top w:val="single" w:sz="4" w:space="0" w:color="auto"/>
              <w:left w:val="outset" w:sz="6" w:space="0" w:color="414142"/>
              <w:bottom w:val="outset" w:sz="6" w:space="0" w:color="414142"/>
              <w:right w:val="outset" w:sz="6" w:space="0" w:color="414142"/>
            </w:tcBorders>
            <w:vAlign w:val="center"/>
            <w:hideMark/>
          </w:tcPr>
          <w:p w14:paraId="58CF3DF7" w14:textId="77777777" w:rsidR="00CA70BA" w:rsidRPr="00532788" w:rsidRDefault="00CA70BA" w:rsidP="00BC2D68">
            <w:pPr>
              <w:spacing w:before="100" w:beforeAutospacing="1"/>
              <w:ind w:firstLine="300"/>
              <w:jc w:val="both"/>
              <w:rPr>
                <w:rFonts w:eastAsia="Times New Roman"/>
                <w:color w:val="000000"/>
                <w:sz w:val="24"/>
                <w:szCs w:val="24"/>
                <w:lang w:eastAsia="lv-LV"/>
              </w:rPr>
            </w:pPr>
            <w:r w:rsidRPr="00532788">
              <w:rPr>
                <w:rFonts w:eastAsia="Times New Roman"/>
                <w:color w:val="000000"/>
                <w:sz w:val="24"/>
                <w:szCs w:val="24"/>
                <w:lang w:eastAsia="lv-LV"/>
              </w:rPr>
              <w:t>Rādītāji</w:t>
            </w:r>
          </w:p>
        </w:tc>
        <w:tc>
          <w:tcPr>
            <w:tcW w:w="1147"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218914BC" w14:textId="77777777" w:rsidR="00CA70BA" w:rsidRPr="00532788" w:rsidRDefault="00CA70BA" w:rsidP="00BC2D68">
            <w:pPr>
              <w:spacing w:before="100" w:beforeAutospacing="1"/>
              <w:ind w:firstLine="300"/>
              <w:jc w:val="both"/>
              <w:rPr>
                <w:rFonts w:eastAsia="Times New Roman"/>
                <w:color w:val="000000"/>
                <w:sz w:val="24"/>
                <w:szCs w:val="24"/>
                <w:lang w:eastAsia="lv-LV"/>
              </w:rPr>
            </w:pPr>
            <w:r w:rsidRPr="00532788">
              <w:rPr>
                <w:rFonts w:eastAsia="Times New Roman"/>
                <w:color w:val="000000"/>
                <w:sz w:val="24"/>
                <w:szCs w:val="24"/>
                <w:lang w:eastAsia="lv-LV"/>
              </w:rPr>
              <w:t>2019</w:t>
            </w:r>
          </w:p>
        </w:tc>
        <w:tc>
          <w:tcPr>
            <w:tcW w:w="3010" w:type="pct"/>
            <w:gridSpan w:val="5"/>
            <w:tcBorders>
              <w:top w:val="single" w:sz="4" w:space="0" w:color="auto"/>
              <w:left w:val="outset" w:sz="6" w:space="0" w:color="414142"/>
              <w:bottom w:val="outset" w:sz="6" w:space="0" w:color="414142"/>
              <w:right w:val="outset" w:sz="6" w:space="0" w:color="414142"/>
            </w:tcBorders>
            <w:vAlign w:val="center"/>
            <w:hideMark/>
          </w:tcPr>
          <w:p w14:paraId="22ED2845" w14:textId="77777777" w:rsidR="00CA70BA" w:rsidRPr="00532788" w:rsidRDefault="00CA70BA" w:rsidP="00532788">
            <w:pPr>
              <w:spacing w:before="100" w:beforeAutospacing="1"/>
              <w:ind w:firstLine="300"/>
              <w:jc w:val="center"/>
              <w:rPr>
                <w:rFonts w:eastAsia="Times New Roman"/>
                <w:color w:val="000000"/>
                <w:sz w:val="24"/>
                <w:szCs w:val="24"/>
                <w:lang w:eastAsia="lv-LV"/>
              </w:rPr>
            </w:pPr>
            <w:r w:rsidRPr="00532788">
              <w:rPr>
                <w:rFonts w:eastAsia="Times New Roman"/>
                <w:color w:val="000000"/>
                <w:sz w:val="24"/>
                <w:szCs w:val="24"/>
                <w:lang w:eastAsia="lv-LV"/>
              </w:rPr>
              <w:t>Turpmākie trīs gadi (</w:t>
            </w:r>
            <w:r w:rsidRPr="00532788">
              <w:rPr>
                <w:rFonts w:eastAsia="Times New Roman"/>
                <w:i/>
                <w:iCs/>
                <w:color w:val="000000"/>
                <w:sz w:val="24"/>
                <w:szCs w:val="24"/>
                <w:lang w:eastAsia="lv-LV"/>
              </w:rPr>
              <w:t>euro</w:t>
            </w:r>
            <w:r w:rsidRPr="00532788">
              <w:rPr>
                <w:rFonts w:eastAsia="Times New Roman"/>
                <w:color w:val="000000"/>
                <w:sz w:val="24"/>
                <w:szCs w:val="24"/>
                <w:lang w:eastAsia="lv-LV"/>
              </w:rPr>
              <w:t>)</w:t>
            </w:r>
          </w:p>
        </w:tc>
      </w:tr>
      <w:tr w:rsidR="00F17E56" w14:paraId="1CBB9568" w14:textId="77777777" w:rsidTr="00F17E56">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3CA9A2C6" w14:textId="77777777" w:rsidR="00CA70BA" w:rsidRPr="00532788" w:rsidRDefault="00CA70BA" w:rsidP="00BC2D68">
            <w:pPr>
              <w:jc w:val="both"/>
              <w:rPr>
                <w:rFonts w:eastAsia="Times New Roman"/>
                <w:color w:val="000000"/>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52D66AB5" w14:textId="77777777" w:rsidR="00CA70BA" w:rsidRPr="00532788" w:rsidRDefault="00CA70BA" w:rsidP="00BC2D68">
            <w:pPr>
              <w:jc w:val="both"/>
              <w:rPr>
                <w:rFonts w:eastAsia="Times New Roman"/>
                <w:color w:val="000000"/>
                <w:sz w:val="24"/>
                <w:szCs w:val="24"/>
                <w:lang w:eastAsia="lv-LV"/>
              </w:rPr>
            </w:pPr>
          </w:p>
        </w:tc>
        <w:tc>
          <w:tcPr>
            <w:tcW w:w="1114" w:type="pct"/>
            <w:gridSpan w:val="2"/>
            <w:tcBorders>
              <w:top w:val="outset" w:sz="6" w:space="0" w:color="414142"/>
              <w:left w:val="outset" w:sz="6" w:space="0" w:color="414142"/>
              <w:bottom w:val="outset" w:sz="6" w:space="0" w:color="414142"/>
              <w:right w:val="outset" w:sz="6" w:space="0" w:color="414142"/>
            </w:tcBorders>
            <w:vAlign w:val="center"/>
            <w:hideMark/>
          </w:tcPr>
          <w:p w14:paraId="06C8875C" w14:textId="77777777" w:rsidR="00CA70BA" w:rsidRPr="00532788" w:rsidRDefault="00CA70BA" w:rsidP="00BC2D68">
            <w:pPr>
              <w:spacing w:before="100" w:beforeAutospacing="1"/>
              <w:ind w:firstLine="300"/>
              <w:jc w:val="both"/>
              <w:rPr>
                <w:rFonts w:eastAsia="Times New Roman"/>
                <w:color w:val="000000"/>
                <w:sz w:val="24"/>
                <w:szCs w:val="24"/>
                <w:lang w:eastAsia="lv-LV"/>
              </w:rPr>
            </w:pPr>
            <w:r w:rsidRPr="00532788">
              <w:rPr>
                <w:rFonts w:eastAsia="Times New Roman"/>
                <w:color w:val="000000"/>
                <w:sz w:val="24"/>
                <w:szCs w:val="24"/>
                <w:lang w:eastAsia="lv-LV"/>
              </w:rPr>
              <w:t>2020</w:t>
            </w:r>
          </w:p>
        </w:tc>
        <w:tc>
          <w:tcPr>
            <w:tcW w:w="1328" w:type="pct"/>
            <w:gridSpan w:val="2"/>
            <w:tcBorders>
              <w:top w:val="outset" w:sz="6" w:space="0" w:color="414142"/>
              <w:left w:val="outset" w:sz="6" w:space="0" w:color="414142"/>
              <w:bottom w:val="outset" w:sz="6" w:space="0" w:color="414142"/>
              <w:right w:val="outset" w:sz="6" w:space="0" w:color="414142"/>
            </w:tcBorders>
            <w:vAlign w:val="center"/>
            <w:hideMark/>
          </w:tcPr>
          <w:p w14:paraId="55FD9396" w14:textId="77777777" w:rsidR="00CA70BA" w:rsidRPr="00532788" w:rsidRDefault="00CA70BA" w:rsidP="00BC2D68">
            <w:pPr>
              <w:spacing w:before="100" w:beforeAutospacing="1"/>
              <w:ind w:firstLine="300"/>
              <w:jc w:val="both"/>
              <w:rPr>
                <w:rFonts w:eastAsia="Times New Roman"/>
                <w:color w:val="000000"/>
                <w:sz w:val="24"/>
                <w:szCs w:val="24"/>
                <w:lang w:eastAsia="lv-LV"/>
              </w:rPr>
            </w:pPr>
            <w:r w:rsidRPr="00532788">
              <w:rPr>
                <w:rFonts w:eastAsia="Times New Roman"/>
                <w:color w:val="000000"/>
                <w:sz w:val="24"/>
                <w:szCs w:val="24"/>
                <w:lang w:eastAsia="lv-LV"/>
              </w:rPr>
              <w:t>2021</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C13C00C" w14:textId="77777777" w:rsidR="00CA70BA" w:rsidRPr="00532788" w:rsidRDefault="00CA70BA" w:rsidP="00BC2D68">
            <w:pPr>
              <w:spacing w:before="100" w:beforeAutospacing="1"/>
              <w:ind w:firstLine="300"/>
              <w:jc w:val="both"/>
              <w:rPr>
                <w:rFonts w:eastAsia="Times New Roman"/>
                <w:color w:val="000000"/>
                <w:sz w:val="24"/>
                <w:szCs w:val="24"/>
                <w:lang w:eastAsia="lv-LV"/>
              </w:rPr>
            </w:pPr>
            <w:r w:rsidRPr="00532788">
              <w:rPr>
                <w:rFonts w:eastAsia="Times New Roman"/>
                <w:color w:val="000000"/>
                <w:sz w:val="24"/>
                <w:szCs w:val="24"/>
                <w:lang w:eastAsia="lv-LV"/>
              </w:rPr>
              <w:t>2022</w:t>
            </w:r>
          </w:p>
        </w:tc>
      </w:tr>
      <w:tr w:rsidR="00F17E56" w14:paraId="47929BD3" w14:textId="77777777" w:rsidTr="00BA22C5">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635F72CC" w14:textId="77777777" w:rsidR="00CA70BA" w:rsidRPr="00532788" w:rsidRDefault="00CA70BA" w:rsidP="00BC2D68">
            <w:pPr>
              <w:jc w:val="both"/>
              <w:rPr>
                <w:rFonts w:eastAsia="Times New Roman"/>
                <w:color w:val="000000"/>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FC3E8E7" w14:textId="77777777" w:rsidR="00CA70BA" w:rsidRPr="00532788" w:rsidRDefault="00CA70BA" w:rsidP="00BC2D68">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saskaņā ar valsts budžetu kārtējam gadam</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9CADC3A" w14:textId="77777777" w:rsidR="00CA70BA" w:rsidRPr="00532788" w:rsidRDefault="00CA70BA" w:rsidP="00BC2D68">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izmaiņas kārtējā gadā, salīdzinot ar valsts budžetu kārtējam gadam</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66F9600" w14:textId="77777777" w:rsidR="00CA70BA" w:rsidRPr="00532788" w:rsidRDefault="00CA70BA" w:rsidP="00BC2D68">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saskaņā ar vidēja termiņa budžeta ietvaru</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31DA84CC" w14:textId="6E3310A6" w:rsidR="00CA70BA" w:rsidRPr="00532788" w:rsidRDefault="00CA70BA" w:rsidP="00BC2D68">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 xml:space="preserve">izmaiņas, salīdzinot ar vidēja termiņa budžeta ietvaru </w:t>
            </w:r>
            <w:r w:rsidR="00CB56F1" w:rsidRPr="00532788">
              <w:rPr>
                <w:rFonts w:eastAsia="Times New Roman"/>
                <w:color w:val="000000"/>
                <w:sz w:val="24"/>
                <w:szCs w:val="24"/>
                <w:lang w:eastAsia="lv-LV"/>
              </w:rPr>
              <w:t>2020.</w:t>
            </w:r>
            <w:r w:rsidRPr="00532788">
              <w:rPr>
                <w:rFonts w:eastAsia="Times New Roman"/>
                <w:color w:val="000000"/>
                <w:sz w:val="24"/>
                <w:szCs w:val="24"/>
                <w:lang w:eastAsia="lv-LV"/>
              </w:rPr>
              <w:t xml:space="preserve"> gadam</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7255742" w14:textId="77777777" w:rsidR="00CA70BA" w:rsidRPr="00532788" w:rsidRDefault="00CA70BA" w:rsidP="00BC2D68">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saskaņā ar vidēja termiņa budžeta ietvaru</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E914DF3" w14:textId="3812AA5D" w:rsidR="00CA70BA" w:rsidRPr="00532788" w:rsidRDefault="00CA70BA">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 xml:space="preserve">izmaiņas, salīdzinot ar vidēja termiņa budžeta ietvaru </w:t>
            </w:r>
            <w:r w:rsidR="00CB56F1" w:rsidRPr="00532788">
              <w:rPr>
                <w:rFonts w:eastAsia="Times New Roman"/>
                <w:color w:val="000000"/>
                <w:sz w:val="24"/>
                <w:szCs w:val="24"/>
                <w:lang w:eastAsia="lv-LV"/>
              </w:rPr>
              <w:t>2021.</w:t>
            </w:r>
            <w:r w:rsidRPr="00532788">
              <w:rPr>
                <w:rFonts w:eastAsia="Times New Roman"/>
                <w:color w:val="000000"/>
                <w:sz w:val="24"/>
                <w:szCs w:val="24"/>
                <w:lang w:eastAsia="lv-LV"/>
              </w:rPr>
              <w:t xml:space="preserve"> gadam</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7684E5B" w14:textId="3F1E8794" w:rsidR="00CA70BA" w:rsidRPr="00532788" w:rsidRDefault="00CA70BA">
            <w:pPr>
              <w:spacing w:before="100" w:beforeAutospacing="1"/>
              <w:jc w:val="both"/>
              <w:rPr>
                <w:rFonts w:eastAsia="Times New Roman"/>
                <w:color w:val="000000"/>
                <w:sz w:val="24"/>
                <w:szCs w:val="24"/>
                <w:lang w:eastAsia="lv-LV"/>
              </w:rPr>
            </w:pPr>
            <w:r w:rsidRPr="00532788">
              <w:rPr>
                <w:rFonts w:eastAsia="Times New Roman"/>
                <w:color w:val="000000"/>
                <w:sz w:val="24"/>
                <w:szCs w:val="24"/>
                <w:lang w:eastAsia="lv-LV"/>
              </w:rPr>
              <w:t xml:space="preserve">Izmaiņas, salīdzinot ar vidēja termiņa budžeta ietvaru </w:t>
            </w:r>
            <w:r w:rsidR="00CB56F1" w:rsidRPr="00532788">
              <w:rPr>
                <w:rFonts w:eastAsia="Times New Roman"/>
                <w:color w:val="000000"/>
                <w:sz w:val="24"/>
                <w:szCs w:val="24"/>
                <w:lang w:eastAsia="lv-LV"/>
              </w:rPr>
              <w:t>2021.</w:t>
            </w:r>
            <w:r w:rsidRPr="00532788">
              <w:rPr>
                <w:rFonts w:eastAsia="Times New Roman"/>
                <w:color w:val="000000"/>
                <w:sz w:val="24"/>
                <w:szCs w:val="24"/>
                <w:lang w:eastAsia="lv-LV"/>
              </w:rPr>
              <w:t xml:space="preserve"> gadam</w:t>
            </w:r>
          </w:p>
        </w:tc>
      </w:tr>
      <w:tr w:rsidR="00F17E56" w14:paraId="4FABDD7F" w14:textId="77777777" w:rsidTr="00BA22C5">
        <w:tc>
          <w:tcPr>
            <w:tcW w:w="843" w:type="pct"/>
            <w:tcBorders>
              <w:top w:val="outset" w:sz="6" w:space="0" w:color="414142"/>
              <w:left w:val="outset" w:sz="6" w:space="0" w:color="414142"/>
              <w:bottom w:val="outset" w:sz="6" w:space="0" w:color="414142"/>
              <w:right w:val="outset" w:sz="6" w:space="0" w:color="414142"/>
            </w:tcBorders>
            <w:vAlign w:val="center"/>
            <w:hideMark/>
          </w:tcPr>
          <w:p w14:paraId="5E70D248"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1</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93FEBD3"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2</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446C510"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3</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A02AE42"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4</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53E403B3"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5</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D6ECF41"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6</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F11D9AA"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7</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AD81BB5" w14:textId="77777777" w:rsidR="00CA70BA" w:rsidRPr="00532788" w:rsidRDefault="00CA70BA" w:rsidP="00BC2D68">
            <w:pPr>
              <w:spacing w:before="100" w:beforeAutospacing="1" w:after="100" w:afterAutospacing="1" w:line="360" w:lineRule="auto"/>
              <w:ind w:firstLine="300"/>
              <w:jc w:val="both"/>
              <w:rPr>
                <w:rFonts w:eastAsia="Times New Roman"/>
                <w:color w:val="000000"/>
                <w:sz w:val="24"/>
                <w:szCs w:val="24"/>
                <w:lang w:eastAsia="lv-LV"/>
              </w:rPr>
            </w:pPr>
            <w:r w:rsidRPr="00532788">
              <w:rPr>
                <w:rFonts w:eastAsia="Times New Roman"/>
                <w:color w:val="000000"/>
                <w:sz w:val="24"/>
                <w:szCs w:val="24"/>
                <w:lang w:eastAsia="lv-LV"/>
              </w:rPr>
              <w:t>8</w:t>
            </w:r>
          </w:p>
        </w:tc>
      </w:tr>
      <w:tr w:rsidR="00F17E56" w14:paraId="366B5961"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5D3CF6"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1. Budžeta ieņēmumi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06F86B75" w14:textId="77777777" w:rsidR="00CA70BA" w:rsidRPr="00532788" w:rsidRDefault="00CA70BA" w:rsidP="00BC2D68">
            <w:pPr>
              <w:jc w:val="center"/>
              <w:rPr>
                <w:rFonts w:eastAsia="Times New Roman"/>
                <w:color w:val="000000"/>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33F22ED" w14:textId="77777777" w:rsidR="00CA70BA" w:rsidRPr="00532788" w:rsidRDefault="00CA70BA" w:rsidP="00BC2D68">
            <w:pPr>
              <w:jc w:val="center"/>
              <w:rPr>
                <w:rFonts w:eastAsia="Times New Roman"/>
                <w:color w:val="000000"/>
                <w:sz w:val="24"/>
                <w:szCs w:val="24"/>
                <w:lang w:eastAsia="lv-LV"/>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282B9326" w14:textId="77777777" w:rsidR="00CA70BA" w:rsidRPr="00532788" w:rsidRDefault="00CA70BA" w:rsidP="00BC2D68">
            <w:pPr>
              <w:jc w:val="center"/>
              <w:rPr>
                <w:rFonts w:eastAsia="Times New Roman"/>
                <w:color w:val="000000"/>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AB8E35D" w14:textId="77777777" w:rsidR="00CA70BA" w:rsidRPr="00532788" w:rsidRDefault="00CA70BA" w:rsidP="00BC2D68">
            <w:pPr>
              <w:jc w:val="center"/>
              <w:rPr>
                <w:rFonts w:eastAsia="Times New Roman"/>
                <w:color w:val="000000"/>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1F72700"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19FF807" w14:textId="77777777" w:rsidR="00CA70BA" w:rsidRPr="00532788" w:rsidRDefault="00CA70BA" w:rsidP="00BC2D68">
            <w:pPr>
              <w:jc w:val="center"/>
              <w:rPr>
                <w:rFonts w:eastAsia="Times New Roman"/>
                <w:color w:val="000000"/>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0FAF3E5" w14:textId="77777777" w:rsidR="00CA70BA" w:rsidRPr="00532788" w:rsidRDefault="00CA70BA" w:rsidP="00BC2D68">
            <w:pPr>
              <w:jc w:val="center"/>
              <w:rPr>
                <w:rFonts w:eastAsia="Times New Roman"/>
                <w:color w:val="000000"/>
                <w:sz w:val="24"/>
                <w:szCs w:val="24"/>
                <w:lang w:eastAsia="lv-LV"/>
              </w:rPr>
            </w:pPr>
          </w:p>
        </w:tc>
      </w:tr>
      <w:tr w:rsidR="00F17E56" w14:paraId="0E272AC8"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4F50B920"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1.1. valsts pamatbudžets, tai skaitā ieņēmumi no maksas pakalpojumiem un citi pašu ieņēmumi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66DAF29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8996F4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314E201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D32594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F984F8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1302AF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FEC0FCE"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5F5969FC"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A0EA94"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1.2. valsts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B53D62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A4BF9C3"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5FB990A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6CEE707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25D685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479774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62E0A65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0C47175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443CC5B"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1.3.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803707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6FD470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D9C0A8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64BBAA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2454128"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5E1923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19B33D65"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7CB67260"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1E585C86"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2. Budžeta izdevumi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EE23F5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8A400F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16C4A9FE"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1BA2E99"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E9A5556"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1C88F18" w14:textId="77777777" w:rsidR="00CA70BA" w:rsidRPr="00532788" w:rsidRDefault="00CA70BA" w:rsidP="00BC2D68">
            <w:pPr>
              <w:jc w:val="center"/>
              <w:rPr>
                <w:rFonts w:eastAsia="Times New Roman"/>
                <w:color w:val="000000"/>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3626772B" w14:textId="77777777" w:rsidR="00CA70BA" w:rsidRPr="00532788" w:rsidRDefault="00CA70BA" w:rsidP="00BC2D68">
            <w:pPr>
              <w:jc w:val="center"/>
              <w:rPr>
                <w:rFonts w:eastAsia="Times New Roman"/>
                <w:color w:val="000000"/>
                <w:sz w:val="24"/>
                <w:szCs w:val="24"/>
                <w:lang w:eastAsia="lv-LV"/>
              </w:rPr>
            </w:pPr>
          </w:p>
        </w:tc>
      </w:tr>
      <w:tr w:rsidR="00F17E56" w14:paraId="5FC016E2"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7E4ED132"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2.1. valsts pamatbudžets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0BC62F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62DD56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75FCBC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611A179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108DF5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C6BF4E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49E1609"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32D16108"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73ABE1B"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lastRenderedPageBreak/>
              <w:t>2.2. valsts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39C022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30A6A2E"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1983768"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79282A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3AABDDEC"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E6D6D9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71319C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2B491679"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2584331E"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2.3.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BA9DD1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E948BDC"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3C64718"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8A24B3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52B9115"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369BD4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A8E2C60"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7F4B88A3"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2DEFF141"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3. Finansiālā ietekme</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69072786" w14:textId="77777777" w:rsidR="00CA70BA" w:rsidRPr="00532788" w:rsidRDefault="00CA70BA" w:rsidP="00BC2D68">
            <w:pPr>
              <w:jc w:val="center"/>
              <w:rPr>
                <w:rFonts w:eastAsia="Times New Roman"/>
                <w:color w:val="000000"/>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2842282" w14:textId="77777777" w:rsidR="00CA70BA" w:rsidRPr="00532788" w:rsidRDefault="00CA70BA" w:rsidP="00BC2D68">
            <w:pPr>
              <w:jc w:val="center"/>
              <w:rPr>
                <w:rFonts w:eastAsia="Times New Roman"/>
                <w:color w:val="000000"/>
                <w:sz w:val="24"/>
                <w:szCs w:val="24"/>
                <w:lang w:eastAsia="lv-LV"/>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322CC578" w14:textId="77777777" w:rsidR="00CA70BA" w:rsidRPr="00532788" w:rsidRDefault="00CA70BA" w:rsidP="00BC2D68">
            <w:pPr>
              <w:jc w:val="center"/>
              <w:rPr>
                <w:rFonts w:eastAsia="Times New Roman"/>
                <w:color w:val="000000"/>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7AA06A2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7163B87"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AF69B90" w14:textId="77777777" w:rsidR="00CA70BA" w:rsidRPr="00532788" w:rsidRDefault="00CA70BA" w:rsidP="00BC2D68">
            <w:pPr>
              <w:jc w:val="center"/>
              <w:rPr>
                <w:rFonts w:eastAsia="Times New Roman"/>
                <w:color w:val="000000"/>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51BA9DFB" w14:textId="77777777" w:rsidR="00CA70BA" w:rsidRPr="00532788" w:rsidRDefault="00CA70BA" w:rsidP="00BC2D68">
            <w:pPr>
              <w:jc w:val="center"/>
              <w:rPr>
                <w:rFonts w:eastAsia="Times New Roman"/>
                <w:color w:val="000000"/>
                <w:sz w:val="24"/>
                <w:szCs w:val="24"/>
                <w:lang w:eastAsia="lv-LV"/>
              </w:rPr>
            </w:pPr>
          </w:p>
        </w:tc>
      </w:tr>
      <w:tr w:rsidR="00F17E56" w14:paraId="6B8DEF33"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C5C8FB"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3.1. valsts pamatbudžets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1BC1116"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6E852E9"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9C166E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3B96410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0E4891F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11478F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5971531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4641D7E4"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3F1E60CD"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3.2.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0B747A4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E82EB0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F7F3619"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5E4B2CA8"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04FCFF2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8D43D26"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13AC26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794A2059"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7042F2D"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3.3.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692C57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7AF14B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2BA952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0AFA0AB6"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3579AB6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7B16C9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CA0362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6A8DF123"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2BC800A7"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4. Finanšu līdzekļi papildu izdevumu finansēšanai (kompensējošu izdevumu samazinājumu norāda ar "+" zīmi)</w:t>
            </w:r>
          </w:p>
        </w:tc>
        <w:tc>
          <w:tcPr>
            <w:tcW w:w="61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CDC62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36DA6C"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266336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CFE6C4"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D4C4F1"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494464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595E9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46F25DFB"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6268AD58"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5. Precizēta finansiālā ietekme</w:t>
            </w:r>
          </w:p>
        </w:tc>
        <w:tc>
          <w:tcPr>
            <w:tcW w:w="611"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CEFCCE"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X</w:t>
            </w: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C563FE"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99FC75"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X</w:t>
            </w: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77180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FE0AFC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X</w:t>
            </w: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C5830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413DF3"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22C2CBC0"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5B0C43B1"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5.1. valsts pamatbudžets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8DD185" w14:textId="77777777" w:rsidR="00CA70BA" w:rsidRPr="00532788" w:rsidRDefault="00CA70BA" w:rsidP="00BC2D68">
            <w:pPr>
              <w:jc w:val="center"/>
              <w:rPr>
                <w:rFonts w:eastAsia="Times New Roman"/>
                <w:color w:val="000000"/>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AB843A"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FC85A7" w14:textId="77777777" w:rsidR="00CA70BA" w:rsidRPr="00532788" w:rsidRDefault="00CA70BA" w:rsidP="00BC2D68">
            <w:pPr>
              <w:jc w:val="center"/>
              <w:rPr>
                <w:rFonts w:eastAsia="Times New Roman"/>
                <w:color w:val="000000"/>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A04224"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163D31"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3639AD"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4F502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499C1575"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260F4797"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5.2. speciālais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33A203B" w14:textId="77777777" w:rsidR="00CA70BA" w:rsidRPr="00532788" w:rsidRDefault="00CA70BA" w:rsidP="00BC2D68">
            <w:pPr>
              <w:jc w:val="center"/>
              <w:rPr>
                <w:rFonts w:eastAsia="Times New Roman"/>
                <w:color w:val="000000"/>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F34FFF"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50DE4D" w14:textId="77777777" w:rsidR="00CA70BA" w:rsidRPr="00532788" w:rsidRDefault="00CA70BA" w:rsidP="00BC2D68">
            <w:pPr>
              <w:jc w:val="center"/>
              <w:rPr>
                <w:rFonts w:eastAsia="Times New Roman"/>
                <w:color w:val="000000"/>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6D02B2"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0D2E85"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BE8593"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172967"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F17E56" w14:paraId="5DFCB98A"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03EFF676"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5.3. pašvaldību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CEAEE3" w14:textId="77777777" w:rsidR="00CA70BA" w:rsidRPr="00532788" w:rsidRDefault="00CA70BA" w:rsidP="00BC2D68">
            <w:pPr>
              <w:jc w:val="center"/>
              <w:rPr>
                <w:rFonts w:eastAsia="Times New Roman"/>
                <w:color w:val="000000"/>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17FFC6"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BC2972" w14:textId="77777777" w:rsidR="00CA70BA" w:rsidRPr="00532788" w:rsidRDefault="00CA70BA" w:rsidP="00BC2D68">
            <w:pPr>
              <w:jc w:val="center"/>
              <w:rPr>
                <w:rFonts w:eastAsia="Times New Roman"/>
                <w:color w:val="000000"/>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8EBE13"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1EB991" w14:textId="77777777" w:rsidR="00CA70BA" w:rsidRPr="00532788" w:rsidRDefault="00CA70BA" w:rsidP="00BC2D68">
            <w:pPr>
              <w:jc w:val="center"/>
              <w:rPr>
                <w:rFonts w:eastAsia="Times New Roman"/>
                <w:color w:val="000000"/>
                <w:sz w:val="24"/>
                <w:szCs w:val="24"/>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C1C146"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206CDB" w14:textId="77777777" w:rsidR="00CA70BA" w:rsidRPr="00532788" w:rsidRDefault="00CA70BA" w:rsidP="00BC2D68">
            <w:pPr>
              <w:jc w:val="center"/>
              <w:rPr>
                <w:rFonts w:eastAsia="Times New Roman"/>
                <w:color w:val="000000"/>
                <w:sz w:val="24"/>
                <w:szCs w:val="24"/>
                <w:lang w:eastAsia="lv-LV"/>
              </w:rPr>
            </w:pPr>
            <w:r w:rsidRPr="00532788">
              <w:rPr>
                <w:rFonts w:eastAsia="Times New Roman"/>
                <w:color w:val="000000"/>
                <w:sz w:val="24"/>
                <w:szCs w:val="24"/>
                <w:lang w:eastAsia="lv-LV"/>
              </w:rPr>
              <w:t>0</w:t>
            </w:r>
          </w:p>
        </w:tc>
      </w:tr>
      <w:tr w:rsidR="00CA70BA" w14:paraId="5F87B47F" w14:textId="77777777" w:rsidTr="00BA22C5">
        <w:trPr>
          <w:trHeight w:val="4176"/>
        </w:trPr>
        <w:tc>
          <w:tcPr>
            <w:tcW w:w="843" w:type="pct"/>
            <w:tcBorders>
              <w:top w:val="outset" w:sz="6" w:space="0" w:color="414142"/>
              <w:left w:val="outset" w:sz="6" w:space="0" w:color="414142"/>
              <w:bottom w:val="outset" w:sz="6" w:space="0" w:color="414142"/>
              <w:right w:val="outset" w:sz="6" w:space="0" w:color="414142"/>
            </w:tcBorders>
            <w:hideMark/>
          </w:tcPr>
          <w:p w14:paraId="4366D4E0"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6. Detalizēts ieņēmumu un izdevumu aprēķins (ja nepieciešams, detalizētu ieņēmumu un izdevumu aprēķinu var pievienot anotācijas pielikumā)</w:t>
            </w:r>
          </w:p>
        </w:tc>
        <w:tc>
          <w:tcPr>
            <w:tcW w:w="415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B0164DF" w14:textId="77777777" w:rsidR="00CA70BA" w:rsidRPr="00F53CB0" w:rsidRDefault="00CA70BA" w:rsidP="00532788">
            <w:pPr>
              <w:widowControl w:val="0"/>
              <w:contextualSpacing/>
              <w:rPr>
                <w:rFonts w:eastAsia="Times New Roman"/>
                <w:color w:val="000000"/>
                <w:sz w:val="24"/>
                <w:szCs w:val="24"/>
                <w:lang w:eastAsia="lv-LV"/>
              </w:rPr>
            </w:pPr>
            <w:r w:rsidRPr="00F53CB0">
              <w:rPr>
                <w:rFonts w:eastAsia="Times New Roman"/>
                <w:color w:val="000000"/>
                <w:sz w:val="24"/>
                <w:szCs w:val="24"/>
                <w:lang w:eastAsia="lv-LV"/>
              </w:rPr>
              <w:t>Projekts šo jomu neskar</w:t>
            </w:r>
          </w:p>
        </w:tc>
      </w:tr>
      <w:tr w:rsidR="00CA70BA" w14:paraId="17EB22D5"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74246525"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lastRenderedPageBreak/>
              <w:t>6.1. detalizēts ieņēmumu aprēķins</w:t>
            </w:r>
          </w:p>
        </w:tc>
        <w:tc>
          <w:tcPr>
            <w:tcW w:w="4157" w:type="pct"/>
            <w:gridSpan w:val="7"/>
            <w:vMerge/>
            <w:tcBorders>
              <w:top w:val="outset" w:sz="6" w:space="0" w:color="414142"/>
              <w:left w:val="outset" w:sz="6" w:space="0" w:color="414142"/>
              <w:bottom w:val="outset" w:sz="6" w:space="0" w:color="414142"/>
              <w:right w:val="outset" w:sz="6" w:space="0" w:color="414142"/>
            </w:tcBorders>
            <w:vAlign w:val="center"/>
            <w:hideMark/>
          </w:tcPr>
          <w:p w14:paraId="334923B2" w14:textId="77777777" w:rsidR="00CA70BA" w:rsidRPr="00532788" w:rsidRDefault="00CA70BA" w:rsidP="00BC2D68">
            <w:pPr>
              <w:rPr>
                <w:rFonts w:eastAsia="Times New Roman"/>
                <w:color w:val="000000"/>
                <w:sz w:val="24"/>
                <w:szCs w:val="24"/>
                <w:lang w:eastAsia="lv-LV"/>
              </w:rPr>
            </w:pPr>
          </w:p>
        </w:tc>
      </w:tr>
      <w:tr w:rsidR="00CA70BA" w14:paraId="3D05AEE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32A3FD94"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6.2. detalizēts izdevumu aprēķins</w:t>
            </w:r>
          </w:p>
        </w:tc>
        <w:tc>
          <w:tcPr>
            <w:tcW w:w="4157" w:type="pct"/>
            <w:gridSpan w:val="7"/>
            <w:vMerge/>
            <w:tcBorders>
              <w:top w:val="outset" w:sz="6" w:space="0" w:color="414142"/>
              <w:left w:val="outset" w:sz="6" w:space="0" w:color="414142"/>
              <w:bottom w:val="outset" w:sz="6" w:space="0" w:color="414142"/>
              <w:right w:val="outset" w:sz="6" w:space="0" w:color="414142"/>
            </w:tcBorders>
            <w:vAlign w:val="center"/>
            <w:hideMark/>
          </w:tcPr>
          <w:p w14:paraId="5843D315" w14:textId="77777777" w:rsidR="00CA70BA" w:rsidRPr="00532788" w:rsidRDefault="00CA70BA" w:rsidP="00BC2D68">
            <w:pPr>
              <w:rPr>
                <w:rFonts w:eastAsia="Times New Roman"/>
                <w:color w:val="000000"/>
                <w:sz w:val="24"/>
                <w:szCs w:val="24"/>
                <w:lang w:eastAsia="lv-LV"/>
              </w:rPr>
            </w:pPr>
          </w:p>
        </w:tc>
      </w:tr>
      <w:tr w:rsidR="00CA70BA" w14:paraId="3AEEA2DB"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1E14ECA7"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7. Amata vietu skaita izmaiņas</w:t>
            </w:r>
          </w:p>
        </w:tc>
        <w:tc>
          <w:tcPr>
            <w:tcW w:w="4157" w:type="pct"/>
            <w:gridSpan w:val="7"/>
            <w:tcBorders>
              <w:top w:val="outset" w:sz="6" w:space="0" w:color="414142"/>
              <w:left w:val="outset" w:sz="6" w:space="0" w:color="414142"/>
              <w:bottom w:val="outset" w:sz="6" w:space="0" w:color="414142"/>
              <w:right w:val="outset" w:sz="6" w:space="0" w:color="414142"/>
            </w:tcBorders>
            <w:hideMark/>
          </w:tcPr>
          <w:p w14:paraId="23C796BD" w14:textId="77777777" w:rsidR="00CA70BA" w:rsidRPr="00532788" w:rsidRDefault="00CA70BA" w:rsidP="00BC2D68">
            <w:pPr>
              <w:jc w:val="both"/>
              <w:rPr>
                <w:rFonts w:eastAsia="Times New Roman"/>
                <w:color w:val="000000"/>
                <w:sz w:val="24"/>
                <w:szCs w:val="24"/>
                <w:lang w:eastAsia="lv-LV"/>
              </w:rPr>
            </w:pPr>
            <w:r w:rsidRPr="00532788">
              <w:rPr>
                <w:rFonts w:eastAsia="Times New Roman"/>
                <w:color w:val="000000"/>
                <w:sz w:val="24"/>
                <w:szCs w:val="24"/>
                <w:lang w:eastAsia="lv-LV"/>
              </w:rPr>
              <w:t>Nav attiecināms</w:t>
            </w:r>
          </w:p>
        </w:tc>
      </w:tr>
      <w:tr w:rsidR="00CA70BA" w14:paraId="2FB4116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FEA8F5C" w14:textId="77777777" w:rsidR="00CA70BA" w:rsidRPr="00532788" w:rsidRDefault="00CA70BA" w:rsidP="00BC2D68">
            <w:pPr>
              <w:rPr>
                <w:rFonts w:eastAsia="Times New Roman"/>
                <w:color w:val="000000"/>
                <w:sz w:val="24"/>
                <w:szCs w:val="24"/>
                <w:lang w:eastAsia="lv-LV"/>
              </w:rPr>
            </w:pPr>
            <w:r w:rsidRPr="00532788">
              <w:rPr>
                <w:rFonts w:eastAsia="Times New Roman"/>
                <w:color w:val="000000"/>
                <w:sz w:val="24"/>
                <w:szCs w:val="24"/>
                <w:lang w:eastAsia="lv-LV"/>
              </w:rPr>
              <w:t>8. Cita informācija</w:t>
            </w:r>
          </w:p>
        </w:tc>
        <w:tc>
          <w:tcPr>
            <w:tcW w:w="4157" w:type="pct"/>
            <w:gridSpan w:val="7"/>
            <w:tcBorders>
              <w:top w:val="outset" w:sz="6" w:space="0" w:color="414142"/>
              <w:left w:val="outset" w:sz="6" w:space="0" w:color="414142"/>
              <w:bottom w:val="outset" w:sz="6" w:space="0" w:color="414142"/>
              <w:right w:val="outset" w:sz="6" w:space="0" w:color="414142"/>
            </w:tcBorders>
            <w:hideMark/>
          </w:tcPr>
          <w:p w14:paraId="29229B7F" w14:textId="4F85901C" w:rsidR="00CA70BA" w:rsidRPr="00532788" w:rsidRDefault="00532788" w:rsidP="00F53CB0">
            <w:pPr>
              <w:spacing w:before="100" w:beforeAutospacing="1"/>
              <w:ind w:right="116" w:firstLine="108"/>
              <w:jc w:val="both"/>
              <w:rPr>
                <w:color w:val="000000"/>
                <w:sz w:val="24"/>
                <w:szCs w:val="24"/>
                <w:lang w:eastAsia="lv-LV"/>
              </w:rPr>
            </w:pPr>
            <w:r w:rsidRPr="00532788">
              <w:rPr>
                <w:spacing w:val="-2"/>
                <w:sz w:val="24"/>
                <w:szCs w:val="24"/>
              </w:rPr>
              <w:t xml:space="preserve">Veicot grozījumus MK noteikumos Nr.17 attiecībā uz PVN maksātājiem, kuri reorganizācijas rezultātā iegūst nekustamo īpašumu un veic tā </w:t>
            </w:r>
            <w:proofErr w:type="spellStart"/>
            <w:r w:rsidRPr="00532788">
              <w:rPr>
                <w:spacing w:val="-2"/>
                <w:sz w:val="24"/>
                <w:szCs w:val="24"/>
              </w:rPr>
              <w:t>pārreģistrāciju</w:t>
            </w:r>
            <w:proofErr w:type="spellEnd"/>
            <w:r w:rsidRPr="00532788">
              <w:rPr>
                <w:spacing w:val="-2"/>
                <w:sz w:val="24"/>
                <w:szCs w:val="24"/>
              </w:rPr>
              <w:t xml:space="preserve"> VID, ietekmi uz valsts budžeta ieņēmumiem nevar prognozēt, jo nav iespējams noteikt, kāda būs priekšnodokļa proporcija, proti, vai tā mainīsies, vai nemainīsies. Teorētiski var pieļaut, ka atskaitāmais priekšnodoklis attiecīgajos gadījumos varētu gan palielināties, gan samazināties un tādējādi proporcija varētu mainīties gan pozitīvi, gan negatīvi.</w:t>
            </w:r>
          </w:p>
        </w:tc>
      </w:tr>
    </w:tbl>
    <w:p w14:paraId="65316F31" w14:textId="77777777" w:rsidR="00CA70BA" w:rsidRDefault="00CA70BA" w:rsidP="00BA22C5">
      <w:pPr>
        <w:tabs>
          <w:tab w:val="left" w:pos="945"/>
        </w:tabs>
        <w:rPr>
          <w:sz w:val="26"/>
          <w:szCs w:val="26"/>
        </w:rPr>
      </w:pPr>
    </w:p>
    <w:tbl>
      <w:tblPr>
        <w:tblW w:w="545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4"/>
      </w:tblGrid>
      <w:tr w:rsidR="00CA70BA" w:rsidRPr="00532788" w14:paraId="37E2B274" w14:textId="77777777" w:rsidTr="00BA22C5">
        <w:tc>
          <w:tcPr>
            <w:tcW w:w="5000" w:type="pct"/>
            <w:tcBorders>
              <w:top w:val="outset" w:sz="6" w:space="0" w:color="414142"/>
              <w:left w:val="outset" w:sz="6" w:space="0" w:color="414142"/>
              <w:bottom w:val="outset" w:sz="6" w:space="0" w:color="414142"/>
              <w:right w:val="outset" w:sz="6" w:space="0" w:color="414142"/>
            </w:tcBorders>
            <w:vAlign w:val="center"/>
            <w:hideMark/>
          </w:tcPr>
          <w:p w14:paraId="34839B1F" w14:textId="77777777" w:rsidR="00CA70BA" w:rsidRPr="00532788" w:rsidRDefault="00CA70BA" w:rsidP="006159A2">
            <w:pPr>
              <w:jc w:val="center"/>
              <w:rPr>
                <w:rFonts w:eastAsia="Times New Roman"/>
                <w:b/>
                <w:bCs/>
                <w:color w:val="414142"/>
                <w:sz w:val="24"/>
                <w:szCs w:val="24"/>
                <w:lang w:eastAsia="lv-LV"/>
              </w:rPr>
            </w:pPr>
            <w:r w:rsidRPr="006159A2">
              <w:rPr>
                <w:b/>
                <w:sz w:val="24"/>
                <w:szCs w:val="24"/>
              </w:rPr>
              <w:t>IV. Tiesību akta projekta ietekme uz spēkā esošo tiesību normu sistēmu</w:t>
            </w:r>
          </w:p>
        </w:tc>
      </w:tr>
      <w:tr w:rsidR="00CB56F1" w:rsidRPr="00532788" w14:paraId="682F69FF" w14:textId="77777777" w:rsidTr="00BA22C5">
        <w:tc>
          <w:tcPr>
            <w:tcW w:w="5000" w:type="pct"/>
            <w:tcBorders>
              <w:top w:val="outset" w:sz="6" w:space="0" w:color="414142"/>
              <w:left w:val="outset" w:sz="6" w:space="0" w:color="414142"/>
              <w:bottom w:val="outset" w:sz="6" w:space="0" w:color="414142"/>
              <w:right w:val="outset" w:sz="6" w:space="0" w:color="414142"/>
            </w:tcBorders>
            <w:vAlign w:val="center"/>
          </w:tcPr>
          <w:p w14:paraId="51C75C5E" w14:textId="734084F3" w:rsidR="00CB56F1" w:rsidRPr="00532788" w:rsidRDefault="00532788" w:rsidP="00BC2D68">
            <w:pPr>
              <w:spacing w:before="100" w:beforeAutospacing="1" w:after="100" w:afterAutospacing="1" w:line="360" w:lineRule="auto"/>
              <w:ind w:firstLine="300"/>
              <w:jc w:val="center"/>
              <w:rPr>
                <w:rFonts w:eastAsia="Times New Roman"/>
                <w:b/>
                <w:bCs/>
                <w:color w:val="414142"/>
                <w:sz w:val="24"/>
                <w:szCs w:val="24"/>
                <w:lang w:eastAsia="lv-LV"/>
              </w:rPr>
            </w:pPr>
            <w:r w:rsidRPr="00532788">
              <w:rPr>
                <w:rFonts w:eastAsia="Times New Roman"/>
                <w:sz w:val="24"/>
                <w:szCs w:val="24"/>
                <w:lang w:eastAsia="lv-LV"/>
              </w:rPr>
              <w:t xml:space="preserve">Ministru kabineta noteikumu </w:t>
            </w:r>
            <w:r>
              <w:rPr>
                <w:sz w:val="24"/>
                <w:szCs w:val="24"/>
              </w:rPr>
              <w:t>p</w:t>
            </w:r>
            <w:r w:rsidR="00CB56F1" w:rsidRPr="00532788">
              <w:rPr>
                <w:sz w:val="24"/>
                <w:szCs w:val="24"/>
              </w:rPr>
              <w:t>rojekts šo jomu neskar</w:t>
            </w:r>
          </w:p>
        </w:tc>
      </w:tr>
    </w:tbl>
    <w:p w14:paraId="61C8244F" w14:textId="77777777" w:rsidR="00CA70BA" w:rsidRPr="00532788" w:rsidRDefault="00CA70BA" w:rsidP="00CA70BA">
      <w:pPr>
        <w:rPr>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70BA" w:rsidRPr="00532788" w14:paraId="05B1C89D" w14:textId="77777777" w:rsidTr="00BA22C5">
        <w:tc>
          <w:tcPr>
            <w:tcW w:w="9923" w:type="dxa"/>
            <w:shd w:val="clear" w:color="auto" w:fill="auto"/>
          </w:tcPr>
          <w:p w14:paraId="5625DD90" w14:textId="77777777" w:rsidR="00CA70BA" w:rsidRPr="00532788" w:rsidRDefault="00CA70BA" w:rsidP="00BC2D68">
            <w:pPr>
              <w:jc w:val="center"/>
              <w:rPr>
                <w:b/>
                <w:sz w:val="24"/>
                <w:szCs w:val="24"/>
              </w:rPr>
            </w:pPr>
            <w:r w:rsidRPr="00532788">
              <w:rPr>
                <w:b/>
                <w:sz w:val="24"/>
                <w:szCs w:val="24"/>
              </w:rPr>
              <w:t>V. Tiesību akta projekta atbilstība Latvijas Republikas starptautiskajām saistībām</w:t>
            </w:r>
          </w:p>
        </w:tc>
      </w:tr>
      <w:tr w:rsidR="00CA70BA" w:rsidRPr="00532788" w14:paraId="49C48605" w14:textId="77777777" w:rsidTr="00BA22C5">
        <w:tc>
          <w:tcPr>
            <w:tcW w:w="9923" w:type="dxa"/>
            <w:shd w:val="clear" w:color="auto" w:fill="auto"/>
          </w:tcPr>
          <w:p w14:paraId="1069E6B6" w14:textId="42D9CFDF" w:rsidR="00CA70BA" w:rsidRPr="00532788" w:rsidRDefault="00532788" w:rsidP="00BC2D68">
            <w:pPr>
              <w:jc w:val="center"/>
              <w:rPr>
                <w:sz w:val="24"/>
                <w:szCs w:val="24"/>
              </w:rPr>
            </w:pPr>
            <w:r w:rsidRPr="00532788">
              <w:rPr>
                <w:rFonts w:eastAsia="Times New Roman"/>
                <w:sz w:val="24"/>
                <w:szCs w:val="24"/>
                <w:lang w:eastAsia="lv-LV"/>
              </w:rPr>
              <w:t xml:space="preserve">Ministru kabineta noteikumu </w:t>
            </w:r>
            <w:r>
              <w:rPr>
                <w:sz w:val="24"/>
                <w:szCs w:val="24"/>
              </w:rPr>
              <w:t>p</w:t>
            </w:r>
            <w:r w:rsidR="00CA70BA" w:rsidRPr="00532788">
              <w:rPr>
                <w:sz w:val="24"/>
                <w:szCs w:val="24"/>
              </w:rPr>
              <w:t>rojekts šo jomu neskar</w:t>
            </w:r>
          </w:p>
        </w:tc>
      </w:tr>
    </w:tbl>
    <w:p w14:paraId="1356469C" w14:textId="77777777" w:rsidR="00CA70BA" w:rsidRPr="00311AA0" w:rsidRDefault="00CA70BA" w:rsidP="00CA70BA">
      <w:pPr>
        <w:rPr>
          <w:sz w:val="27"/>
          <w:szCs w:val="27"/>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4147"/>
        <w:gridCol w:w="5467"/>
      </w:tblGrid>
      <w:tr w:rsidR="00CA70BA" w14:paraId="6DF80D4F" w14:textId="77777777" w:rsidTr="00BA22C5">
        <w:trPr>
          <w:trHeight w:val="421"/>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6FDF8B83" w14:textId="77777777" w:rsidR="00CA70BA" w:rsidRPr="00B57F04" w:rsidRDefault="00CA70BA" w:rsidP="00B57F04">
            <w:pPr>
              <w:jc w:val="center"/>
              <w:rPr>
                <w:b/>
                <w:sz w:val="24"/>
                <w:szCs w:val="24"/>
              </w:rPr>
            </w:pPr>
            <w:r w:rsidRPr="00B57F04">
              <w:rPr>
                <w:b/>
                <w:sz w:val="24"/>
                <w:szCs w:val="24"/>
              </w:rPr>
              <w:t>VI. Sabiedrības līdzdalība un komunikācijas aktivitātes</w:t>
            </w:r>
          </w:p>
        </w:tc>
      </w:tr>
      <w:tr w:rsidR="00CA70BA" w14:paraId="7A30BF94" w14:textId="77777777" w:rsidTr="00BA22C5">
        <w:trPr>
          <w:trHeight w:val="572"/>
          <w:jc w:val="center"/>
        </w:trPr>
        <w:tc>
          <w:tcPr>
            <w:tcW w:w="587" w:type="dxa"/>
          </w:tcPr>
          <w:p w14:paraId="60237F1E" w14:textId="77777777" w:rsidR="00CA70BA" w:rsidRPr="00CA74E1" w:rsidRDefault="00CA70BA" w:rsidP="00BC2D68">
            <w:pPr>
              <w:ind w:left="241"/>
              <w:jc w:val="both"/>
              <w:rPr>
                <w:bCs/>
                <w:sz w:val="26"/>
                <w:szCs w:val="26"/>
              </w:rPr>
            </w:pPr>
            <w:r w:rsidRPr="00CA74E1">
              <w:rPr>
                <w:bCs/>
                <w:sz w:val="26"/>
                <w:szCs w:val="26"/>
              </w:rPr>
              <w:t>1.</w:t>
            </w:r>
          </w:p>
        </w:tc>
        <w:tc>
          <w:tcPr>
            <w:tcW w:w="4147" w:type="dxa"/>
          </w:tcPr>
          <w:p w14:paraId="4CD07FA2" w14:textId="77777777" w:rsidR="00CA70BA" w:rsidRPr="00335116" w:rsidRDefault="00CA70BA" w:rsidP="00335116">
            <w:pPr>
              <w:tabs>
                <w:tab w:val="left" w:pos="170"/>
              </w:tabs>
              <w:ind w:left="241" w:right="199"/>
              <w:jc w:val="both"/>
              <w:rPr>
                <w:sz w:val="24"/>
                <w:szCs w:val="24"/>
              </w:rPr>
            </w:pPr>
            <w:r w:rsidRPr="00335116">
              <w:rPr>
                <w:sz w:val="24"/>
                <w:szCs w:val="24"/>
              </w:rPr>
              <w:t>Plānotās sabiedrības līdzdalības un komunikācijas aktivitātes saistībā ar projektu</w:t>
            </w:r>
          </w:p>
        </w:tc>
        <w:tc>
          <w:tcPr>
            <w:tcW w:w="5467" w:type="dxa"/>
          </w:tcPr>
          <w:p w14:paraId="75BD4C9B" w14:textId="0F335810" w:rsidR="002C3ECA" w:rsidRPr="00BA22C5" w:rsidRDefault="00335116" w:rsidP="005C399A">
            <w:pPr>
              <w:shd w:val="clear" w:color="auto" w:fill="FFFFFF"/>
              <w:ind w:left="85" w:right="133" w:firstLine="85"/>
              <w:jc w:val="both"/>
              <w:rPr>
                <w:rFonts w:eastAsia="Times New Roman"/>
                <w:spacing w:val="-2"/>
                <w:sz w:val="26"/>
                <w:szCs w:val="26"/>
                <w:lang w:eastAsia="lv-LV"/>
              </w:rPr>
            </w:pPr>
            <w:bookmarkStart w:id="2" w:name="p61"/>
            <w:bookmarkEnd w:id="2"/>
            <w:r w:rsidRPr="00335116">
              <w:rPr>
                <w:spacing w:val="-2"/>
                <w:sz w:val="24"/>
                <w:szCs w:val="24"/>
              </w:rPr>
              <w:t xml:space="preserve">Sabiedrības līdzdalība MK noteikumu projekta izstrādē ir nodrošināta, iesaistot sabiedrību Pievienotās vērtības nodokļa likuma grozījumu sagatavošanā. Informācija par likumprojektu “Grozījumi Pievienotās vērtības nodokļa likumā” 2019.gada 21.jūnijā tika ievietota Finanšu ministrijas tīmekļvietnē sadaļā “Sabiedrības līdzdalība” – “Tiesību aktu projekti” – “Nodokļu politika”. Līdz ar to sabiedrības pārstāvji varēja līdzdarboties projekta izstrādē, rakstveidā sniedzot viedokļus par projektu (http://www.fm.gov.lv/lv/sabiedribas_lidzdaliba/tiesibu_aktu_projekti/nodoklu_politika#project522) un Ministru kabineta tīmekļvietnē </w:t>
            </w:r>
            <w:hyperlink r:id="rId6" w:history="1">
              <w:r w:rsidRPr="00335116">
                <w:rPr>
                  <w:color w:val="0000FF"/>
                  <w:spacing w:val="-2"/>
                  <w:sz w:val="24"/>
                  <w:szCs w:val="24"/>
                  <w:u w:val="single"/>
                </w:rPr>
                <w:t>https://www.mk.gov.lv/content/ministru-kabineta-diskusiju-dokumenti</w:t>
              </w:r>
            </w:hyperlink>
            <w:r w:rsidRPr="00335116">
              <w:rPr>
                <w:spacing w:val="-2"/>
                <w:sz w:val="24"/>
                <w:szCs w:val="24"/>
              </w:rPr>
              <w:t>. Informācija par likumprojektu tika sniegta Latvijas Darba devēju konfederācijai, Latvijas Nodokļu konsultantu asociācijai, Latvijas Tirdzniecības un rūpniecības kamerai, Latvijas nodokļu maksātāju tiesību asociācijai un Veselības Aprūpes darba devēju asociācijai. MK noteikumu projekt</w:t>
            </w:r>
            <w:r w:rsidR="005C399A">
              <w:rPr>
                <w:spacing w:val="-2"/>
                <w:sz w:val="24"/>
                <w:szCs w:val="24"/>
              </w:rPr>
              <w:t>s</w:t>
            </w:r>
            <w:r w:rsidRPr="00335116">
              <w:rPr>
                <w:spacing w:val="-2"/>
                <w:sz w:val="24"/>
                <w:szCs w:val="24"/>
              </w:rPr>
              <w:t xml:space="preserve"> 2019.gada </w:t>
            </w:r>
            <w:r w:rsidR="005C399A">
              <w:rPr>
                <w:spacing w:val="-2"/>
                <w:sz w:val="24"/>
                <w:szCs w:val="24"/>
              </w:rPr>
              <w:t>26.</w:t>
            </w:r>
            <w:r w:rsidRPr="00335116">
              <w:rPr>
                <w:spacing w:val="-2"/>
                <w:sz w:val="24"/>
                <w:szCs w:val="24"/>
              </w:rPr>
              <w:t>novembrī nosūtīt</w:t>
            </w:r>
            <w:r w:rsidR="005C399A">
              <w:rPr>
                <w:spacing w:val="-2"/>
                <w:sz w:val="24"/>
                <w:szCs w:val="24"/>
              </w:rPr>
              <w:t>s</w:t>
            </w:r>
            <w:r w:rsidRPr="00335116">
              <w:rPr>
                <w:spacing w:val="-2"/>
                <w:sz w:val="24"/>
                <w:szCs w:val="24"/>
              </w:rPr>
              <w:t xml:space="preserve"> informācijai Latvijas Darba devēju konfederācijai, Latvijas Nodokļu konsultantu asociācijai, Latvijas Tirdzniecības un rūpniecības kamerai, Latvijas nodokļu maksātāju tiesību asociācijai un Veselības Aprūpes darba devēju asociācijai.</w:t>
            </w:r>
          </w:p>
        </w:tc>
      </w:tr>
      <w:tr w:rsidR="00CA70BA" w14:paraId="67B36FD3" w14:textId="77777777" w:rsidTr="00BA22C5">
        <w:trPr>
          <w:trHeight w:val="339"/>
          <w:jc w:val="center"/>
        </w:trPr>
        <w:tc>
          <w:tcPr>
            <w:tcW w:w="587" w:type="dxa"/>
          </w:tcPr>
          <w:p w14:paraId="3B3298E9" w14:textId="77777777" w:rsidR="00CA70BA" w:rsidRPr="00CA74E1" w:rsidRDefault="00CA70BA" w:rsidP="00BC2D68">
            <w:pPr>
              <w:ind w:left="241"/>
              <w:jc w:val="both"/>
              <w:rPr>
                <w:bCs/>
                <w:sz w:val="26"/>
                <w:szCs w:val="26"/>
              </w:rPr>
            </w:pPr>
            <w:r w:rsidRPr="00CA74E1">
              <w:rPr>
                <w:bCs/>
                <w:sz w:val="26"/>
                <w:szCs w:val="26"/>
              </w:rPr>
              <w:lastRenderedPageBreak/>
              <w:t>2.</w:t>
            </w:r>
          </w:p>
        </w:tc>
        <w:tc>
          <w:tcPr>
            <w:tcW w:w="4147" w:type="dxa"/>
          </w:tcPr>
          <w:p w14:paraId="1F20FE22" w14:textId="77777777" w:rsidR="00CA70BA" w:rsidRPr="00335116" w:rsidRDefault="00CA70BA" w:rsidP="00BC2D68">
            <w:pPr>
              <w:ind w:left="241"/>
              <w:rPr>
                <w:sz w:val="24"/>
                <w:szCs w:val="24"/>
              </w:rPr>
            </w:pPr>
            <w:r w:rsidRPr="00335116">
              <w:rPr>
                <w:sz w:val="24"/>
                <w:szCs w:val="24"/>
              </w:rPr>
              <w:t>Sabiedrības līdzdalība projekta izstrādē</w:t>
            </w:r>
          </w:p>
        </w:tc>
        <w:tc>
          <w:tcPr>
            <w:tcW w:w="5467" w:type="dxa"/>
          </w:tcPr>
          <w:p w14:paraId="4FC22FDF" w14:textId="07FDEA46" w:rsidR="00CA70BA" w:rsidRPr="00335116" w:rsidRDefault="00335116" w:rsidP="002D18BC">
            <w:pPr>
              <w:spacing w:before="100" w:beforeAutospacing="1"/>
              <w:ind w:left="85" w:right="133"/>
              <w:jc w:val="both"/>
              <w:rPr>
                <w:sz w:val="24"/>
                <w:szCs w:val="24"/>
              </w:rPr>
            </w:pPr>
            <w:bookmarkStart w:id="3" w:name="p62"/>
            <w:bookmarkEnd w:id="3"/>
            <w:r w:rsidRPr="00335116">
              <w:rPr>
                <w:sz w:val="24"/>
              </w:rPr>
              <w:t>Ņemot vērā to, ka grozījumi MK noteikumos Nr.17 attiecībā uz atsevišķu PVN atbrīvojuma normu piemērošanu atbilstoši likum</w:t>
            </w:r>
            <w:r w:rsidR="005714A1">
              <w:rPr>
                <w:sz w:val="24"/>
              </w:rPr>
              <w:t>ā</w:t>
            </w:r>
            <w:r w:rsidRPr="00335116">
              <w:rPr>
                <w:sz w:val="24"/>
              </w:rPr>
              <w:t xml:space="preserve"> “Grozījumi Pievienotās vērtības nodokļa likumā” veiktajiem grozījumiem ir tehniska rakstura, sabiedrības atkārtota līdzdalība nav nepieciešama. Savukārt sabiedrības līdzdalība attiecībā uz regulējumu par nekustamā īpašuma </w:t>
            </w:r>
            <w:proofErr w:type="spellStart"/>
            <w:r w:rsidRPr="00335116">
              <w:rPr>
                <w:sz w:val="24"/>
              </w:rPr>
              <w:t>pārreģistrāciju</w:t>
            </w:r>
            <w:proofErr w:type="spellEnd"/>
            <w:r w:rsidRPr="00335116">
              <w:rPr>
                <w:sz w:val="24"/>
              </w:rPr>
              <w:t xml:space="preserve"> VID, </w:t>
            </w:r>
            <w:r w:rsidR="002D18BC">
              <w:rPr>
                <w:sz w:val="24"/>
              </w:rPr>
              <w:t xml:space="preserve">ir </w:t>
            </w:r>
            <w:r w:rsidRPr="00335116">
              <w:rPr>
                <w:sz w:val="24"/>
              </w:rPr>
              <w:t xml:space="preserve">nodrošināta, </w:t>
            </w:r>
            <w:r w:rsidR="002D18BC">
              <w:rPr>
                <w:sz w:val="24"/>
              </w:rPr>
              <w:t xml:space="preserve">š.g. 26.novembrī </w:t>
            </w:r>
            <w:r w:rsidRPr="00335116">
              <w:rPr>
                <w:sz w:val="24"/>
              </w:rPr>
              <w:t>nosūtot MK noteikumu projektu informācijai nevalstiskā sektora sadarbības partneriem.</w:t>
            </w:r>
          </w:p>
        </w:tc>
      </w:tr>
      <w:tr w:rsidR="00CA70BA" w14:paraId="1364F3C2" w14:textId="77777777" w:rsidTr="00BA22C5">
        <w:trPr>
          <w:trHeight w:val="476"/>
          <w:jc w:val="center"/>
        </w:trPr>
        <w:tc>
          <w:tcPr>
            <w:tcW w:w="587" w:type="dxa"/>
          </w:tcPr>
          <w:p w14:paraId="69D5EE7B" w14:textId="77777777" w:rsidR="00CA70BA" w:rsidRPr="00CA74E1" w:rsidRDefault="00CA70BA" w:rsidP="00BC2D68">
            <w:pPr>
              <w:ind w:left="241"/>
              <w:jc w:val="both"/>
              <w:rPr>
                <w:bCs/>
                <w:sz w:val="26"/>
                <w:szCs w:val="26"/>
              </w:rPr>
            </w:pPr>
            <w:r w:rsidRPr="00CA74E1">
              <w:rPr>
                <w:bCs/>
                <w:sz w:val="26"/>
                <w:szCs w:val="26"/>
              </w:rPr>
              <w:t>3.</w:t>
            </w:r>
          </w:p>
        </w:tc>
        <w:tc>
          <w:tcPr>
            <w:tcW w:w="4147" w:type="dxa"/>
          </w:tcPr>
          <w:p w14:paraId="4F2AD60D" w14:textId="77777777" w:rsidR="00CA70BA" w:rsidRPr="00335116" w:rsidRDefault="00CA70BA" w:rsidP="00BC2D68">
            <w:pPr>
              <w:ind w:left="241"/>
              <w:rPr>
                <w:sz w:val="24"/>
                <w:szCs w:val="24"/>
              </w:rPr>
            </w:pPr>
            <w:r w:rsidRPr="00335116">
              <w:rPr>
                <w:sz w:val="24"/>
                <w:szCs w:val="24"/>
              </w:rPr>
              <w:t>Sabiedrības līdzdalības rezultāti</w:t>
            </w:r>
          </w:p>
        </w:tc>
        <w:tc>
          <w:tcPr>
            <w:tcW w:w="5467" w:type="dxa"/>
          </w:tcPr>
          <w:p w14:paraId="396283BE" w14:textId="0612CD36" w:rsidR="00CA70BA" w:rsidRPr="00335116" w:rsidRDefault="00335116" w:rsidP="00335116">
            <w:pPr>
              <w:shd w:val="clear" w:color="auto" w:fill="FFFFFF"/>
              <w:tabs>
                <w:tab w:val="left" w:pos="878"/>
              </w:tabs>
              <w:ind w:left="85" w:right="133"/>
              <w:jc w:val="both"/>
              <w:rPr>
                <w:sz w:val="24"/>
                <w:szCs w:val="24"/>
              </w:rPr>
            </w:pPr>
            <w:r w:rsidRPr="00335116">
              <w:rPr>
                <w:sz w:val="24"/>
              </w:rPr>
              <w:t>No nevalstiskā sektora sadarbības partneriem iebildumi par normatīvo regulējumu netika izteikti.</w:t>
            </w:r>
          </w:p>
        </w:tc>
      </w:tr>
      <w:tr w:rsidR="00CA70BA" w14:paraId="5CDE33D4" w14:textId="77777777" w:rsidTr="00BA22C5">
        <w:trPr>
          <w:trHeight w:val="665"/>
          <w:jc w:val="center"/>
        </w:trPr>
        <w:tc>
          <w:tcPr>
            <w:tcW w:w="587" w:type="dxa"/>
          </w:tcPr>
          <w:p w14:paraId="22E803E3" w14:textId="77777777" w:rsidR="00CA70BA" w:rsidRPr="00CA74E1" w:rsidRDefault="00CA70BA" w:rsidP="00BC2D68">
            <w:pPr>
              <w:ind w:left="241"/>
              <w:jc w:val="both"/>
              <w:rPr>
                <w:bCs/>
                <w:sz w:val="26"/>
                <w:szCs w:val="26"/>
              </w:rPr>
            </w:pPr>
            <w:r w:rsidRPr="00CA74E1">
              <w:rPr>
                <w:bCs/>
                <w:sz w:val="26"/>
                <w:szCs w:val="26"/>
              </w:rPr>
              <w:t>4.</w:t>
            </w:r>
          </w:p>
        </w:tc>
        <w:tc>
          <w:tcPr>
            <w:tcW w:w="4147" w:type="dxa"/>
          </w:tcPr>
          <w:p w14:paraId="39E9EDF6" w14:textId="77777777" w:rsidR="00CA70BA" w:rsidRPr="00335116" w:rsidRDefault="00CA70BA" w:rsidP="00BC2D68">
            <w:pPr>
              <w:ind w:left="241"/>
              <w:rPr>
                <w:sz w:val="24"/>
                <w:szCs w:val="24"/>
              </w:rPr>
            </w:pPr>
            <w:r w:rsidRPr="00335116">
              <w:rPr>
                <w:sz w:val="24"/>
                <w:szCs w:val="24"/>
              </w:rPr>
              <w:t>Cita informācija</w:t>
            </w:r>
          </w:p>
        </w:tc>
        <w:tc>
          <w:tcPr>
            <w:tcW w:w="5467" w:type="dxa"/>
          </w:tcPr>
          <w:p w14:paraId="5E5ACFAE" w14:textId="57B09D26" w:rsidR="00CA70BA" w:rsidRPr="00335116" w:rsidRDefault="00335116" w:rsidP="00BA22C5">
            <w:pPr>
              <w:jc w:val="both"/>
              <w:rPr>
                <w:spacing w:val="-2"/>
                <w:sz w:val="24"/>
                <w:szCs w:val="24"/>
              </w:rPr>
            </w:pPr>
            <w:r>
              <w:rPr>
                <w:spacing w:val="-2"/>
                <w:sz w:val="24"/>
                <w:szCs w:val="24"/>
              </w:rPr>
              <w:t>Nav.</w:t>
            </w:r>
          </w:p>
        </w:tc>
      </w:tr>
      <w:tr w:rsidR="00CA70BA" w14:paraId="1CF7B963" w14:textId="77777777" w:rsidTr="00BA22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437"/>
          <w:tblCellSpacing w:w="0" w:type="dxa"/>
        </w:trPr>
        <w:tc>
          <w:tcPr>
            <w:tcW w:w="10201" w:type="dxa"/>
            <w:gridSpan w:val="3"/>
            <w:tcBorders>
              <w:top w:val="outset" w:sz="6" w:space="0" w:color="auto"/>
              <w:left w:val="outset" w:sz="6" w:space="0" w:color="auto"/>
              <w:bottom w:val="outset" w:sz="6" w:space="0" w:color="auto"/>
              <w:right w:val="outset" w:sz="6" w:space="0" w:color="auto"/>
            </w:tcBorders>
            <w:vAlign w:val="center"/>
            <w:hideMark/>
          </w:tcPr>
          <w:p w14:paraId="53774240" w14:textId="77777777" w:rsidR="00CA70BA" w:rsidRPr="00176A8E" w:rsidRDefault="00CA70BA" w:rsidP="00BC2D68">
            <w:pPr>
              <w:ind w:left="241"/>
              <w:jc w:val="center"/>
              <w:rPr>
                <w:rFonts w:eastAsia="Times New Roman"/>
                <w:b/>
                <w:bCs/>
                <w:sz w:val="24"/>
                <w:szCs w:val="24"/>
                <w:lang w:eastAsia="lv-LV"/>
              </w:rPr>
            </w:pPr>
          </w:p>
          <w:p w14:paraId="21358338" w14:textId="77777777" w:rsidR="00CA70BA" w:rsidRPr="00176A8E" w:rsidRDefault="00CA70BA" w:rsidP="00BC2D68">
            <w:pPr>
              <w:ind w:left="241"/>
              <w:jc w:val="center"/>
              <w:rPr>
                <w:rFonts w:eastAsia="Times New Roman"/>
                <w:sz w:val="24"/>
                <w:szCs w:val="24"/>
                <w:lang w:eastAsia="lv-LV"/>
              </w:rPr>
            </w:pPr>
            <w:r w:rsidRPr="00176A8E">
              <w:rPr>
                <w:rFonts w:eastAsia="Times New Roman"/>
                <w:b/>
                <w:bCs/>
                <w:sz w:val="24"/>
                <w:szCs w:val="24"/>
                <w:lang w:eastAsia="lv-LV"/>
              </w:rPr>
              <w:t>VII. Tiesību akta projekta izpildes nodrošināšana un tās ietekme uz institūcijām</w:t>
            </w:r>
          </w:p>
        </w:tc>
      </w:tr>
      <w:tr w:rsidR="00CA70BA" w14:paraId="16523FA9" w14:textId="77777777" w:rsidTr="00BA22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437"/>
          <w:tblCellSpacing w:w="0" w:type="dxa"/>
        </w:trPr>
        <w:tc>
          <w:tcPr>
            <w:tcW w:w="10201" w:type="dxa"/>
            <w:gridSpan w:val="3"/>
            <w:tcBorders>
              <w:top w:val="outset" w:sz="6" w:space="0" w:color="auto"/>
              <w:left w:val="outset" w:sz="6" w:space="0" w:color="auto"/>
              <w:bottom w:val="outset" w:sz="6" w:space="0" w:color="auto"/>
              <w:right w:val="outset" w:sz="6" w:space="0" w:color="auto"/>
            </w:tcBorders>
            <w:vAlign w:val="center"/>
          </w:tcPr>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7"/>
              <w:gridCol w:w="3396"/>
              <w:gridCol w:w="6223"/>
            </w:tblGrid>
            <w:tr w:rsidR="00CA70BA" w:rsidRPr="00176A8E" w14:paraId="07B7252D" w14:textId="77777777" w:rsidTr="000A25A0">
              <w:trPr>
                <w:trHeight w:val="444"/>
                <w:jc w:val="center"/>
              </w:trPr>
              <w:tc>
                <w:tcPr>
                  <w:tcW w:w="537" w:type="dxa"/>
                  <w:tcBorders>
                    <w:top w:val="single" w:sz="4" w:space="0" w:color="auto"/>
                    <w:left w:val="single" w:sz="4" w:space="0" w:color="auto"/>
                    <w:bottom w:val="single" w:sz="4" w:space="0" w:color="auto"/>
                    <w:right w:val="single" w:sz="4" w:space="0" w:color="auto"/>
                  </w:tcBorders>
                  <w:hideMark/>
                </w:tcPr>
                <w:p w14:paraId="668FCDB9" w14:textId="77777777" w:rsidR="00CA70BA" w:rsidRPr="00176A8E" w:rsidRDefault="00CA70BA" w:rsidP="00BC2D68">
                  <w:pPr>
                    <w:pStyle w:val="naisnod"/>
                    <w:spacing w:before="0" w:beforeAutospacing="0" w:after="0" w:afterAutospacing="0"/>
                    <w:ind w:left="241"/>
                    <w:jc w:val="both"/>
                  </w:pPr>
                  <w:r w:rsidRPr="00176A8E">
                    <w:t>1.</w:t>
                  </w:r>
                </w:p>
              </w:tc>
              <w:tc>
                <w:tcPr>
                  <w:tcW w:w="3396" w:type="dxa"/>
                  <w:tcBorders>
                    <w:top w:val="single" w:sz="4" w:space="0" w:color="auto"/>
                    <w:left w:val="single" w:sz="4" w:space="0" w:color="auto"/>
                    <w:bottom w:val="single" w:sz="4" w:space="0" w:color="auto"/>
                    <w:right w:val="single" w:sz="4" w:space="0" w:color="auto"/>
                  </w:tcBorders>
                  <w:hideMark/>
                </w:tcPr>
                <w:p w14:paraId="35D42C57" w14:textId="77777777" w:rsidR="00CA70BA" w:rsidRPr="00176A8E" w:rsidRDefault="00CA70BA" w:rsidP="00BC2D68">
                  <w:pPr>
                    <w:pStyle w:val="naisf"/>
                    <w:spacing w:before="0" w:beforeAutospacing="0" w:after="0" w:afterAutospacing="0"/>
                    <w:ind w:left="241"/>
                  </w:pPr>
                  <w:r w:rsidRPr="00176A8E">
                    <w:t>Projekta izpildē iesaistītās institūcijas</w:t>
                  </w:r>
                </w:p>
              </w:tc>
              <w:tc>
                <w:tcPr>
                  <w:tcW w:w="6223" w:type="dxa"/>
                  <w:tcBorders>
                    <w:top w:val="single" w:sz="4" w:space="0" w:color="auto"/>
                    <w:left w:val="single" w:sz="4" w:space="0" w:color="auto"/>
                    <w:bottom w:val="single" w:sz="4" w:space="0" w:color="auto"/>
                    <w:right w:val="single" w:sz="4" w:space="0" w:color="auto"/>
                  </w:tcBorders>
                  <w:hideMark/>
                </w:tcPr>
                <w:p w14:paraId="27B5E24B" w14:textId="669508E5" w:rsidR="00CA70BA" w:rsidRPr="00176A8E" w:rsidRDefault="00176A8E" w:rsidP="00176A8E">
                  <w:pPr>
                    <w:shd w:val="clear" w:color="auto" w:fill="FFFFFF"/>
                    <w:ind w:firstLine="116"/>
                    <w:jc w:val="both"/>
                    <w:rPr>
                      <w:sz w:val="24"/>
                      <w:szCs w:val="24"/>
                    </w:rPr>
                  </w:pPr>
                  <w:bookmarkStart w:id="4" w:name="p69"/>
                  <w:bookmarkStart w:id="5" w:name="p68"/>
                  <w:bookmarkStart w:id="6" w:name="p67"/>
                  <w:bookmarkStart w:id="7" w:name="p66"/>
                  <w:bookmarkEnd w:id="4"/>
                  <w:bookmarkEnd w:id="5"/>
                  <w:bookmarkEnd w:id="6"/>
                  <w:bookmarkEnd w:id="7"/>
                  <w:r>
                    <w:rPr>
                      <w:sz w:val="24"/>
                      <w:szCs w:val="24"/>
                    </w:rPr>
                    <w:t>VID</w:t>
                  </w:r>
                </w:p>
              </w:tc>
            </w:tr>
            <w:tr w:rsidR="00CA70BA" w:rsidRPr="00176A8E" w14:paraId="5B235AD6" w14:textId="77777777" w:rsidTr="000A25A0">
              <w:trPr>
                <w:trHeight w:val="482"/>
                <w:jc w:val="center"/>
              </w:trPr>
              <w:tc>
                <w:tcPr>
                  <w:tcW w:w="537" w:type="dxa"/>
                  <w:tcBorders>
                    <w:top w:val="single" w:sz="4" w:space="0" w:color="auto"/>
                    <w:left w:val="single" w:sz="4" w:space="0" w:color="auto"/>
                    <w:bottom w:val="single" w:sz="4" w:space="0" w:color="auto"/>
                    <w:right w:val="single" w:sz="4" w:space="0" w:color="auto"/>
                  </w:tcBorders>
                  <w:hideMark/>
                </w:tcPr>
                <w:p w14:paraId="1819DF3B" w14:textId="77777777" w:rsidR="00CA70BA" w:rsidRPr="00176A8E" w:rsidRDefault="00CA70BA" w:rsidP="00BC2D68">
                  <w:pPr>
                    <w:pStyle w:val="naisnod"/>
                    <w:spacing w:before="0" w:beforeAutospacing="0" w:after="0" w:afterAutospacing="0"/>
                    <w:ind w:left="241"/>
                    <w:jc w:val="both"/>
                  </w:pPr>
                  <w:r w:rsidRPr="00176A8E">
                    <w:t>2.</w:t>
                  </w:r>
                </w:p>
              </w:tc>
              <w:tc>
                <w:tcPr>
                  <w:tcW w:w="3396" w:type="dxa"/>
                  <w:tcBorders>
                    <w:top w:val="single" w:sz="4" w:space="0" w:color="auto"/>
                    <w:left w:val="single" w:sz="4" w:space="0" w:color="auto"/>
                    <w:bottom w:val="single" w:sz="4" w:space="0" w:color="auto"/>
                    <w:right w:val="single" w:sz="4" w:space="0" w:color="auto"/>
                  </w:tcBorders>
                  <w:hideMark/>
                </w:tcPr>
                <w:p w14:paraId="33959088" w14:textId="77777777" w:rsidR="00CA70BA" w:rsidRPr="00176A8E" w:rsidRDefault="00CA70BA" w:rsidP="00BC2D68">
                  <w:pPr>
                    <w:pStyle w:val="naisf"/>
                    <w:spacing w:before="0" w:beforeAutospacing="0" w:after="0" w:afterAutospacing="0"/>
                    <w:ind w:left="241"/>
                  </w:pPr>
                  <w:r w:rsidRPr="00176A8E">
                    <w:t>Projekta izpildes ietekme uz pārvaldes funkcijām un institucionālo struktūru.</w:t>
                  </w:r>
                </w:p>
                <w:p w14:paraId="0BD690CB" w14:textId="77777777" w:rsidR="00CA70BA" w:rsidRPr="00176A8E" w:rsidRDefault="00CA70BA" w:rsidP="00BC2D68">
                  <w:pPr>
                    <w:pStyle w:val="naisf"/>
                    <w:spacing w:before="0" w:beforeAutospacing="0" w:after="0" w:afterAutospacing="0"/>
                    <w:ind w:left="241"/>
                  </w:pPr>
                  <w:r w:rsidRPr="00176A8E">
                    <w:t>Jaunu institūciju izveide, esošu institūciju likvidācija vai reorga</w:t>
                  </w:r>
                  <w:r w:rsidRPr="00176A8E">
                    <w:softHyphen/>
                    <w:t>nizācija, to ietekme uz institūcijas cilvēkresursiem</w:t>
                  </w:r>
                </w:p>
              </w:tc>
              <w:tc>
                <w:tcPr>
                  <w:tcW w:w="6223" w:type="dxa"/>
                  <w:tcBorders>
                    <w:top w:val="single" w:sz="4" w:space="0" w:color="auto"/>
                    <w:left w:val="single" w:sz="4" w:space="0" w:color="auto"/>
                    <w:bottom w:val="single" w:sz="4" w:space="0" w:color="auto"/>
                    <w:right w:val="single" w:sz="4" w:space="0" w:color="auto"/>
                  </w:tcBorders>
                  <w:hideMark/>
                </w:tcPr>
                <w:p w14:paraId="05710040" w14:textId="7F9A5AE9" w:rsidR="00CA70BA" w:rsidRPr="00176A8E" w:rsidRDefault="00176A8E" w:rsidP="00176A8E">
                  <w:pPr>
                    <w:shd w:val="clear" w:color="auto" w:fill="FFFFFF"/>
                    <w:ind w:left="116" w:right="94"/>
                    <w:jc w:val="both"/>
                    <w:rPr>
                      <w:sz w:val="24"/>
                      <w:szCs w:val="24"/>
                    </w:rPr>
                  </w:pPr>
                  <w:r w:rsidRPr="00176A8E">
                    <w:rPr>
                      <w:sz w:val="24"/>
                      <w:szCs w:val="24"/>
                    </w:rPr>
                    <w:t xml:space="preserve">MK noteikumu projekts nemainīs pārvaldes funkcijas un institucionālo </w:t>
                  </w:r>
                  <w:r w:rsidRPr="00176A8E">
                    <w:rPr>
                      <w:rFonts w:eastAsia="Times New Roman"/>
                      <w:sz w:val="24"/>
                      <w:szCs w:val="24"/>
                      <w:lang w:eastAsia="lv-LV"/>
                    </w:rPr>
                    <w:t>struktūru</w:t>
                  </w:r>
                  <w:r w:rsidRPr="00176A8E">
                    <w:rPr>
                      <w:sz w:val="24"/>
                      <w:szCs w:val="24"/>
                    </w:rPr>
                    <w:t>, kā arī netiks veidotas jaunas institūcijas, savukārt esošās institūcijas netiks likvidētas vai reorganizētas. MK noteikumu projekts tiks īstenots esošo cilvēkresursu un finansējuma ietvaros.</w:t>
                  </w:r>
                </w:p>
              </w:tc>
            </w:tr>
            <w:tr w:rsidR="00CA70BA" w:rsidRPr="00176A8E" w14:paraId="708A06F5" w14:textId="77777777" w:rsidTr="000A25A0">
              <w:trPr>
                <w:trHeight w:val="257"/>
                <w:jc w:val="center"/>
              </w:trPr>
              <w:tc>
                <w:tcPr>
                  <w:tcW w:w="537" w:type="dxa"/>
                  <w:tcBorders>
                    <w:top w:val="single" w:sz="4" w:space="0" w:color="auto"/>
                    <w:left w:val="single" w:sz="4" w:space="0" w:color="auto"/>
                    <w:bottom w:val="single" w:sz="4" w:space="0" w:color="auto"/>
                    <w:right w:val="single" w:sz="4" w:space="0" w:color="auto"/>
                  </w:tcBorders>
                  <w:hideMark/>
                </w:tcPr>
                <w:p w14:paraId="7660976F" w14:textId="77777777" w:rsidR="00CA70BA" w:rsidRPr="00176A8E" w:rsidRDefault="00CA70BA" w:rsidP="00BC2D68">
                  <w:pPr>
                    <w:pStyle w:val="naisnod"/>
                    <w:spacing w:before="0" w:beforeAutospacing="0" w:after="0" w:afterAutospacing="0"/>
                    <w:ind w:left="241"/>
                    <w:jc w:val="both"/>
                  </w:pPr>
                  <w:r w:rsidRPr="00176A8E">
                    <w:t>3.</w:t>
                  </w:r>
                </w:p>
              </w:tc>
              <w:tc>
                <w:tcPr>
                  <w:tcW w:w="3396" w:type="dxa"/>
                  <w:tcBorders>
                    <w:top w:val="single" w:sz="4" w:space="0" w:color="auto"/>
                    <w:left w:val="single" w:sz="4" w:space="0" w:color="auto"/>
                    <w:bottom w:val="single" w:sz="4" w:space="0" w:color="auto"/>
                    <w:right w:val="single" w:sz="4" w:space="0" w:color="auto"/>
                  </w:tcBorders>
                  <w:hideMark/>
                </w:tcPr>
                <w:p w14:paraId="729E7967" w14:textId="77777777" w:rsidR="00CA70BA" w:rsidRPr="00176A8E" w:rsidRDefault="00CA70BA" w:rsidP="00BC2D68">
                  <w:pPr>
                    <w:pStyle w:val="naisf"/>
                    <w:spacing w:before="0" w:beforeAutospacing="0" w:after="0" w:afterAutospacing="0"/>
                    <w:ind w:left="241"/>
                  </w:pPr>
                  <w:r w:rsidRPr="00176A8E">
                    <w:t>Cita informācija</w:t>
                  </w:r>
                </w:p>
              </w:tc>
              <w:tc>
                <w:tcPr>
                  <w:tcW w:w="6223" w:type="dxa"/>
                  <w:tcBorders>
                    <w:top w:val="single" w:sz="4" w:space="0" w:color="auto"/>
                    <w:left w:val="single" w:sz="4" w:space="0" w:color="auto"/>
                    <w:bottom w:val="single" w:sz="4" w:space="0" w:color="auto"/>
                    <w:right w:val="single" w:sz="4" w:space="0" w:color="auto"/>
                  </w:tcBorders>
                  <w:hideMark/>
                </w:tcPr>
                <w:p w14:paraId="44A45CD4" w14:textId="77777777" w:rsidR="00CA70BA" w:rsidRPr="00176A8E" w:rsidRDefault="00CA70BA" w:rsidP="00176A8E">
                  <w:pPr>
                    <w:ind w:firstLine="116"/>
                    <w:jc w:val="both"/>
                    <w:rPr>
                      <w:sz w:val="24"/>
                      <w:szCs w:val="24"/>
                    </w:rPr>
                  </w:pPr>
                  <w:r w:rsidRPr="00176A8E">
                    <w:rPr>
                      <w:sz w:val="24"/>
                      <w:szCs w:val="24"/>
                    </w:rPr>
                    <w:t>Nav</w:t>
                  </w:r>
                </w:p>
              </w:tc>
            </w:tr>
          </w:tbl>
          <w:p w14:paraId="7A39CBF4" w14:textId="77777777" w:rsidR="00CA70BA" w:rsidRPr="00176A8E" w:rsidRDefault="00CA70BA" w:rsidP="00BC2D68">
            <w:pPr>
              <w:ind w:left="241"/>
              <w:jc w:val="center"/>
              <w:rPr>
                <w:rFonts w:eastAsia="Times New Roman"/>
                <w:b/>
                <w:bCs/>
                <w:sz w:val="24"/>
                <w:szCs w:val="24"/>
                <w:lang w:eastAsia="lv-LV"/>
              </w:rPr>
            </w:pPr>
          </w:p>
        </w:tc>
      </w:tr>
    </w:tbl>
    <w:p w14:paraId="6C60FF26" w14:textId="77777777" w:rsidR="00CA70BA" w:rsidRPr="00311AA0" w:rsidRDefault="00CA70BA" w:rsidP="00CA70BA">
      <w:pPr>
        <w:rPr>
          <w:iCs/>
          <w:sz w:val="27"/>
          <w:szCs w:val="27"/>
        </w:rPr>
      </w:pPr>
    </w:p>
    <w:p w14:paraId="29144910" w14:textId="77797E02" w:rsidR="003D4153" w:rsidRDefault="003D4153" w:rsidP="003D4153">
      <w:pPr>
        <w:pStyle w:val="BodyTextIndent"/>
        <w:tabs>
          <w:tab w:val="left" w:pos="6804"/>
        </w:tabs>
        <w:ind w:firstLine="0"/>
        <w:jc w:val="left"/>
        <w:rPr>
          <w:sz w:val="26"/>
          <w:szCs w:val="26"/>
          <w:lang w:eastAsia="lv-LV"/>
        </w:rPr>
      </w:pPr>
      <w:bookmarkStart w:id="8" w:name="_GoBack"/>
      <w:bookmarkEnd w:id="8"/>
    </w:p>
    <w:p w14:paraId="276EDFBB" w14:textId="4225DE9F" w:rsidR="00176A8E" w:rsidRPr="00CA74E1" w:rsidRDefault="00176A8E" w:rsidP="003D4153">
      <w:pPr>
        <w:pStyle w:val="BodyTextIndent"/>
        <w:tabs>
          <w:tab w:val="left" w:pos="6804"/>
        </w:tabs>
        <w:ind w:firstLine="0"/>
        <w:jc w:val="left"/>
        <w:rPr>
          <w:sz w:val="26"/>
          <w:szCs w:val="26"/>
          <w:lang w:eastAsia="lv-LV"/>
        </w:rPr>
      </w:pPr>
    </w:p>
    <w:p w14:paraId="0C355DC7" w14:textId="77777777" w:rsidR="008639F8" w:rsidRPr="008639F8" w:rsidRDefault="008639F8" w:rsidP="008639F8">
      <w:pPr>
        <w:widowControl w:val="0"/>
        <w:tabs>
          <w:tab w:val="left" w:pos="0"/>
        </w:tabs>
        <w:ind w:firstLine="567"/>
        <w:jc w:val="both"/>
        <w:rPr>
          <w:szCs w:val="28"/>
        </w:rPr>
      </w:pPr>
      <w:r w:rsidRPr="008639F8">
        <w:rPr>
          <w:szCs w:val="28"/>
        </w:rPr>
        <w:t xml:space="preserve">Finanšu ministra </w:t>
      </w:r>
      <w:proofErr w:type="spellStart"/>
      <w:r w:rsidRPr="008639F8">
        <w:rPr>
          <w:szCs w:val="28"/>
        </w:rPr>
        <w:t>p.i</w:t>
      </w:r>
      <w:proofErr w:type="spellEnd"/>
      <w:r w:rsidRPr="008639F8">
        <w:rPr>
          <w:szCs w:val="28"/>
        </w:rPr>
        <w:t xml:space="preserve">. </w:t>
      </w:r>
    </w:p>
    <w:p w14:paraId="765B63AC" w14:textId="595855C3" w:rsidR="008639F8" w:rsidRPr="008639F8" w:rsidRDefault="008639F8" w:rsidP="008639F8">
      <w:pPr>
        <w:widowControl w:val="0"/>
        <w:tabs>
          <w:tab w:val="left" w:pos="0"/>
        </w:tabs>
        <w:ind w:firstLine="567"/>
        <w:jc w:val="both"/>
        <w:rPr>
          <w:szCs w:val="28"/>
        </w:rPr>
      </w:pPr>
      <w:r>
        <w:rPr>
          <w:szCs w:val="28"/>
        </w:rPr>
        <w:t>Ministru prezidents</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8639F8">
        <w:rPr>
          <w:szCs w:val="28"/>
        </w:rPr>
        <w:t>A.K.</w:t>
      </w:r>
      <w:r>
        <w:rPr>
          <w:szCs w:val="28"/>
        </w:rPr>
        <w:t xml:space="preserve"> </w:t>
      </w:r>
      <w:r w:rsidRPr="008639F8">
        <w:rPr>
          <w:szCs w:val="28"/>
        </w:rPr>
        <w:t>Kariņš</w:t>
      </w:r>
    </w:p>
    <w:p w14:paraId="2B0BC027" w14:textId="77777777" w:rsidR="008639F8" w:rsidRPr="008639F8" w:rsidRDefault="008639F8" w:rsidP="008639F8">
      <w:pPr>
        <w:widowControl w:val="0"/>
        <w:tabs>
          <w:tab w:val="left" w:pos="6740"/>
        </w:tabs>
        <w:ind w:firstLine="567"/>
        <w:jc w:val="both"/>
        <w:rPr>
          <w:sz w:val="22"/>
        </w:rPr>
      </w:pPr>
    </w:p>
    <w:p w14:paraId="63E7B755" w14:textId="77777777" w:rsidR="003D4153" w:rsidRDefault="003D4153" w:rsidP="003D4153">
      <w:pPr>
        <w:tabs>
          <w:tab w:val="left" w:pos="6804"/>
        </w:tabs>
        <w:jc w:val="both"/>
        <w:rPr>
          <w:sz w:val="24"/>
          <w:szCs w:val="24"/>
        </w:rPr>
      </w:pPr>
    </w:p>
    <w:p w14:paraId="4B71164A" w14:textId="77777777" w:rsidR="003D4153" w:rsidRDefault="003D4153" w:rsidP="003D4153">
      <w:pPr>
        <w:tabs>
          <w:tab w:val="left" w:pos="6804"/>
        </w:tabs>
        <w:jc w:val="both"/>
        <w:rPr>
          <w:sz w:val="24"/>
          <w:szCs w:val="24"/>
        </w:rPr>
      </w:pPr>
    </w:p>
    <w:p w14:paraId="4C70E9A0" w14:textId="6656628E" w:rsidR="00987B55" w:rsidRDefault="00987B55" w:rsidP="003D4153">
      <w:pPr>
        <w:tabs>
          <w:tab w:val="left" w:pos="6804"/>
        </w:tabs>
        <w:jc w:val="both"/>
        <w:rPr>
          <w:sz w:val="24"/>
          <w:szCs w:val="24"/>
        </w:rPr>
      </w:pPr>
    </w:p>
    <w:p w14:paraId="1B0FDAF9" w14:textId="7C7DD72B" w:rsidR="00176A8E" w:rsidRDefault="00176A8E" w:rsidP="003D4153">
      <w:pPr>
        <w:tabs>
          <w:tab w:val="left" w:pos="6804"/>
        </w:tabs>
        <w:jc w:val="both"/>
        <w:rPr>
          <w:sz w:val="24"/>
          <w:szCs w:val="24"/>
        </w:rPr>
      </w:pPr>
    </w:p>
    <w:p w14:paraId="02B48F73" w14:textId="76A98A11" w:rsidR="00176A8E" w:rsidRDefault="00176A8E" w:rsidP="003D4153">
      <w:pPr>
        <w:tabs>
          <w:tab w:val="left" w:pos="6804"/>
        </w:tabs>
        <w:jc w:val="both"/>
        <w:rPr>
          <w:sz w:val="24"/>
          <w:szCs w:val="24"/>
        </w:rPr>
      </w:pPr>
    </w:p>
    <w:p w14:paraId="6122A622" w14:textId="77777777" w:rsidR="00176A8E" w:rsidRDefault="00176A8E" w:rsidP="003D4153">
      <w:pPr>
        <w:tabs>
          <w:tab w:val="left" w:pos="6804"/>
        </w:tabs>
        <w:jc w:val="both"/>
        <w:rPr>
          <w:sz w:val="24"/>
          <w:szCs w:val="24"/>
        </w:rPr>
      </w:pPr>
    </w:p>
    <w:p w14:paraId="6D2D9CF7" w14:textId="4D04CFBF" w:rsidR="00176A8E" w:rsidRDefault="00176A8E" w:rsidP="003D4153">
      <w:pPr>
        <w:tabs>
          <w:tab w:val="left" w:pos="6804"/>
        </w:tabs>
        <w:jc w:val="both"/>
        <w:rPr>
          <w:sz w:val="24"/>
          <w:szCs w:val="24"/>
        </w:rPr>
      </w:pPr>
    </w:p>
    <w:p w14:paraId="4CA2B751" w14:textId="6AFAACED" w:rsidR="00176A8E" w:rsidRDefault="00176A8E" w:rsidP="003D4153">
      <w:pPr>
        <w:tabs>
          <w:tab w:val="left" w:pos="6804"/>
        </w:tabs>
        <w:jc w:val="both"/>
        <w:rPr>
          <w:sz w:val="24"/>
          <w:szCs w:val="24"/>
        </w:rPr>
      </w:pPr>
    </w:p>
    <w:p w14:paraId="2DC8F0A4" w14:textId="77777777" w:rsidR="00176A8E" w:rsidRDefault="00176A8E" w:rsidP="003D4153">
      <w:pPr>
        <w:tabs>
          <w:tab w:val="left" w:pos="6804"/>
        </w:tabs>
        <w:jc w:val="both"/>
        <w:rPr>
          <w:sz w:val="24"/>
          <w:szCs w:val="24"/>
        </w:rPr>
      </w:pPr>
    </w:p>
    <w:p w14:paraId="443E9163" w14:textId="77777777" w:rsidR="00176A8E" w:rsidRPr="00176A8E" w:rsidRDefault="00176A8E" w:rsidP="00176A8E">
      <w:pPr>
        <w:rPr>
          <w:szCs w:val="20"/>
          <w:lang w:eastAsia="lv-LV"/>
        </w:rPr>
      </w:pPr>
      <w:r w:rsidRPr="00176A8E">
        <w:rPr>
          <w:sz w:val="20"/>
          <w:szCs w:val="20"/>
          <w:lang w:eastAsia="lv-LV"/>
        </w:rPr>
        <w:t>Leimane, 67095513</w:t>
      </w:r>
    </w:p>
    <w:p w14:paraId="2F5C5311" w14:textId="77777777" w:rsidR="00176A8E" w:rsidRPr="00176A8E" w:rsidRDefault="008639F8" w:rsidP="00176A8E">
      <w:pPr>
        <w:rPr>
          <w:sz w:val="20"/>
          <w:szCs w:val="20"/>
          <w:lang w:eastAsia="lv-LV"/>
        </w:rPr>
      </w:pPr>
      <w:hyperlink r:id="rId7" w:history="1">
        <w:r w:rsidR="00176A8E" w:rsidRPr="00176A8E">
          <w:rPr>
            <w:color w:val="0000FF"/>
            <w:sz w:val="20"/>
            <w:szCs w:val="20"/>
            <w:u w:val="single"/>
            <w:lang w:eastAsia="lv-LV"/>
          </w:rPr>
          <w:t>Dace.Leimane@fm.gov.lv</w:t>
        </w:r>
      </w:hyperlink>
    </w:p>
    <w:p w14:paraId="7BA54600" w14:textId="77777777" w:rsidR="00176A8E" w:rsidRDefault="00176A8E" w:rsidP="00176A8E">
      <w:pPr>
        <w:tabs>
          <w:tab w:val="left" w:pos="6804"/>
        </w:tabs>
        <w:jc w:val="both"/>
        <w:rPr>
          <w:sz w:val="24"/>
          <w:szCs w:val="24"/>
        </w:rPr>
      </w:pPr>
    </w:p>
    <w:sectPr w:rsidR="00176A8E" w:rsidSect="00605726">
      <w:headerReference w:type="default" r:id="rId8"/>
      <w:footerReference w:type="default" r:id="rId9"/>
      <w:footerReference w:type="first" r:id="rId10"/>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FD88F" w14:textId="77777777" w:rsidR="00F018A2" w:rsidRDefault="00F018A2" w:rsidP="00652A89">
      <w:r>
        <w:separator/>
      </w:r>
    </w:p>
  </w:endnote>
  <w:endnote w:type="continuationSeparator" w:id="0">
    <w:p w14:paraId="07E4D028" w14:textId="77777777" w:rsidR="00F018A2" w:rsidRDefault="00F018A2" w:rsidP="0065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07B8" w14:textId="69407B9D" w:rsidR="00D264A1" w:rsidRPr="00872484" w:rsidRDefault="005E7402" w:rsidP="001D7E00">
    <w:pPr>
      <w:ind w:right="-143"/>
      <w:jc w:val="both"/>
      <w:rPr>
        <w:sz w:val="20"/>
        <w:szCs w:val="20"/>
      </w:rPr>
    </w:pPr>
    <w:r>
      <w:rPr>
        <w:noProof/>
        <w:sz w:val="20"/>
        <w:szCs w:val="20"/>
      </w:rPr>
      <w:t>FMA</w:t>
    </w:r>
    <w:r w:rsidR="00E2238A">
      <w:rPr>
        <w:noProof/>
        <w:sz w:val="20"/>
        <w:szCs w:val="20"/>
      </w:rPr>
      <w:t>not_</w:t>
    </w:r>
    <w:r w:rsidR="003644DE">
      <w:rPr>
        <w:noProof/>
        <w:sz w:val="20"/>
        <w:szCs w:val="20"/>
      </w:rPr>
      <w:t>032</w:t>
    </w:r>
    <w:r>
      <w:rPr>
        <w:noProof/>
        <w:sz w:val="20"/>
        <w:szCs w:val="20"/>
      </w:rPr>
      <w:t>1</w:t>
    </w:r>
    <w:r w:rsidR="00652A89">
      <w:rPr>
        <w:noProof/>
        <w:sz w:val="20"/>
        <w:szCs w:val="20"/>
      </w:rPr>
      <w:t>19</w:t>
    </w:r>
    <w:r>
      <w:rPr>
        <w:noProof/>
        <w:sz w:val="20"/>
        <w:szCs w:val="20"/>
      </w:rPr>
      <w:t>_MK17</w:t>
    </w:r>
    <w:r w:rsidR="00E2238A">
      <w:rPr>
        <w:sz w:val="20"/>
        <w:szCs w:val="20"/>
      </w:rPr>
      <w:t xml:space="preserve"> </w:t>
    </w:r>
  </w:p>
  <w:p w14:paraId="7F0BF4AF" w14:textId="77777777" w:rsidR="00D264A1" w:rsidRPr="00C53B25" w:rsidRDefault="008639F8" w:rsidP="00433A6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ACCC" w14:textId="337207B1" w:rsidR="00D264A1" w:rsidRPr="00872484" w:rsidRDefault="005E7402" w:rsidP="007F0BFE">
    <w:pPr>
      <w:ind w:right="-143"/>
      <w:jc w:val="both"/>
      <w:rPr>
        <w:sz w:val="20"/>
        <w:szCs w:val="20"/>
      </w:rPr>
    </w:pPr>
    <w:r>
      <w:rPr>
        <w:noProof/>
        <w:sz w:val="20"/>
        <w:szCs w:val="20"/>
      </w:rPr>
      <w:t>FMA</w:t>
    </w:r>
    <w:r w:rsidR="00E2238A">
      <w:rPr>
        <w:noProof/>
        <w:sz w:val="20"/>
        <w:szCs w:val="20"/>
      </w:rPr>
      <w:t>not_</w:t>
    </w:r>
    <w:r w:rsidR="003A445F">
      <w:rPr>
        <w:noProof/>
        <w:sz w:val="20"/>
        <w:szCs w:val="20"/>
      </w:rPr>
      <w:t>03</w:t>
    </w:r>
    <w:r>
      <w:rPr>
        <w:noProof/>
        <w:sz w:val="20"/>
        <w:szCs w:val="20"/>
      </w:rPr>
      <w:t>1</w:t>
    </w:r>
    <w:r w:rsidR="003A445F">
      <w:rPr>
        <w:noProof/>
        <w:sz w:val="20"/>
        <w:szCs w:val="20"/>
      </w:rPr>
      <w:t>2</w:t>
    </w:r>
    <w:r w:rsidR="004C49AF">
      <w:rPr>
        <w:noProof/>
        <w:sz w:val="20"/>
        <w:szCs w:val="20"/>
      </w:rPr>
      <w:t>19</w:t>
    </w:r>
    <w:r>
      <w:rPr>
        <w:noProof/>
        <w:sz w:val="20"/>
        <w:szCs w:val="20"/>
      </w:rPr>
      <w:t>_MK17</w:t>
    </w:r>
    <w:r w:rsidR="00E2238A">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CB53" w14:textId="77777777" w:rsidR="00F018A2" w:rsidRDefault="00F018A2" w:rsidP="00652A89">
      <w:r>
        <w:separator/>
      </w:r>
    </w:p>
  </w:footnote>
  <w:footnote w:type="continuationSeparator" w:id="0">
    <w:p w14:paraId="4407C9F2" w14:textId="77777777" w:rsidR="00F018A2" w:rsidRDefault="00F018A2" w:rsidP="0065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BC36" w14:textId="1ADDA0A1" w:rsidR="00D264A1" w:rsidRPr="00AA2836" w:rsidRDefault="00E2238A">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8639F8">
      <w:rPr>
        <w:noProof/>
        <w:sz w:val="24"/>
        <w:szCs w:val="20"/>
      </w:rPr>
      <w:t>6</w:t>
    </w:r>
    <w:r w:rsidRPr="00AA2836">
      <w:rPr>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53"/>
    <w:rsid w:val="0002125B"/>
    <w:rsid w:val="00027BCB"/>
    <w:rsid w:val="00034FDF"/>
    <w:rsid w:val="000A25A0"/>
    <w:rsid w:val="000A5CC4"/>
    <w:rsid w:val="000A5F1D"/>
    <w:rsid w:val="000B157C"/>
    <w:rsid w:val="000C0C40"/>
    <w:rsid w:val="000C79ED"/>
    <w:rsid w:val="000D4FA4"/>
    <w:rsid w:val="000E00EF"/>
    <w:rsid w:val="000F2E1C"/>
    <w:rsid w:val="00107A74"/>
    <w:rsid w:val="00112EB3"/>
    <w:rsid w:val="00113803"/>
    <w:rsid w:val="001221C5"/>
    <w:rsid w:val="00157FD2"/>
    <w:rsid w:val="00176A8E"/>
    <w:rsid w:val="001C2EB1"/>
    <w:rsid w:val="001C32EA"/>
    <w:rsid w:val="001C67F8"/>
    <w:rsid w:val="001D63CF"/>
    <w:rsid w:val="001F7D5B"/>
    <w:rsid w:val="00214FE6"/>
    <w:rsid w:val="00217643"/>
    <w:rsid w:val="00227E1D"/>
    <w:rsid w:val="002533E8"/>
    <w:rsid w:val="002B72A3"/>
    <w:rsid w:val="002C3ECA"/>
    <w:rsid w:val="002C59F7"/>
    <w:rsid w:val="002D18BC"/>
    <w:rsid w:val="002D59EF"/>
    <w:rsid w:val="002D60FC"/>
    <w:rsid w:val="002F446A"/>
    <w:rsid w:val="00300CB2"/>
    <w:rsid w:val="0030356A"/>
    <w:rsid w:val="00312665"/>
    <w:rsid w:val="003135BA"/>
    <w:rsid w:val="0031431C"/>
    <w:rsid w:val="003170EE"/>
    <w:rsid w:val="00317573"/>
    <w:rsid w:val="00332129"/>
    <w:rsid w:val="00335116"/>
    <w:rsid w:val="003644DE"/>
    <w:rsid w:val="0036733A"/>
    <w:rsid w:val="003A26B5"/>
    <w:rsid w:val="003A445F"/>
    <w:rsid w:val="003D4153"/>
    <w:rsid w:val="003D4C64"/>
    <w:rsid w:val="003E05D5"/>
    <w:rsid w:val="003F52EB"/>
    <w:rsid w:val="00404D44"/>
    <w:rsid w:val="00436BE3"/>
    <w:rsid w:val="0043700C"/>
    <w:rsid w:val="00441EE3"/>
    <w:rsid w:val="00450692"/>
    <w:rsid w:val="00460848"/>
    <w:rsid w:val="004658C6"/>
    <w:rsid w:val="00493582"/>
    <w:rsid w:val="004A4D96"/>
    <w:rsid w:val="004C49AF"/>
    <w:rsid w:val="004D69C8"/>
    <w:rsid w:val="00503ED7"/>
    <w:rsid w:val="0053184C"/>
    <w:rsid w:val="00532788"/>
    <w:rsid w:val="0055227C"/>
    <w:rsid w:val="00567616"/>
    <w:rsid w:val="005714A1"/>
    <w:rsid w:val="00574210"/>
    <w:rsid w:val="00587DFB"/>
    <w:rsid w:val="005A0167"/>
    <w:rsid w:val="005C399A"/>
    <w:rsid w:val="005D452B"/>
    <w:rsid w:val="005E027D"/>
    <w:rsid w:val="005E2CE1"/>
    <w:rsid w:val="005E7280"/>
    <w:rsid w:val="005E7402"/>
    <w:rsid w:val="00612206"/>
    <w:rsid w:val="006159A2"/>
    <w:rsid w:val="00616C38"/>
    <w:rsid w:val="00625A65"/>
    <w:rsid w:val="00632487"/>
    <w:rsid w:val="00633745"/>
    <w:rsid w:val="00652A89"/>
    <w:rsid w:val="006622A5"/>
    <w:rsid w:val="006D0F6E"/>
    <w:rsid w:val="006D22E2"/>
    <w:rsid w:val="006D3E0E"/>
    <w:rsid w:val="006F1D7F"/>
    <w:rsid w:val="006F1FC2"/>
    <w:rsid w:val="00711CFD"/>
    <w:rsid w:val="00712569"/>
    <w:rsid w:val="007223FD"/>
    <w:rsid w:val="00731BF0"/>
    <w:rsid w:val="00744D9D"/>
    <w:rsid w:val="00757E23"/>
    <w:rsid w:val="00787F5D"/>
    <w:rsid w:val="00791332"/>
    <w:rsid w:val="00793241"/>
    <w:rsid w:val="008120E5"/>
    <w:rsid w:val="00835414"/>
    <w:rsid w:val="0084615C"/>
    <w:rsid w:val="008639F8"/>
    <w:rsid w:val="00866A33"/>
    <w:rsid w:val="008815B4"/>
    <w:rsid w:val="008844C3"/>
    <w:rsid w:val="0088467C"/>
    <w:rsid w:val="008B03C9"/>
    <w:rsid w:val="008B47CD"/>
    <w:rsid w:val="008C7009"/>
    <w:rsid w:val="008D00B5"/>
    <w:rsid w:val="008D796F"/>
    <w:rsid w:val="008E03A5"/>
    <w:rsid w:val="0090289E"/>
    <w:rsid w:val="009309E2"/>
    <w:rsid w:val="00957AE1"/>
    <w:rsid w:val="00980C0A"/>
    <w:rsid w:val="00984633"/>
    <w:rsid w:val="00987B55"/>
    <w:rsid w:val="00993971"/>
    <w:rsid w:val="009C7E72"/>
    <w:rsid w:val="009D0E59"/>
    <w:rsid w:val="009E0EA6"/>
    <w:rsid w:val="00A033E3"/>
    <w:rsid w:val="00A2156F"/>
    <w:rsid w:val="00A43B4E"/>
    <w:rsid w:val="00A55D71"/>
    <w:rsid w:val="00A61382"/>
    <w:rsid w:val="00A7511B"/>
    <w:rsid w:val="00A949AE"/>
    <w:rsid w:val="00A95387"/>
    <w:rsid w:val="00AD43EC"/>
    <w:rsid w:val="00AD625F"/>
    <w:rsid w:val="00B268C3"/>
    <w:rsid w:val="00B318C7"/>
    <w:rsid w:val="00B35651"/>
    <w:rsid w:val="00B455DE"/>
    <w:rsid w:val="00B47B96"/>
    <w:rsid w:val="00B556B2"/>
    <w:rsid w:val="00B57F04"/>
    <w:rsid w:val="00B61B76"/>
    <w:rsid w:val="00B61BC2"/>
    <w:rsid w:val="00B6524F"/>
    <w:rsid w:val="00B66939"/>
    <w:rsid w:val="00B71791"/>
    <w:rsid w:val="00B81B81"/>
    <w:rsid w:val="00BA22C5"/>
    <w:rsid w:val="00BB1B70"/>
    <w:rsid w:val="00BC65F0"/>
    <w:rsid w:val="00C05F8F"/>
    <w:rsid w:val="00C15856"/>
    <w:rsid w:val="00C429D8"/>
    <w:rsid w:val="00C43B60"/>
    <w:rsid w:val="00C466EC"/>
    <w:rsid w:val="00C67416"/>
    <w:rsid w:val="00C708BB"/>
    <w:rsid w:val="00C90D6D"/>
    <w:rsid w:val="00C9541C"/>
    <w:rsid w:val="00C976E7"/>
    <w:rsid w:val="00CA70BA"/>
    <w:rsid w:val="00CB3C35"/>
    <w:rsid w:val="00CB56F1"/>
    <w:rsid w:val="00CD53F0"/>
    <w:rsid w:val="00D02D36"/>
    <w:rsid w:val="00D319DB"/>
    <w:rsid w:val="00D36615"/>
    <w:rsid w:val="00D37CAB"/>
    <w:rsid w:val="00D409E5"/>
    <w:rsid w:val="00D57BC0"/>
    <w:rsid w:val="00D77A9F"/>
    <w:rsid w:val="00D9616F"/>
    <w:rsid w:val="00DA3D72"/>
    <w:rsid w:val="00DC6C35"/>
    <w:rsid w:val="00E0718D"/>
    <w:rsid w:val="00E0796C"/>
    <w:rsid w:val="00E15046"/>
    <w:rsid w:val="00E2238A"/>
    <w:rsid w:val="00E22BD4"/>
    <w:rsid w:val="00E24093"/>
    <w:rsid w:val="00E24E6F"/>
    <w:rsid w:val="00E3157D"/>
    <w:rsid w:val="00E31F50"/>
    <w:rsid w:val="00E35C4E"/>
    <w:rsid w:val="00E44028"/>
    <w:rsid w:val="00E53029"/>
    <w:rsid w:val="00E67C6D"/>
    <w:rsid w:val="00E77B5A"/>
    <w:rsid w:val="00ED614C"/>
    <w:rsid w:val="00EF0768"/>
    <w:rsid w:val="00F018A2"/>
    <w:rsid w:val="00F1453B"/>
    <w:rsid w:val="00F17E56"/>
    <w:rsid w:val="00F24A13"/>
    <w:rsid w:val="00F51B83"/>
    <w:rsid w:val="00F53CB0"/>
    <w:rsid w:val="00F65AC7"/>
    <w:rsid w:val="00F71647"/>
    <w:rsid w:val="00F81D7A"/>
    <w:rsid w:val="00F91858"/>
    <w:rsid w:val="00F961C2"/>
    <w:rsid w:val="00FC1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BEF2"/>
  <w15:chartTrackingRefBased/>
  <w15:docId w15:val="{288BD1DE-E1D1-42D3-928B-7E433D2F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5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3D4153"/>
    <w:pPr>
      <w:spacing w:before="100" w:beforeAutospacing="1" w:after="100" w:afterAutospacing="1"/>
    </w:pPr>
    <w:rPr>
      <w:rFonts w:eastAsia="Times New Roman"/>
      <w:sz w:val="24"/>
      <w:szCs w:val="24"/>
      <w:lang w:eastAsia="lv-LV"/>
    </w:rPr>
  </w:style>
  <w:style w:type="paragraph" w:customStyle="1" w:styleId="naisf">
    <w:name w:val="naisf"/>
    <w:basedOn w:val="Normal"/>
    <w:rsid w:val="003D4153"/>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3D4153"/>
    <w:pPr>
      <w:spacing w:after="200" w:line="276" w:lineRule="auto"/>
      <w:ind w:left="720"/>
      <w:contextualSpacing/>
    </w:pPr>
  </w:style>
  <w:style w:type="paragraph" w:styleId="CommentText">
    <w:name w:val="annotation text"/>
    <w:basedOn w:val="Normal"/>
    <w:link w:val="CommentTextChar"/>
    <w:uiPriority w:val="99"/>
    <w:unhideWhenUsed/>
    <w:rsid w:val="003D4153"/>
    <w:rPr>
      <w:rFonts w:ascii="Calibri" w:hAnsi="Calibri"/>
      <w:sz w:val="20"/>
      <w:szCs w:val="20"/>
    </w:rPr>
  </w:style>
  <w:style w:type="character" w:customStyle="1" w:styleId="CommentTextChar">
    <w:name w:val="Comment Text Char"/>
    <w:basedOn w:val="DefaultParagraphFont"/>
    <w:link w:val="CommentText"/>
    <w:uiPriority w:val="99"/>
    <w:rsid w:val="003D4153"/>
    <w:rPr>
      <w:rFonts w:ascii="Calibri" w:eastAsia="Calibri" w:hAnsi="Calibri" w:cs="Times New Roman"/>
      <w:sz w:val="20"/>
      <w:szCs w:val="20"/>
    </w:rPr>
  </w:style>
  <w:style w:type="paragraph" w:styleId="BodyTextIndent">
    <w:name w:val="Body Text Indent"/>
    <w:basedOn w:val="Normal"/>
    <w:link w:val="BodyTextIndentChar"/>
    <w:uiPriority w:val="99"/>
    <w:rsid w:val="003D4153"/>
    <w:pPr>
      <w:ind w:firstLine="700"/>
      <w:jc w:val="both"/>
    </w:pPr>
    <w:rPr>
      <w:rFonts w:eastAsia="Times New Roman"/>
      <w:sz w:val="20"/>
      <w:szCs w:val="24"/>
    </w:rPr>
  </w:style>
  <w:style w:type="character" w:customStyle="1" w:styleId="BodyTextIndentChar">
    <w:name w:val="Body Text Indent Char"/>
    <w:basedOn w:val="DefaultParagraphFont"/>
    <w:link w:val="BodyTextIndent"/>
    <w:uiPriority w:val="99"/>
    <w:rsid w:val="003D415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D4153"/>
    <w:pPr>
      <w:tabs>
        <w:tab w:val="center" w:pos="4153"/>
        <w:tab w:val="right" w:pos="8306"/>
      </w:tabs>
    </w:pPr>
  </w:style>
  <w:style w:type="character" w:customStyle="1" w:styleId="HeaderChar">
    <w:name w:val="Header Char"/>
    <w:basedOn w:val="DefaultParagraphFont"/>
    <w:link w:val="Header"/>
    <w:uiPriority w:val="99"/>
    <w:rsid w:val="003D4153"/>
    <w:rPr>
      <w:rFonts w:ascii="Times New Roman" w:eastAsia="Calibri" w:hAnsi="Times New Roman" w:cs="Times New Roman"/>
      <w:sz w:val="28"/>
    </w:rPr>
  </w:style>
  <w:style w:type="paragraph" w:styleId="Footer">
    <w:name w:val="footer"/>
    <w:basedOn w:val="Normal"/>
    <w:link w:val="FooterChar"/>
    <w:uiPriority w:val="99"/>
    <w:unhideWhenUsed/>
    <w:rsid w:val="003D4153"/>
    <w:pPr>
      <w:tabs>
        <w:tab w:val="center" w:pos="4153"/>
        <w:tab w:val="right" w:pos="8306"/>
      </w:tabs>
    </w:pPr>
  </w:style>
  <w:style w:type="character" w:customStyle="1" w:styleId="FooterChar">
    <w:name w:val="Footer Char"/>
    <w:basedOn w:val="DefaultParagraphFont"/>
    <w:link w:val="Footer"/>
    <w:uiPriority w:val="99"/>
    <w:rsid w:val="003D4153"/>
    <w:rPr>
      <w:rFonts w:ascii="Times New Roman" w:eastAsia="Calibri" w:hAnsi="Times New Roman" w:cs="Times New Roman"/>
      <w:sz w:val="28"/>
    </w:rPr>
  </w:style>
  <w:style w:type="paragraph" w:styleId="NormalWeb">
    <w:name w:val="Normal (Web)"/>
    <w:basedOn w:val="Normal"/>
    <w:uiPriority w:val="99"/>
    <w:rsid w:val="003D4153"/>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4C4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AF"/>
    <w:rPr>
      <w:rFonts w:ascii="Segoe UI" w:eastAsia="Calibri" w:hAnsi="Segoe UI" w:cs="Segoe UI"/>
      <w:sz w:val="18"/>
      <w:szCs w:val="18"/>
    </w:rPr>
  </w:style>
  <w:style w:type="paragraph" w:customStyle="1" w:styleId="liknoteik1">
    <w:name w:val="lik_noteik1"/>
    <w:basedOn w:val="Normal"/>
    <w:rsid w:val="008D00B5"/>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8D00B5"/>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Default">
    <w:name w:val="Default"/>
    <w:rsid w:val="006D3E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651"/>
    <w:rPr>
      <w:color w:val="0000FF"/>
      <w:u w:val="single"/>
    </w:rPr>
  </w:style>
  <w:style w:type="paragraph" w:customStyle="1" w:styleId="naislab">
    <w:name w:val="naislab"/>
    <w:basedOn w:val="Normal"/>
    <w:rsid w:val="00CA70BA"/>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CA70BA"/>
    <w:rPr>
      <w:rFonts w:ascii="Calibri" w:hAnsi="Calibri" w:cs="Calibri"/>
      <w:sz w:val="22"/>
      <w:lang w:eastAsia="lv-LV"/>
    </w:rPr>
  </w:style>
  <w:style w:type="character" w:customStyle="1" w:styleId="PlainTextChar">
    <w:name w:val="Plain Text Char"/>
    <w:basedOn w:val="DefaultParagraphFont"/>
    <w:link w:val="PlainText"/>
    <w:uiPriority w:val="99"/>
    <w:rsid w:val="00CA70BA"/>
    <w:rPr>
      <w:rFonts w:ascii="Calibri" w:eastAsia="Calibri" w:hAnsi="Calibri" w:cs="Calibri"/>
      <w:lang w:eastAsia="lv-LV"/>
    </w:rPr>
  </w:style>
  <w:style w:type="character" w:styleId="CommentReference">
    <w:name w:val="annotation reference"/>
    <w:basedOn w:val="DefaultParagraphFont"/>
    <w:uiPriority w:val="99"/>
    <w:semiHidden/>
    <w:unhideWhenUsed/>
    <w:rsid w:val="00BB1B70"/>
    <w:rPr>
      <w:sz w:val="16"/>
      <w:szCs w:val="16"/>
    </w:rPr>
  </w:style>
  <w:style w:type="paragraph" w:styleId="CommentSubject">
    <w:name w:val="annotation subject"/>
    <w:basedOn w:val="CommentText"/>
    <w:next w:val="CommentText"/>
    <w:link w:val="CommentSubjectChar"/>
    <w:uiPriority w:val="99"/>
    <w:semiHidden/>
    <w:unhideWhenUsed/>
    <w:rsid w:val="00BB1B70"/>
    <w:rPr>
      <w:rFonts w:ascii="Times New Roman" w:hAnsi="Times New Roman"/>
      <w:b/>
      <w:bCs/>
    </w:rPr>
  </w:style>
  <w:style w:type="character" w:customStyle="1" w:styleId="CommentSubjectChar">
    <w:name w:val="Comment Subject Char"/>
    <w:basedOn w:val="CommentTextChar"/>
    <w:link w:val="CommentSubject"/>
    <w:uiPriority w:val="99"/>
    <w:semiHidden/>
    <w:rsid w:val="00BB1B70"/>
    <w:rPr>
      <w:rFonts w:ascii="Times New Roman" w:eastAsia="Calibri" w:hAnsi="Times New Roman" w:cs="Times New Roman"/>
      <w:b/>
      <w:bCs/>
      <w:sz w:val="20"/>
      <w:szCs w:val="20"/>
    </w:rPr>
  </w:style>
  <w:style w:type="paragraph" w:styleId="Revision">
    <w:name w:val="Revision"/>
    <w:hidden/>
    <w:uiPriority w:val="99"/>
    <w:semiHidden/>
    <w:rsid w:val="0043700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8426">
      <w:bodyDiv w:val="1"/>
      <w:marLeft w:val="0"/>
      <w:marRight w:val="0"/>
      <w:marTop w:val="0"/>
      <w:marBottom w:val="0"/>
      <w:divBdr>
        <w:top w:val="none" w:sz="0" w:space="0" w:color="auto"/>
        <w:left w:val="none" w:sz="0" w:space="0" w:color="auto"/>
        <w:bottom w:val="none" w:sz="0" w:space="0" w:color="auto"/>
        <w:right w:val="none" w:sz="0" w:space="0" w:color="auto"/>
      </w:divBdr>
      <w:divsChild>
        <w:div w:id="605817247">
          <w:marLeft w:val="0"/>
          <w:marRight w:val="0"/>
          <w:marTop w:val="0"/>
          <w:marBottom w:val="0"/>
          <w:divBdr>
            <w:top w:val="none" w:sz="0" w:space="0" w:color="auto"/>
            <w:left w:val="none" w:sz="0" w:space="0" w:color="auto"/>
            <w:bottom w:val="none" w:sz="0" w:space="0" w:color="auto"/>
            <w:right w:val="none" w:sz="0" w:space="0" w:color="auto"/>
          </w:divBdr>
          <w:divsChild>
            <w:div w:id="527255605">
              <w:marLeft w:val="0"/>
              <w:marRight w:val="0"/>
              <w:marTop w:val="0"/>
              <w:marBottom w:val="0"/>
              <w:divBdr>
                <w:top w:val="none" w:sz="0" w:space="0" w:color="auto"/>
                <w:left w:val="none" w:sz="0" w:space="0" w:color="auto"/>
                <w:bottom w:val="none" w:sz="0" w:space="0" w:color="auto"/>
                <w:right w:val="none" w:sz="0" w:space="0" w:color="auto"/>
              </w:divBdr>
              <w:divsChild>
                <w:div w:id="1861158426">
                  <w:marLeft w:val="0"/>
                  <w:marRight w:val="0"/>
                  <w:marTop w:val="0"/>
                  <w:marBottom w:val="0"/>
                  <w:divBdr>
                    <w:top w:val="none" w:sz="0" w:space="0" w:color="auto"/>
                    <w:left w:val="none" w:sz="0" w:space="0" w:color="auto"/>
                    <w:bottom w:val="none" w:sz="0" w:space="0" w:color="auto"/>
                    <w:right w:val="none" w:sz="0" w:space="0" w:color="auto"/>
                  </w:divBdr>
                  <w:divsChild>
                    <w:div w:id="1918978887">
                      <w:marLeft w:val="0"/>
                      <w:marRight w:val="0"/>
                      <w:marTop w:val="0"/>
                      <w:marBottom w:val="0"/>
                      <w:divBdr>
                        <w:top w:val="none" w:sz="0" w:space="0" w:color="auto"/>
                        <w:left w:val="none" w:sz="0" w:space="0" w:color="auto"/>
                        <w:bottom w:val="none" w:sz="0" w:space="0" w:color="auto"/>
                        <w:right w:val="none" w:sz="0" w:space="0" w:color="auto"/>
                      </w:divBdr>
                      <w:divsChild>
                        <w:div w:id="1457286880">
                          <w:marLeft w:val="0"/>
                          <w:marRight w:val="0"/>
                          <w:marTop w:val="0"/>
                          <w:marBottom w:val="0"/>
                          <w:divBdr>
                            <w:top w:val="none" w:sz="0" w:space="0" w:color="auto"/>
                            <w:left w:val="none" w:sz="0" w:space="0" w:color="auto"/>
                            <w:bottom w:val="none" w:sz="0" w:space="0" w:color="auto"/>
                            <w:right w:val="none" w:sz="0" w:space="0" w:color="auto"/>
                          </w:divBdr>
                          <w:divsChild>
                            <w:div w:id="1560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2882">
      <w:bodyDiv w:val="1"/>
      <w:marLeft w:val="0"/>
      <w:marRight w:val="0"/>
      <w:marTop w:val="0"/>
      <w:marBottom w:val="0"/>
      <w:divBdr>
        <w:top w:val="none" w:sz="0" w:space="0" w:color="auto"/>
        <w:left w:val="none" w:sz="0" w:space="0" w:color="auto"/>
        <w:bottom w:val="none" w:sz="0" w:space="0" w:color="auto"/>
        <w:right w:val="none" w:sz="0" w:space="0" w:color="auto"/>
      </w:divBdr>
    </w:div>
    <w:div w:id="1304772769">
      <w:bodyDiv w:val="1"/>
      <w:marLeft w:val="0"/>
      <w:marRight w:val="0"/>
      <w:marTop w:val="0"/>
      <w:marBottom w:val="0"/>
      <w:divBdr>
        <w:top w:val="none" w:sz="0" w:space="0" w:color="auto"/>
        <w:left w:val="none" w:sz="0" w:space="0" w:color="auto"/>
        <w:bottom w:val="none" w:sz="0" w:space="0" w:color="auto"/>
        <w:right w:val="none" w:sz="0" w:space="0" w:color="auto"/>
      </w:divBdr>
    </w:div>
    <w:div w:id="1514031441">
      <w:bodyDiv w:val="1"/>
      <w:marLeft w:val="0"/>
      <w:marRight w:val="0"/>
      <w:marTop w:val="0"/>
      <w:marBottom w:val="0"/>
      <w:divBdr>
        <w:top w:val="none" w:sz="0" w:space="0" w:color="auto"/>
        <w:left w:val="none" w:sz="0" w:space="0" w:color="auto"/>
        <w:bottom w:val="none" w:sz="0" w:space="0" w:color="auto"/>
        <w:right w:val="none" w:sz="0" w:space="0" w:color="auto"/>
      </w:divBdr>
    </w:div>
    <w:div w:id="1691686501">
      <w:bodyDiv w:val="1"/>
      <w:marLeft w:val="0"/>
      <w:marRight w:val="0"/>
      <w:marTop w:val="0"/>
      <w:marBottom w:val="0"/>
      <w:divBdr>
        <w:top w:val="none" w:sz="0" w:space="0" w:color="auto"/>
        <w:left w:val="none" w:sz="0" w:space="0" w:color="auto"/>
        <w:bottom w:val="none" w:sz="0" w:space="0" w:color="auto"/>
        <w:right w:val="none" w:sz="0" w:space="0" w:color="auto"/>
      </w:divBdr>
    </w:div>
    <w:div w:id="1738747971">
      <w:bodyDiv w:val="1"/>
      <w:marLeft w:val="0"/>
      <w:marRight w:val="0"/>
      <w:marTop w:val="0"/>
      <w:marBottom w:val="0"/>
      <w:divBdr>
        <w:top w:val="none" w:sz="0" w:space="0" w:color="auto"/>
        <w:left w:val="none" w:sz="0" w:space="0" w:color="auto"/>
        <w:bottom w:val="none" w:sz="0" w:space="0" w:color="auto"/>
        <w:right w:val="none" w:sz="0" w:space="0" w:color="auto"/>
      </w:divBdr>
    </w:div>
    <w:div w:id="1942298780">
      <w:bodyDiv w:val="1"/>
      <w:marLeft w:val="0"/>
      <w:marRight w:val="0"/>
      <w:marTop w:val="0"/>
      <w:marBottom w:val="0"/>
      <w:divBdr>
        <w:top w:val="none" w:sz="0" w:space="0" w:color="auto"/>
        <w:left w:val="none" w:sz="0" w:space="0" w:color="auto"/>
        <w:bottom w:val="none" w:sz="0" w:space="0" w:color="auto"/>
        <w:right w:val="none" w:sz="0" w:space="0" w:color="auto"/>
      </w:divBdr>
    </w:div>
    <w:div w:id="2086485115">
      <w:bodyDiv w:val="1"/>
      <w:marLeft w:val="0"/>
      <w:marRight w:val="0"/>
      <w:marTop w:val="0"/>
      <w:marBottom w:val="0"/>
      <w:divBdr>
        <w:top w:val="none" w:sz="0" w:space="0" w:color="auto"/>
        <w:left w:val="none" w:sz="0" w:space="0" w:color="auto"/>
        <w:bottom w:val="none" w:sz="0" w:space="0" w:color="auto"/>
        <w:right w:val="none" w:sz="0" w:space="0" w:color="auto"/>
      </w:divBdr>
      <w:divsChild>
        <w:div w:id="783041003">
          <w:marLeft w:val="0"/>
          <w:marRight w:val="0"/>
          <w:marTop w:val="0"/>
          <w:marBottom w:val="0"/>
          <w:divBdr>
            <w:top w:val="none" w:sz="0" w:space="0" w:color="auto"/>
            <w:left w:val="none" w:sz="0" w:space="0" w:color="auto"/>
            <w:bottom w:val="none" w:sz="0" w:space="0" w:color="auto"/>
            <w:right w:val="none" w:sz="0" w:space="0" w:color="auto"/>
          </w:divBdr>
          <w:divsChild>
            <w:div w:id="878669926">
              <w:marLeft w:val="0"/>
              <w:marRight w:val="0"/>
              <w:marTop w:val="0"/>
              <w:marBottom w:val="0"/>
              <w:divBdr>
                <w:top w:val="none" w:sz="0" w:space="0" w:color="auto"/>
                <w:left w:val="none" w:sz="0" w:space="0" w:color="auto"/>
                <w:bottom w:val="none" w:sz="0" w:space="0" w:color="auto"/>
                <w:right w:val="none" w:sz="0" w:space="0" w:color="auto"/>
              </w:divBdr>
              <w:divsChild>
                <w:div w:id="1051347267">
                  <w:marLeft w:val="0"/>
                  <w:marRight w:val="0"/>
                  <w:marTop w:val="0"/>
                  <w:marBottom w:val="0"/>
                  <w:divBdr>
                    <w:top w:val="none" w:sz="0" w:space="0" w:color="auto"/>
                    <w:left w:val="none" w:sz="0" w:space="0" w:color="auto"/>
                    <w:bottom w:val="none" w:sz="0" w:space="0" w:color="auto"/>
                    <w:right w:val="none" w:sz="0" w:space="0" w:color="auto"/>
                  </w:divBdr>
                  <w:divsChild>
                    <w:div w:id="516622768">
                      <w:marLeft w:val="0"/>
                      <w:marRight w:val="0"/>
                      <w:marTop w:val="0"/>
                      <w:marBottom w:val="0"/>
                      <w:divBdr>
                        <w:top w:val="none" w:sz="0" w:space="0" w:color="auto"/>
                        <w:left w:val="none" w:sz="0" w:space="0" w:color="auto"/>
                        <w:bottom w:val="none" w:sz="0" w:space="0" w:color="auto"/>
                        <w:right w:val="none" w:sz="0" w:space="0" w:color="auto"/>
                      </w:divBdr>
                      <w:divsChild>
                        <w:div w:id="1273785975">
                          <w:marLeft w:val="0"/>
                          <w:marRight w:val="0"/>
                          <w:marTop w:val="0"/>
                          <w:marBottom w:val="0"/>
                          <w:divBdr>
                            <w:top w:val="none" w:sz="0" w:space="0" w:color="auto"/>
                            <w:left w:val="none" w:sz="0" w:space="0" w:color="auto"/>
                            <w:bottom w:val="none" w:sz="0" w:space="0" w:color="auto"/>
                            <w:right w:val="none" w:sz="0" w:space="0" w:color="auto"/>
                          </w:divBdr>
                          <w:divsChild>
                            <w:div w:id="1138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ce.Leimane@f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gov.lv/content/ministru-kabineta-diskusiju-dokumen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9188</Words>
  <Characters>5238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2013.gada 3.janvāra noteikumos Nr.17 „Pievienotās vērtības nodokļa likuma normu piemērošanas kārtība un atsevišķas prasības pievienotās vērtības nodokļa maksāšanai un administrēšanai” sākotnējās ietekmes novērtējuma ziņojums (a</vt:lpstr>
    </vt:vector>
  </TitlesOfParts>
  <Company>Finanšu ministrija</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3.janvāra noteikumos Nr.17 „Pievienotās vērtības nodokļa likuma normu piemērošanas kārtība un atsevišķas prasības pievienotās vērtības nodokļa maksāšanai un administrēšanai” sākotnējās ietekmes novērtējuma ziņojums (anotācija)</dc:title>
  <dc:subject>Ministru kabineta noteikumu projekta anotācija</dc:subject>
  <dc:creator>dace.leimane@fm.gov.lv</dc:creator>
  <cp:keywords/>
  <dc:description>67095513,
dace.leimane@fm.gov.lv</dc:description>
  <cp:lastModifiedBy>Dace Leimane</cp:lastModifiedBy>
  <cp:revision>4</cp:revision>
  <cp:lastPrinted>2019-11-25T07:03:00Z</cp:lastPrinted>
  <dcterms:created xsi:type="dcterms:W3CDTF">2019-12-03T08:35:00Z</dcterms:created>
  <dcterms:modified xsi:type="dcterms:W3CDTF">2019-12-03T11:54:00Z</dcterms:modified>
</cp:coreProperties>
</file>