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57D4" w14:textId="77777777" w:rsidR="00E315C4" w:rsidRDefault="00E315C4" w:rsidP="00DB5A7F">
      <w:pPr>
        <w:ind w:firstLine="300"/>
        <w:jc w:val="center"/>
        <w:rPr>
          <w:bCs/>
        </w:rPr>
      </w:pPr>
    </w:p>
    <w:p w14:paraId="7B98417E" w14:textId="77777777" w:rsidR="00DB5A7F" w:rsidRPr="009D36DE" w:rsidRDefault="00DB5A7F" w:rsidP="00DB5A7F">
      <w:pPr>
        <w:ind w:firstLine="300"/>
        <w:jc w:val="center"/>
        <w:rPr>
          <w:bCs/>
        </w:rPr>
      </w:pPr>
      <w:r w:rsidRPr="003D6BD2">
        <w:rPr>
          <w:bCs/>
        </w:rPr>
        <w:t>Ministru kabineta rīkojuma projekta</w:t>
      </w:r>
      <w:r w:rsidRPr="003D6BD2">
        <w:rPr>
          <w:b/>
          <w:bCs/>
        </w:rPr>
        <w:t xml:space="preserve"> “Par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 </w:t>
      </w:r>
      <w:r w:rsidRPr="003D6BD2">
        <w:rPr>
          <w:bCs/>
        </w:rPr>
        <w:t>sākotnējās ietekmes novērtējuma ziņojums (anotācija)</w:t>
      </w:r>
    </w:p>
    <w:p w14:paraId="1B158B0B" w14:textId="77777777" w:rsidR="00E50E39" w:rsidRDefault="00E50E39" w:rsidP="00DB5A7F">
      <w:pPr>
        <w:ind w:firstLine="300"/>
        <w:jc w:val="center"/>
        <w:rPr>
          <w:b/>
          <w:bCs/>
        </w:rPr>
      </w:pPr>
    </w:p>
    <w:p w14:paraId="2483D9AC" w14:textId="77777777" w:rsidR="00E315C4" w:rsidRDefault="00E315C4" w:rsidP="00DB5A7F">
      <w:pPr>
        <w:ind w:firstLine="300"/>
        <w:jc w:val="center"/>
        <w:rPr>
          <w:b/>
          <w:bCs/>
        </w:rPr>
      </w:pPr>
    </w:p>
    <w:p w14:paraId="7142698F" w14:textId="77777777" w:rsidR="009D36DE"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7D3E6E"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7D3E6E" w:rsidRDefault="009D36DE" w:rsidP="000044FA">
            <w:pPr>
              <w:spacing w:before="100" w:after="100"/>
              <w:jc w:val="center"/>
              <w:rPr>
                <w:b/>
                <w:bCs/>
              </w:rPr>
            </w:pPr>
            <w:r w:rsidRPr="007D3E6E">
              <w:rPr>
                <w:b/>
                <w:bCs/>
              </w:rPr>
              <w:t>Tiesību aktu projektu anotācijas kopsavilkums</w:t>
            </w:r>
          </w:p>
        </w:tc>
      </w:tr>
      <w:tr w:rsidR="009D36DE" w:rsidRPr="007D3E6E"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7D3E6E" w:rsidRDefault="009D36DE" w:rsidP="000044FA">
            <w:pPr>
              <w:spacing w:before="100" w:after="100"/>
              <w:ind w:right="125"/>
              <w:jc w:val="both"/>
            </w:pPr>
            <w:r w:rsidRPr="007D3E6E">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77777777" w:rsidR="009D36DE" w:rsidRPr="007D3E6E" w:rsidRDefault="00853AC5" w:rsidP="006B3BBA">
            <w:pPr>
              <w:pStyle w:val="NoSpacing"/>
              <w:spacing w:before="120" w:after="120"/>
              <w:ind w:left="91" w:right="108" w:firstLine="284"/>
              <w:jc w:val="both"/>
              <w:rPr>
                <w:rFonts w:ascii="Times New Roman" w:eastAsia="Times New Roman" w:hAnsi="Times New Roman"/>
                <w:iCs/>
                <w:sz w:val="24"/>
                <w:szCs w:val="24"/>
                <w:lang w:eastAsia="lv-LV"/>
              </w:rPr>
            </w:pPr>
            <w:r w:rsidRPr="007D3E6E">
              <w:rPr>
                <w:rFonts w:ascii="Times New Roman" w:eastAsia="Times New Roman" w:hAnsi="Times New Roman"/>
                <w:iCs/>
                <w:sz w:val="24"/>
                <w:szCs w:val="24"/>
                <w:lang w:eastAsia="lv-LV"/>
              </w:rPr>
              <w:t>Ministru kabineta rīkojuma projekta “</w:t>
            </w:r>
            <w:r w:rsidRPr="007D3E6E">
              <w:rPr>
                <w:rFonts w:ascii="Times New Roman" w:hAnsi="Times New Roman"/>
                <w:bCs/>
                <w:sz w:val="24"/>
                <w:szCs w:val="24"/>
              </w:rPr>
              <w:t>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w:t>
            </w:r>
            <w:r w:rsidRPr="007D3E6E">
              <w:rPr>
                <w:rFonts w:ascii="Times New Roman" w:eastAsia="Times New Roman" w:hAnsi="Times New Roman"/>
                <w:iCs/>
                <w:sz w:val="24"/>
                <w:szCs w:val="24"/>
                <w:lang w:eastAsia="lv-LV"/>
              </w:rPr>
              <w:t>” (turpmāk – Ministru kabineta rīkojuma projekts) mērķis ir n</w:t>
            </w:r>
            <w:r w:rsidR="009228D2" w:rsidRPr="007D3E6E">
              <w:rPr>
                <w:rFonts w:ascii="Times New Roman" w:eastAsia="Times New Roman" w:hAnsi="Times New Roman"/>
                <w:iCs/>
                <w:sz w:val="24"/>
                <w:szCs w:val="24"/>
                <w:lang w:eastAsia="lv-LV"/>
              </w:rPr>
              <w:t>odrošināt ministriju un citu centrālo valsts iestāžu plānoto Eiropas Savienības politiku instrumentu un citu ārvalstu finanšu palīdzības projektu un pasākumu savlaicīg</w:t>
            </w:r>
            <w:r w:rsidR="00407869" w:rsidRPr="007D3E6E">
              <w:rPr>
                <w:rFonts w:ascii="Times New Roman" w:eastAsia="Times New Roman" w:hAnsi="Times New Roman"/>
                <w:iCs/>
                <w:sz w:val="24"/>
                <w:szCs w:val="24"/>
                <w:lang w:eastAsia="lv-LV"/>
              </w:rPr>
              <w:t>u</w:t>
            </w:r>
            <w:r w:rsidR="009228D2" w:rsidRPr="007D3E6E">
              <w:rPr>
                <w:rFonts w:ascii="Times New Roman" w:eastAsia="Times New Roman" w:hAnsi="Times New Roman"/>
                <w:iCs/>
                <w:sz w:val="24"/>
                <w:szCs w:val="24"/>
                <w:lang w:eastAsia="lv-LV"/>
              </w:rPr>
              <w:t xml:space="preserve"> īstenošanu.</w:t>
            </w:r>
          </w:p>
          <w:p w14:paraId="740ACEBC" w14:textId="77777777" w:rsidR="00853AC5" w:rsidRPr="007D3E6E" w:rsidRDefault="00853AC5" w:rsidP="006B3BBA">
            <w:pPr>
              <w:pStyle w:val="NoSpacing"/>
              <w:spacing w:before="120" w:after="120"/>
              <w:ind w:left="91" w:right="108" w:firstLine="284"/>
              <w:jc w:val="both"/>
              <w:rPr>
                <w:rFonts w:ascii="Times New Roman" w:hAnsi="Times New Roman"/>
                <w:sz w:val="24"/>
                <w:szCs w:val="24"/>
              </w:rPr>
            </w:pPr>
            <w:r w:rsidRPr="007D3E6E">
              <w:rPr>
                <w:rFonts w:ascii="Times New Roman" w:hAnsi="Times New Roman"/>
                <w:sz w:val="24"/>
                <w:szCs w:val="24"/>
              </w:rPr>
              <w:t xml:space="preserve">Ministru kabineta rīkojuma projekts stājas spēkā tā </w:t>
            </w:r>
            <w:r w:rsidR="000A6B9A" w:rsidRPr="007D3E6E">
              <w:rPr>
                <w:rFonts w:ascii="Times New Roman" w:hAnsi="Times New Roman"/>
                <w:sz w:val="24"/>
                <w:szCs w:val="24"/>
              </w:rPr>
              <w:t>parakstīšanas brīdī</w:t>
            </w:r>
            <w:r w:rsidR="004B0522" w:rsidRPr="007D3E6E">
              <w:rPr>
                <w:rFonts w:ascii="Times New Roman" w:hAnsi="Times New Roman"/>
                <w:sz w:val="24"/>
                <w:szCs w:val="24"/>
              </w:rPr>
              <w:t xml:space="preserve"> atbilstoši Oficiālo publikāciju un tiesiskās informācijas likuma 7.panta trešajā daļā noteiktajam</w:t>
            </w:r>
            <w:r w:rsidRPr="007D3E6E">
              <w:rPr>
                <w:rFonts w:ascii="Times New Roman" w:hAnsi="Times New Roman"/>
                <w:sz w:val="24"/>
                <w:szCs w:val="24"/>
              </w:rPr>
              <w:t>.</w:t>
            </w:r>
          </w:p>
        </w:tc>
      </w:tr>
    </w:tbl>
    <w:p w14:paraId="5AE1A044" w14:textId="77777777" w:rsidR="009D36DE" w:rsidRPr="007D3E6E" w:rsidRDefault="009D36DE" w:rsidP="000044FA">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7D3E6E"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7D3E6E" w:rsidRDefault="009D36DE" w:rsidP="000044FA">
            <w:pPr>
              <w:spacing w:before="100" w:after="100"/>
              <w:jc w:val="center"/>
              <w:rPr>
                <w:b/>
                <w:bCs/>
              </w:rPr>
            </w:pPr>
            <w:r w:rsidRPr="007D3E6E">
              <w:rPr>
                <w:b/>
                <w:bCs/>
              </w:rPr>
              <w:t>I. Tiesību aktu projektu izstrādes nepieciešamība</w:t>
            </w:r>
          </w:p>
        </w:tc>
      </w:tr>
      <w:tr w:rsidR="009D36DE" w:rsidRPr="007D3E6E"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7D3E6E" w:rsidRDefault="009D36DE" w:rsidP="000044FA">
            <w:pPr>
              <w:spacing w:before="100" w:after="100"/>
            </w:pPr>
            <w:r w:rsidRPr="007D3E6E">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77777777" w:rsidR="009D36DE" w:rsidRPr="007D3E6E" w:rsidRDefault="009D36DE" w:rsidP="000044FA">
            <w:pPr>
              <w:spacing w:before="100" w:after="100"/>
            </w:pPr>
            <w:r w:rsidRPr="007D3E6E">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86DC51" w14:textId="77777777" w:rsidR="000044FA" w:rsidRPr="007D3E6E" w:rsidRDefault="008E3C19" w:rsidP="00084612">
            <w:pPr>
              <w:spacing w:before="120" w:after="120"/>
              <w:ind w:left="125" w:right="113"/>
              <w:jc w:val="both"/>
            </w:pPr>
            <w:r w:rsidRPr="007D3E6E">
              <w:t xml:space="preserve">     </w:t>
            </w:r>
            <w:r w:rsidR="009D36DE" w:rsidRPr="007D3E6E">
              <w:t xml:space="preserve">Gadskārtējā valsts budžeta likumā budžeta resora “74. Gadskārtējā valsts budžeta izpildes procesā pārdalāmais finansējums” 80.00.00 programmā </w:t>
            </w:r>
            <w:r w:rsidR="009D36DE" w:rsidRPr="007D3E6E">
              <w:rPr>
                <w:bCs/>
              </w:rPr>
              <w:t>“</w:t>
            </w:r>
            <w:r w:rsidR="009D36DE" w:rsidRPr="007D3E6E">
              <w:t>Nesadalītais finansējums Eiropas Savienības politiku instrumentu un pārējās ārvalstu finanšu palīdzības līdzfinansēto projektu un pasākumu īstenošanai</w:t>
            </w:r>
            <w:r w:rsidR="009D36DE" w:rsidRPr="007D3E6E">
              <w:rPr>
                <w:bCs/>
              </w:rPr>
              <w:t xml:space="preserve">” (turpmāk – 80.00.00 programma) tiek plānots finansējums </w:t>
            </w:r>
            <w:r w:rsidR="009D36DE" w:rsidRPr="007D3E6E">
              <w:t xml:space="preserve">ministrijām un citām centrālajām valsts iestādēm (turpmāk – ministrija) Eiropas Savienības politiku instrumentu un citu ārvalstu finanšu palīdzības projektu un pasākumu finansēšanai, kā arī  </w:t>
            </w:r>
            <w:r w:rsidR="00664DE2" w:rsidRPr="007D3E6E">
              <w:t>Emisijas kvotu izsolīšanas instrumenta</w:t>
            </w:r>
            <w:r w:rsidR="009D36DE" w:rsidRPr="007D3E6E">
              <w:t xml:space="preserve"> </w:t>
            </w:r>
            <w:r w:rsidR="00664DE2" w:rsidRPr="007D3E6E">
              <w:t>projektu</w:t>
            </w:r>
            <w:r w:rsidR="009D36DE" w:rsidRPr="007D3E6E">
              <w:t xml:space="preserve"> finansēšanai.</w:t>
            </w:r>
          </w:p>
          <w:p w14:paraId="06BEEA8B" w14:textId="77777777" w:rsidR="000044FA" w:rsidRPr="007D3E6E" w:rsidRDefault="008E3C19" w:rsidP="00084612">
            <w:pPr>
              <w:spacing w:before="120" w:after="120"/>
              <w:ind w:left="125" w:right="113"/>
              <w:jc w:val="both"/>
            </w:pPr>
            <w:r w:rsidRPr="007D3E6E">
              <w:t xml:space="preserve">     </w:t>
            </w:r>
            <w:r w:rsidR="009D36DE" w:rsidRPr="007D3E6E">
              <w:t xml:space="preserve">Likuma par budžetu un finanšu vadību 9.panta trīspadsmitās daļas 2.punkts nosaka tiesības finanšu ministram Ministru kabineta noteiktajā kārtībā, informējot par to Saeimu, veikt apropriācijas pārdales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no ministrijām un citām centrālajām valsts iestādēm Eiropas Savienības politiku instrumentu un citu ārvalstu finanšu palīdzības projektu un pasākumu īstenošanai uz atsevišķo budžeta programmu, kurā plānotas apropriācijas nesadalītajam finansējumam Eiropas </w:t>
            </w:r>
            <w:r w:rsidR="009D36DE" w:rsidRPr="007D3E6E">
              <w:lastRenderedPageBreak/>
              <w:t>Savienības politiku instrumentiem un pārējās ārvalstu finanšu palīdzības pro</w:t>
            </w:r>
            <w:r w:rsidR="000044FA" w:rsidRPr="007D3E6E">
              <w:t xml:space="preserve">jektu un pasākumu īstenošanai. </w:t>
            </w:r>
          </w:p>
          <w:p w14:paraId="65389C2D" w14:textId="0ED2DED6" w:rsidR="009D36DE" w:rsidRPr="007D3E6E" w:rsidRDefault="008E3C19" w:rsidP="00084612">
            <w:pPr>
              <w:spacing w:before="120" w:after="120"/>
              <w:ind w:left="125" w:right="113"/>
              <w:jc w:val="both"/>
            </w:pPr>
            <w:r w:rsidRPr="007D3E6E">
              <w:t xml:space="preserve">     </w:t>
            </w:r>
            <w:r w:rsidR="009D36DE" w:rsidRPr="007D3E6E">
              <w:t>Savukārt Likuma par budžetu un finanšu vadību 9.pan</w:t>
            </w:r>
            <w:r w:rsidR="009758BC">
              <w:t>ta četrpadsmitās daļas 5.punkts</w:t>
            </w:r>
            <w:r w:rsidR="009D36DE" w:rsidRPr="007D3E6E">
              <w:t xml:space="preserve"> paredz finanšu ministram tiesības palielināt gadskārtējā valsts budžeta likumā noteikto apropriāciju Eiropas Savienības politiku instrumentu un citas ārvalstu finanšu palīdzības projektu un pasākumu īstenošanai, ja Saeimas Budžeta un finanšu (nodokļu) komisija piecu darba dienu laikā no attiecīgās informācijas saņemšanas ir izskatījusi to un nav iebildusi pret apropriācijas palielinājumu.</w:t>
            </w:r>
          </w:p>
        </w:tc>
      </w:tr>
      <w:tr w:rsidR="00D6079A" w:rsidRPr="007D3E6E"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7D3E6E" w:rsidRDefault="00D6079A" w:rsidP="000044FA">
            <w:pPr>
              <w:spacing w:before="100" w:after="100"/>
            </w:pPr>
            <w:r w:rsidRPr="007D3E6E">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7D3E6E" w:rsidRDefault="00D6079A" w:rsidP="000044FA">
            <w:pPr>
              <w:spacing w:before="100" w:after="100"/>
            </w:pPr>
            <w:r w:rsidRPr="007D3E6E">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B9423E" w14:textId="063626FB" w:rsidR="00852E90" w:rsidRPr="008C087D" w:rsidRDefault="00D6079A" w:rsidP="00084612">
            <w:pPr>
              <w:spacing w:before="120" w:after="120"/>
              <w:ind w:left="125" w:right="113" w:firstLine="284"/>
              <w:jc w:val="both"/>
            </w:pPr>
            <w:r w:rsidRPr="008C087D">
              <w:t>Likumā “Par valsts budžetu 201</w:t>
            </w:r>
            <w:r w:rsidR="00A02827" w:rsidRPr="008C087D">
              <w:t>9</w:t>
            </w:r>
            <w:r w:rsidRPr="008C087D">
              <w:t xml:space="preserve">.gadam” 80.00.00 programmas finansējums ir plānots </w:t>
            </w:r>
            <w:r w:rsidR="008322A7" w:rsidRPr="008C087D">
              <w:rPr>
                <w:b/>
              </w:rPr>
              <w:t>29 156 411</w:t>
            </w:r>
            <w:r w:rsidRPr="008C087D">
              <w:rPr>
                <w:b/>
              </w:rPr>
              <w:t xml:space="preserve"> </w:t>
            </w:r>
            <w:proofErr w:type="spellStart"/>
            <w:r w:rsidRPr="008C087D">
              <w:rPr>
                <w:b/>
                <w:i/>
              </w:rPr>
              <w:t>euro</w:t>
            </w:r>
            <w:proofErr w:type="spellEnd"/>
            <w:r w:rsidR="00056904" w:rsidRPr="008C087D">
              <w:rPr>
                <w:b/>
                <w:i/>
              </w:rPr>
              <w:t xml:space="preserve"> </w:t>
            </w:r>
            <w:r w:rsidR="00056904" w:rsidRPr="008C087D">
              <w:t>apmērā</w:t>
            </w:r>
            <w:r w:rsidRPr="008C087D">
              <w:t>.</w:t>
            </w:r>
            <w:r w:rsidR="007C7300" w:rsidRPr="008C087D">
              <w:t xml:space="preserve"> </w:t>
            </w:r>
          </w:p>
          <w:p w14:paraId="5E359754" w14:textId="64E12BC3" w:rsidR="007C7300" w:rsidRPr="008C087D" w:rsidRDefault="00852E90" w:rsidP="00084612">
            <w:pPr>
              <w:spacing w:before="120" w:after="120"/>
              <w:ind w:left="125" w:right="113" w:firstLine="284"/>
              <w:jc w:val="both"/>
            </w:pPr>
            <w:r w:rsidRPr="008C087D">
              <w:t xml:space="preserve">Ņemot vērā, ka budžeta izpildes </w:t>
            </w:r>
            <w:r w:rsidR="00056904" w:rsidRPr="008C087D">
              <w:t>procesā</w:t>
            </w:r>
            <w:r w:rsidRPr="008C087D">
              <w:t xml:space="preserve"> ar 80.00.00 programmā plānoto finansējumu nebija iespējams nodrošināt visus </w:t>
            </w:r>
            <w:r w:rsidR="00BC3347" w:rsidRPr="008C087D">
              <w:t xml:space="preserve">līdz šā gada </w:t>
            </w:r>
            <w:r w:rsidR="00F9499D" w:rsidRPr="008C087D">
              <w:t>augustam</w:t>
            </w:r>
            <w:r w:rsidR="00BC3347" w:rsidRPr="008C087D">
              <w:t xml:space="preserve"> </w:t>
            </w:r>
            <w:r w:rsidRPr="008C087D">
              <w:t>ministriju un citu centrālo valsts iestāžu (turpmāk – ministrijas) pieprasījumus Eiropas Savienības politiku instrumentu un citas ārvalstu finanšu palīdzības projektu un pasākumu īstenošanai, s</w:t>
            </w:r>
            <w:r w:rsidR="007C7300" w:rsidRPr="008C087D">
              <w:t>askaņā ar Ministru kabineta 2019.gada 17.septembra rīkojumu Nr.439 un Saeimas Budžeta un finanšu (nodokļu) komisijas atļauju atbilstoši Likuma par budžetu un finanšu vadību 9.panta četrpadsmitās daļas 5.punkta nosacījumiem ar 2019.gada 23.septembra rīkojumu Nr.331 tika palielināta 80.00.00 programmas apropri</w:t>
            </w:r>
            <w:r w:rsidRPr="008C087D">
              <w:t xml:space="preserve">ācija par </w:t>
            </w:r>
            <w:r w:rsidRPr="008C087D">
              <w:rPr>
                <w:b/>
              </w:rPr>
              <w:t xml:space="preserve">100 000 000 </w:t>
            </w:r>
            <w:proofErr w:type="spellStart"/>
            <w:r w:rsidRPr="008C087D">
              <w:rPr>
                <w:b/>
                <w:i/>
              </w:rPr>
              <w:t>euro</w:t>
            </w:r>
            <w:proofErr w:type="spellEnd"/>
            <w:r w:rsidR="007C7300" w:rsidRPr="008C087D">
              <w:t>.</w:t>
            </w:r>
          </w:p>
          <w:p w14:paraId="4E73DF44" w14:textId="77777777" w:rsidR="00197B7A" w:rsidRPr="008C087D" w:rsidRDefault="00D6079A" w:rsidP="00084612">
            <w:pPr>
              <w:spacing w:before="120" w:after="120"/>
              <w:ind w:left="125" w:right="113" w:firstLine="284"/>
              <w:jc w:val="both"/>
            </w:pPr>
            <w:r w:rsidRPr="008C087D">
              <w:t>Līdz 201</w:t>
            </w:r>
            <w:r w:rsidR="008322A7" w:rsidRPr="008C087D">
              <w:t>9</w:t>
            </w:r>
            <w:r w:rsidRPr="008C087D">
              <w:t xml:space="preserve">.gada </w:t>
            </w:r>
            <w:r w:rsidR="000C1C32" w:rsidRPr="008C087D">
              <w:t>21.novembrim</w:t>
            </w:r>
            <w:r w:rsidRPr="008C087D">
              <w:t xml:space="preserve"> atbilstoši pieņemtajiem finanšu ministra rīkojumiem </w:t>
            </w:r>
            <w:r w:rsidR="00386AC8" w:rsidRPr="008C087D">
              <w:t xml:space="preserve">uz ministriju budžetiem veikta apropriācijas pārdale </w:t>
            </w:r>
            <w:r w:rsidR="00386AC8" w:rsidRPr="008C087D">
              <w:rPr>
                <w:b/>
              </w:rPr>
              <w:t>11</w:t>
            </w:r>
            <w:r w:rsidR="00D0076B" w:rsidRPr="008C087D">
              <w:rPr>
                <w:b/>
              </w:rPr>
              <w:t>4</w:t>
            </w:r>
            <w:r w:rsidRPr="008C087D">
              <w:rPr>
                <w:b/>
              </w:rPr>
              <w:t> </w:t>
            </w:r>
            <w:r w:rsidR="00386AC8" w:rsidRPr="008C087D">
              <w:rPr>
                <w:b/>
              </w:rPr>
              <w:t>838</w:t>
            </w:r>
            <w:r w:rsidRPr="008C087D">
              <w:rPr>
                <w:b/>
              </w:rPr>
              <w:t> </w:t>
            </w:r>
            <w:r w:rsidR="00386AC8" w:rsidRPr="008C087D">
              <w:rPr>
                <w:b/>
              </w:rPr>
              <w:t>1</w:t>
            </w:r>
            <w:r w:rsidR="00D0076B" w:rsidRPr="008C087D">
              <w:rPr>
                <w:b/>
              </w:rPr>
              <w:t>83</w:t>
            </w:r>
            <w:r w:rsidRPr="008C087D">
              <w:rPr>
                <w:b/>
              </w:rPr>
              <w:t xml:space="preserve"> </w:t>
            </w:r>
            <w:proofErr w:type="spellStart"/>
            <w:r w:rsidRPr="008C087D">
              <w:rPr>
                <w:b/>
                <w:i/>
              </w:rPr>
              <w:t>euro</w:t>
            </w:r>
            <w:proofErr w:type="spellEnd"/>
            <w:r w:rsidR="00386AC8" w:rsidRPr="008C087D">
              <w:rPr>
                <w:b/>
                <w:i/>
              </w:rPr>
              <w:t xml:space="preserve"> </w:t>
            </w:r>
            <w:r w:rsidR="00386AC8" w:rsidRPr="008C087D">
              <w:t>apmērā</w:t>
            </w:r>
            <w:r w:rsidRPr="008C087D">
              <w:t>. 80.00.00 programmas nepārdalītais atlikums uz 201</w:t>
            </w:r>
            <w:r w:rsidR="008322A7" w:rsidRPr="008C087D">
              <w:t>9</w:t>
            </w:r>
            <w:r w:rsidRPr="008C087D">
              <w:t xml:space="preserve">.gada </w:t>
            </w:r>
            <w:r w:rsidR="000C1C32" w:rsidRPr="008C087D">
              <w:t>21.novembri</w:t>
            </w:r>
            <w:r w:rsidRPr="008C087D">
              <w:t xml:space="preserve"> ir </w:t>
            </w:r>
            <w:r w:rsidR="00386AC8" w:rsidRPr="009E530B">
              <w:rPr>
                <w:b/>
              </w:rPr>
              <w:t>1</w:t>
            </w:r>
            <w:r w:rsidR="00D0076B" w:rsidRPr="008C087D">
              <w:rPr>
                <w:b/>
              </w:rPr>
              <w:t>4 </w:t>
            </w:r>
            <w:r w:rsidR="00386AC8" w:rsidRPr="008C087D">
              <w:rPr>
                <w:b/>
              </w:rPr>
              <w:t>318</w:t>
            </w:r>
            <w:r w:rsidR="00D0076B" w:rsidRPr="008C087D">
              <w:rPr>
                <w:b/>
              </w:rPr>
              <w:t xml:space="preserve"> </w:t>
            </w:r>
            <w:r w:rsidR="00386AC8" w:rsidRPr="008C087D">
              <w:rPr>
                <w:b/>
              </w:rPr>
              <w:t>2</w:t>
            </w:r>
            <w:r w:rsidR="00D0076B" w:rsidRPr="008C087D">
              <w:rPr>
                <w:b/>
              </w:rPr>
              <w:t>28</w:t>
            </w:r>
            <w:r w:rsidRPr="008C087D">
              <w:rPr>
                <w:b/>
              </w:rPr>
              <w:t xml:space="preserve"> </w:t>
            </w:r>
            <w:proofErr w:type="spellStart"/>
            <w:r w:rsidRPr="008C087D">
              <w:rPr>
                <w:b/>
                <w:i/>
              </w:rPr>
              <w:t>euro</w:t>
            </w:r>
            <w:proofErr w:type="spellEnd"/>
            <w:r w:rsidRPr="008C087D">
              <w:rPr>
                <w:b/>
                <w:i/>
              </w:rPr>
              <w:t>.</w:t>
            </w:r>
            <w:r w:rsidRPr="008C087D">
              <w:t xml:space="preserve"> </w:t>
            </w:r>
          </w:p>
          <w:p w14:paraId="2EE2EBD4" w14:textId="77777777" w:rsidR="00127B80" w:rsidRDefault="009C3B8B" w:rsidP="00084612">
            <w:pPr>
              <w:spacing w:before="120" w:after="120"/>
              <w:ind w:left="125" w:right="113" w:firstLine="284"/>
              <w:jc w:val="both"/>
            </w:pPr>
            <w:r>
              <w:t xml:space="preserve">Lai arī no šā gada septembrī palielinātās apropriācijas  80.00.00 programmā  68 660 958 </w:t>
            </w:r>
            <w:proofErr w:type="spellStart"/>
            <w:r w:rsidRPr="009C3B8B">
              <w:rPr>
                <w:i/>
              </w:rPr>
              <w:t>euro</w:t>
            </w:r>
            <w:proofErr w:type="spellEnd"/>
            <w:r>
              <w:t xml:space="preserve"> tika novirzīti Centrālajai finanšu un līgumu aģentūrai</w:t>
            </w:r>
            <w:r w:rsidRPr="008C087D">
              <w:t xml:space="preserve"> (turpmāk – Aģentūra)</w:t>
            </w:r>
            <w:r>
              <w:t xml:space="preserve"> maksājumu nodrošināšanai projektu īstenotājiem, </w:t>
            </w:r>
            <w:r w:rsidR="002572E1" w:rsidRPr="008C087D">
              <w:t xml:space="preserve">2019.gada 11.novembrī ar vēstuli Nr.39-3-1/8832 ir saņemta informācija par nepietiekošo finansējumu Aģentūras budžetā </w:t>
            </w:r>
            <w:r w:rsidR="002572E1" w:rsidRPr="008C087D">
              <w:rPr>
                <w:b/>
              </w:rPr>
              <w:t>65 698 042</w:t>
            </w:r>
            <w:r w:rsidR="002572E1" w:rsidRPr="008C087D">
              <w:t xml:space="preserve"> </w:t>
            </w:r>
            <w:proofErr w:type="spellStart"/>
            <w:r w:rsidR="00957E39" w:rsidRPr="008C087D">
              <w:rPr>
                <w:b/>
                <w:i/>
              </w:rPr>
              <w:t>euro</w:t>
            </w:r>
            <w:proofErr w:type="spellEnd"/>
            <w:r w:rsidR="002572E1" w:rsidRPr="008C087D">
              <w:t xml:space="preserve"> apmērā</w:t>
            </w:r>
            <w:r w:rsidR="004F15E0" w:rsidRPr="008C087D">
              <w:t xml:space="preserve">, ņemot vērā finansējuma saņēmēju veiktos maksājumus un plānotās naudas plūsmas, kā arī nepieciešamo finansējumu maksājumu veikšanai jauniem Eiropas Savienības līdzfinansētiem projektiem, par kuru īstenošanu līdz š.g. beigām tiktu noslēgti līgumi. </w:t>
            </w:r>
          </w:p>
          <w:p w14:paraId="3D29355F" w14:textId="7FA2325A" w:rsidR="008C087D" w:rsidRDefault="004F15E0" w:rsidP="00084612">
            <w:pPr>
              <w:spacing w:before="120" w:after="120"/>
              <w:ind w:left="125" w:right="113" w:firstLine="284"/>
              <w:jc w:val="both"/>
            </w:pPr>
            <w:r w:rsidRPr="008C087D">
              <w:t xml:space="preserve">Aģentūra </w:t>
            </w:r>
            <w:r w:rsidR="00127B80">
              <w:t>ir turpinājusi</w:t>
            </w:r>
            <w:r w:rsidRPr="008C087D">
              <w:t xml:space="preserve"> nepārtrauktu finansējuma pietiekamības monitoringu un apkopojot aktualizēto projektu informāciju, </w:t>
            </w:r>
            <w:r w:rsidR="00127B80">
              <w:t xml:space="preserve">ir </w:t>
            </w:r>
            <w:r w:rsidRPr="008C087D">
              <w:t>iesnie</w:t>
            </w:r>
            <w:r w:rsidR="00127B80">
              <w:t>gusi</w:t>
            </w:r>
            <w:r w:rsidRPr="008C087D">
              <w:t xml:space="preserve"> priekšlikumus papildu līdzekļu pārdalei, pamatojoties uz šādiem zemāk minētajiem apstākļiem:</w:t>
            </w:r>
          </w:p>
          <w:p w14:paraId="4262835A" w14:textId="77777777" w:rsidR="008C087D" w:rsidRDefault="004F15E0" w:rsidP="00084612">
            <w:pPr>
              <w:spacing w:before="120" w:after="120"/>
              <w:ind w:left="125" w:right="113" w:firstLine="284"/>
              <w:jc w:val="both"/>
            </w:pPr>
            <w:r w:rsidRPr="008C087D">
              <w:t xml:space="preserve">1) kopš 2019.gada septembra sākuma ir noslēgti jau 86 jauni līgumi par Eiropas Savienības fondu projektu īstenošanu (no gada sākuma jauno noslēgto līgumu skaits sasniedz gandrīz 400 līgumus), t.sk. daļa projektu ir ar augstu gatavības pakāpi, attiecīgi šo projektu ietvaros ir iespējama maksājumu veikšana vēl šī gada ietvaros.  </w:t>
            </w:r>
          </w:p>
          <w:p w14:paraId="324372D2" w14:textId="77777777" w:rsidR="008C087D" w:rsidRDefault="004F15E0" w:rsidP="00084612">
            <w:pPr>
              <w:spacing w:before="120" w:after="120"/>
              <w:ind w:left="125" w:right="113" w:firstLine="284"/>
              <w:jc w:val="both"/>
            </w:pPr>
            <w:r w:rsidRPr="008C087D">
              <w:lastRenderedPageBreak/>
              <w:t>2)</w:t>
            </w:r>
            <w:r w:rsidRPr="008C087D">
              <w:rPr>
                <w:color w:val="FF0000"/>
              </w:rPr>
              <w:t xml:space="preserve"> </w:t>
            </w:r>
            <w:r w:rsidRPr="008C087D">
              <w:t>daudzi finansējuma saņēmēji pēdējo mēnešu laikā aktīvi iesniedz Aģentūrā precizētus plānoto maksājuma pieprasījumu iesniegšanas grafikus, ar pārplānotu naudas plūsmu un š. g. pēdējos mēnešos biežāk iesniedz un plāno iesniegt arī novembrī un decembrī iepriekš neplānotus avansa pieprasījumus un maksājuma pieprasījumus par lielākām summām nekā iepriekš plānojuši. Šādas izmaiņas ir saistītas ar:</w:t>
            </w:r>
          </w:p>
          <w:p w14:paraId="568E32B2" w14:textId="503C4264" w:rsidR="008C087D" w:rsidRDefault="004F15E0" w:rsidP="00084612">
            <w:pPr>
              <w:spacing w:before="120" w:after="120"/>
              <w:ind w:left="125" w:right="113" w:firstLine="284"/>
              <w:jc w:val="both"/>
            </w:pPr>
            <w:r w:rsidRPr="008C087D">
              <w:t>- grozījumiem Ministru kabineta noteikumos Nr. 784</w:t>
            </w:r>
            <w:r w:rsidRPr="008C087D">
              <w:rPr>
                <w:rStyle w:val="FootnoteReference"/>
              </w:rPr>
              <w:footnoteReference w:id="1"/>
            </w:r>
            <w:r w:rsidRPr="008C087D">
              <w:t xml:space="preserve">, kas paredz jaunas finanšu disciplīnas prasības finansējuma saņēmējiem un to neizpildes gadījumā paredz arī finanšu disciplīnas sankcijas (projekta attiecināmo izdevumu samazināšanu gadījumā, ja š.g. februārī apstiprinātais plānotais maksājuma pieprasījumu apjoms nesasniegs vismaz 75% apjomu no plāna). Aģentūras ieskatā, ņemot vērā šo normu, finansējuma saņēmēji gada sākumā plānoto iesniedzamo maksājuma pieprasījumu apjomus ir plānojuši ļoti piesardzīgi, lai nepakļautu sevi finanšu disciplīnas iestāšanās riskam un tā sekām. Aģentūras apkopotie dati uz vēstules sagatavošanas brīdi liecina, ka novirze no apstiprinātā finanšu disciplīnas plāna veido 49 milj. </w:t>
            </w:r>
            <w:proofErr w:type="spellStart"/>
            <w:r w:rsidR="00127B80" w:rsidRPr="00127B80">
              <w:rPr>
                <w:i/>
              </w:rPr>
              <w:t>euro</w:t>
            </w:r>
            <w:proofErr w:type="spellEnd"/>
            <w:r w:rsidRPr="008C087D">
              <w:t xml:space="preserve"> starpību;</w:t>
            </w:r>
          </w:p>
          <w:p w14:paraId="5FF8D991" w14:textId="77777777" w:rsidR="008C087D" w:rsidRDefault="004F15E0" w:rsidP="00084612">
            <w:pPr>
              <w:spacing w:before="120" w:after="120"/>
              <w:ind w:left="125" w:right="113" w:firstLine="284"/>
              <w:jc w:val="both"/>
            </w:pPr>
            <w:r w:rsidRPr="008C087D">
              <w:t>- gan 2018.gada nogalē, gan 2019.gada sākumā Aģentūra un atbildīgās iestādes ļoti aktīvi aicināja un lūdza finansējuma saņēmējus un projektu iesniedzējus darīt visu iespējamo, lai paātrinātu projektu ieviešanu un intensificētu maksājumu veikšanu, tādējādi veicinot snieguma ietvara starpposma mērķu sasniegšanu. Šāda finansējuma saņēmēju mobilizēšana bija izšķiroša 6% rezerves finansējuma pieejamībai. “Uzņemtie projektu ieviešanas tempi” turpinās arī šobrīd un rada papildu finansējuma nepieciešamību gan finansējuma saņēmējiem (lai varētu turpināt projektos uzsāktos darbus bez pārtraukumiem), gan Aģentūrai;</w:t>
            </w:r>
          </w:p>
          <w:p w14:paraId="37632BDE" w14:textId="77777777" w:rsidR="008C087D" w:rsidRDefault="004F15E0" w:rsidP="00084612">
            <w:pPr>
              <w:spacing w:before="120" w:after="120"/>
              <w:ind w:left="125" w:right="113" w:firstLine="284"/>
              <w:jc w:val="both"/>
            </w:pPr>
            <w:r w:rsidRPr="008C087D">
              <w:t>-</w:t>
            </w:r>
            <w:r w:rsidR="008C087D">
              <w:t xml:space="preserve"> </w:t>
            </w:r>
            <w:r w:rsidRPr="008C087D">
              <w:t>ierobežojumiem pašvaldību aizņēmumu saņemšanai no Valsts kases, kas saistīts finanšu resursu trūkumu. Attiecīgi tie finansējuma saņēmēji, kas bija plānojuši attiecināmo izmaksu finansēšanai izmantot Valsts kases aizņēmumu, bet nav to saņēmuši, projekta finansējuma nodrošināšanai aktīvi Aģentūrā pieprasa iepriekš neplānotus avansa maksājuma pieprasījumus.</w:t>
            </w:r>
          </w:p>
          <w:p w14:paraId="147701EA" w14:textId="0E9A1738" w:rsidR="008C087D" w:rsidRDefault="004F15E0" w:rsidP="00084612">
            <w:pPr>
              <w:spacing w:before="120" w:after="120"/>
              <w:ind w:left="125" w:right="113" w:firstLine="284"/>
              <w:jc w:val="both"/>
            </w:pPr>
            <w:r w:rsidRPr="008C087D">
              <w:t xml:space="preserve">Tā kā 2018.gada laikā tika noslēgti daudzi jauni līgumi un uzsākta šo projektu īstenošana, tad 2019.gada sākumā Aģentūras budžetā nebija pietiekošs finansējums visu finansējuma saņēmēju plānoto maksājumu veikšanai. Aģentūra plānojot budžetu vienmēr ir ievērojusi drošu finanšu resursu vadības principu un līdzekļus plānojusi, ņemot vērā ticamības koeficientus un </w:t>
            </w:r>
            <w:r w:rsidR="00084612">
              <w:t xml:space="preserve">reālo projektu ieviešanas gaitu, kā arī </w:t>
            </w:r>
            <w:r w:rsidR="007115F1">
              <w:t>ir</w:t>
            </w:r>
            <w:r w:rsidRPr="008C087D">
              <w:t xml:space="preserve"> maksimāli </w:t>
            </w:r>
            <w:r w:rsidR="007115F1">
              <w:t xml:space="preserve">centusies </w:t>
            </w:r>
            <w:r w:rsidRPr="008C087D">
              <w:t xml:space="preserve">Eiropas Savienības struktūrfondu un Kohēzijas fonda līdzfinansēto projektu īstenošanai izmantot jau iestādes budžetā pieejamos līdzekļus, nepieciešamības gadījumā veicot apropriācijas pārdales starp budžeta </w:t>
            </w:r>
            <w:r w:rsidRPr="008C087D">
              <w:lastRenderedPageBreak/>
              <w:t>apakšprogrammām, nepieprasot papildu līdzekļus no 80.00.00 programmas.</w:t>
            </w:r>
          </w:p>
          <w:p w14:paraId="674E4CE4" w14:textId="77777777" w:rsidR="00084612" w:rsidRDefault="00084612" w:rsidP="00084612">
            <w:pPr>
              <w:spacing w:before="120" w:after="120"/>
              <w:ind w:left="125" w:right="113" w:firstLine="284"/>
              <w:jc w:val="both"/>
            </w:pPr>
            <w:r w:rsidRPr="008C087D">
              <w:t xml:space="preserve">Ņemot vērā iepriekš minēto, </w:t>
            </w:r>
            <w:r>
              <w:t xml:space="preserve">ar atlikušajiem līdzekļiem </w:t>
            </w:r>
            <w:r w:rsidRPr="008C087D">
              <w:t>Aģentūras budžetā šobrīd nav iespējams nodrošināt  plānotos maksājumus projektu īstenotājiem š.g. novembrī un decembrī.</w:t>
            </w:r>
          </w:p>
          <w:p w14:paraId="51560ECA" w14:textId="0BBC6E9E" w:rsidR="00D6079A" w:rsidRPr="00F77B2A" w:rsidRDefault="00084612" w:rsidP="00084612">
            <w:pPr>
              <w:spacing w:before="120" w:after="120"/>
              <w:ind w:left="123" w:right="111" w:firstLine="283"/>
              <w:jc w:val="both"/>
              <w:rPr>
                <w:u w:val="single"/>
              </w:rPr>
            </w:pPr>
            <w:r w:rsidRPr="00F77B2A">
              <w:rPr>
                <w:u w:val="single"/>
              </w:rPr>
              <w:t>L</w:t>
            </w:r>
            <w:r w:rsidR="004F15E0" w:rsidRPr="00F77B2A">
              <w:rPr>
                <w:u w:val="single"/>
              </w:rPr>
              <w:t>ai nekavētu maksājumus finansējuma saņēmējiem un varētu ievērot ārējos normatīvajos aktos noteiktos avansu un maksājuma pieprasījumu izskatīšanas termiņus un neradītu negatīvu ietekm</w:t>
            </w:r>
            <w:r w:rsidRPr="00F77B2A">
              <w:rPr>
                <w:u w:val="single"/>
              </w:rPr>
              <w:t xml:space="preserve">i uz projektu īstenošanas gaitu, kā arī </w:t>
            </w:r>
            <w:r w:rsidR="00D6079A" w:rsidRPr="00F77B2A">
              <w:rPr>
                <w:u w:val="single"/>
              </w:rPr>
              <w:t xml:space="preserve">neradītu investīciju pārrāvumus </w:t>
            </w:r>
            <w:r w:rsidR="00AA5033" w:rsidRPr="00F77B2A">
              <w:rPr>
                <w:u w:val="single"/>
              </w:rPr>
              <w:t>un</w:t>
            </w:r>
            <w:r w:rsidR="00D6079A" w:rsidRPr="00F77B2A">
              <w:rPr>
                <w:u w:val="single"/>
              </w:rPr>
              <w:t xml:space="preserve"> apdraudējumu ES finansējuma sekmīgai izmantošanai un mērķu sasniegšanai</w:t>
            </w:r>
            <w:r w:rsidR="00AA5033" w:rsidRPr="00F77B2A">
              <w:rPr>
                <w:u w:val="single"/>
              </w:rPr>
              <w:t>,</w:t>
            </w:r>
            <w:r w:rsidR="00D6079A" w:rsidRPr="00F77B2A">
              <w:rPr>
                <w:u w:val="single"/>
              </w:rPr>
              <w:t xml:space="preserve"> un nodrošinātu Finanšu ministrijā saņemto valsts budžeta līdzekļu pieprasījumu Eiropas Savienības politiku instrumentu un citu ārvalstu finanšu palīdzības projektu un pasākumu finansēto projektu un pasākumu finansēšanu, </w:t>
            </w:r>
            <w:r w:rsidR="00B946E5" w:rsidRPr="00F77B2A">
              <w:rPr>
                <w:u w:val="single"/>
              </w:rPr>
              <w:t>ir</w:t>
            </w:r>
            <w:r w:rsidR="00D6079A" w:rsidRPr="00F77B2A">
              <w:rPr>
                <w:u w:val="single"/>
              </w:rPr>
              <w:t xml:space="preserve"> </w:t>
            </w:r>
            <w:r w:rsidR="00F05C20" w:rsidRPr="00F77B2A">
              <w:rPr>
                <w:u w:val="single"/>
              </w:rPr>
              <w:t xml:space="preserve">atkāroti </w:t>
            </w:r>
            <w:r w:rsidR="00D6079A" w:rsidRPr="00F77B2A">
              <w:rPr>
                <w:u w:val="single"/>
              </w:rPr>
              <w:t xml:space="preserve">apkopota </w:t>
            </w:r>
            <w:r w:rsidR="00AA5033" w:rsidRPr="00F77B2A">
              <w:rPr>
                <w:u w:val="single"/>
              </w:rPr>
              <w:t>ministriju</w:t>
            </w:r>
            <w:r w:rsidR="006B05E0" w:rsidRPr="00F77B2A">
              <w:rPr>
                <w:u w:val="single"/>
              </w:rPr>
              <w:t xml:space="preserve"> </w:t>
            </w:r>
            <w:r w:rsidR="00A26A03" w:rsidRPr="00F77B2A">
              <w:rPr>
                <w:u w:val="single"/>
              </w:rPr>
              <w:t xml:space="preserve">un Centrālās un finanšu un līgumu aģentūras kā ES fondu sadarbības iestādes </w:t>
            </w:r>
            <w:r w:rsidR="006B05E0" w:rsidRPr="00F77B2A">
              <w:rPr>
                <w:u w:val="single"/>
              </w:rPr>
              <w:t>elektroniski</w:t>
            </w:r>
            <w:r w:rsidR="00D6079A" w:rsidRPr="00F77B2A">
              <w:rPr>
                <w:u w:val="single"/>
              </w:rPr>
              <w:t xml:space="preserve"> sniegtā informācija</w:t>
            </w:r>
            <w:r w:rsidR="00A26A03" w:rsidRPr="00F77B2A">
              <w:rPr>
                <w:u w:val="single"/>
              </w:rPr>
              <w:t xml:space="preserve"> (</w:t>
            </w:r>
            <w:r w:rsidR="00D6079A" w:rsidRPr="00F77B2A">
              <w:rPr>
                <w:u w:val="single"/>
              </w:rPr>
              <w:t>par papildus nepieciešamo līdzekļu apjomu līdz 201</w:t>
            </w:r>
            <w:r w:rsidR="00C63854" w:rsidRPr="00F77B2A">
              <w:rPr>
                <w:u w:val="single"/>
              </w:rPr>
              <w:t>9</w:t>
            </w:r>
            <w:r w:rsidR="005C5BDA" w:rsidRPr="00F77B2A">
              <w:rPr>
                <w:u w:val="single"/>
              </w:rPr>
              <w:t>.gada beigām</w:t>
            </w:r>
            <w:r w:rsidR="00A26A03" w:rsidRPr="00F77B2A">
              <w:rPr>
                <w:u w:val="single"/>
              </w:rPr>
              <w:t xml:space="preserve"> un prognozēto apropriācijas pārdali no ministriju budžetiem uz 80.00.00 programmu gadījumos</w:t>
            </w:r>
            <w:r w:rsidR="0076081E" w:rsidRPr="00F77B2A">
              <w:rPr>
                <w:u w:val="single"/>
              </w:rPr>
              <w:t>)</w:t>
            </w:r>
            <w:r w:rsidR="00A26A03" w:rsidRPr="00F77B2A">
              <w:rPr>
                <w:u w:val="single"/>
              </w:rPr>
              <w:t>:</w:t>
            </w:r>
            <w:r w:rsidR="00D6079A" w:rsidRPr="00F77B2A">
              <w:rPr>
                <w:u w:val="single"/>
              </w:rPr>
              <w:t xml:space="preserve"> </w:t>
            </w:r>
          </w:p>
          <w:p w14:paraId="6D824E18" w14:textId="470F1DBD" w:rsidR="00D6079A" w:rsidRPr="008C087D" w:rsidRDefault="00545A7B" w:rsidP="00084612">
            <w:pPr>
              <w:spacing w:before="120" w:after="120"/>
              <w:ind w:left="125" w:right="113" w:firstLine="284"/>
              <w:jc w:val="both"/>
            </w:pPr>
            <w:r w:rsidRPr="008C087D">
              <w:rPr>
                <w:b/>
              </w:rPr>
              <w:t>1.</w:t>
            </w:r>
            <w:r w:rsidRPr="008C087D">
              <w:t xml:space="preserve"> </w:t>
            </w:r>
            <w:r w:rsidR="00DE6271" w:rsidRPr="008C087D">
              <w:t xml:space="preserve">tiek prognozēts, ka </w:t>
            </w:r>
            <w:r w:rsidR="00D84D37" w:rsidRPr="008C087D">
              <w:rPr>
                <w:b/>
              </w:rPr>
              <w:t>līdz gada beigām nepieciešams papildu</w:t>
            </w:r>
            <w:r w:rsidR="00D6079A" w:rsidRPr="008C087D">
              <w:rPr>
                <w:b/>
              </w:rPr>
              <w:t xml:space="preserve"> finansējum</w:t>
            </w:r>
            <w:r w:rsidR="00D84D37" w:rsidRPr="008C087D">
              <w:rPr>
                <w:b/>
              </w:rPr>
              <w:t>s</w:t>
            </w:r>
            <w:r w:rsidR="00D84D37" w:rsidRPr="008C087D">
              <w:t xml:space="preserve"> </w:t>
            </w:r>
            <w:r w:rsidR="00632D05" w:rsidRPr="008C087D">
              <w:rPr>
                <w:b/>
              </w:rPr>
              <w:t>70</w:t>
            </w:r>
            <w:r w:rsidR="009226DC" w:rsidRPr="008C087D">
              <w:rPr>
                <w:b/>
              </w:rPr>
              <w:t> </w:t>
            </w:r>
            <w:r w:rsidR="00632D05" w:rsidRPr="008C087D">
              <w:rPr>
                <w:b/>
              </w:rPr>
              <w:t>907</w:t>
            </w:r>
            <w:r w:rsidR="009226DC" w:rsidRPr="008C087D">
              <w:rPr>
                <w:b/>
              </w:rPr>
              <w:t> </w:t>
            </w:r>
            <w:r w:rsidR="00632D05" w:rsidRPr="008C087D">
              <w:rPr>
                <w:b/>
              </w:rPr>
              <w:t>162</w:t>
            </w:r>
            <w:r w:rsidR="00D6079A" w:rsidRPr="008C087D">
              <w:rPr>
                <w:b/>
              </w:rPr>
              <w:t> </w:t>
            </w:r>
            <w:proofErr w:type="spellStart"/>
            <w:r w:rsidR="00D6079A" w:rsidRPr="008C087D">
              <w:rPr>
                <w:b/>
                <w:i/>
              </w:rPr>
              <w:t>euro</w:t>
            </w:r>
            <w:proofErr w:type="spellEnd"/>
            <w:r w:rsidR="00F05C20" w:rsidRPr="008C087D">
              <w:rPr>
                <w:b/>
                <w:i/>
              </w:rPr>
              <w:t xml:space="preserve"> </w:t>
            </w:r>
            <w:r w:rsidR="00F05C20" w:rsidRPr="008C087D">
              <w:t>apmērā</w:t>
            </w:r>
            <w:r w:rsidR="00D6079A" w:rsidRPr="008C087D">
              <w:t xml:space="preserve">, </w:t>
            </w:r>
            <w:r w:rsidR="00D84D37" w:rsidRPr="008C087D">
              <w:t>t</w:t>
            </w:r>
            <w:r w:rsidR="00D6079A" w:rsidRPr="008C087D">
              <w:t>ai skaitā:</w:t>
            </w:r>
          </w:p>
          <w:p w14:paraId="7BCFD384" w14:textId="68D0AF14" w:rsidR="00C73478" w:rsidRPr="008C087D" w:rsidRDefault="00C73478" w:rsidP="00084612">
            <w:pPr>
              <w:pStyle w:val="ListParagraph"/>
              <w:spacing w:before="120" w:after="120"/>
              <w:ind w:left="125" w:right="113"/>
              <w:contextualSpacing w:val="0"/>
              <w:jc w:val="both"/>
            </w:pPr>
            <w:r w:rsidRPr="008C087D">
              <w:rPr>
                <w:b/>
                <w:u w:val="single"/>
              </w:rPr>
              <w:t>Finanšu ministrijai</w:t>
            </w:r>
            <w:r w:rsidRPr="008C087D">
              <w:t xml:space="preserve"> </w:t>
            </w:r>
            <w:r w:rsidR="00BA7526" w:rsidRPr="008C087D">
              <w:rPr>
                <w:b/>
              </w:rPr>
              <w:t>6</w:t>
            </w:r>
            <w:r w:rsidR="00F05C20" w:rsidRPr="008C087D">
              <w:rPr>
                <w:b/>
              </w:rPr>
              <w:t>5</w:t>
            </w:r>
            <w:r w:rsidR="00BA7526" w:rsidRPr="008C087D">
              <w:rPr>
                <w:b/>
              </w:rPr>
              <w:t> </w:t>
            </w:r>
            <w:r w:rsidR="009C3B8B">
              <w:rPr>
                <w:b/>
              </w:rPr>
              <w:t>698</w:t>
            </w:r>
            <w:r w:rsidR="00BA7526" w:rsidRPr="008C087D">
              <w:rPr>
                <w:b/>
              </w:rPr>
              <w:t xml:space="preserve"> </w:t>
            </w:r>
            <w:r w:rsidR="009C3B8B">
              <w:rPr>
                <w:b/>
              </w:rPr>
              <w:t>042</w:t>
            </w:r>
            <w:r w:rsidRPr="008C087D">
              <w:rPr>
                <w:b/>
              </w:rPr>
              <w:t xml:space="preserve"> </w:t>
            </w:r>
            <w:proofErr w:type="spellStart"/>
            <w:r w:rsidRPr="008C087D">
              <w:rPr>
                <w:b/>
                <w:i/>
              </w:rPr>
              <w:t>euro</w:t>
            </w:r>
            <w:proofErr w:type="spellEnd"/>
            <w:r w:rsidRPr="008C087D">
              <w:t xml:space="preserve"> Kohēzijas fonda (KF)</w:t>
            </w:r>
            <w:r w:rsidR="00F05C20" w:rsidRPr="008C087D">
              <w:t xml:space="preserve">, </w:t>
            </w:r>
            <w:r w:rsidRPr="008C087D">
              <w:t xml:space="preserve"> Eiropas Reģionālās attīstības fonda (ERAF) </w:t>
            </w:r>
            <w:r w:rsidR="00F05C20" w:rsidRPr="008C087D">
              <w:t>un</w:t>
            </w:r>
            <w:r w:rsidRPr="008C087D">
              <w:t xml:space="preserve"> Eiropas Sociālā fonda (ESF) </w:t>
            </w:r>
            <w:r w:rsidR="00CC3A0B" w:rsidRPr="008C087D">
              <w:t>projektu un pasākumu īstenošanai</w:t>
            </w:r>
            <w:r w:rsidR="00C41E55" w:rsidRPr="008C087D">
              <w:t>.</w:t>
            </w:r>
          </w:p>
          <w:p w14:paraId="103D120E" w14:textId="24BF056F" w:rsidR="00A12BA7" w:rsidRPr="008C087D" w:rsidRDefault="00CC3A0B" w:rsidP="00084612">
            <w:pPr>
              <w:pStyle w:val="ListParagraph"/>
              <w:spacing w:before="120" w:after="120"/>
              <w:ind w:left="125" w:right="113"/>
              <w:contextualSpacing w:val="0"/>
              <w:jc w:val="both"/>
            </w:pPr>
            <w:r w:rsidRPr="008C087D">
              <w:rPr>
                <w:b/>
                <w:u w:val="single"/>
              </w:rPr>
              <w:t>Zemkopības ministrijai</w:t>
            </w:r>
            <w:r w:rsidR="00FA753E" w:rsidRPr="008C087D">
              <w:rPr>
                <w:b/>
              </w:rPr>
              <w:t xml:space="preserve"> </w:t>
            </w:r>
            <w:r w:rsidR="00F05C20" w:rsidRPr="008C087D">
              <w:rPr>
                <w:b/>
              </w:rPr>
              <w:t>2</w:t>
            </w:r>
            <w:r w:rsidR="009A6715" w:rsidRPr="008C087D">
              <w:rPr>
                <w:b/>
              </w:rPr>
              <w:t> 000 000</w:t>
            </w:r>
            <w:r w:rsidR="00FA753E" w:rsidRPr="008C087D">
              <w:rPr>
                <w:b/>
              </w:rPr>
              <w:t xml:space="preserve"> </w:t>
            </w:r>
            <w:proofErr w:type="spellStart"/>
            <w:r w:rsidR="00FA753E" w:rsidRPr="008C087D">
              <w:rPr>
                <w:b/>
                <w:i/>
              </w:rPr>
              <w:t>euro</w:t>
            </w:r>
            <w:proofErr w:type="spellEnd"/>
            <w:r w:rsidR="00FA753E" w:rsidRPr="008C087D">
              <w:t xml:space="preserve">  </w:t>
            </w:r>
            <w:r w:rsidR="007C2356" w:rsidRPr="009D22A7">
              <w:t>Eiropas Lauksaimniecības garantiju fonda (ELGF)</w:t>
            </w:r>
            <w:r w:rsidR="00860930" w:rsidRPr="008C087D">
              <w:t xml:space="preserve"> projektu un pasākumu īstenošanai</w:t>
            </w:r>
            <w:r w:rsidR="00A12BA7" w:rsidRPr="008C087D">
              <w:t>;</w:t>
            </w:r>
          </w:p>
          <w:p w14:paraId="204DBA55" w14:textId="1969523B" w:rsidR="00860930" w:rsidRPr="008C087D" w:rsidRDefault="00A12BA7" w:rsidP="00084612">
            <w:pPr>
              <w:pStyle w:val="ListParagraph"/>
              <w:spacing w:before="120" w:after="120"/>
              <w:ind w:left="125" w:right="113"/>
              <w:contextualSpacing w:val="0"/>
              <w:jc w:val="both"/>
            </w:pPr>
            <w:r w:rsidRPr="008C087D">
              <w:rPr>
                <w:b/>
                <w:u w:val="single"/>
              </w:rPr>
              <w:t>Sabiedrības integrācijas fondam</w:t>
            </w:r>
            <w:r w:rsidRPr="008C087D">
              <w:rPr>
                <w:b/>
              </w:rPr>
              <w:t xml:space="preserve"> 267 086 </w:t>
            </w:r>
            <w:proofErr w:type="spellStart"/>
            <w:r w:rsidRPr="008C087D">
              <w:rPr>
                <w:b/>
                <w:i/>
              </w:rPr>
              <w:t>euro</w:t>
            </w:r>
            <w:proofErr w:type="spellEnd"/>
            <w:r w:rsidRPr="008C087D">
              <w:rPr>
                <w:b/>
                <w:i/>
              </w:rPr>
              <w:t xml:space="preserve"> </w:t>
            </w:r>
            <w:r w:rsidR="00860930" w:rsidRPr="008C087D">
              <w:t xml:space="preserve"> </w:t>
            </w:r>
            <w:r w:rsidRPr="008C087D">
              <w:t>Eiropas Sociālā fonda (ESF) un citu Eiropas Savienības politiku instrumentu projektu un pasākumu īstenošanai;</w:t>
            </w:r>
          </w:p>
          <w:p w14:paraId="421EC24A" w14:textId="5FA7B68D" w:rsidR="00871282" w:rsidRPr="008C087D" w:rsidRDefault="00871282" w:rsidP="00084612">
            <w:pPr>
              <w:tabs>
                <w:tab w:val="left" w:pos="993"/>
              </w:tabs>
              <w:spacing w:before="120" w:after="120"/>
              <w:ind w:left="123" w:right="113"/>
            </w:pPr>
            <w:r w:rsidRPr="008C087D">
              <w:rPr>
                <w:b/>
                <w:u w:val="single"/>
              </w:rPr>
              <w:t>Citiem projektiem</w:t>
            </w:r>
            <w:r w:rsidR="009226DC" w:rsidRPr="008C087D">
              <w:rPr>
                <w:b/>
              </w:rPr>
              <w:t xml:space="preserve"> </w:t>
            </w:r>
            <w:r w:rsidR="009C3B8B">
              <w:rPr>
                <w:b/>
              </w:rPr>
              <w:t>2 942 034</w:t>
            </w:r>
            <w:r w:rsidRPr="008C087D">
              <w:rPr>
                <w:b/>
              </w:rPr>
              <w:t xml:space="preserve"> </w:t>
            </w:r>
            <w:proofErr w:type="spellStart"/>
            <w:r w:rsidRPr="008C087D">
              <w:rPr>
                <w:b/>
                <w:i/>
              </w:rPr>
              <w:t>euro</w:t>
            </w:r>
            <w:proofErr w:type="spellEnd"/>
            <w:r w:rsidRPr="008C087D">
              <w:t>.</w:t>
            </w:r>
          </w:p>
          <w:p w14:paraId="311077C3" w14:textId="3110FCE4" w:rsidR="008E5B7C" w:rsidRPr="008C087D" w:rsidRDefault="00D6079A" w:rsidP="00084612">
            <w:pPr>
              <w:spacing w:before="120" w:after="120"/>
              <w:ind w:left="125" w:right="113" w:firstLine="284"/>
              <w:jc w:val="both"/>
            </w:pPr>
            <w:r w:rsidRPr="008C087D">
              <w:rPr>
                <w:b/>
              </w:rPr>
              <w:t xml:space="preserve">2. </w:t>
            </w:r>
            <w:r w:rsidR="00C8713F" w:rsidRPr="008C087D">
              <w:t xml:space="preserve">tiek </w:t>
            </w:r>
            <w:r w:rsidR="00D81DFB" w:rsidRPr="008C087D">
              <w:t>prognozēt</w:t>
            </w:r>
            <w:r w:rsidR="005D0284" w:rsidRPr="008C087D">
              <w:t>a</w:t>
            </w:r>
            <w:r w:rsidR="00D81DFB" w:rsidRPr="008C087D">
              <w:t xml:space="preserve"> </w:t>
            </w:r>
            <w:r w:rsidR="008F6918" w:rsidRPr="008C087D">
              <w:rPr>
                <w:b/>
              </w:rPr>
              <w:t>apropriācijas pārdal</w:t>
            </w:r>
            <w:r w:rsidR="005D0284" w:rsidRPr="008C087D">
              <w:rPr>
                <w:b/>
              </w:rPr>
              <w:t>e</w:t>
            </w:r>
            <w:r w:rsidRPr="008C087D">
              <w:rPr>
                <w:b/>
              </w:rPr>
              <w:t xml:space="preserve"> no ministriju budžetiem uz 80.00.00 programmu</w:t>
            </w:r>
            <w:r w:rsidRPr="008C087D">
              <w:t xml:space="preserve"> </w:t>
            </w:r>
            <w:r w:rsidR="00D241A0" w:rsidRPr="008C087D">
              <w:rPr>
                <w:b/>
              </w:rPr>
              <w:t>26 588</w:t>
            </w:r>
            <w:r w:rsidR="009A6715" w:rsidRPr="008C087D">
              <w:rPr>
                <w:b/>
              </w:rPr>
              <w:t> </w:t>
            </w:r>
            <w:r w:rsidR="00D241A0" w:rsidRPr="008C087D">
              <w:rPr>
                <w:b/>
              </w:rPr>
              <w:t>934</w:t>
            </w:r>
            <w:r w:rsidRPr="008C087D">
              <w:rPr>
                <w:color w:val="FF0000"/>
              </w:rPr>
              <w:t xml:space="preserve"> </w:t>
            </w:r>
            <w:proofErr w:type="spellStart"/>
            <w:r w:rsidRPr="008C087D">
              <w:rPr>
                <w:b/>
                <w:i/>
              </w:rPr>
              <w:t>euro</w:t>
            </w:r>
            <w:proofErr w:type="spellEnd"/>
            <w:r w:rsidRPr="008C087D">
              <w:t>, tajā skaitā</w:t>
            </w:r>
            <w:r w:rsidR="006B05E0" w:rsidRPr="008C087D">
              <w:t xml:space="preserve"> no</w:t>
            </w:r>
            <w:r w:rsidRPr="008C087D">
              <w:t>:</w:t>
            </w:r>
          </w:p>
          <w:p w14:paraId="569E40F0" w14:textId="3A1B3FF2" w:rsidR="00D81DFB" w:rsidRPr="008C087D" w:rsidRDefault="00D81DFB" w:rsidP="00084612">
            <w:pPr>
              <w:pStyle w:val="ListParagraph"/>
              <w:numPr>
                <w:ilvl w:val="0"/>
                <w:numId w:val="5"/>
              </w:numPr>
              <w:spacing w:before="120" w:after="120"/>
              <w:ind w:left="125" w:right="113"/>
              <w:contextualSpacing w:val="0"/>
              <w:jc w:val="both"/>
            </w:pPr>
            <w:r w:rsidRPr="008C087D">
              <w:rPr>
                <w:b/>
                <w:u w:val="single"/>
              </w:rPr>
              <w:t>Iekšlietu ministrijas</w:t>
            </w:r>
            <w:r w:rsidR="00A12BA7" w:rsidRPr="008C087D">
              <w:t xml:space="preserve"> </w:t>
            </w:r>
            <w:r w:rsidR="00702DFB" w:rsidRPr="008C087D">
              <w:t>–</w:t>
            </w:r>
            <w:r w:rsidRPr="008C087D">
              <w:t xml:space="preserve"> </w:t>
            </w:r>
            <w:r w:rsidR="00702DFB" w:rsidRPr="008C087D">
              <w:rPr>
                <w:b/>
              </w:rPr>
              <w:t>3 692 680</w:t>
            </w:r>
            <w:r w:rsidRPr="008C087D">
              <w:rPr>
                <w:b/>
              </w:rPr>
              <w:t xml:space="preserve"> </w:t>
            </w:r>
            <w:proofErr w:type="spellStart"/>
            <w:r w:rsidRPr="008C087D">
              <w:rPr>
                <w:b/>
                <w:i/>
              </w:rPr>
              <w:t>euro</w:t>
            </w:r>
            <w:proofErr w:type="spellEnd"/>
            <w:r w:rsidRPr="008C087D">
              <w:t>;</w:t>
            </w:r>
          </w:p>
          <w:p w14:paraId="535E3F0F" w14:textId="612C4EE8" w:rsidR="00D81DFB" w:rsidRPr="008C087D" w:rsidRDefault="00D81DFB" w:rsidP="00084612">
            <w:pPr>
              <w:pStyle w:val="ListParagraph"/>
              <w:numPr>
                <w:ilvl w:val="0"/>
                <w:numId w:val="5"/>
              </w:numPr>
              <w:spacing w:before="120" w:after="120"/>
              <w:ind w:left="125" w:right="113"/>
              <w:contextualSpacing w:val="0"/>
              <w:jc w:val="both"/>
            </w:pPr>
            <w:r w:rsidRPr="008C087D">
              <w:rPr>
                <w:b/>
                <w:u w:val="single"/>
              </w:rPr>
              <w:t>Tieslietu ministrijas</w:t>
            </w:r>
            <w:r w:rsidRPr="008C087D">
              <w:t xml:space="preserve"> </w:t>
            </w:r>
            <w:r w:rsidR="00702DFB" w:rsidRPr="008C087D">
              <w:t>–</w:t>
            </w:r>
            <w:r w:rsidRPr="008C087D">
              <w:t xml:space="preserve"> </w:t>
            </w:r>
            <w:r w:rsidR="00702DFB" w:rsidRPr="008C087D">
              <w:rPr>
                <w:b/>
              </w:rPr>
              <w:t>1 379 476</w:t>
            </w:r>
            <w:r w:rsidRPr="008C087D">
              <w:rPr>
                <w:b/>
              </w:rPr>
              <w:t xml:space="preserve"> </w:t>
            </w:r>
            <w:proofErr w:type="spellStart"/>
            <w:r w:rsidRPr="008C087D">
              <w:rPr>
                <w:b/>
                <w:i/>
              </w:rPr>
              <w:t>euro</w:t>
            </w:r>
            <w:proofErr w:type="spellEnd"/>
            <w:r w:rsidRPr="008C087D">
              <w:t>;</w:t>
            </w:r>
          </w:p>
          <w:p w14:paraId="6D78CA19" w14:textId="3AD01FE1" w:rsidR="00702DFB" w:rsidRPr="008C087D" w:rsidRDefault="00702DFB" w:rsidP="00084612">
            <w:pPr>
              <w:spacing w:before="120" w:after="120"/>
              <w:ind w:left="125" w:right="113"/>
              <w:jc w:val="both"/>
            </w:pPr>
            <w:r w:rsidRPr="008C087D">
              <w:rPr>
                <w:b/>
                <w:u w:val="single"/>
              </w:rPr>
              <w:t>Aizsardzības ministrijas</w:t>
            </w:r>
            <w:r w:rsidRPr="008C087D">
              <w:t xml:space="preserve"> – </w:t>
            </w:r>
            <w:r w:rsidRPr="008C087D">
              <w:rPr>
                <w:b/>
              </w:rPr>
              <w:t xml:space="preserve">420 316 </w:t>
            </w:r>
            <w:proofErr w:type="spellStart"/>
            <w:r w:rsidRPr="008C087D">
              <w:rPr>
                <w:b/>
                <w:i/>
              </w:rPr>
              <w:t>euro</w:t>
            </w:r>
            <w:proofErr w:type="spellEnd"/>
            <w:r w:rsidRPr="008C087D">
              <w:t>;</w:t>
            </w:r>
          </w:p>
          <w:p w14:paraId="323F2C2D" w14:textId="18B79B1D" w:rsidR="00702DFB" w:rsidRPr="008C087D" w:rsidRDefault="00A12BA7" w:rsidP="00084612">
            <w:pPr>
              <w:pStyle w:val="ListParagraph"/>
              <w:numPr>
                <w:ilvl w:val="0"/>
                <w:numId w:val="5"/>
              </w:numPr>
              <w:spacing w:before="120" w:after="120"/>
              <w:ind w:left="125" w:right="113"/>
              <w:contextualSpacing w:val="0"/>
              <w:jc w:val="both"/>
              <w:rPr>
                <w:b/>
              </w:rPr>
            </w:pPr>
            <w:r w:rsidRPr="008C087D">
              <w:rPr>
                <w:b/>
                <w:u w:val="single"/>
              </w:rPr>
              <w:t>Satiksmes ministrijas</w:t>
            </w:r>
            <w:r w:rsidRPr="008C087D">
              <w:t xml:space="preserve"> </w:t>
            </w:r>
            <w:r w:rsidR="00702DFB" w:rsidRPr="008C087D">
              <w:t xml:space="preserve">– </w:t>
            </w:r>
            <w:r w:rsidR="00702DFB" w:rsidRPr="008C087D">
              <w:rPr>
                <w:b/>
              </w:rPr>
              <w:t xml:space="preserve">11 987 608 </w:t>
            </w:r>
            <w:proofErr w:type="spellStart"/>
            <w:r w:rsidR="00702DFB" w:rsidRPr="008C087D">
              <w:rPr>
                <w:b/>
                <w:i/>
              </w:rPr>
              <w:t>euro</w:t>
            </w:r>
            <w:proofErr w:type="spellEnd"/>
            <w:r w:rsidR="00702DFB" w:rsidRPr="008C087D">
              <w:rPr>
                <w:b/>
                <w:i/>
              </w:rPr>
              <w:t>;</w:t>
            </w:r>
          </w:p>
          <w:p w14:paraId="61A5F817" w14:textId="390E3D1C" w:rsidR="00D81DFB" w:rsidRPr="008C087D" w:rsidRDefault="00D81DFB" w:rsidP="00084612">
            <w:pPr>
              <w:pStyle w:val="ListParagraph"/>
              <w:numPr>
                <w:ilvl w:val="0"/>
                <w:numId w:val="5"/>
              </w:numPr>
              <w:spacing w:before="120" w:after="120"/>
              <w:ind w:left="125" w:right="113"/>
              <w:contextualSpacing w:val="0"/>
              <w:jc w:val="both"/>
            </w:pPr>
            <w:r w:rsidRPr="008C087D">
              <w:rPr>
                <w:b/>
                <w:u w:val="single"/>
              </w:rPr>
              <w:t>Veselības ministrijas</w:t>
            </w:r>
            <w:r w:rsidRPr="008C087D">
              <w:t xml:space="preserve"> </w:t>
            </w:r>
            <w:r w:rsidR="00702DFB" w:rsidRPr="008C087D">
              <w:t>–</w:t>
            </w:r>
            <w:r w:rsidRPr="008C087D">
              <w:t xml:space="preserve"> </w:t>
            </w:r>
            <w:r w:rsidR="00702DFB" w:rsidRPr="008C087D">
              <w:rPr>
                <w:b/>
              </w:rPr>
              <w:t>4 023 579</w:t>
            </w:r>
            <w:r w:rsidRPr="008C087D">
              <w:rPr>
                <w:b/>
              </w:rPr>
              <w:t xml:space="preserve"> </w:t>
            </w:r>
            <w:proofErr w:type="spellStart"/>
            <w:r w:rsidRPr="008C087D">
              <w:rPr>
                <w:b/>
                <w:i/>
              </w:rPr>
              <w:t>euro</w:t>
            </w:r>
            <w:proofErr w:type="spellEnd"/>
            <w:r w:rsidR="00702DFB" w:rsidRPr="008C087D">
              <w:t>;</w:t>
            </w:r>
          </w:p>
          <w:p w14:paraId="26B398B9" w14:textId="0C6F9F33" w:rsidR="00702DFB" w:rsidRPr="008C087D" w:rsidRDefault="00702DFB" w:rsidP="00084612">
            <w:pPr>
              <w:pStyle w:val="ListParagraph"/>
              <w:numPr>
                <w:ilvl w:val="0"/>
                <w:numId w:val="5"/>
              </w:numPr>
              <w:spacing w:before="120" w:after="120"/>
              <w:ind w:left="125" w:right="113"/>
              <w:contextualSpacing w:val="0"/>
              <w:jc w:val="both"/>
            </w:pPr>
            <w:r w:rsidRPr="008C087D">
              <w:rPr>
                <w:b/>
                <w:u w:val="single"/>
              </w:rPr>
              <w:t>Vides aizsardzības un reģionālās attīst</w:t>
            </w:r>
            <w:r w:rsidR="00A12BA7" w:rsidRPr="008C087D">
              <w:rPr>
                <w:b/>
                <w:u w:val="single"/>
              </w:rPr>
              <w:t>ības ministrijas</w:t>
            </w:r>
            <w:r w:rsidR="00A12BA7" w:rsidRPr="008C087D">
              <w:t xml:space="preserve"> </w:t>
            </w:r>
            <w:r w:rsidRPr="008C087D">
              <w:t xml:space="preserve">– </w:t>
            </w:r>
            <w:r w:rsidRPr="008C087D">
              <w:rPr>
                <w:b/>
              </w:rPr>
              <w:t xml:space="preserve">290 155 </w:t>
            </w:r>
            <w:proofErr w:type="spellStart"/>
            <w:r w:rsidRPr="008C087D">
              <w:rPr>
                <w:b/>
                <w:i/>
              </w:rPr>
              <w:t>euro</w:t>
            </w:r>
            <w:proofErr w:type="spellEnd"/>
            <w:r w:rsidR="00A12BA7" w:rsidRPr="008C087D">
              <w:t>;</w:t>
            </w:r>
          </w:p>
          <w:p w14:paraId="72F80D16" w14:textId="28F827C6" w:rsidR="00A12BA7" w:rsidRPr="008C087D" w:rsidRDefault="00A12BA7" w:rsidP="00084612">
            <w:pPr>
              <w:pStyle w:val="ListParagraph"/>
              <w:numPr>
                <w:ilvl w:val="0"/>
                <w:numId w:val="5"/>
              </w:numPr>
              <w:spacing w:before="120" w:after="120"/>
              <w:ind w:left="125" w:right="113"/>
              <w:contextualSpacing w:val="0"/>
              <w:jc w:val="both"/>
              <w:rPr>
                <w:b/>
              </w:rPr>
            </w:pPr>
            <w:r w:rsidRPr="008C087D">
              <w:rPr>
                <w:b/>
                <w:u w:val="single"/>
              </w:rPr>
              <w:t>Labklājības ministrijas</w:t>
            </w:r>
            <w:r w:rsidRPr="008C087D">
              <w:t xml:space="preserve"> – </w:t>
            </w:r>
            <w:r w:rsidRPr="008C087D">
              <w:rPr>
                <w:b/>
              </w:rPr>
              <w:t>1 004 765</w:t>
            </w:r>
            <w:r w:rsidRPr="008C087D">
              <w:rPr>
                <w:b/>
                <w:i/>
              </w:rPr>
              <w:t xml:space="preserve"> </w:t>
            </w:r>
            <w:proofErr w:type="spellStart"/>
            <w:r w:rsidRPr="008C087D">
              <w:rPr>
                <w:b/>
                <w:i/>
              </w:rPr>
              <w:t>euro</w:t>
            </w:r>
            <w:proofErr w:type="spellEnd"/>
            <w:r w:rsidRPr="008C087D">
              <w:rPr>
                <w:b/>
              </w:rPr>
              <w:t>;</w:t>
            </w:r>
          </w:p>
          <w:p w14:paraId="654F66D5" w14:textId="423CEECF" w:rsidR="00A12BA7" w:rsidRPr="008C087D" w:rsidRDefault="00A12BA7" w:rsidP="00084612">
            <w:pPr>
              <w:pStyle w:val="ListParagraph"/>
              <w:numPr>
                <w:ilvl w:val="0"/>
                <w:numId w:val="5"/>
              </w:numPr>
              <w:spacing w:before="120" w:after="120"/>
              <w:ind w:left="125" w:right="113"/>
              <w:contextualSpacing w:val="0"/>
              <w:jc w:val="both"/>
              <w:rPr>
                <w:b/>
              </w:rPr>
            </w:pPr>
            <w:r w:rsidRPr="008C087D">
              <w:rPr>
                <w:b/>
                <w:u w:val="single"/>
              </w:rPr>
              <w:t>Izglītības un zinātnes ministrijas</w:t>
            </w:r>
            <w:r w:rsidRPr="008C087D">
              <w:rPr>
                <w:b/>
              </w:rPr>
              <w:t xml:space="preserve"> – 790 355</w:t>
            </w:r>
            <w:r w:rsidRPr="008C087D">
              <w:rPr>
                <w:b/>
                <w:i/>
              </w:rPr>
              <w:t xml:space="preserve"> </w:t>
            </w:r>
            <w:proofErr w:type="spellStart"/>
            <w:r w:rsidRPr="008C087D">
              <w:rPr>
                <w:b/>
                <w:i/>
              </w:rPr>
              <w:t>euro</w:t>
            </w:r>
            <w:proofErr w:type="spellEnd"/>
            <w:r w:rsidRPr="008C087D">
              <w:rPr>
                <w:b/>
              </w:rPr>
              <w:t>;</w:t>
            </w:r>
          </w:p>
          <w:p w14:paraId="79130DBC" w14:textId="1E1889BA" w:rsidR="00A12BA7" w:rsidRPr="008C087D" w:rsidRDefault="00A12BA7" w:rsidP="00084612">
            <w:pPr>
              <w:pStyle w:val="ListParagraph"/>
              <w:numPr>
                <w:ilvl w:val="0"/>
                <w:numId w:val="5"/>
              </w:numPr>
              <w:spacing w:before="120" w:after="120"/>
              <w:ind w:left="125" w:right="113"/>
              <w:contextualSpacing w:val="0"/>
              <w:jc w:val="both"/>
              <w:rPr>
                <w:b/>
              </w:rPr>
            </w:pPr>
            <w:r w:rsidRPr="008C087D">
              <w:rPr>
                <w:b/>
                <w:u w:val="single"/>
              </w:rPr>
              <w:t>Kultūras ministrijas</w:t>
            </w:r>
            <w:r w:rsidRPr="008C087D">
              <w:rPr>
                <w:b/>
              </w:rPr>
              <w:t xml:space="preserve"> – 3 000 000</w:t>
            </w:r>
            <w:r w:rsidRPr="008C087D">
              <w:rPr>
                <w:b/>
                <w:i/>
              </w:rPr>
              <w:t xml:space="preserve"> </w:t>
            </w:r>
            <w:proofErr w:type="spellStart"/>
            <w:r w:rsidRPr="008C087D">
              <w:rPr>
                <w:b/>
                <w:i/>
              </w:rPr>
              <w:t>euro</w:t>
            </w:r>
            <w:proofErr w:type="spellEnd"/>
            <w:r w:rsidRPr="008C087D">
              <w:rPr>
                <w:b/>
              </w:rPr>
              <w:t>.</w:t>
            </w:r>
          </w:p>
          <w:p w14:paraId="5F38206E" w14:textId="77777777" w:rsidR="00F77B2A" w:rsidRDefault="00F77B2A" w:rsidP="00084612">
            <w:pPr>
              <w:spacing w:before="120" w:after="120"/>
              <w:ind w:left="125" w:right="113" w:firstLine="284"/>
              <w:jc w:val="both"/>
              <w:rPr>
                <w:b/>
              </w:rPr>
            </w:pPr>
          </w:p>
          <w:p w14:paraId="372B7BCC" w14:textId="49B73AA0" w:rsidR="00D6079A" w:rsidRPr="008C087D" w:rsidRDefault="00D6079A" w:rsidP="00084612">
            <w:pPr>
              <w:spacing w:before="120" w:after="120"/>
              <w:ind w:left="125" w:right="113" w:firstLine="284"/>
              <w:jc w:val="both"/>
              <w:rPr>
                <w:b/>
              </w:rPr>
            </w:pPr>
            <w:r w:rsidRPr="008C087D">
              <w:rPr>
                <w:b/>
              </w:rPr>
              <w:lastRenderedPageBreak/>
              <w:t>3.</w:t>
            </w:r>
            <w:r w:rsidRPr="008C087D">
              <w:t xml:space="preserve"> </w:t>
            </w:r>
            <w:r w:rsidR="00BC3853" w:rsidRPr="008C087D">
              <w:t>Ņemot vērā iepriekš minēto informāciju,</w:t>
            </w:r>
            <w:r w:rsidR="007C4626" w:rsidRPr="008C087D">
              <w:t xml:space="preserve"> </w:t>
            </w:r>
            <w:r w:rsidR="007C4626" w:rsidRPr="008C087D">
              <w:rPr>
                <w:b/>
              </w:rPr>
              <w:t>p</w:t>
            </w:r>
            <w:r w:rsidRPr="008C087D">
              <w:rPr>
                <w:b/>
              </w:rPr>
              <w:t>rognozētais līdzekļu deficīts 80.00.00 programmā</w:t>
            </w:r>
            <w:r w:rsidR="005D0284" w:rsidRPr="008C087D">
              <w:rPr>
                <w:b/>
              </w:rPr>
              <w:t xml:space="preserve"> </w:t>
            </w:r>
            <w:r w:rsidR="003951DF" w:rsidRPr="008C087D">
              <w:rPr>
                <w:b/>
              </w:rPr>
              <w:t xml:space="preserve">līdz gada beigām </w:t>
            </w:r>
            <w:r w:rsidR="005D0284" w:rsidRPr="008C087D">
              <w:rPr>
                <w:b/>
              </w:rPr>
              <w:t>ir</w:t>
            </w:r>
            <w:r w:rsidR="005D0284" w:rsidRPr="008C087D">
              <w:t xml:space="preserve"> </w:t>
            </w:r>
            <w:r w:rsidR="00D75928" w:rsidRPr="008C087D">
              <w:rPr>
                <w:b/>
              </w:rPr>
              <w:t>30</w:t>
            </w:r>
            <w:r w:rsidR="000E7B78">
              <w:rPr>
                <w:b/>
              </w:rPr>
              <w:t> </w:t>
            </w:r>
            <w:r w:rsidR="00D75928" w:rsidRPr="008C087D">
              <w:rPr>
                <w:b/>
              </w:rPr>
              <w:t>000</w:t>
            </w:r>
            <w:r w:rsidR="000E7B78">
              <w:rPr>
                <w:b/>
              </w:rPr>
              <w:t> </w:t>
            </w:r>
            <w:bookmarkStart w:id="0" w:name="_GoBack"/>
            <w:bookmarkEnd w:id="0"/>
            <w:r w:rsidR="00D75928" w:rsidRPr="008C087D">
              <w:rPr>
                <w:b/>
              </w:rPr>
              <w:t>000</w:t>
            </w:r>
            <w:r w:rsidR="005D0284" w:rsidRPr="008C087D">
              <w:rPr>
                <w:b/>
              </w:rPr>
              <w:t xml:space="preserve"> </w:t>
            </w:r>
            <w:proofErr w:type="spellStart"/>
            <w:r w:rsidR="005D0284" w:rsidRPr="008C087D">
              <w:rPr>
                <w:b/>
                <w:i/>
              </w:rPr>
              <w:t>euro</w:t>
            </w:r>
            <w:proofErr w:type="spellEnd"/>
            <w:r w:rsidRPr="008C087D">
              <w:t>, t.sk. ņemot vērā 80.00.00 programmas atlikumu uz 201</w:t>
            </w:r>
            <w:r w:rsidR="008322A7" w:rsidRPr="008C087D">
              <w:t>9</w:t>
            </w:r>
            <w:r w:rsidRPr="008C087D">
              <w:t xml:space="preserve">.gada </w:t>
            </w:r>
            <w:r w:rsidR="00B17E92" w:rsidRPr="008C087D">
              <w:t>21.novembri</w:t>
            </w:r>
            <w:r w:rsidRPr="008C087D">
              <w:t xml:space="preserve">, </w:t>
            </w:r>
            <w:r w:rsidR="00D54B2D" w:rsidRPr="008C087D">
              <w:t>ministriju</w:t>
            </w:r>
            <w:r w:rsidRPr="008C087D">
              <w:t xml:space="preserve"> sniegto</w:t>
            </w:r>
            <w:r w:rsidR="009E5A67" w:rsidRPr="008C087D">
              <w:t>s</w:t>
            </w:r>
            <w:r w:rsidRPr="008C087D">
              <w:t xml:space="preserve"> </w:t>
            </w:r>
            <w:r w:rsidR="009E5A67" w:rsidRPr="008C087D">
              <w:t>pieprasījumus</w:t>
            </w:r>
            <w:r w:rsidRPr="008C087D">
              <w:t xml:space="preserve"> par papildus nepieciešamo līdzekļu apjomu līdz 201</w:t>
            </w:r>
            <w:r w:rsidR="008322A7" w:rsidRPr="008C087D">
              <w:t>9</w:t>
            </w:r>
            <w:r w:rsidRPr="008C087D">
              <w:t>.gada beigām un pieprasījumus apropriācijas pārdalei no ministriju budžetiem uz 80.00.00 programmu</w:t>
            </w:r>
            <w:r w:rsidRPr="008C087D">
              <w:rPr>
                <w:b/>
              </w:rPr>
              <w:t>.</w:t>
            </w:r>
          </w:p>
          <w:p w14:paraId="1A391B1A" w14:textId="77777777" w:rsidR="00D6079A" w:rsidRPr="008C087D" w:rsidRDefault="005C5BDA" w:rsidP="00084612">
            <w:pPr>
              <w:spacing w:before="120" w:after="120"/>
              <w:ind w:left="125" w:right="113" w:firstLine="284"/>
              <w:jc w:val="both"/>
              <w:rPr>
                <w:b/>
              </w:rPr>
            </w:pPr>
            <w:r w:rsidRPr="008C087D">
              <w:rPr>
                <w:b/>
              </w:rPr>
              <w:t xml:space="preserve">4. </w:t>
            </w:r>
            <w:r w:rsidR="00814BB4" w:rsidRPr="008C087D">
              <w:rPr>
                <w:b/>
              </w:rPr>
              <w:t>Tālākā rīcība</w:t>
            </w:r>
          </w:p>
          <w:p w14:paraId="1BD16DB1" w14:textId="62704918" w:rsidR="00D6079A" w:rsidRPr="008C087D" w:rsidRDefault="00D6079A" w:rsidP="00084612">
            <w:pPr>
              <w:autoSpaceDE w:val="0"/>
              <w:autoSpaceDN w:val="0"/>
              <w:adjustRightInd w:val="0"/>
              <w:spacing w:before="120" w:after="120"/>
              <w:ind w:left="125" w:right="113" w:firstLine="284"/>
              <w:jc w:val="both"/>
              <w:rPr>
                <w:bCs/>
              </w:rPr>
            </w:pPr>
            <w:r w:rsidRPr="008C087D">
              <w:t xml:space="preserve">Ņemot vērā iepriekš minēto, Finanšu ministrija ir sagatavojusi Ministru kabineta rīkojuma projektu, kas paredz palielināt apropriāciju </w:t>
            </w:r>
            <w:r w:rsidRPr="008C087D">
              <w:rPr>
                <w:bCs/>
              </w:rPr>
              <w:t xml:space="preserve">80.00.00 programmai </w:t>
            </w:r>
            <w:r w:rsidR="00D75928" w:rsidRPr="008C087D">
              <w:rPr>
                <w:b/>
              </w:rPr>
              <w:t>30 000 000</w:t>
            </w:r>
            <w:r w:rsidR="00814BB4" w:rsidRPr="008C087D">
              <w:rPr>
                <w:b/>
              </w:rPr>
              <w:t xml:space="preserve"> </w:t>
            </w:r>
            <w:proofErr w:type="spellStart"/>
            <w:r w:rsidRPr="008C087D">
              <w:rPr>
                <w:b/>
                <w:i/>
              </w:rPr>
              <w:t>euro</w:t>
            </w:r>
            <w:proofErr w:type="spellEnd"/>
            <w:r w:rsidR="00F05C20" w:rsidRPr="008C087D">
              <w:rPr>
                <w:b/>
                <w:i/>
              </w:rPr>
              <w:t xml:space="preserve">  </w:t>
            </w:r>
            <w:r w:rsidR="00F05C20" w:rsidRPr="008C087D">
              <w:t>apmērā</w:t>
            </w:r>
            <w:r w:rsidRPr="008C087D">
              <w:t>, lai būtu iespējams veikt apropriācijas pārdali, tādā veidā nodrošinot Eiropas Savienības politiku instrumentu un citu ārvalstu finanšu palīdzības projektu un pasākumu savlaicīgu īstenošanu.</w:t>
            </w:r>
          </w:p>
        </w:tc>
      </w:tr>
      <w:tr w:rsidR="009D36DE" w:rsidRPr="007D3E6E"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7D3E6E" w:rsidRDefault="009D36DE" w:rsidP="000044FA">
            <w:pPr>
              <w:spacing w:before="100" w:after="100"/>
            </w:pPr>
            <w:r w:rsidRPr="007D3E6E">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7D3E6E" w:rsidRDefault="009D36DE" w:rsidP="000044FA">
            <w:pPr>
              <w:spacing w:before="100" w:after="100"/>
            </w:pPr>
            <w:r w:rsidRPr="007D3E6E">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7D3E6E" w:rsidRDefault="003B60B8" w:rsidP="006D245F">
            <w:pPr>
              <w:spacing w:before="100" w:after="100"/>
              <w:ind w:firstLine="123"/>
              <w:jc w:val="both"/>
            </w:pPr>
            <w:r w:rsidRPr="007D3E6E">
              <w:t>Nav</w:t>
            </w:r>
          </w:p>
        </w:tc>
      </w:tr>
      <w:tr w:rsidR="009D36DE" w:rsidRPr="007D3E6E"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7D3E6E" w:rsidRDefault="009D36DE" w:rsidP="000044FA">
            <w:pPr>
              <w:spacing w:before="100" w:after="100"/>
            </w:pPr>
            <w:r w:rsidRPr="007D3E6E">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7D3E6E" w:rsidRDefault="009D36DE" w:rsidP="000044FA">
            <w:pPr>
              <w:spacing w:before="100" w:after="100"/>
            </w:pPr>
            <w:r w:rsidRPr="007D3E6E">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7D3E6E" w:rsidRDefault="003B60B8" w:rsidP="006D245F">
            <w:pPr>
              <w:spacing w:before="100" w:after="100"/>
              <w:ind w:firstLine="123"/>
              <w:jc w:val="both"/>
            </w:pPr>
            <w:r w:rsidRPr="007D3E6E">
              <w:rPr>
                <w:bCs/>
              </w:rPr>
              <w:t>Nav</w:t>
            </w:r>
          </w:p>
        </w:tc>
      </w:tr>
    </w:tbl>
    <w:p w14:paraId="3DBDB41B" w14:textId="77777777" w:rsidR="009D36DE" w:rsidRPr="007D3E6E"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7D3E6E"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7D3E6E" w:rsidRDefault="009D36DE" w:rsidP="004B4E72">
            <w:pPr>
              <w:ind w:right="-19"/>
              <w:jc w:val="center"/>
              <w:rPr>
                <w:b/>
                <w:bCs/>
              </w:rPr>
            </w:pPr>
            <w:r w:rsidRPr="007D3E6E">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7D3E6E" w:rsidRDefault="009D36DE" w:rsidP="000044FA">
            <w:pPr>
              <w:ind w:firstLine="1113"/>
              <w:jc w:val="center"/>
              <w:rPr>
                <w:b/>
                <w:bCs/>
              </w:rPr>
            </w:pPr>
          </w:p>
        </w:tc>
      </w:tr>
      <w:tr w:rsidR="001611E9" w:rsidRPr="007D3E6E"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7D3E6E" w:rsidRDefault="001611E9" w:rsidP="004B4E72">
            <w:pPr>
              <w:jc w:val="center"/>
              <w:rPr>
                <w:b/>
                <w:bCs/>
                <w:highlight w:val="green"/>
              </w:rPr>
            </w:pPr>
            <w:r w:rsidRPr="007D3E6E">
              <w:t>Projekts šo jomu neskar</w:t>
            </w:r>
          </w:p>
        </w:tc>
        <w:tc>
          <w:tcPr>
            <w:tcW w:w="40" w:type="dxa"/>
            <w:shd w:val="clear" w:color="auto" w:fill="auto"/>
            <w:tcMar>
              <w:top w:w="0" w:type="dxa"/>
              <w:left w:w="10" w:type="dxa"/>
              <w:bottom w:w="0" w:type="dxa"/>
              <w:right w:w="10" w:type="dxa"/>
            </w:tcMar>
          </w:tcPr>
          <w:p w14:paraId="4731C3D0" w14:textId="77777777" w:rsidR="001611E9" w:rsidRPr="007D3E6E" w:rsidRDefault="001611E9" w:rsidP="000044FA">
            <w:pPr>
              <w:ind w:firstLine="1113"/>
              <w:jc w:val="center"/>
              <w:rPr>
                <w:b/>
                <w:bCs/>
                <w:highlight w:val="green"/>
              </w:rPr>
            </w:pPr>
          </w:p>
        </w:tc>
      </w:tr>
    </w:tbl>
    <w:p w14:paraId="2054AA73" w14:textId="77777777" w:rsidR="00064F32"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559"/>
        <w:gridCol w:w="1418"/>
        <w:gridCol w:w="992"/>
        <w:gridCol w:w="1134"/>
        <w:gridCol w:w="850"/>
        <w:gridCol w:w="993"/>
        <w:gridCol w:w="1134"/>
        <w:gridCol w:w="8"/>
      </w:tblGrid>
      <w:tr w:rsidR="00064F32" w14:paraId="2290E396" w14:textId="77777777" w:rsidTr="00962079">
        <w:trPr>
          <w:jc w:val="center"/>
        </w:trPr>
        <w:tc>
          <w:tcPr>
            <w:tcW w:w="9501" w:type="dxa"/>
            <w:gridSpan w:val="9"/>
          </w:tcPr>
          <w:p w14:paraId="6B1BBF90" w14:textId="77777777" w:rsidR="00064F32" w:rsidRPr="00E47E33" w:rsidRDefault="00064F32" w:rsidP="000044FA">
            <w:pPr>
              <w:pStyle w:val="NoSpacing"/>
              <w:jc w:val="center"/>
              <w:rPr>
                <w:rFonts w:ascii="Times New Roman" w:hAnsi="Times New Roman"/>
                <w:sz w:val="24"/>
                <w:szCs w:val="24"/>
                <w:lang w:eastAsia="lv-LV"/>
              </w:rPr>
            </w:pPr>
            <w:r w:rsidRPr="00E47E33">
              <w:rPr>
                <w:rFonts w:ascii="Times New Roman" w:hAnsi="Times New Roman"/>
                <w:b/>
                <w:sz w:val="24"/>
                <w:szCs w:val="24"/>
                <w:lang w:eastAsia="lv-LV"/>
              </w:rPr>
              <w:t>III. Tiesību akta projekta ietekme uz valsts budžetu un pašvaldību budžetiem</w:t>
            </w:r>
          </w:p>
        </w:tc>
      </w:tr>
      <w:tr w:rsidR="00064F32" w14:paraId="5EF10583" w14:textId="77777777" w:rsidTr="007D3E6E">
        <w:trPr>
          <w:jc w:val="center"/>
        </w:trPr>
        <w:tc>
          <w:tcPr>
            <w:tcW w:w="1413" w:type="dxa"/>
            <w:vMerge w:val="restart"/>
          </w:tcPr>
          <w:p w14:paraId="70055DE7" w14:textId="77777777" w:rsidR="00372421" w:rsidRDefault="00372421" w:rsidP="00372421">
            <w:pPr>
              <w:pStyle w:val="NoSpacing"/>
              <w:jc w:val="center"/>
              <w:rPr>
                <w:rFonts w:ascii="Times New Roman" w:hAnsi="Times New Roman"/>
                <w:sz w:val="24"/>
                <w:szCs w:val="24"/>
                <w:lang w:eastAsia="lv-LV"/>
              </w:rPr>
            </w:pPr>
          </w:p>
          <w:p w14:paraId="164D976C" w14:textId="77777777" w:rsidR="00372421" w:rsidRDefault="00372421" w:rsidP="00372421">
            <w:pPr>
              <w:pStyle w:val="NoSpacing"/>
              <w:jc w:val="center"/>
              <w:rPr>
                <w:rFonts w:ascii="Times New Roman" w:hAnsi="Times New Roman"/>
                <w:sz w:val="24"/>
                <w:szCs w:val="24"/>
                <w:lang w:eastAsia="lv-LV"/>
              </w:rPr>
            </w:pPr>
          </w:p>
          <w:p w14:paraId="7F95A946" w14:textId="77777777" w:rsidR="00372421" w:rsidRDefault="00372421" w:rsidP="00372421">
            <w:pPr>
              <w:pStyle w:val="NoSpacing"/>
              <w:jc w:val="center"/>
              <w:rPr>
                <w:rFonts w:ascii="Times New Roman" w:hAnsi="Times New Roman"/>
                <w:sz w:val="24"/>
                <w:szCs w:val="24"/>
                <w:lang w:eastAsia="lv-LV"/>
              </w:rPr>
            </w:pPr>
          </w:p>
          <w:p w14:paraId="1337BA23" w14:textId="77777777" w:rsidR="00372421" w:rsidRDefault="00372421" w:rsidP="00372421">
            <w:pPr>
              <w:pStyle w:val="NoSpacing"/>
              <w:jc w:val="center"/>
              <w:rPr>
                <w:rFonts w:ascii="Times New Roman" w:hAnsi="Times New Roman"/>
                <w:sz w:val="24"/>
                <w:szCs w:val="24"/>
                <w:lang w:eastAsia="lv-LV"/>
              </w:rPr>
            </w:pPr>
          </w:p>
          <w:p w14:paraId="2B77B71A" w14:textId="32842978"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Rādītāji</w:t>
            </w:r>
          </w:p>
        </w:tc>
        <w:tc>
          <w:tcPr>
            <w:tcW w:w="2977" w:type="dxa"/>
            <w:gridSpan w:val="2"/>
            <w:vMerge w:val="restart"/>
          </w:tcPr>
          <w:p w14:paraId="2AB83078" w14:textId="77777777" w:rsidR="00064F32" w:rsidRPr="00962079" w:rsidRDefault="008322A7" w:rsidP="00372421">
            <w:pPr>
              <w:pStyle w:val="NoSpacing"/>
              <w:jc w:val="center"/>
              <w:rPr>
                <w:rFonts w:ascii="Times New Roman" w:hAnsi="Times New Roman"/>
                <w:sz w:val="24"/>
                <w:szCs w:val="24"/>
                <w:lang w:eastAsia="lv-LV"/>
              </w:rPr>
            </w:pPr>
            <w:r>
              <w:rPr>
                <w:rFonts w:ascii="Times New Roman" w:hAnsi="Times New Roman"/>
                <w:sz w:val="24"/>
                <w:szCs w:val="24"/>
                <w:lang w:eastAsia="lv-LV"/>
              </w:rPr>
              <w:t>2019</w:t>
            </w:r>
            <w:r w:rsidR="00064F32" w:rsidRPr="00962079">
              <w:rPr>
                <w:rFonts w:ascii="Times New Roman" w:hAnsi="Times New Roman"/>
                <w:sz w:val="24"/>
                <w:szCs w:val="24"/>
                <w:lang w:eastAsia="lv-LV"/>
              </w:rPr>
              <w:t>. gads</w:t>
            </w:r>
          </w:p>
        </w:tc>
        <w:tc>
          <w:tcPr>
            <w:tcW w:w="5111" w:type="dxa"/>
            <w:gridSpan w:val="6"/>
          </w:tcPr>
          <w:p w14:paraId="77284521" w14:textId="77777777" w:rsidR="00064F32" w:rsidRPr="0027336A" w:rsidRDefault="00064F32" w:rsidP="00372421">
            <w:pPr>
              <w:pStyle w:val="NoSpacing"/>
              <w:jc w:val="center"/>
              <w:rPr>
                <w:rFonts w:ascii="Times New Roman" w:hAnsi="Times New Roman"/>
                <w:lang w:eastAsia="lv-LV"/>
              </w:rPr>
            </w:pPr>
            <w:r w:rsidRPr="0027336A">
              <w:rPr>
                <w:rFonts w:ascii="Times New Roman" w:hAnsi="Times New Roman"/>
                <w:lang w:eastAsia="lv-LV"/>
              </w:rPr>
              <w:t>Turpmākie trīs gadi (</w:t>
            </w:r>
            <w:proofErr w:type="spellStart"/>
            <w:r w:rsidRPr="0027336A">
              <w:rPr>
                <w:rFonts w:ascii="Times New Roman" w:hAnsi="Times New Roman"/>
                <w:i/>
                <w:iCs/>
                <w:lang w:eastAsia="lv-LV"/>
              </w:rPr>
              <w:t>euro</w:t>
            </w:r>
            <w:proofErr w:type="spellEnd"/>
            <w:r w:rsidRPr="0027336A">
              <w:rPr>
                <w:rFonts w:ascii="Times New Roman" w:hAnsi="Times New Roman"/>
                <w:lang w:eastAsia="lv-LV"/>
              </w:rPr>
              <w:t>)</w:t>
            </w:r>
          </w:p>
        </w:tc>
      </w:tr>
      <w:tr w:rsidR="00064F32" w14:paraId="72722EC7" w14:textId="77777777" w:rsidTr="005E37B5">
        <w:trPr>
          <w:jc w:val="center"/>
        </w:trPr>
        <w:tc>
          <w:tcPr>
            <w:tcW w:w="1413" w:type="dxa"/>
            <w:vMerge/>
          </w:tcPr>
          <w:p w14:paraId="5F6D5C9D" w14:textId="77777777" w:rsidR="00064F32" w:rsidRPr="00962079" w:rsidRDefault="00064F32" w:rsidP="00372421">
            <w:pPr>
              <w:pStyle w:val="NoSpacing"/>
              <w:jc w:val="center"/>
              <w:rPr>
                <w:rFonts w:ascii="Times New Roman" w:hAnsi="Times New Roman"/>
                <w:sz w:val="24"/>
                <w:szCs w:val="24"/>
                <w:lang w:eastAsia="lv-LV"/>
              </w:rPr>
            </w:pPr>
          </w:p>
        </w:tc>
        <w:tc>
          <w:tcPr>
            <w:tcW w:w="2977" w:type="dxa"/>
            <w:gridSpan w:val="2"/>
            <w:vMerge/>
          </w:tcPr>
          <w:p w14:paraId="0186CDB4" w14:textId="77777777" w:rsidR="00064F32" w:rsidRPr="00962079" w:rsidRDefault="00064F32" w:rsidP="00372421">
            <w:pPr>
              <w:pStyle w:val="NoSpacing"/>
              <w:jc w:val="center"/>
              <w:rPr>
                <w:rFonts w:ascii="Times New Roman" w:hAnsi="Times New Roman"/>
                <w:sz w:val="24"/>
                <w:szCs w:val="24"/>
                <w:lang w:eastAsia="lv-LV"/>
              </w:rPr>
            </w:pPr>
          </w:p>
        </w:tc>
        <w:tc>
          <w:tcPr>
            <w:tcW w:w="2126" w:type="dxa"/>
            <w:gridSpan w:val="2"/>
          </w:tcPr>
          <w:p w14:paraId="2B8E1DA0" w14:textId="77777777" w:rsidR="00064F32" w:rsidRPr="004B0522" w:rsidRDefault="008322A7" w:rsidP="00372421">
            <w:pPr>
              <w:pStyle w:val="NoSpacing"/>
              <w:jc w:val="center"/>
              <w:rPr>
                <w:rFonts w:ascii="Times New Roman" w:hAnsi="Times New Roman"/>
                <w:sz w:val="20"/>
                <w:szCs w:val="20"/>
                <w:lang w:eastAsia="lv-LV"/>
              </w:rPr>
            </w:pPr>
            <w:r>
              <w:rPr>
                <w:rFonts w:ascii="Times New Roman" w:hAnsi="Times New Roman"/>
                <w:sz w:val="20"/>
                <w:szCs w:val="20"/>
                <w:lang w:eastAsia="lv-LV"/>
              </w:rPr>
              <w:t>2020</w:t>
            </w:r>
            <w:r w:rsidR="00064F32" w:rsidRPr="004B0522">
              <w:rPr>
                <w:rFonts w:ascii="Times New Roman" w:hAnsi="Times New Roman"/>
                <w:sz w:val="20"/>
                <w:szCs w:val="20"/>
                <w:lang w:eastAsia="lv-LV"/>
              </w:rPr>
              <w:t>.gads</w:t>
            </w:r>
          </w:p>
        </w:tc>
        <w:tc>
          <w:tcPr>
            <w:tcW w:w="1843" w:type="dxa"/>
            <w:gridSpan w:val="2"/>
          </w:tcPr>
          <w:p w14:paraId="0613558D" w14:textId="77777777" w:rsidR="00064F32" w:rsidRPr="0027336A" w:rsidRDefault="008322A7" w:rsidP="00372421">
            <w:pPr>
              <w:pStyle w:val="NoSpacing"/>
              <w:jc w:val="center"/>
              <w:rPr>
                <w:rFonts w:ascii="Times New Roman" w:hAnsi="Times New Roman"/>
                <w:lang w:eastAsia="lv-LV"/>
              </w:rPr>
            </w:pPr>
            <w:r>
              <w:rPr>
                <w:rFonts w:ascii="Times New Roman" w:hAnsi="Times New Roman"/>
                <w:lang w:eastAsia="lv-LV"/>
              </w:rPr>
              <w:t>2021</w:t>
            </w:r>
            <w:r w:rsidR="00064F32" w:rsidRPr="0027336A">
              <w:rPr>
                <w:rFonts w:ascii="Times New Roman" w:hAnsi="Times New Roman"/>
                <w:lang w:eastAsia="lv-LV"/>
              </w:rPr>
              <w:t>.gads</w:t>
            </w:r>
          </w:p>
        </w:tc>
        <w:tc>
          <w:tcPr>
            <w:tcW w:w="1142" w:type="dxa"/>
            <w:gridSpan w:val="2"/>
          </w:tcPr>
          <w:p w14:paraId="2EC5B9B5" w14:textId="77777777" w:rsidR="00064F32" w:rsidRPr="0027336A" w:rsidRDefault="00064F32" w:rsidP="00372421">
            <w:pPr>
              <w:pStyle w:val="NoSpacing"/>
              <w:jc w:val="center"/>
              <w:rPr>
                <w:rFonts w:ascii="Times New Roman" w:hAnsi="Times New Roman"/>
                <w:lang w:eastAsia="lv-LV"/>
              </w:rPr>
            </w:pPr>
            <w:r w:rsidRPr="0027336A">
              <w:rPr>
                <w:rFonts w:ascii="Times New Roman" w:hAnsi="Times New Roman"/>
                <w:lang w:eastAsia="lv-LV"/>
              </w:rPr>
              <w:t>202</w:t>
            </w:r>
            <w:r w:rsidR="008322A7">
              <w:rPr>
                <w:rFonts w:ascii="Times New Roman" w:hAnsi="Times New Roman"/>
                <w:lang w:eastAsia="lv-LV"/>
              </w:rPr>
              <w:t>2</w:t>
            </w:r>
            <w:r w:rsidRPr="0027336A">
              <w:rPr>
                <w:rFonts w:ascii="Times New Roman" w:hAnsi="Times New Roman"/>
                <w:lang w:eastAsia="lv-LV"/>
              </w:rPr>
              <w:t>.gads</w:t>
            </w:r>
          </w:p>
        </w:tc>
      </w:tr>
      <w:tr w:rsidR="00064F32" w14:paraId="704E5777" w14:textId="77777777" w:rsidTr="005E37B5">
        <w:trPr>
          <w:gridAfter w:val="1"/>
          <w:wAfter w:w="8" w:type="dxa"/>
          <w:jc w:val="center"/>
        </w:trPr>
        <w:tc>
          <w:tcPr>
            <w:tcW w:w="1413" w:type="dxa"/>
            <w:vMerge/>
          </w:tcPr>
          <w:p w14:paraId="21797E92" w14:textId="77777777" w:rsidR="00064F32" w:rsidRPr="00962079" w:rsidRDefault="00064F32" w:rsidP="00372421">
            <w:pPr>
              <w:pStyle w:val="NoSpacing"/>
              <w:jc w:val="center"/>
              <w:rPr>
                <w:rFonts w:ascii="Times New Roman" w:hAnsi="Times New Roman"/>
                <w:sz w:val="24"/>
                <w:szCs w:val="24"/>
                <w:lang w:eastAsia="lv-LV"/>
              </w:rPr>
            </w:pPr>
          </w:p>
        </w:tc>
        <w:tc>
          <w:tcPr>
            <w:tcW w:w="1559" w:type="dxa"/>
          </w:tcPr>
          <w:p w14:paraId="4CF9630E" w14:textId="77777777"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saskaņā ar valsts budžetu kārtējam gadam</w:t>
            </w:r>
          </w:p>
        </w:tc>
        <w:tc>
          <w:tcPr>
            <w:tcW w:w="1418" w:type="dxa"/>
          </w:tcPr>
          <w:p w14:paraId="1659FCE2" w14:textId="77777777" w:rsidR="00064F32" w:rsidRPr="00962079" w:rsidRDefault="00064F32" w:rsidP="00372421">
            <w:pPr>
              <w:pStyle w:val="NoSpacing"/>
              <w:jc w:val="center"/>
              <w:rPr>
                <w:rFonts w:ascii="Times New Roman" w:hAnsi="Times New Roman"/>
                <w:sz w:val="24"/>
                <w:szCs w:val="24"/>
                <w:lang w:eastAsia="lv-LV"/>
              </w:rPr>
            </w:pPr>
            <w:r w:rsidRPr="00962079">
              <w:rPr>
                <w:rFonts w:ascii="Times New Roman" w:hAnsi="Times New Roman"/>
                <w:sz w:val="24"/>
                <w:szCs w:val="24"/>
                <w:lang w:eastAsia="lv-LV"/>
              </w:rPr>
              <w:t>izmaiņas kārtējā gadā, salīdzinot ar valsts budžetu kārtējam gadam</w:t>
            </w:r>
          </w:p>
        </w:tc>
        <w:tc>
          <w:tcPr>
            <w:tcW w:w="992" w:type="dxa"/>
          </w:tcPr>
          <w:p w14:paraId="15473A0E"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saskaņā ar vidēja termiņa budžeta ietvaru</w:t>
            </w:r>
          </w:p>
        </w:tc>
        <w:tc>
          <w:tcPr>
            <w:tcW w:w="1134" w:type="dxa"/>
          </w:tcPr>
          <w:p w14:paraId="688AD74B"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izmaiņas, salīdzinot ar vidēja termiņa budžeta ietvaru 20</w:t>
            </w:r>
            <w:r w:rsidR="00C142F2">
              <w:rPr>
                <w:rFonts w:ascii="Times New Roman" w:hAnsi="Times New Roman"/>
                <w:lang w:eastAsia="lv-LV"/>
              </w:rPr>
              <w:t>20</w:t>
            </w:r>
            <w:r w:rsidRPr="00962079">
              <w:rPr>
                <w:rFonts w:ascii="Times New Roman" w:hAnsi="Times New Roman"/>
                <w:lang w:eastAsia="lv-LV"/>
              </w:rPr>
              <w:t>. gadam</w:t>
            </w:r>
          </w:p>
        </w:tc>
        <w:tc>
          <w:tcPr>
            <w:tcW w:w="850" w:type="dxa"/>
          </w:tcPr>
          <w:p w14:paraId="31723888" w14:textId="77777777" w:rsidR="00064F32" w:rsidRPr="00962079" w:rsidRDefault="00064F32" w:rsidP="00372421">
            <w:pPr>
              <w:pStyle w:val="NoSpacing"/>
              <w:ind w:left="-102"/>
              <w:jc w:val="center"/>
              <w:rPr>
                <w:rFonts w:ascii="Times New Roman" w:hAnsi="Times New Roman"/>
                <w:lang w:eastAsia="lv-LV"/>
              </w:rPr>
            </w:pPr>
            <w:r w:rsidRPr="00962079">
              <w:rPr>
                <w:rFonts w:ascii="Times New Roman" w:hAnsi="Times New Roman"/>
                <w:lang w:eastAsia="lv-LV"/>
              </w:rPr>
              <w:t>saskaņā ar vidēja termiņa budžeta ietvaru</w:t>
            </w:r>
          </w:p>
        </w:tc>
        <w:tc>
          <w:tcPr>
            <w:tcW w:w="993" w:type="dxa"/>
          </w:tcPr>
          <w:p w14:paraId="05EF7C8C" w14:textId="77777777" w:rsidR="00064F32" w:rsidRPr="00962079" w:rsidRDefault="00064F32" w:rsidP="00372421">
            <w:pPr>
              <w:pStyle w:val="NoSpacing"/>
              <w:ind w:left="-102"/>
              <w:jc w:val="center"/>
              <w:rPr>
                <w:rFonts w:ascii="Times New Roman" w:hAnsi="Times New Roman"/>
                <w:lang w:eastAsia="lv-LV"/>
              </w:rPr>
            </w:pPr>
            <w:r w:rsidRPr="00962079">
              <w:rPr>
                <w:rFonts w:ascii="Times New Roman" w:hAnsi="Times New Roman"/>
                <w:lang w:eastAsia="lv-LV"/>
              </w:rPr>
              <w:t>izmaiņas, salīdzinot ar vid</w:t>
            </w:r>
            <w:r w:rsidR="00C142F2">
              <w:rPr>
                <w:rFonts w:ascii="Times New Roman" w:hAnsi="Times New Roman"/>
                <w:lang w:eastAsia="lv-LV"/>
              </w:rPr>
              <w:t>ēja termiņa budžeta ietvaru 2021</w:t>
            </w:r>
            <w:r w:rsidRPr="00962079">
              <w:rPr>
                <w:rFonts w:ascii="Times New Roman" w:hAnsi="Times New Roman"/>
                <w:lang w:eastAsia="lv-LV"/>
              </w:rPr>
              <w:t>. gadam</w:t>
            </w:r>
          </w:p>
        </w:tc>
        <w:tc>
          <w:tcPr>
            <w:tcW w:w="1134" w:type="dxa"/>
          </w:tcPr>
          <w:p w14:paraId="4F89B0BE" w14:textId="77777777" w:rsidR="00064F32" w:rsidRPr="00962079" w:rsidRDefault="00064F32" w:rsidP="00372421">
            <w:pPr>
              <w:pStyle w:val="NoSpacing"/>
              <w:jc w:val="center"/>
              <w:rPr>
                <w:rFonts w:ascii="Times New Roman" w:hAnsi="Times New Roman"/>
                <w:lang w:eastAsia="lv-LV"/>
              </w:rPr>
            </w:pPr>
            <w:r w:rsidRPr="00962079">
              <w:rPr>
                <w:rFonts w:ascii="Times New Roman" w:hAnsi="Times New Roman"/>
                <w:lang w:eastAsia="lv-LV"/>
              </w:rPr>
              <w:t>izmaiņas, salīdzinot ar vidēja termiņa budžeta ietvaru 202</w:t>
            </w:r>
            <w:r w:rsidR="00C142F2">
              <w:rPr>
                <w:rFonts w:ascii="Times New Roman" w:hAnsi="Times New Roman"/>
                <w:lang w:eastAsia="lv-LV"/>
              </w:rPr>
              <w:t>1</w:t>
            </w:r>
            <w:r w:rsidRPr="00962079">
              <w:rPr>
                <w:rFonts w:ascii="Times New Roman" w:hAnsi="Times New Roman"/>
                <w:lang w:eastAsia="lv-LV"/>
              </w:rPr>
              <w:t>. gadam</w:t>
            </w:r>
          </w:p>
        </w:tc>
      </w:tr>
      <w:tr w:rsidR="00064F32" w14:paraId="06738653" w14:textId="77777777" w:rsidTr="005E37B5">
        <w:trPr>
          <w:gridAfter w:val="1"/>
          <w:wAfter w:w="8" w:type="dxa"/>
          <w:jc w:val="center"/>
        </w:trPr>
        <w:tc>
          <w:tcPr>
            <w:tcW w:w="1413" w:type="dxa"/>
            <w:vAlign w:val="center"/>
          </w:tcPr>
          <w:p w14:paraId="087E6665"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1</w:t>
            </w:r>
          </w:p>
        </w:tc>
        <w:tc>
          <w:tcPr>
            <w:tcW w:w="1559" w:type="dxa"/>
            <w:vAlign w:val="center"/>
          </w:tcPr>
          <w:p w14:paraId="742AF566"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2</w:t>
            </w:r>
          </w:p>
        </w:tc>
        <w:tc>
          <w:tcPr>
            <w:tcW w:w="1418" w:type="dxa"/>
            <w:vAlign w:val="center"/>
          </w:tcPr>
          <w:p w14:paraId="2F15398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3</w:t>
            </w:r>
          </w:p>
        </w:tc>
        <w:tc>
          <w:tcPr>
            <w:tcW w:w="992" w:type="dxa"/>
            <w:vAlign w:val="center"/>
          </w:tcPr>
          <w:p w14:paraId="5C4D947D"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4</w:t>
            </w:r>
          </w:p>
        </w:tc>
        <w:tc>
          <w:tcPr>
            <w:tcW w:w="1134" w:type="dxa"/>
            <w:vAlign w:val="center"/>
          </w:tcPr>
          <w:p w14:paraId="27465714"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5</w:t>
            </w:r>
          </w:p>
        </w:tc>
        <w:tc>
          <w:tcPr>
            <w:tcW w:w="850" w:type="dxa"/>
            <w:vAlign w:val="center"/>
          </w:tcPr>
          <w:p w14:paraId="508761AC"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6</w:t>
            </w:r>
          </w:p>
        </w:tc>
        <w:tc>
          <w:tcPr>
            <w:tcW w:w="993" w:type="dxa"/>
            <w:vAlign w:val="center"/>
          </w:tcPr>
          <w:p w14:paraId="74BAE14B"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7</w:t>
            </w:r>
          </w:p>
        </w:tc>
        <w:tc>
          <w:tcPr>
            <w:tcW w:w="1134" w:type="dxa"/>
            <w:vAlign w:val="center"/>
          </w:tcPr>
          <w:p w14:paraId="4061E3F8" w14:textId="77777777" w:rsidR="00064F32" w:rsidRPr="0027336A" w:rsidRDefault="00064F32" w:rsidP="000044FA">
            <w:pPr>
              <w:pStyle w:val="NoSpacing"/>
              <w:jc w:val="center"/>
              <w:rPr>
                <w:rFonts w:ascii="Times New Roman" w:hAnsi="Times New Roman"/>
                <w:sz w:val="16"/>
                <w:szCs w:val="16"/>
                <w:lang w:eastAsia="lv-LV"/>
              </w:rPr>
            </w:pPr>
            <w:r w:rsidRPr="0027336A">
              <w:rPr>
                <w:rFonts w:ascii="Times New Roman" w:hAnsi="Times New Roman"/>
                <w:sz w:val="16"/>
                <w:szCs w:val="16"/>
                <w:lang w:eastAsia="lv-LV"/>
              </w:rPr>
              <w:t>8</w:t>
            </w:r>
          </w:p>
        </w:tc>
      </w:tr>
      <w:tr w:rsidR="000044FA" w:rsidRPr="007D3E6E" w14:paraId="6285ABA3" w14:textId="77777777" w:rsidTr="005E37B5">
        <w:trPr>
          <w:gridAfter w:val="1"/>
          <w:wAfter w:w="8" w:type="dxa"/>
          <w:jc w:val="center"/>
        </w:trPr>
        <w:tc>
          <w:tcPr>
            <w:tcW w:w="1413" w:type="dxa"/>
          </w:tcPr>
          <w:p w14:paraId="18F4E0D7"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 Budžeta ieņēmumi</w:t>
            </w:r>
          </w:p>
        </w:tc>
        <w:tc>
          <w:tcPr>
            <w:tcW w:w="1559" w:type="dxa"/>
          </w:tcPr>
          <w:p w14:paraId="056264E9" w14:textId="77777777" w:rsidR="001611E9"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9 177 000 835</w:t>
            </w:r>
          </w:p>
        </w:tc>
        <w:tc>
          <w:tcPr>
            <w:tcW w:w="1418" w:type="dxa"/>
          </w:tcPr>
          <w:p w14:paraId="2AC5F917"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07F1B4E9"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EB6020B"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7795111"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5427B052"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1A42E02"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044FA" w:rsidRPr="007D3E6E" w14:paraId="6E564720" w14:textId="77777777" w:rsidTr="005E37B5">
        <w:trPr>
          <w:gridAfter w:val="1"/>
          <w:wAfter w:w="8" w:type="dxa"/>
          <w:jc w:val="center"/>
        </w:trPr>
        <w:tc>
          <w:tcPr>
            <w:tcW w:w="1413" w:type="dxa"/>
          </w:tcPr>
          <w:p w14:paraId="3D166CCC"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1.1. valsts pamatbudžets, tai skaitā ieņēmumi no maksas pakalpojumiem un citi pašu ieņēmumi</w:t>
            </w:r>
          </w:p>
        </w:tc>
        <w:tc>
          <w:tcPr>
            <w:tcW w:w="1559" w:type="dxa"/>
          </w:tcPr>
          <w:p w14:paraId="2058AD1F" w14:textId="77777777" w:rsidR="001611E9"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6 386 550 075</w:t>
            </w:r>
          </w:p>
        </w:tc>
        <w:tc>
          <w:tcPr>
            <w:tcW w:w="1418" w:type="dxa"/>
          </w:tcPr>
          <w:p w14:paraId="04F63E08"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75B65C1F"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FF8F956"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3D823D9F"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882CD76"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D10F365" w14:textId="77777777" w:rsidR="001611E9" w:rsidRPr="007D3E6E" w:rsidRDefault="001611E9"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8E4CF1A" w14:textId="77777777" w:rsidTr="005E37B5">
        <w:trPr>
          <w:gridAfter w:val="1"/>
          <w:wAfter w:w="8" w:type="dxa"/>
          <w:jc w:val="center"/>
        </w:trPr>
        <w:tc>
          <w:tcPr>
            <w:tcW w:w="1413" w:type="dxa"/>
          </w:tcPr>
          <w:p w14:paraId="7EF383DE"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lastRenderedPageBreak/>
              <w:t>1.2. valsts speciālais budžets</w:t>
            </w:r>
          </w:p>
        </w:tc>
        <w:tc>
          <w:tcPr>
            <w:tcW w:w="1559" w:type="dxa"/>
          </w:tcPr>
          <w:p w14:paraId="5F16D58E" w14:textId="77777777" w:rsidR="00064F32"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2 989 513 183</w:t>
            </w:r>
          </w:p>
        </w:tc>
        <w:tc>
          <w:tcPr>
            <w:tcW w:w="1418" w:type="dxa"/>
          </w:tcPr>
          <w:p w14:paraId="0A0B9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79A53E1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34BEFB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3826F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C3B58E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4BCF405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FFC3881" w14:textId="77777777" w:rsidTr="005E37B5">
        <w:trPr>
          <w:gridAfter w:val="1"/>
          <w:wAfter w:w="8" w:type="dxa"/>
          <w:jc w:val="center"/>
        </w:trPr>
        <w:tc>
          <w:tcPr>
            <w:tcW w:w="1413" w:type="dxa"/>
          </w:tcPr>
          <w:p w14:paraId="2CEA15C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1.3. pašvaldību budžets</w:t>
            </w:r>
          </w:p>
        </w:tc>
        <w:tc>
          <w:tcPr>
            <w:tcW w:w="1559" w:type="dxa"/>
          </w:tcPr>
          <w:p w14:paraId="2B532EE4" w14:textId="77777777" w:rsidR="00064F32" w:rsidRPr="007D3E6E" w:rsidRDefault="00064F32"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313ABD5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357F7F23"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773D403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3D4C0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3DFCA9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B6BC1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1C3F2C8B" w14:textId="77777777" w:rsidTr="005E37B5">
        <w:trPr>
          <w:gridAfter w:val="1"/>
          <w:wAfter w:w="8" w:type="dxa"/>
          <w:jc w:val="center"/>
        </w:trPr>
        <w:tc>
          <w:tcPr>
            <w:tcW w:w="1413" w:type="dxa"/>
          </w:tcPr>
          <w:p w14:paraId="4A1093A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 Budžeta izdevumi</w:t>
            </w:r>
          </w:p>
        </w:tc>
        <w:tc>
          <w:tcPr>
            <w:tcW w:w="1559" w:type="dxa"/>
          </w:tcPr>
          <w:p w14:paraId="78FDC2B0" w14:textId="77777777" w:rsidR="00064F32" w:rsidRPr="007D3E6E" w:rsidRDefault="008322A7" w:rsidP="00962079">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9 391 492 946</w:t>
            </w:r>
          </w:p>
        </w:tc>
        <w:tc>
          <w:tcPr>
            <w:tcW w:w="1418" w:type="dxa"/>
          </w:tcPr>
          <w:p w14:paraId="3A22C34A" w14:textId="7A01231C" w:rsidR="00064F32" w:rsidRPr="005E37B5" w:rsidRDefault="00D75928" w:rsidP="000044FA">
            <w:pPr>
              <w:pStyle w:val="NoSpacing"/>
              <w:jc w:val="right"/>
              <w:rPr>
                <w:rFonts w:ascii="Times New Roman" w:hAnsi="Times New Roman"/>
                <w:b/>
                <w:sz w:val="24"/>
                <w:szCs w:val="24"/>
                <w:lang w:eastAsia="lv-LV"/>
              </w:rPr>
            </w:pPr>
            <w:r>
              <w:rPr>
                <w:rFonts w:ascii="Times New Roman" w:hAnsi="Times New Roman"/>
                <w:b/>
                <w:sz w:val="24"/>
                <w:szCs w:val="24"/>
              </w:rPr>
              <w:t>30</w:t>
            </w:r>
            <w:r w:rsidR="00F14F02" w:rsidRPr="005E37B5">
              <w:rPr>
                <w:rFonts w:ascii="Times New Roman" w:hAnsi="Times New Roman"/>
                <w:b/>
                <w:sz w:val="24"/>
                <w:szCs w:val="24"/>
              </w:rPr>
              <w:t> 000 000</w:t>
            </w:r>
          </w:p>
        </w:tc>
        <w:tc>
          <w:tcPr>
            <w:tcW w:w="992" w:type="dxa"/>
          </w:tcPr>
          <w:p w14:paraId="62AAB058"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93BFE3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1D94E43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7404EAF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B65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5F14C625" w14:textId="77777777" w:rsidTr="005E37B5">
        <w:trPr>
          <w:gridAfter w:val="1"/>
          <w:wAfter w:w="8" w:type="dxa"/>
          <w:jc w:val="center"/>
        </w:trPr>
        <w:tc>
          <w:tcPr>
            <w:tcW w:w="1413" w:type="dxa"/>
          </w:tcPr>
          <w:p w14:paraId="3E9C8911" w14:textId="77777777" w:rsidR="00064F32" w:rsidRPr="00962079" w:rsidRDefault="00064F32" w:rsidP="000044FA">
            <w:pPr>
              <w:pStyle w:val="NoSpacing"/>
              <w:rPr>
                <w:rFonts w:ascii="Times New Roman" w:hAnsi="Times New Roman"/>
                <w:sz w:val="21"/>
                <w:szCs w:val="21"/>
                <w:lang w:eastAsia="lv-LV"/>
              </w:rPr>
            </w:pPr>
            <w:r w:rsidRPr="00962079">
              <w:rPr>
                <w:rFonts w:ascii="Times New Roman" w:hAnsi="Times New Roman"/>
                <w:sz w:val="21"/>
                <w:szCs w:val="21"/>
                <w:lang w:eastAsia="lv-LV"/>
              </w:rPr>
              <w:t>2.1. valsts pamatbudžets</w:t>
            </w:r>
          </w:p>
        </w:tc>
        <w:tc>
          <w:tcPr>
            <w:tcW w:w="1559" w:type="dxa"/>
          </w:tcPr>
          <w:p w14:paraId="16433056" w14:textId="77777777" w:rsidR="00064F32" w:rsidRPr="007D3E6E" w:rsidRDefault="00E47E33" w:rsidP="008322A7">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6</w:t>
            </w:r>
            <w:r w:rsidR="008322A7" w:rsidRPr="007D3E6E">
              <w:rPr>
                <w:rFonts w:ascii="Times New Roman" w:hAnsi="Times New Roman"/>
                <w:sz w:val="24"/>
                <w:szCs w:val="24"/>
                <w:lang w:eastAsia="lv-LV"/>
              </w:rPr>
              <w:t> 824 828 613</w:t>
            </w:r>
          </w:p>
        </w:tc>
        <w:tc>
          <w:tcPr>
            <w:tcW w:w="1418" w:type="dxa"/>
          </w:tcPr>
          <w:p w14:paraId="2AA220F2" w14:textId="7050D4F5" w:rsidR="00064F32" w:rsidRPr="005E37B5" w:rsidRDefault="00D75928" w:rsidP="000044FA">
            <w:pPr>
              <w:pStyle w:val="NoSpacing"/>
              <w:jc w:val="right"/>
              <w:rPr>
                <w:rFonts w:ascii="Times New Roman" w:hAnsi="Times New Roman"/>
                <w:sz w:val="24"/>
                <w:szCs w:val="24"/>
                <w:lang w:eastAsia="lv-LV"/>
              </w:rPr>
            </w:pPr>
            <w:r>
              <w:rPr>
                <w:rFonts w:ascii="Times New Roman" w:hAnsi="Times New Roman"/>
                <w:b/>
                <w:sz w:val="24"/>
                <w:szCs w:val="24"/>
              </w:rPr>
              <w:t>30</w:t>
            </w:r>
            <w:r w:rsidR="00F14F02" w:rsidRPr="005E37B5">
              <w:rPr>
                <w:rFonts w:ascii="Times New Roman" w:hAnsi="Times New Roman"/>
                <w:b/>
                <w:sz w:val="24"/>
                <w:szCs w:val="24"/>
              </w:rPr>
              <w:t> 000 000</w:t>
            </w:r>
          </w:p>
        </w:tc>
        <w:tc>
          <w:tcPr>
            <w:tcW w:w="992" w:type="dxa"/>
          </w:tcPr>
          <w:p w14:paraId="28D6A54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D8E711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94C42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236461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72AC6A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5DAFDD09" w14:textId="77777777" w:rsidTr="005E37B5">
        <w:trPr>
          <w:gridAfter w:val="1"/>
          <w:wAfter w:w="8" w:type="dxa"/>
          <w:jc w:val="center"/>
        </w:trPr>
        <w:tc>
          <w:tcPr>
            <w:tcW w:w="1413" w:type="dxa"/>
          </w:tcPr>
          <w:p w14:paraId="3B02577A" w14:textId="77777777" w:rsidR="00E16501" w:rsidRPr="00962079" w:rsidRDefault="00E16501" w:rsidP="000044FA">
            <w:pPr>
              <w:pStyle w:val="NoSpacing"/>
              <w:rPr>
                <w:rFonts w:ascii="Times New Roman" w:hAnsi="Times New Roman"/>
                <w:i/>
                <w:lang w:eastAsia="lv-LV"/>
              </w:rPr>
            </w:pPr>
            <w:r w:rsidRPr="00962079">
              <w:rPr>
                <w:rFonts w:ascii="Times New Roman" w:hAnsi="Times New Roman"/>
                <w:i/>
              </w:rPr>
              <w:t>budžeta resora “74. Gadskārtējā valsts budžeta izpildes procesā pārdalāmais finansējums” 80.00.00 programma</w:t>
            </w:r>
          </w:p>
        </w:tc>
        <w:tc>
          <w:tcPr>
            <w:tcW w:w="1559" w:type="dxa"/>
          </w:tcPr>
          <w:p w14:paraId="63E2BB95" w14:textId="77777777" w:rsidR="00E16501" w:rsidRPr="007D3E6E" w:rsidRDefault="008322A7" w:rsidP="00962079">
            <w:pPr>
              <w:pStyle w:val="NoSpacing"/>
              <w:ind w:left="-253"/>
              <w:jc w:val="right"/>
              <w:rPr>
                <w:rFonts w:ascii="Times New Roman" w:hAnsi="Times New Roman"/>
                <w:i/>
                <w:sz w:val="24"/>
                <w:szCs w:val="24"/>
                <w:lang w:eastAsia="lv-LV"/>
              </w:rPr>
            </w:pPr>
            <w:r w:rsidRPr="007D3E6E">
              <w:rPr>
                <w:rFonts w:ascii="Times New Roman" w:hAnsi="Times New Roman"/>
                <w:i/>
                <w:sz w:val="24"/>
                <w:szCs w:val="24"/>
                <w:lang w:eastAsia="lv-LV"/>
              </w:rPr>
              <w:t>29 156 411</w:t>
            </w:r>
          </w:p>
        </w:tc>
        <w:tc>
          <w:tcPr>
            <w:tcW w:w="1418" w:type="dxa"/>
          </w:tcPr>
          <w:p w14:paraId="0C434249" w14:textId="06193AEA" w:rsidR="00E16501" w:rsidRPr="005E37B5" w:rsidRDefault="00D75928" w:rsidP="00DE1003">
            <w:pPr>
              <w:pStyle w:val="NoSpacing"/>
              <w:jc w:val="right"/>
              <w:rPr>
                <w:rFonts w:ascii="Times New Roman" w:hAnsi="Times New Roman"/>
                <w:b/>
                <w:i/>
                <w:sz w:val="24"/>
                <w:szCs w:val="24"/>
              </w:rPr>
            </w:pPr>
            <w:r>
              <w:rPr>
                <w:rFonts w:ascii="Times New Roman" w:hAnsi="Times New Roman"/>
                <w:b/>
                <w:i/>
                <w:sz w:val="24"/>
                <w:szCs w:val="24"/>
              </w:rPr>
              <w:t>30</w:t>
            </w:r>
            <w:r w:rsidR="00F14F02" w:rsidRPr="005E37B5">
              <w:rPr>
                <w:rFonts w:ascii="Times New Roman" w:hAnsi="Times New Roman"/>
                <w:b/>
                <w:i/>
                <w:sz w:val="24"/>
                <w:szCs w:val="24"/>
              </w:rPr>
              <w:t> </w:t>
            </w:r>
            <w:r w:rsidR="000B283D" w:rsidRPr="005E37B5">
              <w:rPr>
                <w:rFonts w:ascii="Times New Roman" w:hAnsi="Times New Roman"/>
                <w:b/>
                <w:i/>
                <w:sz w:val="24"/>
                <w:szCs w:val="24"/>
              </w:rPr>
              <w:t>0</w:t>
            </w:r>
            <w:r w:rsidR="00F14F02" w:rsidRPr="005E37B5">
              <w:rPr>
                <w:rFonts w:ascii="Times New Roman" w:hAnsi="Times New Roman"/>
                <w:b/>
                <w:i/>
                <w:sz w:val="24"/>
                <w:szCs w:val="24"/>
              </w:rPr>
              <w:t>00 000</w:t>
            </w:r>
          </w:p>
        </w:tc>
        <w:tc>
          <w:tcPr>
            <w:tcW w:w="992" w:type="dxa"/>
          </w:tcPr>
          <w:p w14:paraId="0B52A75D" w14:textId="77777777" w:rsidR="00E16501" w:rsidRPr="005E37B5" w:rsidRDefault="00E16501" w:rsidP="000044FA">
            <w:pPr>
              <w:pStyle w:val="NoSpacing"/>
              <w:jc w:val="right"/>
              <w:rPr>
                <w:rFonts w:ascii="Times New Roman" w:hAnsi="Times New Roman"/>
                <w:sz w:val="24"/>
                <w:szCs w:val="24"/>
                <w:lang w:eastAsia="lv-LV"/>
              </w:rPr>
            </w:pPr>
          </w:p>
        </w:tc>
        <w:tc>
          <w:tcPr>
            <w:tcW w:w="1134" w:type="dxa"/>
          </w:tcPr>
          <w:p w14:paraId="7CEB6124" w14:textId="77777777" w:rsidR="00E16501" w:rsidRPr="007D3E6E" w:rsidRDefault="00E16501" w:rsidP="000044FA">
            <w:pPr>
              <w:pStyle w:val="NoSpacing"/>
              <w:jc w:val="right"/>
              <w:rPr>
                <w:rFonts w:ascii="Times New Roman" w:hAnsi="Times New Roman"/>
                <w:sz w:val="24"/>
                <w:szCs w:val="24"/>
                <w:lang w:eastAsia="lv-LV"/>
              </w:rPr>
            </w:pPr>
          </w:p>
        </w:tc>
        <w:tc>
          <w:tcPr>
            <w:tcW w:w="850" w:type="dxa"/>
          </w:tcPr>
          <w:p w14:paraId="6CFA916B" w14:textId="77777777" w:rsidR="00E16501" w:rsidRPr="007D3E6E" w:rsidRDefault="00E16501" w:rsidP="000044FA">
            <w:pPr>
              <w:pStyle w:val="NoSpacing"/>
              <w:jc w:val="right"/>
              <w:rPr>
                <w:rFonts w:ascii="Times New Roman" w:hAnsi="Times New Roman"/>
                <w:sz w:val="24"/>
                <w:szCs w:val="24"/>
                <w:lang w:eastAsia="lv-LV"/>
              </w:rPr>
            </w:pPr>
          </w:p>
        </w:tc>
        <w:tc>
          <w:tcPr>
            <w:tcW w:w="993" w:type="dxa"/>
          </w:tcPr>
          <w:p w14:paraId="63A9B313" w14:textId="77777777" w:rsidR="00E16501" w:rsidRPr="007D3E6E" w:rsidRDefault="00E16501" w:rsidP="000044FA">
            <w:pPr>
              <w:pStyle w:val="NoSpacing"/>
              <w:jc w:val="right"/>
              <w:rPr>
                <w:rFonts w:ascii="Times New Roman" w:hAnsi="Times New Roman"/>
                <w:sz w:val="24"/>
                <w:szCs w:val="24"/>
                <w:lang w:eastAsia="lv-LV"/>
              </w:rPr>
            </w:pPr>
          </w:p>
        </w:tc>
        <w:tc>
          <w:tcPr>
            <w:tcW w:w="1134" w:type="dxa"/>
          </w:tcPr>
          <w:p w14:paraId="0047CDD4" w14:textId="77777777" w:rsidR="00E16501" w:rsidRPr="007D3E6E" w:rsidRDefault="00E16501" w:rsidP="000044FA">
            <w:pPr>
              <w:pStyle w:val="NoSpacing"/>
              <w:jc w:val="right"/>
              <w:rPr>
                <w:rFonts w:ascii="Times New Roman" w:hAnsi="Times New Roman"/>
                <w:sz w:val="24"/>
                <w:szCs w:val="24"/>
                <w:lang w:eastAsia="lv-LV"/>
              </w:rPr>
            </w:pPr>
          </w:p>
        </w:tc>
      </w:tr>
      <w:tr w:rsidR="00064F32" w:rsidRPr="007D3E6E" w14:paraId="7FB0B2A6" w14:textId="77777777" w:rsidTr="005E37B5">
        <w:trPr>
          <w:gridAfter w:val="1"/>
          <w:wAfter w:w="8" w:type="dxa"/>
          <w:jc w:val="center"/>
        </w:trPr>
        <w:tc>
          <w:tcPr>
            <w:tcW w:w="1413" w:type="dxa"/>
          </w:tcPr>
          <w:p w14:paraId="3EBF83C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2.2. valsts speciālais budžets</w:t>
            </w:r>
          </w:p>
        </w:tc>
        <w:tc>
          <w:tcPr>
            <w:tcW w:w="1559" w:type="dxa"/>
          </w:tcPr>
          <w:p w14:paraId="542E510A" w14:textId="77777777" w:rsidR="00064F32" w:rsidRPr="007D3E6E" w:rsidRDefault="00E47E33" w:rsidP="00372421">
            <w:pPr>
              <w:pStyle w:val="NoSpacing"/>
              <w:ind w:left="-253"/>
              <w:jc w:val="right"/>
              <w:rPr>
                <w:rFonts w:ascii="Times New Roman" w:hAnsi="Times New Roman"/>
                <w:sz w:val="24"/>
                <w:szCs w:val="24"/>
                <w:lang w:eastAsia="lv-LV"/>
              </w:rPr>
            </w:pPr>
            <w:r w:rsidRPr="007D3E6E">
              <w:rPr>
                <w:rFonts w:ascii="Times New Roman" w:hAnsi="Times New Roman"/>
                <w:sz w:val="24"/>
                <w:szCs w:val="24"/>
                <w:lang w:eastAsia="lv-LV"/>
              </w:rPr>
              <w:t>2</w:t>
            </w:r>
            <w:r w:rsidR="008322A7" w:rsidRPr="007D3E6E">
              <w:rPr>
                <w:rFonts w:ascii="Times New Roman" w:hAnsi="Times New Roman"/>
                <w:sz w:val="24"/>
                <w:szCs w:val="24"/>
                <w:lang w:eastAsia="lv-LV"/>
              </w:rPr>
              <w:t> 765 726 756</w:t>
            </w:r>
          </w:p>
        </w:tc>
        <w:tc>
          <w:tcPr>
            <w:tcW w:w="1418" w:type="dxa"/>
          </w:tcPr>
          <w:p w14:paraId="0FE7C2E1"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492BE7D6"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3469DC2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5C2E9A3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DFA4C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8C103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372F9969" w14:textId="77777777" w:rsidTr="005E37B5">
        <w:trPr>
          <w:gridAfter w:val="1"/>
          <w:wAfter w:w="8" w:type="dxa"/>
          <w:jc w:val="center"/>
        </w:trPr>
        <w:tc>
          <w:tcPr>
            <w:tcW w:w="1413" w:type="dxa"/>
          </w:tcPr>
          <w:p w14:paraId="38C27707"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2.3. pašvaldību budžets</w:t>
            </w:r>
          </w:p>
        </w:tc>
        <w:tc>
          <w:tcPr>
            <w:tcW w:w="1559" w:type="dxa"/>
          </w:tcPr>
          <w:p w14:paraId="175D109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68529B3E"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992" w:type="dxa"/>
          </w:tcPr>
          <w:p w14:paraId="441A7550" w14:textId="77777777" w:rsidR="00064F32" w:rsidRPr="005E37B5" w:rsidRDefault="00064F32" w:rsidP="000044FA">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613451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C4E8B0C"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1C3949B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5CCCC8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73CD7EDA" w14:textId="77777777" w:rsidTr="005E37B5">
        <w:trPr>
          <w:gridAfter w:val="1"/>
          <w:wAfter w:w="8" w:type="dxa"/>
          <w:jc w:val="center"/>
        </w:trPr>
        <w:tc>
          <w:tcPr>
            <w:tcW w:w="1413" w:type="dxa"/>
          </w:tcPr>
          <w:p w14:paraId="381D3420" w14:textId="77777777" w:rsidR="00E16501" w:rsidRPr="00962079" w:rsidRDefault="00E16501" w:rsidP="00E16501">
            <w:pPr>
              <w:pStyle w:val="NoSpacing"/>
              <w:rPr>
                <w:rFonts w:ascii="Times New Roman" w:hAnsi="Times New Roman"/>
                <w:lang w:eastAsia="lv-LV"/>
              </w:rPr>
            </w:pPr>
            <w:r w:rsidRPr="00962079">
              <w:rPr>
                <w:rFonts w:ascii="Times New Roman" w:hAnsi="Times New Roman"/>
                <w:lang w:eastAsia="lv-LV"/>
              </w:rPr>
              <w:t>3. Finansiālā ietekme</w:t>
            </w:r>
          </w:p>
        </w:tc>
        <w:tc>
          <w:tcPr>
            <w:tcW w:w="1559" w:type="dxa"/>
          </w:tcPr>
          <w:p w14:paraId="53658771" w14:textId="77777777" w:rsidR="00E16501" w:rsidRPr="007D3E6E" w:rsidRDefault="00E47E33" w:rsidP="00AC1A2E">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w:t>
            </w:r>
            <w:r w:rsidR="00AC1A2E" w:rsidRPr="007D3E6E">
              <w:rPr>
                <w:rFonts w:ascii="Times New Roman" w:hAnsi="Times New Roman"/>
                <w:sz w:val="24"/>
                <w:szCs w:val="24"/>
                <w:lang w:eastAsia="lv-LV"/>
              </w:rPr>
              <w:t>214 492 111</w:t>
            </w:r>
          </w:p>
        </w:tc>
        <w:tc>
          <w:tcPr>
            <w:tcW w:w="1418" w:type="dxa"/>
          </w:tcPr>
          <w:p w14:paraId="7909CF64" w14:textId="28BC71BC" w:rsidR="00E16501" w:rsidRPr="005E37B5" w:rsidRDefault="00E16501" w:rsidP="00D75928">
            <w:pPr>
              <w:ind w:left="-112"/>
              <w:jc w:val="right"/>
            </w:pPr>
            <w:r w:rsidRPr="005E37B5">
              <w:rPr>
                <w:b/>
              </w:rPr>
              <w:t>-</w:t>
            </w:r>
            <w:r w:rsidR="00D75928">
              <w:rPr>
                <w:b/>
              </w:rPr>
              <w:t>30</w:t>
            </w:r>
            <w:r w:rsidR="00F14F02" w:rsidRPr="005E37B5">
              <w:rPr>
                <w:b/>
              </w:rPr>
              <w:t> 000 000</w:t>
            </w:r>
          </w:p>
        </w:tc>
        <w:tc>
          <w:tcPr>
            <w:tcW w:w="992" w:type="dxa"/>
          </w:tcPr>
          <w:p w14:paraId="08662B43" w14:textId="77777777" w:rsidR="00E16501" w:rsidRPr="005E37B5" w:rsidRDefault="00E16501" w:rsidP="00E16501">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52966D99"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FF772A0"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2F5617C"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1AA9812E"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E16501" w:rsidRPr="007D3E6E" w14:paraId="3363C3F7" w14:textId="77777777" w:rsidTr="005E37B5">
        <w:trPr>
          <w:gridAfter w:val="1"/>
          <w:wAfter w:w="8" w:type="dxa"/>
          <w:jc w:val="center"/>
        </w:trPr>
        <w:tc>
          <w:tcPr>
            <w:tcW w:w="1413" w:type="dxa"/>
          </w:tcPr>
          <w:p w14:paraId="2D886A6E" w14:textId="77777777" w:rsidR="00E16501" w:rsidRPr="00962079" w:rsidRDefault="00E16501" w:rsidP="00E16501">
            <w:pPr>
              <w:pStyle w:val="NoSpacing"/>
              <w:rPr>
                <w:rFonts w:ascii="Times New Roman" w:hAnsi="Times New Roman"/>
                <w:sz w:val="21"/>
                <w:szCs w:val="21"/>
                <w:lang w:eastAsia="lv-LV"/>
              </w:rPr>
            </w:pPr>
            <w:r w:rsidRPr="00962079">
              <w:rPr>
                <w:rFonts w:ascii="Times New Roman" w:hAnsi="Times New Roman"/>
                <w:sz w:val="21"/>
                <w:szCs w:val="21"/>
                <w:lang w:eastAsia="lv-LV"/>
              </w:rPr>
              <w:t>3.1. valsts pamatbudžets</w:t>
            </w:r>
          </w:p>
        </w:tc>
        <w:tc>
          <w:tcPr>
            <w:tcW w:w="1559" w:type="dxa"/>
          </w:tcPr>
          <w:p w14:paraId="6567D3E7" w14:textId="77777777" w:rsidR="00E16501" w:rsidRPr="007D3E6E" w:rsidRDefault="00E47E33" w:rsidP="00AC1A2E">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w:t>
            </w:r>
            <w:r w:rsidR="00AC1A2E" w:rsidRPr="007D3E6E">
              <w:rPr>
                <w:rFonts w:ascii="Times New Roman" w:hAnsi="Times New Roman"/>
                <w:sz w:val="24"/>
                <w:szCs w:val="24"/>
                <w:lang w:eastAsia="lv-LV"/>
              </w:rPr>
              <w:t>438 278 538</w:t>
            </w:r>
          </w:p>
        </w:tc>
        <w:tc>
          <w:tcPr>
            <w:tcW w:w="1418" w:type="dxa"/>
          </w:tcPr>
          <w:p w14:paraId="5B392BDE" w14:textId="2C234B54" w:rsidR="00E16501" w:rsidRPr="005E37B5" w:rsidRDefault="00E16501" w:rsidP="00D75928">
            <w:pPr>
              <w:ind w:left="-112"/>
              <w:jc w:val="right"/>
            </w:pPr>
            <w:r w:rsidRPr="005E37B5">
              <w:rPr>
                <w:b/>
              </w:rPr>
              <w:t>-</w:t>
            </w:r>
            <w:r w:rsidR="00D75928">
              <w:rPr>
                <w:b/>
              </w:rPr>
              <w:t>30</w:t>
            </w:r>
            <w:r w:rsidR="00F14F02" w:rsidRPr="005E37B5">
              <w:rPr>
                <w:b/>
              </w:rPr>
              <w:t> 000 000</w:t>
            </w:r>
          </w:p>
        </w:tc>
        <w:tc>
          <w:tcPr>
            <w:tcW w:w="992" w:type="dxa"/>
          </w:tcPr>
          <w:p w14:paraId="3B54D384" w14:textId="77777777" w:rsidR="00E16501" w:rsidRPr="005E37B5" w:rsidRDefault="00E16501" w:rsidP="00E16501">
            <w:pPr>
              <w:pStyle w:val="NoSpacing"/>
              <w:jc w:val="right"/>
              <w:rPr>
                <w:rFonts w:ascii="Times New Roman" w:hAnsi="Times New Roman"/>
                <w:sz w:val="24"/>
                <w:szCs w:val="24"/>
                <w:lang w:eastAsia="lv-LV"/>
              </w:rPr>
            </w:pPr>
            <w:r w:rsidRPr="005E37B5">
              <w:rPr>
                <w:rFonts w:ascii="Times New Roman" w:hAnsi="Times New Roman"/>
                <w:sz w:val="24"/>
                <w:szCs w:val="24"/>
                <w:lang w:eastAsia="lv-LV"/>
              </w:rPr>
              <w:t>0</w:t>
            </w:r>
          </w:p>
        </w:tc>
        <w:tc>
          <w:tcPr>
            <w:tcW w:w="1134" w:type="dxa"/>
          </w:tcPr>
          <w:p w14:paraId="4043500F"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716338DF"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0689B2A9"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B97A361" w14:textId="77777777" w:rsidR="00E16501" w:rsidRPr="007D3E6E" w:rsidRDefault="00E16501" w:rsidP="00E16501">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08C899AA" w14:textId="77777777" w:rsidTr="005E37B5">
        <w:trPr>
          <w:gridAfter w:val="1"/>
          <w:wAfter w:w="8" w:type="dxa"/>
          <w:jc w:val="center"/>
        </w:trPr>
        <w:tc>
          <w:tcPr>
            <w:tcW w:w="1413" w:type="dxa"/>
          </w:tcPr>
          <w:p w14:paraId="15619ACC"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3.2. speciālais budžets</w:t>
            </w:r>
          </w:p>
        </w:tc>
        <w:tc>
          <w:tcPr>
            <w:tcW w:w="1559" w:type="dxa"/>
          </w:tcPr>
          <w:p w14:paraId="5C7C4333" w14:textId="77777777" w:rsidR="00064F32" w:rsidRPr="007D3E6E" w:rsidRDefault="00AC1A2E"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223 786 427</w:t>
            </w:r>
          </w:p>
        </w:tc>
        <w:tc>
          <w:tcPr>
            <w:tcW w:w="1418" w:type="dxa"/>
          </w:tcPr>
          <w:p w14:paraId="262AD31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53F20CB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7DE10F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6D3D705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690C155E"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F9CADE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AABF1C2" w14:textId="77777777" w:rsidTr="005E37B5">
        <w:trPr>
          <w:gridAfter w:val="1"/>
          <w:wAfter w:w="8" w:type="dxa"/>
          <w:jc w:val="center"/>
        </w:trPr>
        <w:tc>
          <w:tcPr>
            <w:tcW w:w="1413" w:type="dxa"/>
          </w:tcPr>
          <w:p w14:paraId="12BBD651"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3.3. pašvaldību budžets</w:t>
            </w:r>
          </w:p>
        </w:tc>
        <w:tc>
          <w:tcPr>
            <w:tcW w:w="1559" w:type="dxa"/>
          </w:tcPr>
          <w:p w14:paraId="4B19A6C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418" w:type="dxa"/>
          </w:tcPr>
          <w:p w14:paraId="322134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tcPr>
          <w:p w14:paraId="3EEEDD1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A57C9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23A8E17B"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20DEE9A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2B6677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25FC07B2" w14:textId="77777777" w:rsidTr="005E37B5">
        <w:trPr>
          <w:gridAfter w:val="1"/>
          <w:wAfter w:w="8" w:type="dxa"/>
          <w:jc w:val="center"/>
        </w:trPr>
        <w:tc>
          <w:tcPr>
            <w:tcW w:w="1413" w:type="dxa"/>
          </w:tcPr>
          <w:p w14:paraId="41667BC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4. Finanšu līdzekļi papildu izdevumu finansēšanai (kompensējošu izdevumu samazinājumu norāda ar "+" zīmi)</w:t>
            </w:r>
          </w:p>
        </w:tc>
        <w:tc>
          <w:tcPr>
            <w:tcW w:w="1559" w:type="dxa"/>
          </w:tcPr>
          <w:p w14:paraId="13A7C5D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8" w:type="dxa"/>
          </w:tcPr>
          <w:p w14:paraId="265D40DE" w14:textId="77777777" w:rsidR="00064F32" w:rsidRPr="007D3E6E" w:rsidRDefault="00E16501"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992" w:type="dxa"/>
          </w:tcPr>
          <w:p w14:paraId="628E38D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528B40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tcPr>
          <w:p w14:paraId="058E60E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4228764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254D6A84"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49558BB9" w14:textId="77777777" w:rsidTr="005E37B5">
        <w:trPr>
          <w:gridAfter w:val="1"/>
          <w:wAfter w:w="8" w:type="dxa"/>
          <w:jc w:val="center"/>
        </w:trPr>
        <w:tc>
          <w:tcPr>
            <w:tcW w:w="1413" w:type="dxa"/>
          </w:tcPr>
          <w:p w14:paraId="50C004EA"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 Precizēta finansiālā ietekme</w:t>
            </w:r>
          </w:p>
        </w:tc>
        <w:tc>
          <w:tcPr>
            <w:tcW w:w="1559" w:type="dxa"/>
            <w:vMerge w:val="restart"/>
          </w:tcPr>
          <w:p w14:paraId="71896942"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X</w:t>
            </w:r>
          </w:p>
        </w:tc>
        <w:tc>
          <w:tcPr>
            <w:tcW w:w="1418" w:type="dxa"/>
          </w:tcPr>
          <w:p w14:paraId="3F980A8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992" w:type="dxa"/>
            <w:vMerge w:val="restart"/>
          </w:tcPr>
          <w:p w14:paraId="46D8B92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034309E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val="restart"/>
          </w:tcPr>
          <w:p w14:paraId="3DDF670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3" w:type="dxa"/>
          </w:tcPr>
          <w:p w14:paraId="3E80C41A"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6CEFDF4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5B33339" w14:textId="77777777" w:rsidTr="005E37B5">
        <w:trPr>
          <w:gridAfter w:val="1"/>
          <w:wAfter w:w="8" w:type="dxa"/>
          <w:jc w:val="center"/>
        </w:trPr>
        <w:tc>
          <w:tcPr>
            <w:tcW w:w="1413" w:type="dxa"/>
          </w:tcPr>
          <w:p w14:paraId="71DE0575" w14:textId="77777777" w:rsidR="00064F32" w:rsidRPr="00962079" w:rsidRDefault="00064F32" w:rsidP="000044FA">
            <w:pPr>
              <w:pStyle w:val="NoSpacing"/>
              <w:rPr>
                <w:rFonts w:ascii="Times New Roman" w:hAnsi="Times New Roman"/>
                <w:sz w:val="20"/>
                <w:szCs w:val="20"/>
                <w:lang w:eastAsia="lv-LV"/>
              </w:rPr>
            </w:pPr>
            <w:r w:rsidRPr="00962079">
              <w:rPr>
                <w:rFonts w:ascii="Times New Roman" w:hAnsi="Times New Roman"/>
                <w:sz w:val="20"/>
                <w:szCs w:val="20"/>
                <w:lang w:eastAsia="lv-LV"/>
              </w:rPr>
              <w:t>5.1. valsts pamatbudžets</w:t>
            </w:r>
          </w:p>
        </w:tc>
        <w:tc>
          <w:tcPr>
            <w:tcW w:w="1559" w:type="dxa"/>
            <w:vMerge/>
          </w:tcPr>
          <w:p w14:paraId="6D843DC1" w14:textId="77777777" w:rsidR="00064F32" w:rsidRPr="007D3E6E" w:rsidRDefault="00064F32" w:rsidP="000044FA">
            <w:pPr>
              <w:pStyle w:val="NoSpacing"/>
              <w:jc w:val="right"/>
              <w:rPr>
                <w:rFonts w:ascii="Times New Roman" w:hAnsi="Times New Roman"/>
                <w:sz w:val="24"/>
                <w:szCs w:val="24"/>
                <w:lang w:eastAsia="lv-LV"/>
              </w:rPr>
            </w:pPr>
          </w:p>
        </w:tc>
        <w:tc>
          <w:tcPr>
            <w:tcW w:w="1418" w:type="dxa"/>
          </w:tcPr>
          <w:p w14:paraId="054216D1"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rPr>
              <w:t>0</w:t>
            </w:r>
          </w:p>
        </w:tc>
        <w:tc>
          <w:tcPr>
            <w:tcW w:w="992" w:type="dxa"/>
            <w:vMerge/>
          </w:tcPr>
          <w:p w14:paraId="53721396"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A663C27"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1F1E9C21"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7458706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FDD3E7D"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75A000B9" w14:textId="77777777" w:rsidTr="005E37B5">
        <w:trPr>
          <w:gridAfter w:val="1"/>
          <w:wAfter w:w="8" w:type="dxa"/>
          <w:jc w:val="center"/>
        </w:trPr>
        <w:tc>
          <w:tcPr>
            <w:tcW w:w="1413" w:type="dxa"/>
          </w:tcPr>
          <w:p w14:paraId="26C10E9D"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t>5.2. speciālais budžets</w:t>
            </w:r>
          </w:p>
        </w:tc>
        <w:tc>
          <w:tcPr>
            <w:tcW w:w="1559" w:type="dxa"/>
            <w:vMerge/>
          </w:tcPr>
          <w:p w14:paraId="575A6F01" w14:textId="77777777" w:rsidR="00064F32" w:rsidRPr="007D3E6E" w:rsidRDefault="00064F32" w:rsidP="000044FA">
            <w:pPr>
              <w:pStyle w:val="NoSpacing"/>
              <w:jc w:val="right"/>
              <w:rPr>
                <w:rFonts w:ascii="Times New Roman" w:hAnsi="Times New Roman"/>
                <w:sz w:val="24"/>
                <w:szCs w:val="24"/>
                <w:lang w:eastAsia="lv-LV"/>
              </w:rPr>
            </w:pPr>
          </w:p>
        </w:tc>
        <w:tc>
          <w:tcPr>
            <w:tcW w:w="1418" w:type="dxa"/>
          </w:tcPr>
          <w:p w14:paraId="43616EA0"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vMerge/>
          </w:tcPr>
          <w:p w14:paraId="0BDDD43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5823A8A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6B0B25D3"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25B71135"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B1BD3F9"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064F32" w:rsidRPr="007D3E6E" w14:paraId="6B097274" w14:textId="77777777" w:rsidTr="005E37B5">
        <w:trPr>
          <w:gridAfter w:val="1"/>
          <w:wAfter w:w="8" w:type="dxa"/>
          <w:jc w:val="center"/>
        </w:trPr>
        <w:tc>
          <w:tcPr>
            <w:tcW w:w="1413" w:type="dxa"/>
          </w:tcPr>
          <w:p w14:paraId="1648B06C" w14:textId="77777777" w:rsidR="00064F32" w:rsidRPr="00962079" w:rsidRDefault="00064F32" w:rsidP="000044FA">
            <w:pPr>
              <w:pStyle w:val="NoSpacing"/>
              <w:rPr>
                <w:rFonts w:ascii="Times New Roman" w:hAnsi="Times New Roman"/>
                <w:lang w:eastAsia="lv-LV"/>
              </w:rPr>
            </w:pPr>
            <w:r w:rsidRPr="00962079">
              <w:rPr>
                <w:rFonts w:ascii="Times New Roman" w:hAnsi="Times New Roman"/>
                <w:lang w:eastAsia="lv-LV"/>
              </w:rPr>
              <w:lastRenderedPageBreak/>
              <w:t>5.3. pašvaldību budžets</w:t>
            </w:r>
          </w:p>
        </w:tc>
        <w:tc>
          <w:tcPr>
            <w:tcW w:w="1559" w:type="dxa"/>
            <w:vMerge/>
          </w:tcPr>
          <w:p w14:paraId="7DA4D268" w14:textId="77777777" w:rsidR="00064F32" w:rsidRPr="007D3E6E" w:rsidRDefault="00064F32" w:rsidP="000044FA">
            <w:pPr>
              <w:pStyle w:val="NoSpacing"/>
              <w:jc w:val="right"/>
              <w:rPr>
                <w:rFonts w:ascii="Times New Roman" w:hAnsi="Times New Roman"/>
                <w:sz w:val="24"/>
                <w:szCs w:val="24"/>
                <w:lang w:eastAsia="lv-LV"/>
              </w:rPr>
            </w:pPr>
          </w:p>
        </w:tc>
        <w:tc>
          <w:tcPr>
            <w:tcW w:w="1418" w:type="dxa"/>
          </w:tcPr>
          <w:p w14:paraId="3728E24F"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992" w:type="dxa"/>
            <w:vMerge/>
          </w:tcPr>
          <w:p w14:paraId="367EB45C" w14:textId="77777777" w:rsidR="00064F32" w:rsidRPr="007D3E6E" w:rsidRDefault="00064F32" w:rsidP="000044FA">
            <w:pPr>
              <w:pStyle w:val="NoSpacing"/>
              <w:jc w:val="right"/>
              <w:rPr>
                <w:rFonts w:ascii="Times New Roman" w:hAnsi="Times New Roman"/>
                <w:sz w:val="24"/>
                <w:szCs w:val="24"/>
                <w:lang w:eastAsia="lv-LV"/>
              </w:rPr>
            </w:pPr>
          </w:p>
        </w:tc>
        <w:tc>
          <w:tcPr>
            <w:tcW w:w="1134" w:type="dxa"/>
          </w:tcPr>
          <w:p w14:paraId="35DA0816"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850" w:type="dxa"/>
            <w:vMerge/>
          </w:tcPr>
          <w:p w14:paraId="08750598" w14:textId="77777777" w:rsidR="00064F32" w:rsidRPr="007D3E6E" w:rsidRDefault="00064F32" w:rsidP="000044FA">
            <w:pPr>
              <w:pStyle w:val="NoSpacing"/>
              <w:jc w:val="right"/>
              <w:rPr>
                <w:rFonts w:ascii="Times New Roman" w:hAnsi="Times New Roman"/>
                <w:sz w:val="24"/>
                <w:szCs w:val="24"/>
                <w:lang w:eastAsia="lv-LV"/>
              </w:rPr>
            </w:pPr>
          </w:p>
        </w:tc>
        <w:tc>
          <w:tcPr>
            <w:tcW w:w="993" w:type="dxa"/>
          </w:tcPr>
          <w:p w14:paraId="0C644448"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c>
          <w:tcPr>
            <w:tcW w:w="1134" w:type="dxa"/>
          </w:tcPr>
          <w:p w14:paraId="7D9C2A23" w14:textId="77777777" w:rsidR="00064F32" w:rsidRPr="007D3E6E" w:rsidRDefault="00064F32" w:rsidP="000044FA">
            <w:pPr>
              <w:pStyle w:val="NoSpacing"/>
              <w:jc w:val="right"/>
              <w:rPr>
                <w:rFonts w:ascii="Times New Roman" w:hAnsi="Times New Roman"/>
                <w:sz w:val="24"/>
                <w:szCs w:val="24"/>
                <w:lang w:eastAsia="lv-LV"/>
              </w:rPr>
            </w:pPr>
            <w:r w:rsidRPr="007D3E6E">
              <w:rPr>
                <w:rFonts w:ascii="Times New Roman" w:hAnsi="Times New Roman"/>
                <w:sz w:val="24"/>
                <w:szCs w:val="24"/>
                <w:lang w:eastAsia="lv-LV"/>
              </w:rPr>
              <w:t>0</w:t>
            </w:r>
          </w:p>
        </w:tc>
      </w:tr>
      <w:tr w:rsidR="00422AFA" w14:paraId="2F5C9D08" w14:textId="77777777" w:rsidTr="00962079">
        <w:trPr>
          <w:jc w:val="center"/>
        </w:trPr>
        <w:tc>
          <w:tcPr>
            <w:tcW w:w="1413" w:type="dxa"/>
          </w:tcPr>
          <w:p w14:paraId="6478C227"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07BD2F4F" w14:textId="77777777" w:rsidR="00422AFA" w:rsidRPr="007D3E6E" w:rsidRDefault="00422AFA" w:rsidP="00422AFA">
            <w:pPr>
              <w:pStyle w:val="NoSpacing"/>
              <w:rPr>
                <w:rFonts w:ascii="Times New Roman" w:hAnsi="Times New Roman"/>
                <w:sz w:val="24"/>
                <w:szCs w:val="24"/>
                <w:lang w:eastAsia="lv-LV"/>
              </w:rPr>
            </w:pPr>
          </w:p>
          <w:p w14:paraId="7FCC94B4" w14:textId="77777777" w:rsidR="004B4E72" w:rsidRPr="007D3E6E" w:rsidRDefault="004B4E72" w:rsidP="00422AFA">
            <w:pPr>
              <w:pStyle w:val="NoSpacing"/>
              <w:rPr>
                <w:rFonts w:ascii="Times New Roman" w:hAnsi="Times New Roman"/>
                <w:sz w:val="24"/>
                <w:szCs w:val="24"/>
                <w:lang w:eastAsia="lv-LV"/>
              </w:rPr>
            </w:pPr>
          </w:p>
          <w:tbl>
            <w:tblPr>
              <w:tblW w:w="7679" w:type="dxa"/>
              <w:tblLayout w:type="fixed"/>
              <w:tblLook w:val="04A0" w:firstRow="1" w:lastRow="0" w:firstColumn="1" w:lastColumn="0" w:noHBand="0" w:noVBand="1"/>
            </w:tblPr>
            <w:tblGrid>
              <w:gridCol w:w="6120"/>
              <w:gridCol w:w="1559"/>
            </w:tblGrid>
            <w:tr w:rsidR="00422AFA" w:rsidRPr="007D3E6E" w14:paraId="360470A3" w14:textId="77777777" w:rsidTr="00422AFA">
              <w:trPr>
                <w:trHeight w:val="300"/>
              </w:trPr>
              <w:tc>
                <w:tcPr>
                  <w:tcW w:w="7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1C7A2" w14:textId="77777777" w:rsidR="00422AFA" w:rsidRPr="007D3E6E" w:rsidRDefault="00422AFA" w:rsidP="005E37B5">
                  <w:pPr>
                    <w:spacing w:before="120" w:after="120"/>
                    <w:jc w:val="center"/>
                    <w:rPr>
                      <w:b/>
                      <w:bCs/>
                      <w:color w:val="000000"/>
                    </w:rPr>
                  </w:pPr>
                  <w:r w:rsidRPr="007D3E6E">
                    <w:rPr>
                      <w:b/>
                      <w:bCs/>
                      <w:color w:val="000000"/>
                    </w:rPr>
                    <w:t>Pārdale no 80.00.00 programmas</w:t>
                  </w:r>
                </w:p>
              </w:tc>
            </w:tr>
            <w:tr w:rsidR="00422AFA" w:rsidRPr="007D3E6E" w14:paraId="40F54B71" w14:textId="77777777" w:rsidTr="00422AFA">
              <w:trPr>
                <w:trHeight w:val="127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6361EE6F" w14:textId="77777777" w:rsidR="00422AFA" w:rsidRPr="007D3E6E" w:rsidRDefault="00422AFA" w:rsidP="00E47150">
                  <w:pPr>
                    <w:spacing w:after="120"/>
                    <w:jc w:val="both"/>
                    <w:rPr>
                      <w:color w:val="000000"/>
                    </w:rPr>
                  </w:pPr>
                  <w:r w:rsidRPr="007D3E6E">
                    <w:rPr>
                      <w:color w:val="000000"/>
                    </w:rPr>
                    <w:t>Likumā "Par valsts budžetu 201</w:t>
                  </w:r>
                  <w:r w:rsidR="00AC1A2E" w:rsidRPr="007D3E6E">
                    <w:rPr>
                      <w:color w:val="000000"/>
                    </w:rPr>
                    <w:t>9</w:t>
                  </w:r>
                  <w:r w:rsidRPr="007D3E6E">
                    <w:rPr>
                      <w:color w:val="000000"/>
                    </w:rPr>
                    <w:t>.gadam" budžeta resora “74. Gadskārtējā valsts budžeta izpildes procesā pārdalāmais finansējums” 80.00.00 programmā “Nesadalītais finansējums Eiropas Savienības politiku instrumentu un pārējās ārvalstu finanšu palīdzības līdzfinansēto projektu un pasākumu īstenošanai” apstiprinātais finansējums</w:t>
                  </w:r>
                </w:p>
              </w:tc>
              <w:tc>
                <w:tcPr>
                  <w:tcW w:w="1559" w:type="dxa"/>
                  <w:tcBorders>
                    <w:top w:val="nil"/>
                    <w:left w:val="nil"/>
                    <w:bottom w:val="single" w:sz="4" w:space="0" w:color="auto"/>
                    <w:right w:val="single" w:sz="4" w:space="0" w:color="auto"/>
                  </w:tcBorders>
                  <w:shd w:val="clear" w:color="auto" w:fill="auto"/>
                  <w:vAlign w:val="center"/>
                  <w:hideMark/>
                </w:tcPr>
                <w:p w14:paraId="3F0514A1" w14:textId="77777777" w:rsidR="00422AFA" w:rsidRPr="007D3E6E" w:rsidRDefault="00AC1A2E" w:rsidP="005E37B5">
                  <w:pPr>
                    <w:spacing w:before="120" w:after="120"/>
                    <w:jc w:val="right"/>
                    <w:rPr>
                      <w:b/>
                      <w:bCs/>
                      <w:color w:val="000000"/>
                    </w:rPr>
                  </w:pPr>
                  <w:r w:rsidRPr="007D3E6E">
                    <w:rPr>
                      <w:b/>
                      <w:bCs/>
                      <w:color w:val="000000"/>
                    </w:rPr>
                    <w:t>29 156 411</w:t>
                  </w:r>
                </w:p>
              </w:tc>
            </w:tr>
            <w:tr w:rsidR="003951DF" w:rsidRPr="00624E78" w14:paraId="3A1A394C" w14:textId="77777777" w:rsidTr="00E47150">
              <w:trPr>
                <w:trHeight w:val="2046"/>
              </w:trPr>
              <w:tc>
                <w:tcPr>
                  <w:tcW w:w="6120" w:type="dxa"/>
                  <w:tcBorders>
                    <w:top w:val="nil"/>
                    <w:left w:val="single" w:sz="4" w:space="0" w:color="auto"/>
                    <w:bottom w:val="single" w:sz="4" w:space="0" w:color="auto"/>
                    <w:right w:val="single" w:sz="4" w:space="0" w:color="auto"/>
                  </w:tcBorders>
                  <w:shd w:val="clear" w:color="auto" w:fill="auto"/>
                  <w:vAlign w:val="center"/>
                </w:tcPr>
                <w:p w14:paraId="5AA0E589" w14:textId="6149BBF7" w:rsidR="003951DF" w:rsidRPr="005E37B5" w:rsidRDefault="00E47150" w:rsidP="00E47150">
                  <w:pPr>
                    <w:spacing w:after="120"/>
                    <w:ind w:right="111"/>
                    <w:jc w:val="both"/>
                    <w:rPr>
                      <w:bCs/>
                      <w:color w:val="000000"/>
                    </w:rPr>
                  </w:pPr>
                  <w:r>
                    <w:t xml:space="preserve">Saskaņā ar Ministru kabineta 2019.gada 17.septembra rīkojumu Nr.439 un Saeimas Budžeta un finanšu (nodokļu) komisijas atļauju atbilstoši </w:t>
                  </w:r>
                  <w:r w:rsidRPr="007D3E6E">
                    <w:t>Likuma par budžetu un finanšu vadību 9.pan</w:t>
                  </w:r>
                  <w:r>
                    <w:t>ta četrpadsmitās daļas 5.punkta nosacījumiem</w:t>
                  </w:r>
                  <w:r w:rsidRPr="007D3E6E">
                    <w:t xml:space="preserve"> </w:t>
                  </w:r>
                  <w:r>
                    <w:t xml:space="preserve">ar 2019.gada 23.septembra rīkojumu Nr.331 palielināta 80.00.00 programmas apropriācija </w:t>
                  </w:r>
                </w:p>
              </w:tc>
              <w:tc>
                <w:tcPr>
                  <w:tcW w:w="1559" w:type="dxa"/>
                  <w:tcBorders>
                    <w:top w:val="nil"/>
                    <w:left w:val="nil"/>
                    <w:bottom w:val="single" w:sz="4" w:space="0" w:color="auto"/>
                    <w:right w:val="single" w:sz="4" w:space="0" w:color="auto"/>
                  </w:tcBorders>
                  <w:shd w:val="clear" w:color="auto" w:fill="auto"/>
                  <w:vAlign w:val="center"/>
                </w:tcPr>
                <w:p w14:paraId="6992A6E9" w14:textId="4EC6311B" w:rsidR="003951DF" w:rsidRPr="00624E78" w:rsidRDefault="00E47150" w:rsidP="005E37B5">
                  <w:pPr>
                    <w:spacing w:before="120" w:after="120"/>
                    <w:jc w:val="right"/>
                    <w:rPr>
                      <w:bCs/>
                      <w:color w:val="000000"/>
                    </w:rPr>
                  </w:pPr>
                  <w:r w:rsidRPr="00624E78">
                    <w:rPr>
                      <w:bCs/>
                      <w:color w:val="000000"/>
                    </w:rPr>
                    <w:t>100 000 000</w:t>
                  </w:r>
                </w:p>
              </w:tc>
            </w:tr>
            <w:tr w:rsidR="00422AFA" w:rsidRPr="00624E78" w14:paraId="440FE6BA" w14:textId="77777777" w:rsidTr="00422AFA">
              <w:trPr>
                <w:trHeight w:val="277"/>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1D5BF78F" w14:textId="2E7E7D8E" w:rsidR="00422AFA" w:rsidRPr="005E37B5" w:rsidRDefault="00422AFA" w:rsidP="00E47150">
                  <w:pPr>
                    <w:spacing w:before="120" w:after="120"/>
                    <w:rPr>
                      <w:bCs/>
                      <w:color w:val="000000"/>
                    </w:rPr>
                  </w:pPr>
                  <w:r w:rsidRPr="005E37B5">
                    <w:rPr>
                      <w:bCs/>
                      <w:color w:val="000000"/>
                    </w:rPr>
                    <w:t xml:space="preserve">Pārdalīts uz ministriju budžetiem līdz </w:t>
                  </w:r>
                  <w:r w:rsidR="00E47150">
                    <w:rPr>
                      <w:bCs/>
                      <w:color w:val="000000"/>
                    </w:rPr>
                    <w:t>21</w:t>
                  </w:r>
                  <w:r w:rsidRPr="005E37B5">
                    <w:rPr>
                      <w:bCs/>
                      <w:color w:val="000000"/>
                    </w:rPr>
                    <w:t>.</w:t>
                  </w:r>
                  <w:r w:rsidR="00E47150">
                    <w:rPr>
                      <w:bCs/>
                      <w:color w:val="000000"/>
                    </w:rPr>
                    <w:t>11</w:t>
                  </w:r>
                  <w:r w:rsidR="00EA6C2F" w:rsidRPr="005E37B5">
                    <w:rPr>
                      <w:bCs/>
                      <w:color w:val="000000"/>
                    </w:rPr>
                    <w:t>.2019</w:t>
                  </w:r>
                  <w:r w:rsidRPr="005E37B5">
                    <w:rPr>
                      <w:bCs/>
                      <w:color w:val="000000"/>
                    </w:rPr>
                    <w:t>.</w:t>
                  </w:r>
                </w:p>
              </w:tc>
              <w:tc>
                <w:tcPr>
                  <w:tcW w:w="1559" w:type="dxa"/>
                  <w:tcBorders>
                    <w:top w:val="nil"/>
                    <w:left w:val="nil"/>
                    <w:bottom w:val="single" w:sz="4" w:space="0" w:color="auto"/>
                    <w:right w:val="single" w:sz="4" w:space="0" w:color="auto"/>
                  </w:tcBorders>
                  <w:shd w:val="clear" w:color="auto" w:fill="auto"/>
                  <w:vAlign w:val="center"/>
                  <w:hideMark/>
                </w:tcPr>
                <w:p w14:paraId="6C34E3B1" w14:textId="06B25A65" w:rsidR="00422AFA" w:rsidRPr="00624E78" w:rsidRDefault="00E47150" w:rsidP="005E37B5">
                  <w:pPr>
                    <w:spacing w:before="120" w:after="120"/>
                    <w:jc w:val="right"/>
                    <w:rPr>
                      <w:bCs/>
                      <w:color w:val="000000"/>
                    </w:rPr>
                  </w:pPr>
                  <w:r w:rsidRPr="00624E78">
                    <w:rPr>
                      <w:bCs/>
                      <w:color w:val="000000"/>
                    </w:rPr>
                    <w:t>114 838 183</w:t>
                  </w:r>
                </w:p>
              </w:tc>
            </w:tr>
            <w:tr w:rsidR="00422AFA" w:rsidRPr="005E37B5" w14:paraId="2984235F" w14:textId="77777777" w:rsidTr="00422AFA">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311336ED" w14:textId="37D97CC8" w:rsidR="00422AFA" w:rsidRPr="005E37B5" w:rsidRDefault="00422AFA" w:rsidP="00E47150">
                  <w:pPr>
                    <w:spacing w:before="120" w:after="120"/>
                    <w:rPr>
                      <w:bCs/>
                      <w:color w:val="000000"/>
                    </w:rPr>
                  </w:pPr>
                  <w:r w:rsidRPr="005E37B5">
                    <w:rPr>
                      <w:bCs/>
                      <w:color w:val="000000"/>
                    </w:rPr>
                    <w:t xml:space="preserve">Atlikums </w:t>
                  </w:r>
                  <w:r w:rsidR="00322196">
                    <w:rPr>
                      <w:bCs/>
                      <w:color w:val="000000"/>
                    </w:rPr>
                    <w:t xml:space="preserve">80.00.00 programmā </w:t>
                  </w:r>
                  <w:r w:rsidRPr="005E37B5">
                    <w:rPr>
                      <w:bCs/>
                      <w:color w:val="000000"/>
                    </w:rPr>
                    <w:t xml:space="preserve">uz </w:t>
                  </w:r>
                  <w:r w:rsidR="00E47150">
                    <w:rPr>
                      <w:bCs/>
                      <w:color w:val="000000"/>
                    </w:rPr>
                    <w:t>21.11</w:t>
                  </w:r>
                  <w:r w:rsidR="00EA6C2F" w:rsidRPr="005E37B5">
                    <w:rPr>
                      <w:bCs/>
                      <w:color w:val="000000"/>
                    </w:rPr>
                    <w:t>.2019</w:t>
                  </w:r>
                  <w:r w:rsidRPr="005E37B5">
                    <w:rPr>
                      <w:bCs/>
                      <w:color w:val="000000"/>
                    </w:rPr>
                    <w:t>.</w:t>
                  </w:r>
                </w:p>
              </w:tc>
              <w:tc>
                <w:tcPr>
                  <w:tcW w:w="1559" w:type="dxa"/>
                  <w:tcBorders>
                    <w:top w:val="nil"/>
                    <w:left w:val="nil"/>
                    <w:bottom w:val="single" w:sz="4" w:space="0" w:color="auto"/>
                    <w:right w:val="single" w:sz="4" w:space="0" w:color="auto"/>
                  </w:tcBorders>
                  <w:shd w:val="clear" w:color="auto" w:fill="auto"/>
                  <w:vAlign w:val="center"/>
                  <w:hideMark/>
                </w:tcPr>
                <w:p w14:paraId="492EF545" w14:textId="76A69A53" w:rsidR="00422AFA" w:rsidRPr="005E37B5" w:rsidRDefault="00E47150" w:rsidP="00E47150">
                  <w:pPr>
                    <w:spacing w:before="120" w:after="120"/>
                    <w:jc w:val="right"/>
                    <w:rPr>
                      <w:b/>
                      <w:bCs/>
                      <w:color w:val="000000"/>
                    </w:rPr>
                  </w:pPr>
                  <w:r>
                    <w:rPr>
                      <w:b/>
                      <w:bCs/>
                      <w:color w:val="000000"/>
                    </w:rPr>
                    <w:t>1</w:t>
                  </w:r>
                  <w:r w:rsidR="00EA6C2F" w:rsidRPr="005E37B5">
                    <w:rPr>
                      <w:b/>
                      <w:bCs/>
                      <w:color w:val="000000"/>
                    </w:rPr>
                    <w:t>4</w:t>
                  </w:r>
                  <w:r>
                    <w:rPr>
                      <w:b/>
                      <w:bCs/>
                      <w:color w:val="000000"/>
                    </w:rPr>
                    <w:t> 318 228</w:t>
                  </w:r>
                </w:p>
              </w:tc>
            </w:tr>
            <w:tr w:rsidR="00422AFA" w:rsidRPr="00624E78" w14:paraId="6F22ADCB" w14:textId="77777777" w:rsidTr="00422AFA">
              <w:trPr>
                <w:trHeight w:val="51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4D4DBC0B" w14:textId="1DAB061F" w:rsidR="00422AFA" w:rsidRPr="00624E78" w:rsidRDefault="002837F3" w:rsidP="00E47150">
                  <w:pPr>
                    <w:spacing w:before="120" w:after="120"/>
                    <w:rPr>
                      <w:bCs/>
                      <w:color w:val="000000"/>
                    </w:rPr>
                  </w:pPr>
                  <w:r w:rsidRPr="00624E78">
                    <w:rPr>
                      <w:bCs/>
                      <w:color w:val="000000"/>
                    </w:rPr>
                    <w:t>M</w:t>
                  </w:r>
                  <w:r w:rsidR="00422AFA" w:rsidRPr="00624E78">
                    <w:rPr>
                      <w:bCs/>
                      <w:color w:val="000000"/>
                    </w:rPr>
                    <w:t xml:space="preserve">inistriju </w:t>
                  </w:r>
                  <w:r w:rsidRPr="00624E78">
                    <w:rPr>
                      <w:bCs/>
                      <w:color w:val="000000"/>
                    </w:rPr>
                    <w:t>sniegtā informācija par prognozēto līdzekļu pārdal</w:t>
                  </w:r>
                  <w:r w:rsidR="00422AFA" w:rsidRPr="00624E78">
                    <w:rPr>
                      <w:bCs/>
                      <w:color w:val="000000"/>
                    </w:rPr>
                    <w:t xml:space="preserve">i uz 80.00.00 programmu </w:t>
                  </w:r>
                  <w:r w:rsidR="00D30ADB" w:rsidRPr="00624E78">
                    <w:rPr>
                      <w:bCs/>
                      <w:color w:val="000000"/>
                    </w:rPr>
                    <w:t>līdz 2019.gada beigām</w:t>
                  </w:r>
                </w:p>
              </w:tc>
              <w:tc>
                <w:tcPr>
                  <w:tcW w:w="1559" w:type="dxa"/>
                  <w:tcBorders>
                    <w:top w:val="nil"/>
                    <w:left w:val="nil"/>
                    <w:bottom w:val="single" w:sz="4" w:space="0" w:color="auto"/>
                    <w:right w:val="single" w:sz="4" w:space="0" w:color="auto"/>
                  </w:tcBorders>
                  <w:shd w:val="clear" w:color="auto" w:fill="auto"/>
                  <w:vAlign w:val="center"/>
                  <w:hideMark/>
                </w:tcPr>
                <w:p w14:paraId="3A33C53E" w14:textId="513454CD" w:rsidR="00422AFA" w:rsidRPr="00624E78" w:rsidRDefault="00624E78" w:rsidP="00624E78">
                  <w:pPr>
                    <w:spacing w:before="120" w:after="120"/>
                    <w:jc w:val="right"/>
                    <w:rPr>
                      <w:bCs/>
                      <w:color w:val="000000"/>
                    </w:rPr>
                  </w:pPr>
                  <w:r w:rsidRPr="00624E78">
                    <w:rPr>
                      <w:bCs/>
                      <w:color w:val="000000"/>
                    </w:rPr>
                    <w:t>26 588 934</w:t>
                  </w:r>
                </w:p>
              </w:tc>
            </w:tr>
            <w:tr w:rsidR="00422AFA" w:rsidRPr="00624E78" w14:paraId="2A19A9CF" w14:textId="77777777" w:rsidTr="00422AFA">
              <w:trPr>
                <w:trHeight w:val="353"/>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20722F85" w14:textId="0353D073" w:rsidR="00422AFA" w:rsidRPr="00624E78" w:rsidRDefault="00422AFA" w:rsidP="00624E78">
                  <w:pPr>
                    <w:spacing w:before="120" w:after="120"/>
                    <w:rPr>
                      <w:bCs/>
                      <w:color w:val="000000"/>
                    </w:rPr>
                  </w:pPr>
                  <w:r w:rsidRPr="00624E78">
                    <w:rPr>
                      <w:bCs/>
                      <w:color w:val="000000"/>
                    </w:rPr>
                    <w:t xml:space="preserve">Papildus </w:t>
                  </w:r>
                  <w:r w:rsidR="00624E78">
                    <w:rPr>
                      <w:bCs/>
                      <w:color w:val="000000"/>
                    </w:rPr>
                    <w:t>pieprasīto</w:t>
                  </w:r>
                  <w:r w:rsidRPr="00624E78">
                    <w:rPr>
                      <w:bCs/>
                      <w:color w:val="000000"/>
                    </w:rPr>
                    <w:t xml:space="preserve"> līdzekļu apjoms līdz 201</w:t>
                  </w:r>
                  <w:r w:rsidR="00EA6C2F" w:rsidRPr="00624E78">
                    <w:rPr>
                      <w:bCs/>
                      <w:color w:val="000000"/>
                    </w:rPr>
                    <w:t>9</w:t>
                  </w:r>
                  <w:r w:rsidRPr="00624E78">
                    <w:rPr>
                      <w:bCs/>
                      <w:color w:val="000000"/>
                    </w:rPr>
                    <w:t>.gada beigām</w:t>
                  </w:r>
                </w:p>
              </w:tc>
              <w:tc>
                <w:tcPr>
                  <w:tcW w:w="1559" w:type="dxa"/>
                  <w:tcBorders>
                    <w:top w:val="nil"/>
                    <w:left w:val="nil"/>
                    <w:bottom w:val="single" w:sz="4" w:space="0" w:color="auto"/>
                    <w:right w:val="single" w:sz="4" w:space="0" w:color="auto"/>
                  </w:tcBorders>
                  <w:shd w:val="clear" w:color="auto" w:fill="auto"/>
                  <w:vAlign w:val="center"/>
                  <w:hideMark/>
                </w:tcPr>
                <w:p w14:paraId="5795D503" w14:textId="47C4B6DA" w:rsidR="00422AFA" w:rsidRPr="00624E78" w:rsidRDefault="00624E78" w:rsidP="00624E78">
                  <w:pPr>
                    <w:spacing w:before="120" w:after="120"/>
                    <w:jc w:val="right"/>
                    <w:rPr>
                      <w:bCs/>
                      <w:color w:val="000000"/>
                    </w:rPr>
                  </w:pPr>
                  <w:r>
                    <w:rPr>
                      <w:bCs/>
                      <w:color w:val="000000"/>
                    </w:rPr>
                    <w:t>70</w:t>
                  </w:r>
                  <w:r w:rsidRPr="00624E78">
                    <w:rPr>
                      <w:bCs/>
                      <w:color w:val="000000"/>
                    </w:rPr>
                    <w:t> </w:t>
                  </w:r>
                  <w:r>
                    <w:rPr>
                      <w:bCs/>
                      <w:color w:val="000000"/>
                    </w:rPr>
                    <w:t>907</w:t>
                  </w:r>
                  <w:r w:rsidRPr="00624E78">
                    <w:rPr>
                      <w:bCs/>
                      <w:color w:val="000000"/>
                    </w:rPr>
                    <w:t xml:space="preserve"> </w:t>
                  </w:r>
                  <w:r>
                    <w:rPr>
                      <w:bCs/>
                      <w:color w:val="000000"/>
                    </w:rPr>
                    <w:t>162</w:t>
                  </w:r>
                </w:p>
              </w:tc>
            </w:tr>
            <w:tr w:rsidR="00422AFA" w:rsidRPr="005E37B5" w14:paraId="0654561A" w14:textId="77777777" w:rsidTr="00422AFA">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35943C3F" w14:textId="77777777" w:rsidR="00422AFA" w:rsidRPr="00624E78" w:rsidRDefault="00422AFA" w:rsidP="005E37B5">
                  <w:pPr>
                    <w:spacing w:before="120" w:after="120"/>
                    <w:rPr>
                      <w:b/>
                      <w:bCs/>
                      <w:color w:val="000000"/>
                    </w:rPr>
                  </w:pPr>
                  <w:r w:rsidRPr="00624E78">
                    <w:rPr>
                      <w:b/>
                      <w:bCs/>
                      <w:color w:val="000000"/>
                    </w:rPr>
                    <w:t>Finansējuma deficīts</w:t>
                  </w:r>
                </w:p>
              </w:tc>
              <w:tc>
                <w:tcPr>
                  <w:tcW w:w="1559" w:type="dxa"/>
                  <w:tcBorders>
                    <w:top w:val="nil"/>
                    <w:left w:val="nil"/>
                    <w:bottom w:val="single" w:sz="4" w:space="0" w:color="auto"/>
                    <w:right w:val="single" w:sz="4" w:space="0" w:color="auto"/>
                  </w:tcBorders>
                  <w:shd w:val="clear" w:color="auto" w:fill="auto"/>
                  <w:vAlign w:val="center"/>
                  <w:hideMark/>
                </w:tcPr>
                <w:p w14:paraId="12D812C2" w14:textId="250967A3" w:rsidR="00422AFA" w:rsidRPr="00624E78" w:rsidRDefault="009A4A62" w:rsidP="00624E78">
                  <w:pPr>
                    <w:spacing w:before="120" w:after="120"/>
                    <w:jc w:val="right"/>
                    <w:rPr>
                      <w:b/>
                      <w:bCs/>
                      <w:color w:val="000000"/>
                    </w:rPr>
                  </w:pPr>
                  <w:r w:rsidRPr="00624E78">
                    <w:rPr>
                      <w:b/>
                      <w:bCs/>
                      <w:color w:val="000000"/>
                    </w:rPr>
                    <w:t>-</w:t>
                  </w:r>
                  <w:r w:rsidR="00624E78">
                    <w:rPr>
                      <w:b/>
                      <w:bCs/>
                      <w:color w:val="000000"/>
                    </w:rPr>
                    <w:t>30</w:t>
                  </w:r>
                  <w:r w:rsidRPr="00624E78">
                    <w:rPr>
                      <w:b/>
                      <w:bCs/>
                      <w:color w:val="000000"/>
                    </w:rPr>
                    <w:t> 000 000</w:t>
                  </w:r>
                </w:p>
              </w:tc>
            </w:tr>
          </w:tbl>
          <w:p w14:paraId="6C77CAB5" w14:textId="77777777" w:rsidR="004B0522" w:rsidRPr="005E37B5" w:rsidRDefault="004B0522" w:rsidP="005E37B5">
            <w:pPr>
              <w:pStyle w:val="NoSpacing"/>
              <w:spacing w:before="120" w:after="120"/>
              <w:rPr>
                <w:rFonts w:ascii="Times New Roman" w:hAnsi="Times New Roman"/>
                <w:sz w:val="24"/>
                <w:szCs w:val="24"/>
                <w:lang w:eastAsia="lv-LV"/>
              </w:rPr>
            </w:pPr>
          </w:p>
          <w:p w14:paraId="38D71C11" w14:textId="74861FC0" w:rsidR="00A0018F" w:rsidRPr="00D26E25" w:rsidRDefault="00AD3761" w:rsidP="00C42374">
            <w:pPr>
              <w:spacing w:before="120" w:after="120"/>
              <w:jc w:val="both"/>
              <w:rPr>
                <w:color w:val="FF0000"/>
              </w:rPr>
            </w:pPr>
            <w:r w:rsidRPr="00D26E25">
              <w:t xml:space="preserve">Palielinot apropriāciju par </w:t>
            </w:r>
            <w:r w:rsidR="00624E78" w:rsidRPr="00D26E25">
              <w:t>30</w:t>
            </w:r>
            <w:r w:rsidRPr="00D26E25">
              <w:t xml:space="preserve">,0 milj. </w:t>
            </w:r>
            <w:proofErr w:type="spellStart"/>
            <w:r w:rsidRPr="00D26E25">
              <w:rPr>
                <w:i/>
                <w:iCs/>
              </w:rPr>
              <w:t>euro</w:t>
            </w:r>
            <w:proofErr w:type="spellEnd"/>
            <w:r w:rsidRPr="00D26E25">
              <w:t xml:space="preserve">, vispārējās valdības budžeta deficīts saskaņā ar Eiropas nacionālo un reģionālo kontu sistēmu palielināsies par </w:t>
            </w:r>
            <w:r w:rsidR="00C42374" w:rsidRPr="00D26E25">
              <w:rPr>
                <w:bCs/>
              </w:rPr>
              <w:t>3</w:t>
            </w:r>
            <w:r w:rsidRPr="00D26E25">
              <w:rPr>
                <w:bCs/>
              </w:rPr>
              <w:t xml:space="preserve"> milj. </w:t>
            </w:r>
            <w:proofErr w:type="spellStart"/>
            <w:r w:rsidRPr="00D26E25">
              <w:rPr>
                <w:bCs/>
                <w:i/>
                <w:iCs/>
              </w:rPr>
              <w:t>euro</w:t>
            </w:r>
            <w:proofErr w:type="spellEnd"/>
            <w:r w:rsidR="00C42374" w:rsidRPr="00D26E25">
              <w:t>.</w:t>
            </w:r>
          </w:p>
        </w:tc>
      </w:tr>
      <w:tr w:rsidR="00422AFA" w14:paraId="032D437D" w14:textId="77777777" w:rsidTr="00962079">
        <w:trPr>
          <w:jc w:val="center"/>
        </w:trPr>
        <w:tc>
          <w:tcPr>
            <w:tcW w:w="1413" w:type="dxa"/>
          </w:tcPr>
          <w:p w14:paraId="0F01021E"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6.1. detalizēts ieņēmumu aprēķins</w:t>
            </w:r>
          </w:p>
        </w:tc>
        <w:tc>
          <w:tcPr>
            <w:tcW w:w="8088" w:type="dxa"/>
            <w:gridSpan w:val="8"/>
            <w:vMerge/>
          </w:tcPr>
          <w:p w14:paraId="34BAF3F1" w14:textId="77777777" w:rsidR="00422AFA" w:rsidRPr="004B0522" w:rsidRDefault="00422AFA" w:rsidP="000044FA">
            <w:pPr>
              <w:pStyle w:val="NoSpacing"/>
              <w:jc w:val="right"/>
              <w:rPr>
                <w:rFonts w:ascii="Times New Roman" w:hAnsi="Times New Roman"/>
                <w:sz w:val="20"/>
                <w:szCs w:val="20"/>
                <w:lang w:eastAsia="lv-LV"/>
              </w:rPr>
            </w:pPr>
          </w:p>
        </w:tc>
      </w:tr>
      <w:tr w:rsidR="00422AFA" w14:paraId="3B7EF858" w14:textId="77777777" w:rsidTr="00962079">
        <w:trPr>
          <w:jc w:val="center"/>
        </w:trPr>
        <w:tc>
          <w:tcPr>
            <w:tcW w:w="1413" w:type="dxa"/>
          </w:tcPr>
          <w:p w14:paraId="7A82CB34" w14:textId="77777777" w:rsidR="00422AFA" w:rsidRPr="00962079" w:rsidRDefault="00422AFA" w:rsidP="000044FA">
            <w:pPr>
              <w:pStyle w:val="NoSpacing"/>
              <w:rPr>
                <w:rFonts w:ascii="Times New Roman" w:hAnsi="Times New Roman"/>
                <w:lang w:eastAsia="lv-LV"/>
              </w:rPr>
            </w:pPr>
            <w:r w:rsidRPr="00962079">
              <w:rPr>
                <w:rFonts w:ascii="Times New Roman" w:hAnsi="Times New Roman"/>
                <w:lang w:eastAsia="lv-LV"/>
              </w:rPr>
              <w:t>6.2. detalizēts izdevumu aprēķins</w:t>
            </w:r>
          </w:p>
        </w:tc>
        <w:tc>
          <w:tcPr>
            <w:tcW w:w="8088" w:type="dxa"/>
            <w:gridSpan w:val="8"/>
            <w:vMerge/>
          </w:tcPr>
          <w:p w14:paraId="06BA7DF6" w14:textId="77777777" w:rsidR="00422AFA" w:rsidRPr="004B0522" w:rsidRDefault="00422AFA" w:rsidP="000044FA">
            <w:pPr>
              <w:pStyle w:val="NoSpacing"/>
              <w:jc w:val="right"/>
              <w:rPr>
                <w:rFonts w:ascii="Times New Roman" w:hAnsi="Times New Roman"/>
                <w:sz w:val="20"/>
                <w:szCs w:val="20"/>
                <w:lang w:eastAsia="lv-LV"/>
              </w:rPr>
            </w:pPr>
          </w:p>
        </w:tc>
      </w:tr>
      <w:tr w:rsidR="001611E9" w14:paraId="7DEA98C3" w14:textId="77777777" w:rsidTr="00962079">
        <w:trPr>
          <w:jc w:val="center"/>
        </w:trPr>
        <w:tc>
          <w:tcPr>
            <w:tcW w:w="1413" w:type="dxa"/>
          </w:tcPr>
          <w:p w14:paraId="110A27BB"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7. Amata vietu skaita izmaiņas</w:t>
            </w:r>
          </w:p>
        </w:tc>
        <w:tc>
          <w:tcPr>
            <w:tcW w:w="8088" w:type="dxa"/>
            <w:gridSpan w:val="8"/>
          </w:tcPr>
          <w:p w14:paraId="4DA2E9A7" w14:textId="77777777" w:rsidR="001611E9" w:rsidRPr="004B0522" w:rsidRDefault="00B4749B" w:rsidP="000044FA">
            <w:pPr>
              <w:pStyle w:val="NoSpacing"/>
              <w:rPr>
                <w:rFonts w:ascii="Times New Roman" w:hAnsi="Times New Roman"/>
                <w:sz w:val="24"/>
                <w:szCs w:val="24"/>
                <w:lang w:eastAsia="lv-LV"/>
              </w:rPr>
            </w:pPr>
            <w:r>
              <w:rPr>
                <w:rFonts w:ascii="Times New Roman" w:hAnsi="Times New Roman"/>
                <w:sz w:val="24"/>
                <w:szCs w:val="24"/>
              </w:rPr>
              <w:t>Projekts šo jomu neskar</w:t>
            </w:r>
          </w:p>
        </w:tc>
      </w:tr>
      <w:tr w:rsidR="001611E9" w14:paraId="75D4CB1E" w14:textId="77777777" w:rsidTr="00962079">
        <w:trPr>
          <w:jc w:val="center"/>
        </w:trPr>
        <w:tc>
          <w:tcPr>
            <w:tcW w:w="1413" w:type="dxa"/>
          </w:tcPr>
          <w:p w14:paraId="2BF35CAA" w14:textId="77777777" w:rsidR="001611E9" w:rsidRPr="00962079" w:rsidRDefault="001611E9" w:rsidP="000044FA">
            <w:pPr>
              <w:pStyle w:val="NoSpacing"/>
              <w:rPr>
                <w:rFonts w:ascii="Times New Roman" w:hAnsi="Times New Roman"/>
                <w:lang w:eastAsia="lv-LV"/>
              </w:rPr>
            </w:pPr>
            <w:r w:rsidRPr="00962079">
              <w:rPr>
                <w:rFonts w:ascii="Times New Roman" w:hAnsi="Times New Roman"/>
                <w:lang w:eastAsia="lv-LV"/>
              </w:rPr>
              <w:t>8. Cita informācija</w:t>
            </w:r>
          </w:p>
        </w:tc>
        <w:tc>
          <w:tcPr>
            <w:tcW w:w="8088" w:type="dxa"/>
            <w:gridSpan w:val="8"/>
          </w:tcPr>
          <w:p w14:paraId="3236A7EC" w14:textId="77777777" w:rsidR="001611E9" w:rsidRPr="004B0522" w:rsidRDefault="001611E9" w:rsidP="000044FA">
            <w:pPr>
              <w:jc w:val="both"/>
              <w:rPr>
                <w:bCs/>
                <w:color w:val="000000"/>
              </w:rPr>
            </w:pPr>
            <w:r w:rsidRPr="004B0522">
              <w:rPr>
                <w:bCs/>
                <w:color w:val="000000"/>
              </w:rPr>
              <w:t>Nav</w:t>
            </w:r>
          </w:p>
        </w:tc>
      </w:tr>
    </w:tbl>
    <w:p w14:paraId="7F813B8D" w14:textId="77777777" w:rsidR="009D36DE" w:rsidRPr="009D36DE"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7D3E6E" w:rsidRDefault="009D36DE" w:rsidP="000044FA">
            <w:pPr>
              <w:spacing w:before="100" w:after="100" w:line="293" w:lineRule="atLeast"/>
              <w:jc w:val="center"/>
            </w:pPr>
            <w:r w:rsidRPr="007D3E6E">
              <w:rPr>
                <w:b/>
                <w:bCs/>
              </w:rPr>
              <w:t>IV. Tiesību aktu projektu ietekme uz spēkā esošo tiesību normu sistēmu</w:t>
            </w:r>
          </w:p>
        </w:tc>
      </w:tr>
      <w:tr w:rsidR="009D36DE" w:rsidRPr="007D3E6E"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7D3E6E" w:rsidRDefault="009D36DE" w:rsidP="000044FA">
            <w:pPr>
              <w:spacing w:before="100" w:after="100" w:line="293" w:lineRule="atLeast"/>
              <w:jc w:val="center"/>
            </w:pPr>
            <w:r w:rsidRPr="007D3E6E">
              <w:t>Projekts šo jomu neskar</w:t>
            </w:r>
          </w:p>
        </w:tc>
      </w:tr>
    </w:tbl>
    <w:p w14:paraId="0DA1CFD5" w14:textId="77777777" w:rsidR="009D36DE" w:rsidRPr="007D3E6E" w:rsidRDefault="009D36DE" w:rsidP="000044FA"/>
    <w:tbl>
      <w:tblPr>
        <w:tblW w:w="5160" w:type="pct"/>
        <w:tblInd w:w="-145" w:type="dxa"/>
        <w:tblCellMar>
          <w:left w:w="10" w:type="dxa"/>
          <w:right w:w="10" w:type="dxa"/>
        </w:tblCellMar>
        <w:tblLook w:val="0000" w:firstRow="0" w:lastRow="0" w:firstColumn="0" w:lastColumn="0" w:noHBand="0" w:noVBand="0"/>
      </w:tblPr>
      <w:tblGrid>
        <w:gridCol w:w="9356"/>
      </w:tblGrid>
      <w:tr w:rsidR="009D36DE" w:rsidRPr="007D3E6E" w14:paraId="341A573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7D3E6E" w:rsidRDefault="009D36DE" w:rsidP="000044FA">
            <w:pPr>
              <w:spacing w:before="100" w:after="100" w:line="293" w:lineRule="atLeast"/>
              <w:jc w:val="center"/>
            </w:pPr>
            <w:r w:rsidRPr="007D3E6E">
              <w:rPr>
                <w:b/>
                <w:bCs/>
              </w:rPr>
              <w:t>V. Tiesību aktu projektu atbilstība Latvijas Republikas starptautiskajām saistībām</w:t>
            </w:r>
          </w:p>
        </w:tc>
      </w:tr>
      <w:tr w:rsidR="009D36DE" w:rsidRPr="007D3E6E" w14:paraId="55F281E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190AAB9" w14:textId="77777777" w:rsidR="009D36DE" w:rsidRPr="007D3E6E" w:rsidRDefault="009D36DE" w:rsidP="000044FA">
            <w:pPr>
              <w:spacing w:before="100" w:after="100" w:line="293" w:lineRule="atLeast"/>
              <w:jc w:val="center"/>
            </w:pPr>
            <w:r w:rsidRPr="007D3E6E">
              <w:t>Projekts šo jomu neskar</w:t>
            </w:r>
          </w:p>
        </w:tc>
      </w:tr>
    </w:tbl>
    <w:p w14:paraId="536F51B7" w14:textId="77777777" w:rsidR="009D36DE" w:rsidRPr="007D3E6E"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9D36DE" w:rsidRPr="007D3E6E"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7D3E6E" w:rsidRDefault="009D36DE" w:rsidP="000044FA">
            <w:pPr>
              <w:spacing w:before="100" w:after="100" w:line="360" w:lineRule="auto"/>
              <w:ind w:firstLine="300"/>
              <w:jc w:val="center"/>
              <w:rPr>
                <w:b/>
                <w:bCs/>
              </w:rPr>
            </w:pPr>
            <w:r w:rsidRPr="007D3E6E">
              <w:rPr>
                <w:b/>
                <w:bCs/>
              </w:rPr>
              <w:lastRenderedPageBreak/>
              <w:t>VI. Sabiedrības līdzdalība un komunikācijas aktivitātes</w:t>
            </w:r>
          </w:p>
        </w:tc>
      </w:tr>
      <w:tr w:rsidR="003B60B8" w:rsidRPr="007D3E6E"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7D3E6E" w:rsidRDefault="003B60B8" w:rsidP="000044FA">
            <w:pPr>
              <w:spacing w:before="100" w:after="100" w:line="360" w:lineRule="auto"/>
              <w:ind w:firstLine="300"/>
              <w:jc w:val="center"/>
              <w:rPr>
                <w:b/>
                <w:bCs/>
              </w:rPr>
            </w:pPr>
            <w:r w:rsidRPr="007D3E6E">
              <w:t>Projekts šo jomu neskar</w:t>
            </w:r>
          </w:p>
        </w:tc>
      </w:tr>
    </w:tbl>
    <w:p w14:paraId="3173A2A4" w14:textId="77777777" w:rsidR="009D36DE" w:rsidRPr="007D3E6E"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9D36DE" w:rsidRPr="007D3E6E"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7D3E6E" w:rsidRDefault="009D36DE" w:rsidP="000044FA">
            <w:pPr>
              <w:spacing w:before="100" w:after="100"/>
              <w:jc w:val="center"/>
              <w:rPr>
                <w:b/>
                <w:bCs/>
              </w:rPr>
            </w:pPr>
            <w:r w:rsidRPr="007D3E6E">
              <w:rPr>
                <w:b/>
                <w:bCs/>
              </w:rPr>
              <w:t>VII. Tiesību akta projekta izpildes nodrošināšana un tās ietekme uz institūcijām</w:t>
            </w:r>
          </w:p>
        </w:tc>
      </w:tr>
      <w:tr w:rsidR="003B60B8" w:rsidRPr="007D3E6E"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7D3E6E" w:rsidRDefault="003B60B8" w:rsidP="000044FA">
            <w:pPr>
              <w:spacing w:before="100" w:after="100"/>
            </w:pPr>
            <w:r w:rsidRPr="007D3E6E">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7D3E6E" w:rsidRDefault="003B60B8" w:rsidP="000044FA">
            <w:pPr>
              <w:spacing w:before="100" w:after="100"/>
            </w:pPr>
            <w:r w:rsidRPr="007D3E6E">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7D3E6E" w:rsidRDefault="004422AA" w:rsidP="000044FA">
            <w:pPr>
              <w:shd w:val="clear" w:color="auto" w:fill="FFFFFF"/>
              <w:spacing w:before="120" w:after="120"/>
              <w:jc w:val="both"/>
            </w:pPr>
            <w:r w:rsidRPr="007D3E6E">
              <w:rPr>
                <w:bCs/>
                <w:color w:val="000000"/>
              </w:rPr>
              <w:t xml:space="preserve">Ministrijas un </w:t>
            </w:r>
            <w:r w:rsidR="00B4749B" w:rsidRPr="007D3E6E">
              <w:rPr>
                <w:bCs/>
                <w:color w:val="000000"/>
              </w:rPr>
              <w:t>citas centrālās valsts iestādes</w:t>
            </w:r>
          </w:p>
        </w:tc>
      </w:tr>
      <w:tr w:rsidR="003B60B8" w:rsidRPr="007D3E6E"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7D3E6E" w:rsidRDefault="003B60B8" w:rsidP="000044FA">
            <w:pPr>
              <w:spacing w:before="100" w:after="100"/>
            </w:pPr>
            <w:r w:rsidRPr="007D3E6E">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7D3E6E" w:rsidRDefault="003B60B8" w:rsidP="000044FA">
            <w:pPr>
              <w:spacing w:before="100" w:after="100"/>
            </w:pPr>
            <w:r w:rsidRPr="007D3E6E">
              <w:t xml:space="preserve">Projekta izpildes ietekme uz pārvaldes funkcijām un institucionālo struktūru. </w:t>
            </w:r>
          </w:p>
          <w:p w14:paraId="26A504E1" w14:textId="77777777" w:rsidR="003B60B8" w:rsidRPr="007D3E6E" w:rsidRDefault="003B60B8" w:rsidP="000044FA">
            <w:pPr>
              <w:spacing w:before="100" w:after="100"/>
            </w:pPr>
            <w:r w:rsidRPr="007D3E6E">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7D3E6E" w:rsidRDefault="00B4749B" w:rsidP="000044FA">
            <w:pPr>
              <w:shd w:val="clear" w:color="auto" w:fill="FFFFFF"/>
              <w:spacing w:before="120" w:after="120"/>
              <w:jc w:val="both"/>
            </w:pPr>
            <w:r w:rsidRPr="007D3E6E">
              <w:t>Projekts šo jomu neskar</w:t>
            </w:r>
          </w:p>
          <w:p w14:paraId="07CDC1D8" w14:textId="77777777" w:rsidR="003B60B8" w:rsidRPr="007D3E6E" w:rsidRDefault="003B60B8" w:rsidP="000044FA">
            <w:pPr>
              <w:shd w:val="clear" w:color="auto" w:fill="FFFFFF"/>
              <w:jc w:val="both"/>
            </w:pPr>
          </w:p>
        </w:tc>
      </w:tr>
      <w:tr w:rsidR="009D36DE" w:rsidRPr="007D3E6E"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7D3E6E" w:rsidRDefault="009D36DE" w:rsidP="000044FA">
            <w:r w:rsidRPr="007D3E6E">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7D3E6E" w:rsidRDefault="009D36DE" w:rsidP="000044FA">
            <w:r w:rsidRPr="007D3E6E">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7D3E6E" w:rsidRDefault="009D36DE" w:rsidP="00DE03E0">
            <w:pPr>
              <w:jc w:val="both"/>
            </w:pPr>
            <w:r w:rsidRPr="007D3E6E">
              <w:t>Nav</w:t>
            </w:r>
          </w:p>
        </w:tc>
      </w:tr>
    </w:tbl>
    <w:p w14:paraId="640AE653" w14:textId="77777777" w:rsidR="009D36DE" w:rsidRPr="007D3E6E" w:rsidRDefault="009D36DE" w:rsidP="000044FA">
      <w:pPr>
        <w:ind w:firstLine="720"/>
      </w:pPr>
    </w:p>
    <w:p w14:paraId="7F84DDB1" w14:textId="77777777" w:rsidR="00372421" w:rsidRDefault="00372421" w:rsidP="00E218B9">
      <w:pPr>
        <w:pStyle w:val="BodyText"/>
        <w:jc w:val="both"/>
        <w:rPr>
          <w:sz w:val="26"/>
          <w:szCs w:val="26"/>
        </w:rPr>
      </w:pPr>
    </w:p>
    <w:p w14:paraId="039B4DD4" w14:textId="7BB627B9" w:rsidR="00372421" w:rsidRDefault="00372421" w:rsidP="00E218B9">
      <w:pPr>
        <w:pStyle w:val="BodyText"/>
        <w:jc w:val="both"/>
        <w:rPr>
          <w:sz w:val="26"/>
          <w:szCs w:val="26"/>
        </w:rPr>
      </w:pPr>
    </w:p>
    <w:p w14:paraId="161EEF94" w14:textId="6D8DEC09" w:rsidR="00F77B2A" w:rsidRDefault="00F77B2A" w:rsidP="00E218B9">
      <w:pPr>
        <w:pStyle w:val="BodyText"/>
        <w:jc w:val="both"/>
        <w:rPr>
          <w:sz w:val="26"/>
          <w:szCs w:val="26"/>
        </w:rPr>
      </w:pPr>
    </w:p>
    <w:p w14:paraId="78A519AA" w14:textId="01ACDAD0" w:rsidR="00F77B2A" w:rsidRDefault="00F77B2A" w:rsidP="00E218B9">
      <w:pPr>
        <w:pStyle w:val="BodyText"/>
        <w:jc w:val="both"/>
        <w:rPr>
          <w:sz w:val="26"/>
          <w:szCs w:val="26"/>
        </w:rPr>
      </w:pPr>
    </w:p>
    <w:p w14:paraId="5F530FD6" w14:textId="77777777" w:rsidR="00F77B2A" w:rsidRDefault="00F77B2A" w:rsidP="00E218B9">
      <w:pPr>
        <w:pStyle w:val="BodyText"/>
        <w:jc w:val="both"/>
        <w:rPr>
          <w:sz w:val="26"/>
          <w:szCs w:val="26"/>
        </w:rPr>
      </w:pPr>
    </w:p>
    <w:p w14:paraId="5EE3DBBF" w14:textId="77777777" w:rsidR="00372421" w:rsidRDefault="00372421" w:rsidP="00E218B9">
      <w:pPr>
        <w:pStyle w:val="BodyText"/>
        <w:jc w:val="both"/>
        <w:rPr>
          <w:sz w:val="26"/>
          <w:szCs w:val="26"/>
        </w:rPr>
      </w:pPr>
    </w:p>
    <w:p w14:paraId="1721EC2D" w14:textId="73B0C0DD" w:rsidR="00D444BA" w:rsidRPr="00372421" w:rsidRDefault="00AC1A2E" w:rsidP="00E218B9">
      <w:pPr>
        <w:pStyle w:val="BodyText"/>
        <w:jc w:val="both"/>
        <w:rPr>
          <w:sz w:val="26"/>
          <w:szCs w:val="26"/>
        </w:rPr>
      </w:pPr>
      <w:r w:rsidRPr="00372421">
        <w:rPr>
          <w:sz w:val="26"/>
          <w:szCs w:val="26"/>
        </w:rPr>
        <w:t>Finanšu ministrs</w:t>
      </w:r>
      <w:r w:rsidR="00857FA9" w:rsidRPr="00372421">
        <w:rPr>
          <w:sz w:val="26"/>
          <w:szCs w:val="26"/>
        </w:rPr>
        <w:tab/>
      </w:r>
      <w:r w:rsidR="00857FA9" w:rsidRPr="00372421">
        <w:rPr>
          <w:sz w:val="26"/>
          <w:szCs w:val="26"/>
        </w:rPr>
        <w:tab/>
      </w:r>
      <w:r w:rsidR="00857FA9" w:rsidRPr="00372421">
        <w:rPr>
          <w:sz w:val="26"/>
          <w:szCs w:val="26"/>
        </w:rPr>
        <w:tab/>
      </w:r>
      <w:r w:rsidR="00857FA9" w:rsidRPr="00372421">
        <w:rPr>
          <w:sz w:val="26"/>
          <w:szCs w:val="26"/>
        </w:rPr>
        <w:tab/>
      </w:r>
      <w:r w:rsidR="0091691A" w:rsidRPr="00372421">
        <w:rPr>
          <w:sz w:val="26"/>
          <w:szCs w:val="26"/>
        </w:rPr>
        <w:tab/>
      </w:r>
      <w:r w:rsidR="0091691A" w:rsidRPr="00372421">
        <w:rPr>
          <w:sz w:val="26"/>
          <w:szCs w:val="26"/>
        </w:rPr>
        <w:tab/>
      </w:r>
      <w:r w:rsidR="009D1F15" w:rsidRPr="00372421">
        <w:rPr>
          <w:sz w:val="26"/>
          <w:szCs w:val="26"/>
        </w:rPr>
        <w:t xml:space="preserve">                       </w:t>
      </w:r>
      <w:r w:rsidR="00F154FE" w:rsidRPr="00372421">
        <w:rPr>
          <w:sz w:val="26"/>
          <w:szCs w:val="26"/>
        </w:rPr>
        <w:t xml:space="preserve">   </w:t>
      </w:r>
      <w:r w:rsidR="0091691A" w:rsidRPr="00372421">
        <w:rPr>
          <w:sz w:val="26"/>
          <w:szCs w:val="26"/>
        </w:rPr>
        <w:t xml:space="preserve">  </w:t>
      </w:r>
      <w:r w:rsidR="00F154FE" w:rsidRPr="00372421">
        <w:rPr>
          <w:sz w:val="26"/>
          <w:szCs w:val="26"/>
        </w:rPr>
        <w:t xml:space="preserve">  </w:t>
      </w:r>
      <w:proofErr w:type="spellStart"/>
      <w:r w:rsidRPr="00372421">
        <w:rPr>
          <w:sz w:val="26"/>
          <w:szCs w:val="26"/>
        </w:rPr>
        <w:t>J.Reirs</w:t>
      </w:r>
      <w:proofErr w:type="spellEnd"/>
      <w:r w:rsidR="0091691A" w:rsidRPr="00372421">
        <w:rPr>
          <w:sz w:val="26"/>
          <w:szCs w:val="26"/>
        </w:rPr>
        <w:tab/>
      </w:r>
    </w:p>
    <w:p w14:paraId="0B6E3685" w14:textId="77777777" w:rsidR="00E218B9" w:rsidRPr="007D3E6E" w:rsidRDefault="00E218B9" w:rsidP="00E218B9">
      <w:pPr>
        <w:pStyle w:val="BodyText"/>
        <w:jc w:val="both"/>
        <w:rPr>
          <w:sz w:val="24"/>
        </w:rPr>
      </w:pPr>
    </w:p>
    <w:p w14:paraId="3329C5E9" w14:textId="58953457" w:rsidR="002837F3" w:rsidRDefault="002837F3" w:rsidP="000C703D">
      <w:pPr>
        <w:pStyle w:val="BodyText"/>
        <w:jc w:val="left"/>
        <w:rPr>
          <w:sz w:val="20"/>
          <w:szCs w:val="20"/>
        </w:rPr>
      </w:pPr>
    </w:p>
    <w:p w14:paraId="6F05E33E" w14:textId="4C14E173" w:rsidR="00DE03E0" w:rsidRDefault="00DE03E0" w:rsidP="000C703D">
      <w:pPr>
        <w:pStyle w:val="BodyText"/>
        <w:jc w:val="left"/>
        <w:rPr>
          <w:sz w:val="20"/>
          <w:szCs w:val="20"/>
        </w:rPr>
      </w:pPr>
    </w:p>
    <w:p w14:paraId="5819CEA5" w14:textId="77777777" w:rsidR="00DE03E0" w:rsidRDefault="00DE03E0" w:rsidP="000C703D">
      <w:pPr>
        <w:pStyle w:val="BodyText"/>
        <w:jc w:val="left"/>
        <w:rPr>
          <w:sz w:val="20"/>
          <w:szCs w:val="20"/>
        </w:rPr>
      </w:pPr>
    </w:p>
    <w:p w14:paraId="0CDD299B" w14:textId="77777777" w:rsidR="002837F3" w:rsidRPr="00372421" w:rsidRDefault="002837F3" w:rsidP="000C703D">
      <w:pPr>
        <w:pStyle w:val="BodyText"/>
        <w:jc w:val="left"/>
        <w:rPr>
          <w:sz w:val="16"/>
          <w:szCs w:val="16"/>
        </w:rPr>
      </w:pPr>
    </w:p>
    <w:p w14:paraId="29A3483E" w14:textId="77777777" w:rsidR="00F77B2A" w:rsidRDefault="00F77B2A" w:rsidP="000C703D">
      <w:pPr>
        <w:pStyle w:val="BodyText"/>
        <w:jc w:val="left"/>
        <w:rPr>
          <w:sz w:val="16"/>
          <w:szCs w:val="16"/>
        </w:rPr>
      </w:pPr>
    </w:p>
    <w:p w14:paraId="19C87EB9" w14:textId="77777777" w:rsidR="00F77B2A" w:rsidRDefault="00F77B2A" w:rsidP="000C703D">
      <w:pPr>
        <w:pStyle w:val="BodyText"/>
        <w:jc w:val="left"/>
        <w:rPr>
          <w:sz w:val="16"/>
          <w:szCs w:val="16"/>
        </w:rPr>
      </w:pPr>
    </w:p>
    <w:p w14:paraId="649DC0D4" w14:textId="77777777" w:rsidR="00F77B2A" w:rsidRDefault="00F77B2A" w:rsidP="000C703D">
      <w:pPr>
        <w:pStyle w:val="BodyText"/>
        <w:jc w:val="left"/>
        <w:rPr>
          <w:sz w:val="16"/>
          <w:szCs w:val="16"/>
        </w:rPr>
      </w:pPr>
    </w:p>
    <w:p w14:paraId="2F3CBEF1" w14:textId="77777777" w:rsidR="00F77B2A" w:rsidRDefault="00F77B2A" w:rsidP="000C703D">
      <w:pPr>
        <w:pStyle w:val="BodyText"/>
        <w:jc w:val="left"/>
        <w:rPr>
          <w:sz w:val="16"/>
          <w:szCs w:val="16"/>
        </w:rPr>
      </w:pPr>
    </w:p>
    <w:p w14:paraId="6BEAB0B1" w14:textId="688C3B6E" w:rsidR="00F77B2A" w:rsidRDefault="00F77B2A" w:rsidP="000C703D">
      <w:pPr>
        <w:pStyle w:val="BodyText"/>
        <w:jc w:val="left"/>
        <w:rPr>
          <w:sz w:val="16"/>
          <w:szCs w:val="16"/>
        </w:rPr>
      </w:pPr>
    </w:p>
    <w:p w14:paraId="66D0DAD4" w14:textId="77777777" w:rsidR="00F77B2A" w:rsidRDefault="00F77B2A" w:rsidP="000C703D">
      <w:pPr>
        <w:pStyle w:val="BodyText"/>
        <w:jc w:val="left"/>
        <w:rPr>
          <w:sz w:val="16"/>
          <w:szCs w:val="16"/>
        </w:rPr>
      </w:pPr>
    </w:p>
    <w:p w14:paraId="38B8DAA2" w14:textId="77777777" w:rsidR="00F77B2A" w:rsidRDefault="00F77B2A" w:rsidP="000C703D">
      <w:pPr>
        <w:pStyle w:val="BodyText"/>
        <w:jc w:val="left"/>
        <w:rPr>
          <w:sz w:val="16"/>
          <w:szCs w:val="16"/>
        </w:rPr>
      </w:pPr>
    </w:p>
    <w:p w14:paraId="30F8A9B9" w14:textId="77777777" w:rsidR="00F77B2A" w:rsidRDefault="00F77B2A" w:rsidP="000C703D">
      <w:pPr>
        <w:pStyle w:val="BodyText"/>
        <w:jc w:val="left"/>
        <w:rPr>
          <w:sz w:val="16"/>
          <w:szCs w:val="16"/>
        </w:rPr>
      </w:pPr>
    </w:p>
    <w:p w14:paraId="7A29DA96" w14:textId="77777777" w:rsidR="00F77B2A" w:rsidRDefault="00F77B2A" w:rsidP="000C703D">
      <w:pPr>
        <w:pStyle w:val="BodyText"/>
        <w:jc w:val="left"/>
        <w:rPr>
          <w:sz w:val="16"/>
          <w:szCs w:val="16"/>
        </w:rPr>
      </w:pPr>
    </w:p>
    <w:p w14:paraId="1CC03F5D" w14:textId="77777777" w:rsidR="00F77B2A" w:rsidRDefault="00F77B2A" w:rsidP="000C703D">
      <w:pPr>
        <w:pStyle w:val="BodyText"/>
        <w:jc w:val="left"/>
        <w:rPr>
          <w:sz w:val="16"/>
          <w:szCs w:val="16"/>
        </w:rPr>
      </w:pPr>
    </w:p>
    <w:p w14:paraId="0C1AE912" w14:textId="77777777" w:rsidR="00F77B2A" w:rsidRDefault="00F77B2A" w:rsidP="000C703D">
      <w:pPr>
        <w:pStyle w:val="BodyText"/>
        <w:jc w:val="left"/>
        <w:rPr>
          <w:sz w:val="16"/>
          <w:szCs w:val="16"/>
        </w:rPr>
      </w:pPr>
    </w:p>
    <w:p w14:paraId="4EF8B8CD" w14:textId="77777777" w:rsidR="00F77B2A" w:rsidRDefault="00F77B2A" w:rsidP="000C703D">
      <w:pPr>
        <w:pStyle w:val="BodyText"/>
        <w:jc w:val="left"/>
        <w:rPr>
          <w:sz w:val="16"/>
          <w:szCs w:val="16"/>
        </w:rPr>
      </w:pPr>
    </w:p>
    <w:p w14:paraId="0A582253" w14:textId="77777777" w:rsidR="00F77B2A" w:rsidRDefault="00F77B2A" w:rsidP="000C703D">
      <w:pPr>
        <w:pStyle w:val="BodyText"/>
        <w:jc w:val="left"/>
        <w:rPr>
          <w:sz w:val="16"/>
          <w:szCs w:val="16"/>
        </w:rPr>
      </w:pPr>
    </w:p>
    <w:p w14:paraId="14C8F7F6" w14:textId="77777777" w:rsidR="00F77B2A" w:rsidRDefault="00F77B2A" w:rsidP="000C703D">
      <w:pPr>
        <w:pStyle w:val="BodyText"/>
        <w:jc w:val="left"/>
        <w:rPr>
          <w:sz w:val="16"/>
          <w:szCs w:val="16"/>
        </w:rPr>
      </w:pPr>
    </w:p>
    <w:p w14:paraId="739C148A" w14:textId="77777777" w:rsidR="00F77B2A" w:rsidRDefault="00F77B2A" w:rsidP="000C703D">
      <w:pPr>
        <w:pStyle w:val="BodyText"/>
        <w:jc w:val="left"/>
        <w:rPr>
          <w:sz w:val="16"/>
          <w:szCs w:val="16"/>
        </w:rPr>
      </w:pPr>
    </w:p>
    <w:p w14:paraId="1B91D7E2" w14:textId="7A0D845E" w:rsidR="002837F3" w:rsidRPr="00372421" w:rsidRDefault="002837F3" w:rsidP="000C703D">
      <w:pPr>
        <w:pStyle w:val="BodyText"/>
        <w:jc w:val="left"/>
        <w:rPr>
          <w:sz w:val="16"/>
          <w:szCs w:val="16"/>
        </w:rPr>
      </w:pPr>
      <w:r w:rsidRPr="00372421">
        <w:rPr>
          <w:sz w:val="16"/>
          <w:szCs w:val="16"/>
        </w:rPr>
        <w:t>Pūre 67095432</w:t>
      </w:r>
    </w:p>
    <w:p w14:paraId="4513B1E6" w14:textId="77777777" w:rsidR="002837F3" w:rsidRPr="00372421" w:rsidRDefault="000E7B78" w:rsidP="000C703D">
      <w:pPr>
        <w:pStyle w:val="BodyText"/>
        <w:jc w:val="left"/>
        <w:rPr>
          <w:sz w:val="16"/>
          <w:szCs w:val="16"/>
        </w:rPr>
      </w:pPr>
      <w:hyperlink r:id="rId8" w:history="1">
        <w:r w:rsidR="002837F3" w:rsidRPr="00372421">
          <w:rPr>
            <w:rStyle w:val="Hyperlink"/>
            <w:sz w:val="16"/>
            <w:szCs w:val="16"/>
          </w:rPr>
          <w:t>kristina.pure@fm.gov.lv</w:t>
        </w:r>
      </w:hyperlink>
    </w:p>
    <w:p w14:paraId="1F9C9242" w14:textId="77777777" w:rsidR="000C703D" w:rsidRPr="00372421" w:rsidRDefault="004D5A33" w:rsidP="000C703D">
      <w:pPr>
        <w:pStyle w:val="BodyText"/>
        <w:jc w:val="left"/>
        <w:rPr>
          <w:sz w:val="16"/>
          <w:szCs w:val="16"/>
        </w:rPr>
      </w:pPr>
      <w:r w:rsidRPr="00372421">
        <w:rPr>
          <w:sz w:val="16"/>
          <w:szCs w:val="16"/>
        </w:rPr>
        <w:t>Vītola</w:t>
      </w:r>
      <w:r w:rsidR="000C703D" w:rsidRPr="00372421">
        <w:rPr>
          <w:sz w:val="16"/>
          <w:szCs w:val="16"/>
        </w:rPr>
        <w:t xml:space="preserve"> </w:t>
      </w:r>
      <w:r w:rsidR="00BF7635" w:rsidRPr="00372421">
        <w:rPr>
          <w:sz w:val="16"/>
          <w:szCs w:val="16"/>
        </w:rPr>
        <w:t>6</w:t>
      </w:r>
      <w:r w:rsidR="00DB37C4" w:rsidRPr="00372421">
        <w:rPr>
          <w:sz w:val="16"/>
          <w:szCs w:val="16"/>
        </w:rPr>
        <w:t>70</w:t>
      </w:r>
      <w:r w:rsidRPr="00372421">
        <w:rPr>
          <w:sz w:val="16"/>
          <w:szCs w:val="16"/>
        </w:rPr>
        <w:t>95665</w:t>
      </w:r>
    </w:p>
    <w:p w14:paraId="54A3AF50" w14:textId="77777777" w:rsidR="002204E8" w:rsidRPr="00372421" w:rsidRDefault="000E7B78" w:rsidP="000C703D">
      <w:pPr>
        <w:pStyle w:val="BodyText"/>
        <w:jc w:val="left"/>
        <w:rPr>
          <w:sz w:val="16"/>
          <w:szCs w:val="16"/>
        </w:rPr>
      </w:pPr>
      <w:hyperlink r:id="rId9" w:history="1">
        <w:r w:rsidR="004D5A33" w:rsidRPr="00372421">
          <w:rPr>
            <w:rStyle w:val="Hyperlink"/>
            <w:sz w:val="16"/>
            <w:szCs w:val="16"/>
          </w:rPr>
          <w:t>agate.vitola@fm.gov.lv</w:t>
        </w:r>
      </w:hyperlink>
    </w:p>
    <w:sectPr w:rsidR="002204E8" w:rsidRPr="00372421" w:rsidSect="002D3E38">
      <w:headerReference w:type="default" r:id="rId10"/>
      <w:footerReference w:type="default" r:id="rId11"/>
      <w:footerReference w:type="first" r:id="rId12"/>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C805" w14:textId="77777777" w:rsidR="00A11F7A" w:rsidRDefault="00A11F7A" w:rsidP="009A7EE9">
      <w:r>
        <w:separator/>
      </w:r>
    </w:p>
  </w:endnote>
  <w:endnote w:type="continuationSeparator" w:id="0">
    <w:p w14:paraId="0D032990" w14:textId="77777777" w:rsidR="00A11F7A" w:rsidRDefault="00A11F7A"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7CE1157B" w:rsidR="00320C6A" w:rsidRPr="00DE03E0" w:rsidRDefault="003F1B84" w:rsidP="009D6DC8">
    <w:pPr>
      <w:pStyle w:val="Footer"/>
      <w:rPr>
        <w:sz w:val="20"/>
        <w:szCs w:val="20"/>
      </w:rP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B713BA">
      <w:rPr>
        <w:noProof/>
        <w:sz w:val="20"/>
        <w:szCs w:val="20"/>
      </w:rPr>
      <w:t>FMAnot_211119.docx</w:t>
    </w:r>
    <w:r w:rsidRPr="00DE03E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6B0A3418"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B713BA">
      <w:rPr>
        <w:noProof/>
        <w:sz w:val="20"/>
        <w:szCs w:val="20"/>
      </w:rPr>
      <w:t>FMAnot_211119.docx</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C7569" w14:textId="77777777" w:rsidR="00A11F7A" w:rsidRDefault="00A11F7A" w:rsidP="009A7EE9">
      <w:r>
        <w:separator/>
      </w:r>
    </w:p>
  </w:footnote>
  <w:footnote w:type="continuationSeparator" w:id="0">
    <w:p w14:paraId="456C8193" w14:textId="77777777" w:rsidR="00A11F7A" w:rsidRDefault="00A11F7A" w:rsidP="009A7EE9">
      <w:r>
        <w:continuationSeparator/>
      </w:r>
    </w:p>
  </w:footnote>
  <w:footnote w:id="1">
    <w:p w14:paraId="1E08A878" w14:textId="77777777" w:rsidR="004F15E0" w:rsidRPr="00BF4C75" w:rsidRDefault="004F15E0" w:rsidP="004F15E0">
      <w:pPr>
        <w:pStyle w:val="FootnoteText"/>
        <w:jc w:val="both"/>
      </w:pPr>
      <w:r>
        <w:rPr>
          <w:rStyle w:val="FootnoteReference"/>
        </w:rPr>
        <w:footnoteRef/>
      </w:r>
      <w:r>
        <w:t xml:space="preserve"> “</w:t>
      </w:r>
      <w:r w:rsidRPr="00BF4C75">
        <w:rPr>
          <w:bCs/>
          <w:color w:val="414142"/>
          <w:shd w:val="clear" w:color="auto" w:fill="FFFFFF"/>
        </w:rPr>
        <w:t>Kārtība, kādā Eiropas Savienības struktūrfondu un Kohēzijas fonda vadībā iesaistītās institūcijas nodrošina plānošanas dokumentu sagatavošanu un šo fondu ieviešanu 2014.–2020.gada plānošanas periodā</w:t>
      </w:r>
      <w:r>
        <w:rPr>
          <w:bCs/>
          <w:color w:val="41414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3AC35886" w:rsidR="00320C6A" w:rsidRDefault="00320C6A">
        <w:pPr>
          <w:pStyle w:val="Header"/>
          <w:jc w:val="center"/>
        </w:pPr>
        <w:r>
          <w:fldChar w:fldCharType="begin"/>
        </w:r>
        <w:r>
          <w:instrText xml:space="preserve"> PAGE   \* MERGEFORMAT </w:instrText>
        </w:r>
        <w:r>
          <w:fldChar w:fldCharType="separate"/>
        </w:r>
        <w:r w:rsidR="000E7B78">
          <w:rPr>
            <w:noProof/>
          </w:rPr>
          <w:t>8</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0"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1"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2"/>
  </w:num>
  <w:num w:numId="7">
    <w:abstractNumId w:val="6"/>
  </w:num>
  <w:num w:numId="8">
    <w:abstractNumId w:val="13"/>
  </w:num>
  <w:num w:numId="9">
    <w:abstractNumId w:val="11"/>
  </w:num>
  <w:num w:numId="10">
    <w:abstractNumId w:val="10"/>
  </w:num>
  <w:num w:numId="11">
    <w:abstractNumId w:val="4"/>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5038A"/>
    <w:rsid w:val="00056904"/>
    <w:rsid w:val="000614F5"/>
    <w:rsid w:val="00064F32"/>
    <w:rsid w:val="000766F8"/>
    <w:rsid w:val="000818D2"/>
    <w:rsid w:val="00084612"/>
    <w:rsid w:val="00085845"/>
    <w:rsid w:val="000916CE"/>
    <w:rsid w:val="000A6B9A"/>
    <w:rsid w:val="000B283D"/>
    <w:rsid w:val="000B2CA0"/>
    <w:rsid w:val="000C07B8"/>
    <w:rsid w:val="000C1C32"/>
    <w:rsid w:val="000C703D"/>
    <w:rsid w:val="000D0EFF"/>
    <w:rsid w:val="000E7B78"/>
    <w:rsid w:val="00110F94"/>
    <w:rsid w:val="00111617"/>
    <w:rsid w:val="0012264C"/>
    <w:rsid w:val="00127B80"/>
    <w:rsid w:val="001509E7"/>
    <w:rsid w:val="00152ECC"/>
    <w:rsid w:val="00156E18"/>
    <w:rsid w:val="00156E5E"/>
    <w:rsid w:val="001611E9"/>
    <w:rsid w:val="00162EB9"/>
    <w:rsid w:val="001654E2"/>
    <w:rsid w:val="00170CFC"/>
    <w:rsid w:val="00171A81"/>
    <w:rsid w:val="00183027"/>
    <w:rsid w:val="00185551"/>
    <w:rsid w:val="0019469A"/>
    <w:rsid w:val="00197B7A"/>
    <w:rsid w:val="001B419D"/>
    <w:rsid w:val="001C0756"/>
    <w:rsid w:val="001C1669"/>
    <w:rsid w:val="001C59ED"/>
    <w:rsid w:val="00202D39"/>
    <w:rsid w:val="0020584E"/>
    <w:rsid w:val="002128BD"/>
    <w:rsid w:val="002204E8"/>
    <w:rsid w:val="002572E1"/>
    <w:rsid w:val="00261740"/>
    <w:rsid w:val="0027336A"/>
    <w:rsid w:val="0028027D"/>
    <w:rsid w:val="002837F3"/>
    <w:rsid w:val="00283E0D"/>
    <w:rsid w:val="00285775"/>
    <w:rsid w:val="002A5180"/>
    <w:rsid w:val="002B19A5"/>
    <w:rsid w:val="002B3D2F"/>
    <w:rsid w:val="002B5EE7"/>
    <w:rsid w:val="002C3DC9"/>
    <w:rsid w:val="002D34CC"/>
    <w:rsid w:val="002D3E38"/>
    <w:rsid w:val="002F5428"/>
    <w:rsid w:val="00301CBB"/>
    <w:rsid w:val="00304F3B"/>
    <w:rsid w:val="00320C6A"/>
    <w:rsid w:val="0032120D"/>
    <w:rsid w:val="00322196"/>
    <w:rsid w:val="0032647A"/>
    <w:rsid w:val="00335619"/>
    <w:rsid w:val="00352431"/>
    <w:rsid w:val="00363F9A"/>
    <w:rsid w:val="00370F44"/>
    <w:rsid w:val="00372421"/>
    <w:rsid w:val="003735E2"/>
    <w:rsid w:val="00386AC8"/>
    <w:rsid w:val="003951DF"/>
    <w:rsid w:val="00397230"/>
    <w:rsid w:val="003B60B8"/>
    <w:rsid w:val="003C21F6"/>
    <w:rsid w:val="003C6F6D"/>
    <w:rsid w:val="003D6BD2"/>
    <w:rsid w:val="003E3E05"/>
    <w:rsid w:val="003F10D1"/>
    <w:rsid w:val="003F1B84"/>
    <w:rsid w:val="003F1EB8"/>
    <w:rsid w:val="003F4BF1"/>
    <w:rsid w:val="00407869"/>
    <w:rsid w:val="004170B3"/>
    <w:rsid w:val="00422AFA"/>
    <w:rsid w:val="004422AA"/>
    <w:rsid w:val="00455577"/>
    <w:rsid w:val="0047084C"/>
    <w:rsid w:val="00474ED8"/>
    <w:rsid w:val="00480A1B"/>
    <w:rsid w:val="00482307"/>
    <w:rsid w:val="004876F3"/>
    <w:rsid w:val="00493060"/>
    <w:rsid w:val="004A456A"/>
    <w:rsid w:val="004A7D0E"/>
    <w:rsid w:val="004B0522"/>
    <w:rsid w:val="004B4E72"/>
    <w:rsid w:val="004C4D7F"/>
    <w:rsid w:val="004D1D9A"/>
    <w:rsid w:val="004D5A33"/>
    <w:rsid w:val="004F15E0"/>
    <w:rsid w:val="004F70B8"/>
    <w:rsid w:val="005222BD"/>
    <w:rsid w:val="00524414"/>
    <w:rsid w:val="00524926"/>
    <w:rsid w:val="005331D5"/>
    <w:rsid w:val="0053409A"/>
    <w:rsid w:val="00542B98"/>
    <w:rsid w:val="005437C3"/>
    <w:rsid w:val="00545A7B"/>
    <w:rsid w:val="00567C3A"/>
    <w:rsid w:val="005717CC"/>
    <w:rsid w:val="005802FC"/>
    <w:rsid w:val="00580CBE"/>
    <w:rsid w:val="00583D19"/>
    <w:rsid w:val="005B0615"/>
    <w:rsid w:val="005B7346"/>
    <w:rsid w:val="005C5BDA"/>
    <w:rsid w:val="005D0284"/>
    <w:rsid w:val="005D2988"/>
    <w:rsid w:val="005D489A"/>
    <w:rsid w:val="005D7B3B"/>
    <w:rsid w:val="005E0012"/>
    <w:rsid w:val="005E37B5"/>
    <w:rsid w:val="005E435A"/>
    <w:rsid w:val="005E6150"/>
    <w:rsid w:val="00603455"/>
    <w:rsid w:val="00611862"/>
    <w:rsid w:val="00624E78"/>
    <w:rsid w:val="00630442"/>
    <w:rsid w:val="00632159"/>
    <w:rsid w:val="00632D05"/>
    <w:rsid w:val="00641D60"/>
    <w:rsid w:val="006423EF"/>
    <w:rsid w:val="00645290"/>
    <w:rsid w:val="00652E48"/>
    <w:rsid w:val="00660430"/>
    <w:rsid w:val="00664DE2"/>
    <w:rsid w:val="00666039"/>
    <w:rsid w:val="00684B77"/>
    <w:rsid w:val="006A556C"/>
    <w:rsid w:val="006B05E0"/>
    <w:rsid w:val="006B3BBA"/>
    <w:rsid w:val="006D245F"/>
    <w:rsid w:val="006F2B5A"/>
    <w:rsid w:val="006F4715"/>
    <w:rsid w:val="00702DFB"/>
    <w:rsid w:val="0070316C"/>
    <w:rsid w:val="00705A8F"/>
    <w:rsid w:val="007115F1"/>
    <w:rsid w:val="0071285B"/>
    <w:rsid w:val="00725640"/>
    <w:rsid w:val="007434C9"/>
    <w:rsid w:val="00751999"/>
    <w:rsid w:val="00754E7D"/>
    <w:rsid w:val="0076081E"/>
    <w:rsid w:val="00763F04"/>
    <w:rsid w:val="0076428F"/>
    <w:rsid w:val="00764807"/>
    <w:rsid w:val="007733C9"/>
    <w:rsid w:val="00777791"/>
    <w:rsid w:val="00790DC9"/>
    <w:rsid w:val="00793B6F"/>
    <w:rsid w:val="007B6C93"/>
    <w:rsid w:val="007C0493"/>
    <w:rsid w:val="007C2356"/>
    <w:rsid w:val="007C300C"/>
    <w:rsid w:val="007C4626"/>
    <w:rsid w:val="007C7300"/>
    <w:rsid w:val="007D3E6E"/>
    <w:rsid w:val="007D693E"/>
    <w:rsid w:val="007E0FA9"/>
    <w:rsid w:val="007E157D"/>
    <w:rsid w:val="007E492A"/>
    <w:rsid w:val="007F18B8"/>
    <w:rsid w:val="00811EAA"/>
    <w:rsid w:val="00811F34"/>
    <w:rsid w:val="00814BB4"/>
    <w:rsid w:val="008278B4"/>
    <w:rsid w:val="008322A7"/>
    <w:rsid w:val="008336C8"/>
    <w:rsid w:val="008412CC"/>
    <w:rsid w:val="00852E90"/>
    <w:rsid w:val="00853AC5"/>
    <w:rsid w:val="00857FA9"/>
    <w:rsid w:val="0086037C"/>
    <w:rsid w:val="00860930"/>
    <w:rsid w:val="00870008"/>
    <w:rsid w:val="00871282"/>
    <w:rsid w:val="00875E3E"/>
    <w:rsid w:val="008A5638"/>
    <w:rsid w:val="008B46B2"/>
    <w:rsid w:val="008C0091"/>
    <w:rsid w:val="008C087D"/>
    <w:rsid w:val="008C4C8E"/>
    <w:rsid w:val="008C54BF"/>
    <w:rsid w:val="008E0870"/>
    <w:rsid w:val="008E3C19"/>
    <w:rsid w:val="008E5B7C"/>
    <w:rsid w:val="008F6918"/>
    <w:rsid w:val="00905312"/>
    <w:rsid w:val="0091691A"/>
    <w:rsid w:val="009226DC"/>
    <w:rsid w:val="009228D2"/>
    <w:rsid w:val="00923946"/>
    <w:rsid w:val="00927A17"/>
    <w:rsid w:val="00930BF9"/>
    <w:rsid w:val="00932481"/>
    <w:rsid w:val="00945363"/>
    <w:rsid w:val="00957E39"/>
    <w:rsid w:val="00962079"/>
    <w:rsid w:val="009757FD"/>
    <w:rsid w:val="009758BC"/>
    <w:rsid w:val="00977221"/>
    <w:rsid w:val="00982034"/>
    <w:rsid w:val="009873B8"/>
    <w:rsid w:val="0099499C"/>
    <w:rsid w:val="009A48FE"/>
    <w:rsid w:val="009A4A62"/>
    <w:rsid w:val="009A6715"/>
    <w:rsid w:val="009A7EE9"/>
    <w:rsid w:val="009C3B8B"/>
    <w:rsid w:val="009C6D89"/>
    <w:rsid w:val="009C7F21"/>
    <w:rsid w:val="009D1F15"/>
    <w:rsid w:val="009D36DE"/>
    <w:rsid w:val="009D6DC8"/>
    <w:rsid w:val="009E530B"/>
    <w:rsid w:val="009E5A67"/>
    <w:rsid w:val="009F065F"/>
    <w:rsid w:val="00A0018F"/>
    <w:rsid w:val="00A02827"/>
    <w:rsid w:val="00A11E5A"/>
    <w:rsid w:val="00A11F7A"/>
    <w:rsid w:val="00A12BA7"/>
    <w:rsid w:val="00A12EFD"/>
    <w:rsid w:val="00A23985"/>
    <w:rsid w:val="00A26A03"/>
    <w:rsid w:val="00A310DC"/>
    <w:rsid w:val="00A37ADF"/>
    <w:rsid w:val="00A511BA"/>
    <w:rsid w:val="00A8127B"/>
    <w:rsid w:val="00A85919"/>
    <w:rsid w:val="00A914D2"/>
    <w:rsid w:val="00A93CF7"/>
    <w:rsid w:val="00A97367"/>
    <w:rsid w:val="00AA1528"/>
    <w:rsid w:val="00AA4A17"/>
    <w:rsid w:val="00AA5033"/>
    <w:rsid w:val="00AB45E9"/>
    <w:rsid w:val="00AB7DDF"/>
    <w:rsid w:val="00AC14B6"/>
    <w:rsid w:val="00AC1A2E"/>
    <w:rsid w:val="00AC7C0E"/>
    <w:rsid w:val="00AD2335"/>
    <w:rsid w:val="00AD3761"/>
    <w:rsid w:val="00AD6E8B"/>
    <w:rsid w:val="00AE7DAC"/>
    <w:rsid w:val="00B03683"/>
    <w:rsid w:val="00B05D95"/>
    <w:rsid w:val="00B14C2E"/>
    <w:rsid w:val="00B17BAC"/>
    <w:rsid w:val="00B17E92"/>
    <w:rsid w:val="00B2761E"/>
    <w:rsid w:val="00B2791A"/>
    <w:rsid w:val="00B344E5"/>
    <w:rsid w:val="00B3568E"/>
    <w:rsid w:val="00B37017"/>
    <w:rsid w:val="00B4749B"/>
    <w:rsid w:val="00B61A29"/>
    <w:rsid w:val="00B64477"/>
    <w:rsid w:val="00B672D4"/>
    <w:rsid w:val="00B713BA"/>
    <w:rsid w:val="00B71A99"/>
    <w:rsid w:val="00B7663C"/>
    <w:rsid w:val="00B87AF4"/>
    <w:rsid w:val="00B946E5"/>
    <w:rsid w:val="00BA091C"/>
    <w:rsid w:val="00BA10D2"/>
    <w:rsid w:val="00BA4D20"/>
    <w:rsid w:val="00BA7526"/>
    <w:rsid w:val="00BB2AB5"/>
    <w:rsid w:val="00BC3347"/>
    <w:rsid w:val="00BC3853"/>
    <w:rsid w:val="00BD2338"/>
    <w:rsid w:val="00BD4180"/>
    <w:rsid w:val="00BD7B24"/>
    <w:rsid w:val="00BF0C19"/>
    <w:rsid w:val="00BF18C9"/>
    <w:rsid w:val="00BF7635"/>
    <w:rsid w:val="00C13638"/>
    <w:rsid w:val="00C142F2"/>
    <w:rsid w:val="00C335C5"/>
    <w:rsid w:val="00C3431F"/>
    <w:rsid w:val="00C41B93"/>
    <w:rsid w:val="00C41E55"/>
    <w:rsid w:val="00C42374"/>
    <w:rsid w:val="00C437F7"/>
    <w:rsid w:val="00C44880"/>
    <w:rsid w:val="00C57036"/>
    <w:rsid w:val="00C621A0"/>
    <w:rsid w:val="00C63854"/>
    <w:rsid w:val="00C64112"/>
    <w:rsid w:val="00C656FF"/>
    <w:rsid w:val="00C66B75"/>
    <w:rsid w:val="00C73478"/>
    <w:rsid w:val="00C8713F"/>
    <w:rsid w:val="00C94740"/>
    <w:rsid w:val="00CB2E04"/>
    <w:rsid w:val="00CC1E07"/>
    <w:rsid w:val="00CC3A0B"/>
    <w:rsid w:val="00CF1350"/>
    <w:rsid w:val="00CF2F7B"/>
    <w:rsid w:val="00D0076B"/>
    <w:rsid w:val="00D241A0"/>
    <w:rsid w:val="00D25421"/>
    <w:rsid w:val="00D26E25"/>
    <w:rsid w:val="00D309B0"/>
    <w:rsid w:val="00D30ADB"/>
    <w:rsid w:val="00D312A6"/>
    <w:rsid w:val="00D43AB3"/>
    <w:rsid w:val="00D444BA"/>
    <w:rsid w:val="00D54B2D"/>
    <w:rsid w:val="00D6079A"/>
    <w:rsid w:val="00D75928"/>
    <w:rsid w:val="00D81DFB"/>
    <w:rsid w:val="00D82EC1"/>
    <w:rsid w:val="00D84D37"/>
    <w:rsid w:val="00D94EC3"/>
    <w:rsid w:val="00D97850"/>
    <w:rsid w:val="00DA451A"/>
    <w:rsid w:val="00DA77A0"/>
    <w:rsid w:val="00DB1865"/>
    <w:rsid w:val="00DB37C4"/>
    <w:rsid w:val="00DB5A7F"/>
    <w:rsid w:val="00DB7B48"/>
    <w:rsid w:val="00DC37EA"/>
    <w:rsid w:val="00DE03E0"/>
    <w:rsid w:val="00DE1003"/>
    <w:rsid w:val="00DE3336"/>
    <w:rsid w:val="00DE6271"/>
    <w:rsid w:val="00E16501"/>
    <w:rsid w:val="00E218B9"/>
    <w:rsid w:val="00E315C4"/>
    <w:rsid w:val="00E366AD"/>
    <w:rsid w:val="00E458CF"/>
    <w:rsid w:val="00E47150"/>
    <w:rsid w:val="00E47E33"/>
    <w:rsid w:val="00E50E39"/>
    <w:rsid w:val="00E8499A"/>
    <w:rsid w:val="00EA6C2F"/>
    <w:rsid w:val="00ED59B9"/>
    <w:rsid w:val="00EE3ADF"/>
    <w:rsid w:val="00EE4FC4"/>
    <w:rsid w:val="00EF7F2A"/>
    <w:rsid w:val="00F05C20"/>
    <w:rsid w:val="00F14DB0"/>
    <w:rsid w:val="00F14F02"/>
    <w:rsid w:val="00F154FE"/>
    <w:rsid w:val="00F21AC1"/>
    <w:rsid w:val="00F32B28"/>
    <w:rsid w:val="00F405EC"/>
    <w:rsid w:val="00F529F2"/>
    <w:rsid w:val="00F77B2A"/>
    <w:rsid w:val="00F920C2"/>
    <w:rsid w:val="00F9499D"/>
    <w:rsid w:val="00F95876"/>
    <w:rsid w:val="00FA0AC6"/>
    <w:rsid w:val="00FA753E"/>
    <w:rsid w:val="00FC73BD"/>
    <w:rsid w:val="00FD4884"/>
    <w:rsid w:val="00FE02B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4F15E0"/>
    <w:pPr>
      <w:widowControl w:val="0"/>
      <w:spacing w:after="200" w:line="276"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4F15E0"/>
    <w:rPr>
      <w:rFonts w:ascii="Times New Roman" w:eastAsia="Calibri" w:hAnsi="Times New Roman" w:cs="Times New Roman"/>
      <w:sz w:val="20"/>
      <w:szCs w:val="20"/>
    </w:rPr>
  </w:style>
  <w:style w:type="character" w:styleId="FootnoteReference">
    <w:name w:val="footnote reference"/>
    <w:uiPriority w:val="99"/>
    <w:semiHidden/>
    <w:unhideWhenUsed/>
    <w:rsid w:val="004F1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ur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e.vitol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E7EA-4D8C-4E0D-B779-EBFC8E7B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10050</Words>
  <Characters>5730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budžeta programmai 80.00.00 “Nesadalītais finansējums Eiropas Savienības politiku instrumentu un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 sākotnējās ietekmes novērtējuma ziņojums (anotācija)</dc:title>
  <dc:subject>Anotācija</dc:subject>
  <dc:creator>Kristīna Pūre, Agate Vītola</dc:creator>
  <cp:keywords/>
  <dc:description>agate.vitola@fm.gov.lv; 67095665_x000d_
kristina.pure@fm.gov.lv; 67095432</dc:description>
  <cp:lastModifiedBy>Agate Vītola</cp:lastModifiedBy>
  <cp:revision>7</cp:revision>
  <cp:lastPrinted>2019-09-11T11:17:00Z</cp:lastPrinted>
  <dcterms:created xsi:type="dcterms:W3CDTF">2019-11-22T10:17:00Z</dcterms:created>
  <dcterms:modified xsi:type="dcterms:W3CDTF">2019-11-22T12:39:00Z</dcterms:modified>
</cp:coreProperties>
</file>