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04703" w14:textId="77777777" w:rsidR="009F1F3B" w:rsidRPr="0095287E" w:rsidRDefault="009F1F3B" w:rsidP="00297AF3">
      <w:pPr>
        <w:pStyle w:val="naisnod"/>
        <w:spacing w:before="0" w:after="60"/>
        <w:rPr>
          <w:b w:val="0"/>
        </w:rPr>
      </w:pPr>
      <w:r w:rsidRPr="0095287E">
        <w:rPr>
          <w:b w:val="0"/>
        </w:rPr>
        <w:t>Izziņa par atzinumos sniegtajiem iebildumiem</w:t>
      </w:r>
    </w:p>
    <w:p w14:paraId="486115C1" w14:textId="77777777" w:rsidR="009F1F3B" w:rsidRPr="0095287E" w:rsidRDefault="009F1F3B" w:rsidP="00297AF3">
      <w:pPr>
        <w:pStyle w:val="naisc"/>
        <w:spacing w:before="0" w:after="0"/>
        <w:rPr>
          <w:b/>
          <w:sz w:val="26"/>
          <w:szCs w:val="26"/>
        </w:rPr>
      </w:pPr>
      <w:r w:rsidRPr="0095287E">
        <w:rPr>
          <w:b/>
          <w:sz w:val="26"/>
          <w:szCs w:val="26"/>
        </w:rPr>
        <w:t>Ministru kabineta noteikumu “</w:t>
      </w:r>
      <w:r w:rsidR="002835B7" w:rsidRPr="0095287E">
        <w:rPr>
          <w:b/>
          <w:sz w:val="26"/>
          <w:szCs w:val="26"/>
        </w:rPr>
        <w:t>Grozījumi Ministru kabineta 2013.gada 29.oktobra noteikumos Nr.1191 “Kārtība, kādā publiska persona nomā nekustamo īpašumu no privātpersonas vai kapitālsabiedrības un publicē informāciju par nomātajiem un nomāt paredzētajiem nekustamajiem īpašumiem”</w:t>
      </w:r>
      <w:r w:rsidR="00CF2D9D" w:rsidRPr="0095287E">
        <w:rPr>
          <w:b/>
          <w:sz w:val="26"/>
          <w:szCs w:val="26"/>
        </w:rPr>
        <w:t>” projekts (</w:t>
      </w:r>
      <w:r w:rsidR="002835B7" w:rsidRPr="0095287E">
        <w:rPr>
          <w:b/>
          <w:sz w:val="26"/>
          <w:szCs w:val="26"/>
        </w:rPr>
        <w:t>VSS-817</w:t>
      </w:r>
      <w:r w:rsidR="00CF2D9D" w:rsidRPr="0095287E">
        <w:rPr>
          <w:b/>
          <w:sz w:val="26"/>
          <w:szCs w:val="26"/>
        </w:rPr>
        <w:t>)</w:t>
      </w:r>
    </w:p>
    <w:p w14:paraId="4F8C7AE2" w14:textId="77777777" w:rsidR="009F1F3B" w:rsidRPr="0095287E" w:rsidRDefault="009F1F3B" w:rsidP="00297AF3">
      <w:pPr>
        <w:rPr>
          <w:vanish/>
        </w:rPr>
      </w:pPr>
    </w:p>
    <w:p w14:paraId="5B530DE9" w14:textId="77777777" w:rsidR="009F1F3B" w:rsidRPr="0095287E" w:rsidRDefault="009F1F3B" w:rsidP="00297AF3">
      <w:pPr>
        <w:jc w:val="center"/>
      </w:pPr>
      <w:r w:rsidRPr="0095287E">
        <w:rPr>
          <w:b/>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544"/>
        <w:gridCol w:w="1918"/>
        <w:gridCol w:w="2481"/>
      </w:tblGrid>
      <w:tr w:rsidR="0095287E" w:rsidRPr="0095287E" w14:paraId="13902A1A" w14:textId="77777777" w:rsidTr="005A633F">
        <w:trPr>
          <w:trHeight w:val="1440"/>
        </w:trPr>
        <w:tc>
          <w:tcPr>
            <w:tcW w:w="704" w:type="dxa"/>
            <w:shd w:val="clear" w:color="auto" w:fill="D9D9D9" w:themeFill="background1" w:themeFillShade="D9"/>
            <w:vAlign w:val="center"/>
          </w:tcPr>
          <w:p w14:paraId="1C498D5F" w14:textId="77777777" w:rsidR="009F1F3B" w:rsidRPr="0095287E" w:rsidRDefault="009F1F3B" w:rsidP="00297AF3">
            <w:pPr>
              <w:jc w:val="center"/>
              <w:rPr>
                <w:sz w:val="23"/>
                <w:szCs w:val="23"/>
              </w:rPr>
            </w:pPr>
            <w:proofErr w:type="spellStart"/>
            <w:r w:rsidRPr="0095287E">
              <w:rPr>
                <w:sz w:val="23"/>
                <w:szCs w:val="23"/>
              </w:rPr>
              <w:t>Nr.p.k</w:t>
            </w:r>
            <w:proofErr w:type="spellEnd"/>
            <w:r w:rsidRPr="0095287E">
              <w:rPr>
                <w:sz w:val="23"/>
                <w:szCs w:val="23"/>
              </w:rPr>
              <w:t>.</w:t>
            </w:r>
          </w:p>
        </w:tc>
        <w:tc>
          <w:tcPr>
            <w:tcW w:w="2126" w:type="dxa"/>
            <w:shd w:val="clear" w:color="auto" w:fill="D9D9D9" w:themeFill="background1" w:themeFillShade="D9"/>
            <w:vAlign w:val="center"/>
          </w:tcPr>
          <w:p w14:paraId="4CC1344D" w14:textId="77777777" w:rsidR="009F1F3B" w:rsidRPr="0095287E" w:rsidRDefault="009F1F3B" w:rsidP="00297AF3">
            <w:pPr>
              <w:jc w:val="center"/>
            </w:pPr>
            <w:r w:rsidRPr="0095287E">
              <w:t>Saskaņošanai nosūtītā projekta redakcija</w:t>
            </w:r>
          </w:p>
        </w:tc>
        <w:tc>
          <w:tcPr>
            <w:tcW w:w="3969" w:type="dxa"/>
            <w:shd w:val="clear" w:color="auto" w:fill="D9D9D9" w:themeFill="background1" w:themeFillShade="D9"/>
            <w:vAlign w:val="center"/>
          </w:tcPr>
          <w:p w14:paraId="2B00500E" w14:textId="77777777" w:rsidR="009F1F3B" w:rsidRPr="0095287E" w:rsidRDefault="009F1F3B" w:rsidP="00297AF3">
            <w:pPr>
              <w:jc w:val="center"/>
            </w:pPr>
            <w:r w:rsidRPr="0095287E">
              <w:t>Atzinumā norādītais ministrijas (citas institūcijas) iebildums, kā arī saskaņošanā papildus izteiktais iebildums par projekta konkrēto punktu</w:t>
            </w:r>
          </w:p>
        </w:tc>
        <w:tc>
          <w:tcPr>
            <w:tcW w:w="3544" w:type="dxa"/>
            <w:shd w:val="clear" w:color="auto" w:fill="D9D9D9" w:themeFill="background1" w:themeFillShade="D9"/>
            <w:vAlign w:val="center"/>
          </w:tcPr>
          <w:p w14:paraId="460BFA02" w14:textId="77777777" w:rsidR="009F1F3B" w:rsidRPr="0095287E" w:rsidRDefault="009F1F3B" w:rsidP="00297AF3">
            <w:pPr>
              <w:jc w:val="center"/>
            </w:pPr>
            <w:r w:rsidRPr="0095287E">
              <w:t>Atbildīgās ministrijas pamatojums iebilduma noraidījumam</w:t>
            </w:r>
          </w:p>
        </w:tc>
        <w:tc>
          <w:tcPr>
            <w:tcW w:w="1918" w:type="dxa"/>
            <w:shd w:val="clear" w:color="auto" w:fill="D9D9D9" w:themeFill="background1" w:themeFillShade="D9"/>
            <w:vAlign w:val="center"/>
          </w:tcPr>
          <w:p w14:paraId="5482FF29" w14:textId="77777777" w:rsidR="009F1F3B" w:rsidRPr="0095287E" w:rsidRDefault="009F1F3B" w:rsidP="00297AF3">
            <w:pPr>
              <w:jc w:val="center"/>
            </w:pPr>
            <w:r w:rsidRPr="0095287E">
              <w:t>Atzinuma sniedzēja uzturētais iebildums, ja tas atšķiras no atzinumā norādītā iebilduma pamatojuma</w:t>
            </w:r>
          </w:p>
        </w:tc>
        <w:tc>
          <w:tcPr>
            <w:tcW w:w="2481" w:type="dxa"/>
            <w:shd w:val="clear" w:color="auto" w:fill="D9D9D9" w:themeFill="background1" w:themeFillShade="D9"/>
            <w:vAlign w:val="center"/>
          </w:tcPr>
          <w:p w14:paraId="408398F8" w14:textId="77777777" w:rsidR="009F1F3B" w:rsidRPr="0095287E" w:rsidRDefault="009F1F3B" w:rsidP="00297AF3">
            <w:pPr>
              <w:jc w:val="center"/>
            </w:pPr>
            <w:r w:rsidRPr="0095287E">
              <w:t>Projekta attiecīgā punkta galīgā redakcija</w:t>
            </w:r>
          </w:p>
        </w:tc>
      </w:tr>
      <w:tr w:rsidR="0095287E" w:rsidRPr="0095287E" w14:paraId="5B777F34" w14:textId="77777777" w:rsidTr="005A633F">
        <w:trPr>
          <w:trHeight w:val="260"/>
        </w:trPr>
        <w:tc>
          <w:tcPr>
            <w:tcW w:w="704" w:type="dxa"/>
            <w:shd w:val="clear" w:color="auto" w:fill="D9D9D9" w:themeFill="background1" w:themeFillShade="D9"/>
          </w:tcPr>
          <w:p w14:paraId="1CABF047" w14:textId="77777777" w:rsidR="009F1F3B" w:rsidRPr="0095287E" w:rsidRDefault="009F1F3B" w:rsidP="00297AF3">
            <w:pPr>
              <w:ind w:left="113" w:right="113"/>
              <w:jc w:val="center"/>
              <w:rPr>
                <w:i/>
                <w:sz w:val="20"/>
                <w:szCs w:val="20"/>
              </w:rPr>
            </w:pPr>
            <w:r w:rsidRPr="0095287E">
              <w:rPr>
                <w:i/>
                <w:sz w:val="20"/>
                <w:szCs w:val="20"/>
              </w:rPr>
              <w:t>1</w:t>
            </w:r>
          </w:p>
        </w:tc>
        <w:tc>
          <w:tcPr>
            <w:tcW w:w="2126" w:type="dxa"/>
            <w:shd w:val="clear" w:color="auto" w:fill="D9D9D9" w:themeFill="background1" w:themeFillShade="D9"/>
          </w:tcPr>
          <w:p w14:paraId="0B2D9C8D" w14:textId="77777777" w:rsidR="009F1F3B" w:rsidRPr="0095287E" w:rsidRDefault="009F1F3B" w:rsidP="00297AF3">
            <w:pPr>
              <w:jc w:val="center"/>
              <w:rPr>
                <w:i/>
                <w:sz w:val="20"/>
                <w:szCs w:val="20"/>
              </w:rPr>
            </w:pPr>
            <w:r w:rsidRPr="0095287E">
              <w:rPr>
                <w:i/>
                <w:sz w:val="20"/>
                <w:szCs w:val="20"/>
              </w:rPr>
              <w:t>2</w:t>
            </w:r>
          </w:p>
        </w:tc>
        <w:tc>
          <w:tcPr>
            <w:tcW w:w="3969" w:type="dxa"/>
            <w:shd w:val="clear" w:color="auto" w:fill="D9D9D9" w:themeFill="background1" w:themeFillShade="D9"/>
          </w:tcPr>
          <w:p w14:paraId="6FDB8F02" w14:textId="77777777" w:rsidR="009F1F3B" w:rsidRPr="0095287E" w:rsidRDefault="009F1F3B" w:rsidP="00297AF3">
            <w:pPr>
              <w:jc w:val="center"/>
              <w:rPr>
                <w:i/>
                <w:sz w:val="20"/>
                <w:szCs w:val="20"/>
              </w:rPr>
            </w:pPr>
            <w:r w:rsidRPr="0095287E">
              <w:rPr>
                <w:i/>
                <w:sz w:val="20"/>
                <w:szCs w:val="20"/>
              </w:rPr>
              <w:t>3</w:t>
            </w:r>
          </w:p>
        </w:tc>
        <w:tc>
          <w:tcPr>
            <w:tcW w:w="3544" w:type="dxa"/>
            <w:shd w:val="clear" w:color="auto" w:fill="D9D9D9" w:themeFill="background1" w:themeFillShade="D9"/>
          </w:tcPr>
          <w:p w14:paraId="550A2BFF" w14:textId="77777777" w:rsidR="009F1F3B" w:rsidRPr="0095287E" w:rsidRDefault="009F1F3B" w:rsidP="00297AF3">
            <w:pPr>
              <w:ind w:left="150"/>
              <w:jc w:val="center"/>
              <w:rPr>
                <w:i/>
                <w:sz w:val="20"/>
                <w:szCs w:val="20"/>
              </w:rPr>
            </w:pPr>
            <w:r w:rsidRPr="0095287E">
              <w:rPr>
                <w:i/>
                <w:sz w:val="20"/>
                <w:szCs w:val="20"/>
              </w:rPr>
              <w:t>4</w:t>
            </w:r>
          </w:p>
        </w:tc>
        <w:tc>
          <w:tcPr>
            <w:tcW w:w="1918" w:type="dxa"/>
            <w:shd w:val="clear" w:color="auto" w:fill="D9D9D9" w:themeFill="background1" w:themeFillShade="D9"/>
          </w:tcPr>
          <w:p w14:paraId="0246C19D" w14:textId="77777777" w:rsidR="009F1F3B" w:rsidRPr="0095287E" w:rsidRDefault="009F1F3B" w:rsidP="00297AF3">
            <w:pPr>
              <w:ind w:left="113" w:right="113"/>
              <w:jc w:val="center"/>
              <w:rPr>
                <w:i/>
                <w:sz w:val="20"/>
                <w:szCs w:val="20"/>
              </w:rPr>
            </w:pPr>
            <w:r w:rsidRPr="0095287E">
              <w:rPr>
                <w:i/>
                <w:sz w:val="20"/>
                <w:szCs w:val="20"/>
              </w:rPr>
              <w:t>5</w:t>
            </w:r>
          </w:p>
        </w:tc>
        <w:tc>
          <w:tcPr>
            <w:tcW w:w="2481" w:type="dxa"/>
            <w:shd w:val="clear" w:color="auto" w:fill="D9D9D9" w:themeFill="background1" w:themeFillShade="D9"/>
          </w:tcPr>
          <w:p w14:paraId="6F7E4DB1" w14:textId="77777777" w:rsidR="009F1F3B" w:rsidRPr="0095287E" w:rsidRDefault="009F1F3B" w:rsidP="00297AF3">
            <w:pPr>
              <w:jc w:val="center"/>
              <w:rPr>
                <w:i/>
                <w:sz w:val="20"/>
                <w:szCs w:val="20"/>
              </w:rPr>
            </w:pPr>
            <w:r w:rsidRPr="0095287E">
              <w:rPr>
                <w:i/>
                <w:sz w:val="20"/>
                <w:szCs w:val="20"/>
              </w:rPr>
              <w:t>6</w:t>
            </w:r>
          </w:p>
        </w:tc>
      </w:tr>
      <w:tr w:rsidR="0095287E" w:rsidRPr="0095287E" w14:paraId="123A2DB8" w14:textId="77777777" w:rsidTr="005A633F">
        <w:trPr>
          <w:trHeight w:val="260"/>
        </w:trPr>
        <w:tc>
          <w:tcPr>
            <w:tcW w:w="704" w:type="dxa"/>
          </w:tcPr>
          <w:p w14:paraId="1257E10F" w14:textId="77777777" w:rsidR="002835B7" w:rsidRPr="0095287E" w:rsidRDefault="002835B7" w:rsidP="002835B7">
            <w:pPr>
              <w:jc w:val="center"/>
            </w:pPr>
            <w:r w:rsidRPr="0095287E">
              <w:t>–</w:t>
            </w:r>
          </w:p>
        </w:tc>
        <w:tc>
          <w:tcPr>
            <w:tcW w:w="2126" w:type="dxa"/>
          </w:tcPr>
          <w:p w14:paraId="5061B6E5" w14:textId="77777777" w:rsidR="002835B7" w:rsidRPr="0095287E" w:rsidRDefault="002835B7" w:rsidP="002835B7">
            <w:pPr>
              <w:jc w:val="center"/>
            </w:pPr>
            <w:r w:rsidRPr="0095287E">
              <w:t>–</w:t>
            </w:r>
          </w:p>
        </w:tc>
        <w:tc>
          <w:tcPr>
            <w:tcW w:w="3969" w:type="dxa"/>
          </w:tcPr>
          <w:p w14:paraId="4FB23CBE" w14:textId="77777777" w:rsidR="002835B7" w:rsidRPr="0095287E" w:rsidRDefault="002835B7" w:rsidP="002835B7">
            <w:pPr>
              <w:jc w:val="center"/>
            </w:pPr>
            <w:r w:rsidRPr="0095287E">
              <w:t>–</w:t>
            </w:r>
          </w:p>
        </w:tc>
        <w:tc>
          <w:tcPr>
            <w:tcW w:w="3544" w:type="dxa"/>
          </w:tcPr>
          <w:p w14:paraId="03D11ECB" w14:textId="77777777" w:rsidR="002835B7" w:rsidRPr="0095287E" w:rsidRDefault="002835B7" w:rsidP="002835B7">
            <w:pPr>
              <w:jc w:val="center"/>
            </w:pPr>
            <w:r w:rsidRPr="0095287E">
              <w:t>–</w:t>
            </w:r>
          </w:p>
        </w:tc>
        <w:tc>
          <w:tcPr>
            <w:tcW w:w="1918" w:type="dxa"/>
          </w:tcPr>
          <w:p w14:paraId="0896F617" w14:textId="77777777" w:rsidR="002835B7" w:rsidRPr="0095287E" w:rsidRDefault="002835B7" w:rsidP="002835B7">
            <w:pPr>
              <w:jc w:val="center"/>
            </w:pPr>
            <w:r w:rsidRPr="0095287E">
              <w:t>–</w:t>
            </w:r>
          </w:p>
        </w:tc>
        <w:tc>
          <w:tcPr>
            <w:tcW w:w="2481" w:type="dxa"/>
          </w:tcPr>
          <w:p w14:paraId="226B8781" w14:textId="77777777" w:rsidR="002835B7" w:rsidRPr="0095287E" w:rsidRDefault="002835B7" w:rsidP="002835B7">
            <w:pPr>
              <w:jc w:val="center"/>
            </w:pPr>
            <w:r w:rsidRPr="0095287E">
              <w:t>–</w:t>
            </w:r>
          </w:p>
        </w:tc>
      </w:tr>
    </w:tbl>
    <w:p w14:paraId="5CF894C1" w14:textId="77777777" w:rsidR="009F1F3B" w:rsidRPr="0095287E" w:rsidRDefault="009F1F3B" w:rsidP="00297AF3">
      <w:pPr>
        <w:pStyle w:val="naisf"/>
        <w:spacing w:before="0" w:after="60"/>
        <w:ind w:firstLine="0"/>
        <w:jc w:val="left"/>
        <w:rPr>
          <w:b/>
          <w:bCs/>
        </w:rPr>
      </w:pPr>
    </w:p>
    <w:p w14:paraId="476F90B2" w14:textId="77777777" w:rsidR="009F1F3B" w:rsidRPr="0095287E" w:rsidRDefault="009F1F3B" w:rsidP="00297AF3">
      <w:pPr>
        <w:pStyle w:val="naisf"/>
        <w:spacing w:before="0" w:after="0"/>
        <w:ind w:firstLine="0"/>
      </w:pPr>
      <w:r w:rsidRPr="0095287E">
        <w:rPr>
          <w:b/>
          <w:bCs/>
        </w:rPr>
        <w:t xml:space="preserve">Informācija par </w:t>
      </w:r>
      <w:proofErr w:type="spellStart"/>
      <w:r w:rsidRPr="0095287E">
        <w:rPr>
          <w:b/>
          <w:bCs/>
        </w:rPr>
        <w:t>starpministriju</w:t>
      </w:r>
      <w:proofErr w:type="spellEnd"/>
      <w:r w:rsidRPr="0095287E">
        <w:rPr>
          <w:b/>
          <w:bCs/>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5287E" w:rsidRPr="0095287E" w14:paraId="2C11BF9E" w14:textId="77777777" w:rsidTr="00B13AEC">
        <w:trPr>
          <w:tblCellSpacing w:w="0" w:type="dxa"/>
        </w:trPr>
        <w:tc>
          <w:tcPr>
            <w:tcW w:w="4111" w:type="dxa"/>
            <w:gridSpan w:val="2"/>
            <w:hideMark/>
          </w:tcPr>
          <w:p w14:paraId="1E0EDBAD" w14:textId="77777777" w:rsidR="009F1F3B" w:rsidRPr="0095287E" w:rsidRDefault="009F1F3B" w:rsidP="00297AF3">
            <w:pPr>
              <w:pStyle w:val="naiskr"/>
              <w:spacing w:before="0" w:after="0"/>
            </w:pPr>
            <w:r w:rsidRPr="0095287E">
              <w:t>Datums</w:t>
            </w:r>
          </w:p>
        </w:tc>
        <w:tc>
          <w:tcPr>
            <w:tcW w:w="9923" w:type="dxa"/>
            <w:gridSpan w:val="2"/>
          </w:tcPr>
          <w:p w14:paraId="3B0E3B9D" w14:textId="7CE4C74C" w:rsidR="00751C84" w:rsidRPr="0095287E" w:rsidRDefault="00723491" w:rsidP="00F27BE7">
            <w:pPr>
              <w:pStyle w:val="naisf"/>
              <w:spacing w:before="0" w:after="0"/>
              <w:ind w:firstLine="0"/>
            </w:pPr>
            <w:r w:rsidRPr="0095287E">
              <w:t>20.08.</w:t>
            </w:r>
            <w:r w:rsidR="002835B7" w:rsidRPr="0095287E">
              <w:t>2019</w:t>
            </w:r>
            <w:r w:rsidR="001E38A0" w:rsidRPr="0095287E">
              <w:t>.</w:t>
            </w:r>
            <w:r w:rsidR="00F27BE7">
              <w:t xml:space="preserve"> </w:t>
            </w:r>
            <w:r w:rsidR="00751C84" w:rsidRPr="0095287E">
              <w:t>(</w:t>
            </w:r>
            <w:r w:rsidR="00751C84" w:rsidRPr="0095287E">
              <w:rPr>
                <w:i/>
              </w:rPr>
              <w:t>elektroniskā saskaņošana</w:t>
            </w:r>
            <w:r w:rsidR="002835B7" w:rsidRPr="0095287E">
              <w:t>)</w:t>
            </w:r>
          </w:p>
        </w:tc>
      </w:tr>
      <w:tr w:rsidR="0095287E" w:rsidRPr="0095287E" w14:paraId="26DD4EFA" w14:textId="77777777" w:rsidTr="00B13AEC">
        <w:trPr>
          <w:tblCellSpacing w:w="0" w:type="dxa"/>
        </w:trPr>
        <w:tc>
          <w:tcPr>
            <w:tcW w:w="4111" w:type="dxa"/>
            <w:gridSpan w:val="2"/>
          </w:tcPr>
          <w:p w14:paraId="3FF0D21C" w14:textId="77777777" w:rsidR="009F1F3B" w:rsidRPr="0095287E" w:rsidRDefault="009F1F3B" w:rsidP="00297AF3">
            <w:pPr>
              <w:pStyle w:val="naiskr"/>
              <w:spacing w:before="0" w:after="0"/>
              <w:rPr>
                <w:bCs/>
              </w:rPr>
            </w:pPr>
          </w:p>
        </w:tc>
        <w:tc>
          <w:tcPr>
            <w:tcW w:w="9923" w:type="dxa"/>
            <w:gridSpan w:val="2"/>
          </w:tcPr>
          <w:p w14:paraId="14B9617A" w14:textId="77777777" w:rsidR="009F1F3B" w:rsidRPr="0095287E" w:rsidRDefault="009F1F3B" w:rsidP="00297AF3">
            <w:pPr>
              <w:pStyle w:val="naisf"/>
              <w:spacing w:before="0" w:after="0"/>
              <w:ind w:firstLine="0"/>
            </w:pPr>
          </w:p>
        </w:tc>
      </w:tr>
      <w:tr w:rsidR="0095287E" w:rsidRPr="0095287E" w14:paraId="2642C678" w14:textId="77777777" w:rsidTr="00B13AEC">
        <w:trPr>
          <w:tblCellSpacing w:w="0" w:type="dxa"/>
        </w:trPr>
        <w:tc>
          <w:tcPr>
            <w:tcW w:w="2552" w:type="dxa"/>
            <w:hideMark/>
          </w:tcPr>
          <w:p w14:paraId="132B9581" w14:textId="77777777" w:rsidR="009F1F3B" w:rsidRPr="0095287E" w:rsidRDefault="009F1F3B" w:rsidP="00297AF3">
            <w:pPr>
              <w:pStyle w:val="naiskr"/>
              <w:spacing w:before="0" w:after="0"/>
            </w:pPr>
            <w:r w:rsidRPr="0095287E">
              <w:t>Saskaņošanas dalībnieki:</w:t>
            </w:r>
          </w:p>
        </w:tc>
        <w:tc>
          <w:tcPr>
            <w:tcW w:w="11482" w:type="dxa"/>
            <w:gridSpan w:val="3"/>
            <w:vAlign w:val="center"/>
            <w:hideMark/>
          </w:tcPr>
          <w:p w14:paraId="0A1330B0" w14:textId="77777777" w:rsidR="00EB0BAF" w:rsidRPr="0095287E" w:rsidRDefault="00EB0BAF" w:rsidP="00297AF3">
            <w:pPr>
              <w:pStyle w:val="naisf"/>
              <w:spacing w:before="0" w:after="0"/>
              <w:ind w:firstLine="0"/>
            </w:pPr>
            <w:r w:rsidRPr="0095287E">
              <w:t xml:space="preserve">Tieslietu ministrija, Aizsardzības ministrija, Ārlietu ministrija, Ekonomikas ministrija, </w:t>
            </w:r>
            <w:proofErr w:type="spellStart"/>
            <w:r w:rsidRPr="0095287E">
              <w:t>Iekšlietu</w:t>
            </w:r>
            <w:proofErr w:type="spellEnd"/>
            <w:r w:rsidRPr="0095287E">
              <w:t xml:space="preserve"> ministrija, Izglītības un zinātnes ministrija, Kultūras ministrija, Labklājības ministrija, Satiksmes ministrija, Veselības ministrija, Vides aizsardzības un reģionālās attīstības ministrija, Zemkopības ministrija, Valsts kanceleja un Latvijas Pašvaldību savienība</w:t>
            </w:r>
          </w:p>
          <w:p w14:paraId="1D3F739B" w14:textId="77777777" w:rsidR="009F1F3B" w:rsidRPr="0095287E" w:rsidRDefault="009F1F3B" w:rsidP="00297AF3">
            <w:pPr>
              <w:pStyle w:val="naisf"/>
              <w:spacing w:before="0" w:after="0"/>
              <w:ind w:firstLine="0"/>
            </w:pPr>
          </w:p>
        </w:tc>
      </w:tr>
      <w:tr w:rsidR="0095287E" w:rsidRPr="0095287E" w14:paraId="257030C0" w14:textId="77777777" w:rsidTr="00B13AEC">
        <w:trPr>
          <w:tblCellSpacing w:w="0" w:type="dxa"/>
        </w:trPr>
        <w:tc>
          <w:tcPr>
            <w:tcW w:w="4111" w:type="dxa"/>
            <w:gridSpan w:val="2"/>
          </w:tcPr>
          <w:p w14:paraId="6AC4B62B" w14:textId="77777777" w:rsidR="009F1F3B" w:rsidRPr="0095287E" w:rsidRDefault="009F1F3B" w:rsidP="00297AF3">
            <w:pPr>
              <w:pStyle w:val="naiskr"/>
              <w:spacing w:before="0" w:after="0"/>
            </w:pPr>
            <w:r w:rsidRPr="0095287E">
              <w:t>Saskaņošanas dalībnieki izskatīja šādu ministriju (citu institūciju) iebildumus:</w:t>
            </w:r>
          </w:p>
        </w:tc>
        <w:tc>
          <w:tcPr>
            <w:tcW w:w="9923" w:type="dxa"/>
            <w:gridSpan w:val="2"/>
            <w:vAlign w:val="center"/>
          </w:tcPr>
          <w:p w14:paraId="178D81E4" w14:textId="77777777" w:rsidR="009F1F3B" w:rsidRPr="0095287E" w:rsidRDefault="005352AB" w:rsidP="00297AF3">
            <w:pPr>
              <w:pStyle w:val="naisf"/>
              <w:spacing w:before="0" w:after="0"/>
              <w:ind w:firstLine="0"/>
            </w:pPr>
            <w:r w:rsidRPr="0095287E">
              <w:t>Ekonomikas ministrijas</w:t>
            </w:r>
            <w:r w:rsidR="00327816" w:rsidRPr="0095287E">
              <w:t xml:space="preserve">, </w:t>
            </w:r>
            <w:proofErr w:type="spellStart"/>
            <w:r w:rsidR="004600CF" w:rsidRPr="0095287E">
              <w:t>Iekšlietu</w:t>
            </w:r>
            <w:proofErr w:type="spellEnd"/>
            <w:r w:rsidR="004600CF" w:rsidRPr="0095287E">
              <w:t xml:space="preserve"> ministrijas, </w:t>
            </w:r>
            <w:r w:rsidR="00560542" w:rsidRPr="0095287E">
              <w:rPr>
                <w:bCs/>
              </w:rPr>
              <w:t>Valsts kanceleja</w:t>
            </w:r>
            <w:r w:rsidR="004245D1" w:rsidRPr="0095287E">
              <w:rPr>
                <w:bCs/>
              </w:rPr>
              <w:t>s, Tieslietu ministrijas</w:t>
            </w:r>
          </w:p>
          <w:p w14:paraId="2ABCBB75" w14:textId="77777777" w:rsidR="009F1F3B" w:rsidRPr="0095287E" w:rsidRDefault="009F1F3B" w:rsidP="00297AF3">
            <w:pPr>
              <w:pStyle w:val="naisf"/>
              <w:spacing w:before="0" w:after="0"/>
              <w:ind w:firstLine="0"/>
            </w:pPr>
          </w:p>
        </w:tc>
      </w:tr>
      <w:tr w:rsidR="0095287E" w:rsidRPr="0095287E" w14:paraId="61C74A1D" w14:textId="77777777" w:rsidTr="00B13AEC">
        <w:trPr>
          <w:tblCellSpacing w:w="0" w:type="dxa"/>
        </w:trPr>
        <w:tc>
          <w:tcPr>
            <w:tcW w:w="4111" w:type="dxa"/>
            <w:gridSpan w:val="2"/>
          </w:tcPr>
          <w:p w14:paraId="5C0B06E5" w14:textId="77777777" w:rsidR="001E38A0" w:rsidRPr="0095287E" w:rsidRDefault="001E38A0" w:rsidP="00297AF3">
            <w:pPr>
              <w:pStyle w:val="naiskr"/>
              <w:spacing w:before="0" w:after="0"/>
            </w:pPr>
          </w:p>
        </w:tc>
        <w:tc>
          <w:tcPr>
            <w:tcW w:w="9923" w:type="dxa"/>
            <w:gridSpan w:val="2"/>
            <w:vAlign w:val="center"/>
          </w:tcPr>
          <w:p w14:paraId="2E147488" w14:textId="77777777" w:rsidR="001E38A0" w:rsidRPr="0095287E" w:rsidRDefault="001E38A0" w:rsidP="00297AF3">
            <w:pPr>
              <w:pStyle w:val="naisf"/>
              <w:spacing w:before="0" w:after="0"/>
              <w:ind w:firstLine="0"/>
            </w:pPr>
          </w:p>
        </w:tc>
      </w:tr>
      <w:tr w:rsidR="009F1F3B" w:rsidRPr="0095287E" w14:paraId="480DB2B6" w14:textId="77777777" w:rsidTr="001E38A0">
        <w:trPr>
          <w:tblCellSpacing w:w="0" w:type="dxa"/>
        </w:trPr>
        <w:tc>
          <w:tcPr>
            <w:tcW w:w="5387" w:type="dxa"/>
            <w:gridSpan w:val="3"/>
          </w:tcPr>
          <w:p w14:paraId="35732A08" w14:textId="77777777" w:rsidR="009F1F3B" w:rsidRPr="0095287E" w:rsidRDefault="009F1F3B" w:rsidP="00297AF3">
            <w:pPr>
              <w:pStyle w:val="naiskr"/>
              <w:spacing w:before="0" w:after="0"/>
            </w:pPr>
            <w:r w:rsidRPr="0095287E">
              <w:t>Ministrijas (citas institūcijas), kuras nav ieradušās uz sanāksmi vai kuras nav atbildējušas uz uzaicinājumu piedalīties elektroniskajā saskaņošanā</w:t>
            </w:r>
          </w:p>
        </w:tc>
        <w:tc>
          <w:tcPr>
            <w:tcW w:w="8647" w:type="dxa"/>
            <w:vAlign w:val="center"/>
          </w:tcPr>
          <w:p w14:paraId="1E20332D" w14:textId="77777777" w:rsidR="009F1F3B" w:rsidRPr="0095287E" w:rsidRDefault="005352AB" w:rsidP="00297AF3">
            <w:pPr>
              <w:pStyle w:val="naisf"/>
              <w:spacing w:before="0" w:after="0"/>
              <w:ind w:firstLine="0"/>
            </w:pPr>
            <w:r w:rsidRPr="0095287E">
              <w:t>–</w:t>
            </w:r>
          </w:p>
          <w:p w14:paraId="5457F6A6" w14:textId="77777777" w:rsidR="001E38A0" w:rsidRPr="0095287E" w:rsidRDefault="001E38A0" w:rsidP="00297AF3">
            <w:pPr>
              <w:pStyle w:val="naisf"/>
              <w:spacing w:before="0" w:after="0"/>
              <w:ind w:firstLine="0"/>
            </w:pPr>
          </w:p>
          <w:p w14:paraId="4D9E2C13" w14:textId="77777777" w:rsidR="001E38A0" w:rsidRPr="0095287E" w:rsidRDefault="001E38A0" w:rsidP="00297AF3">
            <w:pPr>
              <w:pStyle w:val="naisf"/>
              <w:spacing w:before="0" w:after="0"/>
              <w:ind w:firstLine="0"/>
            </w:pPr>
          </w:p>
        </w:tc>
      </w:tr>
    </w:tbl>
    <w:p w14:paraId="508DD9D7" w14:textId="0B2F2AA3" w:rsidR="007E46DC" w:rsidRDefault="007E46DC" w:rsidP="005352AB">
      <w:pPr>
        <w:spacing w:before="120"/>
        <w:jc w:val="center"/>
        <w:rPr>
          <w:b/>
        </w:rPr>
      </w:pPr>
    </w:p>
    <w:p w14:paraId="2B835D39" w14:textId="699C1B69" w:rsidR="00EB0BAF" w:rsidRPr="007E46DC" w:rsidRDefault="007E46DC" w:rsidP="007E46DC">
      <w:pPr>
        <w:tabs>
          <w:tab w:val="left" w:pos="3585"/>
        </w:tabs>
      </w:pPr>
      <w:r>
        <w:tab/>
      </w:r>
    </w:p>
    <w:p w14:paraId="6CEAF242" w14:textId="77777777" w:rsidR="009F1F3B" w:rsidRPr="0095287E" w:rsidRDefault="009F1F3B" w:rsidP="005352AB">
      <w:pPr>
        <w:spacing w:before="120"/>
        <w:jc w:val="center"/>
      </w:pPr>
      <w:r w:rsidRPr="0095287E">
        <w:rPr>
          <w:b/>
        </w:rPr>
        <w:lastRenderedPageBreak/>
        <w:t>II. Jautājumi, par kuriem saskaņošanā vienošanās ir panākta</w:t>
      </w:r>
    </w:p>
    <w:p w14:paraId="0C5CB010" w14:textId="77777777" w:rsidR="009F1F3B" w:rsidRPr="0095287E" w:rsidRDefault="009F1F3B" w:rsidP="00297AF3">
      <w:pPr>
        <w:jc w:val="cente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530"/>
        <w:gridCol w:w="3211"/>
        <w:gridCol w:w="877"/>
        <w:gridCol w:w="2864"/>
        <w:gridCol w:w="28"/>
        <w:gridCol w:w="3491"/>
      </w:tblGrid>
      <w:tr w:rsidR="0095287E" w:rsidRPr="0095287E" w14:paraId="6F315206" w14:textId="77777777" w:rsidTr="001A77C9">
        <w:trPr>
          <w:jc w:val="center"/>
        </w:trPr>
        <w:tc>
          <w:tcPr>
            <w:tcW w:w="781" w:type="dxa"/>
            <w:shd w:val="clear" w:color="auto" w:fill="D9D9D9" w:themeFill="background1" w:themeFillShade="D9"/>
            <w:vAlign w:val="center"/>
          </w:tcPr>
          <w:p w14:paraId="5ADB0072" w14:textId="77777777" w:rsidR="009F1F3B" w:rsidRPr="0095287E" w:rsidRDefault="009F1F3B" w:rsidP="00574917">
            <w:pPr>
              <w:jc w:val="center"/>
            </w:pPr>
            <w:r w:rsidRPr="0095287E">
              <w:t>Nr.</w:t>
            </w:r>
          </w:p>
          <w:p w14:paraId="1EACFCD1" w14:textId="77777777" w:rsidR="009F1F3B" w:rsidRPr="0095287E" w:rsidRDefault="009F1F3B" w:rsidP="00574917">
            <w:pPr>
              <w:jc w:val="center"/>
            </w:pPr>
            <w:r w:rsidRPr="0095287E">
              <w:t>p.k.</w:t>
            </w:r>
          </w:p>
        </w:tc>
        <w:tc>
          <w:tcPr>
            <w:tcW w:w="3490" w:type="dxa"/>
            <w:gridSpan w:val="2"/>
            <w:shd w:val="clear" w:color="auto" w:fill="D9D9D9" w:themeFill="background1" w:themeFillShade="D9"/>
            <w:vAlign w:val="center"/>
          </w:tcPr>
          <w:p w14:paraId="6D6BAAE0" w14:textId="77777777" w:rsidR="009F1F3B" w:rsidRPr="0095287E" w:rsidRDefault="009F1F3B" w:rsidP="00574917">
            <w:pPr>
              <w:jc w:val="center"/>
            </w:pPr>
            <w:r w:rsidRPr="0095287E">
              <w:t>Saskaņošanai nosūtītā projekta redakcija (konkrēta punkta redakcija)</w:t>
            </w:r>
          </w:p>
        </w:tc>
        <w:tc>
          <w:tcPr>
            <w:tcW w:w="4088" w:type="dxa"/>
            <w:gridSpan w:val="2"/>
            <w:shd w:val="clear" w:color="auto" w:fill="D9D9D9" w:themeFill="background1" w:themeFillShade="D9"/>
            <w:vAlign w:val="center"/>
          </w:tcPr>
          <w:p w14:paraId="5687421E" w14:textId="77777777" w:rsidR="009F1F3B" w:rsidRPr="0095287E" w:rsidRDefault="009F1F3B" w:rsidP="00574917">
            <w:pPr>
              <w:jc w:val="center"/>
            </w:pPr>
            <w:r w:rsidRPr="0095287E">
              <w:t>Atzinumā norādītais ministrijas (citas institūcijas) iebildums, kā arī saskaņošanā papildus izteiktais iebildums par projekta konkrēto punktu</w:t>
            </w:r>
          </w:p>
        </w:tc>
        <w:tc>
          <w:tcPr>
            <w:tcW w:w="2892" w:type="dxa"/>
            <w:gridSpan w:val="2"/>
            <w:shd w:val="clear" w:color="auto" w:fill="D9D9D9" w:themeFill="background1" w:themeFillShade="D9"/>
            <w:vAlign w:val="center"/>
          </w:tcPr>
          <w:p w14:paraId="1E0064B9" w14:textId="77777777" w:rsidR="009F1F3B" w:rsidRPr="0095287E" w:rsidRDefault="009F1F3B" w:rsidP="00574917">
            <w:pPr>
              <w:jc w:val="center"/>
            </w:pPr>
            <w:r w:rsidRPr="0095287E">
              <w:t>Atbildīgās ministrijas norāde par to, ka iebildums ir ņemts vērā, vai informācija par saskaņošanā panākto alternatīvo risinājumu</w:t>
            </w:r>
          </w:p>
        </w:tc>
        <w:tc>
          <w:tcPr>
            <w:tcW w:w="3491" w:type="dxa"/>
            <w:shd w:val="clear" w:color="auto" w:fill="D9D9D9" w:themeFill="background1" w:themeFillShade="D9"/>
            <w:vAlign w:val="center"/>
          </w:tcPr>
          <w:p w14:paraId="1024CF4C" w14:textId="77777777" w:rsidR="009F1F3B" w:rsidRPr="0095287E" w:rsidRDefault="009F1F3B" w:rsidP="00574917">
            <w:pPr>
              <w:jc w:val="center"/>
            </w:pPr>
            <w:r w:rsidRPr="0095287E">
              <w:t>Projekta attiecīgā punkta galīgā redakcija</w:t>
            </w:r>
          </w:p>
        </w:tc>
      </w:tr>
      <w:tr w:rsidR="0095287E" w:rsidRPr="0095287E" w14:paraId="0FDD94A4" w14:textId="77777777" w:rsidTr="001A77C9">
        <w:trPr>
          <w:jc w:val="center"/>
        </w:trPr>
        <w:tc>
          <w:tcPr>
            <w:tcW w:w="781" w:type="dxa"/>
            <w:shd w:val="clear" w:color="auto" w:fill="D9D9D9" w:themeFill="background1" w:themeFillShade="D9"/>
          </w:tcPr>
          <w:p w14:paraId="5224B1F4" w14:textId="77777777" w:rsidR="009F1F3B" w:rsidRPr="0095287E" w:rsidRDefault="009F1F3B" w:rsidP="00574917">
            <w:pPr>
              <w:jc w:val="center"/>
              <w:rPr>
                <w:i/>
                <w:sz w:val="20"/>
                <w:szCs w:val="20"/>
              </w:rPr>
            </w:pPr>
            <w:r w:rsidRPr="0095287E">
              <w:rPr>
                <w:i/>
                <w:sz w:val="20"/>
                <w:szCs w:val="20"/>
              </w:rPr>
              <w:t>1</w:t>
            </w:r>
          </w:p>
        </w:tc>
        <w:tc>
          <w:tcPr>
            <w:tcW w:w="3490" w:type="dxa"/>
            <w:gridSpan w:val="2"/>
            <w:shd w:val="clear" w:color="auto" w:fill="D9D9D9" w:themeFill="background1" w:themeFillShade="D9"/>
          </w:tcPr>
          <w:p w14:paraId="64CBCE8E" w14:textId="77777777" w:rsidR="009F1F3B" w:rsidRPr="0095287E" w:rsidRDefault="009F1F3B" w:rsidP="00574917">
            <w:pPr>
              <w:jc w:val="center"/>
              <w:rPr>
                <w:i/>
                <w:sz w:val="20"/>
                <w:szCs w:val="20"/>
              </w:rPr>
            </w:pPr>
            <w:r w:rsidRPr="0095287E">
              <w:rPr>
                <w:i/>
                <w:sz w:val="20"/>
                <w:szCs w:val="20"/>
              </w:rPr>
              <w:t>2</w:t>
            </w:r>
          </w:p>
        </w:tc>
        <w:tc>
          <w:tcPr>
            <w:tcW w:w="4088" w:type="dxa"/>
            <w:gridSpan w:val="2"/>
            <w:shd w:val="clear" w:color="auto" w:fill="D9D9D9" w:themeFill="background1" w:themeFillShade="D9"/>
            <w:vAlign w:val="center"/>
          </w:tcPr>
          <w:p w14:paraId="79C01385" w14:textId="77777777" w:rsidR="009F1F3B" w:rsidRPr="0095287E" w:rsidRDefault="009F1F3B" w:rsidP="00574917">
            <w:pPr>
              <w:jc w:val="center"/>
              <w:rPr>
                <w:i/>
                <w:sz w:val="20"/>
                <w:szCs w:val="20"/>
              </w:rPr>
            </w:pPr>
            <w:r w:rsidRPr="0095287E">
              <w:rPr>
                <w:i/>
                <w:sz w:val="20"/>
                <w:szCs w:val="20"/>
              </w:rPr>
              <w:t>3</w:t>
            </w:r>
          </w:p>
        </w:tc>
        <w:tc>
          <w:tcPr>
            <w:tcW w:w="2892" w:type="dxa"/>
            <w:gridSpan w:val="2"/>
            <w:shd w:val="clear" w:color="auto" w:fill="D9D9D9" w:themeFill="background1" w:themeFillShade="D9"/>
          </w:tcPr>
          <w:p w14:paraId="58B9D1C5" w14:textId="77777777" w:rsidR="009F1F3B" w:rsidRPr="0095287E" w:rsidRDefault="009F1F3B" w:rsidP="00574917">
            <w:pPr>
              <w:jc w:val="center"/>
              <w:rPr>
                <w:i/>
                <w:sz w:val="20"/>
                <w:szCs w:val="20"/>
              </w:rPr>
            </w:pPr>
            <w:r w:rsidRPr="0095287E">
              <w:rPr>
                <w:i/>
                <w:sz w:val="20"/>
                <w:szCs w:val="20"/>
              </w:rPr>
              <w:t>4</w:t>
            </w:r>
          </w:p>
        </w:tc>
        <w:tc>
          <w:tcPr>
            <w:tcW w:w="3491" w:type="dxa"/>
            <w:shd w:val="clear" w:color="auto" w:fill="D9D9D9" w:themeFill="background1" w:themeFillShade="D9"/>
            <w:vAlign w:val="center"/>
          </w:tcPr>
          <w:p w14:paraId="6BB16787" w14:textId="77777777" w:rsidR="009F1F3B" w:rsidRPr="0095287E" w:rsidRDefault="009F1F3B" w:rsidP="00574917">
            <w:pPr>
              <w:jc w:val="center"/>
              <w:rPr>
                <w:i/>
                <w:sz w:val="20"/>
                <w:szCs w:val="20"/>
              </w:rPr>
            </w:pPr>
            <w:r w:rsidRPr="0095287E">
              <w:rPr>
                <w:i/>
                <w:sz w:val="20"/>
                <w:szCs w:val="20"/>
              </w:rPr>
              <w:t>5</w:t>
            </w:r>
          </w:p>
        </w:tc>
      </w:tr>
      <w:tr w:rsidR="0095287E" w:rsidRPr="0095287E" w14:paraId="02F65EEE" w14:textId="77777777" w:rsidTr="001A77C9">
        <w:trPr>
          <w:jc w:val="center"/>
        </w:trPr>
        <w:tc>
          <w:tcPr>
            <w:tcW w:w="781" w:type="dxa"/>
          </w:tcPr>
          <w:p w14:paraId="429C0EF3" w14:textId="77777777" w:rsidR="001F7E75" w:rsidRPr="0095287E" w:rsidRDefault="00DD10B2" w:rsidP="00574917">
            <w:pPr>
              <w:jc w:val="center"/>
            </w:pPr>
            <w:r w:rsidRPr="0095287E">
              <w:t>1.</w:t>
            </w:r>
          </w:p>
        </w:tc>
        <w:tc>
          <w:tcPr>
            <w:tcW w:w="3490" w:type="dxa"/>
            <w:gridSpan w:val="2"/>
          </w:tcPr>
          <w:p w14:paraId="77F66308" w14:textId="77777777" w:rsidR="008B712E" w:rsidRPr="0095287E" w:rsidRDefault="008B712E" w:rsidP="008B712E">
            <w:pPr>
              <w:spacing w:after="60"/>
              <w:jc w:val="both"/>
            </w:pPr>
            <w:r w:rsidRPr="0095287E">
              <w:rPr>
                <w:b/>
              </w:rPr>
              <w:t>3.</w:t>
            </w:r>
            <w:r w:rsidRPr="0095287E">
              <w:t> Papildināt noteikumus ar 2.17. apakšpunktu šādā redakcijā:</w:t>
            </w:r>
          </w:p>
          <w:p w14:paraId="4242132E" w14:textId="77777777" w:rsidR="001F7E75" w:rsidRPr="0095287E" w:rsidRDefault="008B712E" w:rsidP="008B712E">
            <w:pPr>
              <w:spacing w:after="60"/>
              <w:jc w:val="both"/>
            </w:pPr>
            <w:r w:rsidRPr="0095287E">
              <w:t>“2.17. nomā objektu, kura platība nepārsniedz 10 procentus no nomniekam sākotnēji iznomātās platības tajā pašā nekustamajā īpašumā. Šādā gadījumā nedrīkst radīt nepamatotus ierobežojumus iznomāšanas pretendentu konkurencei un nomas līgumu slēdz uz termiņu, kas nepārsniedz atlikušo noslēgtā nomas līguma termiņu. Visā nomas periodā kopējā papildus nomātā platība nedrīkst pārsniegt 50 procentus no nomniekam sākotnēji iznomātās platības tajā pašā nekustamajā īpašumā”.</w:t>
            </w:r>
          </w:p>
        </w:tc>
        <w:tc>
          <w:tcPr>
            <w:tcW w:w="4088" w:type="dxa"/>
            <w:gridSpan w:val="2"/>
          </w:tcPr>
          <w:p w14:paraId="7BE6AD7D" w14:textId="77777777" w:rsidR="003E312D" w:rsidRPr="0095287E" w:rsidRDefault="003E312D" w:rsidP="003E312D">
            <w:pPr>
              <w:pStyle w:val="Default"/>
              <w:spacing w:after="60"/>
              <w:jc w:val="both"/>
              <w:rPr>
                <w:b/>
                <w:color w:val="auto"/>
              </w:rPr>
            </w:pPr>
            <w:proofErr w:type="spellStart"/>
            <w:r w:rsidRPr="0095287E">
              <w:rPr>
                <w:b/>
                <w:color w:val="auto"/>
              </w:rPr>
              <w:t>Iekšlietu</w:t>
            </w:r>
            <w:proofErr w:type="spellEnd"/>
            <w:r w:rsidRPr="0095287E">
              <w:rPr>
                <w:b/>
                <w:color w:val="auto"/>
              </w:rPr>
              <w:t xml:space="preserve"> ministrija (priekšlikums)</w:t>
            </w:r>
          </w:p>
          <w:p w14:paraId="5B9A962F" w14:textId="77777777" w:rsidR="009A2A85" w:rsidRPr="0095287E" w:rsidRDefault="003E312D" w:rsidP="003E312D">
            <w:pPr>
              <w:pStyle w:val="NoSpacing"/>
              <w:spacing w:after="60"/>
              <w:jc w:val="both"/>
              <w:rPr>
                <w:rFonts w:ascii="Times New Roman" w:hAnsi="Times New Roman"/>
                <w:sz w:val="24"/>
                <w:szCs w:val="24"/>
                <w:lang w:val="lv-LV"/>
              </w:rPr>
            </w:pPr>
            <w:r w:rsidRPr="0095287E">
              <w:rPr>
                <w:rFonts w:ascii="Times New Roman" w:hAnsi="Times New Roman"/>
                <w:sz w:val="24"/>
                <w:szCs w:val="24"/>
                <w:lang w:val="lv-LV"/>
              </w:rPr>
              <w:t>Nekustamā īpašuma sastāvā nereti ietilpst vairākas zemes vienības un būves, kas dabā var nebūt atsevišķi nodalītas. Ņemot vērā minēto, ierosinām aizstāt projekta 3.punktā ietvertajā noteikumu 2.17.apakšpunktā vārdus “tajā pašā nekustamajā īpašumā” ar vārdiem “tajā pašā vai citā tā paša nekustamā īpašuma sastāvā esošā nekustamā īpašuma.”.</w:t>
            </w:r>
          </w:p>
        </w:tc>
        <w:tc>
          <w:tcPr>
            <w:tcW w:w="2892" w:type="dxa"/>
            <w:gridSpan w:val="2"/>
          </w:tcPr>
          <w:p w14:paraId="0D4C6FBB" w14:textId="583CBEA6" w:rsidR="00E12810" w:rsidRPr="0095287E" w:rsidRDefault="00764B10" w:rsidP="00574917">
            <w:pPr>
              <w:spacing w:after="60"/>
              <w:rPr>
                <w:b/>
              </w:rPr>
            </w:pPr>
            <w:r w:rsidRPr="0095287E">
              <w:rPr>
                <w:b/>
              </w:rPr>
              <w:t>Priekšlikums izvērtēts</w:t>
            </w:r>
            <w:r w:rsidR="00046082" w:rsidRPr="0095287E">
              <w:rPr>
                <w:b/>
              </w:rPr>
              <w:t>.</w:t>
            </w:r>
          </w:p>
          <w:p w14:paraId="2652CB89" w14:textId="78C9317B" w:rsidR="00B06AB5" w:rsidRPr="0095287E" w:rsidRDefault="003401AC" w:rsidP="00764B10">
            <w:pPr>
              <w:spacing w:after="60"/>
              <w:jc w:val="both"/>
              <w:rPr>
                <w:bCs/>
              </w:rPr>
            </w:pPr>
            <w:r w:rsidRPr="0095287E">
              <w:rPr>
                <w:bCs/>
              </w:rPr>
              <w:t>N</w:t>
            </w:r>
            <w:r w:rsidR="00764B10" w:rsidRPr="0095287E">
              <w:rPr>
                <w:bCs/>
              </w:rPr>
              <w:t>ekustamā īpašuma sastāvā var atrasties vairākas ēkas un zemes vienības, taču tie nav uzskatāmi par nekustamā īpašuma sastāvā esošiem nekustamajiem īpašumiem.</w:t>
            </w:r>
          </w:p>
          <w:p w14:paraId="548079FD" w14:textId="03DABE89" w:rsidR="00764B10" w:rsidRPr="0095287E" w:rsidRDefault="00B06AB5" w:rsidP="00764B10">
            <w:pPr>
              <w:spacing w:after="60"/>
              <w:jc w:val="both"/>
              <w:rPr>
                <w:bCs/>
              </w:rPr>
            </w:pPr>
            <w:r w:rsidRPr="0095287E">
              <w:rPr>
                <w:bCs/>
              </w:rPr>
              <w:t xml:space="preserve">Nekustamā īpašuma valsts kadastra likuma 6.panta pirmā daļa noteic, ka nekustamais īpašums šā likuma izpratnē ir nekustamā īpašuma objekts (zemes vienība vai būve) vai šo objektu kopība (zemes vienība un būve), kas saskaņā ar likuma </w:t>
            </w:r>
            <w:r w:rsidR="00CE6BBA" w:rsidRPr="0095287E">
              <w:rPr>
                <w:bCs/>
              </w:rPr>
              <w:t xml:space="preserve">“ </w:t>
            </w:r>
            <w:r w:rsidRPr="0095287E">
              <w:rPr>
                <w:bCs/>
              </w:rPr>
              <w:t>Par nekustamā īpašuma ierakstīšanu zemesgrāmatās</w:t>
            </w:r>
            <w:r w:rsidR="00CE6BBA" w:rsidRPr="0095287E">
              <w:rPr>
                <w:bCs/>
              </w:rPr>
              <w:t xml:space="preserve">” </w:t>
            </w:r>
            <w:r w:rsidRPr="0095287E">
              <w:rPr>
                <w:bCs/>
              </w:rPr>
              <w:t xml:space="preserve">normām atbilst pastāvīga nodalījuma prasībām. Par nekustamo īpašumu uzskatāms arī dzīvokļa īpašums vai </w:t>
            </w:r>
            <w:r w:rsidRPr="0095287E">
              <w:rPr>
                <w:bCs/>
              </w:rPr>
              <w:lastRenderedPageBreak/>
              <w:t>dzīvoklis, mākslinieka darbnīca, neapdzīvojamā telpa, kas nodota īpašumā līdz dzīvojamās mājas privatizācijai.</w:t>
            </w:r>
          </w:p>
        </w:tc>
        <w:tc>
          <w:tcPr>
            <w:tcW w:w="3491" w:type="dxa"/>
          </w:tcPr>
          <w:p w14:paraId="5348CECB" w14:textId="0D4C6593" w:rsidR="00D749F9" w:rsidRPr="00D749F9" w:rsidRDefault="00332351" w:rsidP="00D749F9">
            <w:pPr>
              <w:jc w:val="both"/>
            </w:pPr>
            <w:r>
              <w:lastRenderedPageBreak/>
              <w:t>1.3</w:t>
            </w:r>
            <w:r w:rsidR="00D749F9" w:rsidRPr="00D749F9">
              <w:t>. papildināt noteikumus ar 2.17. un 2.18. apakšpunktu šādā redakcijā:</w:t>
            </w:r>
          </w:p>
          <w:p w14:paraId="2B3216B7" w14:textId="77777777" w:rsidR="00D749F9" w:rsidRPr="00D749F9" w:rsidRDefault="00D749F9" w:rsidP="00D749F9">
            <w:pPr>
              <w:jc w:val="both"/>
            </w:pPr>
            <w:r w:rsidRPr="00D749F9">
              <w:t>“</w:t>
            </w:r>
            <w:r w:rsidRPr="00D749F9">
              <w:rPr>
                <w:u w:val="single"/>
              </w:rPr>
              <w:t>2.17.nomā nekustamo īpašumu valsts aizsardzības vajadzībām;</w:t>
            </w:r>
          </w:p>
          <w:p w14:paraId="5FD4D4D8" w14:textId="480229B0" w:rsidR="00A15D67" w:rsidRPr="00D749F9" w:rsidRDefault="00D749F9" w:rsidP="00D749F9">
            <w:pPr>
              <w:jc w:val="both"/>
            </w:pPr>
            <w:r w:rsidRPr="00D749F9">
              <w:t>2.18. nomā objektu, kura platība nepārsniedz 10 procentus no nomniekam sākotnēji iznomātās platības tajā pašā nekustamajā īpašumā. Šādā gadījumā nomas līgumu slēdz uz termiņu, kas nepārsniedz atlikušo noslēgtā nomas līguma termiņu. Visā nomas periodā kopējā papildus nomātā platība nedrīkst pārsniegt 50 procentus no nomniekam sākotnēji iznomātās platības tajā pašā nekustamajā īpašumā.”;</w:t>
            </w:r>
          </w:p>
        </w:tc>
      </w:tr>
      <w:tr w:rsidR="0095287E" w:rsidRPr="0095287E" w14:paraId="49790823" w14:textId="77777777" w:rsidTr="001A77C9">
        <w:trPr>
          <w:jc w:val="center"/>
        </w:trPr>
        <w:tc>
          <w:tcPr>
            <w:tcW w:w="781" w:type="dxa"/>
          </w:tcPr>
          <w:p w14:paraId="40A4789F" w14:textId="77777777" w:rsidR="003E312D" w:rsidRPr="0095287E" w:rsidRDefault="00DD10B2" w:rsidP="003E312D">
            <w:pPr>
              <w:jc w:val="center"/>
            </w:pPr>
            <w:r w:rsidRPr="0095287E">
              <w:t>2.</w:t>
            </w:r>
          </w:p>
        </w:tc>
        <w:tc>
          <w:tcPr>
            <w:tcW w:w="3490" w:type="dxa"/>
            <w:gridSpan w:val="2"/>
          </w:tcPr>
          <w:p w14:paraId="00B45365" w14:textId="77777777" w:rsidR="008B712E" w:rsidRPr="0095287E" w:rsidRDefault="008B712E" w:rsidP="00B838F8">
            <w:pPr>
              <w:spacing w:after="60"/>
              <w:jc w:val="both"/>
            </w:pPr>
            <w:r w:rsidRPr="0095287E">
              <w:rPr>
                <w:b/>
              </w:rPr>
              <w:t>4.</w:t>
            </w:r>
            <w:r w:rsidRPr="0095287E">
              <w:t> Papildināt noteikumus ar 18.</w:t>
            </w:r>
            <w:r w:rsidRPr="0095287E">
              <w:rPr>
                <w:vertAlign w:val="superscript"/>
              </w:rPr>
              <w:t>1</w:t>
            </w:r>
            <w:r w:rsidRPr="0095287E">
              <w:t>, 18.</w:t>
            </w:r>
            <w:r w:rsidRPr="0095287E">
              <w:rPr>
                <w:vertAlign w:val="superscript"/>
              </w:rPr>
              <w:t>2</w:t>
            </w:r>
            <w:r w:rsidRPr="0095287E">
              <w:t>, 18.</w:t>
            </w:r>
            <w:r w:rsidRPr="0095287E">
              <w:rPr>
                <w:vertAlign w:val="superscript"/>
              </w:rPr>
              <w:t>3</w:t>
            </w:r>
            <w:r w:rsidRPr="0095287E">
              <w:t>, 18.</w:t>
            </w:r>
            <w:r w:rsidRPr="0095287E">
              <w:rPr>
                <w:vertAlign w:val="superscript"/>
              </w:rPr>
              <w:t>4</w:t>
            </w:r>
            <w:r w:rsidRPr="0095287E">
              <w:t xml:space="preserve"> un 18.</w:t>
            </w:r>
            <w:r w:rsidRPr="0095287E">
              <w:rPr>
                <w:vertAlign w:val="superscript"/>
              </w:rPr>
              <w:t>5</w:t>
            </w:r>
            <w:r w:rsidRPr="0095287E">
              <w:t xml:space="preserve"> punktu šādā redakcijā:</w:t>
            </w:r>
          </w:p>
          <w:p w14:paraId="20EFF5D4" w14:textId="77777777" w:rsidR="008B712E" w:rsidRPr="0095287E" w:rsidRDefault="008B712E" w:rsidP="00B838F8">
            <w:pPr>
              <w:spacing w:after="60"/>
              <w:jc w:val="both"/>
            </w:pPr>
            <w:r w:rsidRPr="0095287E">
              <w:t>“</w:t>
            </w:r>
            <w:r w:rsidRPr="0095287E">
              <w:rPr>
                <w:b/>
              </w:rPr>
              <w:t>18.</w:t>
            </w:r>
            <w:r w:rsidRPr="0095287E">
              <w:rPr>
                <w:b/>
                <w:vertAlign w:val="superscript"/>
              </w:rPr>
              <w:t>1</w:t>
            </w:r>
            <w:r w:rsidRPr="0095287E">
              <w:t> Nomnieks (izņemot atvasināta publiska persona) mēneša laikā pēc nomas līguma noslēgšanas, izņemot šo noteikumu 2.2., 2.3., 2.4., 2.6. un 2.9. apakšpunktā noteikto gadījumu, valsts akciju sabiedrības “Valsts nekustamie īpašumi” tīmekļvietnē par nomas objektu, izmantojot Valsts nekustamā īpašuma informācijas sistēmas (datu) profilu (turpmāk – nekustamā īpašuma profils), norāda šādu informāciju:</w:t>
            </w:r>
          </w:p>
          <w:p w14:paraId="30B678F8" w14:textId="77777777" w:rsidR="008B712E" w:rsidRPr="0095287E" w:rsidRDefault="008B712E" w:rsidP="00B838F8">
            <w:pPr>
              <w:spacing w:after="60"/>
              <w:jc w:val="both"/>
            </w:pPr>
            <w:r w:rsidRPr="0095287E">
              <w:t>18.</w:t>
            </w:r>
            <w:r w:rsidRPr="0095287E">
              <w:rPr>
                <w:vertAlign w:val="superscript"/>
              </w:rPr>
              <w:t>1</w:t>
            </w:r>
            <w:r w:rsidRPr="0095287E">
              <w:t>1. sadaļā par nekustamo īpašumu – kadastra numurs;</w:t>
            </w:r>
          </w:p>
          <w:p w14:paraId="634B94DA" w14:textId="77777777" w:rsidR="008B712E" w:rsidRPr="0095287E" w:rsidRDefault="008B712E" w:rsidP="00B838F8">
            <w:pPr>
              <w:spacing w:after="60"/>
              <w:jc w:val="both"/>
            </w:pPr>
            <w:r w:rsidRPr="0095287E">
              <w:t>18.</w:t>
            </w:r>
            <w:r w:rsidRPr="0095287E">
              <w:rPr>
                <w:vertAlign w:val="superscript"/>
              </w:rPr>
              <w:t>1</w:t>
            </w:r>
            <w:r w:rsidRPr="0095287E">
              <w:t>2. sadaļā par zemes vienību (vienībām) un zemes vienības daļu (daļām) – kadastra apzīmējums;</w:t>
            </w:r>
          </w:p>
          <w:p w14:paraId="659A4DB7" w14:textId="77777777" w:rsidR="008B712E" w:rsidRPr="0095287E" w:rsidRDefault="008B712E" w:rsidP="00B838F8">
            <w:pPr>
              <w:spacing w:after="60"/>
              <w:jc w:val="both"/>
            </w:pPr>
            <w:r w:rsidRPr="0095287E">
              <w:t>18.</w:t>
            </w:r>
            <w:r w:rsidRPr="0095287E">
              <w:rPr>
                <w:vertAlign w:val="superscript"/>
              </w:rPr>
              <w:t>1</w:t>
            </w:r>
            <w:r w:rsidRPr="0095287E">
              <w:t>3. sadaļā par būvi (būvēm) – kadastra apzīmējums;</w:t>
            </w:r>
          </w:p>
          <w:p w14:paraId="6BA457D2" w14:textId="77777777" w:rsidR="008B712E" w:rsidRPr="0095287E" w:rsidRDefault="008B712E" w:rsidP="00B838F8">
            <w:pPr>
              <w:spacing w:after="60"/>
              <w:jc w:val="both"/>
            </w:pPr>
            <w:r w:rsidRPr="0095287E">
              <w:t>18.</w:t>
            </w:r>
            <w:r w:rsidRPr="0095287E">
              <w:rPr>
                <w:vertAlign w:val="superscript"/>
              </w:rPr>
              <w:t>1</w:t>
            </w:r>
            <w:r w:rsidRPr="0095287E">
              <w:t>4. sadaļā par nekustamā īpašuma pārvaldīšanu:</w:t>
            </w:r>
          </w:p>
          <w:p w14:paraId="1AC9F42D" w14:textId="77777777" w:rsidR="008B712E" w:rsidRPr="0095287E" w:rsidRDefault="008B712E" w:rsidP="00B838F8">
            <w:pPr>
              <w:spacing w:after="60"/>
              <w:jc w:val="both"/>
            </w:pPr>
            <w:r w:rsidRPr="0095287E">
              <w:t>18.</w:t>
            </w:r>
            <w:r w:rsidRPr="0095287E">
              <w:rPr>
                <w:vertAlign w:val="superscript"/>
              </w:rPr>
              <w:t>1</w:t>
            </w:r>
            <w:r w:rsidRPr="0095287E">
              <w:t>4.1. informācija par izmantoto platību, ko lieto uz nomas līguma pamata (norāda lietojuma tiesisko pamatu, līguma noslēgšanas datumu, līguma beigu datumu, nomas maksas apmēru), informācija par lietotāju (tajā skaitā juridiskas personas nosaukums, valsts iestādes darbinieku skaits būvē katra kalendārā gada pēdējā datumā);</w:t>
            </w:r>
          </w:p>
          <w:p w14:paraId="50A91094" w14:textId="77777777" w:rsidR="008B712E" w:rsidRPr="0095287E" w:rsidRDefault="008B712E" w:rsidP="00B838F8">
            <w:pPr>
              <w:spacing w:after="60"/>
              <w:jc w:val="both"/>
            </w:pPr>
            <w:r w:rsidRPr="0095287E">
              <w:t>18.</w:t>
            </w:r>
            <w:r w:rsidRPr="0095287E">
              <w:rPr>
                <w:vertAlign w:val="superscript"/>
              </w:rPr>
              <w:t>1</w:t>
            </w:r>
            <w:r w:rsidRPr="0095287E">
              <w:t xml:space="preserve">4.2. nekustamā īpašuma pārvaldītājs, pilnvarotais pārvaldītājs un </w:t>
            </w:r>
            <w:proofErr w:type="spellStart"/>
            <w:r w:rsidRPr="0095287E">
              <w:t>apsaimniekotājs</w:t>
            </w:r>
            <w:proofErr w:type="spellEnd"/>
            <w:r w:rsidRPr="0095287E">
              <w:t xml:space="preserve"> (tajā skaitā juridiskas personas nosaukums/ fiziskas personas vārds, uzvārds, kā arī nodotā platība);</w:t>
            </w:r>
          </w:p>
          <w:p w14:paraId="00EDDA62" w14:textId="77777777" w:rsidR="003E312D" w:rsidRPr="0095287E" w:rsidRDefault="008B712E" w:rsidP="00B838F8">
            <w:pPr>
              <w:spacing w:after="60"/>
              <w:jc w:val="both"/>
            </w:pPr>
            <w:r w:rsidRPr="0095287E">
              <w:t>18.</w:t>
            </w:r>
            <w:r w:rsidRPr="0095287E">
              <w:rPr>
                <w:vertAlign w:val="superscript"/>
              </w:rPr>
              <w:t>1</w:t>
            </w:r>
            <w:r w:rsidRPr="0095287E">
              <w:t>4.3. informācija par ieņēmumiem un izdevumiem, kas saistīti ar nekustamā īpašuma pārvaldīšanu (nomas maksas izdevumi, apakšnomas ieņēmumi (nomas maksa, papildus ieņēmumi no apakšnomniekiem), apsaimniekošanas izdevumi, nekustamā īpašuma nodoklis, apdrošināšanas izdevumi, komunālās izmaksas, remontdarbu un būvdarbu izdevumi u.c.).</w:t>
            </w:r>
            <w:r w:rsidR="00B838F8" w:rsidRPr="0095287E">
              <w:t>[..]</w:t>
            </w:r>
            <w:r w:rsidRPr="0095287E">
              <w:t>”</w:t>
            </w:r>
          </w:p>
        </w:tc>
        <w:tc>
          <w:tcPr>
            <w:tcW w:w="4088" w:type="dxa"/>
            <w:gridSpan w:val="2"/>
          </w:tcPr>
          <w:p w14:paraId="3FDF8232" w14:textId="77777777" w:rsidR="003E312D" w:rsidRPr="0095287E" w:rsidRDefault="003E312D" w:rsidP="003E312D">
            <w:pPr>
              <w:pStyle w:val="Default"/>
              <w:spacing w:after="60"/>
              <w:jc w:val="both"/>
              <w:rPr>
                <w:b/>
                <w:color w:val="auto"/>
              </w:rPr>
            </w:pPr>
            <w:proofErr w:type="spellStart"/>
            <w:r w:rsidRPr="0095287E">
              <w:rPr>
                <w:b/>
                <w:color w:val="auto"/>
              </w:rPr>
              <w:t>Iekšlietu</w:t>
            </w:r>
            <w:proofErr w:type="spellEnd"/>
            <w:r w:rsidRPr="0095287E">
              <w:rPr>
                <w:b/>
                <w:color w:val="auto"/>
              </w:rPr>
              <w:t xml:space="preserve"> ministrija</w:t>
            </w:r>
          </w:p>
          <w:p w14:paraId="7C929286" w14:textId="5384CD58" w:rsidR="003E312D" w:rsidRDefault="003E312D" w:rsidP="003E312D">
            <w:pPr>
              <w:pStyle w:val="NoSpacing"/>
              <w:spacing w:after="120"/>
              <w:jc w:val="both"/>
              <w:rPr>
                <w:rFonts w:ascii="Times New Roman" w:hAnsi="Times New Roman"/>
                <w:sz w:val="24"/>
                <w:szCs w:val="24"/>
                <w:lang w:val="lv-LV"/>
              </w:rPr>
            </w:pPr>
            <w:r w:rsidRPr="0095287E">
              <w:rPr>
                <w:rFonts w:ascii="Times New Roman" w:hAnsi="Times New Roman"/>
                <w:sz w:val="24"/>
                <w:szCs w:val="24"/>
                <w:lang w:val="lv-LV"/>
              </w:rPr>
              <w:t>Saskaņā ar Ministru kabineta 2004.gada 26.oktobra noteikumu Nr.887 “Valsts noslēpuma objektu saraksts” 2.5. un 2.6.apakšpunktu informācija par valsts drošības iestāžu objektu plānojumu, dislokāciju, kā arī faktisko darbinieku skaitu ir valsts noslēpuma objekts. Ņemot vērā minēto, kā arī to, ka arī informācija par stratēģiski svarīgiem objektiem var būt valsts noslēpuma objekts, aizstāt projekta 4.punktā ietverto noteikumu 18.</w:t>
            </w:r>
            <w:r w:rsidRPr="0095287E">
              <w:rPr>
                <w:rFonts w:ascii="Times New Roman" w:hAnsi="Times New Roman"/>
                <w:sz w:val="24"/>
                <w:szCs w:val="24"/>
                <w:vertAlign w:val="superscript"/>
                <w:lang w:val="lv-LV"/>
              </w:rPr>
              <w:t>1</w:t>
            </w:r>
            <w:r w:rsidRPr="0095287E">
              <w:rPr>
                <w:rFonts w:ascii="Times New Roman" w:hAnsi="Times New Roman"/>
                <w:sz w:val="24"/>
                <w:szCs w:val="24"/>
                <w:lang w:val="lv-LV"/>
              </w:rPr>
              <w:t xml:space="preserve"> punktā skaitļus un vārdu “2.6. un 2.9.” ar skaitļiem un vārdu “2.6., 2.9., 2.12. un 2.13.”.</w:t>
            </w:r>
          </w:p>
          <w:p w14:paraId="28C69910" w14:textId="51EB0814" w:rsidR="0093093C" w:rsidRDefault="0093093C" w:rsidP="003E312D">
            <w:pPr>
              <w:pStyle w:val="NoSpacing"/>
              <w:spacing w:after="120"/>
              <w:jc w:val="both"/>
              <w:rPr>
                <w:rFonts w:ascii="Times New Roman" w:hAnsi="Times New Roman"/>
                <w:sz w:val="24"/>
                <w:szCs w:val="24"/>
                <w:lang w:val="lv-LV"/>
              </w:rPr>
            </w:pPr>
          </w:p>
          <w:p w14:paraId="40A1D21D" w14:textId="459CBE35" w:rsidR="0093093C" w:rsidRDefault="0093093C" w:rsidP="003E312D">
            <w:pPr>
              <w:pStyle w:val="NoSpacing"/>
              <w:spacing w:after="120"/>
              <w:jc w:val="both"/>
              <w:rPr>
                <w:rFonts w:ascii="Times New Roman" w:hAnsi="Times New Roman"/>
                <w:sz w:val="24"/>
                <w:szCs w:val="24"/>
                <w:lang w:val="lv-LV"/>
              </w:rPr>
            </w:pPr>
          </w:p>
          <w:p w14:paraId="2939CEFF" w14:textId="12D94883" w:rsidR="0093093C" w:rsidRDefault="0093093C" w:rsidP="003E312D">
            <w:pPr>
              <w:pStyle w:val="NoSpacing"/>
              <w:spacing w:after="120"/>
              <w:jc w:val="both"/>
              <w:rPr>
                <w:rFonts w:ascii="Times New Roman" w:hAnsi="Times New Roman"/>
                <w:sz w:val="24"/>
                <w:szCs w:val="24"/>
                <w:lang w:val="lv-LV"/>
              </w:rPr>
            </w:pPr>
          </w:p>
          <w:p w14:paraId="34BF927F" w14:textId="18A44731" w:rsidR="0093093C" w:rsidRDefault="0093093C" w:rsidP="003E312D">
            <w:pPr>
              <w:pStyle w:val="NoSpacing"/>
              <w:spacing w:after="120"/>
              <w:jc w:val="both"/>
              <w:rPr>
                <w:rFonts w:ascii="Times New Roman" w:hAnsi="Times New Roman"/>
                <w:sz w:val="24"/>
                <w:szCs w:val="24"/>
                <w:lang w:val="lv-LV"/>
              </w:rPr>
            </w:pPr>
          </w:p>
          <w:p w14:paraId="714BD261" w14:textId="77777777" w:rsidR="0093093C" w:rsidRPr="0095287E" w:rsidRDefault="0093093C" w:rsidP="003E312D">
            <w:pPr>
              <w:pStyle w:val="NoSpacing"/>
              <w:spacing w:after="120"/>
              <w:jc w:val="both"/>
              <w:rPr>
                <w:rFonts w:ascii="Times New Roman" w:hAnsi="Times New Roman"/>
                <w:sz w:val="24"/>
                <w:szCs w:val="24"/>
                <w:lang w:val="lv-LV"/>
              </w:rPr>
            </w:pPr>
          </w:p>
          <w:p w14:paraId="1E0C2C99" w14:textId="77777777" w:rsidR="003E312D" w:rsidRPr="0095287E" w:rsidRDefault="003E312D" w:rsidP="003E312D">
            <w:pPr>
              <w:pStyle w:val="Default"/>
              <w:spacing w:after="60"/>
              <w:jc w:val="both"/>
              <w:rPr>
                <w:b/>
                <w:color w:val="auto"/>
              </w:rPr>
            </w:pPr>
            <w:proofErr w:type="spellStart"/>
            <w:r w:rsidRPr="0095287E">
              <w:rPr>
                <w:b/>
                <w:color w:val="auto"/>
              </w:rPr>
              <w:t>Iekšlietu</w:t>
            </w:r>
            <w:proofErr w:type="spellEnd"/>
            <w:r w:rsidRPr="0095287E">
              <w:rPr>
                <w:b/>
                <w:color w:val="auto"/>
              </w:rPr>
              <w:t xml:space="preserve"> ministrija (priekšlikums)</w:t>
            </w:r>
          </w:p>
          <w:p w14:paraId="54179E41" w14:textId="77777777" w:rsidR="003E312D" w:rsidRPr="0095287E" w:rsidRDefault="003E312D" w:rsidP="003E312D">
            <w:pPr>
              <w:pStyle w:val="NoSpacing"/>
              <w:spacing w:after="60"/>
              <w:jc w:val="both"/>
              <w:rPr>
                <w:rFonts w:ascii="Times New Roman" w:hAnsi="Times New Roman"/>
                <w:sz w:val="24"/>
                <w:szCs w:val="24"/>
                <w:lang w:val="lv-LV"/>
              </w:rPr>
            </w:pPr>
            <w:r w:rsidRPr="0095287E">
              <w:rPr>
                <w:rFonts w:ascii="Times New Roman" w:hAnsi="Times New Roman"/>
                <w:sz w:val="24"/>
                <w:szCs w:val="24"/>
                <w:lang w:val="lv-LV"/>
              </w:rPr>
              <w:t>Aizstāt projekta 4.punktā ietvertajā noteikumu 18.</w:t>
            </w:r>
            <w:r w:rsidRPr="0095287E">
              <w:rPr>
                <w:rFonts w:ascii="Times New Roman" w:hAnsi="Times New Roman"/>
                <w:sz w:val="24"/>
                <w:szCs w:val="24"/>
                <w:vertAlign w:val="superscript"/>
                <w:lang w:val="lv-LV"/>
              </w:rPr>
              <w:t>1</w:t>
            </w:r>
            <w:r w:rsidRPr="0095287E">
              <w:rPr>
                <w:rFonts w:ascii="Times New Roman" w:hAnsi="Times New Roman"/>
                <w:sz w:val="24"/>
                <w:szCs w:val="24"/>
                <w:lang w:val="lv-LV"/>
              </w:rPr>
              <w:t>4.1.apakšpunktā vārdus “valsts iestādes darbinieku skaits būvē” ar vārdiem “nodarbināto skaits, kuri izmanto telpas”, jo būvē var atrasties arī citu valsts iestāžu nodarbinātie.</w:t>
            </w:r>
          </w:p>
        </w:tc>
        <w:tc>
          <w:tcPr>
            <w:tcW w:w="2892" w:type="dxa"/>
            <w:gridSpan w:val="2"/>
          </w:tcPr>
          <w:p w14:paraId="48D95AAC" w14:textId="523BB755" w:rsidR="003E312D" w:rsidRPr="0093093C" w:rsidRDefault="0093093C" w:rsidP="003E312D">
            <w:pPr>
              <w:spacing w:after="60"/>
              <w:rPr>
                <w:b/>
                <w:highlight w:val="green"/>
              </w:rPr>
            </w:pPr>
            <w:r w:rsidRPr="0093093C">
              <w:rPr>
                <w:b/>
                <w:bCs/>
              </w:rPr>
              <w:t>Vienošanās panāk</w:t>
            </w:r>
            <w:r w:rsidR="00332351">
              <w:rPr>
                <w:b/>
                <w:bCs/>
              </w:rPr>
              <w:t>ta</w:t>
            </w:r>
            <w:r w:rsidRPr="0093093C">
              <w:rPr>
                <w:b/>
                <w:bCs/>
              </w:rPr>
              <w:t xml:space="preserve"> saskaņošanas laikā.</w:t>
            </w:r>
          </w:p>
          <w:p w14:paraId="0BEDEE4B" w14:textId="3AB9745E" w:rsidR="0093093C" w:rsidRPr="0093093C" w:rsidRDefault="0093093C" w:rsidP="0093093C">
            <w:pPr>
              <w:spacing w:after="120"/>
              <w:jc w:val="both"/>
              <w:rPr>
                <w:lang w:eastAsia="en-US"/>
              </w:rPr>
            </w:pPr>
            <w:r w:rsidRPr="0093093C">
              <w:t>Ministru kabineta 2013.gada 29.oktobra noteikumu Nr.1191 “Kārtība, kādā publiska persona nomā nekustamo īpašumu no privātpersonas vai kapitālsabiedrības un publicē informāciju par nomātajiem un nomāt paredzētajiem nekustamajiem īpašumiem” piemērošanā ir jāņem vērā arī citos normatīvajos aktos ietvertais speciālais regulējums, tādējādi, ja konkrētajā gadījumā kādā normatīvajā aktā noteikts informācijas publiskošanas aizliegums, attiecīgo informāciju nav jānorāda.</w:t>
            </w:r>
          </w:p>
          <w:p w14:paraId="62905FAB" w14:textId="42F671A4" w:rsidR="00C45688" w:rsidRPr="0093093C" w:rsidRDefault="00C45688" w:rsidP="00C45688">
            <w:pPr>
              <w:spacing w:after="60"/>
              <w:jc w:val="both"/>
              <w:rPr>
                <w:b/>
                <w:bCs/>
              </w:rPr>
            </w:pPr>
            <w:r w:rsidRPr="0093093C">
              <w:rPr>
                <w:b/>
                <w:bCs/>
              </w:rPr>
              <w:t>Priekšlikums izvērtēts</w:t>
            </w:r>
            <w:r w:rsidR="00046082" w:rsidRPr="0093093C">
              <w:rPr>
                <w:b/>
                <w:bCs/>
              </w:rPr>
              <w:t>.</w:t>
            </w:r>
          </w:p>
          <w:p w14:paraId="7A6ED7D9" w14:textId="373403B6" w:rsidR="00C45688" w:rsidRPr="0093093C" w:rsidRDefault="00C45688" w:rsidP="00C45688">
            <w:pPr>
              <w:spacing w:after="60"/>
              <w:jc w:val="both"/>
            </w:pPr>
            <w:r w:rsidRPr="0093093C">
              <w:t>Noteikumu projekta 4.punkts paredz pienākumu katram nomniekam (valsts iestādei, kas nomā privātpersonas vai kapitālsabiedrības nekustamo īpašumu) ievadīt informāciju par nomas objektu atbilstoši Ministru kabineta noteikumiem, kas nosaka valsts nekustamā īpašuma pārvaldīšanas principus un kārtību, kā arī kārtību, kādā apkopojama informācija par valsts nekustamā īpašuma pārvaldīšanu un valsts iestāžu lietotajiem nekustamajiem īpašumiem.</w:t>
            </w:r>
          </w:p>
          <w:p w14:paraId="291F180E" w14:textId="79319B44" w:rsidR="00C45688" w:rsidRPr="0093093C" w:rsidRDefault="00C45688" w:rsidP="00C45688">
            <w:pPr>
              <w:spacing w:after="60"/>
              <w:jc w:val="both"/>
            </w:pPr>
            <w:r w:rsidRPr="0093093C">
              <w:t xml:space="preserve">Informācija, kas vadāma Valsts nekustamā īpašuma informācijas sistēmā par nomas objektu, ietverta Ministru kabineta noteikumu projektā “Grozījumi Ministru kabineta 2011.gada 6.decembra noteikumos Nr.934 “Noteikumi par valsts nekustamā īpašuma pārvaldīšanas principiem un kārtību”” (VSS-816). </w:t>
            </w:r>
            <w:r w:rsidR="00D464DE" w:rsidRPr="0093093C">
              <w:t>Saskaņā ar normām valsts iestādei, kas nomā privātpersonas vai kapitālsabiedrības nekustamo īpašumu</w:t>
            </w:r>
            <w:r w:rsidR="00C84D78" w:rsidRPr="0093093C">
              <w:t>, katrai pašai jāvada dati par tās ieņēmumiem un izdevumiem, kā arī attiecīgās valsts iestādes darbinieku skaitu būvē.</w:t>
            </w:r>
          </w:p>
        </w:tc>
        <w:tc>
          <w:tcPr>
            <w:tcW w:w="3491" w:type="dxa"/>
          </w:tcPr>
          <w:p w14:paraId="4B74276D" w14:textId="7BEBA325" w:rsidR="00C45688" w:rsidRPr="0095287E" w:rsidRDefault="00F35089" w:rsidP="00F35089">
            <w:pPr>
              <w:jc w:val="center"/>
            </w:pPr>
            <w:r>
              <w:t>–</w:t>
            </w:r>
          </w:p>
          <w:p w14:paraId="5FD501B2" w14:textId="77777777" w:rsidR="00C45688" w:rsidRPr="0095287E" w:rsidRDefault="00C45688" w:rsidP="003401AC">
            <w:pPr>
              <w:jc w:val="both"/>
            </w:pPr>
          </w:p>
          <w:p w14:paraId="1973CE55" w14:textId="77777777" w:rsidR="00C45688" w:rsidRPr="0095287E" w:rsidRDefault="00C45688" w:rsidP="003401AC">
            <w:pPr>
              <w:jc w:val="both"/>
            </w:pPr>
          </w:p>
          <w:p w14:paraId="6B75CF21" w14:textId="77777777" w:rsidR="00C45688" w:rsidRPr="0095287E" w:rsidRDefault="00C45688" w:rsidP="003401AC">
            <w:pPr>
              <w:jc w:val="both"/>
            </w:pPr>
          </w:p>
          <w:p w14:paraId="5FD2B448" w14:textId="7A4B7425" w:rsidR="00C45688" w:rsidRDefault="00C45688" w:rsidP="003401AC">
            <w:pPr>
              <w:jc w:val="both"/>
            </w:pPr>
          </w:p>
          <w:p w14:paraId="3BB3AB60" w14:textId="3674CFC0" w:rsidR="00F35089" w:rsidRDefault="00F35089" w:rsidP="003401AC">
            <w:pPr>
              <w:jc w:val="both"/>
            </w:pPr>
          </w:p>
          <w:p w14:paraId="3A52CE9E" w14:textId="172C1EE4" w:rsidR="00F35089" w:rsidRDefault="00F35089" w:rsidP="003401AC">
            <w:pPr>
              <w:jc w:val="both"/>
            </w:pPr>
          </w:p>
          <w:p w14:paraId="12A9CF52" w14:textId="7E6DA549" w:rsidR="00F35089" w:rsidRDefault="00F35089" w:rsidP="003401AC">
            <w:pPr>
              <w:jc w:val="both"/>
            </w:pPr>
          </w:p>
          <w:p w14:paraId="4F6ADD4D" w14:textId="514524BC" w:rsidR="00F35089" w:rsidRDefault="00F35089" w:rsidP="003401AC">
            <w:pPr>
              <w:jc w:val="both"/>
            </w:pPr>
          </w:p>
          <w:p w14:paraId="649F11AB" w14:textId="2E0705FB" w:rsidR="00F35089" w:rsidRDefault="00F35089" w:rsidP="003401AC">
            <w:pPr>
              <w:jc w:val="both"/>
            </w:pPr>
          </w:p>
          <w:p w14:paraId="5E7D3105" w14:textId="7AF7453B" w:rsidR="00F35089" w:rsidRDefault="00F35089" w:rsidP="003401AC">
            <w:pPr>
              <w:jc w:val="both"/>
            </w:pPr>
          </w:p>
          <w:p w14:paraId="7B27D779" w14:textId="0B7B0122" w:rsidR="00F35089" w:rsidRDefault="00F35089" w:rsidP="003401AC">
            <w:pPr>
              <w:jc w:val="both"/>
            </w:pPr>
          </w:p>
          <w:p w14:paraId="08E72E9A" w14:textId="2839393D" w:rsidR="00F35089" w:rsidRDefault="00F35089" w:rsidP="003401AC">
            <w:pPr>
              <w:jc w:val="both"/>
            </w:pPr>
          </w:p>
          <w:p w14:paraId="3655B300" w14:textId="7E574083" w:rsidR="00F35089" w:rsidRDefault="00F35089" w:rsidP="003401AC">
            <w:pPr>
              <w:jc w:val="both"/>
            </w:pPr>
          </w:p>
          <w:p w14:paraId="710F66C9" w14:textId="703C164C" w:rsidR="00CE6BBA" w:rsidRDefault="00CE6BBA" w:rsidP="003401AC">
            <w:pPr>
              <w:jc w:val="both"/>
            </w:pPr>
          </w:p>
          <w:p w14:paraId="4C30427E" w14:textId="37443AD1" w:rsidR="0093093C" w:rsidRDefault="0093093C" w:rsidP="003401AC">
            <w:pPr>
              <w:jc w:val="both"/>
            </w:pPr>
          </w:p>
          <w:p w14:paraId="4F912C02" w14:textId="1E0EFCED" w:rsidR="0093093C" w:rsidRDefault="0093093C" w:rsidP="003401AC">
            <w:pPr>
              <w:jc w:val="both"/>
            </w:pPr>
          </w:p>
          <w:p w14:paraId="4009D961" w14:textId="20BC35F4" w:rsidR="0093093C" w:rsidRDefault="0093093C" w:rsidP="003401AC">
            <w:pPr>
              <w:jc w:val="both"/>
            </w:pPr>
          </w:p>
          <w:p w14:paraId="6F6E8F01" w14:textId="6E1D453F" w:rsidR="0093093C" w:rsidRDefault="0093093C" w:rsidP="003401AC">
            <w:pPr>
              <w:jc w:val="both"/>
            </w:pPr>
          </w:p>
          <w:p w14:paraId="73F6616B" w14:textId="7C0EC095" w:rsidR="0093093C" w:rsidRDefault="0093093C" w:rsidP="003401AC">
            <w:pPr>
              <w:jc w:val="both"/>
            </w:pPr>
          </w:p>
          <w:p w14:paraId="5CFEFF5A" w14:textId="555F44EE" w:rsidR="0093093C" w:rsidRDefault="0093093C" w:rsidP="003401AC">
            <w:pPr>
              <w:jc w:val="both"/>
            </w:pPr>
          </w:p>
          <w:p w14:paraId="42E44A6F" w14:textId="74459171" w:rsidR="0093093C" w:rsidRDefault="0093093C" w:rsidP="003401AC">
            <w:pPr>
              <w:jc w:val="both"/>
            </w:pPr>
          </w:p>
          <w:p w14:paraId="010C6FCF" w14:textId="7C6085A8" w:rsidR="00C45688" w:rsidRPr="0095287E" w:rsidRDefault="00F34ED9" w:rsidP="0093093C">
            <w:pPr>
              <w:spacing w:before="120" w:after="60"/>
              <w:jc w:val="both"/>
            </w:pPr>
            <w:r w:rsidRPr="0095287E">
              <w:t>1.</w:t>
            </w:r>
            <w:r w:rsidR="00332351">
              <w:t>9</w:t>
            </w:r>
            <w:r w:rsidR="001E7057">
              <w:t>. </w:t>
            </w:r>
            <w:r w:rsidR="00C45688" w:rsidRPr="0095287E">
              <w:t>Izteikt 17.punkta ievaddaļu šāda redakcijā:</w:t>
            </w:r>
          </w:p>
          <w:p w14:paraId="64BE6B95" w14:textId="292A4D09" w:rsidR="00C45688" w:rsidRPr="0095287E" w:rsidRDefault="00C45688" w:rsidP="00C45688">
            <w:pPr>
              <w:spacing w:after="60"/>
              <w:jc w:val="both"/>
            </w:pPr>
            <w:r w:rsidRPr="0095287E">
              <w:t xml:space="preserve">“Nomnieks (izņemot atvasinātu publisku personu) par nomas objektu </w:t>
            </w:r>
            <w:r w:rsidR="00CE6BBA" w:rsidRPr="0095287E">
              <w:t xml:space="preserve">(izņemot šo noteikumu 2.9.apakšpunktu) </w:t>
            </w:r>
            <w:r w:rsidRPr="0095287E">
              <w:t>ievada informāciju Valsts nekustamā īpašuma informācijas sistēmā atbilstoši Ministru kabineta noteikumiem, kas nosaka valsts nekustamā īpašuma pārvaldīšanas principus un kārtību, kā arī kārtību, kādā apkopojama informācija par valsts nekustamā īpašuma pārvaldīšanu un valsts iestāžu lietotajiem nekustamajiem īpašumiem</w:t>
            </w:r>
            <w:r w:rsidR="00CE6BBA" w:rsidRPr="0095287E">
              <w:t xml:space="preserve">, kā arī par nomas objektu </w:t>
            </w:r>
            <w:r w:rsidRPr="0095287E">
              <w:t xml:space="preserve">10 darbdienu laikā pēc nomas līguma noslēgšanas publicē valsts akciju sabiedrības </w:t>
            </w:r>
            <w:r w:rsidR="00CE6BBA" w:rsidRPr="0095287E">
              <w:t>“</w:t>
            </w:r>
            <w:r w:rsidRPr="0095287E">
              <w:t>Valsts nekustamie īpašumi</w:t>
            </w:r>
            <w:r w:rsidR="00CE6BBA" w:rsidRPr="0095287E">
              <w:t>”</w:t>
            </w:r>
            <w:r w:rsidRPr="0095287E">
              <w:t xml:space="preserve"> tīmekļvietnē un savā  tīmekļvietnē (ja tāda ir) šādu informāciju:”</w:t>
            </w:r>
          </w:p>
          <w:p w14:paraId="3519A165" w14:textId="77777777" w:rsidR="00255558" w:rsidRPr="0095287E" w:rsidRDefault="00255558" w:rsidP="00C45688">
            <w:pPr>
              <w:spacing w:after="60"/>
              <w:jc w:val="both"/>
            </w:pPr>
          </w:p>
          <w:p w14:paraId="28EA8EE7" w14:textId="66672A6D" w:rsidR="00255558" w:rsidRPr="0095287E" w:rsidRDefault="00255558" w:rsidP="00C45688">
            <w:pPr>
              <w:spacing w:after="60"/>
              <w:jc w:val="both"/>
            </w:pPr>
          </w:p>
        </w:tc>
      </w:tr>
      <w:tr w:rsidR="0095287E" w:rsidRPr="0095287E" w14:paraId="590E3A82" w14:textId="77777777" w:rsidTr="001A77C9">
        <w:trPr>
          <w:jc w:val="center"/>
        </w:trPr>
        <w:tc>
          <w:tcPr>
            <w:tcW w:w="781" w:type="dxa"/>
          </w:tcPr>
          <w:p w14:paraId="433A06D9" w14:textId="77777777" w:rsidR="00D72975" w:rsidRPr="0095287E" w:rsidRDefault="00DD10B2" w:rsidP="003E312D">
            <w:pPr>
              <w:jc w:val="center"/>
            </w:pPr>
            <w:r w:rsidRPr="0095287E">
              <w:t>3.</w:t>
            </w:r>
          </w:p>
        </w:tc>
        <w:tc>
          <w:tcPr>
            <w:tcW w:w="3490" w:type="dxa"/>
            <w:gridSpan w:val="2"/>
          </w:tcPr>
          <w:p w14:paraId="24258E65" w14:textId="77777777" w:rsidR="00B838F8" w:rsidRPr="0095287E" w:rsidRDefault="00B838F8" w:rsidP="00B838F8">
            <w:pPr>
              <w:spacing w:after="60"/>
              <w:jc w:val="both"/>
            </w:pPr>
            <w:r w:rsidRPr="0095287E">
              <w:rPr>
                <w:b/>
              </w:rPr>
              <w:t>4.</w:t>
            </w:r>
            <w:r w:rsidRPr="0095287E">
              <w:t> Papildināt noteikumus ar 18.</w:t>
            </w:r>
            <w:r w:rsidRPr="0095287E">
              <w:rPr>
                <w:vertAlign w:val="superscript"/>
              </w:rPr>
              <w:t>1</w:t>
            </w:r>
            <w:r w:rsidRPr="0095287E">
              <w:t>, 18.</w:t>
            </w:r>
            <w:r w:rsidRPr="0095287E">
              <w:rPr>
                <w:vertAlign w:val="superscript"/>
              </w:rPr>
              <w:t>2</w:t>
            </w:r>
            <w:r w:rsidRPr="0095287E">
              <w:t>, 18.</w:t>
            </w:r>
            <w:r w:rsidRPr="0095287E">
              <w:rPr>
                <w:vertAlign w:val="superscript"/>
              </w:rPr>
              <w:t>3</w:t>
            </w:r>
            <w:r w:rsidRPr="0095287E">
              <w:t>, 18.</w:t>
            </w:r>
            <w:r w:rsidRPr="0095287E">
              <w:rPr>
                <w:vertAlign w:val="superscript"/>
              </w:rPr>
              <w:t>4</w:t>
            </w:r>
            <w:r w:rsidRPr="0095287E">
              <w:t xml:space="preserve"> un 18.</w:t>
            </w:r>
            <w:r w:rsidRPr="0095287E">
              <w:rPr>
                <w:vertAlign w:val="superscript"/>
              </w:rPr>
              <w:t>5</w:t>
            </w:r>
            <w:r w:rsidRPr="0095287E">
              <w:t xml:space="preserve"> punktu šādā redakcijā:</w:t>
            </w:r>
          </w:p>
          <w:p w14:paraId="4FD4912E" w14:textId="77777777" w:rsidR="00D72975" w:rsidRPr="0095287E" w:rsidRDefault="00D852C8" w:rsidP="00D852C8">
            <w:pPr>
              <w:spacing w:after="60"/>
              <w:jc w:val="both"/>
            </w:pPr>
            <w:r w:rsidRPr="0095287E">
              <w:t xml:space="preserve">“[..] </w:t>
            </w:r>
            <w:r w:rsidR="00B838F8" w:rsidRPr="0095287E">
              <w:rPr>
                <w:b/>
              </w:rPr>
              <w:t>18.</w:t>
            </w:r>
            <w:r w:rsidR="00B838F8" w:rsidRPr="0095287E">
              <w:rPr>
                <w:b/>
                <w:vertAlign w:val="superscript"/>
              </w:rPr>
              <w:t>2</w:t>
            </w:r>
            <w:r w:rsidR="00B838F8" w:rsidRPr="0095287E">
              <w:t> Pēc šo noteikumu 18.</w:t>
            </w:r>
            <w:r w:rsidR="00B838F8" w:rsidRPr="0095287E">
              <w:rPr>
                <w:vertAlign w:val="superscript"/>
              </w:rPr>
              <w:t>1</w:t>
            </w:r>
            <w:r w:rsidR="00B838F8" w:rsidRPr="0095287E">
              <w:t>1., 18.</w:t>
            </w:r>
            <w:r w:rsidR="00B838F8" w:rsidRPr="0095287E">
              <w:rPr>
                <w:vertAlign w:val="superscript"/>
              </w:rPr>
              <w:t>1</w:t>
            </w:r>
            <w:r w:rsidR="00B838F8" w:rsidRPr="0095287E">
              <w:t>2. un 18.</w:t>
            </w:r>
            <w:r w:rsidR="00B838F8" w:rsidRPr="0095287E">
              <w:rPr>
                <w:vertAlign w:val="superscript"/>
              </w:rPr>
              <w:t>1</w:t>
            </w:r>
            <w:r w:rsidR="00B838F8" w:rsidRPr="0095287E">
              <w:t>3. apakšpunktā minētās informācijas ievades nekustamā īpašuma profilā Valsts zemes dienests, izmantojot Nekustamā īpašuma valsts kadastra informācijas sistēmas datus, tiešsaistes režīmā nodrošina valsts akciju sabiedrību “Valsts nekustamie īpašumi” ar normatīvajos aktos, kas regulē valsts nekustamā īpašuma pārvaldīšanas principus un kārtību, noteikto nekustamā īpašuma profilam nepieciešamo informāciju, ja dati reģistrēti Nekustamā īpašuma valsts kadastra informācijas sistēmā, un aktualizē to līdz ar izmaiņu izdarīšanu Nekustamā īpašuma valsts kadastra informācijas sistēmā.[..]”</w:t>
            </w:r>
          </w:p>
        </w:tc>
        <w:tc>
          <w:tcPr>
            <w:tcW w:w="4088" w:type="dxa"/>
            <w:gridSpan w:val="2"/>
          </w:tcPr>
          <w:p w14:paraId="28D27F68" w14:textId="77777777" w:rsidR="00D72975" w:rsidRPr="0095287E" w:rsidRDefault="00D72975" w:rsidP="00B838F8">
            <w:pPr>
              <w:pStyle w:val="Default"/>
              <w:spacing w:after="60"/>
              <w:jc w:val="both"/>
              <w:rPr>
                <w:b/>
                <w:color w:val="auto"/>
              </w:rPr>
            </w:pPr>
            <w:r w:rsidRPr="0095287E">
              <w:rPr>
                <w:b/>
                <w:color w:val="auto"/>
              </w:rPr>
              <w:t>Tieslietu ministrija</w:t>
            </w:r>
          </w:p>
          <w:p w14:paraId="2E6E8FA0" w14:textId="77777777" w:rsidR="00D72975" w:rsidRPr="0095287E" w:rsidRDefault="00D72975" w:rsidP="00B838F8">
            <w:pPr>
              <w:spacing w:after="60"/>
              <w:jc w:val="both"/>
              <w:rPr>
                <w:bCs/>
              </w:rPr>
            </w:pPr>
            <w:r w:rsidRPr="0095287E">
              <w:rPr>
                <w:bCs/>
              </w:rPr>
              <w:t>Projekta 4. punkts paredz papildināt noteikumus ar 18.</w:t>
            </w:r>
            <w:r w:rsidRPr="0095287E">
              <w:rPr>
                <w:bCs/>
                <w:vertAlign w:val="superscript"/>
              </w:rPr>
              <w:t>2</w:t>
            </w:r>
            <w:r w:rsidRPr="0095287E">
              <w:rPr>
                <w:bCs/>
              </w:rPr>
              <w:t xml:space="preserve"> punktu, ka "Pēc šo noteikumu 18.</w:t>
            </w:r>
            <w:r w:rsidRPr="0095287E">
              <w:rPr>
                <w:bCs/>
                <w:vertAlign w:val="superscript"/>
              </w:rPr>
              <w:t>1</w:t>
            </w:r>
            <w:r w:rsidRPr="0095287E">
              <w:rPr>
                <w:bCs/>
              </w:rPr>
              <w:t>1., 18.</w:t>
            </w:r>
            <w:r w:rsidRPr="0095287E">
              <w:rPr>
                <w:bCs/>
                <w:vertAlign w:val="superscript"/>
              </w:rPr>
              <w:t>1</w:t>
            </w:r>
            <w:r w:rsidRPr="0095287E">
              <w:rPr>
                <w:bCs/>
              </w:rPr>
              <w:t>2. un 18.</w:t>
            </w:r>
            <w:r w:rsidRPr="0095287E">
              <w:rPr>
                <w:bCs/>
                <w:vertAlign w:val="superscript"/>
              </w:rPr>
              <w:t>1</w:t>
            </w:r>
            <w:r w:rsidRPr="0095287E">
              <w:rPr>
                <w:bCs/>
              </w:rPr>
              <w:t xml:space="preserve">3. apakšpunktā minētās informācijas ievades nekustamā īpašuma profilā Valsts zemes dienests (turpmāk – Dienests), izmantojot Nekustamā īpašuma valsts kadastra informācijas sistēmas datus, tiešsaistes režīmā nodrošina VNĪ ar normatīvajos aktos, kas regulē valsts nekustamā īpašuma pārvaldīšanas principus un kārtību, noteikto nekustamā īpašuma profilam nepieciešamo informāciju, ja dati reģistrēti Nekustamā īpašuma valsts kadastra informācijas sistēmā, un aktualizē to līdz ar izmaiņu izdarīšanu Nekustamā īpašuma valsts kadastra informācijas sistēmā." </w:t>
            </w:r>
          </w:p>
          <w:p w14:paraId="6288B49B" w14:textId="77777777" w:rsidR="00D72975" w:rsidRPr="0095287E" w:rsidRDefault="00D72975" w:rsidP="00B838F8">
            <w:pPr>
              <w:spacing w:after="60"/>
              <w:jc w:val="both"/>
              <w:rPr>
                <w:bCs/>
              </w:rPr>
            </w:pPr>
            <w:r w:rsidRPr="0095287E">
              <w:rPr>
                <w:bCs/>
              </w:rPr>
              <w:t>Valsts nekustamā īpašuma pārvaldīšanas principus un kārtību regulē Noteikumi Nr. 934 un tā 1.4. apakšpunktā ir paredzēts noregulēt kārtību, kādā apkopo un aktualizē informāciju par valsts nekustamo īpašumu pārvaldīšanu.</w:t>
            </w:r>
          </w:p>
          <w:p w14:paraId="31858317" w14:textId="77777777" w:rsidR="00D72975" w:rsidRPr="0095287E" w:rsidRDefault="00D72975" w:rsidP="00B838F8">
            <w:pPr>
              <w:spacing w:after="60"/>
              <w:jc w:val="both"/>
              <w:rPr>
                <w:bCs/>
              </w:rPr>
            </w:pPr>
            <w:r w:rsidRPr="0095287E">
              <w:rPr>
                <w:bCs/>
              </w:rPr>
              <w:t>Jau šobrīd atbilstoši Noteikumu Nr. 934 20.</w:t>
            </w:r>
            <w:r w:rsidRPr="0095287E">
              <w:rPr>
                <w:bCs/>
                <w:vertAlign w:val="superscript"/>
              </w:rPr>
              <w:t>2</w:t>
            </w:r>
            <w:r w:rsidRPr="0095287E">
              <w:rPr>
                <w:bCs/>
              </w:rPr>
              <w:t xml:space="preserve"> punktam Dienests, izmantojot Nekustamā īpašuma valsts kadastra informācijas sistēmas datus, tiešsaistes režīmā nodrošina VNĪ ar informāciju par valsts nekustamo īpašumu, zemes vienību, zemes vienības daļu, būvi. Ne Noteikumu Nr.934 deleģējumā, ne arī grozāmo Ministru kabineta 2013. gada 29. oktobra noteikumu Nr. 1191 "Kārtība, kādā publiska persona nomā nekustamo īpašumu no privātpersonas vai kapitālsabiedrības un publicē informāciju par nomātajiem un nomāt paredzētajiem nekustamajiem īpašumiem" deleģējumā nav paredzēts noteikt kārtību, kādā Dienests nodrošina datus par privātpersonu vai kapitālsabiedrības nekustamo īpašumu, zemes vienību, zemes vienības daļu, būvi.</w:t>
            </w:r>
          </w:p>
          <w:p w14:paraId="6A02C898" w14:textId="77777777" w:rsidR="00D72975" w:rsidRPr="0095287E" w:rsidRDefault="00D72975" w:rsidP="00B838F8">
            <w:pPr>
              <w:spacing w:after="60"/>
              <w:jc w:val="both"/>
              <w:rPr>
                <w:bCs/>
              </w:rPr>
            </w:pPr>
            <w:r w:rsidRPr="0095287E">
              <w:rPr>
                <w:bCs/>
              </w:rPr>
              <w:t xml:space="preserve">Vēršam uzmanību, ka šāds uzdevums nav paredzēts Ministru kabineta 2011. gada 20. decembra noteikumos Nr. 971 "Valsts zemes dienesta nolikums" un nav arī paredzēts šos noteikumus grozīt. Bez tam anotācijā atspoguļota pretrunīga informācija - tās III sadaļā norādīts, ka Projekts šo jomu neskar, tātad tam nav ietekmes uz valsts (Dienesta) budžetu, savukārt anotācijas I sadaļas 2. punktā norādīts, ka "Nekustamā īpašuma valsts kadastra informācijas sistēmā reģistrēto datu un Valsts vienotās datorizētās zemesgrāmatas sistēmā reģistrēto datu nodošana valsts akciju sabiedrībai "Valsts nekustamie īpašumi" veicama Tieslietu ministrijas (Dienesta, Tiesu administrācijas) esošā finansējuma ietvaros." Jautājums par Dienesta tehniskām un finansiālām iespējām, kā arī jautājuma praktiskā realizācija jaunā uzdevuma izpildē nav konceptuāli pārrunāta ar Dienestu un anotācijā nav korekti risināta jautājuma finansiālā ietekme. </w:t>
            </w:r>
          </w:p>
          <w:p w14:paraId="07D654C0" w14:textId="77777777" w:rsidR="00D72975" w:rsidRPr="0095287E" w:rsidRDefault="00D72975" w:rsidP="00B838F8">
            <w:pPr>
              <w:spacing w:after="60"/>
              <w:jc w:val="both"/>
              <w:rPr>
                <w:bCs/>
              </w:rPr>
            </w:pPr>
            <w:r w:rsidRPr="0095287E">
              <w:rPr>
                <w:bCs/>
              </w:rPr>
              <w:t>No Projektā piedāvātās 18.</w:t>
            </w:r>
            <w:r w:rsidRPr="0095287E">
              <w:rPr>
                <w:bCs/>
                <w:vertAlign w:val="superscript"/>
              </w:rPr>
              <w:t>2</w:t>
            </w:r>
            <w:r w:rsidRPr="0095287E">
              <w:rPr>
                <w:bCs/>
              </w:rPr>
              <w:t xml:space="preserve"> punkta redakcijas izriet, ka Dienestam, nevis VNĪ jārūpējas par VNĪ tīmekļa vietnē publicēto datu saturu un datu aktualitāti, un Tieslietu ministrija nepiekrīt šāda pienākuma noteikšanai. Atbilstoši Noteikumu nr. 934 20.</w:t>
            </w:r>
            <w:r w:rsidRPr="0095287E">
              <w:rPr>
                <w:bCs/>
                <w:vertAlign w:val="superscript"/>
              </w:rPr>
              <w:t>2</w:t>
            </w:r>
            <w:r w:rsidRPr="0095287E">
              <w:rPr>
                <w:bCs/>
              </w:rPr>
              <w:t xml:space="preserve"> punktam Dienests nodrošina VNĪ ar informāciju, savukārt VNĪ nodrošina informācijas korektu izmantošanu savās sistēmās. </w:t>
            </w:r>
          </w:p>
          <w:p w14:paraId="447E01F2" w14:textId="77777777" w:rsidR="00D72975" w:rsidRPr="0095287E" w:rsidRDefault="00D72975" w:rsidP="00B838F8">
            <w:pPr>
              <w:pStyle w:val="Default"/>
              <w:spacing w:after="60"/>
              <w:jc w:val="both"/>
              <w:rPr>
                <w:color w:val="auto"/>
              </w:rPr>
            </w:pPr>
            <w:r w:rsidRPr="0095287E">
              <w:rPr>
                <w:bCs/>
                <w:color w:val="auto"/>
              </w:rPr>
              <w:t xml:space="preserve">Ņemot vērā minēto, </w:t>
            </w:r>
            <w:r w:rsidRPr="0095287E">
              <w:rPr>
                <w:bCs/>
                <w:color w:val="auto"/>
                <w:u w:val="single"/>
              </w:rPr>
              <w:t>lūdzam svītrot Projekta 4. punktā ietverto noteikumu 18.</w:t>
            </w:r>
            <w:r w:rsidRPr="0095287E">
              <w:rPr>
                <w:bCs/>
                <w:color w:val="auto"/>
                <w:u w:val="single"/>
                <w:vertAlign w:val="superscript"/>
              </w:rPr>
              <w:t>2</w:t>
            </w:r>
            <w:r w:rsidRPr="0095287E">
              <w:rPr>
                <w:bCs/>
                <w:color w:val="auto"/>
                <w:u w:val="single"/>
              </w:rPr>
              <w:t xml:space="preserve"> punktu.</w:t>
            </w:r>
          </w:p>
        </w:tc>
        <w:tc>
          <w:tcPr>
            <w:tcW w:w="2892" w:type="dxa"/>
            <w:gridSpan w:val="2"/>
          </w:tcPr>
          <w:p w14:paraId="0F82EBFA" w14:textId="77777777" w:rsidR="00D72975" w:rsidRPr="0095287E" w:rsidRDefault="004245D1" w:rsidP="00DA1CDA">
            <w:pPr>
              <w:spacing w:after="60"/>
              <w:rPr>
                <w:b/>
              </w:rPr>
            </w:pPr>
            <w:r w:rsidRPr="0095287E">
              <w:rPr>
                <w:b/>
              </w:rPr>
              <w:t>Ņemts vērā.</w:t>
            </w:r>
          </w:p>
          <w:p w14:paraId="1C3D80D5" w14:textId="54B16D15" w:rsidR="00FF69ED" w:rsidRPr="0095287E" w:rsidRDefault="00293F74" w:rsidP="00DA1CDA">
            <w:pPr>
              <w:spacing w:after="60"/>
              <w:jc w:val="both"/>
              <w:rPr>
                <w:bCs/>
              </w:rPr>
            </w:pPr>
            <w:r w:rsidRPr="0095287E">
              <w:rPr>
                <w:bCs/>
              </w:rPr>
              <w:t xml:space="preserve">Publiskas personas finanšu līdzekļu un mantas izšķērdēšanas novēršanas likuma </w:t>
            </w:r>
            <w:r w:rsidR="004811ED" w:rsidRPr="0095287E">
              <w:rPr>
                <w:bCs/>
              </w:rPr>
              <w:t>6.</w:t>
            </w:r>
            <w:r w:rsidR="004811ED" w:rsidRPr="0095287E">
              <w:rPr>
                <w:bCs/>
                <w:vertAlign w:val="superscript"/>
              </w:rPr>
              <w:t>2</w:t>
            </w:r>
            <w:r w:rsidR="00DA1CDA">
              <w:rPr>
                <w:bCs/>
                <w:vertAlign w:val="superscript"/>
              </w:rPr>
              <w:t> </w:t>
            </w:r>
            <w:r w:rsidR="004811ED" w:rsidRPr="0095287E">
              <w:rPr>
                <w:bCs/>
              </w:rPr>
              <w:t xml:space="preserve">panta trešā daļa paredz deleģējumu Ministru kabineta noteikt kārtību, kādā apkopojama informācija par valsts nekustamā īpašuma pārvaldīšanu, un no 2020.gada 1.janvāra paredz deleģējumu  </w:t>
            </w:r>
            <w:r w:rsidR="00FF69ED" w:rsidRPr="0095287E">
              <w:rPr>
                <w:bCs/>
              </w:rPr>
              <w:t>noteikta arī kārtību, kādā apkopojama informācija par valsts iestāžu lietotajiem nekustamajiem īpašumiem. Ministru kabineta kompetencē ir noteikt lietderīgā</w:t>
            </w:r>
            <w:r w:rsidR="00512F69" w:rsidRPr="0095287E">
              <w:rPr>
                <w:bCs/>
              </w:rPr>
              <w:t>k</w:t>
            </w:r>
            <w:r w:rsidR="00FF69ED" w:rsidRPr="0095287E">
              <w:rPr>
                <w:bCs/>
              </w:rPr>
              <w:t>o un efektīvāko mehānismu precīzas un aktuālas informācijas apkopošanai. Lai mazinātu administratīvo slogu valsts iestādēm un mazinātu neprecizitātes, kas iespējamas manuālas informācijas ievadē, būtiski ir valsts institūcijām sadarboties, nodrošinot informācijas apmaiņu starp valsts informācijas sistēmām.</w:t>
            </w:r>
          </w:p>
          <w:p w14:paraId="29CB51E8" w14:textId="77777777" w:rsidR="00820FF1" w:rsidRPr="0095287E" w:rsidRDefault="00820FF1" w:rsidP="00DA1CDA">
            <w:pPr>
              <w:spacing w:after="60"/>
              <w:jc w:val="both"/>
              <w:rPr>
                <w:bCs/>
              </w:rPr>
            </w:pPr>
            <w:r w:rsidRPr="0095287E">
              <w:rPr>
                <w:bCs/>
              </w:rPr>
              <w:t xml:space="preserve">Par datu saņemšanas iespējām un apjomu </w:t>
            </w:r>
            <w:r w:rsidR="00046082" w:rsidRPr="0095287E">
              <w:rPr>
                <w:bCs/>
              </w:rPr>
              <w:t>ir panākta vienošanās ar Valsts zemes dienestu, organizējot vairākas tikšanās.</w:t>
            </w:r>
          </w:p>
          <w:p w14:paraId="663E4D02" w14:textId="77777777" w:rsidR="00EF2040" w:rsidRPr="0095287E" w:rsidRDefault="008C10D2" w:rsidP="00DA1CDA">
            <w:pPr>
              <w:spacing w:after="60"/>
              <w:jc w:val="both"/>
              <w:rPr>
                <w:bCs/>
              </w:rPr>
            </w:pPr>
            <w:r w:rsidRPr="0095287E">
              <w:rPr>
                <w:bCs/>
              </w:rPr>
              <w:t>Informācija, kas vadāma Valsts nekustamā īpašuma informācijas sistēmā par nomas objektu, ietverta Ministru kabineta noteikumu projektā “Grozījumi Ministru kabineta 2011.gada 6.decembra noteikumos Nr.934 “Noteikumi par valsts nekustamā īpašuma pārvaldīšanas principiem un kārtību”” (VSS-816).</w:t>
            </w:r>
            <w:r w:rsidR="00EF2040" w:rsidRPr="0095287E">
              <w:rPr>
                <w:bCs/>
              </w:rPr>
              <w:t xml:space="preserve"> Minētā projekta sākotnējās ietekmes novērtējuma ziņojumā norādīts, ka:</w:t>
            </w:r>
          </w:p>
          <w:p w14:paraId="0CB5746F" w14:textId="77777777" w:rsidR="00370417" w:rsidRPr="0095287E" w:rsidRDefault="00EF2040" w:rsidP="00DA1CDA">
            <w:pPr>
              <w:spacing w:after="60"/>
              <w:jc w:val="both"/>
            </w:pPr>
            <w:r w:rsidRPr="0095287E">
              <w:rPr>
                <w:bCs/>
              </w:rPr>
              <w:t>“</w:t>
            </w:r>
            <w:r w:rsidR="00370417" w:rsidRPr="0095287E">
              <w:t xml:space="preserve">Lai nodrošinātu noteikumu 1. un 2.pielikumā minētās informācijas, izmantojot Nekustamā īpašuma valsts kadastra informācijas sistēmas datus, nodošanu tiešsaistes režīmā VNĪ, ir nepieciešams veikt izmaiņas Nekustamā īpašuma valsts kadastra informācijas sistēmā. Saskaņā ar Valsts zemes dienesta sniegto informāciju attiecīgas izmaiņas plānots īstenot līdz 2019.gada beigām, provizoriskās izmaksas 14 920 </w:t>
            </w:r>
            <w:proofErr w:type="spellStart"/>
            <w:r w:rsidR="00370417" w:rsidRPr="0095287E">
              <w:rPr>
                <w:i/>
                <w:iCs/>
              </w:rPr>
              <w:t>euro</w:t>
            </w:r>
            <w:proofErr w:type="spellEnd"/>
            <w:r w:rsidR="00370417" w:rsidRPr="0095287E">
              <w:t xml:space="preserve"> (bez PVN).</w:t>
            </w:r>
          </w:p>
          <w:p w14:paraId="284070E3" w14:textId="11EAD527" w:rsidR="00370417" w:rsidRPr="00DA1CDA" w:rsidRDefault="00370417" w:rsidP="00DA1CDA">
            <w:pPr>
              <w:spacing w:after="60"/>
              <w:jc w:val="both"/>
            </w:pPr>
            <w:r w:rsidRPr="0095287E">
              <w:t xml:space="preserve">Lai nodrošinātu projektā ietvertās informācijas ievadi Informācijas sistēmā, ir nepieciešams veikt izmaiņas Informācijas sistēmā. Saskaņā ar VNĪ sniegto informāciju izmaiņas </w:t>
            </w:r>
            <w:r w:rsidRPr="00DA1CDA">
              <w:t xml:space="preserve">plānots īstenot līdz </w:t>
            </w:r>
            <w:r w:rsidR="00512F69" w:rsidRPr="00DA1CDA">
              <w:t>2020</w:t>
            </w:r>
            <w:r w:rsidRPr="00DA1CDA">
              <w:t xml:space="preserve">.gada maijam, provizoriskās izmaksas 14 500 </w:t>
            </w:r>
            <w:proofErr w:type="spellStart"/>
            <w:r w:rsidRPr="00DA1CDA">
              <w:rPr>
                <w:i/>
                <w:iCs/>
              </w:rPr>
              <w:t>euro</w:t>
            </w:r>
            <w:proofErr w:type="spellEnd"/>
            <w:r w:rsidRPr="00DA1CDA">
              <w:t xml:space="preserve"> (bez PVN).</w:t>
            </w:r>
          </w:p>
          <w:p w14:paraId="6F89045A" w14:textId="07FA9ECD" w:rsidR="003C7FD5" w:rsidRPr="00DA1CDA" w:rsidRDefault="003C7FD5" w:rsidP="00DA1CDA">
            <w:pPr>
              <w:spacing w:after="60"/>
              <w:jc w:val="both"/>
            </w:pPr>
            <w:r w:rsidRPr="00DA1CDA">
              <w:t>I</w:t>
            </w:r>
            <w:r w:rsidR="00370417" w:rsidRPr="00DA1CDA">
              <w:t xml:space="preserve">zdevumus izmaiņu izstrādei Nekustamā īpašuma valsts kadastra informācijas sistēmā un Informācijas sistēmā </w:t>
            </w:r>
            <w:r w:rsidRPr="00DA1CDA">
              <w:t xml:space="preserve">segs </w:t>
            </w:r>
            <w:r w:rsidR="00370417" w:rsidRPr="00DA1CDA">
              <w:t xml:space="preserve">VNĪ no </w:t>
            </w:r>
            <w:r w:rsidRPr="00DA1CDA">
              <w:t>finanšu resursiem, kas iegūti no valsts nekustamo īpašumu pārvaldīšanas.</w:t>
            </w:r>
          </w:p>
          <w:p w14:paraId="311D8399" w14:textId="5C43EC76" w:rsidR="00EF2040" w:rsidRPr="0095287E" w:rsidRDefault="00370417" w:rsidP="00DA1CDA">
            <w:pPr>
              <w:spacing w:after="60"/>
              <w:jc w:val="both"/>
              <w:rPr>
                <w:bCs/>
              </w:rPr>
            </w:pPr>
            <w:r w:rsidRPr="00DA1CDA">
              <w:t>Nekustamā īpašuma valsts</w:t>
            </w:r>
            <w:r w:rsidRPr="0095287E">
              <w:t xml:space="preserve"> kadastra informācijas sistēmā reģistrēto datu un Valsts vienotās datorizētās zemesgrāmatas sistēmā reģistrēto datu nodošana VNĪ veicama Tieslietu ministrijas (Valsts zemes dienesta, Tiesu administrācijas) esošā finansējuma ietvaros.</w:t>
            </w:r>
            <w:r w:rsidR="00D47EC4" w:rsidRPr="0095287E">
              <w:t>”</w:t>
            </w:r>
          </w:p>
        </w:tc>
        <w:tc>
          <w:tcPr>
            <w:tcW w:w="3491" w:type="dxa"/>
          </w:tcPr>
          <w:p w14:paraId="686C68C7" w14:textId="0B5A090B" w:rsidR="00046082" w:rsidRPr="0095287E" w:rsidRDefault="002A28FF" w:rsidP="00046082">
            <w:pPr>
              <w:spacing w:after="60"/>
              <w:jc w:val="both"/>
            </w:pPr>
            <w:r w:rsidRPr="0095287E">
              <w:t>1</w:t>
            </w:r>
            <w:r w:rsidR="00332351">
              <w:t>.9</w:t>
            </w:r>
            <w:r w:rsidR="001E7057">
              <w:t>. </w:t>
            </w:r>
            <w:r w:rsidR="00046082" w:rsidRPr="0095287E">
              <w:t>Izteikt 17.punkta ievaddaļu šāda redakcijā:</w:t>
            </w:r>
          </w:p>
          <w:p w14:paraId="1BF94D50" w14:textId="6DF5B3CB" w:rsidR="00D72975" w:rsidRPr="0095287E" w:rsidRDefault="00046082" w:rsidP="00046082">
            <w:pPr>
              <w:jc w:val="both"/>
            </w:pPr>
            <w:r w:rsidRPr="0095287E">
              <w:t>“</w:t>
            </w:r>
            <w:r w:rsidR="00CE6BBA" w:rsidRPr="0095287E">
              <w:t>Nomnieks (izņemot atvasinātu publisku personu) par nomas objektu (izņemot šo noteikumu 2.9.apakšpunktu) ievada informāciju Valsts nekustamā īpašuma informācijas sistēmā atbilstoši Ministru kabineta noteikumiem, kas nosaka valsts nekustamā īpašuma pārvaldīšanas principus un kārtību, kā arī kārtību, kādā apkopojama informācija par valsts nekustamā īpašuma pārvaldīšanu un valsts iestāžu lietotajiem nekustamajiem īpašumiem, kā arī par nomas objektu 10 darbdienu laikā pēc nomas līguma noslēgšanas publicē valsts akciju sabiedrības “Valsts nekustamie īpašumi” tīmekļvietnē un savā  tīmekļvietnē (ja tāda ir) šādu informāciju:</w:t>
            </w:r>
            <w:r w:rsidRPr="0095287E">
              <w:t>”</w:t>
            </w:r>
          </w:p>
          <w:p w14:paraId="199B4D96" w14:textId="77777777" w:rsidR="00255558" w:rsidRPr="0095287E" w:rsidRDefault="00255558" w:rsidP="00046082">
            <w:pPr>
              <w:jc w:val="both"/>
            </w:pPr>
          </w:p>
          <w:p w14:paraId="544E4086" w14:textId="36C85F0B" w:rsidR="00255558" w:rsidRPr="0095287E" w:rsidRDefault="00255558" w:rsidP="00046082">
            <w:pPr>
              <w:jc w:val="both"/>
            </w:pPr>
            <w:r w:rsidRPr="0095287E">
              <w:t>Precizēts anotācijas teksts.</w:t>
            </w:r>
          </w:p>
        </w:tc>
      </w:tr>
      <w:tr w:rsidR="0095287E" w:rsidRPr="0095287E" w14:paraId="6882DDB8" w14:textId="77777777" w:rsidTr="001A77C9">
        <w:trPr>
          <w:jc w:val="center"/>
        </w:trPr>
        <w:tc>
          <w:tcPr>
            <w:tcW w:w="781" w:type="dxa"/>
          </w:tcPr>
          <w:p w14:paraId="11E7614D" w14:textId="77777777" w:rsidR="003E312D" w:rsidRPr="0095287E" w:rsidRDefault="00DD10B2" w:rsidP="003E312D">
            <w:pPr>
              <w:jc w:val="center"/>
            </w:pPr>
            <w:r w:rsidRPr="0095287E">
              <w:t>4.</w:t>
            </w:r>
          </w:p>
        </w:tc>
        <w:tc>
          <w:tcPr>
            <w:tcW w:w="3490" w:type="dxa"/>
            <w:gridSpan w:val="2"/>
          </w:tcPr>
          <w:p w14:paraId="748C72CE" w14:textId="77777777" w:rsidR="00D852C8" w:rsidRPr="0095287E" w:rsidRDefault="000813C9" w:rsidP="000813C9">
            <w:pPr>
              <w:spacing w:after="60"/>
              <w:jc w:val="both"/>
            </w:pPr>
            <w:r w:rsidRPr="0095287E">
              <w:rPr>
                <w:b/>
              </w:rPr>
              <w:t>4.</w:t>
            </w:r>
            <w:r w:rsidRPr="0095287E">
              <w:t> Papildināt noteikumus ar 18.</w:t>
            </w:r>
            <w:r w:rsidRPr="0095287E">
              <w:rPr>
                <w:vertAlign w:val="superscript"/>
              </w:rPr>
              <w:t>1</w:t>
            </w:r>
            <w:r w:rsidRPr="0095287E">
              <w:t>, 18.</w:t>
            </w:r>
            <w:r w:rsidRPr="0095287E">
              <w:rPr>
                <w:vertAlign w:val="superscript"/>
              </w:rPr>
              <w:t>2</w:t>
            </w:r>
            <w:r w:rsidRPr="0095287E">
              <w:t>, 18.</w:t>
            </w:r>
            <w:r w:rsidRPr="0095287E">
              <w:rPr>
                <w:vertAlign w:val="superscript"/>
              </w:rPr>
              <w:t>3</w:t>
            </w:r>
            <w:r w:rsidRPr="0095287E">
              <w:t>, 18.</w:t>
            </w:r>
            <w:r w:rsidRPr="0095287E">
              <w:rPr>
                <w:vertAlign w:val="superscript"/>
              </w:rPr>
              <w:t>4</w:t>
            </w:r>
            <w:r w:rsidRPr="0095287E">
              <w:t xml:space="preserve"> un 18.</w:t>
            </w:r>
            <w:r w:rsidRPr="0095287E">
              <w:rPr>
                <w:vertAlign w:val="superscript"/>
              </w:rPr>
              <w:t>5</w:t>
            </w:r>
            <w:r w:rsidRPr="0095287E">
              <w:t xml:space="preserve"> punktu šādā redakcijā:</w:t>
            </w:r>
          </w:p>
          <w:p w14:paraId="4B1D2CA4" w14:textId="77777777" w:rsidR="003E312D" w:rsidRPr="0095287E" w:rsidRDefault="00D852C8" w:rsidP="00D852C8">
            <w:pPr>
              <w:spacing w:after="60"/>
              <w:jc w:val="both"/>
            </w:pPr>
            <w:r w:rsidRPr="0095287E">
              <w:t>“</w:t>
            </w:r>
            <w:r w:rsidR="000813C9" w:rsidRPr="0095287E">
              <w:t>[..]</w:t>
            </w:r>
            <w:r w:rsidRPr="0095287E">
              <w:t xml:space="preserve"> </w:t>
            </w:r>
            <w:r w:rsidR="000813C9" w:rsidRPr="0095287E">
              <w:rPr>
                <w:b/>
              </w:rPr>
              <w:t>18.</w:t>
            </w:r>
            <w:r w:rsidR="000813C9" w:rsidRPr="0095287E">
              <w:rPr>
                <w:b/>
                <w:vertAlign w:val="superscript"/>
              </w:rPr>
              <w:t>3</w:t>
            </w:r>
            <w:r w:rsidR="000813C9" w:rsidRPr="0095287E">
              <w:t> Pēc šo noteikumu 18.</w:t>
            </w:r>
            <w:r w:rsidR="000813C9" w:rsidRPr="0095287E">
              <w:rPr>
                <w:vertAlign w:val="superscript"/>
              </w:rPr>
              <w:t>1</w:t>
            </w:r>
            <w:r w:rsidR="000813C9" w:rsidRPr="0095287E">
              <w:t>1. apakšpunktā minētās informācijas ievades nekustamā īpašuma profilā Tiesu administrācija, izmantojot Valsts vienotās datorizētās zemesgrāmatas sistēmas datus, tiešsaistes režīmā nodrošina valsts akciju sabiedrību “Valsts nekustamie īpašumi” ar normatīvajos aktos, kas regulē valsts nekustamā īpašuma pārvaldīšanas principus un kārtību, noteikto nekustamā īpašuma profilam nepieciešamo informāciju, ja nekustamais īpašums ierakstīts zemesgrāmatā, un aktualizē to līdz ar izmaiņu izdarīšanu Valsts vienotās datorizētās zemesgrāmatas sistēmā.[..]”</w:t>
            </w:r>
          </w:p>
        </w:tc>
        <w:tc>
          <w:tcPr>
            <w:tcW w:w="4088" w:type="dxa"/>
            <w:gridSpan w:val="2"/>
          </w:tcPr>
          <w:p w14:paraId="39466752" w14:textId="77777777" w:rsidR="003E312D" w:rsidRPr="0095287E" w:rsidRDefault="000813C9" w:rsidP="003E312D">
            <w:pPr>
              <w:pStyle w:val="Default"/>
              <w:spacing w:after="60"/>
              <w:jc w:val="both"/>
              <w:rPr>
                <w:b/>
                <w:color w:val="auto"/>
              </w:rPr>
            </w:pPr>
            <w:r w:rsidRPr="0095287E">
              <w:rPr>
                <w:b/>
                <w:color w:val="auto"/>
              </w:rPr>
              <w:t>Tieslietu ministrija</w:t>
            </w:r>
          </w:p>
          <w:p w14:paraId="5CF6832A" w14:textId="77777777" w:rsidR="00D72975" w:rsidRPr="0095287E" w:rsidRDefault="000813C9" w:rsidP="003E312D">
            <w:pPr>
              <w:pStyle w:val="Default"/>
              <w:spacing w:after="60"/>
              <w:jc w:val="both"/>
              <w:rPr>
                <w:color w:val="auto"/>
              </w:rPr>
            </w:pPr>
            <w:r w:rsidRPr="0095287E">
              <w:rPr>
                <w:bCs/>
                <w:color w:val="auto"/>
              </w:rPr>
              <w:t>Norādām uz nepieciešamību savstarpēji saskaņot Projektā ietverto regulējumu ar sākotnējās ietekmes novērtējumu ziņojumu (anotāciju). Atbilstoši anotācijā minētajam, Tiesu administrācija, izmantojot Valsts vienotās datorizētās zemesgrāmatas sistēmas datus, tiešsaistes režīmā nodrošina noteikto nekustamā īpašuma profilam nepieciešamo informāciju atbilstoši datu apjomam, kas izriet no Ministru kabineta 2011. gada 6. decembra noteikumiem Nr.934 "Noteikumi par valsts nekustamā īpašuma pārvaldīšanas principiem un kārtību"" (turpmāk – Noteikumi Nr. 934). Proti, no anotācijas izriet, ka Tiesu administrācija nodod noteiktus datus valsts akciju sabiedrībai "Valsts nekustamie īpašumi" (turpmāk – VNI), izmantojot datu apmaiņas risinājumu starp Valsts vienoto datorizēto zemesgrāmatu un valsts nekustamā īpašuma informācijas sistēmu. Norādām, ka minētā risinājuma ietvaros notiek datu nodošana nevis aktualizācija, ievērojot minēto, Projekta 4. punktā piedāvātajā 18.3 apakšpunktā vārdi "aktualizē to" aizstājami ar vārdiem "nodod tos".</w:t>
            </w:r>
          </w:p>
        </w:tc>
        <w:tc>
          <w:tcPr>
            <w:tcW w:w="2892" w:type="dxa"/>
            <w:gridSpan w:val="2"/>
          </w:tcPr>
          <w:p w14:paraId="47186A07" w14:textId="77777777" w:rsidR="003E312D" w:rsidRPr="0095287E" w:rsidRDefault="004245D1" w:rsidP="003E312D">
            <w:pPr>
              <w:spacing w:after="60"/>
              <w:rPr>
                <w:b/>
              </w:rPr>
            </w:pPr>
            <w:r w:rsidRPr="0095287E">
              <w:rPr>
                <w:b/>
              </w:rPr>
              <w:t>Ņemts vērā.</w:t>
            </w:r>
          </w:p>
          <w:p w14:paraId="7812BBF2" w14:textId="3AB3F67B" w:rsidR="00EF162F" w:rsidRPr="0095287E" w:rsidRDefault="00F07FC6" w:rsidP="00EF162F">
            <w:pPr>
              <w:spacing w:after="60"/>
              <w:jc w:val="both"/>
              <w:rPr>
                <w:bCs/>
              </w:rPr>
            </w:pPr>
            <w:r w:rsidRPr="0095287E">
              <w:rPr>
                <w:bCs/>
              </w:rPr>
              <w:t>Precizējumi</w:t>
            </w:r>
            <w:r w:rsidR="00EF162F" w:rsidRPr="0095287E">
              <w:rPr>
                <w:bCs/>
              </w:rPr>
              <w:t xml:space="preserve"> Ministru kabineta noteikumu projektā “Grozījumi Ministru kabineta 2011.gada 6.decembra noteikumos Nr.934 “Noteikumi par valsts nekustamā īpašuma pārvaldīšanas principiem un kārtību”” (VSS-816).</w:t>
            </w:r>
          </w:p>
        </w:tc>
        <w:tc>
          <w:tcPr>
            <w:tcW w:w="3491" w:type="dxa"/>
          </w:tcPr>
          <w:p w14:paraId="2E31D7E9" w14:textId="06D73454" w:rsidR="00F96EA8" w:rsidRPr="0095287E" w:rsidRDefault="002A28FF" w:rsidP="00F96EA8">
            <w:pPr>
              <w:spacing w:after="60"/>
              <w:jc w:val="both"/>
            </w:pPr>
            <w:r w:rsidRPr="0095287E">
              <w:t>1.</w:t>
            </w:r>
            <w:r w:rsidR="00332351">
              <w:t>9</w:t>
            </w:r>
            <w:r w:rsidR="001019AD">
              <w:t>. </w:t>
            </w:r>
            <w:r w:rsidR="00F96EA8" w:rsidRPr="0095287E">
              <w:t>Izteikt 17.punkta ievaddaļu šāda redakcijā:</w:t>
            </w:r>
          </w:p>
          <w:p w14:paraId="76F97817" w14:textId="491FF6CC" w:rsidR="003E312D" w:rsidRPr="0095287E" w:rsidRDefault="00F96EA8" w:rsidP="001019AD">
            <w:pPr>
              <w:spacing w:after="120"/>
              <w:jc w:val="both"/>
            </w:pPr>
            <w:r w:rsidRPr="0095287E">
              <w:t>“</w:t>
            </w:r>
            <w:r w:rsidR="00CE6BBA" w:rsidRPr="0095287E">
              <w:t>Nomnieks (izņemot atvasinātu publisku personu) par nomas objektu (izņemot šo noteikumu 2.9.apakšpunktu) ievada informāciju Valsts nekustamā īpašuma informācijas sistēmā atbilstoši Ministru kabineta noteikumiem, kas nosaka valsts nekustamā īpašuma pārvaldīšanas principus un kārtību, kā arī kārtību, kādā apkopojama informācija par valsts nekustamā īpašuma pārvaldīšanu un valsts iestāžu lietotajiem nekustamajiem īpašumiem, kā arī par nomas objektu 10 darbdienu laikā pēc nomas līguma noslēgšanas publicē valsts akciju sabiedrības “Valsts nekustamie īpašumi” tīmekļvietnē un savā  tīmekļvietnē (ja tāda ir) šādu informāciju:</w:t>
            </w:r>
          </w:p>
          <w:p w14:paraId="01C11D04" w14:textId="4F5EE344" w:rsidR="00255558" w:rsidRPr="0095287E" w:rsidRDefault="00255558" w:rsidP="00F96EA8">
            <w:pPr>
              <w:jc w:val="both"/>
            </w:pPr>
            <w:r w:rsidRPr="0095287E">
              <w:t>Precizēts anotācijas teksts.</w:t>
            </w:r>
          </w:p>
        </w:tc>
      </w:tr>
      <w:tr w:rsidR="00FF33BD" w:rsidRPr="0095287E" w14:paraId="75CE87C6" w14:textId="77777777" w:rsidTr="001A77C9">
        <w:trPr>
          <w:jc w:val="center"/>
        </w:trPr>
        <w:tc>
          <w:tcPr>
            <w:tcW w:w="781" w:type="dxa"/>
          </w:tcPr>
          <w:p w14:paraId="4CFC000E" w14:textId="12C6EBC2" w:rsidR="00FF33BD" w:rsidRPr="001D3323" w:rsidRDefault="005017DC" w:rsidP="00FF33BD">
            <w:pPr>
              <w:jc w:val="center"/>
            </w:pPr>
            <w:r>
              <w:t>5.</w:t>
            </w:r>
          </w:p>
        </w:tc>
        <w:tc>
          <w:tcPr>
            <w:tcW w:w="3490" w:type="dxa"/>
            <w:gridSpan w:val="2"/>
          </w:tcPr>
          <w:p w14:paraId="510492A4" w14:textId="296D7763" w:rsidR="00FF33BD" w:rsidRPr="00FF33BD" w:rsidRDefault="00FF33BD" w:rsidP="00FF33BD">
            <w:pPr>
              <w:spacing w:after="60"/>
              <w:jc w:val="both"/>
              <w:rPr>
                <w:i/>
              </w:rPr>
            </w:pPr>
            <w:r w:rsidRPr="00FF33BD">
              <w:rPr>
                <w:i/>
              </w:rPr>
              <w:t xml:space="preserve">20.08.2019. redakcija </w:t>
            </w:r>
          </w:p>
          <w:p w14:paraId="6D93B245" w14:textId="084EC5BD" w:rsidR="00FF33BD" w:rsidRPr="00FF33BD" w:rsidRDefault="00FF33BD" w:rsidP="00FF33BD">
            <w:pPr>
              <w:jc w:val="both"/>
            </w:pPr>
            <w:r w:rsidRPr="00FF33BD">
              <w:t>1.14. izteikt pielikuma 1. punktu šādā redakcijā:</w:t>
            </w:r>
          </w:p>
          <w:tbl>
            <w:tblPr>
              <w:tblStyle w:val="TableGrid"/>
              <w:tblW w:w="3226" w:type="dxa"/>
              <w:tblLayout w:type="fixed"/>
              <w:tblLook w:val="04A0" w:firstRow="1" w:lastRow="0" w:firstColumn="1" w:lastColumn="0" w:noHBand="0" w:noVBand="1"/>
            </w:tblPr>
            <w:tblGrid>
              <w:gridCol w:w="532"/>
              <w:gridCol w:w="2410"/>
              <w:gridCol w:w="284"/>
            </w:tblGrid>
            <w:tr w:rsidR="00FF33BD" w:rsidRPr="00FF33BD" w14:paraId="5C86D240" w14:textId="77777777" w:rsidTr="009B58C4">
              <w:tc>
                <w:tcPr>
                  <w:tcW w:w="532" w:type="dxa"/>
                </w:tcPr>
                <w:p w14:paraId="562AEC4A" w14:textId="77777777" w:rsidR="00FF33BD" w:rsidRPr="00FF33BD" w:rsidRDefault="00FF33BD" w:rsidP="00FF33BD">
                  <w:pPr>
                    <w:jc w:val="center"/>
                    <w:rPr>
                      <w:sz w:val="24"/>
                    </w:rPr>
                  </w:pPr>
                  <w:r w:rsidRPr="00FF33BD">
                    <w:rPr>
                      <w:sz w:val="24"/>
                    </w:rPr>
                    <w:t>“1.</w:t>
                  </w:r>
                </w:p>
              </w:tc>
              <w:tc>
                <w:tcPr>
                  <w:tcW w:w="2410" w:type="dxa"/>
                </w:tcPr>
                <w:p w14:paraId="47B7AA06" w14:textId="77777777" w:rsidR="00FF33BD" w:rsidRPr="00FF33BD" w:rsidRDefault="00FF33BD" w:rsidP="00FF33BD">
                  <w:pPr>
                    <w:jc w:val="both"/>
                    <w:rPr>
                      <w:sz w:val="24"/>
                    </w:rPr>
                  </w:pPr>
                  <w:r w:rsidRPr="00FF33BD">
                    <w:rPr>
                      <w:sz w:val="24"/>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284" w:type="dxa"/>
                </w:tcPr>
                <w:p w14:paraId="6C028B88" w14:textId="77777777" w:rsidR="00FF33BD" w:rsidRPr="00FF33BD" w:rsidRDefault="00FF33BD" w:rsidP="00FF33BD">
                  <w:pPr>
                    <w:jc w:val="both"/>
                    <w:rPr>
                      <w:sz w:val="24"/>
                    </w:rPr>
                  </w:pPr>
                </w:p>
                <w:p w14:paraId="38AFDB11" w14:textId="77777777" w:rsidR="00FF33BD" w:rsidRPr="00FF33BD" w:rsidRDefault="00FF33BD" w:rsidP="00FF33BD">
                  <w:pPr>
                    <w:jc w:val="both"/>
                    <w:rPr>
                      <w:sz w:val="24"/>
                    </w:rPr>
                  </w:pPr>
                </w:p>
                <w:p w14:paraId="4D73DBFD" w14:textId="77777777" w:rsidR="00FF33BD" w:rsidRPr="00FF33BD" w:rsidRDefault="00FF33BD" w:rsidP="00FF33BD">
                  <w:pPr>
                    <w:jc w:val="both"/>
                    <w:rPr>
                      <w:sz w:val="24"/>
                    </w:rPr>
                  </w:pPr>
                </w:p>
                <w:p w14:paraId="70CB5751" w14:textId="77777777" w:rsidR="00FF33BD" w:rsidRPr="00FF33BD" w:rsidRDefault="00FF33BD" w:rsidP="00FF33BD">
                  <w:pPr>
                    <w:jc w:val="both"/>
                    <w:rPr>
                      <w:sz w:val="24"/>
                    </w:rPr>
                  </w:pPr>
                </w:p>
                <w:p w14:paraId="43E1B988" w14:textId="77777777" w:rsidR="00FF33BD" w:rsidRPr="00FF33BD" w:rsidRDefault="00FF33BD" w:rsidP="00FF33BD">
                  <w:pPr>
                    <w:jc w:val="both"/>
                    <w:rPr>
                      <w:sz w:val="24"/>
                    </w:rPr>
                  </w:pPr>
                </w:p>
                <w:p w14:paraId="45978107" w14:textId="77777777" w:rsidR="00FF33BD" w:rsidRPr="00FF33BD" w:rsidRDefault="00FF33BD" w:rsidP="00FF33BD">
                  <w:pPr>
                    <w:jc w:val="both"/>
                    <w:rPr>
                      <w:sz w:val="24"/>
                    </w:rPr>
                  </w:pPr>
                </w:p>
                <w:p w14:paraId="603DD597" w14:textId="77777777" w:rsidR="00FF33BD" w:rsidRPr="00FF33BD" w:rsidRDefault="00FF33BD" w:rsidP="00FF33BD">
                  <w:pPr>
                    <w:jc w:val="both"/>
                    <w:rPr>
                      <w:sz w:val="24"/>
                    </w:rPr>
                  </w:pPr>
                </w:p>
                <w:p w14:paraId="3F37D8D9" w14:textId="77777777" w:rsidR="00FF33BD" w:rsidRPr="00FF33BD" w:rsidRDefault="00FF33BD" w:rsidP="00FF33BD">
                  <w:pPr>
                    <w:jc w:val="right"/>
                    <w:rPr>
                      <w:sz w:val="24"/>
                    </w:rPr>
                  </w:pPr>
                  <w:r w:rsidRPr="00FF33BD">
                    <w:rPr>
                      <w:sz w:val="24"/>
                    </w:rPr>
                    <w:t>”</w:t>
                  </w:r>
                </w:p>
              </w:tc>
            </w:tr>
          </w:tbl>
          <w:p w14:paraId="7A9AFB2A" w14:textId="77777777" w:rsidR="00FF33BD" w:rsidRPr="00FF33BD" w:rsidRDefault="00FF33BD" w:rsidP="00FF33BD">
            <w:pPr>
              <w:spacing w:after="60"/>
              <w:jc w:val="center"/>
            </w:pPr>
          </w:p>
        </w:tc>
        <w:tc>
          <w:tcPr>
            <w:tcW w:w="4088" w:type="dxa"/>
            <w:gridSpan w:val="2"/>
          </w:tcPr>
          <w:p w14:paraId="5D6D33C6" w14:textId="03BF0157" w:rsidR="00FF33BD" w:rsidRPr="0095287E" w:rsidRDefault="00FF33BD" w:rsidP="00FF33BD">
            <w:pPr>
              <w:pStyle w:val="Default"/>
              <w:spacing w:after="60"/>
              <w:jc w:val="both"/>
              <w:rPr>
                <w:b/>
                <w:color w:val="auto"/>
              </w:rPr>
            </w:pPr>
            <w:r w:rsidRPr="0095287E">
              <w:rPr>
                <w:b/>
                <w:color w:val="auto"/>
              </w:rPr>
              <w:t>Tieslietu ministrija</w:t>
            </w:r>
            <w:r w:rsidR="00332351" w:rsidRPr="00154D07">
              <w:rPr>
                <w:b/>
                <w:color w:val="auto"/>
              </w:rPr>
              <w:t xml:space="preserve"> (</w:t>
            </w:r>
            <w:r w:rsidR="00332351">
              <w:rPr>
                <w:b/>
                <w:color w:val="auto"/>
              </w:rPr>
              <w:t>02.09.2019.)</w:t>
            </w:r>
          </w:p>
          <w:p w14:paraId="0DAC89F0" w14:textId="77777777" w:rsidR="00FF33BD" w:rsidRDefault="00FF33BD" w:rsidP="00FF33BD">
            <w:r>
              <w:t xml:space="preserve">Atkārtoti vēršam uzmanību, ka Eiropas Parlamenta un Padomes 2016. gada 27. aprīļa Regulā (ES) 2016/679 Par fizisku personu datu aizsardzību attiecībā uz personas datu apstrādi un šādu datu brīvu apriti un ar ko atceļ Direktīvu 95/46/EK (Vispārīgā datu aizsardzības regula) (turpmāk – Datu regula) 5. panta 1. punkta a) apakšpunktā ir noteikts datu apstrādes likumības un godprātības princips, t.i., jebkurai personas datu apstrādei ir jābūt tiesiskam pamatam. Savukārt pārzinim veicot personas datu apstrādi, ir jānodrošina godprātīga attieksme pret personas datiem. Godprātības princips būtībā ietver arī visus pārējos principus (likumīgumu, </w:t>
            </w:r>
            <w:proofErr w:type="spellStart"/>
            <w:r>
              <w:t>pārredzamību</w:t>
            </w:r>
            <w:proofErr w:type="spellEnd"/>
            <w:r>
              <w:t>,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glabāšanai (kā jebkurai cita veida apstrādei) ir nepieciešams tiesisks pamats un mērķis. No minētā secināms, ka, apstrādājot personu datus, ir jāvērtē, vai netiek apstrādāts lielāks daudzums personas datu nekā nepieciešams.</w:t>
            </w:r>
          </w:p>
          <w:p w14:paraId="2F347ECD" w14:textId="57140DC1" w:rsidR="00FF33BD" w:rsidRDefault="00FF33BD" w:rsidP="00FF33BD">
            <w:r>
              <w:t>Ievērojot, ka par personas datu apstrādes atbilstību Datu regulai ir atbildīgs pārzinis, pārzinim katrā konkrētā gadījumā būtu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w:t>
            </w:r>
          </w:p>
          <w:p w14:paraId="0BF1444F" w14:textId="77777777" w:rsidR="00FF33BD" w:rsidRDefault="00FF33BD" w:rsidP="00FF33BD">
            <w:r>
              <w:t>Projekta 1.14. apakšpunkts paredz izteikt pielikuma 1. punktu šādā redakcijā:</w:t>
            </w:r>
          </w:p>
          <w:p w14:paraId="41D64944" w14:textId="693CFA09" w:rsidR="00FF33BD" w:rsidRDefault="00FF33BD" w:rsidP="00FF33BD">
            <w:r>
              <w:t>“1.Fiziskas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p w14:paraId="54C582E1" w14:textId="77777777" w:rsidR="00FF33BD" w:rsidRDefault="00FF33BD" w:rsidP="00FF33BD">
            <w:r>
              <w:t>Minētais apstrādājamo datu uzskaitījums papildināts ar datiem par personas oficiālo elektroniskā pasta adresi. Netiek apšaubīts, ka projekta 1.14. apakšpunktā minētā informācija ir nepieciešama attiecīgu funkciju veikšanai, taču, lai būtu izprotams attiecīgās informācijas (tostarp personas datu) apstrādes tiesiskais pamats, aicinām to detalizētāk aprakstīt projekta anotācijā, izvērtējot, vai tiek apstrādāts samērīgs datu daudzums.</w:t>
            </w:r>
          </w:p>
          <w:p w14:paraId="383ACF06" w14:textId="77777777" w:rsidR="00FF33BD" w:rsidRDefault="00FF33BD" w:rsidP="00FF33BD">
            <w:r>
              <w:t xml:space="preserve">Norādām, ka (samērīguma kritērijam) pasākumam, ar ko ierobežo Eiropas Cilvēktiesību un pamatbrīvību aizsardzības konvencijas garantētas tiesības, nevajadzētu būt plašākam nekā vajadzīgs attiecīgā likumīgā mērķa īstenošanai. </w:t>
            </w:r>
          </w:p>
          <w:p w14:paraId="26A2718C" w14:textId="04D1D57B" w:rsidR="00FF33BD" w:rsidRPr="00FF33BD" w:rsidRDefault="00FF33BD" w:rsidP="00FF33BD">
            <w:pPr>
              <w:spacing w:after="60"/>
            </w:pPr>
            <w:r>
              <w:t xml:space="preserve">Lai noteiktu, vai projektā iekļautā personas datu apstrāde tiešām ir samērīga, jānovērtē, vai ar visiem attiecīgajiem pasākumiem joprojām tiks samērīgi ierobežotas </w:t>
            </w:r>
            <w:proofErr w:type="spellStart"/>
            <w:r>
              <w:t>pamattiesības</w:t>
            </w:r>
            <w:proofErr w:type="spellEnd"/>
            <w:r>
              <w:t xml:space="preserve"> uz datu aizsardzību un privātumu (nepieciešams izvērtēt noteikumu projektā plānotās personas datu apstrādes samērīguma ar datu subjektu “privātuma” ierobežojumiem </w:t>
            </w:r>
            <w:proofErr w:type="spellStart"/>
            <w:r>
              <w:t>izvērtējumu</w:t>
            </w:r>
            <w:proofErr w:type="spellEnd"/>
            <w:r>
              <w:t>). Proti, būtu jāapsver, vai visa projekta minētā informācija nepieciešama attiecīgā mērķa (attiecīgu funkciju veikšanai) sasniegšanai un vai plānoto mērķi nav iespējams sasniegt ar mazāk ierobežojošiem līdzekļiem.</w:t>
            </w:r>
          </w:p>
        </w:tc>
        <w:tc>
          <w:tcPr>
            <w:tcW w:w="2892" w:type="dxa"/>
            <w:gridSpan w:val="2"/>
          </w:tcPr>
          <w:p w14:paraId="40EAC1EE" w14:textId="78A26985" w:rsidR="00FF33BD" w:rsidRPr="001D3323" w:rsidRDefault="00FF33BD" w:rsidP="00FF33BD">
            <w:pPr>
              <w:spacing w:after="60"/>
              <w:rPr>
                <w:b/>
              </w:rPr>
            </w:pPr>
            <w:r w:rsidRPr="0095287E">
              <w:rPr>
                <w:b/>
              </w:rPr>
              <w:t>Ņemts vērā.</w:t>
            </w:r>
          </w:p>
        </w:tc>
        <w:tc>
          <w:tcPr>
            <w:tcW w:w="3491" w:type="dxa"/>
          </w:tcPr>
          <w:p w14:paraId="091E9889" w14:textId="43F2335F" w:rsidR="00FF33BD" w:rsidRPr="001D3323" w:rsidRDefault="00FF33BD" w:rsidP="00FF33BD">
            <w:pPr>
              <w:jc w:val="both"/>
            </w:pPr>
            <w:r w:rsidRPr="0095287E">
              <w:t>Precizēts anotācijas teksts.</w:t>
            </w:r>
          </w:p>
        </w:tc>
      </w:tr>
      <w:tr w:rsidR="00680B2C" w:rsidRPr="0095287E" w14:paraId="3FC18E51" w14:textId="77777777" w:rsidTr="001A77C9">
        <w:trPr>
          <w:jc w:val="center"/>
        </w:trPr>
        <w:tc>
          <w:tcPr>
            <w:tcW w:w="781" w:type="dxa"/>
          </w:tcPr>
          <w:p w14:paraId="1D248376" w14:textId="4405B67B" w:rsidR="00680B2C" w:rsidRPr="001D3323" w:rsidRDefault="005017DC" w:rsidP="00680B2C">
            <w:pPr>
              <w:jc w:val="center"/>
            </w:pPr>
            <w:r>
              <w:t>6.</w:t>
            </w:r>
          </w:p>
        </w:tc>
        <w:tc>
          <w:tcPr>
            <w:tcW w:w="3490" w:type="dxa"/>
            <w:gridSpan w:val="2"/>
          </w:tcPr>
          <w:p w14:paraId="254C6170" w14:textId="77777777" w:rsidR="00680B2C" w:rsidRPr="0001056B" w:rsidRDefault="00680B2C" w:rsidP="00680B2C">
            <w:pPr>
              <w:spacing w:after="60"/>
              <w:jc w:val="both"/>
              <w:rPr>
                <w:i/>
              </w:rPr>
            </w:pPr>
            <w:r w:rsidRPr="0001056B">
              <w:rPr>
                <w:i/>
              </w:rPr>
              <w:t xml:space="preserve">20.08.2019. redakcija </w:t>
            </w:r>
          </w:p>
          <w:p w14:paraId="1CD419CA" w14:textId="34579CC0" w:rsidR="00680B2C" w:rsidRPr="0001056B" w:rsidRDefault="00680B2C" w:rsidP="00680B2C">
            <w:pPr>
              <w:spacing w:after="60"/>
            </w:pPr>
            <w:r w:rsidRPr="0001056B">
              <w:rPr>
                <w:u w:val="single"/>
              </w:rPr>
              <w:t>2. Šo noteikumu 1.10. apakšpunkts stājas spēkā 2020. gada 1. janvārī.</w:t>
            </w:r>
          </w:p>
        </w:tc>
        <w:tc>
          <w:tcPr>
            <w:tcW w:w="4088" w:type="dxa"/>
            <w:gridSpan w:val="2"/>
          </w:tcPr>
          <w:p w14:paraId="3F80CDE2" w14:textId="0C435135" w:rsidR="00680B2C" w:rsidRPr="0095287E" w:rsidRDefault="00680B2C" w:rsidP="00680B2C">
            <w:pPr>
              <w:pStyle w:val="Default"/>
              <w:spacing w:after="60"/>
              <w:jc w:val="both"/>
              <w:rPr>
                <w:b/>
                <w:color w:val="auto"/>
              </w:rPr>
            </w:pPr>
            <w:r w:rsidRPr="0095287E">
              <w:rPr>
                <w:b/>
                <w:color w:val="auto"/>
              </w:rPr>
              <w:t>Tieslietu ministrija</w:t>
            </w:r>
            <w:r w:rsidR="00332351">
              <w:rPr>
                <w:b/>
                <w:color w:val="auto"/>
              </w:rPr>
              <w:t xml:space="preserve"> </w:t>
            </w:r>
            <w:r w:rsidR="00332351" w:rsidRPr="00154D07">
              <w:rPr>
                <w:b/>
                <w:color w:val="auto"/>
              </w:rPr>
              <w:t>(</w:t>
            </w:r>
            <w:r w:rsidR="00332351">
              <w:rPr>
                <w:b/>
                <w:color w:val="auto"/>
              </w:rPr>
              <w:t>02.09.2019.)</w:t>
            </w:r>
          </w:p>
          <w:p w14:paraId="0FEE1EA5" w14:textId="5CC2E4F3" w:rsidR="00680B2C" w:rsidRPr="001D3323" w:rsidRDefault="00680B2C" w:rsidP="00680B2C">
            <w:pPr>
              <w:pStyle w:val="Default"/>
              <w:spacing w:after="60"/>
              <w:rPr>
                <w:b/>
                <w:color w:val="auto"/>
              </w:rPr>
            </w:pPr>
            <w:r>
              <w:t>Ņemot vērā to, ka Noteikumu projekts vēl nav pieņemts un Valsts zemes dienestam nebūs iespējams nekavējoties nodrošināt informācijas tehnoloģiju risinājumus Nekustamā īpašuma valsts kadastra informācijas sistēmas datu nodošanai Valsts nekustamā īpašuma informācijas sistēmai, nepieciešams paredzēt, ka projekts stājas spēkā 2020. gada 1. februārī. Attiecīgi ir precizējama arī anotācija. Vienlaikus informējam, ka, ja projekta pieņemšana kavēsies, projekta spēkā stāšanās termiņu var būt nepieciešams pagarināt uz vēl vēlāku laiku.</w:t>
            </w:r>
          </w:p>
        </w:tc>
        <w:tc>
          <w:tcPr>
            <w:tcW w:w="2892" w:type="dxa"/>
            <w:gridSpan w:val="2"/>
          </w:tcPr>
          <w:p w14:paraId="3D1A65A0" w14:textId="3487545C" w:rsidR="00680B2C" w:rsidRPr="001D3323" w:rsidRDefault="00680B2C" w:rsidP="00680B2C">
            <w:pPr>
              <w:spacing w:after="60"/>
              <w:rPr>
                <w:b/>
              </w:rPr>
            </w:pPr>
            <w:r w:rsidRPr="0095287E">
              <w:rPr>
                <w:b/>
              </w:rPr>
              <w:t>Ņemts vērā.</w:t>
            </w:r>
          </w:p>
        </w:tc>
        <w:tc>
          <w:tcPr>
            <w:tcW w:w="3491" w:type="dxa"/>
          </w:tcPr>
          <w:p w14:paraId="35E92D7C" w14:textId="35762507" w:rsidR="00E660B7" w:rsidRPr="007E46DC" w:rsidRDefault="007E46DC" w:rsidP="0001056B">
            <w:pPr>
              <w:jc w:val="both"/>
              <w:rPr>
                <w:u w:val="single"/>
              </w:rPr>
            </w:pPr>
            <w:r w:rsidRPr="007E46DC">
              <w:rPr>
                <w:u w:val="single"/>
              </w:rPr>
              <w:t>2.</w:t>
            </w:r>
            <w:r w:rsidRPr="007E46DC">
              <w:rPr>
                <w:u w:val="single"/>
              </w:rPr>
              <w:t> Šo noteikumu 1.9. un 1.13. apakšpunkts stājas spēkā 2021. gada 1. janvārī</w:t>
            </w:r>
            <w:r w:rsidR="0001056B" w:rsidRPr="007E46DC">
              <w:rPr>
                <w:u w:val="single"/>
              </w:rPr>
              <w:t>.</w:t>
            </w:r>
          </w:p>
          <w:p w14:paraId="107751D7" w14:textId="77777777" w:rsidR="007E46DC" w:rsidRPr="007E46DC" w:rsidRDefault="007E46DC" w:rsidP="0001056B">
            <w:pPr>
              <w:jc w:val="both"/>
              <w:rPr>
                <w:u w:val="single"/>
              </w:rPr>
            </w:pPr>
          </w:p>
          <w:p w14:paraId="38B9821E" w14:textId="6E33382C" w:rsidR="00E660B7" w:rsidRPr="007E46DC" w:rsidRDefault="00E660B7" w:rsidP="0001056B">
            <w:pPr>
              <w:jc w:val="both"/>
              <w:rPr>
                <w:u w:val="single"/>
              </w:rPr>
            </w:pPr>
            <w:r w:rsidRPr="007E46DC">
              <w:t>Precizēts anotācijas teksts.</w:t>
            </w:r>
          </w:p>
        </w:tc>
      </w:tr>
      <w:tr w:rsidR="003E2971" w:rsidRPr="0095287E" w14:paraId="23E66749" w14:textId="77777777" w:rsidTr="001A77C9">
        <w:trPr>
          <w:jc w:val="center"/>
        </w:trPr>
        <w:tc>
          <w:tcPr>
            <w:tcW w:w="781" w:type="dxa"/>
          </w:tcPr>
          <w:p w14:paraId="2A3861FD" w14:textId="5B4E0C8E" w:rsidR="003E2971" w:rsidRPr="001D3323" w:rsidRDefault="005017DC" w:rsidP="003E312D">
            <w:pPr>
              <w:jc w:val="center"/>
            </w:pPr>
            <w:r>
              <w:t>7</w:t>
            </w:r>
            <w:r w:rsidR="003E2971" w:rsidRPr="001D3323">
              <w:t>.</w:t>
            </w:r>
          </w:p>
        </w:tc>
        <w:tc>
          <w:tcPr>
            <w:tcW w:w="3490" w:type="dxa"/>
            <w:gridSpan w:val="2"/>
          </w:tcPr>
          <w:p w14:paraId="5013EB65" w14:textId="1E2F2946" w:rsidR="003E2971" w:rsidRPr="001D3323" w:rsidRDefault="003E2971" w:rsidP="003E312D">
            <w:pPr>
              <w:spacing w:after="60"/>
              <w:jc w:val="center"/>
            </w:pPr>
            <w:r w:rsidRPr="001D3323">
              <w:t>–</w:t>
            </w:r>
          </w:p>
        </w:tc>
        <w:tc>
          <w:tcPr>
            <w:tcW w:w="4088" w:type="dxa"/>
            <w:gridSpan w:val="2"/>
          </w:tcPr>
          <w:p w14:paraId="03B09E9B" w14:textId="312D1E54" w:rsidR="003E2971" w:rsidRPr="001D3323" w:rsidRDefault="003E2971" w:rsidP="003E2971">
            <w:pPr>
              <w:pStyle w:val="Default"/>
              <w:spacing w:after="60"/>
              <w:rPr>
                <w:b/>
                <w:color w:val="auto"/>
              </w:rPr>
            </w:pPr>
            <w:r w:rsidRPr="001D3323">
              <w:rPr>
                <w:b/>
                <w:color w:val="auto"/>
              </w:rPr>
              <w:t>Aizsardzības ministrija (priekšlikums)</w:t>
            </w:r>
          </w:p>
          <w:p w14:paraId="273A5C48" w14:textId="55487451" w:rsidR="003E2971" w:rsidRPr="001D3323" w:rsidRDefault="003E2971" w:rsidP="001D3323">
            <w:pPr>
              <w:pStyle w:val="Default"/>
              <w:spacing w:after="60"/>
              <w:jc w:val="both"/>
              <w:rPr>
                <w:color w:val="auto"/>
              </w:rPr>
            </w:pPr>
            <w:r w:rsidRPr="001D3323">
              <w:rPr>
                <w:color w:val="auto"/>
              </w:rPr>
              <w:t xml:space="preserve">Saskaņā Noteikumu 3.punktu, ja publiskas personas funkciju nodrošināšanai nepieciešams nomāt nekustamo īpašumu no privātpersonas un nepastāv neviens no </w:t>
            </w:r>
            <w:proofErr w:type="spellStart"/>
            <w:r w:rsidRPr="001D3323">
              <w:rPr>
                <w:color w:val="auto"/>
              </w:rPr>
              <w:t>Mk</w:t>
            </w:r>
            <w:proofErr w:type="spellEnd"/>
            <w:r w:rsidRPr="001D3323">
              <w:rPr>
                <w:color w:val="auto"/>
              </w:rPr>
              <w:t>. 29.10.2013. noteikumu Nr. 1191 2.punktā minētajiem izņēmumiem, nomas objekta atlasē piemērojama noteikumos paredzētā procedūra. Ņemot vērā nozares specifiku un uzsāktos infrastruktūras attīstības projektus, ierosinājums būtu noteikt izņēmumu (līdzīgi kā valsts drošības iestādēm (2.13.apakšpunkts) un tiesu un zemesgrāmatu iestādēm (2.15.apakšpunkts) un papildināt noteikumu 2.punktu ar 2.18. apakšpunktu šādā iespējamā redakcijā: „</w:t>
            </w:r>
            <w:r w:rsidRPr="001D3323">
              <w:rPr>
                <w:i/>
                <w:iCs/>
                <w:color w:val="auto"/>
              </w:rPr>
              <w:t>2.18. nomā nekustamo īpašumu valsts aizsardzības vajadzībām</w:t>
            </w:r>
            <w:r w:rsidRPr="001D3323">
              <w:rPr>
                <w:color w:val="auto"/>
              </w:rPr>
              <w:t>”.</w:t>
            </w:r>
            <w:r w:rsidR="001D3323" w:rsidRPr="001D3323">
              <w:rPr>
                <w:color w:val="auto"/>
              </w:rPr>
              <w:t xml:space="preserve"> </w:t>
            </w:r>
            <w:r w:rsidRPr="001D3323">
              <w:rPr>
                <w:color w:val="auto"/>
              </w:rPr>
              <w:t>Izņēmums būtu nepieciešams saistībā ar šobrīd un nākotnē īstenojamo infrastruktūras objektu attīstību, kad uz noteiktu laiku, lai nodrošinātu aizsardzības projektu īstenošanu, nepieciešams nomāt nekustamo īpašumu no privātpersonām. Pamatā nekustamie īpašumi, kas tiek identificēti kā nomai nepieciešamie,  tiek atlasīti specifiski konkrētu aizsardzības projektu īstenošanai, jo alternatīvi risinājumi/piedāvājumi nav iespējami, proti, aizsardzības vajadzībām nomai nepieciešamie īpašumi tiek konkrēti identificēti (izriet no stratēģiskās, taktiskās plānošanas vajadzībām). Tas ir arī saistīts ar uzņemošās valsts atbalsta sniegšanu, kad nepieciešams nodrošināt operatīvu ienākošo spēku uzņemšanu.</w:t>
            </w:r>
          </w:p>
        </w:tc>
        <w:tc>
          <w:tcPr>
            <w:tcW w:w="2892" w:type="dxa"/>
            <w:gridSpan w:val="2"/>
          </w:tcPr>
          <w:p w14:paraId="04F300CA" w14:textId="6B2586C9" w:rsidR="003E2971" w:rsidRPr="001D3323" w:rsidRDefault="003E2971" w:rsidP="003E312D">
            <w:pPr>
              <w:spacing w:after="60"/>
              <w:rPr>
                <w:b/>
              </w:rPr>
            </w:pPr>
            <w:r w:rsidRPr="001D3323">
              <w:rPr>
                <w:b/>
              </w:rPr>
              <w:t>Ņemts vērā.</w:t>
            </w:r>
          </w:p>
        </w:tc>
        <w:tc>
          <w:tcPr>
            <w:tcW w:w="3491" w:type="dxa"/>
          </w:tcPr>
          <w:p w14:paraId="2752176B" w14:textId="07F569B4" w:rsidR="001E7057" w:rsidRPr="001D3323" w:rsidRDefault="00332351" w:rsidP="001E7057">
            <w:pPr>
              <w:jc w:val="both"/>
            </w:pPr>
            <w:r>
              <w:t>1.3</w:t>
            </w:r>
            <w:r w:rsidR="001E7057" w:rsidRPr="001D3323">
              <w:t>. papildināt noteikumus ar 2.17. un 2.18. apakšpunktu šādā redakcijā:</w:t>
            </w:r>
          </w:p>
          <w:p w14:paraId="13593BC4" w14:textId="77777777" w:rsidR="001E7057" w:rsidRPr="001D3323" w:rsidRDefault="001E7057" w:rsidP="001E7057">
            <w:pPr>
              <w:jc w:val="both"/>
            </w:pPr>
            <w:r w:rsidRPr="001D3323">
              <w:t>“</w:t>
            </w:r>
            <w:r w:rsidRPr="001D3323">
              <w:rPr>
                <w:u w:val="single"/>
              </w:rPr>
              <w:t>2.17.nomā nekustamo īpašumu valsts aizsardzības vajadzībām;</w:t>
            </w:r>
          </w:p>
          <w:p w14:paraId="622375BE" w14:textId="77777777" w:rsidR="003E2971" w:rsidRDefault="001E7057" w:rsidP="001E7057">
            <w:pPr>
              <w:jc w:val="both"/>
            </w:pPr>
            <w:r w:rsidRPr="001D3323">
              <w:t>2.18. nomā objektu, kura platība nepārsniedz 10 procentus no nomniekam sākotnēji iznomātās platības tajā pašā nekustamajā īpašumā. Šādā gadījumā nomas līgumu slēdz uz termiņu, kas nepārsniedz atlikušo noslēgtā nomas līguma termiņu. Visā nomas periodā kopējā papildus nomātā platība nedrīkst pārsniegt 50 procentus no nomniekam sākotnēji iznomātās platības tajā pašā nekustamajā īpašumā.”;</w:t>
            </w:r>
          </w:p>
          <w:p w14:paraId="7971F58F" w14:textId="3CF39C33" w:rsidR="001D3323" w:rsidRPr="001D3323" w:rsidRDefault="001D3323" w:rsidP="001D3323">
            <w:pPr>
              <w:spacing w:before="120"/>
              <w:jc w:val="both"/>
            </w:pPr>
            <w:r w:rsidRPr="0095287E">
              <w:t>Precizēts anotācijas teksts.</w:t>
            </w:r>
          </w:p>
        </w:tc>
      </w:tr>
      <w:tr w:rsidR="0095287E" w:rsidRPr="0095287E" w14:paraId="6A709835" w14:textId="77777777" w:rsidTr="001A77C9">
        <w:trPr>
          <w:jc w:val="center"/>
        </w:trPr>
        <w:tc>
          <w:tcPr>
            <w:tcW w:w="781" w:type="dxa"/>
          </w:tcPr>
          <w:p w14:paraId="7F80CFAF" w14:textId="2ED290A4" w:rsidR="003E312D" w:rsidRPr="0095287E" w:rsidRDefault="005017DC" w:rsidP="003E312D">
            <w:pPr>
              <w:jc w:val="center"/>
            </w:pPr>
            <w:r>
              <w:t>8</w:t>
            </w:r>
            <w:r w:rsidR="00DD10B2" w:rsidRPr="003E2971">
              <w:t>.</w:t>
            </w:r>
          </w:p>
        </w:tc>
        <w:tc>
          <w:tcPr>
            <w:tcW w:w="3490" w:type="dxa"/>
            <w:gridSpan w:val="2"/>
          </w:tcPr>
          <w:p w14:paraId="0BAC5660" w14:textId="77777777" w:rsidR="003E312D" w:rsidRPr="0095287E" w:rsidRDefault="003E312D" w:rsidP="003E312D">
            <w:pPr>
              <w:spacing w:after="60"/>
              <w:jc w:val="center"/>
            </w:pPr>
            <w:r w:rsidRPr="0095287E">
              <w:t>–</w:t>
            </w:r>
          </w:p>
        </w:tc>
        <w:tc>
          <w:tcPr>
            <w:tcW w:w="4088" w:type="dxa"/>
            <w:gridSpan w:val="2"/>
          </w:tcPr>
          <w:p w14:paraId="6D7A66A1" w14:textId="77777777" w:rsidR="003E312D" w:rsidRPr="0095287E" w:rsidRDefault="003E312D" w:rsidP="003E312D">
            <w:pPr>
              <w:pStyle w:val="Default"/>
              <w:spacing w:after="60"/>
              <w:jc w:val="both"/>
              <w:rPr>
                <w:b/>
                <w:color w:val="auto"/>
              </w:rPr>
            </w:pPr>
            <w:r w:rsidRPr="0095287E">
              <w:rPr>
                <w:b/>
                <w:color w:val="auto"/>
              </w:rPr>
              <w:t>Ekonomikas ministrija</w:t>
            </w:r>
          </w:p>
          <w:p w14:paraId="0BC032D1" w14:textId="77777777" w:rsidR="003E312D" w:rsidRPr="0095287E" w:rsidRDefault="003E312D" w:rsidP="003E312D">
            <w:pPr>
              <w:spacing w:after="60"/>
              <w:jc w:val="both"/>
            </w:pPr>
            <w:bookmarkStart w:id="0" w:name="_Hlk523485824"/>
            <w:r w:rsidRPr="0095287E">
              <w:t xml:space="preserve">Informējam, ka saskaņā ar Ēku energoefektivitātes likuma 14. panta trešo daļu valsts pērk vai nomā tikai tādas ēkas, kas atbilst minētā likuma 4. pantā noteiktajām energoefektivitātes minimālajām prasībām, ko apliecina ēkas </w:t>
            </w:r>
            <w:proofErr w:type="spellStart"/>
            <w:r w:rsidRPr="0095287E">
              <w:t>energosertifikāts</w:t>
            </w:r>
            <w:proofErr w:type="spellEnd"/>
            <w:r w:rsidRPr="0095287E">
              <w:t xml:space="preserve">. Ēku energoefektivitātes likuma 14. panta ceturtā un piektā daļa noteic izņēmumus, kad šā panta trešās daļas nosacījumus var nepiemērot. </w:t>
            </w:r>
          </w:p>
          <w:p w14:paraId="676A2702" w14:textId="77777777" w:rsidR="003E312D" w:rsidRPr="0095287E" w:rsidRDefault="003E312D" w:rsidP="003E312D">
            <w:pPr>
              <w:spacing w:after="60"/>
              <w:jc w:val="both"/>
            </w:pPr>
            <w:r w:rsidRPr="0095287E">
              <w:t xml:space="preserve">Vēršam uzmanību, ka šobrīd spēkā esošie Ministru kabineta 2013.gada 29.oktobra noteikumi Nr.1191 “Kārtība, kādā publiska persona nomā nekustamo īpašumu no privātpersonas vai kapitālsabiedrības un publicē informāciju par nomātajiem un nomāt paredzētajiem nekustamajiem īpašumiem” skaidri neparedz šādu valsts pienākumu prasīt iznomājamā īpašuma atbilstību energoefektivitātes minimālajām prasībām, ko apliecina ēkas </w:t>
            </w:r>
            <w:proofErr w:type="spellStart"/>
            <w:r w:rsidRPr="0095287E">
              <w:t>energosertifikāts</w:t>
            </w:r>
            <w:proofErr w:type="spellEnd"/>
            <w:r w:rsidRPr="0095287E">
              <w:t>.</w:t>
            </w:r>
          </w:p>
          <w:p w14:paraId="6E676292" w14:textId="77777777" w:rsidR="003E312D" w:rsidRPr="0095287E" w:rsidRDefault="003E312D" w:rsidP="003E312D">
            <w:pPr>
              <w:spacing w:after="120"/>
              <w:jc w:val="both"/>
            </w:pPr>
            <w:r w:rsidRPr="0095287E">
              <w:t>Ņemot vērā minēto, lūdzam papildināt Noteikumu projektu ar regulējumu, kas nodrošinās Ēku energoefektivitātes likuma 14. panta trešās daļas ievērošanu. Vienlaikus vēršam uzmanību, ka nomātās ēkas vai tās daļas energoefektivitātes rādītājus būtu nepieciešams publicēt, tādējādi nodrošinot pārskatāmu informāciju par valsts nomāto ēku vai to daļu atbilstību energoefektivitātes minimālajām prasībām.</w:t>
            </w:r>
          </w:p>
          <w:p w14:paraId="0F3D7BFE" w14:textId="77777777" w:rsidR="003E312D" w:rsidRPr="0095287E" w:rsidRDefault="003E312D" w:rsidP="003E312D">
            <w:pPr>
              <w:spacing w:after="60"/>
            </w:pPr>
            <w:r w:rsidRPr="0095287E">
              <w:rPr>
                <w:b/>
              </w:rPr>
              <w:t>Ekonomikas ministrija (priekšlikums)</w:t>
            </w:r>
          </w:p>
          <w:p w14:paraId="44CA89FA" w14:textId="77777777" w:rsidR="003E312D" w:rsidRPr="0095287E" w:rsidRDefault="003E312D" w:rsidP="003E312D">
            <w:pPr>
              <w:spacing w:after="60"/>
              <w:jc w:val="both"/>
            </w:pPr>
            <w:r w:rsidRPr="0095287E">
              <w:t xml:space="preserve">Virzot Noteikumu projektu, nevajadzētu aizmirst arī par citām lietām, kas nav šobrīd paredzētas noteikumos, bet publiskai personai ir pienākums ievērot. Piemēram, saskaņā ar Ēku energoefektivitātes likuma 7. panta pirmās daļas 5. punktu ēkas </w:t>
            </w:r>
            <w:proofErr w:type="spellStart"/>
            <w:r w:rsidRPr="0095287E">
              <w:t>energosertifikācija</w:t>
            </w:r>
            <w:proofErr w:type="spellEnd"/>
            <w:r w:rsidRPr="0095287E">
              <w:t xml:space="preserve"> veicama arī valsts vai pašvaldības īpašumā vai valsts vai pašvaldības lietošanā nodotai publiskai ēkai, kuras kopējā telpu platība pārsniedz 250 kvadrātmetrus. Līdz ar to, ja tiek nomāta šāda izmēra ēka, valstij un pašvaldībai pašai vai vienojoties ar iznomātāju ir jānodrošina ēkas </w:t>
            </w:r>
            <w:proofErr w:type="spellStart"/>
            <w:r w:rsidRPr="0095287E">
              <w:t>energosertifikācijas</w:t>
            </w:r>
            <w:proofErr w:type="spellEnd"/>
            <w:r w:rsidRPr="0095287E">
              <w:t xml:space="preserve"> veikšana, kas, savukārt, var radīt ietekmi uz budžetu.</w:t>
            </w:r>
            <w:bookmarkEnd w:id="0"/>
          </w:p>
        </w:tc>
        <w:tc>
          <w:tcPr>
            <w:tcW w:w="2892" w:type="dxa"/>
            <w:gridSpan w:val="2"/>
          </w:tcPr>
          <w:p w14:paraId="248C40A7" w14:textId="77777777" w:rsidR="003E312D" w:rsidRPr="0095287E" w:rsidRDefault="003E312D" w:rsidP="003E312D">
            <w:pPr>
              <w:spacing w:after="60"/>
              <w:rPr>
                <w:b/>
              </w:rPr>
            </w:pPr>
            <w:r w:rsidRPr="0095287E">
              <w:rPr>
                <w:b/>
              </w:rPr>
              <w:t>Ņemts vērā.</w:t>
            </w:r>
          </w:p>
          <w:p w14:paraId="13C6154F" w14:textId="6A5DB64D" w:rsidR="00A64477" w:rsidRPr="0095287E" w:rsidRDefault="00354AAE" w:rsidP="00354AAE">
            <w:pPr>
              <w:spacing w:after="60"/>
              <w:jc w:val="both"/>
              <w:rPr>
                <w:bCs/>
              </w:rPr>
            </w:pPr>
            <w:r w:rsidRPr="0095287E">
              <w:rPr>
                <w:bCs/>
              </w:rPr>
              <w:t>Projek</w:t>
            </w:r>
            <w:r w:rsidR="003C7FD5" w:rsidRPr="0095287E">
              <w:rPr>
                <w:bCs/>
              </w:rPr>
              <w:t>t</w:t>
            </w:r>
            <w:r w:rsidRPr="0095287E">
              <w:rPr>
                <w:bCs/>
              </w:rPr>
              <w:t>ā paredzēts pienākums nomas sludinājumā par nomas objektu valsts iestādei norādīt prasību nomas objektam atbilst Ēk</w:t>
            </w:r>
            <w:r w:rsidR="001019AD">
              <w:rPr>
                <w:bCs/>
              </w:rPr>
              <w:t>u energoefektivitātes likuma 4.</w:t>
            </w:r>
            <w:r w:rsidRPr="0095287E">
              <w:rPr>
                <w:bCs/>
              </w:rPr>
              <w:t xml:space="preserve">pantā noteiktajām energoefektivitātes minimālajām prasībām (ja prasība attiecināma), nomas pretendentam iesniegt prasību apliecinošu ēkas </w:t>
            </w:r>
            <w:proofErr w:type="spellStart"/>
            <w:r w:rsidRPr="0095287E">
              <w:rPr>
                <w:bCs/>
              </w:rPr>
              <w:t>energosertifikātu</w:t>
            </w:r>
            <w:proofErr w:type="spellEnd"/>
            <w:r w:rsidRPr="0095287E">
              <w:rPr>
                <w:bCs/>
              </w:rPr>
              <w:t xml:space="preserve">, kā arī paredzēts valsts iestādes pienākums valsts akciju sabiedrības “Valsts nekustamie īpašumi” un savā tīmekļvietnē (ja tāda ir) 10 darbdienu laikā pēc nomas līguma noslēgšanas publicēt informāciju par  nomas objekta atbilstību </w:t>
            </w:r>
            <w:r w:rsidRPr="001019AD">
              <w:rPr>
                <w:bCs/>
              </w:rPr>
              <w:t>minētajām prasībām, norādot energoefektivitātes rādītājus</w:t>
            </w:r>
            <w:r w:rsidR="00AD1C3F" w:rsidRPr="001019AD">
              <w:rPr>
                <w:bCs/>
              </w:rPr>
              <w:t>, vai pamatojumu, kas apliecina kāda no Ēku energoefektivitātes likuma 14.panta piektā daļā minētā nosacījuma esamību</w:t>
            </w:r>
            <w:r w:rsidRPr="001019AD">
              <w:rPr>
                <w:bCs/>
              </w:rPr>
              <w:t>.</w:t>
            </w:r>
          </w:p>
          <w:p w14:paraId="065610F7" w14:textId="77777777" w:rsidR="00A64477" w:rsidRPr="0095287E" w:rsidRDefault="00A64477" w:rsidP="009F3688">
            <w:pPr>
              <w:rPr>
                <w:b/>
              </w:rPr>
            </w:pPr>
          </w:p>
          <w:p w14:paraId="4E638870" w14:textId="77777777" w:rsidR="00A64477" w:rsidRPr="0095287E" w:rsidRDefault="00A64477" w:rsidP="009F3688">
            <w:pPr>
              <w:rPr>
                <w:b/>
              </w:rPr>
            </w:pPr>
          </w:p>
          <w:p w14:paraId="5A8D0E11" w14:textId="77777777" w:rsidR="00A64477" w:rsidRPr="0095287E" w:rsidRDefault="00A64477" w:rsidP="009F3688">
            <w:pPr>
              <w:rPr>
                <w:b/>
              </w:rPr>
            </w:pPr>
          </w:p>
          <w:p w14:paraId="69777940" w14:textId="77777777" w:rsidR="00A64477" w:rsidRPr="0095287E" w:rsidRDefault="00A64477" w:rsidP="009F3688">
            <w:pPr>
              <w:rPr>
                <w:b/>
              </w:rPr>
            </w:pPr>
          </w:p>
          <w:p w14:paraId="0506FECB" w14:textId="77777777" w:rsidR="00AD1C3F" w:rsidRPr="0095287E" w:rsidRDefault="00AD1C3F" w:rsidP="009F3688">
            <w:pPr>
              <w:jc w:val="both"/>
              <w:rPr>
                <w:b/>
              </w:rPr>
            </w:pPr>
          </w:p>
          <w:p w14:paraId="7F6E2117" w14:textId="77777777" w:rsidR="00AD1C3F" w:rsidRPr="0095287E" w:rsidRDefault="00AD1C3F" w:rsidP="009F3688">
            <w:pPr>
              <w:jc w:val="both"/>
              <w:rPr>
                <w:b/>
              </w:rPr>
            </w:pPr>
          </w:p>
          <w:p w14:paraId="5AA060EC" w14:textId="5ACE7395" w:rsidR="00AD1C3F" w:rsidRDefault="00AD1C3F" w:rsidP="00777862">
            <w:pPr>
              <w:spacing w:after="120"/>
              <w:jc w:val="both"/>
              <w:rPr>
                <w:b/>
              </w:rPr>
            </w:pPr>
          </w:p>
          <w:p w14:paraId="729F5F1C" w14:textId="6B971701" w:rsidR="00A64477" w:rsidRPr="0095287E" w:rsidRDefault="00A64477" w:rsidP="00A64477">
            <w:pPr>
              <w:spacing w:after="60"/>
              <w:jc w:val="both"/>
              <w:rPr>
                <w:bCs/>
              </w:rPr>
            </w:pPr>
            <w:r w:rsidRPr="0095287E">
              <w:rPr>
                <w:b/>
              </w:rPr>
              <w:t>Priekšlikums izvērtēts.</w:t>
            </w:r>
            <w:r w:rsidRPr="0095287E">
              <w:t xml:space="preserve"> </w:t>
            </w:r>
            <w:r w:rsidRPr="0095287E">
              <w:rPr>
                <w:bCs/>
              </w:rPr>
              <w:t>Ministru kabineta 2013.gada 29.oktobra noteikumi Nr.1191 “Kārtība, kādā publiska persona nomā nekustamo īpašumu no privātpersonas vai kapitālsabiedrības un publicē informāciju par nomātajiem un nomāt paredzētajiem nekustamajiem īpašumiem” nenosaka kārtību, kādā iznomā publiskas personas nekustamo īpašumu.</w:t>
            </w:r>
          </w:p>
          <w:p w14:paraId="291C1955" w14:textId="13F68029" w:rsidR="00A64477" w:rsidRPr="0095287E" w:rsidRDefault="00A64477" w:rsidP="003E312D">
            <w:pPr>
              <w:spacing w:after="60"/>
              <w:rPr>
                <w:b/>
              </w:rPr>
            </w:pPr>
          </w:p>
        </w:tc>
        <w:tc>
          <w:tcPr>
            <w:tcW w:w="3491" w:type="dxa"/>
          </w:tcPr>
          <w:p w14:paraId="364B0221" w14:textId="4954F433" w:rsidR="00F60305" w:rsidRPr="001019AD" w:rsidRDefault="00F60305" w:rsidP="00FB7CC2">
            <w:pPr>
              <w:spacing w:after="120"/>
              <w:jc w:val="both"/>
            </w:pPr>
            <w:r w:rsidRPr="001019AD">
              <w:t>1.</w:t>
            </w:r>
            <w:r w:rsidR="00332351">
              <w:t>5</w:t>
            </w:r>
            <w:r w:rsidR="00EE6DD4">
              <w:t>. papildināt 9.6.apakšpunktu</w:t>
            </w:r>
            <w:r w:rsidRPr="001019AD">
              <w:t xml:space="preserve"> ar vārdiem un skaitļiem “</w:t>
            </w:r>
            <w:r w:rsidR="0016772D">
              <w:t xml:space="preserve">ēkas energoefektivitātes rādītājus, klasi </w:t>
            </w:r>
            <w:r w:rsidRPr="001019AD">
              <w:t xml:space="preserve">un </w:t>
            </w:r>
            <w:r w:rsidR="0016772D">
              <w:t xml:space="preserve">informāciju par ēkas atbilstību </w:t>
            </w:r>
            <w:r w:rsidRPr="001019AD">
              <w:t>Ēku energoefektivitātes likuma 4.</w:t>
            </w:r>
            <w:r w:rsidR="004E7FAD">
              <w:t> </w:t>
            </w:r>
            <w:r w:rsidRPr="001019AD">
              <w:t>pantā noteiktajām energoefektivitātes minimālajām prasībām”;</w:t>
            </w:r>
          </w:p>
          <w:p w14:paraId="1715FF86" w14:textId="4AE26364" w:rsidR="005627A3" w:rsidRPr="001019AD" w:rsidRDefault="005627A3" w:rsidP="005627A3">
            <w:pPr>
              <w:jc w:val="both"/>
            </w:pPr>
            <w:r w:rsidRPr="001019AD">
              <w:t>1.</w:t>
            </w:r>
            <w:r w:rsidR="00332351">
              <w:t>7</w:t>
            </w:r>
            <w:r w:rsidR="00FB7CC2">
              <w:t>. </w:t>
            </w:r>
            <w:r w:rsidRPr="001019AD">
              <w:t>izteikt 11.4.apakšpunktu šādā redakcijā:</w:t>
            </w:r>
          </w:p>
          <w:p w14:paraId="64770DB8" w14:textId="207F28A3" w:rsidR="005627A3" w:rsidRPr="001019AD" w:rsidRDefault="005627A3" w:rsidP="00FB7CC2">
            <w:pPr>
              <w:spacing w:after="120"/>
              <w:jc w:val="both"/>
            </w:pPr>
            <w:r w:rsidRPr="001019AD">
              <w:t>“11.4.</w:t>
            </w:r>
            <w:r w:rsidR="00FB7CC2">
              <w:t> </w:t>
            </w:r>
            <w:r w:rsidRPr="001019AD">
              <w:t xml:space="preserve">iznomājamā nekustamā īpašuma aprakstu, tai skaitā </w:t>
            </w:r>
            <w:r w:rsidR="00A5039B">
              <w:t xml:space="preserve">ēkas energoefektivitātes rādītājus, klasi un </w:t>
            </w:r>
            <w:r w:rsidRPr="001019AD">
              <w:t xml:space="preserve">informāciju par ēkas atbilstību Ēku energoefektivitātes likuma 4.pantā noteiktajām energoefektivitātes minimālajām prasībām </w:t>
            </w:r>
            <w:r w:rsidR="00A5039B">
              <w:t>(</w:t>
            </w:r>
            <w:r w:rsidRPr="001019AD">
              <w:t xml:space="preserve">pievienojot ēkas </w:t>
            </w:r>
            <w:proofErr w:type="spellStart"/>
            <w:r w:rsidRPr="001019AD">
              <w:t>energosertifikātu</w:t>
            </w:r>
            <w:proofErr w:type="spellEnd"/>
            <w:r w:rsidRPr="001019AD">
              <w:t xml:space="preserve"> </w:t>
            </w:r>
            <w:r w:rsidR="00A5039B">
              <w:t xml:space="preserve">vai pagaidu </w:t>
            </w:r>
            <w:proofErr w:type="spellStart"/>
            <w:r w:rsidR="00A5039B">
              <w:t>energosertifikātu</w:t>
            </w:r>
            <w:proofErr w:type="spellEnd"/>
            <w:r w:rsidR="00A5039B">
              <w:t>, kas reģistrēts Būvniecības informācijas sistēmā)</w:t>
            </w:r>
            <w:r w:rsidRPr="001019AD">
              <w:t>, informāciju par piedāvātā nekustamā īpašuma tehnisko stāvokli, pievienojot fotoattēlus, telpu plānojumu un citu informāciju, kas var raksturot piedāvāto nomas objektu;”;</w:t>
            </w:r>
          </w:p>
          <w:p w14:paraId="63FC1969" w14:textId="2326CE1B" w:rsidR="00BB48A9" w:rsidRPr="001019AD" w:rsidRDefault="00BB48A9" w:rsidP="00BB48A9">
            <w:pPr>
              <w:jc w:val="both"/>
            </w:pPr>
            <w:r w:rsidRPr="001019AD">
              <w:t>1.</w:t>
            </w:r>
            <w:r w:rsidR="00332351">
              <w:t>11</w:t>
            </w:r>
            <w:r w:rsidR="00FB7CC2">
              <w:t>. </w:t>
            </w:r>
            <w:r w:rsidRPr="001019AD">
              <w:t>papildināt noteikumus ar 17.8.apakšpunktu šādā redakcijā:</w:t>
            </w:r>
          </w:p>
          <w:p w14:paraId="43C64CD7" w14:textId="495CB3F0" w:rsidR="00255558" w:rsidRPr="001019AD" w:rsidRDefault="004E7FAD" w:rsidP="00BB48A9">
            <w:pPr>
              <w:jc w:val="both"/>
            </w:pPr>
            <w:r>
              <w:t>“17.8. </w:t>
            </w:r>
            <w:r w:rsidR="00695D3F">
              <w:t xml:space="preserve">ēkas energoefektivitātes rādītājus, klasi un informāciju par </w:t>
            </w:r>
            <w:r w:rsidR="0016772D">
              <w:t>ēkas</w:t>
            </w:r>
            <w:r w:rsidR="00BB48A9" w:rsidRPr="001019AD">
              <w:t xml:space="preserve"> </w:t>
            </w:r>
            <w:r w:rsidR="00BB48A9" w:rsidRPr="001019AD">
              <w:t xml:space="preserve">atbilstību Ēku </w:t>
            </w:r>
            <w:r w:rsidR="00BB48A9" w:rsidRPr="001019AD">
              <w:t>energoefektivitātes likuma 4.</w:t>
            </w:r>
            <w:r>
              <w:t> </w:t>
            </w:r>
            <w:r w:rsidR="00BB48A9" w:rsidRPr="001019AD">
              <w:t xml:space="preserve">pantā noteiktajām energoefektivitātes minimālajām prasībām, </w:t>
            </w:r>
            <w:r w:rsidR="00AD1C3F" w:rsidRPr="001019AD">
              <w:t>vai pamatojumu, kas apliecina kāda no Ēku energoefektivitātes likuma 14.panta piektā daļā minētā nosacījuma esamību</w:t>
            </w:r>
            <w:r w:rsidR="00BB48A9" w:rsidRPr="001019AD">
              <w:t>.”;</w:t>
            </w:r>
          </w:p>
          <w:p w14:paraId="6861A349" w14:textId="6E4B5319" w:rsidR="001019AD" w:rsidRPr="001019AD" w:rsidRDefault="001019AD" w:rsidP="00BB48A9">
            <w:pPr>
              <w:jc w:val="both"/>
            </w:pPr>
          </w:p>
          <w:p w14:paraId="4BB7BA51" w14:textId="5E212883" w:rsidR="001019AD" w:rsidRPr="001019AD" w:rsidRDefault="004E7FAD" w:rsidP="001019AD">
            <w:pPr>
              <w:jc w:val="both"/>
              <w:rPr>
                <w:u w:val="single"/>
              </w:rPr>
            </w:pPr>
            <w:r>
              <w:rPr>
                <w:u w:val="single"/>
              </w:rPr>
              <w:t>1.15</w:t>
            </w:r>
            <w:r w:rsidR="001019AD" w:rsidRPr="001019AD">
              <w:rPr>
                <w:u w:val="single"/>
              </w:rPr>
              <w:t>. izteikt pielikuma 4. punktu šādā redakcijā:</w:t>
            </w:r>
          </w:p>
          <w:tbl>
            <w:tblPr>
              <w:tblStyle w:val="TableGrid"/>
              <w:tblW w:w="3225" w:type="dxa"/>
              <w:tblLayout w:type="fixed"/>
              <w:tblLook w:val="04A0" w:firstRow="1" w:lastRow="0" w:firstColumn="1" w:lastColumn="0" w:noHBand="0" w:noVBand="1"/>
            </w:tblPr>
            <w:tblGrid>
              <w:gridCol w:w="537"/>
              <w:gridCol w:w="2408"/>
              <w:gridCol w:w="280"/>
            </w:tblGrid>
            <w:tr w:rsidR="001019AD" w:rsidRPr="001019AD" w14:paraId="3833FDC1" w14:textId="77777777" w:rsidTr="001019AD">
              <w:tc>
                <w:tcPr>
                  <w:tcW w:w="537" w:type="dxa"/>
                </w:tcPr>
                <w:p w14:paraId="62738F90" w14:textId="77777777" w:rsidR="001019AD" w:rsidRPr="001019AD" w:rsidRDefault="001019AD" w:rsidP="001019AD">
                  <w:pPr>
                    <w:jc w:val="center"/>
                    <w:rPr>
                      <w:sz w:val="24"/>
                    </w:rPr>
                  </w:pPr>
                  <w:r w:rsidRPr="001019AD">
                    <w:rPr>
                      <w:sz w:val="24"/>
                    </w:rPr>
                    <w:t>“4.</w:t>
                  </w:r>
                </w:p>
              </w:tc>
              <w:tc>
                <w:tcPr>
                  <w:tcW w:w="2408" w:type="dxa"/>
                </w:tcPr>
                <w:p w14:paraId="065774DD" w14:textId="23081C7A" w:rsidR="001019AD" w:rsidRPr="001019AD" w:rsidRDefault="001019AD" w:rsidP="001019AD">
                  <w:pPr>
                    <w:jc w:val="both"/>
                    <w:rPr>
                      <w:sz w:val="24"/>
                    </w:rPr>
                  </w:pPr>
                  <w:r w:rsidRPr="001019AD">
                    <w:rPr>
                      <w:sz w:val="24"/>
                    </w:rPr>
                    <w:t xml:space="preserve">Nekustamā īpašuma apraksts, tai skaitā, </w:t>
                  </w:r>
                  <w:r w:rsidR="006618B5">
                    <w:rPr>
                      <w:sz w:val="24"/>
                    </w:rPr>
                    <w:t xml:space="preserve">ēkas energoefektivitātes rādītāji, klase un </w:t>
                  </w:r>
                  <w:r w:rsidRPr="001019AD">
                    <w:rPr>
                      <w:sz w:val="24"/>
                    </w:rPr>
                    <w:t xml:space="preserve">informācija par ēkas atbilstību Ēku energoefektivitātes likuma 4.pantā noteiktajām energoefektivitātes minimālajām prasībām (pievienojot ēkas </w:t>
                  </w:r>
                  <w:proofErr w:type="spellStart"/>
                  <w:r w:rsidRPr="001019AD">
                    <w:rPr>
                      <w:sz w:val="24"/>
                    </w:rPr>
                    <w:t>energosertifikātu</w:t>
                  </w:r>
                  <w:proofErr w:type="spellEnd"/>
                  <w:r w:rsidR="006618B5">
                    <w:rPr>
                      <w:sz w:val="24"/>
                    </w:rPr>
                    <w:t xml:space="preserve"> vai pagaidu </w:t>
                  </w:r>
                  <w:proofErr w:type="spellStart"/>
                  <w:r w:rsidR="006618B5">
                    <w:rPr>
                      <w:sz w:val="24"/>
                    </w:rPr>
                    <w:t>energosertifikātu</w:t>
                  </w:r>
                  <w:proofErr w:type="spellEnd"/>
                  <w:r w:rsidR="006618B5">
                    <w:rPr>
                      <w:sz w:val="24"/>
                    </w:rPr>
                    <w:t>, kas reģistrēts Būvniecības informācijas sistēmā</w:t>
                  </w:r>
                  <w:r w:rsidRPr="001019AD">
                    <w:rPr>
                      <w:sz w:val="24"/>
                    </w:rPr>
                    <w:t xml:space="preserve">), informācija par nekustamā </w:t>
                  </w:r>
                  <w:r w:rsidRPr="001019AD">
                    <w:rPr>
                      <w:sz w:val="24"/>
                    </w:rPr>
                    <w:t>īpašuma tehnisko stāvokli (pievienojot fotoattēlus), telpu plānojums un cita informācija, kas var raksturot piedāvāto nomas objektu</w:t>
                  </w:r>
                </w:p>
              </w:tc>
              <w:tc>
                <w:tcPr>
                  <w:tcW w:w="280" w:type="dxa"/>
                </w:tcPr>
                <w:p w14:paraId="642AE4D3" w14:textId="77777777" w:rsidR="001019AD" w:rsidRPr="001019AD" w:rsidRDefault="001019AD" w:rsidP="001019AD">
                  <w:pPr>
                    <w:jc w:val="both"/>
                    <w:rPr>
                      <w:sz w:val="24"/>
                    </w:rPr>
                  </w:pPr>
                </w:p>
                <w:p w14:paraId="5C9968BD" w14:textId="77777777" w:rsidR="001019AD" w:rsidRPr="001019AD" w:rsidRDefault="001019AD" w:rsidP="001019AD">
                  <w:pPr>
                    <w:jc w:val="both"/>
                    <w:rPr>
                      <w:sz w:val="24"/>
                    </w:rPr>
                  </w:pPr>
                </w:p>
                <w:p w14:paraId="0453FEB2" w14:textId="77777777" w:rsidR="001019AD" w:rsidRPr="001019AD" w:rsidRDefault="001019AD" w:rsidP="001019AD">
                  <w:pPr>
                    <w:jc w:val="both"/>
                    <w:rPr>
                      <w:sz w:val="24"/>
                    </w:rPr>
                  </w:pPr>
                </w:p>
                <w:p w14:paraId="255E9296" w14:textId="77777777" w:rsidR="001019AD" w:rsidRPr="001019AD" w:rsidRDefault="001019AD" w:rsidP="001019AD">
                  <w:pPr>
                    <w:jc w:val="both"/>
                    <w:rPr>
                      <w:sz w:val="24"/>
                    </w:rPr>
                  </w:pPr>
                </w:p>
                <w:p w14:paraId="382A4681" w14:textId="77777777" w:rsidR="001019AD" w:rsidRPr="001019AD" w:rsidRDefault="001019AD" w:rsidP="001019AD">
                  <w:pPr>
                    <w:jc w:val="both"/>
                    <w:rPr>
                      <w:sz w:val="24"/>
                    </w:rPr>
                  </w:pPr>
                </w:p>
                <w:p w14:paraId="48DF9DAD" w14:textId="77777777" w:rsidR="001019AD" w:rsidRPr="001019AD" w:rsidRDefault="001019AD" w:rsidP="001019AD">
                  <w:pPr>
                    <w:jc w:val="both"/>
                    <w:rPr>
                      <w:sz w:val="24"/>
                    </w:rPr>
                  </w:pPr>
                </w:p>
                <w:p w14:paraId="45B0D562" w14:textId="77777777" w:rsidR="001019AD" w:rsidRPr="001019AD" w:rsidRDefault="001019AD" w:rsidP="001019AD">
                  <w:pPr>
                    <w:jc w:val="both"/>
                    <w:rPr>
                      <w:sz w:val="24"/>
                    </w:rPr>
                  </w:pPr>
                </w:p>
                <w:p w14:paraId="2BF6DAC8" w14:textId="77777777" w:rsidR="001019AD" w:rsidRPr="001019AD" w:rsidRDefault="001019AD" w:rsidP="001019AD">
                  <w:pPr>
                    <w:jc w:val="right"/>
                    <w:rPr>
                      <w:sz w:val="24"/>
                    </w:rPr>
                  </w:pPr>
                  <w:r w:rsidRPr="001019AD">
                    <w:rPr>
                      <w:sz w:val="24"/>
                    </w:rPr>
                    <w:t>”</w:t>
                  </w:r>
                </w:p>
              </w:tc>
            </w:tr>
          </w:tbl>
          <w:p w14:paraId="36049FBB" w14:textId="6750705B" w:rsidR="00255558" w:rsidRPr="001019AD" w:rsidRDefault="00255558" w:rsidP="001019AD">
            <w:pPr>
              <w:spacing w:before="120" w:after="60"/>
              <w:jc w:val="both"/>
            </w:pPr>
            <w:r w:rsidRPr="001019AD">
              <w:t>Precizēts anotācijas teksts.</w:t>
            </w:r>
          </w:p>
        </w:tc>
      </w:tr>
      <w:tr w:rsidR="0095287E" w:rsidRPr="0095287E" w14:paraId="18C9435D" w14:textId="77777777" w:rsidTr="001A77C9">
        <w:trPr>
          <w:jc w:val="center"/>
        </w:trPr>
        <w:tc>
          <w:tcPr>
            <w:tcW w:w="781" w:type="dxa"/>
          </w:tcPr>
          <w:p w14:paraId="7C8C09D5" w14:textId="2FF8F3BF" w:rsidR="002E6434" w:rsidRPr="0095287E" w:rsidRDefault="005017DC" w:rsidP="002E6434">
            <w:pPr>
              <w:jc w:val="center"/>
            </w:pPr>
            <w:r>
              <w:t>9</w:t>
            </w:r>
            <w:r w:rsidR="00DD10B2" w:rsidRPr="0095287E">
              <w:t>.</w:t>
            </w:r>
          </w:p>
        </w:tc>
        <w:tc>
          <w:tcPr>
            <w:tcW w:w="3490" w:type="dxa"/>
            <w:gridSpan w:val="2"/>
          </w:tcPr>
          <w:p w14:paraId="236235C1" w14:textId="77777777" w:rsidR="002E6434" w:rsidRPr="0095287E" w:rsidRDefault="002E6434" w:rsidP="002E6434">
            <w:pPr>
              <w:spacing w:after="60"/>
            </w:pPr>
            <w:r w:rsidRPr="0095287E">
              <w:rPr>
                <w:bCs/>
                <w:i/>
              </w:rPr>
              <w:t>Sākotnējās ietekmes novērtējuma ziņojuma (anotācijas) kopsavilkums</w:t>
            </w:r>
          </w:p>
        </w:tc>
        <w:tc>
          <w:tcPr>
            <w:tcW w:w="4088" w:type="dxa"/>
            <w:gridSpan w:val="2"/>
          </w:tcPr>
          <w:p w14:paraId="09B4ECE2" w14:textId="77777777" w:rsidR="002E6434" w:rsidRPr="0095287E" w:rsidRDefault="002E6434" w:rsidP="007D42CA">
            <w:pPr>
              <w:pStyle w:val="Default"/>
              <w:spacing w:after="60"/>
              <w:jc w:val="both"/>
              <w:rPr>
                <w:b/>
                <w:color w:val="auto"/>
              </w:rPr>
            </w:pPr>
            <w:r w:rsidRPr="0095287E">
              <w:rPr>
                <w:b/>
                <w:color w:val="auto"/>
              </w:rPr>
              <w:t>Tieslietu ministrija</w:t>
            </w:r>
          </w:p>
          <w:p w14:paraId="7CF03D51" w14:textId="77777777" w:rsidR="002E6434" w:rsidRPr="0095287E" w:rsidRDefault="002E6434" w:rsidP="007D42CA">
            <w:pPr>
              <w:spacing w:after="60"/>
              <w:jc w:val="both"/>
              <w:rPr>
                <w:bCs/>
              </w:rPr>
            </w:pPr>
            <w:r w:rsidRPr="0095287E">
              <w:rPr>
                <w:bCs/>
              </w:rPr>
              <w:t xml:space="preserve">Projekta anotācijas kopsavilkumā nav norādīts Projekta spēkā stāšanās laiks. Līdz ar to </w:t>
            </w:r>
            <w:r w:rsidRPr="0095287E">
              <w:rPr>
                <w:bCs/>
                <w:u w:val="single"/>
              </w:rPr>
              <w:t>lūdzam papildināt anotācijas kopsavilkumu ar rīkojuma projekta spēkā stāšanās laiku.</w:t>
            </w:r>
          </w:p>
        </w:tc>
        <w:tc>
          <w:tcPr>
            <w:tcW w:w="2892" w:type="dxa"/>
            <w:gridSpan w:val="2"/>
          </w:tcPr>
          <w:p w14:paraId="0194E0F6" w14:textId="77777777" w:rsidR="002E6434" w:rsidRPr="0095287E" w:rsidRDefault="002E6434" w:rsidP="002E6434">
            <w:pPr>
              <w:spacing w:after="60"/>
              <w:rPr>
                <w:b/>
              </w:rPr>
            </w:pPr>
            <w:r w:rsidRPr="0095287E">
              <w:rPr>
                <w:b/>
              </w:rPr>
              <w:t>Ņemts vērā.</w:t>
            </w:r>
          </w:p>
          <w:p w14:paraId="276D3481" w14:textId="42F71E9E" w:rsidR="00D348B6" w:rsidRPr="0095287E" w:rsidRDefault="00D348B6" w:rsidP="00D348B6">
            <w:pPr>
              <w:spacing w:after="60"/>
              <w:jc w:val="both"/>
              <w:rPr>
                <w:bCs/>
                <w:highlight w:val="green"/>
              </w:rPr>
            </w:pPr>
            <w:r w:rsidRPr="0095287E">
              <w:rPr>
                <w:bCs/>
              </w:rPr>
              <w:t>Anotācijas kopsavilkums precizēts.</w:t>
            </w:r>
          </w:p>
        </w:tc>
        <w:tc>
          <w:tcPr>
            <w:tcW w:w="3491" w:type="dxa"/>
          </w:tcPr>
          <w:p w14:paraId="07E9ED35" w14:textId="77777777" w:rsidR="00E82D71" w:rsidRPr="0095287E" w:rsidRDefault="00E82D71" w:rsidP="004B7A21">
            <w:pPr>
              <w:spacing w:after="60"/>
              <w:jc w:val="both"/>
            </w:pPr>
            <w:r w:rsidRPr="0095287E">
              <w:t>Anotācijas kopsavilkums:</w:t>
            </w:r>
          </w:p>
          <w:p w14:paraId="2383F7E1" w14:textId="630ADAEA" w:rsidR="002E6434" w:rsidRPr="0095287E" w:rsidRDefault="00E82D71" w:rsidP="004B7A21">
            <w:pPr>
              <w:spacing w:after="60"/>
              <w:jc w:val="both"/>
            </w:pPr>
            <w:r w:rsidRPr="0095287E">
              <w:t>“</w:t>
            </w:r>
            <w:r w:rsidR="004B7A21" w:rsidRPr="0095287E">
              <w:t>Projekts stāsies spēkā nākamajā dienā pēc tā izsludināšanas (publicēšanas oficiālajā izdevumā), izņemot atsevišķas normas, kas stāsies spēkā 20</w:t>
            </w:r>
            <w:r w:rsidR="00DC1D24">
              <w:t>21</w:t>
            </w:r>
            <w:bookmarkStart w:id="1" w:name="_GoBack"/>
            <w:bookmarkEnd w:id="1"/>
            <w:r w:rsidR="004B7A21" w:rsidRPr="0095287E">
              <w:t>.gada 1.janvārī.</w:t>
            </w:r>
            <w:r w:rsidRPr="0095287E">
              <w:t>”</w:t>
            </w:r>
          </w:p>
        </w:tc>
      </w:tr>
      <w:tr w:rsidR="0095287E" w:rsidRPr="0095287E" w14:paraId="72FBB146" w14:textId="77777777" w:rsidTr="001A77C9">
        <w:trPr>
          <w:jc w:val="center"/>
        </w:trPr>
        <w:tc>
          <w:tcPr>
            <w:tcW w:w="781" w:type="dxa"/>
          </w:tcPr>
          <w:p w14:paraId="7C2A0B57" w14:textId="361C92BB" w:rsidR="000064C8" w:rsidRPr="0095287E" w:rsidRDefault="005017DC" w:rsidP="000064C8">
            <w:pPr>
              <w:jc w:val="center"/>
            </w:pPr>
            <w:r>
              <w:t>10</w:t>
            </w:r>
            <w:r w:rsidR="00DD10B2" w:rsidRPr="0095287E">
              <w:t>.</w:t>
            </w:r>
          </w:p>
        </w:tc>
        <w:tc>
          <w:tcPr>
            <w:tcW w:w="3490" w:type="dxa"/>
            <w:gridSpan w:val="2"/>
          </w:tcPr>
          <w:p w14:paraId="74021086" w14:textId="77777777" w:rsidR="000064C8" w:rsidRPr="0095287E" w:rsidRDefault="000064C8" w:rsidP="000064C8">
            <w:pPr>
              <w:spacing w:after="60"/>
              <w:rPr>
                <w:bCs/>
                <w:i/>
              </w:rPr>
            </w:pPr>
            <w:r w:rsidRPr="0095287E">
              <w:rPr>
                <w:bCs/>
                <w:i/>
              </w:rPr>
              <w:t>Sākotnējās ietekmes novērtējuma ziņojuma (anotācijas) I sadaļa</w:t>
            </w:r>
          </w:p>
        </w:tc>
        <w:tc>
          <w:tcPr>
            <w:tcW w:w="4088" w:type="dxa"/>
            <w:gridSpan w:val="2"/>
          </w:tcPr>
          <w:p w14:paraId="0E40D1B4" w14:textId="77777777" w:rsidR="000064C8" w:rsidRPr="0095287E" w:rsidRDefault="000064C8" w:rsidP="000064C8">
            <w:pPr>
              <w:pStyle w:val="Default"/>
              <w:spacing w:after="60"/>
              <w:jc w:val="both"/>
              <w:rPr>
                <w:b/>
                <w:color w:val="auto"/>
              </w:rPr>
            </w:pPr>
            <w:r w:rsidRPr="0095287E">
              <w:rPr>
                <w:b/>
                <w:color w:val="auto"/>
              </w:rPr>
              <w:t>Tieslietu ministrija</w:t>
            </w:r>
          </w:p>
          <w:p w14:paraId="67B9A4F4" w14:textId="77777777" w:rsidR="000064C8" w:rsidRPr="0095287E" w:rsidRDefault="000064C8" w:rsidP="000064C8">
            <w:pPr>
              <w:spacing w:after="60"/>
              <w:jc w:val="both"/>
              <w:rPr>
                <w:bCs/>
              </w:rPr>
            </w:pPr>
            <w:r w:rsidRPr="0095287E">
              <w:rPr>
                <w:bCs/>
              </w:rPr>
              <w:t>Saskaņā ar Eiropas Parlamenta un Padomes regulas (ES) 2016/679 par fizisko personu aizsardzību attiecībā uz personas datu apstrādi un šādu datu brīvu apriti un ar ko atceļ Direktīvu 95/46 EK (turpmāk – Regula) 4. panta 1. punktu, 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 Savukārt personas datu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57FA182E" w14:textId="77777777" w:rsidR="000064C8" w:rsidRPr="0095287E" w:rsidRDefault="000064C8" w:rsidP="000064C8">
            <w:pPr>
              <w:spacing w:after="60"/>
              <w:jc w:val="both"/>
              <w:rPr>
                <w:bCs/>
              </w:rPr>
            </w:pPr>
            <w:r w:rsidRPr="0095287E">
              <w:rPr>
                <w:bCs/>
              </w:rPr>
              <w:t xml:space="preserve">Pārzinim personas datu apstrāde ir jāveic, ievērojot Regulas 6. panta 1. punktā noteikto, proti, personas datu apstrāde ir likumīga tikai tādā apmērā un tikai tad, ja ir piemērojams vismaz viens no šajā pantā minētajiem pamatojumiem: a) datu subjekts ir devis piekrišanu savu personas datu apstrādei vienam vai vairākiem konkrētiem nolūkiem; b) apstrāde ir vajadzīga līguma, kura līgumslēdzēja puse ir datu subjekts, izpildei vai pasākumu veikšanai pēc datu subjekta pieprasījuma pirms līguma noslēgšanas; c) apstrāde ir vajadzīga, lai izpildītu uz pārzini attiecināmu juridisku pienākumu; d) apstrāde ir vajadzīga, lai aizsargātu datu subjekta vai citas fiziskas personas vitālas intereses; e) apstrāde ir vajadzīga, lai izpildītu uzdevumu, ko veic sabiedrības interesēs vai īstenojot pārzinim likumīgi piešķirtās oficiālās pilnvaras; f) apstrāde ir vajadzīga pārziņa vai trešās personas leģitīmo interešu ievērošanai, izņemot, ja datu subjekta intereses vai </w:t>
            </w:r>
            <w:proofErr w:type="spellStart"/>
            <w:r w:rsidRPr="0095287E">
              <w:rPr>
                <w:bCs/>
              </w:rPr>
              <w:t>pamattiesības</w:t>
            </w:r>
            <w:proofErr w:type="spellEnd"/>
            <w:r w:rsidRPr="0095287E">
              <w:rPr>
                <w:bCs/>
              </w:rPr>
              <w:t xml:space="preserve"> un pamatbrīvības, kurām nepieciešama personas datu aizsardzība, ir svarīgākas par šādām interesēm, jo īpaši, ja datu subjekts ir bērns. Tātad jebkurai personas datu apstrādei ir jābūt atbilstošam tiesiskam pamatam. </w:t>
            </w:r>
          </w:p>
          <w:p w14:paraId="307E79FF" w14:textId="77777777" w:rsidR="000064C8" w:rsidRPr="0095287E" w:rsidRDefault="000064C8" w:rsidP="000064C8">
            <w:pPr>
              <w:spacing w:after="60"/>
              <w:jc w:val="both"/>
              <w:rPr>
                <w:bCs/>
              </w:rPr>
            </w:pPr>
            <w:r w:rsidRPr="0095287E">
              <w:rPr>
                <w:bCs/>
              </w:rPr>
              <w:t xml:space="preserve">Papildus tiesiskā pamata nodrošināšanai, pārzinim ir jāievēro arī citi Regulas noteiktie nosacījumi, piemēram, Regulas 5. panta 1. punkta a) un b) apakšpunkts, kas noteic, ka dati tiek apstrādāti likumīgi, godprātīgi un datu subjektam pārredzamā veidā, kā arī dati tiek vākti konkrētos, skaidros un leģitīmos nolūkos. </w:t>
            </w:r>
          </w:p>
          <w:p w14:paraId="7F1B0AF1" w14:textId="77777777" w:rsidR="000064C8" w:rsidRPr="0095287E" w:rsidRDefault="000064C8" w:rsidP="000064C8">
            <w:pPr>
              <w:spacing w:after="60"/>
              <w:jc w:val="both"/>
              <w:rPr>
                <w:bCs/>
              </w:rPr>
            </w:pPr>
            <w:r w:rsidRPr="0095287E">
              <w:rPr>
                <w:bCs/>
              </w:rPr>
              <w:t xml:space="preserve">Ievērojot to, ka Projektā minētie personas dati ir uzskatāmi par personas privātās dzīves sastāvdaļu, kā arī to, ka mērķis personas datu apstrādei ir konkrētas personas identificēšana, iespējams, konkrētajā gadījumā nav nepieciešams apstrādāt tik apjomīgu personas datu apjomu. Savukārt, ja minēto personas datu norādīšana pieteikumā nav obligāta prasība, pārzinim būtu jāvērtē, kāds informācijas apjoms būtu adekvāts (nepieciešams) konkrētā mērķa sasniegšanai (piemēram, pretendentam norādot tikai vārdu, uzvārdu, personas kodu vai deklarēto dzīvesvietas adresi, vai kādu citu personas identifikatoru). Līdz ar to pārzinim būtu jāizvērtē,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w:t>
            </w:r>
          </w:p>
          <w:p w14:paraId="4B7FC18D" w14:textId="77777777" w:rsidR="000064C8" w:rsidRPr="0095287E" w:rsidRDefault="000064C8" w:rsidP="000064C8">
            <w:pPr>
              <w:pStyle w:val="Default"/>
              <w:spacing w:after="60"/>
              <w:jc w:val="both"/>
              <w:rPr>
                <w:b/>
                <w:color w:val="auto"/>
              </w:rPr>
            </w:pPr>
            <w:r w:rsidRPr="00B0673D">
              <w:rPr>
                <w:bCs/>
                <w:color w:val="auto"/>
              </w:rPr>
              <w:t>Vēršam uzmanību, ka anotācijā nav dots skaidrojums nepieciešamībai uzglabāt minētos personas datus. Norādām, ka saskaņā ar Regulas 5. panta 1. punkta e) apakšpunktu, pārzinim ir jānodrošina, ka personas dati tiek glabāti tik ilgi, cik tas ir nepieciešams nolūkiem, kādiem personas dati tiek apstrādāti. Regulā nav noteikti konkrēti termiņi datu glabāšanai, tomēr šie termiņi ir saistīti ar pārziņa datu apstrādes nolūkiem un to sasniegšanai nepieciešamo datu apjomu. Līdz ar to aicinām anotāciju papildināt ar attiecīgu skaidrojumu</w:t>
            </w:r>
          </w:p>
        </w:tc>
        <w:tc>
          <w:tcPr>
            <w:tcW w:w="2892" w:type="dxa"/>
            <w:gridSpan w:val="2"/>
          </w:tcPr>
          <w:p w14:paraId="3CF14E58" w14:textId="77777777" w:rsidR="000064C8" w:rsidRPr="0095287E" w:rsidRDefault="000064C8" w:rsidP="000064C8">
            <w:pPr>
              <w:spacing w:after="60"/>
              <w:rPr>
                <w:b/>
              </w:rPr>
            </w:pPr>
            <w:r w:rsidRPr="0095287E">
              <w:rPr>
                <w:b/>
              </w:rPr>
              <w:t>Ņemts vērā.</w:t>
            </w:r>
          </w:p>
          <w:p w14:paraId="7F311DC1" w14:textId="3A705D44" w:rsidR="00934B93" w:rsidRPr="0095287E" w:rsidRDefault="00934B93" w:rsidP="00934B93">
            <w:pPr>
              <w:spacing w:after="60"/>
              <w:jc w:val="both"/>
              <w:rPr>
                <w:b/>
              </w:rPr>
            </w:pPr>
            <w:r w:rsidRPr="0095287E">
              <w:rPr>
                <w:bCs/>
              </w:rPr>
              <w:t>Precizēta anotācija un projekts papildināts ar jaunu punktu.</w:t>
            </w:r>
          </w:p>
        </w:tc>
        <w:tc>
          <w:tcPr>
            <w:tcW w:w="3491" w:type="dxa"/>
          </w:tcPr>
          <w:p w14:paraId="6C989785" w14:textId="50C58B34" w:rsidR="00255558" w:rsidRPr="0095287E" w:rsidRDefault="00AD12AD" w:rsidP="00FB7CC2">
            <w:pPr>
              <w:spacing w:after="120"/>
              <w:jc w:val="both"/>
            </w:pPr>
            <w:r w:rsidRPr="0095287E">
              <w:t>1.</w:t>
            </w:r>
            <w:r w:rsidR="00803C05">
              <w:t>10</w:t>
            </w:r>
            <w:r w:rsidRPr="0095287E">
              <w:t>.</w:t>
            </w:r>
            <w:r w:rsidR="001019AD">
              <w:t> </w:t>
            </w:r>
            <w:r w:rsidRPr="0095287E">
              <w:t>papildināt 17.5.apakšpunkt</w:t>
            </w:r>
            <w:r w:rsidR="001019AD">
              <w:t>u</w:t>
            </w:r>
            <w:r w:rsidRPr="0095287E">
              <w:t xml:space="preserve"> ar vārdiem iekavās “(ar norādi fiziska vai juridiska persona, juridiskai personai nosaukums un reģistrācijas numurs)”;</w:t>
            </w:r>
          </w:p>
          <w:p w14:paraId="49585C34" w14:textId="4CDADB91" w:rsidR="00AD12AD" w:rsidRPr="0095287E" w:rsidRDefault="00AD12AD" w:rsidP="00AD12AD">
            <w:pPr>
              <w:spacing w:after="60"/>
              <w:jc w:val="both"/>
            </w:pPr>
            <w:r w:rsidRPr="0095287E">
              <w:t>1.</w:t>
            </w:r>
            <w:r w:rsidR="00FB7CC2">
              <w:t>1</w:t>
            </w:r>
            <w:r w:rsidR="00803C05">
              <w:t>2</w:t>
            </w:r>
            <w:r w:rsidR="001019AD">
              <w:t>. papildināt noteikumus ar 27.</w:t>
            </w:r>
            <w:r w:rsidRPr="0095287E">
              <w:t>punktu šādā redakcijā:</w:t>
            </w:r>
          </w:p>
          <w:p w14:paraId="5DD612AD" w14:textId="04934403" w:rsidR="00AD12AD" w:rsidRPr="001019AD" w:rsidRDefault="001019AD" w:rsidP="00AD12AD">
            <w:pPr>
              <w:spacing w:after="60"/>
              <w:jc w:val="both"/>
            </w:pPr>
            <w:r>
              <w:t>“27. </w:t>
            </w:r>
            <w:r w:rsidR="00AD12AD" w:rsidRPr="0095287E">
              <w:t xml:space="preserve">Fiziskas personas datu apstrādes mērķis ir nodrošināt nomas objekta piedāvājumu atlases organizēšanu, nomas līguma noslēgšanas procesu, līguma saistību izpildi un </w:t>
            </w:r>
            <w:r w:rsidR="00AD12AD" w:rsidRPr="001019AD">
              <w:t>informācijas par noslēgtajiem nomas līgumiem apkopošanu.</w:t>
            </w:r>
            <w:r w:rsidR="003B089A" w:rsidRPr="001019AD">
              <w:t xml:space="preserve"> </w:t>
            </w:r>
            <w:r w:rsidR="003B089A" w:rsidRPr="00B0673D">
              <w:t>Personas datus apstrādā un glabā saskaņā ar personas datu apstrādi regulējošiem normatīvajiem aktiem.</w:t>
            </w:r>
            <w:r w:rsidR="00AD12AD" w:rsidRPr="00B0673D">
              <w:t>”;</w:t>
            </w:r>
          </w:p>
          <w:p w14:paraId="1A4F65A9" w14:textId="3B55A7DF" w:rsidR="002713A9" w:rsidRPr="0095287E" w:rsidRDefault="00255558" w:rsidP="001019AD">
            <w:pPr>
              <w:spacing w:before="120" w:after="60"/>
              <w:jc w:val="both"/>
            </w:pPr>
            <w:r w:rsidRPr="001019AD">
              <w:t>Precizēts anotācijas teksts.</w:t>
            </w:r>
          </w:p>
        </w:tc>
      </w:tr>
      <w:tr w:rsidR="0095287E" w:rsidRPr="0095287E" w14:paraId="603D2847" w14:textId="77777777" w:rsidTr="001A77C9">
        <w:trPr>
          <w:jc w:val="center"/>
        </w:trPr>
        <w:tc>
          <w:tcPr>
            <w:tcW w:w="781" w:type="dxa"/>
          </w:tcPr>
          <w:p w14:paraId="3CCCC311" w14:textId="50A4A011" w:rsidR="00255558" w:rsidRPr="0095287E" w:rsidRDefault="005017DC" w:rsidP="005017DC">
            <w:pPr>
              <w:jc w:val="center"/>
            </w:pPr>
            <w:r>
              <w:t>11</w:t>
            </w:r>
            <w:r w:rsidR="00255558" w:rsidRPr="0095287E">
              <w:t>.</w:t>
            </w:r>
          </w:p>
        </w:tc>
        <w:tc>
          <w:tcPr>
            <w:tcW w:w="3490" w:type="dxa"/>
            <w:gridSpan w:val="2"/>
          </w:tcPr>
          <w:p w14:paraId="166427BD" w14:textId="77777777" w:rsidR="00255558" w:rsidRPr="0095287E" w:rsidRDefault="00255558" w:rsidP="00255558">
            <w:pPr>
              <w:spacing w:after="60"/>
            </w:pPr>
            <w:r w:rsidRPr="0095287E">
              <w:rPr>
                <w:bCs/>
                <w:i/>
              </w:rPr>
              <w:t>Sākotnējās ietekmes novērtējuma ziņojuma (anotācijas) I sadaļa</w:t>
            </w:r>
          </w:p>
        </w:tc>
        <w:tc>
          <w:tcPr>
            <w:tcW w:w="4088" w:type="dxa"/>
            <w:gridSpan w:val="2"/>
          </w:tcPr>
          <w:p w14:paraId="1B5538DB" w14:textId="77777777" w:rsidR="00255558" w:rsidRPr="0095287E" w:rsidRDefault="00255558" w:rsidP="00255558">
            <w:pPr>
              <w:pStyle w:val="Default"/>
              <w:spacing w:after="60"/>
              <w:jc w:val="both"/>
              <w:rPr>
                <w:b/>
                <w:color w:val="auto"/>
              </w:rPr>
            </w:pPr>
            <w:r w:rsidRPr="0095287E">
              <w:rPr>
                <w:b/>
                <w:color w:val="auto"/>
              </w:rPr>
              <w:t>Tieslietu ministrija (priekšlikums)</w:t>
            </w:r>
          </w:p>
          <w:p w14:paraId="10235FFC" w14:textId="77777777" w:rsidR="00255558" w:rsidRDefault="00255558" w:rsidP="00AE234F">
            <w:pPr>
              <w:pStyle w:val="Default"/>
              <w:spacing w:after="120"/>
              <w:jc w:val="both"/>
              <w:rPr>
                <w:color w:val="auto"/>
              </w:rPr>
            </w:pPr>
            <w:r w:rsidRPr="0095287E">
              <w:rPr>
                <w:color w:val="auto"/>
              </w:rPr>
              <w:t>Projekta anotācijas I sadaļas 2.punktā (anotācijas 2. lapa) teikumā "Beidzoties nomas līgumam, ja attiecīgā informācija netiek atjaunota, piekļuve nekustamā īpašuma profilam tiešsaistes režīmā tiek liegta un nekustamā īpašuma profils tiek pārvietots uz informācijas sistēmas datu arhīvu." vārds "informācijas" jāraksta ar lielo sākumburtu, vai citādi jāprecizē vārdi "informācijas sistēmas", jo nav saprotams, kāda informatīvā sistēma minētajā teikumā ir domāta.</w:t>
            </w:r>
          </w:p>
          <w:p w14:paraId="59D93EB3" w14:textId="77777777" w:rsidR="00AE234F" w:rsidRPr="00154D07" w:rsidRDefault="00AE234F" w:rsidP="00AE234F">
            <w:pPr>
              <w:pStyle w:val="Default"/>
              <w:spacing w:after="60"/>
              <w:jc w:val="both"/>
              <w:rPr>
                <w:b/>
                <w:color w:val="auto"/>
              </w:rPr>
            </w:pPr>
            <w:r w:rsidRPr="00154D07">
              <w:rPr>
                <w:b/>
                <w:color w:val="auto"/>
              </w:rPr>
              <w:t>Tieslietu ministrija (</w:t>
            </w:r>
            <w:r>
              <w:rPr>
                <w:b/>
                <w:color w:val="auto"/>
              </w:rPr>
              <w:t xml:space="preserve">02.09.2019. </w:t>
            </w:r>
            <w:r w:rsidRPr="00154D07">
              <w:rPr>
                <w:b/>
                <w:color w:val="auto"/>
              </w:rPr>
              <w:t>priekšlikums)</w:t>
            </w:r>
          </w:p>
          <w:p w14:paraId="2F72F011" w14:textId="05E276AB" w:rsidR="00AE234F" w:rsidRPr="0095287E" w:rsidRDefault="00AE234F" w:rsidP="00255558">
            <w:pPr>
              <w:pStyle w:val="Default"/>
              <w:spacing w:after="60"/>
              <w:jc w:val="both"/>
              <w:rPr>
                <w:b/>
                <w:color w:val="auto"/>
              </w:rPr>
            </w:pPr>
            <w:r>
              <w:t xml:space="preserve">Aizstāt anotācijas 2. lpp. vārdus "nekustamā īpašuma sastāvā esošām būvēm vai zemes – attiecīgās būves vai zemes kadastra apzīmējumu" ar vārdiem "nekustamā īpašuma sastāvā esošām būvēm vai zemes </w:t>
            </w:r>
            <w:r>
              <w:rPr>
                <w:u w:val="single"/>
              </w:rPr>
              <w:t>vienībām</w:t>
            </w:r>
            <w:r>
              <w:t xml:space="preserve"> – attiecīgās būves vai zemes </w:t>
            </w:r>
            <w:r>
              <w:rPr>
                <w:u w:val="single"/>
              </w:rPr>
              <w:t xml:space="preserve">vienības </w:t>
            </w:r>
            <w:r>
              <w:t>kadastra apzīmējumu"</w:t>
            </w:r>
          </w:p>
        </w:tc>
        <w:tc>
          <w:tcPr>
            <w:tcW w:w="2892" w:type="dxa"/>
            <w:gridSpan w:val="2"/>
          </w:tcPr>
          <w:p w14:paraId="3B5150EA" w14:textId="79D32B27" w:rsidR="00255558" w:rsidRPr="0095287E" w:rsidRDefault="00255558" w:rsidP="00255558">
            <w:pPr>
              <w:spacing w:after="60"/>
              <w:jc w:val="both"/>
              <w:rPr>
                <w:b/>
              </w:rPr>
            </w:pPr>
            <w:r w:rsidRPr="0095287E">
              <w:rPr>
                <w:b/>
              </w:rPr>
              <w:t>Ņemts vērā</w:t>
            </w:r>
            <w:r w:rsidR="001019AD">
              <w:rPr>
                <w:b/>
              </w:rPr>
              <w:t>.</w:t>
            </w:r>
          </w:p>
          <w:p w14:paraId="1CB90A00" w14:textId="77777777" w:rsidR="00255558" w:rsidRDefault="00255558" w:rsidP="001019AD">
            <w:pPr>
              <w:spacing w:after="60"/>
              <w:rPr>
                <w:bCs/>
                <w:highlight w:val="green"/>
              </w:rPr>
            </w:pPr>
          </w:p>
          <w:p w14:paraId="6528AF4D" w14:textId="77777777" w:rsidR="00AE234F" w:rsidRDefault="00AE234F" w:rsidP="001019AD">
            <w:pPr>
              <w:spacing w:after="60"/>
              <w:rPr>
                <w:bCs/>
                <w:highlight w:val="green"/>
              </w:rPr>
            </w:pPr>
          </w:p>
          <w:p w14:paraId="399F4974" w14:textId="77777777" w:rsidR="00AE234F" w:rsidRDefault="00AE234F" w:rsidP="001019AD">
            <w:pPr>
              <w:spacing w:after="60"/>
              <w:rPr>
                <w:bCs/>
                <w:highlight w:val="green"/>
              </w:rPr>
            </w:pPr>
          </w:p>
          <w:p w14:paraId="1DE39CA8" w14:textId="77777777" w:rsidR="00AE234F" w:rsidRDefault="00AE234F" w:rsidP="001019AD">
            <w:pPr>
              <w:spacing w:after="60"/>
              <w:rPr>
                <w:bCs/>
                <w:highlight w:val="green"/>
              </w:rPr>
            </w:pPr>
          </w:p>
          <w:p w14:paraId="5A4230AC" w14:textId="77777777" w:rsidR="00AE234F" w:rsidRDefault="00AE234F" w:rsidP="001019AD">
            <w:pPr>
              <w:spacing w:after="60"/>
              <w:rPr>
                <w:bCs/>
                <w:highlight w:val="green"/>
              </w:rPr>
            </w:pPr>
          </w:p>
          <w:p w14:paraId="4BAB3B9E" w14:textId="77777777" w:rsidR="00AE234F" w:rsidRDefault="00AE234F" w:rsidP="001019AD">
            <w:pPr>
              <w:spacing w:after="60"/>
              <w:rPr>
                <w:bCs/>
                <w:highlight w:val="green"/>
              </w:rPr>
            </w:pPr>
          </w:p>
          <w:p w14:paraId="3AC98743" w14:textId="77777777" w:rsidR="00AE234F" w:rsidRDefault="00AE234F" w:rsidP="001019AD">
            <w:pPr>
              <w:spacing w:after="60"/>
              <w:rPr>
                <w:bCs/>
                <w:highlight w:val="green"/>
              </w:rPr>
            </w:pPr>
          </w:p>
          <w:p w14:paraId="0A17DCAF" w14:textId="77777777" w:rsidR="00AE234F" w:rsidRDefault="00AE234F" w:rsidP="001019AD">
            <w:pPr>
              <w:spacing w:after="60"/>
              <w:rPr>
                <w:bCs/>
                <w:highlight w:val="green"/>
              </w:rPr>
            </w:pPr>
          </w:p>
          <w:p w14:paraId="66D639DC" w14:textId="77777777" w:rsidR="00AE234F" w:rsidRDefault="00AE234F" w:rsidP="001019AD">
            <w:pPr>
              <w:spacing w:after="60"/>
              <w:rPr>
                <w:bCs/>
                <w:highlight w:val="green"/>
              </w:rPr>
            </w:pPr>
          </w:p>
          <w:p w14:paraId="3CA67484" w14:textId="77777777" w:rsidR="00AE234F" w:rsidRDefault="00AE234F" w:rsidP="001019AD">
            <w:pPr>
              <w:spacing w:after="60"/>
              <w:rPr>
                <w:bCs/>
                <w:highlight w:val="green"/>
              </w:rPr>
            </w:pPr>
          </w:p>
          <w:p w14:paraId="2EFC3A20" w14:textId="77777777" w:rsidR="00AE234F" w:rsidRPr="0095287E" w:rsidRDefault="00AE234F" w:rsidP="00AE234F">
            <w:pPr>
              <w:spacing w:after="60"/>
              <w:jc w:val="both"/>
              <w:rPr>
                <w:b/>
              </w:rPr>
            </w:pPr>
            <w:r w:rsidRPr="0095287E">
              <w:rPr>
                <w:b/>
              </w:rPr>
              <w:t>Ņemts vērā</w:t>
            </w:r>
            <w:r>
              <w:rPr>
                <w:b/>
              </w:rPr>
              <w:t>.</w:t>
            </w:r>
          </w:p>
          <w:p w14:paraId="67709317" w14:textId="135B9D19" w:rsidR="00AE234F" w:rsidRPr="0095287E" w:rsidRDefault="00AE234F" w:rsidP="001019AD">
            <w:pPr>
              <w:spacing w:after="60"/>
              <w:rPr>
                <w:bCs/>
                <w:highlight w:val="green"/>
              </w:rPr>
            </w:pPr>
          </w:p>
        </w:tc>
        <w:tc>
          <w:tcPr>
            <w:tcW w:w="3491" w:type="dxa"/>
          </w:tcPr>
          <w:p w14:paraId="64C7CE2B" w14:textId="29ACB9CF" w:rsidR="00255558" w:rsidRPr="0095287E" w:rsidRDefault="00255558" w:rsidP="00255558">
            <w:pPr>
              <w:spacing w:after="60"/>
            </w:pPr>
            <w:r w:rsidRPr="0095287E">
              <w:t>Precizēts anotācijas teksts.</w:t>
            </w:r>
          </w:p>
        </w:tc>
      </w:tr>
      <w:tr w:rsidR="0095287E" w:rsidRPr="0095287E" w14:paraId="6F261E4A" w14:textId="77777777" w:rsidTr="001A77C9">
        <w:trPr>
          <w:jc w:val="center"/>
        </w:trPr>
        <w:tc>
          <w:tcPr>
            <w:tcW w:w="781" w:type="dxa"/>
          </w:tcPr>
          <w:p w14:paraId="253F11C6" w14:textId="75F2DADF" w:rsidR="00255558" w:rsidRPr="0095287E" w:rsidRDefault="005017DC" w:rsidP="00255558">
            <w:pPr>
              <w:jc w:val="center"/>
            </w:pPr>
            <w:r>
              <w:t>12</w:t>
            </w:r>
            <w:r w:rsidR="00255558" w:rsidRPr="0095287E">
              <w:t>.</w:t>
            </w:r>
          </w:p>
        </w:tc>
        <w:tc>
          <w:tcPr>
            <w:tcW w:w="3490" w:type="dxa"/>
            <w:gridSpan w:val="2"/>
          </w:tcPr>
          <w:p w14:paraId="7F999492" w14:textId="77777777" w:rsidR="00255558" w:rsidRPr="0095287E" w:rsidRDefault="00255558" w:rsidP="00255558">
            <w:pPr>
              <w:spacing w:after="60"/>
              <w:rPr>
                <w:i/>
              </w:rPr>
            </w:pPr>
            <w:r w:rsidRPr="0095287E">
              <w:rPr>
                <w:bCs/>
                <w:i/>
              </w:rPr>
              <w:t>Sākotnējās ietekmes novērtējuma ziņojuma (anotācijas) II sadaļa</w:t>
            </w:r>
          </w:p>
        </w:tc>
        <w:tc>
          <w:tcPr>
            <w:tcW w:w="4088" w:type="dxa"/>
            <w:gridSpan w:val="2"/>
          </w:tcPr>
          <w:p w14:paraId="41E5955B" w14:textId="77777777" w:rsidR="00255558" w:rsidRPr="00154D07" w:rsidRDefault="00255558" w:rsidP="00255558">
            <w:pPr>
              <w:pStyle w:val="Default"/>
              <w:spacing w:after="60"/>
              <w:jc w:val="both"/>
              <w:rPr>
                <w:b/>
                <w:bCs/>
                <w:color w:val="auto"/>
              </w:rPr>
            </w:pPr>
            <w:r w:rsidRPr="00154D07">
              <w:rPr>
                <w:b/>
                <w:bCs/>
                <w:color w:val="auto"/>
              </w:rPr>
              <w:t>Valsts kanceleja</w:t>
            </w:r>
          </w:p>
          <w:p w14:paraId="18526436" w14:textId="77777777" w:rsidR="00255558" w:rsidRPr="00154D07" w:rsidRDefault="00255558" w:rsidP="00154D07">
            <w:pPr>
              <w:pStyle w:val="Default"/>
              <w:spacing w:after="120"/>
              <w:jc w:val="both"/>
              <w:rPr>
                <w:color w:val="auto"/>
              </w:rPr>
            </w:pPr>
            <w:r w:rsidRPr="00154D07">
              <w:rPr>
                <w:color w:val="auto"/>
              </w:rPr>
              <w:t xml:space="preserve">Ņemot vērā, ka administratīvais slogs tiek palielināts visām tiešās pārvaldes iestādēm, </w:t>
            </w:r>
            <w:r w:rsidRPr="00154D07">
              <w:rPr>
                <w:bCs/>
                <w:color w:val="auto"/>
              </w:rPr>
              <w:t>kas savu funkciju izpildes nodrošināšanai no privātpersonām un kapitālsabiedrībām nomā nekustamos īpašumus</w:t>
            </w:r>
            <w:r w:rsidRPr="00154D07">
              <w:rPr>
                <w:color w:val="auto"/>
              </w:rPr>
              <w:t xml:space="preserve">, kā arī to, ka ir zināms informācijas apjoms, kas jāievada Valsts nekustamā īpašuma informācijas sistēmā, lūdzam papildināt anotācijas II sadaļas 3.punktu ar administratīvo izmaksu aprēķinu </w:t>
            </w:r>
            <w:r w:rsidRPr="00154D07">
              <w:rPr>
                <w:color w:val="auto"/>
                <w:u w:val="single"/>
              </w:rPr>
              <w:t>par vienas vienības ievadīšanu</w:t>
            </w:r>
            <w:r w:rsidRPr="00154D07">
              <w:rPr>
                <w:color w:val="auto"/>
              </w:rPr>
              <w:t xml:space="preserve"> Valsts nekustamā īpašuma informācijas sistēmā.</w:t>
            </w:r>
          </w:p>
          <w:p w14:paraId="69270F24" w14:textId="1CAE78BF" w:rsidR="00154D07" w:rsidRPr="00154D07" w:rsidRDefault="00154D07" w:rsidP="00154D07">
            <w:pPr>
              <w:pStyle w:val="Default"/>
              <w:spacing w:after="60"/>
              <w:jc w:val="both"/>
              <w:rPr>
                <w:b/>
                <w:color w:val="auto"/>
              </w:rPr>
            </w:pPr>
            <w:r w:rsidRPr="00154D07">
              <w:rPr>
                <w:b/>
                <w:color w:val="auto"/>
              </w:rPr>
              <w:t>Tieslietu ministrija (</w:t>
            </w:r>
            <w:r w:rsidR="00AE234F">
              <w:rPr>
                <w:b/>
                <w:color w:val="auto"/>
              </w:rPr>
              <w:t xml:space="preserve">02.09.2019. </w:t>
            </w:r>
            <w:r w:rsidRPr="00154D07">
              <w:rPr>
                <w:b/>
                <w:color w:val="auto"/>
              </w:rPr>
              <w:t>priekšlikums)</w:t>
            </w:r>
          </w:p>
          <w:p w14:paraId="57175035" w14:textId="77777777" w:rsidR="00154D07" w:rsidRPr="00154D07" w:rsidRDefault="00154D07" w:rsidP="00154D07">
            <w:pPr>
              <w:pStyle w:val="Default"/>
              <w:spacing w:after="60"/>
              <w:jc w:val="both"/>
            </w:pPr>
            <w:r w:rsidRPr="00154D07">
              <w:t>Anotācijas II sadaļas 3.punktā "Administratīvo izmaksu monetārs novērtējums" paredzēt aptuvenu aprēķinu par administratīvajām izmaksām vienas vienības ievadīšanai Valsts nekustamā īpašuma informācijas sistēmā, lai varētu izvērtēt projekta administratīvās izmaksas Valsts zemes dienestam.</w:t>
            </w:r>
          </w:p>
          <w:p w14:paraId="31A2945D" w14:textId="77777777" w:rsidR="00154D07" w:rsidRPr="00154D07" w:rsidRDefault="00154D07" w:rsidP="00154D07">
            <w:pPr>
              <w:pStyle w:val="Default"/>
              <w:jc w:val="both"/>
              <w:rPr>
                <w:i/>
              </w:rPr>
            </w:pPr>
            <w:r w:rsidRPr="00154D07">
              <w:rPr>
                <w:i/>
              </w:rPr>
              <w:t>Papildināta informācija Valsts zemes dienesta 06.09.2019. e-pastā:</w:t>
            </w:r>
          </w:p>
          <w:p w14:paraId="1F9FA8B1" w14:textId="38112093" w:rsidR="00154D07" w:rsidRPr="00154D07" w:rsidRDefault="00154D07" w:rsidP="00220A17">
            <w:r w:rsidRPr="00154D07">
              <w:t>05.09.2019. sanāksmē Finanšu ministrija un VNĪ skaidroja, ka šādu izmaksu aprēķinu nav iespējams veikt, jo nav zināms no privātpersonām nomāto īpašumu skaits un datu ievade VNĪ IS nenotiek identiski visās iestādēs. Ņemot vērā, ka šo lūdzām izteikt kā priekšlikumu, piekrītam, ka anotācija netiek precizēta.</w:t>
            </w:r>
          </w:p>
        </w:tc>
        <w:tc>
          <w:tcPr>
            <w:tcW w:w="2892" w:type="dxa"/>
            <w:gridSpan w:val="2"/>
          </w:tcPr>
          <w:p w14:paraId="06ACE798" w14:textId="691E2328" w:rsidR="00CE6BBA" w:rsidRPr="0095287E" w:rsidRDefault="00B82FA1" w:rsidP="00255558">
            <w:pPr>
              <w:pStyle w:val="CommentText"/>
              <w:jc w:val="both"/>
              <w:rPr>
                <w:b/>
                <w:sz w:val="24"/>
                <w:szCs w:val="24"/>
              </w:rPr>
            </w:pPr>
            <w:r w:rsidRPr="0093093C">
              <w:rPr>
                <w:b/>
                <w:bCs/>
                <w:sz w:val="24"/>
                <w:szCs w:val="24"/>
              </w:rPr>
              <w:t>Vienošanās panāk</w:t>
            </w:r>
            <w:r w:rsidR="004C5CD2">
              <w:rPr>
                <w:b/>
                <w:bCs/>
                <w:sz w:val="24"/>
                <w:szCs w:val="24"/>
              </w:rPr>
              <w:t>ta sask</w:t>
            </w:r>
            <w:r w:rsidRPr="0093093C">
              <w:rPr>
                <w:b/>
                <w:bCs/>
                <w:sz w:val="24"/>
                <w:szCs w:val="24"/>
              </w:rPr>
              <w:t>aņošanas laikā</w:t>
            </w:r>
            <w:r w:rsidR="00255558" w:rsidRPr="0095287E">
              <w:rPr>
                <w:b/>
                <w:sz w:val="24"/>
                <w:szCs w:val="24"/>
              </w:rPr>
              <w:t>.</w:t>
            </w:r>
          </w:p>
          <w:p w14:paraId="4B173F9A" w14:textId="4A9D4C83" w:rsidR="00255558" w:rsidRPr="0095287E" w:rsidRDefault="00255558" w:rsidP="00255558">
            <w:pPr>
              <w:pStyle w:val="CommentText"/>
              <w:jc w:val="both"/>
              <w:rPr>
                <w:sz w:val="24"/>
                <w:szCs w:val="24"/>
                <w:highlight w:val="yellow"/>
              </w:rPr>
            </w:pPr>
            <w:r w:rsidRPr="0095287E">
              <w:rPr>
                <w:bCs/>
                <w:sz w:val="24"/>
                <w:szCs w:val="24"/>
              </w:rPr>
              <w:t>Precīzu administratīvo izmaksu monetāro novērtējumu šobrīd veikt nav iespējams, jo tas lielā mērā ir atkarīgs no katras valsts iestādes attiecīgā procesa vadības. Nav iespējams veikt aprēķinu par administratīvajām izmaksām vienas vienības ievadīšanai Informācijas sistēmā, jo tas atkarīgs no katra ievadāmā lauka satura pieejamības (vai informācija ir pieejama uzreiz vai nepieciešami resursi informācijas apkopošanai), iesaistīto cilvēku skaita, turklāt katrā iestādē datu ievades ilgums var būt atšķirīgs. Papildus norādāms, ka, lai mazinātu administratīvo slogu, šobrīd tiesiskais regulējums paredz Informācijas sistēmā vadīt tikai informāciju par faktiskajiem iepriekšējā kalendārā gada un plānotajiem kārtējā kalendārā gada ar citas personas nekustamā īpašuma vai tā daļas lietošanu saistītajiem ieņēmumiem un izdevumiem un valsts iestādes darbinieku skaitu ēkā katra kalendārā gada pēdējā datumā, ja valsts iestāde biroja funkcijām lieto vismaz pusi no nekustamā īpašuma sastāvā esošās vismaz vienas ēkas. Informācijas ievadīšanas lietderība par pārējo valsts iestāžu lietoto nekustamo īpašumu ieņēmumiem un izdevumiem tiks vērtēta tālākā laika periodā.</w:t>
            </w:r>
          </w:p>
        </w:tc>
        <w:tc>
          <w:tcPr>
            <w:tcW w:w="3491" w:type="dxa"/>
          </w:tcPr>
          <w:p w14:paraId="55EFE4B7" w14:textId="3C8AAC03" w:rsidR="00255558" w:rsidRPr="0095287E" w:rsidRDefault="00255558" w:rsidP="00255558">
            <w:pPr>
              <w:spacing w:after="60"/>
            </w:pPr>
            <w:r w:rsidRPr="0095287E">
              <w:t>Precizēts anotācijas teksts.</w:t>
            </w:r>
          </w:p>
        </w:tc>
      </w:tr>
      <w:tr w:rsidR="0095287E" w:rsidRPr="0095287E" w14:paraId="752AB53C" w14:textId="77777777" w:rsidTr="00B13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3519" w:type="dxa"/>
          <w:jc w:val="center"/>
        </w:trPr>
        <w:tc>
          <w:tcPr>
            <w:tcW w:w="3741" w:type="dxa"/>
            <w:gridSpan w:val="2"/>
          </w:tcPr>
          <w:p w14:paraId="2464E69C" w14:textId="77777777" w:rsidR="002E6434" w:rsidRPr="0095287E" w:rsidRDefault="002E6434" w:rsidP="002E6434">
            <w:pPr>
              <w:pStyle w:val="naiskr"/>
              <w:spacing w:before="0" w:after="0"/>
              <w:jc w:val="center"/>
            </w:pPr>
          </w:p>
          <w:p w14:paraId="4DEFAD89" w14:textId="77777777" w:rsidR="002E6434" w:rsidRPr="0095287E" w:rsidRDefault="002E6434" w:rsidP="002E6434">
            <w:pPr>
              <w:pStyle w:val="naiskr"/>
              <w:spacing w:before="0" w:after="0"/>
              <w:jc w:val="center"/>
            </w:pPr>
            <w:r w:rsidRPr="0095287E">
              <w:t>Atbildīgā amatpersona</w:t>
            </w:r>
          </w:p>
        </w:tc>
        <w:tc>
          <w:tcPr>
            <w:tcW w:w="3741" w:type="dxa"/>
            <w:gridSpan w:val="2"/>
          </w:tcPr>
          <w:p w14:paraId="7EE149D1" w14:textId="77777777" w:rsidR="002E6434" w:rsidRPr="0095287E" w:rsidRDefault="002E6434" w:rsidP="002E6434">
            <w:pPr>
              <w:pStyle w:val="naiskr"/>
              <w:spacing w:before="0" w:after="0"/>
              <w:jc w:val="both"/>
            </w:pPr>
          </w:p>
        </w:tc>
        <w:tc>
          <w:tcPr>
            <w:tcW w:w="3741" w:type="dxa"/>
            <w:gridSpan w:val="2"/>
          </w:tcPr>
          <w:p w14:paraId="23D9CA18" w14:textId="77777777" w:rsidR="002E6434" w:rsidRPr="0095287E" w:rsidRDefault="002E6434" w:rsidP="002E6434">
            <w:pPr>
              <w:pStyle w:val="naiskr"/>
              <w:spacing w:before="0" w:after="0"/>
              <w:ind w:firstLine="720"/>
              <w:jc w:val="both"/>
            </w:pPr>
          </w:p>
        </w:tc>
      </w:tr>
      <w:tr w:rsidR="0095287E" w:rsidRPr="0095287E" w14:paraId="7291CF34" w14:textId="77777777" w:rsidTr="00B13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3519" w:type="dxa"/>
          <w:jc w:val="center"/>
        </w:trPr>
        <w:tc>
          <w:tcPr>
            <w:tcW w:w="3741" w:type="dxa"/>
            <w:gridSpan w:val="2"/>
          </w:tcPr>
          <w:p w14:paraId="0277B9AF" w14:textId="77777777" w:rsidR="002E6434" w:rsidRPr="0095287E" w:rsidRDefault="002E6434" w:rsidP="002E6434">
            <w:pPr>
              <w:pStyle w:val="naiskr"/>
              <w:spacing w:before="0" w:after="0"/>
              <w:jc w:val="center"/>
            </w:pPr>
          </w:p>
        </w:tc>
        <w:tc>
          <w:tcPr>
            <w:tcW w:w="3741" w:type="dxa"/>
            <w:gridSpan w:val="2"/>
          </w:tcPr>
          <w:p w14:paraId="461B1DDB" w14:textId="77777777" w:rsidR="002E6434" w:rsidRPr="0095287E" w:rsidRDefault="002E6434" w:rsidP="002E6434">
            <w:pPr>
              <w:pStyle w:val="naiskr"/>
              <w:spacing w:before="0" w:after="0"/>
              <w:ind w:firstLine="720"/>
              <w:jc w:val="both"/>
            </w:pPr>
          </w:p>
        </w:tc>
        <w:tc>
          <w:tcPr>
            <w:tcW w:w="3741" w:type="dxa"/>
            <w:gridSpan w:val="2"/>
          </w:tcPr>
          <w:p w14:paraId="195525A4" w14:textId="77777777" w:rsidR="002E6434" w:rsidRPr="0095287E" w:rsidRDefault="002E6434" w:rsidP="002E6434">
            <w:pPr>
              <w:pStyle w:val="naiskr"/>
              <w:spacing w:before="0" w:after="0"/>
              <w:ind w:firstLine="720"/>
              <w:jc w:val="both"/>
            </w:pPr>
          </w:p>
        </w:tc>
      </w:tr>
      <w:tr w:rsidR="0095287E" w:rsidRPr="0095287E" w14:paraId="1183930A" w14:textId="77777777" w:rsidTr="00B13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3519" w:type="dxa"/>
          <w:jc w:val="center"/>
        </w:trPr>
        <w:tc>
          <w:tcPr>
            <w:tcW w:w="3741" w:type="dxa"/>
            <w:gridSpan w:val="2"/>
          </w:tcPr>
          <w:p w14:paraId="5EC6FACB" w14:textId="77777777" w:rsidR="002E6434" w:rsidRPr="0095287E" w:rsidRDefault="002E6434" w:rsidP="002E6434">
            <w:pPr>
              <w:pStyle w:val="naiskr"/>
              <w:spacing w:before="0" w:after="0"/>
              <w:ind w:firstLine="720"/>
              <w:jc w:val="center"/>
            </w:pPr>
          </w:p>
        </w:tc>
        <w:tc>
          <w:tcPr>
            <w:tcW w:w="3741" w:type="dxa"/>
            <w:gridSpan w:val="2"/>
            <w:tcBorders>
              <w:top w:val="single" w:sz="6" w:space="0" w:color="000000"/>
            </w:tcBorders>
          </w:tcPr>
          <w:p w14:paraId="12903629" w14:textId="77777777" w:rsidR="002E6434" w:rsidRPr="0095287E" w:rsidRDefault="002E6434" w:rsidP="002E6434">
            <w:pPr>
              <w:pStyle w:val="naisc"/>
              <w:spacing w:before="0" w:after="0"/>
              <w:ind w:firstLine="720"/>
              <w:jc w:val="both"/>
            </w:pPr>
            <w:r w:rsidRPr="0095287E">
              <w:t>(paraksts)*</w:t>
            </w:r>
          </w:p>
        </w:tc>
        <w:tc>
          <w:tcPr>
            <w:tcW w:w="3741" w:type="dxa"/>
            <w:gridSpan w:val="2"/>
            <w:tcBorders>
              <w:top w:val="single" w:sz="6" w:space="0" w:color="000000"/>
            </w:tcBorders>
          </w:tcPr>
          <w:p w14:paraId="417A7266" w14:textId="77777777" w:rsidR="002E6434" w:rsidRPr="0095287E" w:rsidRDefault="002E6434" w:rsidP="002E6434">
            <w:pPr>
              <w:pStyle w:val="naisc"/>
              <w:spacing w:before="0" w:after="0"/>
              <w:ind w:firstLine="720"/>
              <w:jc w:val="both"/>
            </w:pPr>
          </w:p>
        </w:tc>
      </w:tr>
    </w:tbl>
    <w:p w14:paraId="7FACB441" w14:textId="77777777" w:rsidR="009F1F3B" w:rsidRPr="0095287E" w:rsidRDefault="009F1F3B" w:rsidP="00297AF3">
      <w:pPr>
        <w:pStyle w:val="naisf"/>
        <w:spacing w:before="0" w:after="0"/>
        <w:ind w:firstLine="0"/>
        <w:rPr>
          <w:sz w:val="20"/>
          <w:szCs w:val="20"/>
        </w:rPr>
      </w:pPr>
      <w:r w:rsidRPr="0095287E">
        <w:rPr>
          <w:sz w:val="20"/>
          <w:szCs w:val="20"/>
        </w:rPr>
        <w:t>Piezīme. * Dokumenta rekvizītu "paraksts" neaizpilda, ja elektroniskais dokuments ir sagatavots atbilstoši normatīvajiem aktiem par elektronisko dokumentu noformēšanu.</w:t>
      </w:r>
    </w:p>
    <w:p w14:paraId="1F8C28B6" w14:textId="77777777" w:rsidR="009F1F3B" w:rsidRPr="0095287E" w:rsidRDefault="009F1F3B" w:rsidP="00297AF3">
      <w:pPr>
        <w:jc w:val="both"/>
        <w:rPr>
          <w:sz w:val="16"/>
          <w:szCs w:val="16"/>
        </w:rPr>
      </w:pPr>
    </w:p>
    <w:p w14:paraId="5F0294C6" w14:textId="77777777" w:rsidR="009F1F3B" w:rsidRPr="0095287E" w:rsidRDefault="009F1F3B" w:rsidP="00297AF3">
      <w:pPr>
        <w:rPr>
          <w:bCs/>
          <w:sz w:val="23"/>
          <w:szCs w:val="23"/>
        </w:rPr>
      </w:pPr>
      <w:r w:rsidRPr="0095287E">
        <w:rPr>
          <w:iCs/>
          <w:sz w:val="23"/>
          <w:szCs w:val="23"/>
        </w:rPr>
        <w:t>Inga Bērziņa</w:t>
      </w:r>
    </w:p>
    <w:p w14:paraId="011254CA" w14:textId="77777777" w:rsidR="009F1F3B" w:rsidRPr="0095287E" w:rsidRDefault="009F1F3B" w:rsidP="00297AF3">
      <w:pPr>
        <w:rPr>
          <w:sz w:val="23"/>
          <w:szCs w:val="23"/>
        </w:rPr>
      </w:pPr>
      <w:r w:rsidRPr="0095287E">
        <w:rPr>
          <w:sz w:val="23"/>
          <w:szCs w:val="23"/>
        </w:rPr>
        <w:t>Juridiskā departamenta Iepirkumu politikas un valsts nekustamo īpašumu</w:t>
      </w:r>
    </w:p>
    <w:p w14:paraId="374B693A" w14:textId="77777777" w:rsidR="009F1F3B" w:rsidRPr="0095287E" w:rsidRDefault="009F1F3B" w:rsidP="00297AF3">
      <w:pPr>
        <w:rPr>
          <w:bCs/>
          <w:sz w:val="23"/>
          <w:szCs w:val="23"/>
        </w:rPr>
      </w:pPr>
      <w:r w:rsidRPr="0095287E">
        <w:rPr>
          <w:sz w:val="23"/>
          <w:szCs w:val="23"/>
        </w:rPr>
        <w:t>pārvaldīša</w:t>
      </w:r>
      <w:r w:rsidR="0031571D" w:rsidRPr="0095287E">
        <w:rPr>
          <w:sz w:val="23"/>
          <w:szCs w:val="23"/>
        </w:rPr>
        <w:t>nas politikas nodaļas vadītāja</w:t>
      </w:r>
    </w:p>
    <w:p w14:paraId="6310B77A" w14:textId="77777777" w:rsidR="009F1F3B" w:rsidRPr="0095287E" w:rsidRDefault="009F1F3B" w:rsidP="00297AF3">
      <w:pPr>
        <w:rPr>
          <w:sz w:val="23"/>
          <w:szCs w:val="23"/>
        </w:rPr>
      </w:pPr>
      <w:r w:rsidRPr="0095287E">
        <w:rPr>
          <w:rStyle w:val="Emphasis"/>
          <w:bCs/>
          <w:i w:val="0"/>
          <w:sz w:val="23"/>
          <w:szCs w:val="23"/>
        </w:rPr>
        <w:t xml:space="preserve">tālr. </w:t>
      </w:r>
      <w:r w:rsidRPr="0095287E">
        <w:rPr>
          <w:sz w:val="23"/>
          <w:szCs w:val="23"/>
        </w:rPr>
        <w:t>67083947</w:t>
      </w:r>
      <w:r w:rsidRPr="0095287E">
        <w:rPr>
          <w:rStyle w:val="Emphasis"/>
          <w:bCs/>
          <w:i w:val="0"/>
          <w:sz w:val="23"/>
          <w:szCs w:val="23"/>
        </w:rPr>
        <w:t xml:space="preserve">, fakss </w:t>
      </w:r>
      <w:r w:rsidRPr="0095287E">
        <w:rPr>
          <w:sz w:val="23"/>
          <w:szCs w:val="23"/>
        </w:rPr>
        <w:t>67095577</w:t>
      </w:r>
    </w:p>
    <w:p w14:paraId="135BADB9" w14:textId="77777777" w:rsidR="00F174A7" w:rsidRPr="0095287E" w:rsidRDefault="009F1F3B" w:rsidP="00297AF3">
      <w:pPr>
        <w:rPr>
          <w:sz w:val="23"/>
          <w:szCs w:val="23"/>
        </w:rPr>
      </w:pPr>
      <w:r w:rsidRPr="0095287E">
        <w:rPr>
          <w:sz w:val="23"/>
          <w:szCs w:val="23"/>
        </w:rPr>
        <w:t>Inga.Berzina@fm.gov.lv</w:t>
      </w:r>
    </w:p>
    <w:sectPr w:rsidR="00F174A7" w:rsidRPr="0095287E" w:rsidSect="00803C05">
      <w:headerReference w:type="even" r:id="rId8"/>
      <w:headerReference w:type="default" r:id="rId9"/>
      <w:footerReference w:type="default" r:id="rId10"/>
      <w:headerReference w:type="first" r:id="rId11"/>
      <w:footerReference w:type="first" r:id="rId12"/>
      <w:pgSz w:w="16838" w:h="11906" w:orient="landscape" w:code="9"/>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4368" w14:textId="77777777" w:rsidR="00873AB8" w:rsidRDefault="00873AB8">
      <w:r>
        <w:separator/>
      </w:r>
    </w:p>
  </w:endnote>
  <w:endnote w:type="continuationSeparator" w:id="0">
    <w:p w14:paraId="37B2A2F4" w14:textId="77777777" w:rsidR="00873AB8" w:rsidRDefault="0087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8437" w14:textId="0758195D" w:rsidR="00565635" w:rsidRPr="0031571D" w:rsidRDefault="0031571D" w:rsidP="001E38A0">
    <w:pPr>
      <w:pStyle w:val="Footer"/>
      <w:rPr>
        <w:sz w:val="20"/>
        <w:szCs w:val="20"/>
      </w:rPr>
    </w:pPr>
    <w:r w:rsidRPr="0031571D">
      <w:rPr>
        <w:sz w:val="20"/>
        <w:szCs w:val="20"/>
      </w:rPr>
      <w:t>FMIzz_</w:t>
    </w:r>
    <w:r w:rsidR="007E46DC">
      <w:rPr>
        <w:sz w:val="20"/>
        <w:szCs w:val="20"/>
      </w:rPr>
      <w:t>221019</w:t>
    </w:r>
    <w:r w:rsidRPr="0031571D">
      <w:rPr>
        <w:sz w:val="20"/>
        <w:szCs w:val="20"/>
      </w:rPr>
      <w:t>_MKN1191groz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9767" w14:textId="0CF29A9D" w:rsidR="00565635" w:rsidRPr="0031571D" w:rsidRDefault="0031571D" w:rsidP="001E38A0">
    <w:pPr>
      <w:pStyle w:val="Footer"/>
      <w:rPr>
        <w:sz w:val="20"/>
        <w:szCs w:val="20"/>
      </w:rPr>
    </w:pPr>
    <w:r w:rsidRPr="0031571D">
      <w:rPr>
        <w:sz w:val="20"/>
        <w:szCs w:val="20"/>
      </w:rPr>
      <w:t>FMIzz_</w:t>
    </w:r>
    <w:r w:rsidR="007E46DC">
      <w:rPr>
        <w:sz w:val="20"/>
        <w:szCs w:val="20"/>
      </w:rPr>
      <w:t>221019</w:t>
    </w:r>
    <w:r w:rsidRPr="0031571D">
      <w:rPr>
        <w:sz w:val="20"/>
        <w:szCs w:val="20"/>
      </w:rPr>
      <w:t>_MKN1191groz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879FD" w14:textId="77777777" w:rsidR="00873AB8" w:rsidRDefault="00873AB8">
      <w:r>
        <w:separator/>
      </w:r>
    </w:p>
  </w:footnote>
  <w:footnote w:type="continuationSeparator" w:id="0">
    <w:p w14:paraId="3137FD72" w14:textId="77777777" w:rsidR="00873AB8" w:rsidRDefault="0087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3D2C"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E7E50"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801B" w14:textId="4FCA380D" w:rsidR="00565635" w:rsidRDefault="00565635" w:rsidP="00B13AEC">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1D24">
      <w:rPr>
        <w:rStyle w:val="PageNumber"/>
        <w:noProof/>
      </w:rPr>
      <w:t>21</w:t>
    </w:r>
    <w:r>
      <w:rPr>
        <w:rStyle w:val="PageNumber"/>
      </w:rPr>
      <w:fldChar w:fldCharType="end"/>
    </w:r>
  </w:p>
  <w:p w14:paraId="2A7574A3" w14:textId="77777777" w:rsidR="00565635" w:rsidRDefault="00565635" w:rsidP="00793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66F7" w14:textId="77777777" w:rsidR="00565635" w:rsidRDefault="00565635" w:rsidP="00B13AE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7537B0"/>
    <w:multiLevelType w:val="hybridMultilevel"/>
    <w:tmpl w:val="D37CFCCC"/>
    <w:lvl w:ilvl="0" w:tplc="2904097A">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6D22B70"/>
    <w:multiLevelType w:val="hybridMultilevel"/>
    <w:tmpl w:val="D21C2BFA"/>
    <w:lvl w:ilvl="0" w:tplc="861A04AE">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8"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5"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6"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7"/>
  </w:num>
  <w:num w:numId="5">
    <w:abstractNumId w:val="12"/>
  </w:num>
  <w:num w:numId="6">
    <w:abstractNumId w:val="5"/>
  </w:num>
  <w:num w:numId="7">
    <w:abstractNumId w:val="24"/>
  </w:num>
  <w:num w:numId="8">
    <w:abstractNumId w:val="18"/>
  </w:num>
  <w:num w:numId="9">
    <w:abstractNumId w:val="22"/>
  </w:num>
  <w:num w:numId="10">
    <w:abstractNumId w:val="7"/>
  </w:num>
  <w:num w:numId="11">
    <w:abstractNumId w:val="9"/>
  </w:num>
  <w:num w:numId="12">
    <w:abstractNumId w:val="26"/>
  </w:num>
  <w:num w:numId="13">
    <w:abstractNumId w:val="28"/>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9"/>
  </w:num>
  <w:num w:numId="18">
    <w:abstractNumId w:val="13"/>
  </w:num>
  <w:num w:numId="19">
    <w:abstractNumId w:val="10"/>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14"/>
  </w:num>
  <w:num w:numId="29">
    <w:abstractNumId w:val="4"/>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B"/>
    <w:rsid w:val="000001E8"/>
    <w:rsid w:val="000064C8"/>
    <w:rsid w:val="0000720D"/>
    <w:rsid w:val="0001056B"/>
    <w:rsid w:val="00014691"/>
    <w:rsid w:val="00015D88"/>
    <w:rsid w:val="00021378"/>
    <w:rsid w:val="00037AB3"/>
    <w:rsid w:val="00046082"/>
    <w:rsid w:val="0004610A"/>
    <w:rsid w:val="000625F0"/>
    <w:rsid w:val="000813C9"/>
    <w:rsid w:val="00081780"/>
    <w:rsid w:val="00082864"/>
    <w:rsid w:val="00082A73"/>
    <w:rsid w:val="00084571"/>
    <w:rsid w:val="00090793"/>
    <w:rsid w:val="000B5DE2"/>
    <w:rsid w:val="000C76E7"/>
    <w:rsid w:val="000D02B5"/>
    <w:rsid w:val="000F26AE"/>
    <w:rsid w:val="001019AD"/>
    <w:rsid w:val="001064FF"/>
    <w:rsid w:val="00106C2D"/>
    <w:rsid w:val="001106AE"/>
    <w:rsid w:val="001172FB"/>
    <w:rsid w:val="00124FEE"/>
    <w:rsid w:val="00137029"/>
    <w:rsid w:val="0013795D"/>
    <w:rsid w:val="00140157"/>
    <w:rsid w:val="00141682"/>
    <w:rsid w:val="001438F7"/>
    <w:rsid w:val="00154D07"/>
    <w:rsid w:val="00156C89"/>
    <w:rsid w:val="00160040"/>
    <w:rsid w:val="00165293"/>
    <w:rsid w:val="0016772D"/>
    <w:rsid w:val="0017091E"/>
    <w:rsid w:val="001731D4"/>
    <w:rsid w:val="00175C06"/>
    <w:rsid w:val="0017717A"/>
    <w:rsid w:val="00184AA6"/>
    <w:rsid w:val="00194F86"/>
    <w:rsid w:val="00195FC0"/>
    <w:rsid w:val="001A2DF9"/>
    <w:rsid w:val="001A3DAA"/>
    <w:rsid w:val="001A77C9"/>
    <w:rsid w:val="001B18A5"/>
    <w:rsid w:val="001B6931"/>
    <w:rsid w:val="001D3323"/>
    <w:rsid w:val="001E38A0"/>
    <w:rsid w:val="001E477F"/>
    <w:rsid w:val="001E7057"/>
    <w:rsid w:val="001F7E75"/>
    <w:rsid w:val="00206857"/>
    <w:rsid w:val="00217875"/>
    <w:rsid w:val="00220A17"/>
    <w:rsid w:val="002237A0"/>
    <w:rsid w:val="002473DD"/>
    <w:rsid w:val="00250F2E"/>
    <w:rsid w:val="00255558"/>
    <w:rsid w:val="002713A9"/>
    <w:rsid w:val="00271699"/>
    <w:rsid w:val="00275538"/>
    <w:rsid w:val="0028007D"/>
    <w:rsid w:val="002835B7"/>
    <w:rsid w:val="00293F74"/>
    <w:rsid w:val="00296E8B"/>
    <w:rsid w:val="00297AF3"/>
    <w:rsid w:val="002A28FF"/>
    <w:rsid w:val="002B2471"/>
    <w:rsid w:val="002B5D71"/>
    <w:rsid w:val="002B752F"/>
    <w:rsid w:val="002C231C"/>
    <w:rsid w:val="002E6434"/>
    <w:rsid w:val="002F4604"/>
    <w:rsid w:val="00302A2F"/>
    <w:rsid w:val="003043D8"/>
    <w:rsid w:val="003102A2"/>
    <w:rsid w:val="00311FE4"/>
    <w:rsid w:val="00313F39"/>
    <w:rsid w:val="0031571D"/>
    <w:rsid w:val="00321146"/>
    <w:rsid w:val="0032149A"/>
    <w:rsid w:val="00327816"/>
    <w:rsid w:val="00331477"/>
    <w:rsid w:val="00332351"/>
    <w:rsid w:val="003401AC"/>
    <w:rsid w:val="00344A55"/>
    <w:rsid w:val="00344E7F"/>
    <w:rsid w:val="00354AAE"/>
    <w:rsid w:val="003563CD"/>
    <w:rsid w:val="00357430"/>
    <w:rsid w:val="00367BEB"/>
    <w:rsid w:val="00370417"/>
    <w:rsid w:val="003B0739"/>
    <w:rsid w:val="003B089A"/>
    <w:rsid w:val="003B1C27"/>
    <w:rsid w:val="003B4A4B"/>
    <w:rsid w:val="003C7FD5"/>
    <w:rsid w:val="003D2429"/>
    <w:rsid w:val="003D4D8E"/>
    <w:rsid w:val="003E02A0"/>
    <w:rsid w:val="003E2971"/>
    <w:rsid w:val="003E312D"/>
    <w:rsid w:val="003E3B87"/>
    <w:rsid w:val="003E4225"/>
    <w:rsid w:val="003F31F6"/>
    <w:rsid w:val="004011FB"/>
    <w:rsid w:val="004112F0"/>
    <w:rsid w:val="00414B82"/>
    <w:rsid w:val="00417770"/>
    <w:rsid w:val="004245D1"/>
    <w:rsid w:val="00427F3F"/>
    <w:rsid w:val="004534BC"/>
    <w:rsid w:val="004600CF"/>
    <w:rsid w:val="0046194F"/>
    <w:rsid w:val="00477D93"/>
    <w:rsid w:val="004811ED"/>
    <w:rsid w:val="00483C24"/>
    <w:rsid w:val="004B7A21"/>
    <w:rsid w:val="004C2167"/>
    <w:rsid w:val="004C5CD2"/>
    <w:rsid w:val="004C6EDE"/>
    <w:rsid w:val="004E53ED"/>
    <w:rsid w:val="004E7FAD"/>
    <w:rsid w:val="005017DC"/>
    <w:rsid w:val="005060BC"/>
    <w:rsid w:val="00512F69"/>
    <w:rsid w:val="005165CB"/>
    <w:rsid w:val="00525780"/>
    <w:rsid w:val="00531D9C"/>
    <w:rsid w:val="00534BE1"/>
    <w:rsid w:val="005352AB"/>
    <w:rsid w:val="00536FF0"/>
    <w:rsid w:val="005450D0"/>
    <w:rsid w:val="00545423"/>
    <w:rsid w:val="00553F71"/>
    <w:rsid w:val="00554985"/>
    <w:rsid w:val="00560542"/>
    <w:rsid w:val="0056170C"/>
    <w:rsid w:val="005627A3"/>
    <w:rsid w:val="00565635"/>
    <w:rsid w:val="00574917"/>
    <w:rsid w:val="00576B17"/>
    <w:rsid w:val="005916F3"/>
    <w:rsid w:val="00594A40"/>
    <w:rsid w:val="005A38EE"/>
    <w:rsid w:val="005A633F"/>
    <w:rsid w:val="005B0877"/>
    <w:rsid w:val="005D3AD9"/>
    <w:rsid w:val="005D5433"/>
    <w:rsid w:val="005D65D0"/>
    <w:rsid w:val="005E618A"/>
    <w:rsid w:val="005F2C7F"/>
    <w:rsid w:val="0060088A"/>
    <w:rsid w:val="0060210C"/>
    <w:rsid w:val="00602799"/>
    <w:rsid w:val="00613948"/>
    <w:rsid w:val="00615810"/>
    <w:rsid w:val="006177B3"/>
    <w:rsid w:val="00622B44"/>
    <w:rsid w:val="00623192"/>
    <w:rsid w:val="00625EF1"/>
    <w:rsid w:val="00642F9E"/>
    <w:rsid w:val="00656ABD"/>
    <w:rsid w:val="006618B5"/>
    <w:rsid w:val="0066388E"/>
    <w:rsid w:val="00671D5B"/>
    <w:rsid w:val="0067343C"/>
    <w:rsid w:val="00680B2C"/>
    <w:rsid w:val="0069036D"/>
    <w:rsid w:val="00695D3F"/>
    <w:rsid w:val="00696661"/>
    <w:rsid w:val="006A232A"/>
    <w:rsid w:val="006B079D"/>
    <w:rsid w:val="006B4DA9"/>
    <w:rsid w:val="006D0662"/>
    <w:rsid w:val="006E17DE"/>
    <w:rsid w:val="006E7E4D"/>
    <w:rsid w:val="00707BF8"/>
    <w:rsid w:val="007101C9"/>
    <w:rsid w:val="00716264"/>
    <w:rsid w:val="007203FA"/>
    <w:rsid w:val="00723491"/>
    <w:rsid w:val="0072592D"/>
    <w:rsid w:val="00751C84"/>
    <w:rsid w:val="007527F4"/>
    <w:rsid w:val="00762615"/>
    <w:rsid w:val="00764B10"/>
    <w:rsid w:val="00765A82"/>
    <w:rsid w:val="0077134E"/>
    <w:rsid w:val="00777862"/>
    <w:rsid w:val="0079333E"/>
    <w:rsid w:val="007965CF"/>
    <w:rsid w:val="00797731"/>
    <w:rsid w:val="007A3014"/>
    <w:rsid w:val="007B07C9"/>
    <w:rsid w:val="007C0F18"/>
    <w:rsid w:val="007C0F55"/>
    <w:rsid w:val="007D32A1"/>
    <w:rsid w:val="007D42CA"/>
    <w:rsid w:val="007E46DC"/>
    <w:rsid w:val="007F1C2A"/>
    <w:rsid w:val="00800EDE"/>
    <w:rsid w:val="00802011"/>
    <w:rsid w:val="00803C05"/>
    <w:rsid w:val="00811C1F"/>
    <w:rsid w:val="00816FC0"/>
    <w:rsid w:val="00820FF1"/>
    <w:rsid w:val="00832EE5"/>
    <w:rsid w:val="0083618E"/>
    <w:rsid w:val="00847F60"/>
    <w:rsid w:val="0085495D"/>
    <w:rsid w:val="008565D7"/>
    <w:rsid w:val="00856EAD"/>
    <w:rsid w:val="008608B1"/>
    <w:rsid w:val="00873AB8"/>
    <w:rsid w:val="00875C2F"/>
    <w:rsid w:val="008767A0"/>
    <w:rsid w:val="0088691A"/>
    <w:rsid w:val="00890D5B"/>
    <w:rsid w:val="00890DC4"/>
    <w:rsid w:val="008A13F5"/>
    <w:rsid w:val="008A33EA"/>
    <w:rsid w:val="008B4C03"/>
    <w:rsid w:val="008B712E"/>
    <w:rsid w:val="008C10D2"/>
    <w:rsid w:val="008C4EFE"/>
    <w:rsid w:val="008D1F04"/>
    <w:rsid w:val="008E0837"/>
    <w:rsid w:val="008F0D1E"/>
    <w:rsid w:val="008F791A"/>
    <w:rsid w:val="009140C6"/>
    <w:rsid w:val="00916A77"/>
    <w:rsid w:val="00917830"/>
    <w:rsid w:val="00926C35"/>
    <w:rsid w:val="0093093C"/>
    <w:rsid w:val="00933A9A"/>
    <w:rsid w:val="00934B93"/>
    <w:rsid w:val="009400B5"/>
    <w:rsid w:val="00945A6A"/>
    <w:rsid w:val="0095287E"/>
    <w:rsid w:val="0095544F"/>
    <w:rsid w:val="009574C8"/>
    <w:rsid w:val="0098342A"/>
    <w:rsid w:val="009870B8"/>
    <w:rsid w:val="009974F4"/>
    <w:rsid w:val="009A2A85"/>
    <w:rsid w:val="009A3061"/>
    <w:rsid w:val="009A4447"/>
    <w:rsid w:val="009C5A3B"/>
    <w:rsid w:val="009D7C9C"/>
    <w:rsid w:val="009F1F3B"/>
    <w:rsid w:val="009F3688"/>
    <w:rsid w:val="009F4A68"/>
    <w:rsid w:val="009F7382"/>
    <w:rsid w:val="00A077C9"/>
    <w:rsid w:val="00A1155D"/>
    <w:rsid w:val="00A15143"/>
    <w:rsid w:val="00A15D67"/>
    <w:rsid w:val="00A20CEB"/>
    <w:rsid w:val="00A267DE"/>
    <w:rsid w:val="00A450B8"/>
    <w:rsid w:val="00A5039B"/>
    <w:rsid w:val="00A5124E"/>
    <w:rsid w:val="00A64477"/>
    <w:rsid w:val="00A64BCF"/>
    <w:rsid w:val="00A65489"/>
    <w:rsid w:val="00A66EBB"/>
    <w:rsid w:val="00A75F76"/>
    <w:rsid w:val="00A90EC7"/>
    <w:rsid w:val="00AD12AD"/>
    <w:rsid w:val="00AD1C3F"/>
    <w:rsid w:val="00AD6719"/>
    <w:rsid w:val="00AE234F"/>
    <w:rsid w:val="00AE3D9E"/>
    <w:rsid w:val="00AF31E0"/>
    <w:rsid w:val="00B00FAE"/>
    <w:rsid w:val="00B04171"/>
    <w:rsid w:val="00B0562D"/>
    <w:rsid w:val="00B0673D"/>
    <w:rsid w:val="00B06AB5"/>
    <w:rsid w:val="00B11696"/>
    <w:rsid w:val="00B13AEC"/>
    <w:rsid w:val="00B25890"/>
    <w:rsid w:val="00B37BB0"/>
    <w:rsid w:val="00B41B06"/>
    <w:rsid w:val="00B81A11"/>
    <w:rsid w:val="00B81B71"/>
    <w:rsid w:val="00B82FA1"/>
    <w:rsid w:val="00B838F8"/>
    <w:rsid w:val="00BA749B"/>
    <w:rsid w:val="00BB48A9"/>
    <w:rsid w:val="00BB55BA"/>
    <w:rsid w:val="00BB5E0D"/>
    <w:rsid w:val="00BC1DF7"/>
    <w:rsid w:val="00BC29D5"/>
    <w:rsid w:val="00BC30BA"/>
    <w:rsid w:val="00BE65CD"/>
    <w:rsid w:val="00C02E4C"/>
    <w:rsid w:val="00C06925"/>
    <w:rsid w:val="00C2481E"/>
    <w:rsid w:val="00C24D3D"/>
    <w:rsid w:val="00C26ADC"/>
    <w:rsid w:val="00C2724A"/>
    <w:rsid w:val="00C45688"/>
    <w:rsid w:val="00C50F9C"/>
    <w:rsid w:val="00C71120"/>
    <w:rsid w:val="00C7401F"/>
    <w:rsid w:val="00C816F3"/>
    <w:rsid w:val="00C81F73"/>
    <w:rsid w:val="00C84749"/>
    <w:rsid w:val="00C84D78"/>
    <w:rsid w:val="00C947C2"/>
    <w:rsid w:val="00C96429"/>
    <w:rsid w:val="00CA0D4E"/>
    <w:rsid w:val="00CA6BA4"/>
    <w:rsid w:val="00CB3314"/>
    <w:rsid w:val="00CC0C9F"/>
    <w:rsid w:val="00CD2B58"/>
    <w:rsid w:val="00CD73ED"/>
    <w:rsid w:val="00CD7494"/>
    <w:rsid w:val="00CE6BBA"/>
    <w:rsid w:val="00CF2842"/>
    <w:rsid w:val="00CF2D9D"/>
    <w:rsid w:val="00D031DE"/>
    <w:rsid w:val="00D040EB"/>
    <w:rsid w:val="00D05FF4"/>
    <w:rsid w:val="00D06039"/>
    <w:rsid w:val="00D06A8E"/>
    <w:rsid w:val="00D348B6"/>
    <w:rsid w:val="00D45B5C"/>
    <w:rsid w:val="00D464DE"/>
    <w:rsid w:val="00D47EC4"/>
    <w:rsid w:val="00D533A1"/>
    <w:rsid w:val="00D54E86"/>
    <w:rsid w:val="00D675AF"/>
    <w:rsid w:val="00D71926"/>
    <w:rsid w:val="00D72975"/>
    <w:rsid w:val="00D749F9"/>
    <w:rsid w:val="00D852C8"/>
    <w:rsid w:val="00D85519"/>
    <w:rsid w:val="00DA1CDA"/>
    <w:rsid w:val="00DA734F"/>
    <w:rsid w:val="00DC1246"/>
    <w:rsid w:val="00DC1D24"/>
    <w:rsid w:val="00DC42BF"/>
    <w:rsid w:val="00DC4CE6"/>
    <w:rsid w:val="00DD0688"/>
    <w:rsid w:val="00DD10B2"/>
    <w:rsid w:val="00DD5007"/>
    <w:rsid w:val="00DF15EE"/>
    <w:rsid w:val="00DF76A4"/>
    <w:rsid w:val="00E0149A"/>
    <w:rsid w:val="00E03324"/>
    <w:rsid w:val="00E06CEF"/>
    <w:rsid w:val="00E104FA"/>
    <w:rsid w:val="00E12810"/>
    <w:rsid w:val="00E12C21"/>
    <w:rsid w:val="00E12D30"/>
    <w:rsid w:val="00E21BB8"/>
    <w:rsid w:val="00E5528A"/>
    <w:rsid w:val="00E612DE"/>
    <w:rsid w:val="00E660B7"/>
    <w:rsid w:val="00E73433"/>
    <w:rsid w:val="00E82D71"/>
    <w:rsid w:val="00E8462E"/>
    <w:rsid w:val="00E8513B"/>
    <w:rsid w:val="00EA070C"/>
    <w:rsid w:val="00EA49D9"/>
    <w:rsid w:val="00EB01EF"/>
    <w:rsid w:val="00EB0BAF"/>
    <w:rsid w:val="00EB3DFB"/>
    <w:rsid w:val="00EE0A78"/>
    <w:rsid w:val="00EE6DD4"/>
    <w:rsid w:val="00EF162F"/>
    <w:rsid w:val="00EF2040"/>
    <w:rsid w:val="00F0652B"/>
    <w:rsid w:val="00F07FC6"/>
    <w:rsid w:val="00F11523"/>
    <w:rsid w:val="00F14283"/>
    <w:rsid w:val="00F174A7"/>
    <w:rsid w:val="00F225EF"/>
    <w:rsid w:val="00F27BE7"/>
    <w:rsid w:val="00F30557"/>
    <w:rsid w:val="00F34ED9"/>
    <w:rsid w:val="00F35089"/>
    <w:rsid w:val="00F46FF8"/>
    <w:rsid w:val="00F507CB"/>
    <w:rsid w:val="00F52B48"/>
    <w:rsid w:val="00F60305"/>
    <w:rsid w:val="00F64FEB"/>
    <w:rsid w:val="00F81F2B"/>
    <w:rsid w:val="00F8302F"/>
    <w:rsid w:val="00F867BF"/>
    <w:rsid w:val="00F92AFA"/>
    <w:rsid w:val="00F93479"/>
    <w:rsid w:val="00F96EA8"/>
    <w:rsid w:val="00FB3D21"/>
    <w:rsid w:val="00FB4B01"/>
    <w:rsid w:val="00FB5E5E"/>
    <w:rsid w:val="00FB7CC2"/>
    <w:rsid w:val="00FD619A"/>
    <w:rsid w:val="00FE61F9"/>
    <w:rsid w:val="00FF0D96"/>
    <w:rsid w:val="00FF0DA3"/>
    <w:rsid w:val="00FF33BD"/>
    <w:rsid w:val="00FF6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BBDA48"/>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A8"/>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5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870920170">
      <w:bodyDiv w:val="1"/>
      <w:marLeft w:val="0"/>
      <w:marRight w:val="0"/>
      <w:marTop w:val="0"/>
      <w:marBottom w:val="0"/>
      <w:divBdr>
        <w:top w:val="none" w:sz="0" w:space="0" w:color="auto"/>
        <w:left w:val="none" w:sz="0" w:space="0" w:color="auto"/>
        <w:bottom w:val="none" w:sz="0" w:space="0" w:color="auto"/>
        <w:right w:val="none" w:sz="0" w:space="0" w:color="auto"/>
      </w:divBdr>
    </w:div>
    <w:div w:id="1347631212">
      <w:bodyDiv w:val="1"/>
      <w:marLeft w:val="0"/>
      <w:marRight w:val="0"/>
      <w:marTop w:val="0"/>
      <w:marBottom w:val="0"/>
      <w:divBdr>
        <w:top w:val="none" w:sz="0" w:space="0" w:color="auto"/>
        <w:left w:val="none" w:sz="0" w:space="0" w:color="auto"/>
        <w:bottom w:val="none" w:sz="0" w:space="0" w:color="auto"/>
        <w:right w:val="none" w:sz="0" w:space="0" w:color="auto"/>
      </w:divBdr>
    </w:div>
    <w:div w:id="17462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EB23-DE88-4C61-90D0-03AF1E80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5776</Words>
  <Characters>32928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Grozījumi Ministru kabineta 2013.gada 29.oktobra noteikumos Nr.1191 “Kārtība, kādā publiska persona nomā nekustamo īpašumu no privātpersonas vai kapitālsabiedrības un publicē informāciju par nomātajiem un nomāt paredzētajiem nekustamajiem īpašumiem”</vt:lpstr>
    </vt:vector>
  </TitlesOfParts>
  <Company>Finanšu ministrija</Company>
  <LinksUpToDate>false</LinksUpToDate>
  <CharactersWithSpaces>38627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29.oktobra noteikumos Nr.1191 “Kārtība, kādā publiska persona nomā nekustamo īpašumu no privātpersonas vai kapitālsabiedrības un publicē informāciju par nomātajiem un nomāt paredzētajiem nekustamajiem īpašumiem”</dc:title>
  <dc:subject>Izziņa par atzinumos sniegtajiem iebildumiem</dc:subject>
  <dc:creator>Inga Bērziņa</dc:creator>
  <cp:keywords/>
  <dc:description>67083947, inga.berzina@fm.gov.lv</dc:description>
  <cp:lastModifiedBy>FM</cp:lastModifiedBy>
  <cp:revision>13</cp:revision>
  <cp:lastPrinted>2019-09-30T10:09:00Z</cp:lastPrinted>
  <dcterms:created xsi:type="dcterms:W3CDTF">2019-09-30T09:24:00Z</dcterms:created>
  <dcterms:modified xsi:type="dcterms:W3CDTF">2019-10-22T12:11:00Z</dcterms:modified>
</cp:coreProperties>
</file>