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63" w:rsidRDefault="005E2963" w:rsidP="001E04CA">
      <w:pPr>
        <w:jc w:val="center"/>
        <w:rPr>
          <w:b/>
        </w:rPr>
      </w:pPr>
    </w:p>
    <w:p w:rsidR="005E2963" w:rsidRDefault="005E2963" w:rsidP="001E04CA">
      <w:pPr>
        <w:jc w:val="center"/>
        <w:rPr>
          <w:b/>
        </w:rPr>
      </w:pPr>
    </w:p>
    <w:p w:rsidR="005E2963" w:rsidRDefault="005E2963" w:rsidP="001E04CA">
      <w:pPr>
        <w:jc w:val="center"/>
        <w:rPr>
          <w:b/>
        </w:rPr>
      </w:pPr>
    </w:p>
    <w:p w:rsidR="005E2963" w:rsidRDefault="005E2963" w:rsidP="001E04CA">
      <w:pPr>
        <w:jc w:val="center"/>
        <w:rPr>
          <w:b/>
        </w:rPr>
      </w:pPr>
      <w:r>
        <w:rPr>
          <w:b/>
        </w:rPr>
        <w:t>Izziņa par atzinumos sniegtajiem iebildumiem par likumprojektu „Grozījumi Patvēruma likumā”</w:t>
      </w:r>
    </w:p>
    <w:p w:rsidR="005E2963" w:rsidRDefault="005E2963" w:rsidP="00B54D33">
      <w:pPr>
        <w:pStyle w:val="naisf"/>
        <w:spacing w:before="0" w:after="0"/>
        <w:ind w:firstLine="0"/>
        <w:rPr>
          <w:b/>
        </w:rPr>
      </w:pPr>
    </w:p>
    <w:p w:rsidR="005E2963" w:rsidRDefault="005E2963" w:rsidP="001E04CA">
      <w:pPr>
        <w:pStyle w:val="naisf"/>
        <w:spacing w:before="0" w:after="0"/>
        <w:ind w:firstLine="0"/>
        <w:rPr>
          <w:b/>
        </w:rPr>
      </w:pPr>
    </w:p>
    <w:p w:rsidR="005E2963" w:rsidRDefault="005E2963" w:rsidP="001E04CA">
      <w:pPr>
        <w:pStyle w:val="naisf"/>
        <w:spacing w:before="0" w:after="0"/>
        <w:ind w:firstLine="0"/>
        <w:rPr>
          <w:b/>
        </w:rPr>
      </w:pPr>
    </w:p>
    <w:p w:rsidR="005E2963" w:rsidRDefault="005E2963" w:rsidP="001E04CA">
      <w:pPr>
        <w:pStyle w:val="naisf"/>
        <w:spacing w:before="0" w:after="0"/>
        <w:ind w:firstLine="0"/>
        <w:rPr>
          <w:b/>
        </w:rPr>
      </w:pPr>
      <w:r>
        <w:rPr>
          <w:b/>
        </w:rPr>
        <w:t xml:space="preserve">Informācija par starpministriju </w:t>
      </w:r>
      <w:r w:rsidRPr="007F203B">
        <w:rPr>
          <w:b/>
          <w:i/>
        </w:rPr>
        <w:t>(starpinstitūciju) sanāksmi vai</w:t>
      </w:r>
      <w:r>
        <w:rPr>
          <w:b/>
        </w:rPr>
        <w:t xml:space="preserve"> elektronisko saskaņošanu</w:t>
      </w:r>
    </w:p>
    <w:p w:rsidR="005E2963" w:rsidRDefault="005E2963" w:rsidP="001E04CA">
      <w:pPr>
        <w:pStyle w:val="naisf"/>
        <w:spacing w:before="0" w:after="0"/>
        <w:ind w:firstLine="0"/>
        <w:rPr>
          <w:b/>
        </w:rPr>
      </w:pPr>
    </w:p>
    <w:tbl>
      <w:tblPr>
        <w:tblW w:w="26862" w:type="dxa"/>
        <w:tblLayout w:type="fixed"/>
        <w:tblLook w:val="0000" w:firstRow="0" w:lastRow="0" w:firstColumn="0" w:lastColumn="0" w:noHBand="0" w:noVBand="0"/>
      </w:tblPr>
      <w:tblGrid>
        <w:gridCol w:w="14742"/>
        <w:gridCol w:w="12120"/>
      </w:tblGrid>
      <w:tr w:rsidR="005E2963" w:rsidTr="007C0E32">
        <w:tc>
          <w:tcPr>
            <w:tcW w:w="14742" w:type="dxa"/>
          </w:tcPr>
          <w:p w:rsidR="005E2963" w:rsidRPr="00D6758D" w:rsidRDefault="005E2963" w:rsidP="00FD43E4">
            <w:pPr>
              <w:pStyle w:val="naisf"/>
              <w:spacing w:before="0" w:after="0"/>
              <w:ind w:firstLine="0"/>
            </w:pPr>
            <w:r w:rsidRPr="00D6758D">
              <w:t>Datums:</w:t>
            </w:r>
            <w:r>
              <w:t xml:space="preserve"> </w:t>
            </w:r>
            <w:proofErr w:type="gramStart"/>
            <w:r>
              <w:t>201</w:t>
            </w:r>
            <w:r w:rsidR="00FD43E4">
              <w:t>9</w:t>
            </w:r>
            <w:r>
              <w:t>.gada</w:t>
            </w:r>
            <w:proofErr w:type="gramEnd"/>
            <w:r>
              <w:t xml:space="preserve"> </w:t>
            </w:r>
            <w:r w:rsidR="00FD43E4">
              <w:t>1.novembris</w:t>
            </w:r>
            <w:r>
              <w:t xml:space="preserve"> </w:t>
            </w:r>
            <w:r w:rsidRPr="00D6758D">
              <w:t xml:space="preserve"> </w:t>
            </w:r>
          </w:p>
        </w:tc>
        <w:tc>
          <w:tcPr>
            <w:tcW w:w="12120" w:type="dxa"/>
          </w:tcPr>
          <w:p w:rsidR="005E2963" w:rsidRPr="0087340E" w:rsidRDefault="005E2963" w:rsidP="00C13621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5E2963" w:rsidTr="007C0E32">
        <w:tc>
          <w:tcPr>
            <w:tcW w:w="14742" w:type="dxa"/>
          </w:tcPr>
          <w:p w:rsidR="005E2963" w:rsidRDefault="005E2963" w:rsidP="00C13621">
            <w:pPr>
              <w:pStyle w:val="naisf"/>
              <w:spacing w:before="0" w:after="0"/>
              <w:ind w:firstLine="0"/>
            </w:pPr>
          </w:p>
        </w:tc>
        <w:tc>
          <w:tcPr>
            <w:tcW w:w="12120" w:type="dxa"/>
            <w:tcBorders>
              <w:left w:val="nil"/>
              <w:right w:val="nil"/>
            </w:tcBorders>
          </w:tcPr>
          <w:p w:rsidR="005E2963" w:rsidRDefault="005E2963" w:rsidP="00C13621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5E2963" w:rsidTr="007C0E32">
        <w:tc>
          <w:tcPr>
            <w:tcW w:w="14742" w:type="dxa"/>
          </w:tcPr>
          <w:p w:rsidR="005E2963" w:rsidRDefault="005E2963" w:rsidP="0054543A">
            <w:pPr>
              <w:pStyle w:val="naiskr"/>
              <w:spacing w:before="0" w:after="0"/>
            </w:pPr>
            <w:r>
              <w:t>Saskaņošanas dalībnieki:</w:t>
            </w:r>
            <w:r w:rsidR="00685C5B">
              <w:t xml:space="preserve"> </w:t>
            </w:r>
            <w:r>
              <w:t xml:space="preserve">Tieslietu ministrija, Finanšu ministrija, Labklājības ministrija, Vides aizsardzības un reģionālās attīstības ministrija </w:t>
            </w:r>
          </w:p>
        </w:tc>
        <w:tc>
          <w:tcPr>
            <w:tcW w:w="12120" w:type="dxa"/>
          </w:tcPr>
          <w:p w:rsidR="005E2963" w:rsidRDefault="005E2963" w:rsidP="0087340E">
            <w:pPr>
              <w:pStyle w:val="NormalWeb"/>
              <w:spacing w:before="0" w:beforeAutospacing="0" w:after="0" w:afterAutospacing="0"/>
            </w:pPr>
          </w:p>
        </w:tc>
      </w:tr>
      <w:tr w:rsidR="005E2963" w:rsidTr="007C0E32">
        <w:tc>
          <w:tcPr>
            <w:tcW w:w="14742" w:type="dxa"/>
          </w:tcPr>
          <w:p w:rsidR="005E2963" w:rsidRDefault="005E2963" w:rsidP="000D25DA">
            <w:pPr>
              <w:pStyle w:val="naiskr"/>
              <w:spacing w:before="0" w:after="0"/>
            </w:pPr>
          </w:p>
        </w:tc>
        <w:tc>
          <w:tcPr>
            <w:tcW w:w="12120" w:type="dxa"/>
          </w:tcPr>
          <w:p w:rsidR="005E2963" w:rsidRDefault="005E2963" w:rsidP="00C13621">
            <w:pPr>
              <w:pStyle w:val="naiskr"/>
              <w:spacing w:before="0" w:after="0"/>
            </w:pPr>
          </w:p>
        </w:tc>
      </w:tr>
    </w:tbl>
    <w:p w:rsidR="005E2963" w:rsidRDefault="005E2963" w:rsidP="001E04CA"/>
    <w:tbl>
      <w:tblPr>
        <w:tblW w:w="20616" w:type="dxa"/>
        <w:tblLayout w:type="fixed"/>
        <w:tblLook w:val="0000" w:firstRow="0" w:lastRow="0" w:firstColumn="0" w:lastColumn="0" w:noHBand="0" w:noVBand="0"/>
      </w:tblPr>
      <w:tblGrid>
        <w:gridCol w:w="14742"/>
        <w:gridCol w:w="5874"/>
      </w:tblGrid>
      <w:tr w:rsidR="005E2963" w:rsidTr="000D25DA">
        <w:trPr>
          <w:trHeight w:val="285"/>
        </w:trPr>
        <w:tc>
          <w:tcPr>
            <w:tcW w:w="14742" w:type="dxa"/>
          </w:tcPr>
          <w:p w:rsidR="005E2963" w:rsidRPr="00D6758D" w:rsidRDefault="005E2963" w:rsidP="00C4431E">
            <w:pPr>
              <w:pStyle w:val="naiskr"/>
              <w:spacing w:before="0" w:after="0"/>
            </w:pPr>
            <w:r w:rsidRPr="00D6758D">
              <w:t xml:space="preserve">Saskaņošanas dalībnieki izskatīja </w:t>
            </w:r>
            <w:r w:rsidR="00685C5B">
              <w:t>Tieslietu ministrija</w:t>
            </w:r>
            <w:r w:rsidR="00C4431E">
              <w:t>s</w:t>
            </w:r>
            <w:r w:rsidR="00685C5B">
              <w:t xml:space="preserve"> un </w:t>
            </w:r>
            <w:r>
              <w:t>Vides aizsardzības un reģionālās attīstības ministrija</w:t>
            </w:r>
            <w:r w:rsidR="00C4431E">
              <w:t>s</w:t>
            </w:r>
            <w:r w:rsidR="00C4431E" w:rsidRPr="00D6758D">
              <w:t xml:space="preserve"> iebildumus</w:t>
            </w:r>
          </w:p>
        </w:tc>
        <w:tc>
          <w:tcPr>
            <w:tcW w:w="5874" w:type="dxa"/>
          </w:tcPr>
          <w:p w:rsidR="005E2963" w:rsidRDefault="005E2963" w:rsidP="00C13621">
            <w:pPr>
              <w:pStyle w:val="naiskr"/>
              <w:spacing w:before="0" w:after="0"/>
            </w:pPr>
          </w:p>
        </w:tc>
      </w:tr>
      <w:tr w:rsidR="005E2963" w:rsidTr="000D25DA">
        <w:trPr>
          <w:trHeight w:val="465"/>
        </w:trPr>
        <w:tc>
          <w:tcPr>
            <w:tcW w:w="20616" w:type="dxa"/>
            <w:gridSpan w:val="2"/>
          </w:tcPr>
          <w:p w:rsidR="005E2963" w:rsidRPr="00D6758D" w:rsidRDefault="005E2963" w:rsidP="00C13621">
            <w:pPr>
              <w:pStyle w:val="naisc"/>
              <w:spacing w:before="0" w:after="0"/>
              <w:ind w:left="4820" w:firstLine="720"/>
            </w:pPr>
          </w:p>
        </w:tc>
      </w:tr>
      <w:tr w:rsidR="005E2963" w:rsidTr="000D25DA">
        <w:tc>
          <w:tcPr>
            <w:tcW w:w="14742" w:type="dxa"/>
          </w:tcPr>
          <w:p w:rsidR="005E2963" w:rsidRPr="00D6758D" w:rsidRDefault="005E2963" w:rsidP="00C13621">
            <w:pPr>
              <w:pStyle w:val="naiskr"/>
              <w:spacing w:before="0" w:after="0"/>
            </w:pPr>
            <w:r w:rsidRPr="00D6758D">
              <w:t>Ministrijas (citas institūcijas), kuras nav ieradušās uz sanāksmi vai kuras nav atbildējušas uz uzaicinājumu piedalīties elektroniskajā saskaņošanā:</w:t>
            </w:r>
            <w:r>
              <w:t xml:space="preserve"> </w:t>
            </w:r>
          </w:p>
        </w:tc>
        <w:tc>
          <w:tcPr>
            <w:tcW w:w="5874" w:type="dxa"/>
          </w:tcPr>
          <w:p w:rsidR="005E2963" w:rsidRDefault="005E2963" w:rsidP="00C13621">
            <w:pPr>
              <w:pStyle w:val="naiskr"/>
              <w:spacing w:before="0" w:after="0"/>
            </w:pPr>
            <w:r>
              <w:t xml:space="preserve"> </w:t>
            </w:r>
          </w:p>
        </w:tc>
      </w:tr>
    </w:tbl>
    <w:p w:rsidR="005E2963" w:rsidRDefault="005E2963" w:rsidP="00E423B1">
      <w:pPr>
        <w:pStyle w:val="naisf"/>
        <w:spacing w:before="0" w:after="0"/>
        <w:ind w:firstLine="0"/>
        <w:rPr>
          <w:b/>
        </w:rPr>
      </w:pPr>
    </w:p>
    <w:p w:rsidR="005E2963" w:rsidRPr="001A2869" w:rsidRDefault="005E2963" w:rsidP="00E423B1">
      <w:pPr>
        <w:pStyle w:val="naisf"/>
        <w:spacing w:before="0" w:after="0"/>
        <w:ind w:firstLine="0"/>
        <w:jc w:val="center"/>
        <w:rPr>
          <w:b/>
        </w:rPr>
      </w:pPr>
      <w:r w:rsidRPr="001A2869">
        <w:rPr>
          <w:b/>
        </w:rPr>
        <w:t>II. Iebildumi, kas ņemti vērā</w:t>
      </w:r>
    </w:p>
    <w:p w:rsidR="005E2963" w:rsidRPr="001A2869" w:rsidRDefault="005E2963" w:rsidP="00E423B1">
      <w:pPr>
        <w:jc w:val="both"/>
        <w:rPr>
          <w:b/>
        </w:rPr>
      </w:pPr>
    </w:p>
    <w:tbl>
      <w:tblPr>
        <w:tblW w:w="147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120"/>
        <w:gridCol w:w="4934"/>
        <w:gridCol w:w="2964"/>
        <w:gridCol w:w="3067"/>
      </w:tblGrid>
      <w:tr w:rsidR="005E2963" w:rsidRPr="001A2869" w:rsidTr="00482411">
        <w:tc>
          <w:tcPr>
            <w:tcW w:w="696" w:type="dxa"/>
          </w:tcPr>
          <w:p w:rsidR="005E2963" w:rsidRPr="001A2869" w:rsidRDefault="005E2963" w:rsidP="008D462A">
            <w:pPr>
              <w:pStyle w:val="Subtitle"/>
              <w:jc w:val="center"/>
              <w:rPr>
                <w:b/>
                <w:bCs/>
                <w:sz w:val="24"/>
                <w:szCs w:val="24"/>
              </w:rPr>
            </w:pPr>
          </w:p>
          <w:p w:rsidR="005E2963" w:rsidRPr="001A2869" w:rsidRDefault="005E2963" w:rsidP="008D462A">
            <w:pPr>
              <w:pStyle w:val="Subtitle"/>
              <w:jc w:val="center"/>
              <w:rPr>
                <w:b/>
                <w:bCs/>
                <w:sz w:val="24"/>
                <w:szCs w:val="24"/>
              </w:rPr>
            </w:pPr>
            <w:r w:rsidRPr="001A2869">
              <w:rPr>
                <w:sz w:val="24"/>
                <w:szCs w:val="24"/>
              </w:rPr>
              <w:t>Nr. p.k.</w:t>
            </w:r>
          </w:p>
        </w:tc>
        <w:tc>
          <w:tcPr>
            <w:tcW w:w="3120" w:type="dxa"/>
            <w:vAlign w:val="center"/>
          </w:tcPr>
          <w:p w:rsidR="005E2963" w:rsidRPr="001A2869" w:rsidRDefault="005E2963" w:rsidP="008D462A">
            <w:pPr>
              <w:pStyle w:val="Subtitle"/>
              <w:jc w:val="center"/>
              <w:rPr>
                <w:b/>
                <w:bCs/>
                <w:sz w:val="24"/>
                <w:szCs w:val="24"/>
              </w:rPr>
            </w:pPr>
            <w:r w:rsidRPr="001A2869">
              <w:rPr>
                <w:sz w:val="24"/>
                <w:szCs w:val="24"/>
              </w:rPr>
              <w:t>Saskaņošanai nosūtītā projekta redakcija (konkrēta punkta (panta) redakcija)</w:t>
            </w:r>
          </w:p>
        </w:tc>
        <w:tc>
          <w:tcPr>
            <w:tcW w:w="4934" w:type="dxa"/>
            <w:vAlign w:val="center"/>
          </w:tcPr>
          <w:p w:rsidR="005E2963" w:rsidRPr="001A2869" w:rsidRDefault="005E2963" w:rsidP="008D462A">
            <w:pPr>
              <w:pStyle w:val="Subtitle"/>
              <w:jc w:val="center"/>
              <w:rPr>
                <w:sz w:val="24"/>
                <w:szCs w:val="24"/>
              </w:rPr>
            </w:pPr>
            <w:r w:rsidRPr="001A2869">
              <w:rPr>
                <w:sz w:val="24"/>
                <w:szCs w:val="24"/>
              </w:rPr>
              <w:t>Atzinumā norādītais iebildums par projekta konkrēto punktu (pantu)</w:t>
            </w:r>
          </w:p>
          <w:p w:rsidR="005E2963" w:rsidRPr="001A2869" w:rsidRDefault="005E2963" w:rsidP="008D462A">
            <w:pPr>
              <w:pStyle w:val="Subtitl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5E2963" w:rsidRPr="001A2869" w:rsidRDefault="005E2963" w:rsidP="008D462A">
            <w:pPr>
              <w:pStyle w:val="Subtitle"/>
              <w:jc w:val="center"/>
              <w:rPr>
                <w:b/>
                <w:bCs/>
                <w:sz w:val="24"/>
                <w:szCs w:val="24"/>
              </w:rPr>
            </w:pPr>
            <w:r w:rsidRPr="001A2869">
              <w:rPr>
                <w:sz w:val="24"/>
                <w:szCs w:val="24"/>
              </w:rPr>
              <w:t>Ministrijas (citas institūcijas)</w:t>
            </w:r>
            <w:r w:rsidRPr="001A2869">
              <w:rPr>
                <w:i/>
                <w:iCs/>
                <w:sz w:val="24"/>
                <w:szCs w:val="24"/>
              </w:rPr>
              <w:t xml:space="preserve"> </w:t>
            </w:r>
            <w:r w:rsidRPr="001A2869">
              <w:rPr>
                <w:sz w:val="24"/>
                <w:szCs w:val="24"/>
              </w:rPr>
              <w:t>viedoklis par izteikto iebildumu (attiecīgi norādot, vai iebildums ir ņemts vērā, noraidīts vai panākta vienošanās starpministriju sanāksmē)</w:t>
            </w:r>
          </w:p>
        </w:tc>
        <w:tc>
          <w:tcPr>
            <w:tcW w:w="3067" w:type="dxa"/>
            <w:vAlign w:val="center"/>
          </w:tcPr>
          <w:p w:rsidR="005E2963" w:rsidRPr="001A2869" w:rsidRDefault="005E2963" w:rsidP="008D462A">
            <w:pPr>
              <w:pStyle w:val="Subtitle"/>
              <w:jc w:val="center"/>
              <w:rPr>
                <w:b/>
                <w:bCs/>
                <w:sz w:val="24"/>
                <w:szCs w:val="24"/>
              </w:rPr>
            </w:pPr>
            <w:r w:rsidRPr="001A2869">
              <w:rPr>
                <w:sz w:val="24"/>
                <w:szCs w:val="24"/>
              </w:rPr>
              <w:t>Projekta attiecīgā punkta (panta) galīgā redakcija vai atsauce uz starpinstitūciju sanāksmes protokola punktu, kurā ir formulēta attiecīgā punkta (panta) redakcija vai  atšķirīgie viedokļi par konkrēto punktu (pantu)</w:t>
            </w:r>
          </w:p>
        </w:tc>
      </w:tr>
      <w:tr w:rsidR="005E2963" w:rsidRPr="001A2869" w:rsidTr="00482411">
        <w:tc>
          <w:tcPr>
            <w:tcW w:w="696" w:type="dxa"/>
          </w:tcPr>
          <w:p w:rsidR="005E2963" w:rsidRPr="001A2869" w:rsidRDefault="005E2963" w:rsidP="008D462A">
            <w:pPr>
              <w:pStyle w:val="BodyText2"/>
              <w:rPr>
                <w:b w:val="0"/>
                <w:sz w:val="24"/>
                <w:szCs w:val="24"/>
              </w:rPr>
            </w:pPr>
            <w:r w:rsidRPr="001A286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5E2963" w:rsidRPr="001A2869" w:rsidRDefault="005E2963" w:rsidP="008D462A">
            <w:pPr>
              <w:jc w:val="center"/>
            </w:pPr>
            <w:r w:rsidRPr="001A2869">
              <w:t>2</w:t>
            </w:r>
          </w:p>
        </w:tc>
        <w:tc>
          <w:tcPr>
            <w:tcW w:w="4934" w:type="dxa"/>
            <w:vAlign w:val="center"/>
          </w:tcPr>
          <w:p w:rsidR="005E2963" w:rsidRPr="001A2869" w:rsidRDefault="005E2963" w:rsidP="008D462A">
            <w:pPr>
              <w:pStyle w:val="BodyTextIndent"/>
              <w:ind w:left="0"/>
              <w:jc w:val="center"/>
            </w:pPr>
            <w:r w:rsidRPr="001A2869">
              <w:t>3</w:t>
            </w:r>
          </w:p>
        </w:tc>
        <w:tc>
          <w:tcPr>
            <w:tcW w:w="2964" w:type="dxa"/>
            <w:vAlign w:val="center"/>
          </w:tcPr>
          <w:p w:rsidR="005E2963" w:rsidRPr="001A2869" w:rsidRDefault="005E2963" w:rsidP="008D462A">
            <w:pPr>
              <w:pStyle w:val="BodyText"/>
              <w:tabs>
                <w:tab w:val="left" w:pos="720"/>
              </w:tabs>
              <w:spacing w:line="240" w:lineRule="auto"/>
              <w:jc w:val="center"/>
              <w:rPr>
                <w:sz w:val="24"/>
              </w:rPr>
            </w:pPr>
            <w:r w:rsidRPr="001A2869">
              <w:rPr>
                <w:sz w:val="24"/>
              </w:rPr>
              <w:t>4</w:t>
            </w:r>
          </w:p>
        </w:tc>
        <w:tc>
          <w:tcPr>
            <w:tcW w:w="3067" w:type="dxa"/>
            <w:vAlign w:val="center"/>
          </w:tcPr>
          <w:p w:rsidR="005E2963" w:rsidRPr="001A2869" w:rsidRDefault="005E2963" w:rsidP="008D462A">
            <w:pPr>
              <w:ind w:right="-2"/>
              <w:jc w:val="center"/>
            </w:pPr>
            <w:r w:rsidRPr="001A2869">
              <w:t>5</w:t>
            </w:r>
          </w:p>
        </w:tc>
      </w:tr>
      <w:tr w:rsidR="005E2963" w:rsidRPr="001A2869" w:rsidTr="00482411">
        <w:tc>
          <w:tcPr>
            <w:tcW w:w="696" w:type="dxa"/>
          </w:tcPr>
          <w:p w:rsidR="005E2963" w:rsidRPr="001A2869" w:rsidRDefault="005E2963" w:rsidP="007C64C2">
            <w:pPr>
              <w:pStyle w:val="BodyText2"/>
              <w:ind w:left="360" w:hanging="25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</w:t>
            </w:r>
          </w:p>
        </w:tc>
        <w:tc>
          <w:tcPr>
            <w:tcW w:w="3120" w:type="dxa"/>
            <w:vAlign w:val="center"/>
          </w:tcPr>
          <w:p w:rsidR="005E2963" w:rsidRPr="001A2869" w:rsidRDefault="005E2963" w:rsidP="007E47D0">
            <w:pPr>
              <w:jc w:val="both"/>
            </w:pPr>
          </w:p>
        </w:tc>
        <w:tc>
          <w:tcPr>
            <w:tcW w:w="4934" w:type="dxa"/>
            <w:vAlign w:val="center"/>
          </w:tcPr>
          <w:p w:rsidR="005E2963" w:rsidRDefault="005E2963" w:rsidP="007E47D0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>
              <w:t xml:space="preserve"> </w:t>
            </w:r>
            <w:r w:rsidR="00685C5B" w:rsidRPr="00685C5B">
              <w:rPr>
                <w:b/>
              </w:rPr>
              <w:t>Tieslietu ministrija</w:t>
            </w:r>
          </w:p>
          <w:p w:rsidR="00980B6D" w:rsidRPr="00980B6D" w:rsidRDefault="00980B6D" w:rsidP="00600920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980B6D">
              <w:lastRenderedPageBreak/>
              <w:t>Papildināt likumprojekta anotācijas V sadaļas 1. punktu un 1. tabulu</w:t>
            </w:r>
            <w:proofErr w:type="gramStart"/>
            <w:r w:rsidRPr="00980B6D">
              <w:t xml:space="preserve">  </w:t>
            </w:r>
            <w:proofErr w:type="gramEnd"/>
            <w:r w:rsidRPr="00980B6D">
              <w:t xml:space="preserve">atbilstoši Ministru kabineta 2009. gada 15. decembra instrukcijas Nr. 19 “Tiesību akta projekta sākotnējās ietekmes izvērtēšanas kārtība” </w:t>
            </w:r>
            <w:r w:rsidR="00600920">
              <w:t xml:space="preserve">(turpmāk – instrukcija) </w:t>
            </w:r>
            <w:r w:rsidRPr="00980B6D">
              <w:t>55. un 56. punktam</w:t>
            </w:r>
            <w:r w:rsidR="0013160F">
              <w:t xml:space="preserve"> saistībā ar </w:t>
            </w:r>
            <w:r w:rsidR="0013160F" w:rsidRPr="00A61A8C">
              <w:t>Eiropas Parlamenta un Padomes regulas Nr.604/2013, ar ko paredz kritērijus un mehānismus, lai noteiktu dalībvalsti, kura ir atbildīga par trešās valsts valstspiederīgā vai bezvalstnieka starptautiskās aizsardzības pieteikuma izskatīšanu, kas iesniegts kādā no dalībvalstīm</w:t>
            </w:r>
            <w:r w:rsidR="0013160F">
              <w:t xml:space="preserve"> (turpmāk – Regula) ieviešanu Latvijas nacionālajā regulējumā, kā tas norādīts </w:t>
            </w:r>
            <w:r w:rsidR="0013160F" w:rsidRPr="00980B6D">
              <w:t>likumprojekta anotācijas</w:t>
            </w:r>
            <w:r w:rsidR="0013160F">
              <w:t xml:space="preserve"> I sadaļas 2.punktā.</w:t>
            </w:r>
          </w:p>
        </w:tc>
        <w:tc>
          <w:tcPr>
            <w:tcW w:w="2964" w:type="dxa"/>
          </w:tcPr>
          <w:p w:rsidR="005E2963" w:rsidRDefault="005E2963" w:rsidP="001B2E37">
            <w:pPr>
              <w:pStyle w:val="BodyText"/>
              <w:tabs>
                <w:tab w:val="left" w:pos="720"/>
              </w:tabs>
              <w:spacing w:line="240" w:lineRule="auto"/>
              <w:rPr>
                <w:b/>
                <w:sz w:val="24"/>
              </w:rPr>
            </w:pPr>
            <w:r w:rsidRPr="001B2E37">
              <w:rPr>
                <w:b/>
                <w:sz w:val="24"/>
              </w:rPr>
              <w:lastRenderedPageBreak/>
              <w:t xml:space="preserve">Ņemts vērā </w:t>
            </w:r>
          </w:p>
          <w:p w:rsidR="0013160F" w:rsidRDefault="0013160F" w:rsidP="0013160F">
            <w:pPr>
              <w:pStyle w:val="BodyText"/>
              <w:tabs>
                <w:tab w:val="left" w:pos="720"/>
              </w:tabs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Precizēts </w:t>
            </w:r>
            <w:r w:rsidR="00980B6D">
              <w:rPr>
                <w:bCs/>
                <w:sz w:val="24"/>
              </w:rPr>
              <w:t>l</w:t>
            </w:r>
            <w:r w:rsidR="005E2963" w:rsidRPr="00E23795">
              <w:rPr>
                <w:bCs/>
                <w:sz w:val="24"/>
              </w:rPr>
              <w:t>ikumprojekt</w:t>
            </w:r>
            <w:r w:rsidR="00980B6D">
              <w:rPr>
                <w:bCs/>
                <w:sz w:val="24"/>
              </w:rPr>
              <w:t xml:space="preserve">a </w:t>
            </w:r>
            <w:r w:rsidR="00980B6D" w:rsidRPr="00980B6D">
              <w:rPr>
                <w:sz w:val="24"/>
              </w:rPr>
              <w:t xml:space="preserve">anotācijas </w:t>
            </w:r>
            <w:r>
              <w:rPr>
                <w:sz w:val="24"/>
              </w:rPr>
              <w:t>I</w:t>
            </w:r>
            <w:r w:rsidR="00980B6D" w:rsidRPr="00980B6D">
              <w:rPr>
                <w:sz w:val="24"/>
              </w:rPr>
              <w:t xml:space="preserve"> sadaļas </w:t>
            </w:r>
            <w:r>
              <w:rPr>
                <w:sz w:val="24"/>
              </w:rPr>
              <w:t>2</w:t>
            </w:r>
            <w:r w:rsidR="00980B6D" w:rsidRPr="00980B6D">
              <w:rPr>
                <w:sz w:val="24"/>
              </w:rPr>
              <w:t>. punkt</w:t>
            </w:r>
            <w:r w:rsidR="00980B6D">
              <w:rPr>
                <w:sz w:val="24"/>
              </w:rPr>
              <w:t>s</w:t>
            </w:r>
            <w:r>
              <w:rPr>
                <w:sz w:val="24"/>
              </w:rPr>
              <w:t>.</w:t>
            </w:r>
          </w:p>
          <w:p w:rsidR="005E2963" w:rsidRPr="0013160F" w:rsidRDefault="0013160F" w:rsidP="0013160F">
            <w:pPr>
              <w:pStyle w:val="BodyText"/>
              <w:tabs>
                <w:tab w:val="left" w:pos="720"/>
              </w:tabs>
              <w:spacing w:line="240" w:lineRule="auto"/>
              <w:rPr>
                <w:bCs/>
                <w:sz w:val="24"/>
              </w:rPr>
            </w:pPr>
            <w:r>
              <w:rPr>
                <w:sz w:val="24"/>
              </w:rPr>
              <w:t>L</w:t>
            </w:r>
            <w:r w:rsidRPr="0013160F">
              <w:rPr>
                <w:sz w:val="24"/>
              </w:rPr>
              <w:t>ikumprojekta anotācijas V sadaļas 1. punkt</w:t>
            </w:r>
            <w:r>
              <w:rPr>
                <w:sz w:val="24"/>
              </w:rPr>
              <w:t>s</w:t>
            </w:r>
            <w:r w:rsidRPr="0013160F">
              <w:rPr>
                <w:sz w:val="24"/>
              </w:rPr>
              <w:t xml:space="preserve"> un 1. tabul</w:t>
            </w:r>
            <w:r>
              <w:rPr>
                <w:sz w:val="24"/>
              </w:rPr>
              <w:t xml:space="preserve">a saglabāta bez izmaiņām, jo Regulā nav ietverts regulējums attiecībā uz nacionālo institūciju veicamajiem pasākumiem un tiem noteiktajiem termiņiem pēc tam, kad patvēruma meklētājs ir uzņemts atpakaļ Latvijas Republikā. </w:t>
            </w:r>
            <w:r w:rsidRPr="0013160F">
              <w:rPr>
                <w:sz w:val="24"/>
              </w:rPr>
              <w:t xml:space="preserve">  </w:t>
            </w:r>
          </w:p>
        </w:tc>
        <w:tc>
          <w:tcPr>
            <w:tcW w:w="3067" w:type="dxa"/>
            <w:vAlign w:val="center"/>
          </w:tcPr>
          <w:p w:rsidR="005F4E9E" w:rsidRDefault="005E2963" w:rsidP="005F4E9E">
            <w:r w:rsidRPr="001B2E37">
              <w:lastRenderedPageBreak/>
              <w:t xml:space="preserve">Skatīt </w:t>
            </w:r>
            <w:r w:rsidR="0013160F">
              <w:t>precizēto</w:t>
            </w:r>
            <w:proofErr w:type="gramStart"/>
            <w:r w:rsidR="0013160F">
              <w:t xml:space="preserve"> </w:t>
            </w:r>
            <w:r w:rsidRPr="001B2E37">
              <w:t xml:space="preserve"> </w:t>
            </w:r>
            <w:proofErr w:type="gramEnd"/>
            <w:r w:rsidR="00600920">
              <w:t xml:space="preserve">likumprojekta </w:t>
            </w:r>
            <w:r w:rsidRPr="001B2E37">
              <w:t xml:space="preserve">anotācijas </w:t>
            </w:r>
          </w:p>
          <w:p w:rsidR="005E2963" w:rsidRPr="001A2869" w:rsidRDefault="0013160F" w:rsidP="0013160F">
            <w:r>
              <w:lastRenderedPageBreak/>
              <w:t>I</w:t>
            </w:r>
            <w:r w:rsidR="005F4E9E">
              <w:t xml:space="preserve"> </w:t>
            </w:r>
            <w:r w:rsidR="005E2963" w:rsidRPr="001B2E37">
              <w:t xml:space="preserve">sadaļas </w:t>
            </w:r>
            <w:r>
              <w:t>2</w:t>
            </w:r>
            <w:r w:rsidR="005E2963" w:rsidRPr="001B2E37">
              <w:t xml:space="preserve">.punktu </w:t>
            </w:r>
          </w:p>
        </w:tc>
      </w:tr>
      <w:tr w:rsidR="005E2963" w:rsidRPr="001A2869" w:rsidTr="00482411">
        <w:tc>
          <w:tcPr>
            <w:tcW w:w="696" w:type="dxa"/>
          </w:tcPr>
          <w:p w:rsidR="005E2963" w:rsidRDefault="005E2963" w:rsidP="007C64C2">
            <w:pPr>
              <w:pStyle w:val="BodyText2"/>
              <w:ind w:left="360" w:hanging="25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20" w:type="dxa"/>
            <w:vAlign w:val="center"/>
          </w:tcPr>
          <w:p w:rsidR="005E2963" w:rsidRPr="001A2869" w:rsidRDefault="005E2963" w:rsidP="00027463">
            <w:pPr>
              <w:jc w:val="both"/>
            </w:pPr>
          </w:p>
        </w:tc>
        <w:tc>
          <w:tcPr>
            <w:tcW w:w="4934" w:type="dxa"/>
          </w:tcPr>
          <w:p w:rsidR="00980B6D" w:rsidRDefault="00980B6D" w:rsidP="00980B6D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685C5B">
              <w:rPr>
                <w:b/>
              </w:rPr>
              <w:t>Tieslietu ministrija</w:t>
            </w:r>
          </w:p>
          <w:p w:rsidR="005E2963" w:rsidRPr="007E47D0" w:rsidRDefault="00980B6D" w:rsidP="00600920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980B6D">
              <w:t>Precizēt likumprojekta anotācijas</w:t>
            </w:r>
            <w:r>
              <w:rPr>
                <w:b/>
              </w:rPr>
              <w:t xml:space="preserve"> </w:t>
            </w:r>
            <w:r w:rsidRPr="00980B6D">
              <w:t>V sadaļas 1. tabul</w:t>
            </w:r>
            <w:r w:rsidR="00600920">
              <w:t>u, atbilstoši instrukcijas 56.5.apakšpunktam izvērsti skaidrojot, no E</w:t>
            </w:r>
            <w:r w:rsidR="00600920" w:rsidRPr="00525CF7">
              <w:t xml:space="preserve">iropas Parlamenta un Padomes </w:t>
            </w:r>
            <w:proofErr w:type="gramStart"/>
            <w:r w:rsidR="00600920" w:rsidRPr="00525CF7">
              <w:t>2011.gada</w:t>
            </w:r>
            <w:proofErr w:type="gramEnd"/>
            <w:r w:rsidR="00600920" w:rsidRPr="00525CF7">
              <w:t xml:space="preserve"> 13.decembra direktīvas </w:t>
            </w:r>
            <w:hyperlink r:id="rId8" w:tgtFrame="_blank" w:history="1">
              <w:r w:rsidR="00600920" w:rsidRPr="00525CF7">
                <w:t>2011/95/ES</w:t>
              </w:r>
            </w:hyperlink>
            <w:r w:rsidR="00600920" w:rsidRPr="00525CF7">
              <w:t xml:space="preserve"> par standartiem, lai trešo valstu valstspiederīgos vai bezvalstniekus kvalificētu kā starptautiskās aizsardzības saņēmējus, par bēgļu vai personu, kas tiesīgas saņemt alternatīvo aizsardzību, vienotu statusu, un par piešķirtās aizsardzības saturu</w:t>
            </w:r>
            <w:r w:rsidR="00600920">
              <w:t xml:space="preserve">, 24.panta 2.punkta izrietošās rīcības brīvības izmantošanas pamatotību saistībā valsts drošības vai sabiedriskās kārtības </w:t>
            </w:r>
            <w:r w:rsidRPr="00980B6D">
              <w:t xml:space="preserve">  </w:t>
            </w:r>
            <w:r w:rsidR="00600920">
              <w:t>iemesliem.</w:t>
            </w:r>
          </w:p>
        </w:tc>
        <w:tc>
          <w:tcPr>
            <w:tcW w:w="2964" w:type="dxa"/>
          </w:tcPr>
          <w:p w:rsidR="005E2963" w:rsidRPr="00027463" w:rsidRDefault="005E2963" w:rsidP="00027463">
            <w:pPr>
              <w:pStyle w:val="naisc"/>
              <w:spacing w:before="0" w:beforeAutospacing="0" w:after="0" w:afterAutospacing="0"/>
              <w:ind w:firstLine="12"/>
              <w:jc w:val="both"/>
              <w:rPr>
                <w:b/>
              </w:rPr>
            </w:pPr>
            <w:r>
              <w:rPr>
                <w:b/>
              </w:rPr>
              <w:t>Ņ</w:t>
            </w:r>
            <w:r w:rsidRPr="00027463">
              <w:rPr>
                <w:b/>
              </w:rPr>
              <w:t xml:space="preserve">emts vērā </w:t>
            </w:r>
          </w:p>
          <w:p w:rsidR="005E2963" w:rsidRPr="001B2E37" w:rsidRDefault="00600920" w:rsidP="00600920">
            <w:pPr>
              <w:pStyle w:val="BodyText"/>
              <w:tabs>
                <w:tab w:val="left" w:pos="720"/>
              </w:tabs>
              <w:spacing w:line="240" w:lineRule="auto"/>
              <w:rPr>
                <w:b/>
                <w:sz w:val="24"/>
              </w:rPr>
            </w:pPr>
            <w:r>
              <w:rPr>
                <w:bCs/>
                <w:sz w:val="24"/>
              </w:rPr>
              <w:t>Papildināta l</w:t>
            </w:r>
            <w:r w:rsidRPr="00E23795">
              <w:rPr>
                <w:bCs/>
                <w:sz w:val="24"/>
              </w:rPr>
              <w:t>ikumprojekt</w:t>
            </w:r>
            <w:r>
              <w:rPr>
                <w:bCs/>
                <w:sz w:val="24"/>
              </w:rPr>
              <w:t xml:space="preserve">a </w:t>
            </w:r>
            <w:r w:rsidRPr="00980B6D">
              <w:rPr>
                <w:sz w:val="24"/>
              </w:rPr>
              <w:t>anotācijas V sadaļas 1.tabul</w:t>
            </w:r>
            <w:r>
              <w:rPr>
                <w:sz w:val="24"/>
              </w:rPr>
              <w:t>a</w:t>
            </w:r>
          </w:p>
        </w:tc>
        <w:tc>
          <w:tcPr>
            <w:tcW w:w="3067" w:type="dxa"/>
          </w:tcPr>
          <w:p w:rsidR="005F4E9E" w:rsidRDefault="00600920" w:rsidP="005F4E9E">
            <w:r w:rsidRPr="001B2E37">
              <w:t xml:space="preserve">Skatīt papildināto </w:t>
            </w:r>
            <w:r>
              <w:t xml:space="preserve">likumprojekta </w:t>
            </w:r>
            <w:r w:rsidRPr="001B2E37">
              <w:t xml:space="preserve">anotācijas </w:t>
            </w:r>
          </w:p>
          <w:p w:rsidR="005E2963" w:rsidRDefault="00600920" w:rsidP="005F4E9E">
            <w:r>
              <w:t>V</w:t>
            </w:r>
            <w:r w:rsidRPr="001B2E37">
              <w:t xml:space="preserve"> sadaļas </w:t>
            </w:r>
            <w:r>
              <w:t>1.tabulu.</w:t>
            </w:r>
          </w:p>
        </w:tc>
      </w:tr>
      <w:tr w:rsidR="00600920" w:rsidRPr="001A2869" w:rsidTr="00482411">
        <w:tc>
          <w:tcPr>
            <w:tcW w:w="696" w:type="dxa"/>
          </w:tcPr>
          <w:p w:rsidR="00600920" w:rsidRDefault="00600920" w:rsidP="007C64C2">
            <w:pPr>
              <w:pStyle w:val="BodyText2"/>
              <w:ind w:left="360" w:hanging="25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  <w:p w:rsidR="00600920" w:rsidRDefault="00600920" w:rsidP="007C64C2">
            <w:pPr>
              <w:pStyle w:val="BodyText2"/>
              <w:ind w:left="360" w:hanging="252"/>
              <w:rPr>
                <w:b w:val="0"/>
                <w:sz w:val="24"/>
                <w:szCs w:val="24"/>
              </w:rPr>
            </w:pPr>
          </w:p>
          <w:p w:rsidR="00600920" w:rsidRDefault="00600920" w:rsidP="007C64C2">
            <w:pPr>
              <w:pStyle w:val="BodyText2"/>
              <w:ind w:left="360" w:hanging="252"/>
              <w:rPr>
                <w:b w:val="0"/>
                <w:sz w:val="24"/>
                <w:szCs w:val="24"/>
              </w:rPr>
            </w:pPr>
          </w:p>
          <w:p w:rsidR="00600920" w:rsidRDefault="00600920" w:rsidP="007C64C2">
            <w:pPr>
              <w:pStyle w:val="BodyText2"/>
              <w:ind w:left="360" w:hanging="252"/>
              <w:rPr>
                <w:b w:val="0"/>
                <w:sz w:val="24"/>
                <w:szCs w:val="24"/>
              </w:rPr>
            </w:pPr>
          </w:p>
          <w:p w:rsidR="00600920" w:rsidRDefault="00600920" w:rsidP="007C64C2">
            <w:pPr>
              <w:pStyle w:val="BodyText2"/>
              <w:ind w:left="360" w:hanging="25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600920" w:rsidRPr="001A2869" w:rsidRDefault="00600920" w:rsidP="00027463">
            <w:pPr>
              <w:jc w:val="both"/>
            </w:pPr>
          </w:p>
        </w:tc>
        <w:tc>
          <w:tcPr>
            <w:tcW w:w="4934" w:type="dxa"/>
          </w:tcPr>
          <w:p w:rsidR="00600920" w:rsidRDefault="00600920" w:rsidP="00600920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685C5B">
              <w:rPr>
                <w:b/>
              </w:rPr>
              <w:t>Tieslietu ministrija</w:t>
            </w:r>
          </w:p>
          <w:p w:rsidR="00600920" w:rsidRPr="00600920" w:rsidRDefault="00600920" w:rsidP="00EA26BD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>
              <w:t>P</w:t>
            </w:r>
            <w:r w:rsidRPr="00600920">
              <w:t xml:space="preserve">apildināt likumprojekta anotācijas IV sadaļas 1. punktā </w:t>
            </w:r>
            <w:r>
              <w:t>atbilstoši instrukcijas 54.2</w:t>
            </w:r>
            <w:r w:rsidR="00EA26BD">
              <w:t>.</w:t>
            </w:r>
            <w:r>
              <w:t>apakšpunktam</w:t>
            </w:r>
            <w:r w:rsidR="00EA26BD">
              <w:t xml:space="preserve"> </w:t>
            </w:r>
            <w:r w:rsidRPr="00600920">
              <w:lastRenderedPageBreak/>
              <w:t>ietvero</w:t>
            </w:r>
            <w:r w:rsidR="00EA26BD">
              <w:t>t</w:t>
            </w:r>
            <w:r w:rsidRPr="00600920">
              <w:t xml:space="preserve"> informāciju par Imigrācijas likuma grozījumu nepieciešamību saistībā ar likumprojektu</w:t>
            </w:r>
            <w:r w:rsidR="00EA26BD">
              <w:t xml:space="preserve"> “Grozījumi Patvēruma likumā”</w:t>
            </w:r>
          </w:p>
        </w:tc>
        <w:tc>
          <w:tcPr>
            <w:tcW w:w="2964" w:type="dxa"/>
          </w:tcPr>
          <w:p w:rsidR="00EA26BD" w:rsidRPr="00027463" w:rsidRDefault="00EA26BD" w:rsidP="00EA26BD">
            <w:pPr>
              <w:pStyle w:val="naisc"/>
              <w:spacing w:before="0" w:beforeAutospacing="0" w:after="0" w:afterAutospacing="0"/>
              <w:ind w:firstLine="12"/>
              <w:jc w:val="both"/>
              <w:rPr>
                <w:b/>
              </w:rPr>
            </w:pPr>
            <w:r>
              <w:rPr>
                <w:b/>
              </w:rPr>
              <w:lastRenderedPageBreak/>
              <w:t>Ņ</w:t>
            </w:r>
            <w:r w:rsidRPr="00027463">
              <w:rPr>
                <w:b/>
              </w:rPr>
              <w:t xml:space="preserve">emts vērā </w:t>
            </w:r>
          </w:p>
          <w:p w:rsidR="00600920" w:rsidRDefault="00EA26BD" w:rsidP="00027463">
            <w:pPr>
              <w:pStyle w:val="naisc"/>
              <w:spacing w:before="0" w:beforeAutospacing="0" w:after="0" w:afterAutospacing="0"/>
              <w:ind w:firstLine="12"/>
              <w:jc w:val="both"/>
              <w:rPr>
                <w:b/>
              </w:rPr>
            </w:pPr>
            <w:r>
              <w:rPr>
                <w:bCs/>
              </w:rPr>
              <w:lastRenderedPageBreak/>
              <w:t>Papildināts l</w:t>
            </w:r>
            <w:r w:rsidRPr="00E23795">
              <w:rPr>
                <w:bCs/>
              </w:rPr>
              <w:t>ikumprojekt</w:t>
            </w:r>
            <w:r>
              <w:rPr>
                <w:bCs/>
              </w:rPr>
              <w:t xml:space="preserve">a </w:t>
            </w:r>
            <w:r w:rsidRPr="00980B6D">
              <w:t xml:space="preserve">anotācijas </w:t>
            </w:r>
            <w:r>
              <w:t>I</w:t>
            </w:r>
            <w:r w:rsidRPr="00980B6D">
              <w:t>V sadaļas 1. punkt</w:t>
            </w:r>
            <w:r>
              <w:t>s</w:t>
            </w:r>
          </w:p>
        </w:tc>
        <w:tc>
          <w:tcPr>
            <w:tcW w:w="3067" w:type="dxa"/>
          </w:tcPr>
          <w:p w:rsidR="005F4E9E" w:rsidRDefault="00EA26BD" w:rsidP="005F4E9E">
            <w:r w:rsidRPr="001B2E37">
              <w:lastRenderedPageBreak/>
              <w:t xml:space="preserve">Skatīt papildināto </w:t>
            </w:r>
            <w:r>
              <w:t xml:space="preserve">likumprojekta </w:t>
            </w:r>
            <w:r w:rsidRPr="001B2E37">
              <w:t xml:space="preserve">anotācijas </w:t>
            </w:r>
          </w:p>
          <w:p w:rsidR="00600920" w:rsidRPr="001B2E37" w:rsidRDefault="00EA26BD" w:rsidP="005F4E9E">
            <w:r>
              <w:t>IV</w:t>
            </w:r>
            <w:r w:rsidRPr="001B2E37">
              <w:t xml:space="preserve"> sadaļas </w:t>
            </w:r>
            <w:r>
              <w:t>1</w:t>
            </w:r>
            <w:r w:rsidRPr="001B2E37">
              <w:t>.punktu</w:t>
            </w:r>
          </w:p>
        </w:tc>
      </w:tr>
      <w:tr w:rsidR="005E2963" w:rsidRPr="001A2869" w:rsidTr="00482411">
        <w:tc>
          <w:tcPr>
            <w:tcW w:w="696" w:type="dxa"/>
          </w:tcPr>
          <w:p w:rsidR="005E2963" w:rsidRDefault="00600920" w:rsidP="00600920">
            <w:pPr>
              <w:pStyle w:val="BodyText2"/>
              <w:ind w:left="360" w:hanging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  <w:r w:rsidR="005E296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FE027F" w:rsidRDefault="005E2963" w:rsidP="00FE027F">
            <w:r>
              <w:t xml:space="preserve"> </w:t>
            </w:r>
          </w:p>
          <w:p w:rsidR="005E2963" w:rsidRDefault="005E2963" w:rsidP="00454A31"/>
        </w:tc>
        <w:tc>
          <w:tcPr>
            <w:tcW w:w="4934" w:type="dxa"/>
            <w:vAlign w:val="center"/>
          </w:tcPr>
          <w:p w:rsidR="005E2963" w:rsidRDefault="005E2963" w:rsidP="00FE027F">
            <w:pPr>
              <w:pStyle w:val="naisc"/>
              <w:spacing w:before="0" w:beforeAutospacing="0" w:after="0" w:afterAutospacing="0"/>
              <w:ind w:firstLine="11"/>
              <w:jc w:val="both"/>
              <w:rPr>
                <w:b/>
              </w:rPr>
            </w:pPr>
            <w:r w:rsidRPr="00B54D33">
              <w:rPr>
                <w:b/>
              </w:rPr>
              <w:t>Vides aizsardzības un reģionālās attīstības ministrija</w:t>
            </w:r>
            <w:r>
              <w:rPr>
                <w:b/>
              </w:rPr>
              <w:t xml:space="preserve"> </w:t>
            </w:r>
          </w:p>
          <w:p w:rsidR="005E2963" w:rsidRPr="00FE027F" w:rsidRDefault="00FE027F" w:rsidP="005F4E9E">
            <w:pPr>
              <w:pStyle w:val="BodyTextIndent"/>
              <w:spacing w:after="0"/>
              <w:ind w:left="0"/>
              <w:jc w:val="both"/>
            </w:pPr>
            <w:r w:rsidRPr="00FE027F">
              <w:t xml:space="preserve">Papildināt likumprojekta anotācijas </w:t>
            </w:r>
            <w:r>
              <w:t>I sadaļas 2.punktu, norādot pakalpojum</w:t>
            </w:r>
            <w:r w:rsidR="005F4E9E">
              <w:t>a</w:t>
            </w:r>
            <w:r>
              <w:t xml:space="preserve"> nosaukumu un tā sniegšanas kanālus, ņemot vērā, ka </w:t>
            </w:r>
            <w:r w:rsidR="005F4E9E">
              <w:t>esošais pakalpojums tiek pilnveidots (</w:t>
            </w:r>
            <w:r>
              <w:t>likumprojekts ”Grozījumi Imigrācijas likumā” paredz vēl vienu izņēmuma gadījumu, kad termiņuzturēšanās atļauja</w:t>
            </w:r>
            <w:r w:rsidR="005F4E9E">
              <w:t xml:space="preserve"> nav reģistrējama, ja tā izsniegta saskaņā ar Imigrācijas likuma </w:t>
            </w:r>
            <w:proofErr w:type="gramStart"/>
            <w:r w:rsidR="005F4E9E">
              <w:t>23.panta</w:t>
            </w:r>
            <w:proofErr w:type="gramEnd"/>
            <w:r w:rsidR="005F4E9E">
              <w:t xml:space="preserve"> pirmās daļas 13.punktu). </w:t>
            </w:r>
            <w:r>
              <w:t xml:space="preserve">  </w:t>
            </w:r>
          </w:p>
        </w:tc>
        <w:tc>
          <w:tcPr>
            <w:tcW w:w="2964" w:type="dxa"/>
          </w:tcPr>
          <w:p w:rsidR="005E2963" w:rsidRDefault="005E2963" w:rsidP="00A2686C">
            <w:pPr>
              <w:pStyle w:val="BodyText"/>
              <w:tabs>
                <w:tab w:val="left" w:pos="720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Ņemts vērā.</w:t>
            </w:r>
          </w:p>
          <w:p w:rsidR="005E2963" w:rsidRDefault="005F4E9E" w:rsidP="005F4E9E">
            <w:pPr>
              <w:pStyle w:val="BodyText"/>
              <w:tabs>
                <w:tab w:val="left" w:pos="720"/>
              </w:tabs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>Papildināts l</w:t>
            </w:r>
            <w:r w:rsidRPr="00E23795">
              <w:rPr>
                <w:bCs/>
                <w:sz w:val="24"/>
              </w:rPr>
              <w:t>ikumprojekt</w:t>
            </w:r>
            <w:r>
              <w:rPr>
                <w:bCs/>
                <w:sz w:val="24"/>
              </w:rPr>
              <w:t xml:space="preserve">a </w:t>
            </w:r>
            <w:r w:rsidRPr="00980B6D">
              <w:rPr>
                <w:sz w:val="24"/>
              </w:rPr>
              <w:t xml:space="preserve">anotācijas </w:t>
            </w:r>
            <w:r w:rsidR="00FD43E4">
              <w:rPr>
                <w:sz w:val="24"/>
              </w:rPr>
              <w:t xml:space="preserve">I </w:t>
            </w:r>
            <w:bookmarkStart w:id="0" w:name="_GoBack"/>
            <w:bookmarkEnd w:id="0"/>
            <w:r w:rsidRPr="00980B6D">
              <w:rPr>
                <w:sz w:val="24"/>
              </w:rPr>
              <w:t xml:space="preserve">sadaļas </w:t>
            </w:r>
            <w:r>
              <w:rPr>
                <w:sz w:val="24"/>
              </w:rPr>
              <w:t>2</w:t>
            </w:r>
            <w:r w:rsidRPr="00980B6D">
              <w:rPr>
                <w:sz w:val="24"/>
              </w:rPr>
              <w:t>. punkt</w:t>
            </w:r>
            <w:r>
              <w:rPr>
                <w:sz w:val="24"/>
              </w:rPr>
              <w:t>s</w:t>
            </w:r>
          </w:p>
          <w:p w:rsidR="00FD6816" w:rsidRPr="00FD6816" w:rsidRDefault="00FD6816" w:rsidP="005F4E9E">
            <w:pPr>
              <w:pStyle w:val="BodyText"/>
              <w:tabs>
                <w:tab w:val="left" w:pos="720"/>
              </w:tabs>
              <w:spacing w:line="240" w:lineRule="auto"/>
              <w:rPr>
                <w:b/>
                <w:bCs/>
                <w:sz w:val="24"/>
              </w:rPr>
            </w:pPr>
          </w:p>
        </w:tc>
        <w:tc>
          <w:tcPr>
            <w:tcW w:w="3067" w:type="dxa"/>
          </w:tcPr>
          <w:p w:rsidR="005F4E9E" w:rsidRDefault="005E2963" w:rsidP="005F4E9E">
            <w:pPr>
              <w:ind w:right="-2"/>
            </w:pPr>
            <w:r>
              <w:t>Skatīt</w:t>
            </w:r>
            <w:r w:rsidR="005F4E9E">
              <w:t xml:space="preserve"> papildināto </w:t>
            </w:r>
            <w:r>
              <w:t>likumprojekt</w:t>
            </w:r>
            <w:r w:rsidR="005F4E9E">
              <w:t xml:space="preserve">a </w:t>
            </w:r>
            <w:r>
              <w:t xml:space="preserve">anotācijas </w:t>
            </w:r>
          </w:p>
          <w:p w:rsidR="005E2963" w:rsidRPr="003044B8" w:rsidRDefault="005E2963" w:rsidP="005F4E9E">
            <w:pPr>
              <w:ind w:right="-2"/>
            </w:pPr>
            <w:r>
              <w:t xml:space="preserve">I sadaļas 2.punktu. </w:t>
            </w:r>
          </w:p>
        </w:tc>
      </w:tr>
      <w:tr w:rsidR="005E2963" w:rsidRPr="001A2869" w:rsidTr="00482411">
        <w:tc>
          <w:tcPr>
            <w:tcW w:w="696" w:type="dxa"/>
          </w:tcPr>
          <w:p w:rsidR="005E2963" w:rsidRDefault="0032269F" w:rsidP="00DD256F">
            <w:pPr>
              <w:pStyle w:val="BodyText2"/>
              <w:ind w:left="360" w:hanging="3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5E296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5E2963" w:rsidRDefault="005E2963" w:rsidP="00027463"/>
        </w:tc>
        <w:tc>
          <w:tcPr>
            <w:tcW w:w="4934" w:type="dxa"/>
            <w:vAlign w:val="center"/>
          </w:tcPr>
          <w:p w:rsidR="005F4E9E" w:rsidRDefault="005F4E9E" w:rsidP="005F4E9E">
            <w:pPr>
              <w:pStyle w:val="naisc"/>
              <w:spacing w:before="0" w:beforeAutospacing="0" w:after="0" w:afterAutospacing="0"/>
              <w:ind w:firstLine="11"/>
              <w:jc w:val="both"/>
              <w:rPr>
                <w:b/>
              </w:rPr>
            </w:pPr>
            <w:r w:rsidRPr="00B54D33">
              <w:rPr>
                <w:b/>
              </w:rPr>
              <w:t>Vides aizsardzības un reģionālās attīstības ministrija</w:t>
            </w:r>
            <w:r>
              <w:rPr>
                <w:b/>
              </w:rPr>
              <w:t xml:space="preserve"> </w:t>
            </w:r>
          </w:p>
          <w:p w:rsidR="005E2963" w:rsidRPr="005F4E9E" w:rsidRDefault="005F4E9E" w:rsidP="005F4E9E">
            <w:pPr>
              <w:pStyle w:val="naisc"/>
              <w:spacing w:before="0" w:beforeAutospacing="0" w:after="0" w:afterAutospacing="0"/>
              <w:ind w:firstLine="12"/>
              <w:jc w:val="both"/>
            </w:pPr>
            <w:r w:rsidRPr="005F4E9E">
              <w:t>Pēc likumprojekta “Grozījumi Patvēruma likumā” (VSS-970)</w:t>
            </w:r>
            <w:r>
              <w:t xml:space="preserve"> spēkā stāšanās lūdzam saskaņā ar Ministru kabineta </w:t>
            </w:r>
            <w:proofErr w:type="gramStart"/>
            <w:r>
              <w:t>2017.gada</w:t>
            </w:r>
            <w:proofErr w:type="gramEnd"/>
            <w:r>
              <w:t xml:space="preserve"> 4.jūlija noteikumu Nr.399 “Valsts pārvaldes pakalpojumu uzskaites, kvalitātes kontroles un sniegšanas kārtība” 4.3. apakšpunktā minēto, nodrošināt pakalpojuma apraksta aktualizāciju valsts pārvaldes pakalp</w:t>
            </w:r>
            <w:r w:rsidR="00DC33A5">
              <w:t>ojumu portālā Latvija.</w:t>
            </w:r>
          </w:p>
        </w:tc>
        <w:tc>
          <w:tcPr>
            <w:tcW w:w="2964" w:type="dxa"/>
          </w:tcPr>
          <w:p w:rsidR="00DC33A5" w:rsidRDefault="00DC33A5" w:rsidP="00DC33A5">
            <w:pPr>
              <w:pStyle w:val="BodyText"/>
              <w:tabs>
                <w:tab w:val="left" w:pos="720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Ņemts vērā.</w:t>
            </w:r>
          </w:p>
          <w:p w:rsidR="005E2963" w:rsidRDefault="005E2963" w:rsidP="00A2686C">
            <w:pPr>
              <w:pStyle w:val="BodyText"/>
              <w:tabs>
                <w:tab w:val="left" w:pos="720"/>
              </w:tabs>
              <w:spacing w:line="240" w:lineRule="auto"/>
              <w:rPr>
                <w:b/>
                <w:sz w:val="24"/>
              </w:rPr>
            </w:pPr>
          </w:p>
        </w:tc>
        <w:tc>
          <w:tcPr>
            <w:tcW w:w="3067" w:type="dxa"/>
          </w:tcPr>
          <w:p w:rsidR="005E2963" w:rsidRDefault="00DC33A5" w:rsidP="0032269F">
            <w:pPr>
              <w:ind w:right="-2"/>
              <w:jc w:val="both"/>
            </w:pPr>
            <w:r>
              <w:t>Pakalpojuma apraksts tiks aktualizēts pēc likumprojekta “Grozījumi Patvēruma likumā” spēkā stāšanās</w:t>
            </w:r>
            <w:r w:rsidR="0032269F">
              <w:t>.</w:t>
            </w:r>
          </w:p>
        </w:tc>
      </w:tr>
    </w:tbl>
    <w:p w:rsidR="00234C10" w:rsidRDefault="00234C10" w:rsidP="0017174F">
      <w:pPr>
        <w:jc w:val="both"/>
      </w:pPr>
    </w:p>
    <w:p w:rsidR="00DC33A5" w:rsidRDefault="00DC33A5" w:rsidP="0017174F">
      <w:pPr>
        <w:jc w:val="both"/>
      </w:pPr>
    </w:p>
    <w:p w:rsidR="005E2963" w:rsidRPr="001A2869" w:rsidRDefault="005E2963" w:rsidP="0017174F">
      <w:pPr>
        <w:jc w:val="both"/>
      </w:pPr>
      <w:r w:rsidRPr="001A2869">
        <w:t xml:space="preserve">Atbildīgā amatpersona </w:t>
      </w:r>
      <w:r w:rsidRPr="001A2869">
        <w:tab/>
      </w:r>
      <w:r w:rsidRPr="001A2869">
        <w:tab/>
      </w:r>
      <w:r w:rsidRPr="001A2869">
        <w:tab/>
      </w:r>
      <w:r w:rsidRPr="001A2869">
        <w:tab/>
      </w:r>
      <w:r w:rsidRPr="001A2869">
        <w:tab/>
      </w:r>
      <w:r w:rsidRPr="001A2869">
        <w:tab/>
      </w:r>
      <w:r w:rsidRPr="001A2869">
        <w:tab/>
      </w:r>
      <w:r w:rsidRPr="001A2869">
        <w:tab/>
      </w:r>
      <w:r w:rsidRPr="001A2869">
        <w:tab/>
      </w:r>
      <w:r>
        <w:tab/>
      </w:r>
      <w:r>
        <w:tab/>
      </w:r>
      <w:proofErr w:type="gramStart"/>
      <w:r>
        <w:t xml:space="preserve">                             </w:t>
      </w:r>
      <w:proofErr w:type="gramEnd"/>
      <w:r>
        <w:t xml:space="preserve">L.Vijupe </w:t>
      </w:r>
    </w:p>
    <w:p w:rsidR="005E2963" w:rsidRDefault="005E2963" w:rsidP="00A10C1D">
      <w:pPr>
        <w:tabs>
          <w:tab w:val="left" w:pos="13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11BCB" w:rsidRDefault="00C11BCB" w:rsidP="0017174F">
      <w:pPr>
        <w:rPr>
          <w:sz w:val="20"/>
          <w:szCs w:val="20"/>
        </w:rPr>
      </w:pPr>
    </w:p>
    <w:p w:rsidR="00AD77D3" w:rsidRDefault="00AD77D3" w:rsidP="00FD6816">
      <w:pPr>
        <w:tabs>
          <w:tab w:val="left" w:pos="6237"/>
        </w:tabs>
      </w:pPr>
    </w:p>
    <w:p w:rsidR="00FD6816" w:rsidRDefault="00FD6816" w:rsidP="00FD6816">
      <w:pPr>
        <w:tabs>
          <w:tab w:val="left" w:pos="6237"/>
        </w:tabs>
      </w:pPr>
      <w:r>
        <w:t>L.Vijupe</w:t>
      </w:r>
    </w:p>
    <w:p w:rsidR="00DC33A5" w:rsidRDefault="00FD43E4" w:rsidP="00FD6816">
      <w:pPr>
        <w:tabs>
          <w:tab w:val="left" w:pos="6237"/>
        </w:tabs>
        <w:rPr>
          <w:i/>
          <w:sz w:val="20"/>
          <w:szCs w:val="20"/>
        </w:rPr>
      </w:pPr>
      <w:hyperlink r:id="rId9" w:history="1">
        <w:r w:rsidR="00FD6816" w:rsidRPr="00455B54">
          <w:rPr>
            <w:rStyle w:val="Hyperlink"/>
          </w:rPr>
          <w:t>liga.vijupe@pmlp.gov.lv</w:t>
        </w:r>
      </w:hyperlink>
    </w:p>
    <w:sectPr w:rsidR="00DC33A5" w:rsidSect="00DD37C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6838" w:h="11906" w:orient="landscape"/>
      <w:pgMar w:top="1134" w:right="1418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63" w:rsidRDefault="005E2963" w:rsidP="00B7498A">
      <w:r>
        <w:separator/>
      </w:r>
    </w:p>
  </w:endnote>
  <w:endnote w:type="continuationSeparator" w:id="0">
    <w:p w:rsidR="005E2963" w:rsidRDefault="005E2963" w:rsidP="00B7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63" w:rsidRDefault="005E2963" w:rsidP="008D46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64</w:t>
    </w:r>
    <w:r>
      <w:rPr>
        <w:rStyle w:val="PageNumber"/>
      </w:rPr>
      <w:fldChar w:fldCharType="end"/>
    </w:r>
  </w:p>
  <w:p w:rsidR="005E2963" w:rsidRDefault="005E2963" w:rsidP="008D46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63" w:rsidRPr="00352CF6" w:rsidRDefault="005E2963" w:rsidP="00A2686C">
    <w:pPr>
      <w:jc w:val="both"/>
      <w:rPr>
        <w:sz w:val="20"/>
        <w:szCs w:val="20"/>
      </w:rPr>
    </w:pPr>
    <w:r>
      <w:rPr>
        <w:sz w:val="20"/>
        <w:szCs w:val="20"/>
      </w:rPr>
      <w:t>IEMIzz_</w:t>
    </w:r>
    <w:r w:rsidR="00FD43E4">
      <w:rPr>
        <w:sz w:val="20"/>
        <w:szCs w:val="20"/>
      </w:rPr>
      <w:t>01</w:t>
    </w:r>
    <w:r>
      <w:rPr>
        <w:sz w:val="20"/>
        <w:szCs w:val="20"/>
      </w:rPr>
      <w:t>1</w:t>
    </w:r>
    <w:r w:rsidR="00FD43E4">
      <w:rPr>
        <w:sz w:val="20"/>
        <w:szCs w:val="20"/>
      </w:rPr>
      <w:t>1</w:t>
    </w:r>
    <w:r>
      <w:rPr>
        <w:sz w:val="20"/>
        <w:szCs w:val="20"/>
      </w:rPr>
      <w:t>1</w:t>
    </w:r>
    <w:r w:rsidR="007F203B">
      <w:rPr>
        <w:sz w:val="20"/>
        <w:szCs w:val="20"/>
      </w:rPr>
      <w:t>9</w:t>
    </w:r>
    <w:r>
      <w:rPr>
        <w:sz w:val="20"/>
        <w:szCs w:val="20"/>
      </w:rPr>
      <w:t>_patvlik_VSS-</w:t>
    </w:r>
    <w:r w:rsidR="007F203B">
      <w:rPr>
        <w:sz w:val="20"/>
        <w:szCs w:val="20"/>
      </w:rPr>
      <w:t>97</w:t>
    </w:r>
    <w:r>
      <w:rPr>
        <w:sz w:val="20"/>
        <w:szCs w:val="20"/>
      </w:rPr>
      <w:t>0;</w:t>
    </w:r>
    <w:r w:rsidRPr="00FB2279">
      <w:rPr>
        <w:sz w:val="20"/>
        <w:szCs w:val="20"/>
      </w:rPr>
      <w:t xml:space="preserve"> </w:t>
    </w:r>
    <w:smartTag w:uri="schemas-tilde-lv/tildestengine" w:element="veidnes">
      <w:smartTagPr>
        <w:attr w:name="text" w:val="Izziņa"/>
        <w:attr w:name="baseform" w:val="izziņ|a"/>
        <w:attr w:name="id" w:val="-1"/>
      </w:smartTagPr>
      <w:r w:rsidRPr="00FB2279">
        <w:rPr>
          <w:sz w:val="20"/>
          <w:szCs w:val="20"/>
        </w:rPr>
        <w:t>Izziņa</w:t>
      </w:r>
    </w:smartTag>
    <w:r w:rsidRPr="00FB2279">
      <w:rPr>
        <w:sz w:val="20"/>
        <w:szCs w:val="20"/>
      </w:rPr>
      <w:t xml:space="preserve"> par atzinumos sniegtajiem iebildumiem par </w:t>
    </w:r>
    <w:r>
      <w:rPr>
        <w:color w:val="000000"/>
        <w:sz w:val="20"/>
        <w:szCs w:val="20"/>
      </w:rPr>
      <w:t xml:space="preserve">likumprojektu „Grozījumi Patvēruma likumā” </w:t>
    </w:r>
  </w:p>
  <w:p w:rsidR="005E2963" w:rsidRPr="00671BD8" w:rsidRDefault="005E2963" w:rsidP="00671B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63" w:rsidRPr="00352CF6" w:rsidRDefault="005E2963" w:rsidP="008D462A">
    <w:pPr>
      <w:jc w:val="both"/>
      <w:rPr>
        <w:sz w:val="20"/>
        <w:szCs w:val="20"/>
      </w:rPr>
    </w:pPr>
    <w:r>
      <w:rPr>
        <w:sz w:val="20"/>
        <w:szCs w:val="20"/>
      </w:rPr>
      <w:t>IEMIzz_</w:t>
    </w:r>
    <w:r w:rsidR="00FD43E4">
      <w:rPr>
        <w:sz w:val="20"/>
        <w:szCs w:val="20"/>
      </w:rPr>
      <w:t>0</w:t>
    </w:r>
    <w:r>
      <w:rPr>
        <w:sz w:val="20"/>
        <w:szCs w:val="20"/>
      </w:rPr>
      <w:t>1</w:t>
    </w:r>
    <w:r w:rsidR="00FD43E4">
      <w:rPr>
        <w:sz w:val="20"/>
        <w:szCs w:val="20"/>
      </w:rPr>
      <w:t>11</w:t>
    </w:r>
    <w:r>
      <w:rPr>
        <w:sz w:val="20"/>
        <w:szCs w:val="20"/>
      </w:rPr>
      <w:t>1</w:t>
    </w:r>
    <w:r w:rsidR="007F203B">
      <w:rPr>
        <w:sz w:val="20"/>
        <w:szCs w:val="20"/>
      </w:rPr>
      <w:t>9</w:t>
    </w:r>
    <w:r>
      <w:rPr>
        <w:sz w:val="20"/>
        <w:szCs w:val="20"/>
      </w:rPr>
      <w:t>_patvlik_VSS-</w:t>
    </w:r>
    <w:r w:rsidR="007F203B">
      <w:rPr>
        <w:sz w:val="20"/>
        <w:szCs w:val="20"/>
      </w:rPr>
      <w:t>970</w:t>
    </w:r>
    <w:r>
      <w:rPr>
        <w:sz w:val="20"/>
        <w:szCs w:val="20"/>
      </w:rPr>
      <w:t>;</w:t>
    </w:r>
    <w:r w:rsidRPr="00FB2279">
      <w:rPr>
        <w:sz w:val="20"/>
        <w:szCs w:val="20"/>
      </w:rPr>
      <w:t xml:space="preserve"> </w:t>
    </w:r>
    <w:smartTag w:uri="schemas-tilde-lv/tildestengine" w:element="veidnes">
      <w:smartTagPr>
        <w:attr w:name="text" w:val="Izziņa"/>
        <w:attr w:name="baseform" w:val="izziņ|a"/>
        <w:attr w:name="id" w:val="-1"/>
      </w:smartTagPr>
      <w:r w:rsidRPr="00FB2279">
        <w:rPr>
          <w:sz w:val="20"/>
          <w:szCs w:val="20"/>
        </w:rPr>
        <w:t>Izziņa</w:t>
      </w:r>
    </w:smartTag>
    <w:r w:rsidRPr="00FB2279">
      <w:rPr>
        <w:sz w:val="20"/>
        <w:szCs w:val="20"/>
      </w:rPr>
      <w:t xml:space="preserve"> par atzinumos sniegtajiem iebildumiem par </w:t>
    </w:r>
    <w:r>
      <w:rPr>
        <w:color w:val="000000"/>
        <w:sz w:val="20"/>
        <w:szCs w:val="20"/>
      </w:rPr>
      <w:t xml:space="preserve">likumprojektu „Grozījumi Patvēruma likumā”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63" w:rsidRDefault="005E2963" w:rsidP="00B7498A">
      <w:r>
        <w:separator/>
      </w:r>
    </w:p>
  </w:footnote>
  <w:footnote w:type="continuationSeparator" w:id="0">
    <w:p w:rsidR="005E2963" w:rsidRDefault="005E2963" w:rsidP="00B74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63" w:rsidRDefault="005E2963" w:rsidP="008D46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64</w:t>
    </w:r>
    <w:r>
      <w:rPr>
        <w:rStyle w:val="PageNumber"/>
      </w:rPr>
      <w:fldChar w:fldCharType="end"/>
    </w:r>
  </w:p>
  <w:p w:rsidR="005E2963" w:rsidRDefault="005E2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63" w:rsidRDefault="005E2963" w:rsidP="008D46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3E4">
      <w:rPr>
        <w:rStyle w:val="PageNumber"/>
        <w:noProof/>
      </w:rPr>
      <w:t>3</w:t>
    </w:r>
    <w:r>
      <w:rPr>
        <w:rStyle w:val="PageNumber"/>
      </w:rPr>
      <w:fldChar w:fldCharType="end"/>
    </w:r>
  </w:p>
  <w:p w:rsidR="005E2963" w:rsidRDefault="005E2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20FD"/>
    <w:multiLevelType w:val="hybridMultilevel"/>
    <w:tmpl w:val="E9C8325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B1"/>
    <w:rsid w:val="00004D43"/>
    <w:rsid w:val="000111A9"/>
    <w:rsid w:val="00012C1F"/>
    <w:rsid w:val="00013093"/>
    <w:rsid w:val="0001559D"/>
    <w:rsid w:val="00015FD5"/>
    <w:rsid w:val="00021051"/>
    <w:rsid w:val="00027463"/>
    <w:rsid w:val="000344C6"/>
    <w:rsid w:val="0004016B"/>
    <w:rsid w:val="00041670"/>
    <w:rsid w:val="0004177B"/>
    <w:rsid w:val="00050900"/>
    <w:rsid w:val="00053A73"/>
    <w:rsid w:val="0005743D"/>
    <w:rsid w:val="000613F0"/>
    <w:rsid w:val="00062B49"/>
    <w:rsid w:val="00065B43"/>
    <w:rsid w:val="00071397"/>
    <w:rsid w:val="00073FDE"/>
    <w:rsid w:val="000851F4"/>
    <w:rsid w:val="00086204"/>
    <w:rsid w:val="00093738"/>
    <w:rsid w:val="00096497"/>
    <w:rsid w:val="00097008"/>
    <w:rsid w:val="000A77C6"/>
    <w:rsid w:val="000B04BE"/>
    <w:rsid w:val="000B28CB"/>
    <w:rsid w:val="000B2D28"/>
    <w:rsid w:val="000B34E8"/>
    <w:rsid w:val="000B3F75"/>
    <w:rsid w:val="000B4ED9"/>
    <w:rsid w:val="000B5551"/>
    <w:rsid w:val="000B6762"/>
    <w:rsid w:val="000B6B31"/>
    <w:rsid w:val="000C14C7"/>
    <w:rsid w:val="000C174B"/>
    <w:rsid w:val="000C570D"/>
    <w:rsid w:val="000D0143"/>
    <w:rsid w:val="000D051C"/>
    <w:rsid w:val="000D1BCC"/>
    <w:rsid w:val="000D25DA"/>
    <w:rsid w:val="000E0303"/>
    <w:rsid w:val="000E3255"/>
    <w:rsid w:val="000E3CE8"/>
    <w:rsid w:val="000F1A38"/>
    <w:rsid w:val="000F5D07"/>
    <w:rsid w:val="000F6ED9"/>
    <w:rsid w:val="001048BC"/>
    <w:rsid w:val="00106FFB"/>
    <w:rsid w:val="001131DE"/>
    <w:rsid w:val="00116276"/>
    <w:rsid w:val="00117BA9"/>
    <w:rsid w:val="00125D06"/>
    <w:rsid w:val="001261A5"/>
    <w:rsid w:val="0013160F"/>
    <w:rsid w:val="00131788"/>
    <w:rsid w:val="00133ADD"/>
    <w:rsid w:val="0013594B"/>
    <w:rsid w:val="00135D34"/>
    <w:rsid w:val="001420D9"/>
    <w:rsid w:val="00142FCE"/>
    <w:rsid w:val="00143195"/>
    <w:rsid w:val="00144C07"/>
    <w:rsid w:val="001462EF"/>
    <w:rsid w:val="00153878"/>
    <w:rsid w:val="00157F96"/>
    <w:rsid w:val="00160C33"/>
    <w:rsid w:val="001615AA"/>
    <w:rsid w:val="00166403"/>
    <w:rsid w:val="00166D81"/>
    <w:rsid w:val="001711E8"/>
    <w:rsid w:val="001715F0"/>
    <w:rsid w:val="0017170D"/>
    <w:rsid w:val="0017174F"/>
    <w:rsid w:val="001754A9"/>
    <w:rsid w:val="00175C76"/>
    <w:rsid w:val="00180579"/>
    <w:rsid w:val="00184896"/>
    <w:rsid w:val="00184F98"/>
    <w:rsid w:val="00194119"/>
    <w:rsid w:val="001A0331"/>
    <w:rsid w:val="001A0928"/>
    <w:rsid w:val="001A0A12"/>
    <w:rsid w:val="001A1681"/>
    <w:rsid w:val="001A2869"/>
    <w:rsid w:val="001A2EE4"/>
    <w:rsid w:val="001A4105"/>
    <w:rsid w:val="001A4AA6"/>
    <w:rsid w:val="001A6F69"/>
    <w:rsid w:val="001B073E"/>
    <w:rsid w:val="001B1B54"/>
    <w:rsid w:val="001B2E37"/>
    <w:rsid w:val="001B39E9"/>
    <w:rsid w:val="001B3C9A"/>
    <w:rsid w:val="001B5331"/>
    <w:rsid w:val="001B7980"/>
    <w:rsid w:val="001C0360"/>
    <w:rsid w:val="001C1D11"/>
    <w:rsid w:val="001C46B8"/>
    <w:rsid w:val="001C5603"/>
    <w:rsid w:val="001C76AD"/>
    <w:rsid w:val="001C7A75"/>
    <w:rsid w:val="001C7C24"/>
    <w:rsid w:val="001D3C0D"/>
    <w:rsid w:val="001E005C"/>
    <w:rsid w:val="001E04CA"/>
    <w:rsid w:val="001E0719"/>
    <w:rsid w:val="001E45B5"/>
    <w:rsid w:val="001F2700"/>
    <w:rsid w:val="00203150"/>
    <w:rsid w:val="0021576D"/>
    <w:rsid w:val="00234C10"/>
    <w:rsid w:val="002378EE"/>
    <w:rsid w:val="00240C04"/>
    <w:rsid w:val="0024379A"/>
    <w:rsid w:val="00256E04"/>
    <w:rsid w:val="00260058"/>
    <w:rsid w:val="00260D5A"/>
    <w:rsid w:val="0026547B"/>
    <w:rsid w:val="002762E8"/>
    <w:rsid w:val="00276446"/>
    <w:rsid w:val="00281C70"/>
    <w:rsid w:val="00282361"/>
    <w:rsid w:val="002834CC"/>
    <w:rsid w:val="00292148"/>
    <w:rsid w:val="0029371F"/>
    <w:rsid w:val="00297B4B"/>
    <w:rsid w:val="002A0F1E"/>
    <w:rsid w:val="002A52F3"/>
    <w:rsid w:val="002A730A"/>
    <w:rsid w:val="002A7F49"/>
    <w:rsid w:val="002B4AAA"/>
    <w:rsid w:val="002B4B61"/>
    <w:rsid w:val="002B6A3C"/>
    <w:rsid w:val="002B7D3E"/>
    <w:rsid w:val="002D1506"/>
    <w:rsid w:val="002D3817"/>
    <w:rsid w:val="002E1873"/>
    <w:rsid w:val="002E60C4"/>
    <w:rsid w:val="002E76EE"/>
    <w:rsid w:val="002F4CEF"/>
    <w:rsid w:val="002F57AA"/>
    <w:rsid w:val="002F63F3"/>
    <w:rsid w:val="003044B8"/>
    <w:rsid w:val="00304981"/>
    <w:rsid w:val="00305CBE"/>
    <w:rsid w:val="003113FF"/>
    <w:rsid w:val="00312A3F"/>
    <w:rsid w:val="0032012C"/>
    <w:rsid w:val="00320910"/>
    <w:rsid w:val="0032269F"/>
    <w:rsid w:val="003272B6"/>
    <w:rsid w:val="00330EBE"/>
    <w:rsid w:val="00331EFA"/>
    <w:rsid w:val="00341020"/>
    <w:rsid w:val="00342F3D"/>
    <w:rsid w:val="00342FAF"/>
    <w:rsid w:val="00351EB5"/>
    <w:rsid w:val="00352050"/>
    <w:rsid w:val="00352CB3"/>
    <w:rsid w:val="00352CF6"/>
    <w:rsid w:val="003537B3"/>
    <w:rsid w:val="00362B60"/>
    <w:rsid w:val="00364585"/>
    <w:rsid w:val="00364710"/>
    <w:rsid w:val="00377014"/>
    <w:rsid w:val="003772C4"/>
    <w:rsid w:val="003802A8"/>
    <w:rsid w:val="00383928"/>
    <w:rsid w:val="0038428F"/>
    <w:rsid w:val="00386E6B"/>
    <w:rsid w:val="0039080B"/>
    <w:rsid w:val="00394A8B"/>
    <w:rsid w:val="003A05BC"/>
    <w:rsid w:val="003A05CE"/>
    <w:rsid w:val="003A67E4"/>
    <w:rsid w:val="003A72A5"/>
    <w:rsid w:val="003B1F9E"/>
    <w:rsid w:val="003B2EC4"/>
    <w:rsid w:val="003B3044"/>
    <w:rsid w:val="003B613E"/>
    <w:rsid w:val="003C5EEB"/>
    <w:rsid w:val="003C6275"/>
    <w:rsid w:val="003C6C07"/>
    <w:rsid w:val="003D055E"/>
    <w:rsid w:val="003D058F"/>
    <w:rsid w:val="003D397D"/>
    <w:rsid w:val="003D44F2"/>
    <w:rsid w:val="003D7883"/>
    <w:rsid w:val="003E29AA"/>
    <w:rsid w:val="003E70CA"/>
    <w:rsid w:val="003E7EE8"/>
    <w:rsid w:val="003F1729"/>
    <w:rsid w:val="003F4BBB"/>
    <w:rsid w:val="003F4F07"/>
    <w:rsid w:val="003F6678"/>
    <w:rsid w:val="0040047A"/>
    <w:rsid w:val="00403A06"/>
    <w:rsid w:val="00403C1A"/>
    <w:rsid w:val="00411684"/>
    <w:rsid w:val="00411DCA"/>
    <w:rsid w:val="00414FED"/>
    <w:rsid w:val="00422E39"/>
    <w:rsid w:val="00423A5C"/>
    <w:rsid w:val="00434946"/>
    <w:rsid w:val="004433E5"/>
    <w:rsid w:val="00444BFA"/>
    <w:rsid w:val="00445074"/>
    <w:rsid w:val="00454A31"/>
    <w:rsid w:val="0046104D"/>
    <w:rsid w:val="004610B3"/>
    <w:rsid w:val="00462D9B"/>
    <w:rsid w:val="00463A21"/>
    <w:rsid w:val="00471F6A"/>
    <w:rsid w:val="004732F6"/>
    <w:rsid w:val="00475FBA"/>
    <w:rsid w:val="004772F6"/>
    <w:rsid w:val="00482411"/>
    <w:rsid w:val="004839D7"/>
    <w:rsid w:val="00485DB1"/>
    <w:rsid w:val="00486754"/>
    <w:rsid w:val="00490BF2"/>
    <w:rsid w:val="00494F32"/>
    <w:rsid w:val="004962FA"/>
    <w:rsid w:val="00497065"/>
    <w:rsid w:val="00497610"/>
    <w:rsid w:val="004A133D"/>
    <w:rsid w:val="004A1640"/>
    <w:rsid w:val="004A22D8"/>
    <w:rsid w:val="004B4DFD"/>
    <w:rsid w:val="004B57C1"/>
    <w:rsid w:val="004B59EE"/>
    <w:rsid w:val="004B6803"/>
    <w:rsid w:val="004B6F9A"/>
    <w:rsid w:val="004B7FC7"/>
    <w:rsid w:val="004C187A"/>
    <w:rsid w:val="004C1AA6"/>
    <w:rsid w:val="004C2E72"/>
    <w:rsid w:val="004C6152"/>
    <w:rsid w:val="004C76D2"/>
    <w:rsid w:val="004D06AA"/>
    <w:rsid w:val="004D456E"/>
    <w:rsid w:val="004D45AE"/>
    <w:rsid w:val="004D5C34"/>
    <w:rsid w:val="004D6C9D"/>
    <w:rsid w:val="004D7305"/>
    <w:rsid w:val="004E073E"/>
    <w:rsid w:val="004E3E7D"/>
    <w:rsid w:val="004E4C1F"/>
    <w:rsid w:val="004E785F"/>
    <w:rsid w:val="004F0440"/>
    <w:rsid w:val="004F48E9"/>
    <w:rsid w:val="004F5B7E"/>
    <w:rsid w:val="004F7227"/>
    <w:rsid w:val="00500738"/>
    <w:rsid w:val="00501271"/>
    <w:rsid w:val="00502269"/>
    <w:rsid w:val="00516A72"/>
    <w:rsid w:val="00524162"/>
    <w:rsid w:val="005255B0"/>
    <w:rsid w:val="00527726"/>
    <w:rsid w:val="005320BE"/>
    <w:rsid w:val="00533452"/>
    <w:rsid w:val="00534925"/>
    <w:rsid w:val="00537827"/>
    <w:rsid w:val="00537A19"/>
    <w:rsid w:val="00540CF3"/>
    <w:rsid w:val="00543BBD"/>
    <w:rsid w:val="0054543A"/>
    <w:rsid w:val="0055070C"/>
    <w:rsid w:val="005517A8"/>
    <w:rsid w:val="005535E0"/>
    <w:rsid w:val="00554B5F"/>
    <w:rsid w:val="00567C11"/>
    <w:rsid w:val="00574057"/>
    <w:rsid w:val="00574944"/>
    <w:rsid w:val="00577EFC"/>
    <w:rsid w:val="00580ABB"/>
    <w:rsid w:val="005829A7"/>
    <w:rsid w:val="00584D5F"/>
    <w:rsid w:val="0058784A"/>
    <w:rsid w:val="0059373F"/>
    <w:rsid w:val="005A2C89"/>
    <w:rsid w:val="005B52E2"/>
    <w:rsid w:val="005C5D78"/>
    <w:rsid w:val="005D307B"/>
    <w:rsid w:val="005D506B"/>
    <w:rsid w:val="005D7F66"/>
    <w:rsid w:val="005E00A9"/>
    <w:rsid w:val="005E0FCD"/>
    <w:rsid w:val="005E11C4"/>
    <w:rsid w:val="005E2963"/>
    <w:rsid w:val="005E2F2D"/>
    <w:rsid w:val="005F4E9E"/>
    <w:rsid w:val="005F6905"/>
    <w:rsid w:val="005F783B"/>
    <w:rsid w:val="00600920"/>
    <w:rsid w:val="00600F39"/>
    <w:rsid w:val="0060128B"/>
    <w:rsid w:val="0061080F"/>
    <w:rsid w:val="0061111C"/>
    <w:rsid w:val="0061326D"/>
    <w:rsid w:val="0061516F"/>
    <w:rsid w:val="00617E86"/>
    <w:rsid w:val="006379A8"/>
    <w:rsid w:val="00642CDB"/>
    <w:rsid w:val="00642FA1"/>
    <w:rsid w:val="006467B4"/>
    <w:rsid w:val="00647A01"/>
    <w:rsid w:val="00650BE9"/>
    <w:rsid w:val="006510F2"/>
    <w:rsid w:val="0065609A"/>
    <w:rsid w:val="006574CA"/>
    <w:rsid w:val="00660BB5"/>
    <w:rsid w:val="00661CA2"/>
    <w:rsid w:val="00671BD8"/>
    <w:rsid w:val="00673B2C"/>
    <w:rsid w:val="00675F51"/>
    <w:rsid w:val="006802A9"/>
    <w:rsid w:val="0068135F"/>
    <w:rsid w:val="006853A7"/>
    <w:rsid w:val="00685C5B"/>
    <w:rsid w:val="006909D4"/>
    <w:rsid w:val="00696E65"/>
    <w:rsid w:val="006A1FF8"/>
    <w:rsid w:val="006A395F"/>
    <w:rsid w:val="006A4FE3"/>
    <w:rsid w:val="006A6039"/>
    <w:rsid w:val="006A7C27"/>
    <w:rsid w:val="006B1125"/>
    <w:rsid w:val="006B2B00"/>
    <w:rsid w:val="006B6614"/>
    <w:rsid w:val="006B700B"/>
    <w:rsid w:val="006B71D5"/>
    <w:rsid w:val="006B7F50"/>
    <w:rsid w:val="006C15BB"/>
    <w:rsid w:val="006C18AC"/>
    <w:rsid w:val="006D32EB"/>
    <w:rsid w:val="006D3F4D"/>
    <w:rsid w:val="006D7358"/>
    <w:rsid w:val="006D766A"/>
    <w:rsid w:val="006D7DD5"/>
    <w:rsid w:val="006D7E60"/>
    <w:rsid w:val="006E1D52"/>
    <w:rsid w:val="006F0729"/>
    <w:rsid w:val="006F239D"/>
    <w:rsid w:val="006F5E7D"/>
    <w:rsid w:val="006F603B"/>
    <w:rsid w:val="006F7AB1"/>
    <w:rsid w:val="00703BC4"/>
    <w:rsid w:val="0070407E"/>
    <w:rsid w:val="00705BB1"/>
    <w:rsid w:val="00714A44"/>
    <w:rsid w:val="00714BD8"/>
    <w:rsid w:val="007171BB"/>
    <w:rsid w:val="00721B3B"/>
    <w:rsid w:val="007249C9"/>
    <w:rsid w:val="00727E34"/>
    <w:rsid w:val="00731300"/>
    <w:rsid w:val="00734A58"/>
    <w:rsid w:val="007365F0"/>
    <w:rsid w:val="00736652"/>
    <w:rsid w:val="00737A0C"/>
    <w:rsid w:val="00742BFA"/>
    <w:rsid w:val="00750F87"/>
    <w:rsid w:val="00752342"/>
    <w:rsid w:val="007527F6"/>
    <w:rsid w:val="0075368A"/>
    <w:rsid w:val="00754659"/>
    <w:rsid w:val="00760D40"/>
    <w:rsid w:val="00767B14"/>
    <w:rsid w:val="007745C4"/>
    <w:rsid w:val="007902F1"/>
    <w:rsid w:val="007928FC"/>
    <w:rsid w:val="0079490F"/>
    <w:rsid w:val="00796A3D"/>
    <w:rsid w:val="007A328B"/>
    <w:rsid w:val="007A5235"/>
    <w:rsid w:val="007B0E2E"/>
    <w:rsid w:val="007B2C32"/>
    <w:rsid w:val="007B2E7D"/>
    <w:rsid w:val="007B4929"/>
    <w:rsid w:val="007C0E32"/>
    <w:rsid w:val="007C54EF"/>
    <w:rsid w:val="007C64C2"/>
    <w:rsid w:val="007C6C13"/>
    <w:rsid w:val="007C7220"/>
    <w:rsid w:val="007D1501"/>
    <w:rsid w:val="007D1756"/>
    <w:rsid w:val="007D2478"/>
    <w:rsid w:val="007D2DED"/>
    <w:rsid w:val="007D5A67"/>
    <w:rsid w:val="007E11A3"/>
    <w:rsid w:val="007E417B"/>
    <w:rsid w:val="007E42D7"/>
    <w:rsid w:val="007E47D0"/>
    <w:rsid w:val="007E61F8"/>
    <w:rsid w:val="007E7C94"/>
    <w:rsid w:val="007F203B"/>
    <w:rsid w:val="007F7694"/>
    <w:rsid w:val="008003E8"/>
    <w:rsid w:val="00805C33"/>
    <w:rsid w:val="008068D0"/>
    <w:rsid w:val="00806C50"/>
    <w:rsid w:val="00815706"/>
    <w:rsid w:val="00821C6A"/>
    <w:rsid w:val="0082525B"/>
    <w:rsid w:val="00827E40"/>
    <w:rsid w:val="008306ED"/>
    <w:rsid w:val="008333BD"/>
    <w:rsid w:val="008417F5"/>
    <w:rsid w:val="0084339F"/>
    <w:rsid w:val="00860A0B"/>
    <w:rsid w:val="008646D6"/>
    <w:rsid w:val="00865410"/>
    <w:rsid w:val="00865477"/>
    <w:rsid w:val="00867E17"/>
    <w:rsid w:val="0087180C"/>
    <w:rsid w:val="0087340E"/>
    <w:rsid w:val="008758F8"/>
    <w:rsid w:val="00876C07"/>
    <w:rsid w:val="00877DA8"/>
    <w:rsid w:val="00877DB7"/>
    <w:rsid w:val="00882616"/>
    <w:rsid w:val="00882922"/>
    <w:rsid w:val="00885F10"/>
    <w:rsid w:val="00897115"/>
    <w:rsid w:val="008A498D"/>
    <w:rsid w:val="008A6496"/>
    <w:rsid w:val="008B4686"/>
    <w:rsid w:val="008C5C7B"/>
    <w:rsid w:val="008C6A9F"/>
    <w:rsid w:val="008D385D"/>
    <w:rsid w:val="008D462A"/>
    <w:rsid w:val="008D50D9"/>
    <w:rsid w:val="008E3746"/>
    <w:rsid w:val="008E6664"/>
    <w:rsid w:val="008F1238"/>
    <w:rsid w:val="008F3263"/>
    <w:rsid w:val="008F5C0E"/>
    <w:rsid w:val="009104A7"/>
    <w:rsid w:val="00910B2D"/>
    <w:rsid w:val="009205F4"/>
    <w:rsid w:val="00924F01"/>
    <w:rsid w:val="00926F18"/>
    <w:rsid w:val="00927D6C"/>
    <w:rsid w:val="0093026D"/>
    <w:rsid w:val="009330DE"/>
    <w:rsid w:val="00934490"/>
    <w:rsid w:val="009417AC"/>
    <w:rsid w:val="00946AA1"/>
    <w:rsid w:val="00947D1B"/>
    <w:rsid w:val="00950A85"/>
    <w:rsid w:val="00961415"/>
    <w:rsid w:val="00961A87"/>
    <w:rsid w:val="00964C74"/>
    <w:rsid w:val="009778EA"/>
    <w:rsid w:val="00977BF4"/>
    <w:rsid w:val="00980B6D"/>
    <w:rsid w:val="009830B8"/>
    <w:rsid w:val="00983F7A"/>
    <w:rsid w:val="00984435"/>
    <w:rsid w:val="009855FA"/>
    <w:rsid w:val="009979ED"/>
    <w:rsid w:val="009A3BDA"/>
    <w:rsid w:val="009A4C00"/>
    <w:rsid w:val="009A7B2D"/>
    <w:rsid w:val="009B01B3"/>
    <w:rsid w:val="009B060C"/>
    <w:rsid w:val="009B50A3"/>
    <w:rsid w:val="009B5B6D"/>
    <w:rsid w:val="009B6064"/>
    <w:rsid w:val="009C127C"/>
    <w:rsid w:val="009C60EB"/>
    <w:rsid w:val="009D1D91"/>
    <w:rsid w:val="009D51CD"/>
    <w:rsid w:val="009E0439"/>
    <w:rsid w:val="009E0DBD"/>
    <w:rsid w:val="009E14FD"/>
    <w:rsid w:val="009E5952"/>
    <w:rsid w:val="009E7DFB"/>
    <w:rsid w:val="009F3A5B"/>
    <w:rsid w:val="009F4F54"/>
    <w:rsid w:val="009F6609"/>
    <w:rsid w:val="009F705E"/>
    <w:rsid w:val="00A00E42"/>
    <w:rsid w:val="00A10B93"/>
    <w:rsid w:val="00A10C1D"/>
    <w:rsid w:val="00A15A2F"/>
    <w:rsid w:val="00A2686C"/>
    <w:rsid w:val="00A37615"/>
    <w:rsid w:val="00A40461"/>
    <w:rsid w:val="00A407FE"/>
    <w:rsid w:val="00A43B6B"/>
    <w:rsid w:val="00A441D4"/>
    <w:rsid w:val="00A449BB"/>
    <w:rsid w:val="00A459B3"/>
    <w:rsid w:val="00A464DC"/>
    <w:rsid w:val="00A50140"/>
    <w:rsid w:val="00A510A0"/>
    <w:rsid w:val="00A52C26"/>
    <w:rsid w:val="00A5314C"/>
    <w:rsid w:val="00A61044"/>
    <w:rsid w:val="00A63618"/>
    <w:rsid w:val="00A64E4E"/>
    <w:rsid w:val="00A64E98"/>
    <w:rsid w:val="00A669FF"/>
    <w:rsid w:val="00A70822"/>
    <w:rsid w:val="00A77B63"/>
    <w:rsid w:val="00A82EE5"/>
    <w:rsid w:val="00A922B0"/>
    <w:rsid w:val="00A9246F"/>
    <w:rsid w:val="00A946AC"/>
    <w:rsid w:val="00AA0D2A"/>
    <w:rsid w:val="00AA5837"/>
    <w:rsid w:val="00AA6F10"/>
    <w:rsid w:val="00AB1D6B"/>
    <w:rsid w:val="00AB6260"/>
    <w:rsid w:val="00AC0674"/>
    <w:rsid w:val="00AC174A"/>
    <w:rsid w:val="00AC1FD5"/>
    <w:rsid w:val="00AC2B5C"/>
    <w:rsid w:val="00AC65A5"/>
    <w:rsid w:val="00AC7781"/>
    <w:rsid w:val="00AC7BCA"/>
    <w:rsid w:val="00AD026E"/>
    <w:rsid w:val="00AD1F37"/>
    <w:rsid w:val="00AD5FA3"/>
    <w:rsid w:val="00AD6776"/>
    <w:rsid w:val="00AD77D3"/>
    <w:rsid w:val="00AE3895"/>
    <w:rsid w:val="00AE7155"/>
    <w:rsid w:val="00AE797E"/>
    <w:rsid w:val="00AE79F5"/>
    <w:rsid w:val="00AF2BC2"/>
    <w:rsid w:val="00AF5AD4"/>
    <w:rsid w:val="00B01596"/>
    <w:rsid w:val="00B01E11"/>
    <w:rsid w:val="00B05232"/>
    <w:rsid w:val="00B05624"/>
    <w:rsid w:val="00B0613D"/>
    <w:rsid w:val="00B07DA7"/>
    <w:rsid w:val="00B13F87"/>
    <w:rsid w:val="00B16B22"/>
    <w:rsid w:val="00B17567"/>
    <w:rsid w:val="00B24A26"/>
    <w:rsid w:val="00B265B5"/>
    <w:rsid w:val="00B3639F"/>
    <w:rsid w:val="00B45B37"/>
    <w:rsid w:val="00B50620"/>
    <w:rsid w:val="00B50AC1"/>
    <w:rsid w:val="00B54D33"/>
    <w:rsid w:val="00B60BC8"/>
    <w:rsid w:val="00B617D7"/>
    <w:rsid w:val="00B66155"/>
    <w:rsid w:val="00B66A7D"/>
    <w:rsid w:val="00B671AD"/>
    <w:rsid w:val="00B674D9"/>
    <w:rsid w:val="00B7498A"/>
    <w:rsid w:val="00B75AAD"/>
    <w:rsid w:val="00B92256"/>
    <w:rsid w:val="00B96E5F"/>
    <w:rsid w:val="00BA0F83"/>
    <w:rsid w:val="00BA2D5D"/>
    <w:rsid w:val="00BA44B2"/>
    <w:rsid w:val="00BA58E8"/>
    <w:rsid w:val="00BA67F8"/>
    <w:rsid w:val="00BB0C12"/>
    <w:rsid w:val="00BB1114"/>
    <w:rsid w:val="00BB1C41"/>
    <w:rsid w:val="00BB5662"/>
    <w:rsid w:val="00BC6AF9"/>
    <w:rsid w:val="00BD5172"/>
    <w:rsid w:val="00BD55CC"/>
    <w:rsid w:val="00BD58A0"/>
    <w:rsid w:val="00BE15EF"/>
    <w:rsid w:val="00BE612E"/>
    <w:rsid w:val="00BF1169"/>
    <w:rsid w:val="00BF146C"/>
    <w:rsid w:val="00BF287C"/>
    <w:rsid w:val="00BF2EDD"/>
    <w:rsid w:val="00BF3296"/>
    <w:rsid w:val="00BF4E7C"/>
    <w:rsid w:val="00BF6577"/>
    <w:rsid w:val="00C00440"/>
    <w:rsid w:val="00C012D4"/>
    <w:rsid w:val="00C025F3"/>
    <w:rsid w:val="00C036EC"/>
    <w:rsid w:val="00C057A4"/>
    <w:rsid w:val="00C11BCB"/>
    <w:rsid w:val="00C11CD1"/>
    <w:rsid w:val="00C12586"/>
    <w:rsid w:val="00C13242"/>
    <w:rsid w:val="00C1361D"/>
    <w:rsid w:val="00C13621"/>
    <w:rsid w:val="00C14ADE"/>
    <w:rsid w:val="00C15BE7"/>
    <w:rsid w:val="00C16F84"/>
    <w:rsid w:val="00C1740D"/>
    <w:rsid w:val="00C20DE5"/>
    <w:rsid w:val="00C211F7"/>
    <w:rsid w:val="00C21920"/>
    <w:rsid w:val="00C21CEF"/>
    <w:rsid w:val="00C21CFD"/>
    <w:rsid w:val="00C2362B"/>
    <w:rsid w:val="00C23CBF"/>
    <w:rsid w:val="00C30FB3"/>
    <w:rsid w:val="00C315C6"/>
    <w:rsid w:val="00C35D9C"/>
    <w:rsid w:val="00C37038"/>
    <w:rsid w:val="00C37123"/>
    <w:rsid w:val="00C37AC8"/>
    <w:rsid w:val="00C405C0"/>
    <w:rsid w:val="00C4431E"/>
    <w:rsid w:val="00C46286"/>
    <w:rsid w:val="00C51EED"/>
    <w:rsid w:val="00C52471"/>
    <w:rsid w:val="00C61D09"/>
    <w:rsid w:val="00C65A73"/>
    <w:rsid w:val="00C67A50"/>
    <w:rsid w:val="00C759CE"/>
    <w:rsid w:val="00C769B6"/>
    <w:rsid w:val="00C775FD"/>
    <w:rsid w:val="00C8415A"/>
    <w:rsid w:val="00C92149"/>
    <w:rsid w:val="00C9331A"/>
    <w:rsid w:val="00C97D4F"/>
    <w:rsid w:val="00CA2478"/>
    <w:rsid w:val="00CA48A4"/>
    <w:rsid w:val="00CA63AE"/>
    <w:rsid w:val="00CA7AB7"/>
    <w:rsid w:val="00CB0D35"/>
    <w:rsid w:val="00CB3336"/>
    <w:rsid w:val="00CB3A97"/>
    <w:rsid w:val="00CC10FB"/>
    <w:rsid w:val="00CD0DC0"/>
    <w:rsid w:val="00CD5290"/>
    <w:rsid w:val="00CD66D3"/>
    <w:rsid w:val="00CD751A"/>
    <w:rsid w:val="00CE1CE6"/>
    <w:rsid w:val="00CE5EA9"/>
    <w:rsid w:val="00CE643A"/>
    <w:rsid w:val="00CE7B63"/>
    <w:rsid w:val="00CF2663"/>
    <w:rsid w:val="00CF32DB"/>
    <w:rsid w:val="00D00581"/>
    <w:rsid w:val="00D0533D"/>
    <w:rsid w:val="00D0740C"/>
    <w:rsid w:val="00D10560"/>
    <w:rsid w:val="00D10C53"/>
    <w:rsid w:val="00D123B5"/>
    <w:rsid w:val="00D1342A"/>
    <w:rsid w:val="00D14B17"/>
    <w:rsid w:val="00D16B54"/>
    <w:rsid w:val="00D2076C"/>
    <w:rsid w:val="00D26037"/>
    <w:rsid w:val="00D26303"/>
    <w:rsid w:val="00D26B24"/>
    <w:rsid w:val="00D3074D"/>
    <w:rsid w:val="00D355DE"/>
    <w:rsid w:val="00D356D1"/>
    <w:rsid w:val="00D36B32"/>
    <w:rsid w:val="00D3768C"/>
    <w:rsid w:val="00D42389"/>
    <w:rsid w:val="00D445CF"/>
    <w:rsid w:val="00D51A6C"/>
    <w:rsid w:val="00D528B3"/>
    <w:rsid w:val="00D54B1E"/>
    <w:rsid w:val="00D602E5"/>
    <w:rsid w:val="00D6758D"/>
    <w:rsid w:val="00D679DB"/>
    <w:rsid w:val="00D71BB1"/>
    <w:rsid w:val="00D75EB3"/>
    <w:rsid w:val="00DA2EB0"/>
    <w:rsid w:val="00DA6202"/>
    <w:rsid w:val="00DC33A5"/>
    <w:rsid w:val="00DC68F8"/>
    <w:rsid w:val="00DD256F"/>
    <w:rsid w:val="00DD27FC"/>
    <w:rsid w:val="00DD37CC"/>
    <w:rsid w:val="00DD7C17"/>
    <w:rsid w:val="00DF0E6C"/>
    <w:rsid w:val="00DF2A76"/>
    <w:rsid w:val="00DF3A52"/>
    <w:rsid w:val="00DF52D3"/>
    <w:rsid w:val="00DF5408"/>
    <w:rsid w:val="00DF577B"/>
    <w:rsid w:val="00DF5DA7"/>
    <w:rsid w:val="00E01648"/>
    <w:rsid w:val="00E02A9A"/>
    <w:rsid w:val="00E0337A"/>
    <w:rsid w:val="00E0763A"/>
    <w:rsid w:val="00E11F09"/>
    <w:rsid w:val="00E142F3"/>
    <w:rsid w:val="00E15288"/>
    <w:rsid w:val="00E23795"/>
    <w:rsid w:val="00E24B54"/>
    <w:rsid w:val="00E2657C"/>
    <w:rsid w:val="00E268CA"/>
    <w:rsid w:val="00E27ACC"/>
    <w:rsid w:val="00E3123B"/>
    <w:rsid w:val="00E35141"/>
    <w:rsid w:val="00E355DF"/>
    <w:rsid w:val="00E372F2"/>
    <w:rsid w:val="00E375C7"/>
    <w:rsid w:val="00E423B1"/>
    <w:rsid w:val="00E456C9"/>
    <w:rsid w:val="00E45791"/>
    <w:rsid w:val="00E4719A"/>
    <w:rsid w:val="00E561E5"/>
    <w:rsid w:val="00E566FA"/>
    <w:rsid w:val="00E64A35"/>
    <w:rsid w:val="00E65760"/>
    <w:rsid w:val="00E70725"/>
    <w:rsid w:val="00E73CBA"/>
    <w:rsid w:val="00E74D6E"/>
    <w:rsid w:val="00E763F9"/>
    <w:rsid w:val="00E77CFD"/>
    <w:rsid w:val="00E86613"/>
    <w:rsid w:val="00E94F08"/>
    <w:rsid w:val="00E950A0"/>
    <w:rsid w:val="00EA0013"/>
    <w:rsid w:val="00EA26BD"/>
    <w:rsid w:val="00EA3B02"/>
    <w:rsid w:val="00EA4E32"/>
    <w:rsid w:val="00EA51DD"/>
    <w:rsid w:val="00EA67A2"/>
    <w:rsid w:val="00EB1DE3"/>
    <w:rsid w:val="00EC12E3"/>
    <w:rsid w:val="00EC1566"/>
    <w:rsid w:val="00EC51DF"/>
    <w:rsid w:val="00EC7B66"/>
    <w:rsid w:val="00ED4973"/>
    <w:rsid w:val="00ED60AE"/>
    <w:rsid w:val="00EE0862"/>
    <w:rsid w:val="00EE20F8"/>
    <w:rsid w:val="00EE24F3"/>
    <w:rsid w:val="00EE7A0B"/>
    <w:rsid w:val="00EF2FC8"/>
    <w:rsid w:val="00EF417C"/>
    <w:rsid w:val="00EF5D98"/>
    <w:rsid w:val="00EF6552"/>
    <w:rsid w:val="00F0052F"/>
    <w:rsid w:val="00F027AE"/>
    <w:rsid w:val="00F113A2"/>
    <w:rsid w:val="00F12552"/>
    <w:rsid w:val="00F1399B"/>
    <w:rsid w:val="00F13D38"/>
    <w:rsid w:val="00F15E49"/>
    <w:rsid w:val="00F15F51"/>
    <w:rsid w:val="00F16066"/>
    <w:rsid w:val="00F20B54"/>
    <w:rsid w:val="00F219C8"/>
    <w:rsid w:val="00F26AA7"/>
    <w:rsid w:val="00F320C6"/>
    <w:rsid w:val="00F34EA4"/>
    <w:rsid w:val="00F35EB2"/>
    <w:rsid w:val="00F37C5D"/>
    <w:rsid w:val="00F46C4D"/>
    <w:rsid w:val="00F52E91"/>
    <w:rsid w:val="00F53117"/>
    <w:rsid w:val="00F53969"/>
    <w:rsid w:val="00F53B0D"/>
    <w:rsid w:val="00F5469C"/>
    <w:rsid w:val="00F600D6"/>
    <w:rsid w:val="00F62E4C"/>
    <w:rsid w:val="00F63E12"/>
    <w:rsid w:val="00F64CBC"/>
    <w:rsid w:val="00F64CE9"/>
    <w:rsid w:val="00F71913"/>
    <w:rsid w:val="00F751CF"/>
    <w:rsid w:val="00F75785"/>
    <w:rsid w:val="00F7601D"/>
    <w:rsid w:val="00F76233"/>
    <w:rsid w:val="00F81D96"/>
    <w:rsid w:val="00F81EAF"/>
    <w:rsid w:val="00F87C63"/>
    <w:rsid w:val="00F907F6"/>
    <w:rsid w:val="00F967D9"/>
    <w:rsid w:val="00F96F1B"/>
    <w:rsid w:val="00FA2E0E"/>
    <w:rsid w:val="00FA53D2"/>
    <w:rsid w:val="00FB03C0"/>
    <w:rsid w:val="00FB1781"/>
    <w:rsid w:val="00FB2279"/>
    <w:rsid w:val="00FB2668"/>
    <w:rsid w:val="00FB3B12"/>
    <w:rsid w:val="00FB7AA3"/>
    <w:rsid w:val="00FC32C3"/>
    <w:rsid w:val="00FC69E6"/>
    <w:rsid w:val="00FC718E"/>
    <w:rsid w:val="00FD02FF"/>
    <w:rsid w:val="00FD1216"/>
    <w:rsid w:val="00FD417C"/>
    <w:rsid w:val="00FD43E4"/>
    <w:rsid w:val="00FD4751"/>
    <w:rsid w:val="00FD67FB"/>
    <w:rsid w:val="00FD6816"/>
    <w:rsid w:val="00FE027F"/>
    <w:rsid w:val="00FE24BF"/>
    <w:rsid w:val="00FE2CF4"/>
    <w:rsid w:val="00FE3837"/>
    <w:rsid w:val="00FE4103"/>
    <w:rsid w:val="00FE4A37"/>
    <w:rsid w:val="00FE6C48"/>
    <w:rsid w:val="00FE7B17"/>
    <w:rsid w:val="00FF0D14"/>
    <w:rsid w:val="00FF1D03"/>
    <w:rsid w:val="00FF3200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9FD1FE64-B01C-48B0-8848-5386A744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B1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05743D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5743D"/>
    <w:rPr>
      <w:rFonts w:ascii="Times New Roman" w:hAnsi="Times New Roman" w:cs="Times New Roman"/>
      <w:b/>
      <w:bCs/>
      <w:color w:val="414142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6A6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039"/>
    <w:rPr>
      <w:rFonts w:ascii="Tahom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E423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23B1"/>
    <w:rPr>
      <w:rFonts w:ascii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link w:val="SubtitleChar"/>
    <w:uiPriority w:val="99"/>
    <w:qFormat/>
    <w:rsid w:val="00E423B1"/>
    <w:pPr>
      <w:tabs>
        <w:tab w:val="left" w:pos="6804"/>
      </w:tabs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23B1"/>
    <w:rPr>
      <w:rFonts w:ascii="Times New Roman" w:hAnsi="Times New Roman" w:cs="Times New Roman"/>
      <w:sz w:val="28"/>
      <w:szCs w:val="28"/>
      <w:lang w:eastAsia="lv-LV"/>
    </w:rPr>
  </w:style>
  <w:style w:type="paragraph" w:customStyle="1" w:styleId="naisf">
    <w:name w:val="naisf"/>
    <w:basedOn w:val="Normal"/>
    <w:link w:val="naisfChar"/>
    <w:uiPriority w:val="99"/>
    <w:rsid w:val="00E423B1"/>
    <w:pPr>
      <w:spacing w:before="75" w:after="75"/>
      <w:ind w:firstLine="375"/>
      <w:jc w:val="both"/>
    </w:pPr>
  </w:style>
  <w:style w:type="character" w:customStyle="1" w:styleId="naisfChar">
    <w:name w:val="naisf Char"/>
    <w:basedOn w:val="DefaultParagraphFont"/>
    <w:link w:val="naisf"/>
    <w:uiPriority w:val="99"/>
    <w:locked/>
    <w:rsid w:val="00E423B1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E423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3B1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E423B1"/>
    <w:pPr>
      <w:spacing w:line="360" w:lineRule="auto"/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23B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423B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423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23B1"/>
    <w:rPr>
      <w:rFonts w:ascii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E423B1"/>
    <w:pPr>
      <w:jc w:val="center"/>
    </w:pPr>
    <w:rPr>
      <w:b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423B1"/>
    <w:rPr>
      <w:rFonts w:ascii="Times New Roman" w:hAnsi="Times New Roman" w:cs="Times New Roman"/>
      <w:b/>
      <w:sz w:val="20"/>
      <w:szCs w:val="20"/>
    </w:rPr>
  </w:style>
  <w:style w:type="paragraph" w:customStyle="1" w:styleId="naiskr">
    <w:name w:val="naiskr"/>
    <w:basedOn w:val="Normal"/>
    <w:uiPriority w:val="99"/>
    <w:rsid w:val="00E423B1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E423B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E423B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423B1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4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423B1"/>
    <w:rPr>
      <w:rFonts w:ascii="Courier New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342FAF"/>
    <w:pPr>
      <w:ind w:left="720"/>
      <w:contextualSpacing/>
    </w:pPr>
    <w:rPr>
      <w:rFonts w:eastAsia="Calibri"/>
      <w:szCs w:val="20"/>
    </w:rPr>
  </w:style>
  <w:style w:type="paragraph" w:customStyle="1" w:styleId="tv213">
    <w:name w:val="tv213"/>
    <w:basedOn w:val="Normal"/>
    <w:link w:val="tv213Char"/>
    <w:uiPriority w:val="99"/>
    <w:rsid w:val="00342FAF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uiPriority w:val="99"/>
    <w:rsid w:val="00342FAF"/>
    <w:pPr>
      <w:spacing w:before="100" w:beforeAutospacing="1" w:after="100" w:afterAutospacing="1"/>
    </w:pPr>
  </w:style>
  <w:style w:type="character" w:customStyle="1" w:styleId="tv213Char">
    <w:name w:val="tv213 Char"/>
    <w:basedOn w:val="DefaultParagraphFont"/>
    <w:link w:val="tv213"/>
    <w:uiPriority w:val="99"/>
    <w:locked/>
    <w:rsid w:val="00342FA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F5DA7"/>
    <w:rPr>
      <w:rFonts w:cs="Times New Roman"/>
    </w:rPr>
  </w:style>
  <w:style w:type="paragraph" w:customStyle="1" w:styleId="tv213tvp">
    <w:name w:val="tv213 tvp"/>
    <w:basedOn w:val="Normal"/>
    <w:uiPriority w:val="99"/>
    <w:rsid w:val="00133ADD"/>
    <w:pPr>
      <w:spacing w:before="100" w:beforeAutospacing="1" w:after="100" w:afterAutospacing="1"/>
    </w:pPr>
  </w:style>
  <w:style w:type="character" w:customStyle="1" w:styleId="c1">
    <w:name w:val="c1"/>
    <w:uiPriority w:val="99"/>
    <w:rsid w:val="00705BB1"/>
  </w:style>
  <w:style w:type="character" w:customStyle="1" w:styleId="italic">
    <w:name w:val="italic"/>
    <w:basedOn w:val="DefaultParagraphFont"/>
    <w:uiPriority w:val="99"/>
    <w:rsid w:val="00B05624"/>
    <w:rPr>
      <w:rFonts w:cs="Times New Roman"/>
    </w:rPr>
  </w:style>
  <w:style w:type="paragraph" w:customStyle="1" w:styleId="tv2131">
    <w:name w:val="tv2131"/>
    <w:basedOn w:val="Normal"/>
    <w:uiPriority w:val="99"/>
    <w:rsid w:val="008B4686"/>
    <w:pPr>
      <w:spacing w:line="360" w:lineRule="auto"/>
      <w:ind w:firstLine="347"/>
    </w:pPr>
    <w:rPr>
      <w:color w:val="414142"/>
      <w:sz w:val="23"/>
      <w:szCs w:val="23"/>
    </w:rPr>
  </w:style>
  <w:style w:type="paragraph" w:styleId="CommentText">
    <w:name w:val="annotation text"/>
    <w:basedOn w:val="Normal"/>
    <w:link w:val="CommentTextChar"/>
    <w:uiPriority w:val="99"/>
    <w:rsid w:val="0046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2D9B"/>
    <w:rPr>
      <w:rFonts w:ascii="Times New Roman" w:hAnsi="Times New Roman" w:cs="Times New Roman"/>
    </w:rPr>
  </w:style>
  <w:style w:type="paragraph" w:customStyle="1" w:styleId="CM4">
    <w:name w:val="CM4"/>
    <w:basedOn w:val="Normal"/>
    <w:next w:val="Normal"/>
    <w:link w:val="CM4Char"/>
    <w:uiPriority w:val="99"/>
    <w:rsid w:val="005D506B"/>
    <w:pPr>
      <w:autoSpaceDE w:val="0"/>
      <w:autoSpaceDN w:val="0"/>
      <w:adjustRightInd w:val="0"/>
    </w:pPr>
    <w:rPr>
      <w:rFonts w:ascii="EUAlbertina" w:eastAsia="Calibri" w:hAnsi="EUAlbertina"/>
    </w:rPr>
  </w:style>
  <w:style w:type="character" w:customStyle="1" w:styleId="CM4Char">
    <w:name w:val="CM4 Char"/>
    <w:basedOn w:val="DefaultParagraphFont"/>
    <w:link w:val="CM4"/>
    <w:uiPriority w:val="99"/>
    <w:locked/>
    <w:rsid w:val="005D506B"/>
    <w:rPr>
      <w:rFonts w:ascii="EUAlbertina" w:hAnsi="EUAlbertina"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iPriority w:val="99"/>
    <w:locked/>
    <w:rsid w:val="001C1D11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C1D11"/>
    <w:rPr>
      <w:rFonts w:cs="Times New Roman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locked/>
    <w:rsid w:val="001C1D11"/>
    <w:rPr>
      <w:rFonts w:cs="Times New Roman"/>
      <w:vertAlign w:val="superscript"/>
    </w:rPr>
  </w:style>
  <w:style w:type="character" w:customStyle="1" w:styleId="Absatz-Standardschriftart">
    <w:name w:val="Absatz-Standardschriftart"/>
    <w:uiPriority w:val="99"/>
    <w:rsid w:val="00E950A0"/>
  </w:style>
  <w:style w:type="character" w:customStyle="1" w:styleId="textcolumn">
    <w:name w:val="textcolumn"/>
    <w:uiPriority w:val="99"/>
    <w:rsid w:val="00E950A0"/>
  </w:style>
  <w:style w:type="paragraph" w:styleId="List">
    <w:name w:val="List"/>
    <w:basedOn w:val="Normal"/>
    <w:uiPriority w:val="99"/>
    <w:locked/>
    <w:rsid w:val="009F3A5B"/>
    <w:pPr>
      <w:ind w:left="283" w:hanging="283"/>
    </w:pPr>
  </w:style>
  <w:style w:type="paragraph" w:customStyle="1" w:styleId="naispant">
    <w:name w:val="naispant"/>
    <w:basedOn w:val="Normal"/>
    <w:uiPriority w:val="99"/>
    <w:rsid w:val="00CA7AB7"/>
    <w:pPr>
      <w:widowControl w:val="0"/>
      <w:suppressAutoHyphens/>
      <w:spacing w:before="280" w:after="280"/>
    </w:pPr>
    <w:rPr>
      <w:sz w:val="20"/>
      <w:szCs w:val="20"/>
      <w:lang w:eastAsia="zh-CN"/>
    </w:rPr>
  </w:style>
  <w:style w:type="character" w:customStyle="1" w:styleId="spelle">
    <w:name w:val="spelle"/>
    <w:uiPriority w:val="99"/>
    <w:rsid w:val="00CA7AB7"/>
  </w:style>
  <w:style w:type="character" w:customStyle="1" w:styleId="CharChar">
    <w:name w:val="Char Char"/>
    <w:uiPriority w:val="99"/>
    <w:rsid w:val="001E04CA"/>
    <w:rPr>
      <w:noProof/>
      <w:sz w:val="24"/>
      <w:lang w:val="lv-LV" w:eastAsia="lv-LV"/>
    </w:rPr>
  </w:style>
  <w:style w:type="paragraph" w:customStyle="1" w:styleId="tv2132">
    <w:name w:val="tv2132"/>
    <w:basedOn w:val="Normal"/>
    <w:uiPriority w:val="99"/>
    <w:rsid w:val="009330DE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B54D33"/>
    <w:rPr>
      <w:sz w:val="24"/>
      <w:lang w:val="lv-LV" w:eastAsia="lv-LV"/>
    </w:rPr>
  </w:style>
  <w:style w:type="paragraph" w:styleId="NoSpacing">
    <w:name w:val="No Spacing"/>
    <w:link w:val="NoSpacingChar"/>
    <w:uiPriority w:val="99"/>
    <w:qFormat/>
    <w:rsid w:val="00B54D33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1A0A12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locked/>
    <w:rsid w:val="00D3074D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30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074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2011/95?locale=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vijupe@pmlp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5A54-50E7-4BB9-A4B1-D3CF72EF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Izziņa par atzinumos sniegtajiem iebildumiem par likumprojektu „Patvēruma likums”</vt:lpstr>
    </vt:vector>
  </TitlesOfParts>
  <Company>pmlp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 par likumprojektu „Patvēruma likums”</dc:title>
  <dc:subject/>
  <dc:creator>martaz</dc:creator>
  <cp:keywords/>
  <dc:description/>
  <cp:lastModifiedBy>Līga Vijupe</cp:lastModifiedBy>
  <cp:revision>4</cp:revision>
  <cp:lastPrinted>2019-10-23T11:12:00Z</cp:lastPrinted>
  <dcterms:created xsi:type="dcterms:W3CDTF">2019-10-29T08:07:00Z</dcterms:created>
  <dcterms:modified xsi:type="dcterms:W3CDTF">2019-11-01T07:31:00Z</dcterms:modified>
</cp:coreProperties>
</file>