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AD64EE" w:rsidRDefault="007116C7" w:rsidP="00A0569D">
      <w:pPr>
        <w:pStyle w:val="naisnod"/>
        <w:spacing w:before="0" w:after="0"/>
      </w:pPr>
      <w:r w:rsidRPr="00AD64EE">
        <w:rPr>
          <w:sz w:val="28"/>
          <w:szCs w:val="28"/>
        </w:rPr>
        <w:t>Izziņa par atzinumos sniegtajiem iebildumiem</w:t>
      </w:r>
    </w:p>
    <w:tbl>
      <w:tblPr>
        <w:tblW w:w="0" w:type="auto"/>
        <w:jc w:val="center"/>
        <w:tblLook w:val="00A0" w:firstRow="1" w:lastRow="0" w:firstColumn="1" w:lastColumn="0" w:noHBand="0" w:noVBand="0"/>
      </w:tblPr>
      <w:tblGrid>
        <w:gridCol w:w="10188"/>
      </w:tblGrid>
      <w:tr w:rsidR="007116C7" w:rsidRPr="00AD64EE">
        <w:trPr>
          <w:jc w:val="center"/>
        </w:trPr>
        <w:tc>
          <w:tcPr>
            <w:tcW w:w="10188" w:type="dxa"/>
            <w:tcBorders>
              <w:bottom w:val="single" w:sz="6" w:space="0" w:color="000000"/>
            </w:tcBorders>
          </w:tcPr>
          <w:p w:rsidR="007116C7" w:rsidRPr="00AD64EE" w:rsidRDefault="002A4B96" w:rsidP="00832496">
            <w:pPr>
              <w:jc w:val="center"/>
              <w:rPr>
                <w:b/>
                <w:sz w:val="28"/>
                <w:szCs w:val="28"/>
              </w:rPr>
            </w:pPr>
            <w:r w:rsidRPr="00AD64EE">
              <w:rPr>
                <w:b/>
                <w:sz w:val="28"/>
                <w:szCs w:val="28"/>
              </w:rPr>
              <w:t>par likumprojektu</w:t>
            </w:r>
            <w:r w:rsidR="00275648" w:rsidRPr="00AD64EE">
              <w:rPr>
                <w:b/>
                <w:sz w:val="28"/>
                <w:szCs w:val="28"/>
              </w:rPr>
              <w:t xml:space="preserve"> “Grozījums Noziedzīgi iegūtas mantas konfiskācijas izpildes likumā”</w:t>
            </w:r>
          </w:p>
        </w:tc>
      </w:tr>
    </w:tbl>
    <w:p w:rsidR="007116C7" w:rsidRPr="00AD64EE" w:rsidRDefault="007116C7" w:rsidP="00574363">
      <w:pPr>
        <w:pStyle w:val="naisc"/>
        <w:spacing w:before="0" w:after="0"/>
        <w:ind w:firstLine="1080"/>
      </w:pPr>
      <w:r w:rsidRPr="00AD64EE">
        <w:t>(dokumenta veids un nosaukums)</w:t>
      </w:r>
    </w:p>
    <w:p w:rsidR="007B4C0F" w:rsidRPr="00AD64EE" w:rsidRDefault="007B4C0F" w:rsidP="00A7077D">
      <w:pPr>
        <w:pStyle w:val="naisf"/>
        <w:spacing w:before="0" w:after="0"/>
        <w:ind w:firstLine="720"/>
        <w:jc w:val="center"/>
      </w:pPr>
    </w:p>
    <w:p w:rsidR="00E41DB6" w:rsidRPr="00AD64EE" w:rsidRDefault="00E41DB6" w:rsidP="008167C8">
      <w:pPr>
        <w:pStyle w:val="naisf"/>
        <w:spacing w:before="0" w:after="0"/>
        <w:ind w:firstLine="0"/>
        <w:jc w:val="center"/>
        <w:rPr>
          <w:b/>
        </w:rPr>
      </w:pPr>
    </w:p>
    <w:p w:rsidR="007B4C0F" w:rsidRPr="00AD64EE" w:rsidRDefault="007B4C0F" w:rsidP="008167C8">
      <w:pPr>
        <w:pStyle w:val="naisf"/>
        <w:spacing w:before="0" w:after="0"/>
        <w:ind w:firstLine="0"/>
        <w:jc w:val="center"/>
        <w:rPr>
          <w:b/>
        </w:rPr>
      </w:pPr>
      <w:r w:rsidRPr="00AD64EE">
        <w:rPr>
          <w:b/>
        </w:rPr>
        <w:t xml:space="preserve">I. Jautājumi, par kuriem saskaņošanā </w:t>
      </w:r>
      <w:r w:rsidR="00134188" w:rsidRPr="00AD64EE">
        <w:rPr>
          <w:b/>
        </w:rPr>
        <w:t xml:space="preserve">vienošanās </w:t>
      </w:r>
      <w:r w:rsidR="008167C8" w:rsidRPr="00AD64EE">
        <w:rPr>
          <w:b/>
        </w:rPr>
        <w:t>nav panākta</w:t>
      </w:r>
    </w:p>
    <w:p w:rsidR="00DC6E00" w:rsidRPr="00AD64EE" w:rsidRDefault="00DC6E00" w:rsidP="008167C8">
      <w:pPr>
        <w:pStyle w:val="naisf"/>
        <w:spacing w:before="0" w:after="0"/>
        <w:ind w:firstLine="0"/>
        <w:jc w:val="center"/>
        <w:rPr>
          <w:b/>
        </w:rPr>
      </w:pPr>
    </w:p>
    <w:tbl>
      <w:tblPr>
        <w:tblW w:w="14444"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409"/>
        <w:gridCol w:w="3402"/>
        <w:gridCol w:w="2977"/>
        <w:gridCol w:w="2693"/>
        <w:gridCol w:w="2253"/>
      </w:tblGrid>
      <w:tr w:rsidR="002306A4" w:rsidRPr="00AD64EE" w:rsidTr="00D04FD6">
        <w:tc>
          <w:tcPr>
            <w:tcW w:w="710" w:type="dxa"/>
            <w:tcBorders>
              <w:top w:val="single" w:sz="6" w:space="0" w:color="000000"/>
              <w:left w:val="single" w:sz="6" w:space="0" w:color="000000"/>
              <w:bottom w:val="single" w:sz="6" w:space="0" w:color="000000"/>
              <w:right w:val="single" w:sz="6" w:space="0" w:color="000000"/>
            </w:tcBorders>
            <w:vAlign w:val="center"/>
          </w:tcPr>
          <w:p w:rsidR="005F4BFD" w:rsidRPr="00AD64EE" w:rsidRDefault="005F4BFD" w:rsidP="0036160E">
            <w:pPr>
              <w:pStyle w:val="naisc"/>
              <w:spacing w:before="0" w:after="0"/>
            </w:pPr>
            <w:r w:rsidRPr="00AD64EE">
              <w:t>Nr. p.</w:t>
            </w:r>
            <w:r w:rsidR="00D64FB0" w:rsidRPr="00AD64EE">
              <w:t> </w:t>
            </w:r>
            <w:r w:rsidRPr="00AD64EE">
              <w:t>k.</w:t>
            </w:r>
          </w:p>
        </w:tc>
        <w:tc>
          <w:tcPr>
            <w:tcW w:w="2409" w:type="dxa"/>
            <w:tcBorders>
              <w:top w:val="single" w:sz="6" w:space="0" w:color="000000"/>
              <w:left w:val="single" w:sz="6" w:space="0" w:color="000000"/>
              <w:bottom w:val="single" w:sz="6" w:space="0" w:color="000000"/>
              <w:right w:val="single" w:sz="6" w:space="0" w:color="000000"/>
            </w:tcBorders>
            <w:vAlign w:val="center"/>
          </w:tcPr>
          <w:p w:rsidR="005F4BFD" w:rsidRPr="00AD64EE" w:rsidRDefault="005F4BFD" w:rsidP="00364BB6">
            <w:pPr>
              <w:pStyle w:val="naisc"/>
              <w:spacing w:before="0" w:after="0"/>
              <w:ind w:firstLine="12"/>
            </w:pPr>
            <w:r w:rsidRPr="00AD64EE">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5F4BFD" w:rsidRPr="00AD64EE" w:rsidRDefault="005F4BFD" w:rsidP="00364BB6">
            <w:pPr>
              <w:pStyle w:val="naisc"/>
              <w:spacing w:before="0" w:after="0"/>
              <w:ind w:right="3"/>
            </w:pPr>
            <w:r w:rsidRPr="00AD64EE">
              <w:t>Atzinumā norādītais ministrijas (citas institūcijas) iebildums</w:t>
            </w:r>
            <w:r w:rsidR="00184479" w:rsidRPr="00AD64EE">
              <w:t>,</w:t>
            </w:r>
            <w:r w:rsidR="000E5509" w:rsidRPr="00AD64EE">
              <w:t xml:space="preserve"> kā arī saskaņošanā papildus izteiktais iebildums</w:t>
            </w:r>
            <w:r w:rsidRPr="00AD64EE">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AD64EE" w:rsidRDefault="005F4BFD" w:rsidP="00364BB6">
            <w:pPr>
              <w:pStyle w:val="naisc"/>
              <w:spacing w:before="0" w:after="0"/>
              <w:ind w:firstLine="21"/>
            </w:pPr>
            <w:r w:rsidRPr="00AD64EE">
              <w:t>Atbildīgās ministrijas pamatojums</w:t>
            </w:r>
            <w:r w:rsidR="009307F2" w:rsidRPr="00AD64EE">
              <w:t xml:space="preserve">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5F4BFD" w:rsidRPr="00AD64EE" w:rsidRDefault="005F4BFD" w:rsidP="00364BB6">
            <w:pPr>
              <w:jc w:val="center"/>
            </w:pPr>
            <w:r w:rsidRPr="00AD64EE">
              <w:t>Atzinuma sniedzēja uzturētais iebildums, ja tas atšķiras no atzinumā norādītā iebilduma pamatojuma</w:t>
            </w:r>
          </w:p>
        </w:tc>
        <w:tc>
          <w:tcPr>
            <w:tcW w:w="2253" w:type="dxa"/>
            <w:tcBorders>
              <w:top w:val="single" w:sz="4" w:space="0" w:color="auto"/>
              <w:left w:val="single" w:sz="4" w:space="0" w:color="auto"/>
              <w:bottom w:val="single" w:sz="4" w:space="0" w:color="auto"/>
            </w:tcBorders>
            <w:vAlign w:val="center"/>
          </w:tcPr>
          <w:p w:rsidR="005F4BFD" w:rsidRPr="00AD64EE" w:rsidRDefault="005F4BFD" w:rsidP="00364BB6">
            <w:pPr>
              <w:jc w:val="center"/>
            </w:pPr>
            <w:r w:rsidRPr="00AD64EE">
              <w:t>Projekta attiecīgā punkta (panta) galīgā redakcija</w:t>
            </w:r>
          </w:p>
        </w:tc>
      </w:tr>
      <w:tr w:rsidR="003702F2" w:rsidRPr="00AD64EE" w:rsidTr="00D04FD6">
        <w:tc>
          <w:tcPr>
            <w:tcW w:w="710" w:type="dxa"/>
            <w:tcBorders>
              <w:top w:val="single" w:sz="6" w:space="0" w:color="000000"/>
              <w:left w:val="single" w:sz="6" w:space="0" w:color="000000"/>
              <w:bottom w:val="single" w:sz="6" w:space="0" w:color="000000"/>
              <w:right w:val="single" w:sz="6" w:space="0" w:color="000000"/>
            </w:tcBorders>
          </w:tcPr>
          <w:p w:rsidR="005F4BFD" w:rsidRPr="00AD64EE" w:rsidRDefault="008A36C9" w:rsidP="008A36C9">
            <w:pPr>
              <w:pStyle w:val="naisc"/>
              <w:spacing w:before="0" w:after="0"/>
              <w:rPr>
                <w:sz w:val="20"/>
                <w:szCs w:val="20"/>
              </w:rPr>
            </w:pPr>
            <w:r w:rsidRPr="00AD64EE">
              <w:rPr>
                <w:sz w:val="20"/>
                <w:szCs w:val="20"/>
              </w:rPr>
              <w:t>1</w:t>
            </w:r>
          </w:p>
        </w:tc>
        <w:tc>
          <w:tcPr>
            <w:tcW w:w="2409" w:type="dxa"/>
            <w:tcBorders>
              <w:top w:val="single" w:sz="6" w:space="0" w:color="000000"/>
              <w:left w:val="single" w:sz="6" w:space="0" w:color="000000"/>
              <w:bottom w:val="single" w:sz="6" w:space="0" w:color="000000"/>
              <w:right w:val="single" w:sz="6" w:space="0" w:color="000000"/>
            </w:tcBorders>
          </w:tcPr>
          <w:p w:rsidR="005F4BFD" w:rsidRPr="00AD64EE" w:rsidRDefault="008A36C9" w:rsidP="008A36C9">
            <w:pPr>
              <w:pStyle w:val="naisc"/>
              <w:spacing w:before="0" w:after="0"/>
              <w:ind w:firstLine="720"/>
              <w:rPr>
                <w:sz w:val="20"/>
                <w:szCs w:val="20"/>
              </w:rPr>
            </w:pPr>
            <w:r w:rsidRPr="00AD64EE">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rsidR="005F4BFD" w:rsidRPr="00AD64EE" w:rsidRDefault="008A36C9" w:rsidP="008A36C9">
            <w:pPr>
              <w:pStyle w:val="naisc"/>
              <w:spacing w:before="0" w:after="0"/>
              <w:ind w:firstLine="720"/>
              <w:rPr>
                <w:sz w:val="20"/>
                <w:szCs w:val="20"/>
              </w:rPr>
            </w:pPr>
            <w:r w:rsidRPr="00AD64EE">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AD64EE" w:rsidRDefault="008A36C9" w:rsidP="008A36C9">
            <w:pPr>
              <w:pStyle w:val="naisc"/>
              <w:spacing w:before="0" w:after="0"/>
              <w:ind w:firstLine="720"/>
              <w:rPr>
                <w:sz w:val="20"/>
                <w:szCs w:val="20"/>
              </w:rPr>
            </w:pPr>
            <w:r w:rsidRPr="00AD64EE">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5F4BFD" w:rsidRPr="00AD64EE" w:rsidRDefault="008A36C9" w:rsidP="008A36C9">
            <w:pPr>
              <w:jc w:val="center"/>
              <w:rPr>
                <w:sz w:val="20"/>
                <w:szCs w:val="20"/>
              </w:rPr>
            </w:pPr>
            <w:r w:rsidRPr="00AD64EE">
              <w:rPr>
                <w:sz w:val="20"/>
                <w:szCs w:val="20"/>
              </w:rPr>
              <w:t>5</w:t>
            </w:r>
          </w:p>
        </w:tc>
        <w:tc>
          <w:tcPr>
            <w:tcW w:w="2253" w:type="dxa"/>
            <w:tcBorders>
              <w:top w:val="single" w:sz="4" w:space="0" w:color="auto"/>
              <w:left w:val="single" w:sz="4" w:space="0" w:color="auto"/>
              <w:bottom w:val="single" w:sz="4" w:space="0" w:color="auto"/>
            </w:tcBorders>
          </w:tcPr>
          <w:p w:rsidR="005F4BFD" w:rsidRPr="00AD64EE" w:rsidRDefault="008A36C9" w:rsidP="008A36C9">
            <w:pPr>
              <w:jc w:val="center"/>
              <w:rPr>
                <w:sz w:val="20"/>
                <w:szCs w:val="20"/>
              </w:rPr>
            </w:pPr>
            <w:r w:rsidRPr="00AD64EE">
              <w:rPr>
                <w:sz w:val="20"/>
                <w:szCs w:val="20"/>
              </w:rPr>
              <w:t>6</w:t>
            </w:r>
          </w:p>
        </w:tc>
      </w:tr>
      <w:tr w:rsidR="003702F2" w:rsidRPr="00AD64EE" w:rsidTr="00824386">
        <w:tc>
          <w:tcPr>
            <w:tcW w:w="710" w:type="dxa"/>
            <w:tcBorders>
              <w:left w:val="single" w:sz="6" w:space="0" w:color="000000"/>
              <w:bottom w:val="single" w:sz="4" w:space="0" w:color="auto"/>
              <w:right w:val="single" w:sz="6" w:space="0" w:color="000000"/>
            </w:tcBorders>
          </w:tcPr>
          <w:p w:rsidR="00832297" w:rsidRPr="00AD64EE" w:rsidRDefault="00832297" w:rsidP="0036160E">
            <w:pPr>
              <w:pStyle w:val="naisc"/>
              <w:spacing w:before="0" w:after="0"/>
              <w:ind w:firstLine="720"/>
            </w:pPr>
          </w:p>
          <w:p w:rsidR="00832297" w:rsidRPr="00AD64EE" w:rsidRDefault="002306A4" w:rsidP="00832297">
            <w:r w:rsidRPr="00AD64EE">
              <w:t>1.</w:t>
            </w:r>
          </w:p>
          <w:p w:rsidR="00832297" w:rsidRPr="00AD64EE" w:rsidRDefault="00832297" w:rsidP="00832297"/>
          <w:p w:rsidR="00832297" w:rsidRPr="00AD64EE" w:rsidRDefault="00832297" w:rsidP="00832297"/>
          <w:p w:rsidR="005F4BFD" w:rsidRPr="00AD64EE" w:rsidRDefault="005F4BFD" w:rsidP="00832297">
            <w:pPr>
              <w:ind w:left="360"/>
            </w:pPr>
          </w:p>
        </w:tc>
        <w:tc>
          <w:tcPr>
            <w:tcW w:w="2409" w:type="dxa"/>
            <w:tcBorders>
              <w:left w:val="single" w:sz="6" w:space="0" w:color="000000"/>
              <w:bottom w:val="single" w:sz="4" w:space="0" w:color="auto"/>
              <w:right w:val="single" w:sz="6" w:space="0" w:color="000000"/>
            </w:tcBorders>
          </w:tcPr>
          <w:p w:rsidR="00D60D45" w:rsidRPr="00AD64EE" w:rsidRDefault="00D60D45" w:rsidP="00D60D45">
            <w:pPr>
              <w:contextualSpacing/>
              <w:jc w:val="both"/>
              <w:rPr>
                <w:lang w:eastAsia="en-US"/>
              </w:rPr>
            </w:pPr>
            <w:r w:rsidRPr="00AD64EE">
              <w:rPr>
                <w:lang w:eastAsia="en-US"/>
              </w:rPr>
              <w:t>Izteikt 45. panta pirmo teikumu šādā redakcijā:</w:t>
            </w:r>
          </w:p>
          <w:p w:rsidR="005F4BFD" w:rsidRPr="00AD64EE" w:rsidRDefault="00D60D45" w:rsidP="00D60D45">
            <w:pPr>
              <w:contextualSpacing/>
              <w:jc w:val="both"/>
            </w:pPr>
            <w:r w:rsidRPr="00AD64EE">
              <w:rPr>
                <w:lang w:eastAsia="en-US"/>
              </w:rPr>
              <w:t xml:space="preserve">"Pusi no valsts budžetā ieskaitītajiem konfiscētajiem noziedzīgi iegūtajiem līdzekļiem saimnieciskajā gadā novirza Tieslietu ministrijas atsevišķā budžeta programmā, lai īstenotu nepieciešamos pasākumus finanšu un ekonomisko noziegumu, kā arī organizētās noziedzības apkarošanai, </w:t>
            </w:r>
            <w:r w:rsidRPr="00AD64EE">
              <w:rPr>
                <w:lang w:eastAsia="en-US"/>
              </w:rPr>
              <w:lastRenderedPageBreak/>
              <w:t>izmeklēšanas iestāžu un</w:t>
            </w:r>
            <w:r w:rsidRPr="00AD64EE">
              <w:rPr>
                <w:rFonts w:ascii="Calibri" w:eastAsia="Calibri" w:hAnsi="Calibri"/>
                <w:lang w:eastAsia="en-US"/>
              </w:rPr>
              <w:t xml:space="preserve"> </w:t>
            </w:r>
            <w:r w:rsidRPr="00AD64EE">
              <w:rPr>
                <w:rFonts w:eastAsia="Calibri"/>
                <w:lang w:eastAsia="en-US"/>
              </w:rPr>
              <w:t>Finanšu</w:t>
            </w:r>
            <w:r w:rsidRPr="00AD64EE">
              <w:rPr>
                <w:rFonts w:ascii="Calibri" w:eastAsia="Calibri" w:hAnsi="Calibri"/>
                <w:lang w:eastAsia="en-US"/>
              </w:rPr>
              <w:t xml:space="preserve"> </w:t>
            </w:r>
            <w:r w:rsidRPr="00AD64EE">
              <w:rPr>
                <w:rFonts w:eastAsia="Calibri"/>
                <w:lang w:eastAsia="en-US"/>
              </w:rPr>
              <w:t xml:space="preserve">izlūkošanas </w:t>
            </w:r>
            <w:r w:rsidRPr="00AD64EE">
              <w:rPr>
                <w:lang w:eastAsia="en-US"/>
              </w:rPr>
              <w:t>dienesta materiāltehniskā nodrošinājuma un infrastruktūras attīstībai un atbalsta sniegšanai noziedzīgos nodarījumos cietušajiem."</w:t>
            </w:r>
          </w:p>
        </w:tc>
        <w:tc>
          <w:tcPr>
            <w:tcW w:w="3402" w:type="dxa"/>
            <w:tcBorders>
              <w:left w:val="single" w:sz="6" w:space="0" w:color="000000"/>
              <w:bottom w:val="single" w:sz="4" w:space="0" w:color="auto"/>
              <w:right w:val="single" w:sz="6" w:space="0" w:color="000000"/>
            </w:tcBorders>
          </w:tcPr>
          <w:p w:rsidR="00D60D45" w:rsidRPr="00AD64EE" w:rsidRDefault="00D60D45" w:rsidP="00D60D45">
            <w:pPr>
              <w:spacing w:after="120"/>
              <w:jc w:val="center"/>
              <w:rPr>
                <w:b/>
                <w:lang w:eastAsia="en-US"/>
              </w:rPr>
            </w:pPr>
            <w:r w:rsidRPr="00AD64EE">
              <w:rPr>
                <w:b/>
                <w:lang w:eastAsia="en-US"/>
              </w:rPr>
              <w:lastRenderedPageBreak/>
              <w:t>Finanšu ministrijas 19.07.2019. iebildums</w:t>
            </w:r>
          </w:p>
          <w:p w:rsidR="00D60D45" w:rsidRPr="00AD64EE" w:rsidRDefault="00D60D45" w:rsidP="00D60D45">
            <w:pPr>
              <w:spacing w:after="120"/>
              <w:jc w:val="both"/>
              <w:rPr>
                <w:lang w:eastAsia="en-US"/>
              </w:rPr>
            </w:pPr>
            <w:r w:rsidRPr="00AD64EE">
              <w:rPr>
                <w:lang w:eastAsia="en-US"/>
              </w:rPr>
              <w:t xml:space="preserve">     Šobrīd spēkā esošā likuma “Noziedzīgi iegūtas mantas konfiskācijas izpildes likuma” 45.pants nosaka, ka ik gadu puse no visiem valsts budžetā ieskaitītajiem konfiscētajiem noziedzīgi iegūtajiem līdzekļiem tiek novirzīti TM atsevišķā budžeta programmā, bet ne vairāk kā divi milj. </w:t>
            </w:r>
            <w:r w:rsidRPr="00AD64EE">
              <w:rPr>
                <w:i/>
                <w:lang w:eastAsia="en-US"/>
              </w:rPr>
              <w:t>euro</w:t>
            </w:r>
            <w:r w:rsidRPr="00AD64EE">
              <w:rPr>
                <w:lang w:eastAsia="en-US"/>
              </w:rPr>
              <w:t xml:space="preserve"> saimnieciskajā gadā. Sagatavotais likumprojekts paredz TM atsevišķā budžeta programmā ieskaitāmo līdzekļu griestu atcelšanu.</w:t>
            </w:r>
          </w:p>
          <w:p w:rsidR="005F4BFD" w:rsidRPr="00AD64EE" w:rsidRDefault="00D60D45" w:rsidP="00D60D45">
            <w:pPr>
              <w:spacing w:after="120"/>
              <w:jc w:val="both"/>
              <w:rPr>
                <w:lang w:eastAsia="en-US"/>
              </w:rPr>
            </w:pPr>
            <w:r w:rsidRPr="00AD64EE">
              <w:rPr>
                <w:lang w:eastAsia="en-US"/>
              </w:rPr>
              <w:t xml:space="preserve">     Vēršam uzmanību, ka valsts budžeta ieņēmumi no noziedzīgi </w:t>
            </w:r>
            <w:r w:rsidRPr="00AD64EE">
              <w:rPr>
                <w:lang w:eastAsia="en-US"/>
              </w:rPr>
              <w:lastRenderedPageBreak/>
              <w:t>iegūtas mantas konfiskācijas ir svārstīgi vairāku gadu ietvaros un atbilstoši Eiropas Komisijas budžeta uzraudzības metodoloģijai, ar ko tiek novērtēta ES dalībvalstu fiskālo nosacījumu izpilde, šie līdzekļi virs bāzes līmeņa var tikt atzīti kā vienreizēji budžeta ieņēmumi. Šāda budžeta ieņēmumu klasifikācija nozīmē, ka tie tiek atskaitīti no vispārējās valdības budžeta bilances, lai iegūtu vispārējās valdības budžeta strukturālo bilanci un izdevumu pieauguma radītāju (pret ko EK pārbauda fiskālo nosacījumu ievērošanu). Ņemot vērā minēto, nav atbalstāmi grozījumi, kas paredzētu TM atsevišķās budžeta programmas griestu atcelšanu, jo rodas risks, ka papildu izdevumi virs bāzes līmeņa, kas finansēti no šīs programmas, netiks neitralizēti ar papildu ieņēmumiem no noziedzīgi iegūtas mantas konfiskācijas, kā rezultātā var iestāties neatbilstība pret fiskālo nosacījumu izpildi.</w:t>
            </w:r>
          </w:p>
        </w:tc>
        <w:tc>
          <w:tcPr>
            <w:tcW w:w="2977" w:type="dxa"/>
            <w:tcBorders>
              <w:left w:val="single" w:sz="6" w:space="0" w:color="000000"/>
              <w:bottom w:val="single" w:sz="4" w:space="0" w:color="auto"/>
              <w:right w:val="single" w:sz="6" w:space="0" w:color="000000"/>
            </w:tcBorders>
          </w:tcPr>
          <w:p w:rsidR="002626F4" w:rsidRPr="00AD64EE" w:rsidRDefault="00BA7441" w:rsidP="00900A15">
            <w:pPr>
              <w:jc w:val="center"/>
              <w:rPr>
                <w:b/>
              </w:rPr>
            </w:pPr>
            <w:r w:rsidRPr="00AD64EE">
              <w:rPr>
                <w:b/>
              </w:rPr>
              <w:lastRenderedPageBreak/>
              <w:t>Nav ņemts vērā</w:t>
            </w:r>
          </w:p>
          <w:p w:rsidR="005E3B0A" w:rsidRPr="00AD64EE" w:rsidRDefault="00D670D2" w:rsidP="00D670D2">
            <w:pPr>
              <w:jc w:val="both"/>
            </w:pPr>
            <w:r w:rsidRPr="00AD64EE">
              <w:t xml:space="preserve">   </w:t>
            </w:r>
            <w:r w:rsidR="005E3B0A" w:rsidRPr="00AD64EE">
              <w:t xml:space="preserve">Iekšlietu ministrija vērš uzmanību, ka atbilstoši ar  </w:t>
            </w:r>
            <w:r w:rsidR="005E3B0A" w:rsidRPr="00AD64EE">
              <w:rPr>
                <w:bCs/>
                <w:iCs/>
              </w:rPr>
              <w:t xml:space="preserve">Ministru kabineta 2017. gada 11. aprīļa sēdes protokollēmumu (Nr. 19, </w:t>
            </w:r>
            <w:r w:rsidR="005E3B0A" w:rsidRPr="00AD64EE">
              <w:rPr>
                <w:bCs/>
              </w:rPr>
              <w:t xml:space="preserve">30. §) </w:t>
            </w:r>
            <w:r w:rsidR="005E3B0A" w:rsidRPr="00AD64EE">
              <w:t xml:space="preserve">atbalstītajā informatīvajā ziņojumā "Par priekšlikumiem turpmākai rīcībai, lai izveidotu mehānismu konfiscēto noziedzīgi iegūto līdzekļu izmantošanai" norādītajam, “ievērojot Eiropas Parlamenta un Padomes 2014. gada 3. aprīļa Direktīvu 2014/42/ES par nozieguma rīku un noziedzīgi iegūtu līdzekļu iesaldēšanu un konfiskāciju </w:t>
            </w:r>
            <w:r w:rsidR="005E3B0A" w:rsidRPr="00AD64EE">
              <w:lastRenderedPageBreak/>
              <w:t>Eiropas Savienībā,</w:t>
            </w:r>
            <w:r w:rsidR="005E3B0A" w:rsidRPr="00AD64EE">
              <w:rPr>
                <w:i/>
              </w:rPr>
              <w:t xml:space="preserve"> </w:t>
            </w:r>
            <w:proofErr w:type="spellStart"/>
            <w:r w:rsidR="005E3B0A" w:rsidRPr="00AD64EE">
              <w:rPr>
                <w:i/>
              </w:rPr>
              <w:t>Moneyval</w:t>
            </w:r>
            <w:proofErr w:type="spellEnd"/>
            <w:r w:rsidR="005E3B0A" w:rsidRPr="00AD64EE">
              <w:t xml:space="preserve"> Komitejas rekomendācijas, kā arī citu valstu pieredzi, līdzekļi, kas iegūti noziedzīgi iegūtas mantas konfiskācijas rezultātā, jāizmanto tādiem mērķiem kā:</w:t>
            </w:r>
          </w:p>
          <w:p w:rsidR="005E3B0A" w:rsidRPr="00AD64EE" w:rsidRDefault="005E3B0A" w:rsidP="00DC6E00">
            <w:pPr>
              <w:jc w:val="both"/>
            </w:pPr>
            <w:r w:rsidRPr="00AD64EE">
              <w:t>1) līdzekļu atguves dienesta (ARO) kapacitātes stiprināšana (Iekšlietu ministrija);</w:t>
            </w:r>
          </w:p>
          <w:p w:rsidR="005E3B0A" w:rsidRPr="00AD64EE" w:rsidRDefault="005E3B0A" w:rsidP="00DC6E00">
            <w:pPr>
              <w:jc w:val="both"/>
            </w:pPr>
            <w:r w:rsidRPr="00AD64EE">
              <w:t>2) VID Finanšu policijas darbinieku apmācības; citu tiesībsargājošo iestāžu darbinieku apmācības (t.sk. kopīgas apmācības) (Finanšu ministrija, Iekšlietu ministrija, Korupcijas novēršanas un apkarošanas birojs, Latvijas Republikas Prokuratūra);</w:t>
            </w:r>
          </w:p>
          <w:p w:rsidR="005E3B0A" w:rsidRPr="00AD64EE" w:rsidRDefault="005E3B0A" w:rsidP="00DC6E00">
            <w:pPr>
              <w:jc w:val="both"/>
            </w:pPr>
            <w:r w:rsidRPr="00AD64EE">
              <w:t>3) izmeklēšanas iestāžu, Valsts tiesu ekspertīžu biroja materiāltehniskās bāzes pilnveidošana (Finanšu ministrija, Iekšlietu ministrija, Korupcijas novēršanas un apkarošanas birojs, Tieslietu ministrija, Latvijas Republikas Prokuratūra);</w:t>
            </w:r>
          </w:p>
          <w:p w:rsidR="005E3B0A" w:rsidRPr="00AD64EE" w:rsidRDefault="005E3B0A" w:rsidP="00DC6E00">
            <w:pPr>
              <w:jc w:val="both"/>
            </w:pPr>
            <w:r w:rsidRPr="00AD64EE">
              <w:t xml:space="preserve">4) cietušo aizsardzība (piemēram, sociālās </w:t>
            </w:r>
            <w:r w:rsidRPr="00AD64EE">
              <w:lastRenderedPageBreak/>
              <w:t>rehabilitācijas un ārstēšanās pakalpojumi cietušajiem, īpaši bērniem, nometnes cietušajiem bērniem) (Labklājības ministrija, Veselības ministrija);</w:t>
            </w:r>
          </w:p>
          <w:p w:rsidR="005E3B0A" w:rsidRPr="00AD64EE" w:rsidRDefault="005E3B0A" w:rsidP="00DC6E00">
            <w:pPr>
              <w:jc w:val="both"/>
            </w:pPr>
            <w:r w:rsidRPr="00AD64EE">
              <w:t>5) citi sociāli mērķi (piemēram, dažādi pasākumi smagi slimiem bērniem, apmaksāta padziļināta sporta, mākslas, mūzikas apguve bērniem no maznodrošinātām ģimenēm u.tml., atbalsts organizācijām, kuras nodarbojas ar narkomānu iekļaušanu sabiedrībā u.tml.) (Labklājības ministrija, Izglītības un zinātnes ministrija);</w:t>
            </w:r>
          </w:p>
          <w:p w:rsidR="005E3B0A" w:rsidRPr="00AD64EE" w:rsidRDefault="005E3B0A" w:rsidP="00DC6E00">
            <w:pPr>
              <w:jc w:val="both"/>
            </w:pPr>
            <w:r w:rsidRPr="00AD64EE">
              <w:t>6) iespējams, noziedzīgi iegūtas mantas labticīgo ieguvēju aizsardzība (saskaņā ar KPL normām noziedzīgi iegūta manta ir atdodama mantas īpašniekam, kurš bija pieteicis mantas zudumu. Tomēr nereti šajos gadījumos ir trešā persona, kura nezināja un nevarēja zināt, ka viņas valdījumā ir nonākusi noziedzīgi iegūta manta).</w:t>
            </w:r>
          </w:p>
          <w:p w:rsidR="005E3B0A" w:rsidRPr="00AD64EE" w:rsidRDefault="00DC6E00" w:rsidP="00DC6E00">
            <w:pPr>
              <w:jc w:val="both"/>
            </w:pPr>
            <w:r w:rsidRPr="00AD64EE">
              <w:lastRenderedPageBreak/>
              <w:t xml:space="preserve">   </w:t>
            </w:r>
            <w:r w:rsidR="005E3B0A" w:rsidRPr="00AD64EE">
              <w:t>Arī ES Padomes ziņojuma "Finanšu noziegumi un finanšu izmeklēšana" par Latviju 6.1.4. un 6.1.5. punktā sniegti ieteikumi stiprināt to dienestu kapacitāti, kas guvuši lielākos panākumus līdzekļu atguvē, rīkojot pastāvīgas apmācības, kā arī palielinot ekspertu skaitu, kuriem ir atbilstošas zināšanas finanšu jomā. Turklāt vajadzētu izvērtēt iespējas novirzīt noteiktu procentuālu daļu no konfiscētajiem noziedzīgi iegūtajiem līdzekļiem tiesībaizsardzības iestāžu kapacitātes un tehniskā nodrošinājuma attīstībai.</w:t>
            </w:r>
          </w:p>
          <w:p w:rsidR="005E3B0A" w:rsidRPr="00AD64EE" w:rsidRDefault="00DC6E00" w:rsidP="00DC6E00">
            <w:pPr>
              <w:jc w:val="both"/>
            </w:pPr>
            <w:r w:rsidRPr="00AD64EE">
              <w:t xml:space="preserve">   </w:t>
            </w:r>
            <w:r w:rsidR="005E3B0A" w:rsidRPr="00AD64EE">
              <w:t>Papildus piešķirtie līdzekļi būtu izmantojami speciālās operatīvās tehnikas iegādei, transportlīdzekļu iegādei, dažādu analītisko programmatūras produktu iegādei, apmācībām un informatoru atalgošanai.</w:t>
            </w:r>
          </w:p>
          <w:p w:rsidR="005E3B0A" w:rsidRPr="00AD64EE" w:rsidRDefault="00DC6E00" w:rsidP="00DC6E00">
            <w:pPr>
              <w:jc w:val="both"/>
            </w:pPr>
            <w:r w:rsidRPr="00AD64EE">
              <w:t xml:space="preserve">   </w:t>
            </w:r>
            <w:r w:rsidR="005E3B0A" w:rsidRPr="00AD64EE">
              <w:t xml:space="preserve">Tādējādi konfiscētie līdzekļi pamatā būtu novirzāmi Finanšu ministrijai, Iekšlietu ministrijai, Latvijas </w:t>
            </w:r>
            <w:r w:rsidR="005E3B0A" w:rsidRPr="00AD64EE">
              <w:lastRenderedPageBreak/>
              <w:t>Republikas Prokuratūrai, Tieslietu ministrijai, Korupcijas novēršanas un apkarošanas birojam un Labklājības ministrijai.”</w:t>
            </w:r>
          </w:p>
          <w:p w:rsidR="005E3B0A" w:rsidRPr="00AD64EE" w:rsidRDefault="00DC6E00" w:rsidP="00DC6E00">
            <w:pPr>
              <w:jc w:val="both"/>
            </w:pPr>
            <w:r w:rsidRPr="00AD64EE">
              <w:t xml:space="preserve">   </w:t>
            </w:r>
            <w:r w:rsidR="005E3B0A" w:rsidRPr="00AD64EE">
              <w:t xml:space="preserve">Līdz ar to, jau sākotnējais fonda izveides mērķis bija paredzēt mērķfinansējumu (resursu avotu) konkrēti iezīmētajiem mērķiem un attiecīgo iestāžu kapacitātes stiprināšanai, lai sasniegtu fonda izveidošanas mērķi </w:t>
            </w:r>
            <w:r w:rsidR="00CD6265" w:rsidRPr="00AD64EE">
              <w:t>–</w:t>
            </w:r>
            <w:r w:rsidR="005E3B0A" w:rsidRPr="00AD64EE">
              <w:t xml:space="preserve"> </w:t>
            </w:r>
            <w:r w:rsidR="00CD6265" w:rsidRPr="00AD64EE">
              <w:t>cīņu ar ekonomiskiem un finanšu noziegumiem.</w:t>
            </w:r>
          </w:p>
          <w:p w:rsidR="000708B7" w:rsidRPr="00AD64EE" w:rsidRDefault="00921922" w:rsidP="00DC6E00">
            <w:pPr>
              <w:jc w:val="both"/>
            </w:pPr>
            <w:r w:rsidRPr="00AD64EE">
              <w:t xml:space="preserve">   </w:t>
            </w:r>
            <w:r w:rsidR="000708B7" w:rsidRPr="00AD64EE">
              <w:t xml:space="preserve">Vienlaikus norādām, ka informatīvajā ziņojumā “Par priekšlikumiem turpmākai rīcībai, lai izveidotu mehānismu konfiscēto noziedzīgi iegūto līdzekļu izmantošanai” (Ministru kabineta 2017. gada 11. aprīļa sēdes prot. Nr. 19, 30.§) ir norādīts, ka gadījumā, ja palielinātos valsts budžetā ieskaitīto konfiscēto līdzekļu vidējais apmērs, </w:t>
            </w:r>
            <w:r w:rsidR="00B26A4C" w:rsidRPr="00AD64EE">
              <w:rPr>
                <w:rFonts w:eastAsia="Calibri"/>
                <w:lang w:eastAsia="en-US"/>
              </w:rPr>
              <w:t xml:space="preserve">Tieslietu ministrijas pamatbudžeta programmu "Noziedzīgi iegūtu līdzekļu konfiskācijas fonds" </w:t>
            </w:r>
            <w:r w:rsidR="000708B7" w:rsidRPr="00AD64EE">
              <w:t xml:space="preserve">ieskaitīto konfiscēto līdzekļu vidējais apmērs ir </w:t>
            </w:r>
            <w:r w:rsidR="000708B7" w:rsidRPr="00AD64EE">
              <w:lastRenderedPageBreak/>
              <w:t>pārskatāms. Ņemot vērā to, ka finanšu jomas sakārtošanai ir izstrādāti attiecīgie normatīvie akti ar mērķi veicināt finanšu un ekonomisko noziegumu izmeklēšanu, kas sekmēs jaunu kriminālprocesu uzsākšanu, tādējādi ir paredzams, ka attiecīgi palielināsies arī konfiscēto naudas līdzekļu apjoms.</w:t>
            </w:r>
          </w:p>
          <w:p w:rsidR="00921922" w:rsidRPr="00AD64EE" w:rsidRDefault="000708B7" w:rsidP="00DC6E00">
            <w:pPr>
              <w:jc w:val="both"/>
              <w:rPr>
                <w:rFonts w:eastAsia="Calibri"/>
                <w:lang w:eastAsia="en-US"/>
              </w:rPr>
            </w:pPr>
            <w:r w:rsidRPr="00AD64EE">
              <w:t xml:space="preserve">  Tāpat norādām, ka </w:t>
            </w:r>
            <w:r w:rsidR="00B26A4C" w:rsidRPr="00AD64EE">
              <w:t xml:space="preserve">atbilstoši Noziedzīgi iegūtas mantas konfiskācijas izpildes likuma 45. pantam </w:t>
            </w:r>
            <w:r w:rsidR="00B26A4C" w:rsidRPr="00AD64EE">
              <w:rPr>
                <w:rFonts w:eastAsia="Calibri"/>
                <w:lang w:eastAsia="en-US"/>
              </w:rPr>
              <w:t xml:space="preserve">Tieslietu ministrijas pamatbudžeta programmā "Noziedzīgi iegūtu līdzekļu konfiskācijas fonds" ieskaitīto finanšu līdzekļu mērķis ir nepieciešamo pasākumu īstenošanai finanšu un ekonomisko noziegumu apkarošanai un atbalsta sniegšanai noziedzīgos nodarījumos cietušajiem, tādējādi atbilstoši likumprojekta “Par valsts budžetu 2020. gadam” 54. pantam  2020. gadā ieņēmumus no noziedzīgi iegūto līdzekļu konfiskācijas varēs piešķirt Noziedzīgi </w:t>
            </w:r>
            <w:r w:rsidR="00B26A4C" w:rsidRPr="00AD64EE">
              <w:rPr>
                <w:rFonts w:eastAsia="Calibri"/>
                <w:lang w:eastAsia="en-US"/>
              </w:rPr>
              <w:lastRenderedPageBreak/>
              <w:t>iegūtas mantas konfiskācijas izpildes likuma 45. pant</w:t>
            </w:r>
            <w:r w:rsidR="00E41DB6" w:rsidRPr="00AD64EE">
              <w:rPr>
                <w:rFonts w:eastAsia="Calibri"/>
                <w:lang w:eastAsia="en-US"/>
              </w:rPr>
              <w:t xml:space="preserve">am neatbilstošam mērķim – </w:t>
            </w:r>
            <w:r w:rsidR="00B26A4C" w:rsidRPr="00AD64EE">
              <w:rPr>
                <w:rFonts w:eastAsia="Calibri"/>
                <w:lang w:eastAsia="en-US"/>
              </w:rPr>
              <w:t xml:space="preserve"> valsts nozīmes reformu īstenošanai</w:t>
            </w:r>
            <w:r w:rsidR="00E41DB6" w:rsidRPr="00AD64EE">
              <w:rPr>
                <w:rFonts w:eastAsia="Calibri"/>
                <w:lang w:eastAsia="en-US"/>
              </w:rPr>
              <w:t>.</w:t>
            </w:r>
            <w:r w:rsidR="00B26A4C" w:rsidRPr="00AD64EE">
              <w:rPr>
                <w:rFonts w:eastAsia="Calibri"/>
                <w:lang w:eastAsia="en-US"/>
              </w:rPr>
              <w:t xml:space="preserve"> </w:t>
            </w:r>
          </w:p>
          <w:p w:rsidR="001115A9" w:rsidRPr="00AD64EE" w:rsidRDefault="001115A9" w:rsidP="001115A9">
            <w:pPr>
              <w:jc w:val="both"/>
            </w:pPr>
            <w:r w:rsidRPr="00AD64EE">
              <w:rPr>
                <w:rFonts w:eastAsia="Calibri"/>
                <w:lang w:eastAsia="en-US"/>
              </w:rPr>
              <w:t xml:space="preserve">  Vienlaikus norādām, ka, ņemot vērā l</w:t>
            </w:r>
            <w:r w:rsidR="008D2EFF" w:rsidRPr="00AD64EE">
              <w:rPr>
                <w:rFonts w:eastAsia="Calibri"/>
                <w:lang w:eastAsia="en-US"/>
              </w:rPr>
              <w:t>ikuma “Par valsts budžetu 2019. </w:t>
            </w:r>
            <w:r w:rsidRPr="00AD64EE">
              <w:rPr>
                <w:rFonts w:eastAsia="Calibri"/>
                <w:lang w:eastAsia="en-US"/>
              </w:rPr>
              <w:t>gadam” 39. pantā un likumprojekta “Par valsts budžetu 2020. gadam”</w:t>
            </w:r>
            <w:r w:rsidR="008D2EFF" w:rsidRPr="00AD64EE">
              <w:rPr>
                <w:rFonts w:eastAsia="Calibri"/>
                <w:lang w:eastAsia="en-US"/>
              </w:rPr>
              <w:t xml:space="preserve"> </w:t>
            </w:r>
            <w:r w:rsidRPr="00AD64EE">
              <w:rPr>
                <w:rFonts w:eastAsia="Calibri"/>
                <w:lang w:eastAsia="en-US"/>
              </w:rPr>
              <w:t>(reģ. Nr. 455/Lp13) 54. pantā paredzēto, ir  noteikts likumprojekta spēkā stāšanās laiks – 2021. gada 1. janvāris.</w:t>
            </w:r>
          </w:p>
        </w:tc>
        <w:tc>
          <w:tcPr>
            <w:tcW w:w="2693" w:type="dxa"/>
            <w:tcBorders>
              <w:top w:val="single" w:sz="4" w:space="0" w:color="auto"/>
              <w:left w:val="single" w:sz="4" w:space="0" w:color="auto"/>
              <w:bottom w:val="single" w:sz="4" w:space="0" w:color="auto"/>
              <w:right w:val="single" w:sz="4" w:space="0" w:color="auto"/>
            </w:tcBorders>
          </w:tcPr>
          <w:p w:rsidR="00D60D45" w:rsidRPr="00AD64EE" w:rsidRDefault="00D60D45" w:rsidP="00D60D45">
            <w:pPr>
              <w:spacing w:after="120"/>
              <w:jc w:val="center"/>
              <w:rPr>
                <w:b/>
                <w:lang w:eastAsia="en-US"/>
              </w:rPr>
            </w:pPr>
            <w:r w:rsidRPr="00AD64EE">
              <w:rPr>
                <w:b/>
                <w:lang w:eastAsia="en-US"/>
              </w:rPr>
              <w:lastRenderedPageBreak/>
              <w:t>Finanšu ministrijas 19.08.2019. iebildums</w:t>
            </w:r>
          </w:p>
          <w:p w:rsidR="00D60D45" w:rsidRPr="00AD64EE" w:rsidRDefault="00D60D45" w:rsidP="00D60D45">
            <w:pPr>
              <w:spacing w:before="100" w:beforeAutospacing="1" w:after="100" w:afterAutospacing="1"/>
              <w:jc w:val="both"/>
            </w:pPr>
            <w:r w:rsidRPr="00AD64EE">
              <w:t>[..] Finanšu ministrijas iepriekš izteiktais iebildums pēc būtības nav ņemts vērā un uztur to. Nav atbalstāmi grozījumi, kas paredzētu Tieslietu ministrijas atsevišķās budžeta programmas griestu atcelšanu, līdz ar to arī Ministru kabineta sēdes protokollēmuma projekta 4.punkts ir svītrojams.</w:t>
            </w:r>
          </w:p>
          <w:p w:rsidR="00D60D45" w:rsidRPr="00AD64EE" w:rsidRDefault="00D60D45" w:rsidP="00D60D45">
            <w:pPr>
              <w:spacing w:before="100" w:beforeAutospacing="1" w:after="100" w:afterAutospacing="1"/>
              <w:jc w:val="both"/>
            </w:pPr>
            <w:r w:rsidRPr="00AD64EE">
              <w:t xml:space="preserve">   Vienlaikus vēršam uzmanību, ka Makroekonomiskās </w:t>
            </w:r>
            <w:r w:rsidRPr="00AD64EE">
              <w:lastRenderedPageBreak/>
              <w:t xml:space="preserve">attīstības un fiskālās politikas pamatnostādnēs viens no būtiskiem instrumentiem valdības rokās ekonomikas attīstības veicināšanas pamatprincipiem tika noteikts - atklāta un stabila fiskālā politika. Ministru kabinets  pamatnostādnēs apņēmās būtiski pārskatīt valsts fiskālās un budžeta politikas nostādnes, nodrošinot efektīvu un caurspīdīgu valsts budžeta līdzekļu izlietojumu. Lai to panāktu, tika analizēta esošo resursu atbilstība valdības noteiktajām darbības prioritātēm, izvērtēta līdzšinējo izdevumu efektivitāte un maksimāli novērsta budžeta līdzekļu nelietderīga izmantošana, likvidējot speciālos budžetus. Tika veikti būtiski uzlabojumi valsts budžeta caurspīdīguma pilnveidošanā, speciālos budžetus (izņemot valsts sociālās apdrošināšanas </w:t>
            </w:r>
            <w:r w:rsidRPr="00AD64EE">
              <w:lastRenderedPageBreak/>
              <w:t xml:space="preserve">speciālo budžetu) iekļaujot pamatbudžetā. Pārāk liels valsts speciālā budžeta īpatsvars, kas iezīmē valsts budžeta ieņēmumus, samazina valdības iespējas elastīgi pārgrupēt finanšu resursus uz prioritāriem pasākumiem. Jāatzīmē, ka vienotā lemšana par budžeta līdzekļu sadalījumu par prioritārajam nozarēm tiek uzskatīta par labu budžeta praksi. Iekļaujot speciālo budžetu pamatbudžeta programmās, kā speciālo budžetu atstājot tikai sociālo apdrošināšanu, tiek panākta lielāka valsts budžeta līdzekļu elastība, jo samazinās konkrētām vajadzībām iezīmēto līdzekļu daļa un rodas iespēja līdzekļu pārdalīšanai. Līdzekļu iezīmēšana rada risku, ka speciālajam mērķim tiktu izlietots vairāk līdzekļu, nekā tam pēc būtības ir nepieciešams, tādā veidā neveicinot resursu </w:t>
            </w:r>
            <w:r w:rsidRPr="00AD64EE">
              <w:lastRenderedPageBreak/>
              <w:t xml:space="preserve">izlietojuma </w:t>
            </w:r>
            <w:proofErr w:type="spellStart"/>
            <w:r w:rsidRPr="00AD64EE">
              <w:t>efektivizēšanu</w:t>
            </w:r>
            <w:proofErr w:type="spellEnd"/>
            <w:r w:rsidRPr="00AD64EE">
              <w:t>. Samērā bieži ir grūti sabalansēt iezīmējamo ieņēmumu apjomu ar reāli nepieciešamām izmaksām, tādā veidā radot nesabalansēto iezīmēto (speciālo) budžetu un tādā veidā nelabvēlīgi ietekmējot arī pārējo kopējā budžeta daļu.</w:t>
            </w:r>
          </w:p>
          <w:p w:rsidR="005F4BFD" w:rsidRPr="00AD64EE" w:rsidRDefault="00D60D45" w:rsidP="00D60D45">
            <w:pPr>
              <w:jc w:val="both"/>
            </w:pPr>
            <w:r w:rsidRPr="00AD64EE">
              <w:t xml:space="preserve">Noziedzīgi iegūtie līdzekļi veido daļu no pārējiem nenodokļu ieņēmumiem”, vispārējos valsts budžeta ieņēmumos ieskaitīto ieņēmumu (ieņēmumu EKK 12.1.6.0. „Ieņēmumi no konfiscēto noziedzīgi iegūto līdzekļu un papildsoda – mantas konfiskācija – realizācijas”) daļu pārskaita Tieslietu ministrijas pamatbudžeta programmā, veidojot iestādes mērķa resursus pamatbudžeta ietvaros. Nenodokļu ieņēmumu tieša novirzīšana </w:t>
            </w:r>
            <w:r w:rsidRPr="00AD64EE">
              <w:lastRenderedPageBreak/>
              <w:t>speciālajiem mērķiem padara apgrūtinošu valsts budžeta līdzekļu plānošanu, uzskatām, ka nenodokļu ieņēmumu izlietojums atsevišķām nozarēm nav nosakāms jomas (sfēras) likumdošanas, bet gan valsts budžeta ietvaros. Nenodokļu ieņēmumu sadali regulē gadskārtējais valsts budžeta likums.</w:t>
            </w:r>
          </w:p>
          <w:p w:rsidR="004C71B5" w:rsidRPr="00AD64EE" w:rsidRDefault="004C71B5" w:rsidP="004C71B5">
            <w:pPr>
              <w:jc w:val="center"/>
              <w:rPr>
                <w:b/>
              </w:rPr>
            </w:pPr>
            <w:r w:rsidRPr="00AD64EE">
              <w:rPr>
                <w:b/>
              </w:rPr>
              <w:t>Finanšu ministrijas izteiktais iebildums saskaņošanas sanāksmē (10.10.2019.)</w:t>
            </w:r>
          </w:p>
          <w:p w:rsidR="00EB133D" w:rsidRDefault="00EB133D" w:rsidP="00554B90">
            <w:pPr>
              <w:jc w:val="both"/>
            </w:pPr>
            <w:r w:rsidRPr="00AD64EE">
              <w:t xml:space="preserve">Likumprojekta “Par valsts budžetu 2020. gadam” 54. pants  </w:t>
            </w:r>
            <w:r w:rsidR="008C3FF4" w:rsidRPr="00AD64EE">
              <w:t xml:space="preserve">paredz, ka, ja 2020. gadā faktiskie ieņēmumi no noziedzīgi iegūto līdzekļu konfiskācijas pārsniedz šajā likumā plānoto apmēru un Eiropas Komisija ir atzinusi, ka tie nav uzskatāmi par vienreizējiem ieņēmumu pasākumiem Stabilitātes un izaugsmes pakta izpratnē, finanšu ministram ir tiesības par </w:t>
            </w:r>
            <w:r w:rsidR="008C3FF4" w:rsidRPr="00AD64EE">
              <w:lastRenderedPageBreak/>
              <w:t>attiecīgo apmēru palielināt apropriāciju budžeta resora “74. Gadskārtējā valsts budžeta izpildes procesā pārdalāmais finansējums” 09.00.00 programmā “Valsts nozīmes reformas īstenošanai”.</w:t>
            </w:r>
            <w:r w:rsidR="00554B90" w:rsidRPr="00AD64EE">
              <w:t xml:space="preserve"> Ņemot vērā minēto, Iekšlietu ministrija arī varēs pieteikties finanšu līdzekļiem, kas būs ieskaitīti budžeta resora “74. Gadskārtējā valsts budžeta izpildes procesā pārdalāmais finansējums” 09.00.00 programmā “Valsts nozīmes reformas īstenošanai”. Tāpat Tieslietu ministrija Konfiskācijas fondā ir plānojusi ieņēmumus divu miljonu </w:t>
            </w:r>
            <w:r w:rsidR="00554B90" w:rsidRPr="00AD64EE">
              <w:rPr>
                <w:i/>
              </w:rPr>
              <w:t>euro</w:t>
            </w:r>
            <w:r w:rsidR="00554B90" w:rsidRPr="00AD64EE">
              <w:t xml:space="preserve"> apmērā. Ņemot vērā minēto, nav atbalstāma likumprojekta tālāka virzība.</w:t>
            </w:r>
          </w:p>
          <w:p w:rsidR="00B35F26" w:rsidRPr="00AD64EE" w:rsidRDefault="00B35F26" w:rsidP="00B35F26">
            <w:pPr>
              <w:spacing w:after="120"/>
              <w:jc w:val="center"/>
              <w:rPr>
                <w:b/>
                <w:lang w:eastAsia="en-US"/>
              </w:rPr>
            </w:pPr>
            <w:r>
              <w:rPr>
                <w:b/>
                <w:lang w:eastAsia="en-US"/>
              </w:rPr>
              <w:t>Finanšu ministrijas 20.11</w:t>
            </w:r>
            <w:r w:rsidRPr="00AD64EE">
              <w:rPr>
                <w:b/>
                <w:lang w:eastAsia="en-US"/>
              </w:rPr>
              <w:t>.2019. iebildums</w:t>
            </w:r>
          </w:p>
          <w:p w:rsidR="00B35F26" w:rsidRPr="00AD64EE" w:rsidRDefault="00B35F26" w:rsidP="00554B90">
            <w:pPr>
              <w:jc w:val="both"/>
            </w:pPr>
            <w:r w:rsidRPr="00B35F26">
              <w:t xml:space="preserve">Finanšu ministrija savas kompetences ietvaros izskatīja Iekšlietu ministrijas precizēto </w:t>
            </w:r>
            <w:r w:rsidRPr="00B35F26">
              <w:lastRenderedPageBreak/>
              <w:t>likumprojektu “Grozījums Noziedzīgi iegūtas mantas konfiskācijas izpildes likumā”, VSS-638, sākotnējās ietekmes novērtējuma ziņojumu (anotāciju), saistīto Ministru kabineta sēdes protokollēmuma projektu un izziņu par atzinumos sniegtajiem iebildumiem un informē, ka turpina uzturēt Finanšu ministrijas 2019.gada 19.augusta atzinumā izteiktos iebildumus (izziņas 1.punkts).</w:t>
            </w:r>
            <w:bookmarkStart w:id="0" w:name="_GoBack"/>
            <w:bookmarkEnd w:id="0"/>
          </w:p>
        </w:tc>
        <w:tc>
          <w:tcPr>
            <w:tcW w:w="2253" w:type="dxa"/>
            <w:tcBorders>
              <w:top w:val="single" w:sz="4" w:space="0" w:color="auto"/>
              <w:left w:val="single" w:sz="4" w:space="0" w:color="auto"/>
              <w:bottom w:val="single" w:sz="4" w:space="0" w:color="auto"/>
            </w:tcBorders>
          </w:tcPr>
          <w:p w:rsidR="00F66DCF" w:rsidRPr="00AD64EE" w:rsidRDefault="00F66DCF" w:rsidP="00F66DCF">
            <w:pPr>
              <w:contextualSpacing/>
              <w:jc w:val="both"/>
              <w:rPr>
                <w:lang w:eastAsia="en-US"/>
              </w:rPr>
            </w:pPr>
            <w:r w:rsidRPr="00AD64EE">
              <w:rPr>
                <w:lang w:eastAsia="en-US"/>
              </w:rPr>
              <w:lastRenderedPageBreak/>
              <w:t xml:space="preserve">Izslēgt 45. pantā vārdus "bet ne vairāk kā divus miljonus </w:t>
            </w:r>
            <w:r w:rsidRPr="00AD64EE">
              <w:rPr>
                <w:i/>
                <w:lang w:eastAsia="en-US"/>
              </w:rPr>
              <w:t>euro</w:t>
            </w:r>
            <w:r w:rsidRPr="00AD64EE">
              <w:rPr>
                <w:lang w:eastAsia="en-US"/>
              </w:rPr>
              <w:t>".</w:t>
            </w:r>
          </w:p>
          <w:p w:rsidR="005F4BFD" w:rsidRPr="00AD64EE" w:rsidRDefault="005F4BFD" w:rsidP="001115A9">
            <w:pPr>
              <w:contextualSpacing/>
              <w:jc w:val="both"/>
              <w:rPr>
                <w:lang w:eastAsia="en-US"/>
              </w:rPr>
            </w:pPr>
          </w:p>
          <w:p w:rsidR="001115A9" w:rsidRPr="00AD64EE" w:rsidRDefault="001115A9" w:rsidP="001115A9">
            <w:pPr>
              <w:shd w:val="clear" w:color="auto" w:fill="FFFFFF"/>
              <w:contextualSpacing/>
              <w:jc w:val="both"/>
            </w:pPr>
            <w:r w:rsidRPr="00AD64EE">
              <w:t>Likums stājas spēkā 2021. gada 1. janvārī.</w:t>
            </w:r>
          </w:p>
          <w:p w:rsidR="001115A9" w:rsidRPr="00AD64EE" w:rsidRDefault="001115A9" w:rsidP="00DA516C">
            <w:pPr>
              <w:contextualSpacing/>
              <w:jc w:val="both"/>
              <w:rPr>
                <w:lang w:eastAsia="en-US"/>
              </w:rPr>
            </w:pPr>
          </w:p>
        </w:tc>
      </w:tr>
    </w:tbl>
    <w:p w:rsidR="00AF1148" w:rsidRPr="00AD64EE" w:rsidRDefault="00AF1148" w:rsidP="005D67F7">
      <w:pPr>
        <w:pStyle w:val="naisf"/>
        <w:spacing w:before="0" w:after="0"/>
        <w:ind w:firstLine="0"/>
        <w:rPr>
          <w:b/>
        </w:rPr>
      </w:pPr>
    </w:p>
    <w:p w:rsidR="005D67F7" w:rsidRPr="00AD64EE" w:rsidRDefault="005D67F7" w:rsidP="005D67F7">
      <w:pPr>
        <w:pStyle w:val="naisf"/>
        <w:spacing w:before="0" w:after="0"/>
        <w:ind w:firstLine="0"/>
        <w:rPr>
          <w:b/>
        </w:rPr>
      </w:pPr>
      <w:r w:rsidRPr="00AD64EE">
        <w:rPr>
          <w:b/>
        </w:rPr>
        <w:t>Informācija par starpministriju (starpinstitūciju) sanāksmi vai elektronisko saskaņošanu</w:t>
      </w:r>
    </w:p>
    <w:p w:rsidR="005D67F7" w:rsidRPr="00AD64EE"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AD64EE">
        <w:tc>
          <w:tcPr>
            <w:tcW w:w="6345" w:type="dxa"/>
          </w:tcPr>
          <w:p w:rsidR="007B4C0F" w:rsidRPr="00AD64EE" w:rsidRDefault="005D67F7" w:rsidP="005D67F7">
            <w:pPr>
              <w:pStyle w:val="naisf"/>
              <w:spacing w:before="0" w:after="0"/>
              <w:ind w:firstLine="0"/>
            </w:pPr>
            <w:r w:rsidRPr="00AD64EE">
              <w:t>D</w:t>
            </w:r>
            <w:r w:rsidR="007B4C0F" w:rsidRPr="00AD64EE">
              <w:t>atums</w:t>
            </w:r>
          </w:p>
        </w:tc>
        <w:tc>
          <w:tcPr>
            <w:tcW w:w="6237" w:type="dxa"/>
            <w:gridSpan w:val="2"/>
            <w:tcBorders>
              <w:bottom w:val="single" w:sz="4" w:space="0" w:color="auto"/>
            </w:tcBorders>
          </w:tcPr>
          <w:p w:rsidR="007B4C0F" w:rsidRPr="00AD64EE" w:rsidRDefault="00B33CB7" w:rsidP="002F35A8">
            <w:pPr>
              <w:pStyle w:val="NormalWeb"/>
              <w:spacing w:before="0" w:beforeAutospacing="0" w:after="0" w:afterAutospacing="0"/>
            </w:pPr>
            <w:r w:rsidRPr="00AD64EE">
              <w:t>13</w:t>
            </w:r>
            <w:r w:rsidR="007B01AE" w:rsidRPr="00AD64EE">
              <w:t>.08.2019.</w:t>
            </w:r>
            <w:r w:rsidR="00642608" w:rsidRPr="00AD64EE">
              <w:t>-19</w:t>
            </w:r>
            <w:r w:rsidR="00AA797B" w:rsidRPr="00AD64EE">
              <w:t>.08.2019.</w:t>
            </w:r>
            <w:r w:rsidR="002F35A8" w:rsidRPr="00AD64EE">
              <w:t xml:space="preserve"> (elektroniskā saskaņošana)</w:t>
            </w:r>
          </w:p>
          <w:p w:rsidR="002F35A8" w:rsidRPr="00AD64EE" w:rsidRDefault="00786190" w:rsidP="002F35A8">
            <w:pPr>
              <w:pStyle w:val="NormalWeb"/>
              <w:spacing w:before="0" w:beforeAutospacing="0" w:after="0" w:afterAutospacing="0"/>
            </w:pPr>
            <w:r w:rsidRPr="00AD64EE">
              <w:t>10.10</w:t>
            </w:r>
            <w:r w:rsidR="002F35A8" w:rsidRPr="00AD64EE">
              <w:t xml:space="preserve">.2019. (starpministriju (starpinstitūciju) </w:t>
            </w:r>
            <w:r w:rsidR="00F03542" w:rsidRPr="00AD64EE">
              <w:t xml:space="preserve">saskaņošanas </w:t>
            </w:r>
            <w:r w:rsidR="002F35A8" w:rsidRPr="00AD64EE">
              <w:t>sanāksme)</w:t>
            </w:r>
          </w:p>
          <w:p w:rsidR="00E36651" w:rsidRPr="00AD64EE" w:rsidRDefault="001072F1" w:rsidP="002F35A8">
            <w:pPr>
              <w:pStyle w:val="NormalWeb"/>
              <w:spacing w:before="0" w:beforeAutospacing="0" w:after="0" w:afterAutospacing="0"/>
            </w:pPr>
            <w:r>
              <w:t>13.11.2019.-20</w:t>
            </w:r>
            <w:r w:rsidR="00E36651" w:rsidRPr="00AD64EE">
              <w:t>.11.2019. (elektroniskā saskaņošana)</w:t>
            </w:r>
          </w:p>
        </w:tc>
      </w:tr>
      <w:tr w:rsidR="003C27A2" w:rsidRPr="00AD64EE">
        <w:tc>
          <w:tcPr>
            <w:tcW w:w="6345" w:type="dxa"/>
          </w:tcPr>
          <w:p w:rsidR="003C27A2" w:rsidRPr="00AD64EE" w:rsidRDefault="003C27A2" w:rsidP="007B4C0F">
            <w:pPr>
              <w:pStyle w:val="naisf"/>
              <w:spacing w:before="0" w:after="0"/>
              <w:ind w:firstLine="0"/>
            </w:pPr>
          </w:p>
        </w:tc>
        <w:tc>
          <w:tcPr>
            <w:tcW w:w="6237" w:type="dxa"/>
            <w:gridSpan w:val="2"/>
            <w:tcBorders>
              <w:top w:val="single" w:sz="4" w:space="0" w:color="auto"/>
            </w:tcBorders>
          </w:tcPr>
          <w:p w:rsidR="003C27A2" w:rsidRPr="00AD64EE" w:rsidRDefault="003C27A2" w:rsidP="0036160E">
            <w:pPr>
              <w:pStyle w:val="NormalWeb"/>
              <w:spacing w:before="0" w:beforeAutospacing="0" w:after="0" w:afterAutospacing="0"/>
              <w:ind w:firstLine="720"/>
            </w:pPr>
          </w:p>
        </w:tc>
      </w:tr>
      <w:tr w:rsidR="007B4C0F" w:rsidRPr="00AD64EE">
        <w:tc>
          <w:tcPr>
            <w:tcW w:w="6345" w:type="dxa"/>
          </w:tcPr>
          <w:p w:rsidR="007B4C0F" w:rsidRPr="00AD64EE" w:rsidRDefault="00365CC0" w:rsidP="003C27A2">
            <w:pPr>
              <w:pStyle w:val="naiskr"/>
              <w:spacing w:before="0" w:after="0"/>
            </w:pPr>
            <w:r w:rsidRPr="00AD64EE">
              <w:t>Saskaņošanas dalībnieki</w:t>
            </w:r>
          </w:p>
        </w:tc>
        <w:tc>
          <w:tcPr>
            <w:tcW w:w="6237" w:type="dxa"/>
            <w:gridSpan w:val="2"/>
          </w:tcPr>
          <w:p w:rsidR="007B4C0F" w:rsidRPr="00AD64EE" w:rsidRDefault="007B4C0F" w:rsidP="00275648">
            <w:pPr>
              <w:pStyle w:val="NormalWeb"/>
              <w:spacing w:before="0" w:beforeAutospacing="0" w:after="0" w:afterAutospacing="0"/>
            </w:pPr>
          </w:p>
        </w:tc>
      </w:tr>
      <w:tr w:rsidR="007B4C0F" w:rsidRPr="00AD64EE">
        <w:tc>
          <w:tcPr>
            <w:tcW w:w="6345" w:type="dxa"/>
          </w:tcPr>
          <w:p w:rsidR="007B4C0F" w:rsidRPr="00AD64EE" w:rsidRDefault="007B4C0F" w:rsidP="0036160E">
            <w:pPr>
              <w:pStyle w:val="naiskr"/>
              <w:spacing w:before="0" w:after="0"/>
              <w:ind w:firstLine="720"/>
            </w:pPr>
            <w:r w:rsidRPr="00AD64EE">
              <w:t>  </w:t>
            </w:r>
          </w:p>
        </w:tc>
        <w:tc>
          <w:tcPr>
            <w:tcW w:w="6237" w:type="dxa"/>
            <w:gridSpan w:val="2"/>
            <w:tcBorders>
              <w:top w:val="single" w:sz="6" w:space="0" w:color="000000"/>
              <w:bottom w:val="single" w:sz="6" w:space="0" w:color="000000"/>
            </w:tcBorders>
          </w:tcPr>
          <w:p w:rsidR="007B4C0F" w:rsidRPr="00AD64EE" w:rsidRDefault="00275648" w:rsidP="00A7077D">
            <w:pPr>
              <w:pStyle w:val="naiskr"/>
              <w:spacing w:before="0" w:after="0"/>
            </w:pPr>
            <w:r w:rsidRPr="00AD64EE">
              <w:t>Tieslietu ministrija, Finanšu ministrija, Izglītības un zinātnes ministrija, Labklājības ministrija, Ģenerālprokuratūra, Korupcijas novēršanas un apkarošanas birojs</w:t>
            </w:r>
          </w:p>
        </w:tc>
      </w:tr>
      <w:tr w:rsidR="000D0AED" w:rsidRPr="00AD64EE">
        <w:trPr>
          <w:trHeight w:val="285"/>
        </w:trPr>
        <w:tc>
          <w:tcPr>
            <w:tcW w:w="6345" w:type="dxa"/>
          </w:tcPr>
          <w:p w:rsidR="000D0AED" w:rsidRPr="00AD64EE" w:rsidRDefault="000D0AED" w:rsidP="000D0AED">
            <w:pPr>
              <w:pStyle w:val="naiskr"/>
              <w:spacing w:before="0" w:after="0"/>
            </w:pPr>
          </w:p>
        </w:tc>
        <w:tc>
          <w:tcPr>
            <w:tcW w:w="1203" w:type="dxa"/>
          </w:tcPr>
          <w:p w:rsidR="000D0AED" w:rsidRPr="00AD64EE" w:rsidRDefault="000D0AED" w:rsidP="0036160E">
            <w:pPr>
              <w:pStyle w:val="naiskr"/>
              <w:spacing w:before="0" w:after="0"/>
              <w:ind w:firstLine="720"/>
            </w:pPr>
          </w:p>
        </w:tc>
        <w:tc>
          <w:tcPr>
            <w:tcW w:w="5034" w:type="dxa"/>
          </w:tcPr>
          <w:p w:rsidR="000D0AED" w:rsidRPr="00AD64EE" w:rsidRDefault="000D0AED" w:rsidP="0036160E">
            <w:pPr>
              <w:pStyle w:val="naiskr"/>
              <w:spacing w:before="0" w:after="0"/>
              <w:ind w:firstLine="12"/>
            </w:pPr>
          </w:p>
        </w:tc>
      </w:tr>
    </w:tbl>
    <w:p w:rsidR="008A36C9" w:rsidRPr="00AD64EE" w:rsidRDefault="008A36C9"/>
    <w:tbl>
      <w:tblPr>
        <w:tblW w:w="12582" w:type="dxa"/>
        <w:tblLook w:val="00A0" w:firstRow="1" w:lastRow="0" w:firstColumn="1" w:lastColumn="0" w:noHBand="0" w:noVBand="0"/>
      </w:tblPr>
      <w:tblGrid>
        <w:gridCol w:w="6320"/>
        <w:gridCol w:w="1083"/>
        <w:gridCol w:w="5179"/>
      </w:tblGrid>
      <w:tr w:rsidR="007B4C0F" w:rsidRPr="00AD64EE" w:rsidTr="00275648">
        <w:trPr>
          <w:trHeight w:val="297"/>
        </w:trPr>
        <w:tc>
          <w:tcPr>
            <w:tcW w:w="6708" w:type="dxa"/>
          </w:tcPr>
          <w:p w:rsidR="007B4C0F" w:rsidRPr="00AD64EE" w:rsidRDefault="00365CC0" w:rsidP="000D0AED">
            <w:pPr>
              <w:pStyle w:val="naiskr"/>
              <w:spacing w:before="0" w:after="0"/>
            </w:pPr>
            <w:r w:rsidRPr="00AD64EE">
              <w:t xml:space="preserve">Saskaņošanas dalībnieki </w:t>
            </w:r>
            <w:r w:rsidR="007B4C0F" w:rsidRPr="00AD64EE">
              <w:t>izskatīja</w:t>
            </w:r>
            <w:r w:rsidR="005D67F7" w:rsidRPr="00AD64EE">
              <w:t xml:space="preserve"> šādu ministriju </w:t>
            </w:r>
            <w:r w:rsidR="003E4C3F" w:rsidRPr="00AD64EE">
              <w:t>(c</w:t>
            </w:r>
            <w:r w:rsidR="005D67F7" w:rsidRPr="00AD64EE">
              <w:t>itu institūciju</w:t>
            </w:r>
            <w:r w:rsidR="003E4C3F" w:rsidRPr="00AD64EE">
              <w:t>)</w:t>
            </w:r>
            <w:r w:rsidR="005D67F7" w:rsidRPr="00AD64EE">
              <w:t xml:space="preserve"> iebildumus</w:t>
            </w:r>
          </w:p>
        </w:tc>
        <w:tc>
          <w:tcPr>
            <w:tcW w:w="363" w:type="dxa"/>
          </w:tcPr>
          <w:p w:rsidR="007B4C0F" w:rsidRPr="00AD64EE" w:rsidRDefault="00275648" w:rsidP="0036160E">
            <w:pPr>
              <w:pStyle w:val="naiskr"/>
              <w:spacing w:before="0" w:after="0"/>
              <w:ind w:firstLine="720"/>
            </w:pPr>
            <w:r w:rsidRPr="00AD64EE">
              <w:t>T</w:t>
            </w:r>
          </w:p>
        </w:tc>
        <w:tc>
          <w:tcPr>
            <w:tcW w:w="5511" w:type="dxa"/>
          </w:tcPr>
          <w:p w:rsidR="007B4C0F" w:rsidRPr="00AD64EE" w:rsidRDefault="007B4C0F" w:rsidP="00275648">
            <w:pPr>
              <w:pStyle w:val="naiskr"/>
              <w:spacing w:before="0" w:after="0"/>
            </w:pPr>
          </w:p>
        </w:tc>
      </w:tr>
      <w:tr w:rsidR="003C27A2" w:rsidRPr="00AD64EE">
        <w:trPr>
          <w:trHeight w:val="465"/>
        </w:trPr>
        <w:tc>
          <w:tcPr>
            <w:tcW w:w="6708" w:type="dxa"/>
          </w:tcPr>
          <w:p w:rsidR="003C27A2" w:rsidRPr="00AD64EE" w:rsidRDefault="003C27A2" w:rsidP="0036160E">
            <w:pPr>
              <w:pStyle w:val="naiskr"/>
              <w:spacing w:before="0" w:after="0"/>
              <w:ind w:firstLine="720"/>
            </w:pPr>
            <w:r w:rsidRPr="00AD64EE">
              <w:lastRenderedPageBreak/>
              <w:t>  </w:t>
            </w:r>
          </w:p>
        </w:tc>
        <w:tc>
          <w:tcPr>
            <w:tcW w:w="5874" w:type="dxa"/>
            <w:gridSpan w:val="2"/>
            <w:tcBorders>
              <w:top w:val="single" w:sz="6" w:space="0" w:color="000000"/>
              <w:bottom w:val="single" w:sz="6" w:space="0" w:color="000000"/>
            </w:tcBorders>
          </w:tcPr>
          <w:p w:rsidR="003C27A2" w:rsidRPr="00AD64EE" w:rsidRDefault="00275648" w:rsidP="00275648">
            <w:pPr>
              <w:pStyle w:val="NormalWeb"/>
              <w:spacing w:before="0" w:beforeAutospacing="0" w:after="0" w:afterAutospacing="0"/>
            </w:pPr>
            <w:r w:rsidRPr="00AD64EE">
              <w:t>Tieslietu ministrijas, Finanšu ministrijas, Ģenerālprokuratūras</w:t>
            </w:r>
          </w:p>
        </w:tc>
      </w:tr>
      <w:tr w:rsidR="007B4C0F" w:rsidRPr="00AD64EE">
        <w:trPr>
          <w:trHeight w:val="465"/>
        </w:trPr>
        <w:tc>
          <w:tcPr>
            <w:tcW w:w="12582" w:type="dxa"/>
            <w:gridSpan w:val="3"/>
          </w:tcPr>
          <w:p w:rsidR="007B4C0F" w:rsidRPr="00AD64EE" w:rsidRDefault="007B4C0F" w:rsidP="003C27A2">
            <w:pPr>
              <w:pStyle w:val="naisc"/>
              <w:spacing w:before="0" w:after="0"/>
              <w:ind w:left="4820" w:firstLine="720"/>
            </w:pPr>
          </w:p>
        </w:tc>
      </w:tr>
      <w:tr w:rsidR="007B4C0F" w:rsidRPr="00AD64EE">
        <w:tc>
          <w:tcPr>
            <w:tcW w:w="6708" w:type="dxa"/>
          </w:tcPr>
          <w:p w:rsidR="007B4C0F" w:rsidRPr="00AD64EE" w:rsidRDefault="007B4C0F" w:rsidP="0036160E">
            <w:pPr>
              <w:pStyle w:val="naiskr"/>
              <w:spacing w:before="0" w:after="0"/>
            </w:pPr>
            <w:r w:rsidRPr="00AD64EE">
              <w:t>Ministrijas (citas institūcijas), kuras nav ieradušās uz sanāksmi vai kuras nav atbildējušas uz uzaicinājumu piedalīties elektroniskajā saskaņošanā</w:t>
            </w:r>
          </w:p>
        </w:tc>
        <w:tc>
          <w:tcPr>
            <w:tcW w:w="5874" w:type="dxa"/>
            <w:gridSpan w:val="2"/>
          </w:tcPr>
          <w:p w:rsidR="007B4C0F" w:rsidRPr="00AD64EE" w:rsidRDefault="007B4C0F" w:rsidP="0036160E">
            <w:pPr>
              <w:pStyle w:val="naiskr"/>
              <w:spacing w:before="0" w:after="0"/>
              <w:ind w:firstLine="720"/>
            </w:pPr>
          </w:p>
        </w:tc>
      </w:tr>
      <w:tr w:rsidR="007B4C0F" w:rsidRPr="00AD64EE">
        <w:tc>
          <w:tcPr>
            <w:tcW w:w="6708" w:type="dxa"/>
          </w:tcPr>
          <w:p w:rsidR="007B4C0F" w:rsidRPr="00AD64EE" w:rsidRDefault="007B4C0F" w:rsidP="0036160E">
            <w:pPr>
              <w:pStyle w:val="naiskr"/>
              <w:spacing w:before="0" w:after="0"/>
              <w:ind w:firstLine="720"/>
            </w:pPr>
            <w:r w:rsidRPr="00AD64EE">
              <w:t>  </w:t>
            </w:r>
          </w:p>
        </w:tc>
        <w:tc>
          <w:tcPr>
            <w:tcW w:w="5874" w:type="dxa"/>
            <w:gridSpan w:val="2"/>
            <w:tcBorders>
              <w:top w:val="single" w:sz="6" w:space="0" w:color="000000"/>
              <w:bottom w:val="single" w:sz="6" w:space="0" w:color="000000"/>
            </w:tcBorders>
          </w:tcPr>
          <w:p w:rsidR="007B4C0F" w:rsidRPr="00AD64EE" w:rsidRDefault="003101FC" w:rsidP="003101FC">
            <w:pPr>
              <w:pStyle w:val="naiskr"/>
              <w:spacing w:before="0" w:after="0"/>
            </w:pPr>
            <w:r w:rsidRPr="00AD64EE">
              <w:t>Izglītības un zinātnes ministrija</w:t>
            </w:r>
            <w:r w:rsidR="00537E11" w:rsidRPr="00AD64EE">
              <w:t xml:space="preserve"> nav piedalījusies elektroniskajā</w:t>
            </w:r>
            <w:r w:rsidR="009236E2">
              <w:t>s</w:t>
            </w:r>
            <w:r w:rsidR="00537E11" w:rsidRPr="00AD64EE">
              <w:t xml:space="preserve"> saskaņošanā</w:t>
            </w:r>
            <w:r w:rsidR="009236E2">
              <w:t>s</w:t>
            </w:r>
            <w:r w:rsidR="00537E11" w:rsidRPr="00AD64EE">
              <w:t xml:space="preserve">, kā arī nav ieradusies uz </w:t>
            </w:r>
            <w:r w:rsidR="003C7ED1">
              <w:t xml:space="preserve">saskaņošanas </w:t>
            </w:r>
            <w:r w:rsidR="00537E11" w:rsidRPr="00AD64EE">
              <w:t>sanāksmi</w:t>
            </w:r>
            <w:r w:rsidR="003C7ED1">
              <w:t>. Ģenerālprokuratūra nav piedalījusies elektroniskajā saskaņošanā, kas notika 13.11.2019.-20.11.2019.</w:t>
            </w:r>
          </w:p>
        </w:tc>
      </w:tr>
      <w:tr w:rsidR="007B4C0F" w:rsidRPr="00AD64EE">
        <w:tc>
          <w:tcPr>
            <w:tcW w:w="6708" w:type="dxa"/>
          </w:tcPr>
          <w:p w:rsidR="007B4C0F" w:rsidRPr="00AD64EE" w:rsidRDefault="007B4C0F" w:rsidP="0036160E">
            <w:pPr>
              <w:pStyle w:val="naiskr"/>
              <w:spacing w:before="0" w:after="0"/>
              <w:ind w:firstLine="720"/>
            </w:pPr>
            <w:r w:rsidRPr="00AD64EE">
              <w:t>  </w:t>
            </w:r>
          </w:p>
        </w:tc>
        <w:tc>
          <w:tcPr>
            <w:tcW w:w="5874" w:type="dxa"/>
            <w:gridSpan w:val="2"/>
            <w:tcBorders>
              <w:bottom w:val="single" w:sz="6" w:space="0" w:color="000000"/>
            </w:tcBorders>
          </w:tcPr>
          <w:p w:rsidR="007B4C0F" w:rsidRPr="00AD64EE" w:rsidRDefault="00537E11" w:rsidP="00537E11">
            <w:pPr>
              <w:pStyle w:val="naiskr"/>
              <w:spacing w:before="0" w:after="0"/>
            </w:pPr>
            <w:r w:rsidRPr="00AD64EE">
              <w:t xml:space="preserve">Labklājības ministrija nav ieradusies uz </w:t>
            </w:r>
            <w:r w:rsidR="003C7ED1">
              <w:t xml:space="preserve">saskaņošanas </w:t>
            </w:r>
            <w:r w:rsidRPr="00AD64EE">
              <w:t>sanāksmi</w:t>
            </w:r>
          </w:p>
        </w:tc>
      </w:tr>
    </w:tbl>
    <w:p w:rsidR="00683081" w:rsidRPr="00AD64EE" w:rsidRDefault="00683081" w:rsidP="00683081">
      <w:pPr>
        <w:pStyle w:val="naisf"/>
        <w:spacing w:before="0" w:after="0"/>
        <w:ind w:firstLine="720"/>
      </w:pPr>
    </w:p>
    <w:p w:rsidR="000378C9" w:rsidRPr="00AD64EE" w:rsidRDefault="000378C9" w:rsidP="00184479">
      <w:pPr>
        <w:pStyle w:val="naisf"/>
        <w:spacing w:before="0" w:after="0"/>
        <w:ind w:firstLine="0"/>
        <w:jc w:val="center"/>
        <w:rPr>
          <w:b/>
        </w:rPr>
      </w:pPr>
    </w:p>
    <w:p w:rsidR="007B4C0F" w:rsidRPr="00AD64EE" w:rsidRDefault="007B4C0F" w:rsidP="00184479">
      <w:pPr>
        <w:pStyle w:val="naisf"/>
        <w:spacing w:before="0" w:after="0"/>
        <w:ind w:firstLine="0"/>
        <w:jc w:val="center"/>
        <w:rPr>
          <w:b/>
        </w:rPr>
      </w:pPr>
      <w:r w:rsidRPr="00AD64EE">
        <w:rPr>
          <w:b/>
        </w:rPr>
        <w:t>II. </w:t>
      </w:r>
      <w:r w:rsidR="00134188" w:rsidRPr="00AD64EE">
        <w:rPr>
          <w:b/>
        </w:rPr>
        <w:t>Jautājumi, par kuriem saskaņošanā vienošan</w:t>
      </w:r>
      <w:r w:rsidR="00144622" w:rsidRPr="00AD64EE">
        <w:rPr>
          <w:b/>
        </w:rPr>
        <w:t>ā</w:t>
      </w:r>
      <w:r w:rsidR="00134188" w:rsidRPr="00AD64EE">
        <w:rPr>
          <w:b/>
        </w:rPr>
        <w:t>s ir panākta</w:t>
      </w:r>
    </w:p>
    <w:p w:rsidR="007B4C0F" w:rsidRPr="00AD64EE" w:rsidRDefault="007B4C0F" w:rsidP="00DB7395">
      <w:pPr>
        <w:pStyle w:val="naisf"/>
        <w:spacing w:before="0" w:after="0"/>
        <w:ind w:firstLine="720"/>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45"/>
        <w:gridCol w:w="2977"/>
      </w:tblGrid>
      <w:tr w:rsidR="00134188" w:rsidRPr="00AD64EE" w:rsidTr="003E57A4">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AD64EE" w:rsidRDefault="00134188" w:rsidP="009623BC">
            <w:pPr>
              <w:pStyle w:val="naisc"/>
              <w:spacing w:before="0" w:after="0"/>
            </w:pPr>
            <w:r w:rsidRPr="00AD64EE">
              <w:t>Nr. p.</w:t>
            </w:r>
            <w:r w:rsidR="00D64FB0" w:rsidRPr="00AD64EE">
              <w:t> </w:t>
            </w:r>
            <w:r w:rsidRPr="00AD64EE">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AD64EE" w:rsidRDefault="00134188" w:rsidP="009623BC">
            <w:pPr>
              <w:pStyle w:val="naisc"/>
              <w:spacing w:before="0" w:after="0"/>
              <w:ind w:firstLine="12"/>
            </w:pPr>
            <w:r w:rsidRPr="00AD64EE">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AD64EE" w:rsidRDefault="00134188" w:rsidP="009623BC">
            <w:pPr>
              <w:pStyle w:val="naisc"/>
              <w:spacing w:before="0" w:after="0"/>
              <w:ind w:right="3"/>
            </w:pPr>
            <w:r w:rsidRPr="00AD64EE">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34188" w:rsidRPr="00AD64EE" w:rsidRDefault="00134188" w:rsidP="009623BC">
            <w:pPr>
              <w:pStyle w:val="naisc"/>
              <w:spacing w:before="0" w:after="0"/>
              <w:ind w:firstLine="21"/>
            </w:pPr>
            <w:r w:rsidRPr="00AD64EE">
              <w:t>Atbildīgās ministrijas norāde</w:t>
            </w:r>
            <w:r w:rsidR="006C1C48" w:rsidRPr="00AD64EE">
              <w:t xml:space="preserve"> par to, ka </w:t>
            </w:r>
            <w:r w:rsidRPr="00AD64EE">
              <w:t>iebildums ir ņemts vērā</w:t>
            </w:r>
            <w:r w:rsidR="006455E7" w:rsidRPr="00AD64EE">
              <w:t>,</w:t>
            </w:r>
            <w:r w:rsidRPr="00AD64EE">
              <w:t xml:space="preserve"> vai </w:t>
            </w:r>
            <w:r w:rsidR="006C1C48" w:rsidRPr="00AD64EE">
              <w:t xml:space="preserve">informācija par saskaņošanā </w:t>
            </w:r>
            <w:r w:rsidR="00022B0F" w:rsidRPr="00AD64EE">
              <w:t>panākto alternatīvo risinājumu</w:t>
            </w:r>
          </w:p>
        </w:tc>
        <w:tc>
          <w:tcPr>
            <w:tcW w:w="2977" w:type="dxa"/>
            <w:tcBorders>
              <w:top w:val="single" w:sz="4" w:space="0" w:color="auto"/>
              <w:left w:val="single" w:sz="4" w:space="0" w:color="auto"/>
              <w:bottom w:val="single" w:sz="4" w:space="0" w:color="auto"/>
            </w:tcBorders>
            <w:vAlign w:val="center"/>
          </w:tcPr>
          <w:p w:rsidR="00134188" w:rsidRPr="00AD64EE" w:rsidRDefault="00134188" w:rsidP="009623BC">
            <w:pPr>
              <w:jc w:val="center"/>
            </w:pPr>
            <w:r w:rsidRPr="00AD64EE">
              <w:t>Projekta attiecīgā punkta (panta) galīgā redakcija</w:t>
            </w:r>
          </w:p>
        </w:tc>
      </w:tr>
      <w:tr w:rsidR="00134188" w:rsidRPr="00AD64EE" w:rsidTr="003E57A4">
        <w:tc>
          <w:tcPr>
            <w:tcW w:w="708" w:type="dxa"/>
            <w:tcBorders>
              <w:top w:val="single" w:sz="6" w:space="0" w:color="000000"/>
              <w:left w:val="single" w:sz="6" w:space="0" w:color="000000"/>
              <w:bottom w:val="single" w:sz="6" w:space="0" w:color="000000"/>
              <w:right w:val="single" w:sz="6" w:space="0" w:color="000000"/>
            </w:tcBorders>
          </w:tcPr>
          <w:p w:rsidR="00134188" w:rsidRPr="00AD64EE" w:rsidRDefault="003B71E0" w:rsidP="003B71E0">
            <w:pPr>
              <w:pStyle w:val="naisc"/>
              <w:spacing w:before="0" w:after="0"/>
              <w:rPr>
                <w:sz w:val="20"/>
                <w:szCs w:val="20"/>
              </w:rPr>
            </w:pPr>
            <w:r w:rsidRPr="00AD64EE">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AD64EE" w:rsidRDefault="00F34AAB" w:rsidP="003B71E0">
            <w:pPr>
              <w:pStyle w:val="naisc"/>
              <w:spacing w:before="0" w:after="0"/>
              <w:ind w:firstLine="720"/>
              <w:rPr>
                <w:sz w:val="20"/>
                <w:szCs w:val="20"/>
              </w:rPr>
            </w:pPr>
            <w:r w:rsidRPr="00AD64EE">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AD64EE" w:rsidRDefault="003B71E0" w:rsidP="003B71E0">
            <w:pPr>
              <w:pStyle w:val="naisc"/>
              <w:spacing w:before="0" w:after="0"/>
              <w:ind w:firstLine="720"/>
              <w:rPr>
                <w:sz w:val="20"/>
                <w:szCs w:val="20"/>
              </w:rPr>
            </w:pPr>
            <w:r w:rsidRPr="00AD64EE">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rsidR="00134188" w:rsidRPr="00AD64EE" w:rsidRDefault="003B71E0" w:rsidP="003B71E0">
            <w:pPr>
              <w:pStyle w:val="naisc"/>
              <w:spacing w:before="0" w:after="0"/>
              <w:ind w:firstLine="720"/>
              <w:rPr>
                <w:sz w:val="20"/>
                <w:szCs w:val="20"/>
              </w:rPr>
            </w:pPr>
            <w:r w:rsidRPr="00AD64EE">
              <w:rPr>
                <w:sz w:val="20"/>
                <w:szCs w:val="20"/>
              </w:rPr>
              <w:t>4</w:t>
            </w:r>
          </w:p>
        </w:tc>
        <w:tc>
          <w:tcPr>
            <w:tcW w:w="2977" w:type="dxa"/>
            <w:tcBorders>
              <w:top w:val="single" w:sz="4" w:space="0" w:color="auto"/>
              <w:left w:val="single" w:sz="4" w:space="0" w:color="auto"/>
              <w:bottom w:val="single" w:sz="4" w:space="0" w:color="auto"/>
            </w:tcBorders>
          </w:tcPr>
          <w:p w:rsidR="00134188" w:rsidRPr="00AD64EE" w:rsidRDefault="003B71E0" w:rsidP="003B71E0">
            <w:pPr>
              <w:jc w:val="center"/>
              <w:rPr>
                <w:sz w:val="20"/>
                <w:szCs w:val="20"/>
              </w:rPr>
            </w:pPr>
            <w:r w:rsidRPr="00AD64EE">
              <w:rPr>
                <w:sz w:val="20"/>
                <w:szCs w:val="20"/>
              </w:rPr>
              <w:t>5</w:t>
            </w:r>
          </w:p>
        </w:tc>
      </w:tr>
      <w:tr w:rsidR="006555EB" w:rsidRPr="00AD64EE" w:rsidTr="003E57A4">
        <w:tc>
          <w:tcPr>
            <w:tcW w:w="708" w:type="dxa"/>
            <w:tcBorders>
              <w:left w:val="single" w:sz="6" w:space="0" w:color="000000"/>
              <w:bottom w:val="single" w:sz="4" w:space="0" w:color="auto"/>
              <w:right w:val="single" w:sz="6" w:space="0" w:color="000000"/>
            </w:tcBorders>
          </w:tcPr>
          <w:p w:rsidR="006555EB" w:rsidRPr="00AD64EE" w:rsidRDefault="00B34E3F" w:rsidP="003E57A4">
            <w:pPr>
              <w:pStyle w:val="naisc"/>
              <w:tabs>
                <w:tab w:val="left" w:pos="45"/>
              </w:tabs>
              <w:spacing w:before="0" w:after="0"/>
              <w:ind w:left="-997" w:firstLine="862"/>
            </w:pPr>
            <w:r w:rsidRPr="00AD64EE">
              <w:t>1</w:t>
            </w:r>
            <w:r w:rsidR="00D60D45" w:rsidRPr="00AD64EE">
              <w:t>.</w:t>
            </w:r>
          </w:p>
        </w:tc>
        <w:tc>
          <w:tcPr>
            <w:tcW w:w="3086" w:type="dxa"/>
            <w:gridSpan w:val="2"/>
            <w:tcBorders>
              <w:left w:val="single" w:sz="6" w:space="0" w:color="000000"/>
              <w:bottom w:val="single" w:sz="4" w:space="0" w:color="auto"/>
              <w:right w:val="single" w:sz="6" w:space="0" w:color="000000"/>
            </w:tcBorders>
          </w:tcPr>
          <w:p w:rsidR="006555EB" w:rsidRPr="00AD64EE" w:rsidRDefault="006555EB" w:rsidP="006555EB">
            <w:pPr>
              <w:contextualSpacing/>
              <w:jc w:val="both"/>
              <w:rPr>
                <w:lang w:eastAsia="en-US"/>
              </w:rPr>
            </w:pPr>
            <w:r w:rsidRPr="00AD64EE">
              <w:rPr>
                <w:lang w:eastAsia="en-US"/>
              </w:rPr>
              <w:t>Izteikt 45. panta pirmo teikumu šādā redakcijā:</w:t>
            </w:r>
          </w:p>
          <w:p w:rsidR="006555EB" w:rsidRPr="00AD64EE" w:rsidRDefault="006555EB" w:rsidP="006555EB">
            <w:pPr>
              <w:contextualSpacing/>
              <w:jc w:val="both"/>
              <w:rPr>
                <w:lang w:eastAsia="en-US"/>
              </w:rPr>
            </w:pPr>
            <w:r w:rsidRPr="00AD64EE">
              <w:rPr>
                <w:lang w:eastAsia="en-US"/>
              </w:rPr>
              <w:t xml:space="preserve">"Pusi no valsts budžetā ieskaitītajiem konfiscētajiem noziedzīgi iegūtajiem līdzekļiem saimnieciskajā gadā novirza Tieslietu ministrijas atsevišķā budžeta programmā, lai īstenotu nepieciešamos pasākumus finanšu un ekonomisko noziegumu, kā arī organizētās </w:t>
            </w:r>
            <w:r w:rsidRPr="00AD64EE">
              <w:rPr>
                <w:lang w:eastAsia="en-US"/>
              </w:rPr>
              <w:lastRenderedPageBreak/>
              <w:t>noziedzības apkarošanai, izmeklēšanas iestāžu un</w:t>
            </w:r>
            <w:r w:rsidRPr="00AD64EE">
              <w:rPr>
                <w:rFonts w:ascii="Calibri" w:eastAsia="Calibri" w:hAnsi="Calibri"/>
                <w:lang w:eastAsia="en-US"/>
              </w:rPr>
              <w:t xml:space="preserve"> </w:t>
            </w:r>
            <w:r w:rsidRPr="00AD64EE">
              <w:rPr>
                <w:rFonts w:eastAsia="Calibri"/>
                <w:lang w:eastAsia="en-US"/>
              </w:rPr>
              <w:t>Finanšu</w:t>
            </w:r>
            <w:r w:rsidRPr="00AD64EE">
              <w:rPr>
                <w:rFonts w:ascii="Calibri" w:eastAsia="Calibri" w:hAnsi="Calibri"/>
                <w:lang w:eastAsia="en-US"/>
              </w:rPr>
              <w:t xml:space="preserve"> </w:t>
            </w:r>
            <w:r w:rsidRPr="00AD64EE">
              <w:rPr>
                <w:rFonts w:eastAsia="Calibri"/>
                <w:lang w:eastAsia="en-US"/>
              </w:rPr>
              <w:t xml:space="preserve">izlūkošanas </w:t>
            </w:r>
            <w:r w:rsidRPr="00AD64EE">
              <w:rPr>
                <w:lang w:eastAsia="en-US"/>
              </w:rPr>
              <w:t>dienesta materiāltehniskā nodrošinājuma un infrastruktūras attīstībai un atbalsta sniegšanai noziedzīgos nodarījumos cietušajiem."</w:t>
            </w:r>
          </w:p>
          <w:p w:rsidR="006555EB" w:rsidRPr="00AD64EE" w:rsidRDefault="006555EB" w:rsidP="003E57A4">
            <w:pPr>
              <w:contextualSpacing/>
              <w:jc w:val="both"/>
              <w:rPr>
                <w:lang w:eastAsia="en-US"/>
              </w:rPr>
            </w:pPr>
          </w:p>
        </w:tc>
        <w:tc>
          <w:tcPr>
            <w:tcW w:w="4394" w:type="dxa"/>
            <w:tcBorders>
              <w:left w:val="single" w:sz="6" w:space="0" w:color="000000"/>
              <w:bottom w:val="single" w:sz="4" w:space="0" w:color="auto"/>
              <w:right w:val="single" w:sz="6" w:space="0" w:color="000000"/>
            </w:tcBorders>
          </w:tcPr>
          <w:p w:rsidR="006555EB" w:rsidRPr="00AD64EE" w:rsidRDefault="006555EB" w:rsidP="006555EB">
            <w:pPr>
              <w:widowControl w:val="0"/>
              <w:jc w:val="center"/>
              <w:rPr>
                <w:rFonts w:eastAsia="Calibri"/>
                <w:b/>
                <w:lang w:eastAsia="en-US"/>
              </w:rPr>
            </w:pPr>
            <w:r w:rsidRPr="00AD64EE">
              <w:rPr>
                <w:rFonts w:eastAsia="Calibri"/>
                <w:b/>
                <w:lang w:eastAsia="en-US"/>
              </w:rPr>
              <w:lastRenderedPageBreak/>
              <w:t>Tieslietu ministrijas 15.07.2019. iebildums</w:t>
            </w:r>
          </w:p>
          <w:p w:rsidR="006555EB" w:rsidRPr="00AD64EE" w:rsidRDefault="006555EB" w:rsidP="006555EB">
            <w:pPr>
              <w:widowControl w:val="0"/>
              <w:jc w:val="both"/>
              <w:rPr>
                <w:rFonts w:eastAsia="Calibri"/>
                <w:lang w:eastAsia="en-US"/>
              </w:rPr>
            </w:pPr>
            <w:r w:rsidRPr="00AD64EE">
              <w:rPr>
                <w:rFonts w:eastAsia="Calibri"/>
                <w:lang w:eastAsia="en-US"/>
              </w:rPr>
              <w:t xml:space="preserve">     Likumprojekts paredz, ka pusi no valsts budžetā ieskaitītajiem konfiscētajiem noziedzīgi iegūtajiem līdzekļiem saimnieciskajā gadā novirza Tieslietu ministrijas atsevišķā budžeta programmā, lai īstenotu nepieciešamos pasākumus ne tikai finanšu un ekonomisko noziegumu, bet arī organizētās noziedzības apkarošanai.</w:t>
            </w:r>
          </w:p>
          <w:p w:rsidR="006555EB" w:rsidRPr="00AD64EE" w:rsidRDefault="006555EB" w:rsidP="006555EB">
            <w:pPr>
              <w:widowControl w:val="0"/>
              <w:jc w:val="both"/>
              <w:rPr>
                <w:rFonts w:eastAsia="Calibri"/>
                <w:lang w:eastAsia="en-US"/>
              </w:rPr>
            </w:pPr>
            <w:r w:rsidRPr="00AD64EE">
              <w:rPr>
                <w:rFonts w:eastAsia="Calibri"/>
                <w:lang w:eastAsia="en-US"/>
              </w:rPr>
              <w:t xml:space="preserve">     Vēršam uzmanību, ka izstrādājot Noziedzīgi iegūtas mantas konfiskācijas </w:t>
            </w:r>
            <w:r w:rsidRPr="00AD64EE">
              <w:rPr>
                <w:rFonts w:eastAsia="Calibri"/>
                <w:lang w:eastAsia="en-US"/>
              </w:rPr>
              <w:lastRenderedPageBreak/>
              <w:t xml:space="preserve">izpildes likuma 45. pantu, kā arī ieviešot Tieslietu ministrijas pamatbudžeta programmu "Noziedzīgi iegūtu līdzekļu konfiskācijas fonds" (turpmāk – Konfiskācijas fonds), tās galvenais mērķis un uzsvars tika likts tieši uz ekonomisko un finanšu noziegumu apkarošanu, kā arī atbalsta sniegšanu  noziedzīgos nodarījumos cietušajiem, tā nosakot atsevišķus virzienus, ņemot vērā valstī noteiktās prioritātes, lai pieejamos finanšu līdzekļus varētu efektīvi novirzīt šo jomu stiprināšanai un attīstībai. </w:t>
            </w:r>
          </w:p>
          <w:p w:rsidR="006555EB" w:rsidRPr="00AD64EE" w:rsidRDefault="006555EB" w:rsidP="006555EB">
            <w:pPr>
              <w:widowControl w:val="0"/>
              <w:jc w:val="both"/>
              <w:rPr>
                <w:rFonts w:eastAsia="Calibri"/>
                <w:lang w:eastAsia="en-US"/>
              </w:rPr>
            </w:pPr>
            <w:r w:rsidRPr="00AD64EE">
              <w:rPr>
                <w:rFonts w:eastAsia="Calibri"/>
                <w:lang w:eastAsia="en-US"/>
              </w:rPr>
              <w:t xml:space="preserve">     Paplašinot mērķi, tajā iekļaujot organizētās noziedzības apkarošanu, kas aptver ļoti plašu noziedzīgu nodarījumu loku, var rasties grūtības pietiekami efektīvi nodrošināt sākotnējo mērķa izpildi - ekonomisko un finanšu noziegumu apkarošana, kā arī atbalsta sniegšana kriminālprocesā cietušajiem. Vēršam uzmanību, ka, lai arī likumprojekts paredz nenoteikt Konfiskācijas fondā novirzāmo līdzekļu maksimālo apmēru, tomēr praksē Konfiskācijas fondā ieskaitītā summa vēl nav sasniegusi pastāvošo limitu – 2 miljonus  </w:t>
            </w:r>
            <w:r w:rsidRPr="00AD64EE">
              <w:rPr>
                <w:rFonts w:eastAsia="Calibri"/>
                <w:i/>
                <w:iCs/>
                <w:lang w:eastAsia="en-US"/>
              </w:rPr>
              <w:t>euro</w:t>
            </w:r>
            <w:r w:rsidRPr="00AD64EE">
              <w:rPr>
                <w:rFonts w:eastAsia="Calibri"/>
                <w:lang w:eastAsia="en-US"/>
              </w:rPr>
              <w:t xml:space="preserve"> gadā.</w:t>
            </w:r>
          </w:p>
          <w:p w:rsidR="006555EB" w:rsidRPr="00AD64EE" w:rsidRDefault="006555EB" w:rsidP="006555EB">
            <w:pPr>
              <w:widowControl w:val="0"/>
              <w:jc w:val="both"/>
              <w:rPr>
                <w:rFonts w:eastAsia="Calibri"/>
                <w:lang w:eastAsia="en-US"/>
              </w:rPr>
            </w:pPr>
            <w:r w:rsidRPr="00AD64EE">
              <w:rPr>
                <w:rFonts w:eastAsia="Calibri"/>
                <w:lang w:eastAsia="en-US"/>
              </w:rPr>
              <w:t xml:space="preserve">Līdz ar to jau pašlaik finanšu līdzekļu trūkuma dēļ nav iespējams atbalstīt visus institūciju pieteiktos pasākumus pastāvošo mērķu sasniegšanai. </w:t>
            </w:r>
          </w:p>
          <w:p w:rsidR="006555EB" w:rsidRPr="00AD64EE" w:rsidRDefault="006555EB" w:rsidP="006555EB">
            <w:pPr>
              <w:widowControl w:val="0"/>
              <w:jc w:val="both"/>
              <w:rPr>
                <w:rFonts w:eastAsia="Calibri"/>
                <w:lang w:eastAsia="en-US"/>
              </w:rPr>
            </w:pPr>
            <w:r w:rsidRPr="00AD64EE">
              <w:rPr>
                <w:rFonts w:eastAsia="Calibri"/>
                <w:lang w:eastAsia="en-US"/>
              </w:rPr>
              <w:t xml:space="preserve">    Vienlaikus uzsverams, ka jau pašlaik attiecīgās institūcijas var prasīt finanšu līdzekļus organizētās noziedzības </w:t>
            </w:r>
            <w:r w:rsidRPr="00AD64EE">
              <w:rPr>
                <w:rFonts w:eastAsia="Calibri"/>
                <w:lang w:eastAsia="en-US"/>
              </w:rPr>
              <w:lastRenderedPageBreak/>
              <w:t xml:space="preserve">apkarošanai, konkrētos pasākumus pamatojot ar finanšu un ekonomisko noziegumu apkarošanu. </w:t>
            </w:r>
          </w:p>
          <w:p w:rsidR="006555EB" w:rsidRPr="00AD64EE" w:rsidRDefault="006555EB" w:rsidP="006555EB">
            <w:pPr>
              <w:widowControl w:val="0"/>
              <w:jc w:val="both"/>
              <w:rPr>
                <w:rFonts w:eastAsia="Calibri"/>
                <w:lang w:eastAsia="en-US"/>
              </w:rPr>
            </w:pPr>
            <w:r w:rsidRPr="00AD64EE">
              <w:rPr>
                <w:rFonts w:eastAsia="Calibri"/>
                <w:lang w:eastAsia="en-US"/>
              </w:rPr>
              <w:t xml:space="preserve">     Tāpat anotācijas I sadaļā Tiesību akta projekta izstrādes nepieciešamība neprecīzi norādīts, ka Eiropas Padomes Noziedzīgi iegūtu līdzekļu legalizēšanas un terorisma finansēšanas novēršanas ekspertu komitejas (</w:t>
            </w:r>
            <w:proofErr w:type="spellStart"/>
            <w:r w:rsidRPr="00AD64EE">
              <w:rPr>
                <w:rFonts w:eastAsia="Calibri"/>
                <w:lang w:eastAsia="en-US"/>
              </w:rPr>
              <w:t>Moneyval</w:t>
            </w:r>
            <w:proofErr w:type="spellEnd"/>
            <w:r w:rsidRPr="00AD64EE">
              <w:rPr>
                <w:rFonts w:eastAsia="Calibri"/>
                <w:lang w:eastAsia="en-US"/>
              </w:rPr>
              <w:t xml:space="preserve">) 2018. gada 23. augustā publicētajā novērtēšanas 5. kārtas ziņojumā Latvijai norādīts, ka tai nepieciešams stiprināt arī organizētās noziedzības apkarošanu. Norādāms, ka </w:t>
            </w:r>
            <w:proofErr w:type="spellStart"/>
            <w:r w:rsidRPr="00AD64EE">
              <w:rPr>
                <w:rFonts w:eastAsia="Calibri"/>
                <w:lang w:eastAsia="en-US"/>
              </w:rPr>
              <w:t>Moneyval</w:t>
            </w:r>
            <w:proofErr w:type="spellEnd"/>
            <w:r w:rsidRPr="00AD64EE">
              <w:rPr>
                <w:rFonts w:eastAsia="Calibri"/>
                <w:lang w:eastAsia="en-US"/>
              </w:rPr>
              <w:t xml:space="preserve"> kompetencē nav vērtēt valstī īstenotos pasākumus organizētās noziedzības apkarošanai, bet gan  noziedzīgi iegūtu līdzekļu legalizācijas un terorisma finansēšanas novēršanā jomā. </w:t>
            </w:r>
          </w:p>
          <w:p w:rsidR="006555EB" w:rsidRPr="00AD64EE" w:rsidRDefault="006555EB" w:rsidP="0078060A">
            <w:pPr>
              <w:pStyle w:val="naisc"/>
              <w:spacing w:before="0" w:after="0"/>
              <w:jc w:val="both"/>
              <w:rPr>
                <w:rFonts w:eastAsia="Calibri"/>
                <w:b/>
                <w:lang w:eastAsia="en-US"/>
              </w:rPr>
            </w:pPr>
            <w:r w:rsidRPr="00AD64EE">
              <w:rPr>
                <w:rFonts w:eastAsia="Calibri"/>
                <w:lang w:eastAsia="en-US"/>
              </w:rPr>
              <w:t xml:space="preserve">     Ņemot vērā minēto, Tieslietu ministrija neatbalsta mērķa paplašināšanu, tajā iekļaujot arī organizētās noziedzības apkarošanu.</w:t>
            </w:r>
          </w:p>
        </w:tc>
        <w:tc>
          <w:tcPr>
            <w:tcW w:w="3544" w:type="dxa"/>
            <w:gridSpan w:val="2"/>
            <w:tcBorders>
              <w:left w:val="single" w:sz="6" w:space="0" w:color="000000"/>
              <w:bottom w:val="single" w:sz="4" w:space="0" w:color="auto"/>
              <w:right w:val="single" w:sz="6" w:space="0" w:color="000000"/>
            </w:tcBorders>
          </w:tcPr>
          <w:p w:rsidR="00CC24B0" w:rsidRPr="00AD64EE" w:rsidRDefault="00824386" w:rsidP="00070F9E">
            <w:pPr>
              <w:pStyle w:val="naisc"/>
              <w:spacing w:before="0" w:after="0"/>
            </w:pPr>
            <w:r w:rsidRPr="00AD64EE">
              <w:rPr>
                <w:b/>
              </w:rPr>
              <w:lastRenderedPageBreak/>
              <w:t>Ņemts vērā</w:t>
            </w:r>
          </w:p>
          <w:p w:rsidR="006555EB" w:rsidRPr="00AD64EE" w:rsidRDefault="00356B0E" w:rsidP="00356B0E">
            <w:pPr>
              <w:pStyle w:val="naisc"/>
              <w:spacing w:before="0" w:after="0"/>
              <w:jc w:val="both"/>
            </w:pPr>
            <w:r w:rsidRPr="00AD64EE">
              <w:t>Ņemot vērā, ka jau šobrīd ir iespējams izmantot Konfiskācijas fondā ieskaitītos finanšu līdzekļus organizētās noziedzības apkarošanai, precizēts likumprojekts un tā sākotnējās ietekmes novērtējuma ziņojums (anotācija).</w:t>
            </w:r>
          </w:p>
        </w:tc>
        <w:tc>
          <w:tcPr>
            <w:tcW w:w="2977" w:type="dxa"/>
            <w:tcBorders>
              <w:top w:val="single" w:sz="4" w:space="0" w:color="auto"/>
              <w:left w:val="single" w:sz="4" w:space="0" w:color="auto"/>
              <w:bottom w:val="single" w:sz="4" w:space="0" w:color="auto"/>
            </w:tcBorders>
          </w:tcPr>
          <w:p w:rsidR="00F66DCF" w:rsidRPr="00AD64EE" w:rsidRDefault="00F66DCF" w:rsidP="00F66DCF">
            <w:pPr>
              <w:contextualSpacing/>
              <w:jc w:val="both"/>
              <w:rPr>
                <w:lang w:eastAsia="en-US"/>
              </w:rPr>
            </w:pPr>
            <w:r w:rsidRPr="00AD64EE">
              <w:rPr>
                <w:lang w:eastAsia="en-US"/>
              </w:rPr>
              <w:t xml:space="preserve">Izslēgt 45. pantā vārdus "bet ne vairāk kā divus miljonus </w:t>
            </w:r>
            <w:r w:rsidRPr="00AD64EE">
              <w:rPr>
                <w:i/>
                <w:lang w:eastAsia="en-US"/>
              </w:rPr>
              <w:t>euro</w:t>
            </w:r>
            <w:r w:rsidRPr="00AD64EE">
              <w:rPr>
                <w:lang w:eastAsia="en-US"/>
              </w:rPr>
              <w:t>".</w:t>
            </w:r>
          </w:p>
          <w:p w:rsidR="006555EB" w:rsidRPr="00AD64EE" w:rsidRDefault="006555EB" w:rsidP="00536AB2">
            <w:pPr>
              <w:jc w:val="both"/>
            </w:pPr>
          </w:p>
        </w:tc>
      </w:tr>
      <w:tr w:rsidR="006555EB" w:rsidRPr="00AD64EE" w:rsidTr="003E57A4">
        <w:tc>
          <w:tcPr>
            <w:tcW w:w="708" w:type="dxa"/>
            <w:tcBorders>
              <w:left w:val="single" w:sz="6" w:space="0" w:color="000000"/>
              <w:bottom w:val="single" w:sz="4" w:space="0" w:color="auto"/>
              <w:right w:val="single" w:sz="6" w:space="0" w:color="000000"/>
            </w:tcBorders>
          </w:tcPr>
          <w:p w:rsidR="006555EB" w:rsidRPr="00AD64EE" w:rsidRDefault="00B34E3F" w:rsidP="003E57A4">
            <w:pPr>
              <w:pStyle w:val="naisc"/>
              <w:tabs>
                <w:tab w:val="left" w:pos="45"/>
              </w:tabs>
              <w:spacing w:before="0" w:after="0"/>
              <w:ind w:left="-997" w:firstLine="862"/>
            </w:pPr>
            <w:r w:rsidRPr="00AD64EE">
              <w:lastRenderedPageBreak/>
              <w:t>2</w:t>
            </w:r>
            <w:r w:rsidR="00D60D45" w:rsidRPr="00AD64EE">
              <w:t>.</w:t>
            </w:r>
          </w:p>
        </w:tc>
        <w:tc>
          <w:tcPr>
            <w:tcW w:w="3086" w:type="dxa"/>
            <w:gridSpan w:val="2"/>
            <w:tcBorders>
              <w:left w:val="single" w:sz="6" w:space="0" w:color="000000"/>
              <w:bottom w:val="single" w:sz="4" w:space="0" w:color="auto"/>
              <w:right w:val="single" w:sz="6" w:space="0" w:color="000000"/>
            </w:tcBorders>
          </w:tcPr>
          <w:p w:rsidR="006555EB" w:rsidRPr="00AD64EE" w:rsidRDefault="006555EB" w:rsidP="006555EB">
            <w:pPr>
              <w:contextualSpacing/>
              <w:jc w:val="both"/>
              <w:rPr>
                <w:lang w:eastAsia="en-US"/>
              </w:rPr>
            </w:pPr>
            <w:r w:rsidRPr="00AD64EE">
              <w:rPr>
                <w:lang w:eastAsia="en-US"/>
              </w:rPr>
              <w:t>Izteikt 45. panta pirmo teikumu šādā redakcijā:</w:t>
            </w:r>
          </w:p>
          <w:p w:rsidR="006555EB" w:rsidRPr="00AD64EE" w:rsidRDefault="006555EB" w:rsidP="006555EB">
            <w:pPr>
              <w:contextualSpacing/>
              <w:jc w:val="both"/>
              <w:rPr>
                <w:lang w:eastAsia="en-US"/>
              </w:rPr>
            </w:pPr>
            <w:r w:rsidRPr="00AD64EE">
              <w:rPr>
                <w:lang w:eastAsia="en-US"/>
              </w:rPr>
              <w:t xml:space="preserve">"Pusi no valsts budžetā ieskaitītajiem konfiscētajiem noziedzīgi iegūtajiem līdzekļiem saimnieciskajā gadā novirza Tieslietu ministrijas atsevišķā budžeta programmā, lai īstenotu nepieciešamos pasākumus finanšu un ekonomisko noziegumu, kā arī organizētās </w:t>
            </w:r>
            <w:r w:rsidRPr="00AD64EE">
              <w:rPr>
                <w:lang w:eastAsia="en-US"/>
              </w:rPr>
              <w:lastRenderedPageBreak/>
              <w:t>noziedzības apkarošanai, izmeklēšanas iestāžu un</w:t>
            </w:r>
            <w:r w:rsidRPr="00AD64EE">
              <w:rPr>
                <w:rFonts w:ascii="Calibri" w:eastAsia="Calibri" w:hAnsi="Calibri"/>
                <w:lang w:eastAsia="en-US"/>
              </w:rPr>
              <w:t xml:space="preserve"> </w:t>
            </w:r>
            <w:r w:rsidRPr="00AD64EE">
              <w:rPr>
                <w:rFonts w:eastAsia="Calibri"/>
                <w:lang w:eastAsia="en-US"/>
              </w:rPr>
              <w:t>Finanšu</w:t>
            </w:r>
            <w:r w:rsidRPr="00AD64EE">
              <w:rPr>
                <w:rFonts w:ascii="Calibri" w:eastAsia="Calibri" w:hAnsi="Calibri"/>
                <w:lang w:eastAsia="en-US"/>
              </w:rPr>
              <w:t xml:space="preserve"> </w:t>
            </w:r>
            <w:r w:rsidRPr="00AD64EE">
              <w:rPr>
                <w:rFonts w:eastAsia="Calibri"/>
                <w:lang w:eastAsia="en-US"/>
              </w:rPr>
              <w:t xml:space="preserve">izlūkošanas </w:t>
            </w:r>
            <w:r w:rsidRPr="00AD64EE">
              <w:rPr>
                <w:lang w:eastAsia="en-US"/>
              </w:rPr>
              <w:t>dienesta materiāltehniskā nodrošinājuma un infrastruktūras attīstībai un atbalsta sniegšanai noziedzīgos nodarījumos cietušajiem."</w:t>
            </w:r>
          </w:p>
          <w:p w:rsidR="006555EB" w:rsidRPr="00AD64EE" w:rsidRDefault="006555EB" w:rsidP="003E57A4">
            <w:pPr>
              <w:contextualSpacing/>
              <w:jc w:val="both"/>
              <w:rPr>
                <w:lang w:eastAsia="en-US"/>
              </w:rPr>
            </w:pPr>
          </w:p>
        </w:tc>
        <w:tc>
          <w:tcPr>
            <w:tcW w:w="4394" w:type="dxa"/>
            <w:tcBorders>
              <w:left w:val="single" w:sz="6" w:space="0" w:color="000000"/>
              <w:bottom w:val="single" w:sz="4" w:space="0" w:color="auto"/>
              <w:right w:val="single" w:sz="6" w:space="0" w:color="000000"/>
            </w:tcBorders>
          </w:tcPr>
          <w:p w:rsidR="006555EB" w:rsidRPr="00AD64EE" w:rsidRDefault="006555EB" w:rsidP="006555EB">
            <w:pPr>
              <w:widowControl w:val="0"/>
              <w:jc w:val="center"/>
              <w:rPr>
                <w:rFonts w:eastAsia="Calibri"/>
                <w:b/>
                <w:lang w:eastAsia="en-US"/>
              </w:rPr>
            </w:pPr>
            <w:r w:rsidRPr="00AD64EE">
              <w:rPr>
                <w:rFonts w:eastAsia="Calibri"/>
                <w:b/>
                <w:lang w:eastAsia="en-US"/>
              </w:rPr>
              <w:lastRenderedPageBreak/>
              <w:t>Tieslietu ministrijas 19.08.2019. iebildums</w:t>
            </w:r>
          </w:p>
          <w:p w:rsidR="006555EB" w:rsidRPr="00AD64EE" w:rsidRDefault="00212CB6" w:rsidP="006555EB">
            <w:pPr>
              <w:pStyle w:val="naisc"/>
              <w:jc w:val="both"/>
            </w:pPr>
            <w:r w:rsidRPr="00AD64EE">
              <w:t xml:space="preserve">    </w:t>
            </w:r>
            <w:r w:rsidR="006555EB" w:rsidRPr="00AD64EE">
              <w:t xml:space="preserve">Precizētais likumprojekts paredz, ka </w:t>
            </w:r>
            <w:r w:rsidR="006555EB" w:rsidRPr="00AD64EE">
              <w:rPr>
                <w:i/>
              </w:rPr>
              <w:t xml:space="preserve">"pusi no valsts budžetā ieskaitītajiem konfiscētajiem noziedzīgi iegūtajiem līdzekļiem saimnieciskajā gadā novirza Tieslietu ministrijas atsevišķā budžeta programmā, lai īstenotu nepieciešamos pasākumus finanšu un ekonomisko noziegumu un organizētās noziedzības apkarošanai, kā arī materiāltehniskā nodrošinājuma un infrastruktūras attīstībai </w:t>
            </w:r>
            <w:r w:rsidR="006555EB" w:rsidRPr="00AD64EE">
              <w:rPr>
                <w:i/>
              </w:rPr>
              <w:lastRenderedPageBreak/>
              <w:t>un atbalsta sniegšanai noziedzīgos nodarījumos cietušajiem.</w:t>
            </w:r>
            <w:r w:rsidR="006555EB" w:rsidRPr="00AD64EE">
              <w:t xml:space="preserve">" Tieslietu ministrijas ieskatā pašlaik nav pamata paplašināt Tieslietu ministrijas pamatbudžeta programmas  "Noziedzīgi iegūtu līdzekļu konfiskācijas fonds" (turpmāk – Konfiskācijas fonds) izmantošanas mērķi, ietverot tajā arī organizēto noziedzību.  Vēlamies uzsvērt, ka ekonomisko un finanšu noziegumu apkarošana ir ļoti augsta valstiski noteikta prioritāte. Atgādinām, ka Eiropas Padomes Noziedzīgi iegūtu līdzekļu legalizēšanas un terorisma finansēšanas novēršanas ekspertu komitejas </w:t>
            </w:r>
            <w:r w:rsidR="006555EB" w:rsidRPr="00AD64EE">
              <w:rPr>
                <w:i/>
                <w:iCs/>
              </w:rPr>
              <w:t>(</w:t>
            </w:r>
            <w:r w:rsidR="006555EB" w:rsidRPr="00AD64EE">
              <w:t xml:space="preserve">turpmāk - </w:t>
            </w:r>
            <w:proofErr w:type="spellStart"/>
            <w:r w:rsidR="006555EB" w:rsidRPr="00AD64EE">
              <w:t>Moneyval</w:t>
            </w:r>
            <w:proofErr w:type="spellEnd"/>
            <w:r w:rsidR="006555EB" w:rsidRPr="00AD64EE">
              <w:t xml:space="preserve">) 2018. gada 23. augustā publicētajā novērtēšanas 5. kārtas ziņojumā par Latvijas noziedzīgi iegūto līdzekļu legalizācijas un terorisma finansēšanas novēršanas sistēmas efektivitāti par pārskata periodu līdz 2017. gada novembrim (turpmāk – Ziņojums) Latvijai norādīts uz nepieciešamību veikt finanšu sistēmas sakārtošanu un ekonomisko un finanšu noziegumu izmeklēšanas uzlabošanu. Papildus norādāms, ka arī Ministru kabineta 2019. gada 25. jūnija sēdē (prot. Nr.30 33) tika atbalstīts informatīvais ziņojums "Par nepieciešamību īstenot revīziju par faktoriem, kas ietekmē efektīvu kriminālprocesu par noziedzīgiem nodarījumiem ekonomikas un finanšu jomā izmeklēšanu un iztiesāšanu", kurā tika </w:t>
            </w:r>
            <w:r w:rsidR="006555EB" w:rsidRPr="00AD64EE">
              <w:lastRenderedPageBreak/>
              <w:t>izteikts aicinājums Valsts kontrolei izvērtēt iespēju veikt revīziju par faktoriem, kas ietekmē kriminālprocesu par noziedzīgiem nodarījumiem ekonomikas un finanšu jomā efektīvu izmeklēšanu un iztiesāšanu. Saskaņā ar Valsts kontroles padomes 2019. gada 9. jūlija sēdē (protokola Nr.35, 1.§) nolemto Valsts kontrole ir apņēmusies 2020. gadā veikt revīziju par faktoriem, kas ietekmē kriminālprocesu par noziedzīgiem nodarījumiem tieši ekonomikas un finanšu jomā.</w:t>
            </w:r>
          </w:p>
          <w:p w:rsidR="006555EB" w:rsidRPr="00AD64EE" w:rsidRDefault="00212CB6" w:rsidP="006555EB">
            <w:pPr>
              <w:pStyle w:val="naisc"/>
              <w:jc w:val="both"/>
            </w:pPr>
            <w:r w:rsidRPr="00AD64EE">
              <w:t xml:space="preserve">    </w:t>
            </w:r>
            <w:r w:rsidR="006555EB" w:rsidRPr="00AD64EE">
              <w:t>Ievērojot to, ka saskaņā ar precizēto likumprojektu netiks palielināts Konfiskācijas fondā ieskaitāmo līdzekļu maksimālais limits, Tieslietu ministrijas ieskatā, paplašinot tā izmantošanas mērķi, būs grūtības pietiekami efektīvi nodrošināt sākotnējā mērķa izpildi, proti  ekonomisko un finanšu noziegumu apkarošanu, kā arī atbalsta sniegšanu noziedzīgos nodarījumos cietušajiem.</w:t>
            </w:r>
          </w:p>
          <w:p w:rsidR="006555EB" w:rsidRPr="00AD64EE" w:rsidRDefault="00212CB6" w:rsidP="006555EB">
            <w:pPr>
              <w:pStyle w:val="naisc"/>
              <w:jc w:val="both"/>
            </w:pPr>
            <w:r w:rsidRPr="00AD64EE">
              <w:t xml:space="preserve">    </w:t>
            </w:r>
            <w:r w:rsidR="006555EB" w:rsidRPr="00AD64EE">
              <w:t xml:space="preserve">Vienlaikus likumprojekta izziņā attiecībā par konfiscēto līdzekļu ieskaitīšanu valsts budžetā norādīts, ka administratīvais slogs, ieskaitīšanas ātrums un izmaksas tiktu ievērojami samazinātas, ja rīkojumu par līdzekļu ieskaitīšanu budžetā bankām dotu tiesa, bet nevis tiesu izpildītājs. Norādāms, ka attiecībā uz noziedzīgi iegūtu līdzekļu konfiskāciju kriminālprocesā, kurā nav cietušais, tiesa lēmumu nodod Valsts ieņēmumu dienestam, kas veic visas nepieciešamās darbības, tajā skaitā dod </w:t>
            </w:r>
            <w:r w:rsidR="006555EB" w:rsidRPr="00AD64EE">
              <w:lastRenderedPageBreak/>
              <w:t>rīkojumu bankām līdzekļus pārskaitīt. Vēršam uzmanību, ka līdz 2017. gada 1. augustam, kad spēkā stājās grozījumi Noziedzīgi iegūtas mantas konfiskācijas izpildes likumā un Kriminālprocesa likumā, visus lēmumus par noziedzīgi iegūtu līdzekļu konfiskāciju nodeva zvērinātiem tiesu izpildītājiem, kuri lēmumus izpildīja Civilprocesa likuma kārtībā, par to saņemot izpildes izdevumus un amata atlīdzību. Līdz ar to Tieslietu ministrijas ieskatā pastāvošais regulējums nav radījis un nerada papildus administratīvo slogu valsts budžetā.</w:t>
            </w:r>
          </w:p>
          <w:p w:rsidR="006555EB" w:rsidRPr="00AD64EE" w:rsidRDefault="006555EB" w:rsidP="006555EB">
            <w:pPr>
              <w:pStyle w:val="naisc"/>
              <w:jc w:val="both"/>
            </w:pPr>
            <w:r w:rsidRPr="00AD64EE">
              <w:t xml:space="preserve">Likumprojekta izziņā tiek norādīts, ka noziedzīgi iegūtu līdzekļu legalizācijas jomā visbūtiskākos draudus rada arī noziedzīgi nodarījumi, kas veikti lielos apmēros un/vai organizētā grupā. Tāpat izziņā norādīts, ka no </w:t>
            </w:r>
            <w:proofErr w:type="spellStart"/>
            <w:r w:rsidRPr="00AD64EE">
              <w:rPr>
                <w:i/>
              </w:rPr>
              <w:t>Moneyval</w:t>
            </w:r>
            <w:proofErr w:type="spellEnd"/>
            <w:r w:rsidRPr="00AD64EE">
              <w:t xml:space="preserve"> Ziņojuma izriet tas, ka organizētā noziedzība tās visplašākajā izpausmē ir cieši saistīta ar finanšu un ekonomiskajiem noziegumiem, tādējādi arī </w:t>
            </w:r>
            <w:proofErr w:type="spellStart"/>
            <w:r w:rsidRPr="00AD64EE">
              <w:rPr>
                <w:i/>
              </w:rPr>
              <w:t>Moneyval</w:t>
            </w:r>
            <w:proofErr w:type="spellEnd"/>
            <w:r w:rsidRPr="00AD64EE">
              <w:t xml:space="preserve"> rekomendāciju izpilde ir saistīta arī ar organizētās noziedzības apkarošanu. Ievērojot minēto, vēlamies atkārtoti izsvērt, ka jau pašlaik attiecīgās institūcijas var prasīt no Konfiskācijas fonda finanšu līdzekļus organizētās noziedzības apkarošanai, jo saskaņā ar Noziedzīgi iegūtas mantas konfiskācijas izpildes likuma 45.pantu organizētās noziedzības apkarošana jau šobrīd ir noteikta kā izlietojamo līdzekļu </w:t>
            </w:r>
            <w:r w:rsidRPr="00AD64EE">
              <w:lastRenderedPageBreak/>
              <w:t>mērķis, ja tās darbības amplitūda ir finanšu un ekonomiskie noziegumi. Vienlaikus norādām, ka ar ekonomisko un finanšu noziegumiem saprotami ne tikai Krimināllikuma XIX nodaļā "Noziedzīgi nodarījumi tautsaimniecībā" paredzētie noziedzīgie nodarījumi, bet visi noziedzīgie nodarījumi, kuru rezultātā tiek gūti līdzekļi, piemēram, nelikumīgas darbības ar bīstamajiem atkritumiem un tml. Līdz ar to esošais formulējums ļauj atbalstīt pasākumus, kas ir vērsti uz organizētās noziedzības apkarošanu, jo  pamatā organizētas grupas tiek veidotas, lai izdarītu noziedzīgus nodarījumus, kuru rezultātā gūt līdzekļus, pēc tam tos  iepludinot finanšu sistēmā, tādējādi tos legalizējot.</w:t>
            </w:r>
          </w:p>
          <w:p w:rsidR="006555EB" w:rsidRPr="00AD64EE" w:rsidRDefault="00212CB6" w:rsidP="00212CB6">
            <w:pPr>
              <w:widowControl w:val="0"/>
              <w:jc w:val="both"/>
              <w:rPr>
                <w:rFonts w:eastAsia="Calibri"/>
                <w:b/>
                <w:lang w:eastAsia="en-US"/>
              </w:rPr>
            </w:pPr>
            <w:r w:rsidRPr="00AD64EE">
              <w:t xml:space="preserve">    </w:t>
            </w:r>
            <w:r w:rsidR="006555EB" w:rsidRPr="00AD64EE">
              <w:t>Ņemot vērā minēto, Tieslietu ministrija uztur izteikto iebildumu par Konfiskācijas fonda mērķa paplašināšanu, tajā iekļaujot organizētās noziedzības apkarošanu.</w:t>
            </w:r>
          </w:p>
        </w:tc>
        <w:tc>
          <w:tcPr>
            <w:tcW w:w="3544" w:type="dxa"/>
            <w:gridSpan w:val="2"/>
            <w:tcBorders>
              <w:left w:val="single" w:sz="6" w:space="0" w:color="000000"/>
              <w:bottom w:val="single" w:sz="4" w:space="0" w:color="auto"/>
              <w:right w:val="single" w:sz="6" w:space="0" w:color="000000"/>
            </w:tcBorders>
          </w:tcPr>
          <w:p w:rsidR="00070F9E" w:rsidRPr="00AD64EE" w:rsidRDefault="00824386" w:rsidP="00070F9E">
            <w:pPr>
              <w:pStyle w:val="naisc"/>
              <w:spacing w:before="0" w:after="0"/>
            </w:pPr>
            <w:r w:rsidRPr="00AD64EE">
              <w:rPr>
                <w:b/>
              </w:rPr>
              <w:lastRenderedPageBreak/>
              <w:t>Ņemts vērā</w:t>
            </w:r>
          </w:p>
          <w:p w:rsidR="006555EB" w:rsidRPr="00AD64EE" w:rsidRDefault="00356B0E" w:rsidP="00356B0E">
            <w:pPr>
              <w:pStyle w:val="naisc"/>
              <w:spacing w:before="0" w:after="0"/>
              <w:jc w:val="both"/>
              <w:rPr>
                <w:b/>
              </w:rPr>
            </w:pPr>
            <w:r w:rsidRPr="00AD64EE">
              <w:t>Ņemot vērā, ka jau šobrīd ir iespējams izmantot Konfiskācijas fondā ieskaitītos finanšu līdzekļus organizētās noziedzības apkarošanai, precizēts likumprojekts un tā sākotnējās ietekmes novērtējuma ziņojums (anotācija).</w:t>
            </w:r>
          </w:p>
        </w:tc>
        <w:tc>
          <w:tcPr>
            <w:tcW w:w="2977" w:type="dxa"/>
            <w:tcBorders>
              <w:top w:val="single" w:sz="4" w:space="0" w:color="auto"/>
              <w:left w:val="single" w:sz="4" w:space="0" w:color="auto"/>
              <w:bottom w:val="single" w:sz="4" w:space="0" w:color="auto"/>
            </w:tcBorders>
          </w:tcPr>
          <w:p w:rsidR="006555EB" w:rsidRPr="00AD64EE" w:rsidRDefault="00F66DCF" w:rsidP="00536AB2">
            <w:pPr>
              <w:jc w:val="both"/>
            </w:pPr>
            <w:r w:rsidRPr="00AD64EE">
              <w:t xml:space="preserve">Izslēgt 45. pantā vārdus "bet ne vairāk kā divus miljonus </w:t>
            </w:r>
            <w:r w:rsidRPr="00AD64EE">
              <w:rPr>
                <w:i/>
              </w:rPr>
              <w:t>euro</w:t>
            </w:r>
            <w:r w:rsidRPr="00AD64EE">
              <w:t>".</w:t>
            </w:r>
          </w:p>
        </w:tc>
      </w:tr>
      <w:tr w:rsidR="00F66DCF" w:rsidRPr="00AD64EE" w:rsidTr="003E57A4">
        <w:tc>
          <w:tcPr>
            <w:tcW w:w="708" w:type="dxa"/>
            <w:tcBorders>
              <w:left w:val="single" w:sz="6" w:space="0" w:color="000000"/>
              <w:bottom w:val="single" w:sz="4" w:space="0" w:color="auto"/>
              <w:right w:val="single" w:sz="6" w:space="0" w:color="000000"/>
            </w:tcBorders>
          </w:tcPr>
          <w:p w:rsidR="00F66DCF" w:rsidRPr="00AD64EE" w:rsidRDefault="00F66DCF" w:rsidP="003E57A4">
            <w:pPr>
              <w:pStyle w:val="naisc"/>
              <w:tabs>
                <w:tab w:val="left" w:pos="45"/>
              </w:tabs>
              <w:spacing w:before="0" w:after="0"/>
              <w:ind w:left="-997" w:firstLine="862"/>
            </w:pPr>
            <w:r w:rsidRPr="00AD64EE">
              <w:lastRenderedPageBreak/>
              <w:t>3.</w:t>
            </w:r>
          </w:p>
        </w:tc>
        <w:tc>
          <w:tcPr>
            <w:tcW w:w="3086" w:type="dxa"/>
            <w:gridSpan w:val="2"/>
            <w:tcBorders>
              <w:left w:val="single" w:sz="6" w:space="0" w:color="000000"/>
              <w:bottom w:val="single" w:sz="4" w:space="0" w:color="auto"/>
              <w:right w:val="single" w:sz="6" w:space="0" w:color="000000"/>
            </w:tcBorders>
          </w:tcPr>
          <w:p w:rsidR="00F66DCF" w:rsidRPr="00AD64EE" w:rsidRDefault="00F66DCF" w:rsidP="00F66DCF">
            <w:pPr>
              <w:contextualSpacing/>
              <w:jc w:val="both"/>
              <w:rPr>
                <w:lang w:eastAsia="en-US"/>
              </w:rPr>
            </w:pPr>
            <w:r w:rsidRPr="00AD64EE">
              <w:rPr>
                <w:lang w:eastAsia="en-US"/>
              </w:rPr>
              <w:t>Izteikt 45. panta pirmo teikumu šādā redakcijā:</w:t>
            </w:r>
          </w:p>
          <w:p w:rsidR="00F66DCF" w:rsidRPr="00AD64EE" w:rsidRDefault="00F66DCF" w:rsidP="006555EB">
            <w:pPr>
              <w:contextualSpacing/>
              <w:jc w:val="both"/>
              <w:rPr>
                <w:lang w:eastAsia="en-US"/>
              </w:rPr>
            </w:pPr>
            <w:r w:rsidRPr="00AD64EE">
              <w:rPr>
                <w:lang w:eastAsia="en-US"/>
              </w:rPr>
              <w:t xml:space="preserve">"Pusi no valsts budžetā ieskaitītajiem konfiscētajiem noziedzīgi iegūtajiem līdzekļiem saimnieciskajā gadā novirza Tieslietu ministrijas atsevišķā budžeta programmā, lai īstenotu nepieciešamos pasākumus finanšu un ekonomisko noziegumu, kā arī organizētās noziedzības apkarošanai, </w:t>
            </w:r>
            <w:r w:rsidRPr="00AD64EE">
              <w:rPr>
                <w:lang w:eastAsia="en-US"/>
              </w:rPr>
              <w:lastRenderedPageBreak/>
              <w:t>izmeklēšanas iestāžu un</w:t>
            </w:r>
            <w:r w:rsidRPr="00AD64EE">
              <w:rPr>
                <w:rFonts w:ascii="Calibri" w:eastAsia="Calibri" w:hAnsi="Calibri"/>
                <w:lang w:eastAsia="en-US"/>
              </w:rPr>
              <w:t xml:space="preserve"> </w:t>
            </w:r>
            <w:r w:rsidRPr="00AD64EE">
              <w:rPr>
                <w:rFonts w:eastAsia="Calibri"/>
                <w:lang w:eastAsia="en-US"/>
              </w:rPr>
              <w:t>Finanšu</w:t>
            </w:r>
            <w:r w:rsidRPr="00AD64EE">
              <w:rPr>
                <w:rFonts w:ascii="Calibri" w:eastAsia="Calibri" w:hAnsi="Calibri"/>
                <w:lang w:eastAsia="en-US"/>
              </w:rPr>
              <w:t xml:space="preserve"> </w:t>
            </w:r>
            <w:r w:rsidRPr="00AD64EE">
              <w:rPr>
                <w:rFonts w:eastAsia="Calibri"/>
                <w:lang w:eastAsia="en-US"/>
              </w:rPr>
              <w:t xml:space="preserve">izlūkošanas </w:t>
            </w:r>
            <w:r w:rsidRPr="00AD64EE">
              <w:rPr>
                <w:lang w:eastAsia="en-US"/>
              </w:rPr>
              <w:t>dienesta materiāltehniskā nodrošinājuma un infrastruktūras attīstībai un atbalsta sniegšanai noziedzīgos nodarījumos cietušajiem."</w:t>
            </w:r>
          </w:p>
        </w:tc>
        <w:tc>
          <w:tcPr>
            <w:tcW w:w="4394" w:type="dxa"/>
            <w:tcBorders>
              <w:left w:val="single" w:sz="6" w:space="0" w:color="000000"/>
              <w:bottom w:val="single" w:sz="4" w:space="0" w:color="auto"/>
              <w:right w:val="single" w:sz="6" w:space="0" w:color="000000"/>
            </w:tcBorders>
          </w:tcPr>
          <w:p w:rsidR="00F66DCF" w:rsidRPr="00AD64EE" w:rsidRDefault="00F66DCF" w:rsidP="00F66DCF">
            <w:pPr>
              <w:widowControl w:val="0"/>
              <w:jc w:val="center"/>
              <w:rPr>
                <w:rFonts w:eastAsia="Calibri"/>
                <w:b/>
                <w:lang w:eastAsia="en-US"/>
              </w:rPr>
            </w:pPr>
            <w:r w:rsidRPr="00AD64EE">
              <w:rPr>
                <w:rFonts w:eastAsia="Calibri"/>
                <w:b/>
                <w:lang w:eastAsia="en-US"/>
              </w:rPr>
              <w:lastRenderedPageBreak/>
              <w:t>Tieslietu ministrijas 15.07.2019. iebildums</w:t>
            </w:r>
          </w:p>
          <w:p w:rsidR="00F66DCF" w:rsidRPr="00AD64EE" w:rsidRDefault="00F66DCF" w:rsidP="00F66DCF">
            <w:pPr>
              <w:widowControl w:val="0"/>
              <w:jc w:val="both"/>
              <w:rPr>
                <w:rFonts w:eastAsia="Calibri"/>
                <w:b/>
                <w:lang w:eastAsia="en-US"/>
              </w:rPr>
            </w:pPr>
            <w:r w:rsidRPr="00AD64EE">
              <w:rPr>
                <w:rFonts w:eastAsia="Calibri"/>
                <w:lang w:eastAsia="en-US"/>
              </w:rPr>
              <w:t xml:space="preserve">Nav atbalstāms likumprojektā iekļautais teksts </w:t>
            </w:r>
            <w:r w:rsidRPr="00AD64EE">
              <w:rPr>
                <w:rFonts w:eastAsia="Calibri"/>
                <w:i/>
                <w:iCs/>
                <w:lang w:eastAsia="en-US"/>
              </w:rPr>
              <w:t>"izmeklēšanas iestāžu un Finanšu izlūkošanas dienesta materiāltehniskā nodrošinājuma un infrastruktūras attīstībai"</w:t>
            </w:r>
            <w:r w:rsidRPr="00AD64EE">
              <w:rPr>
                <w:rFonts w:eastAsia="Calibri"/>
                <w:lang w:eastAsia="en-US"/>
              </w:rPr>
              <w:t xml:space="preserve">, jo gan pastāvošajā regulējumā, gan likumprojekta piedāvātajā redakcijā teikuma daļa </w:t>
            </w:r>
            <w:r w:rsidRPr="00AD64EE">
              <w:rPr>
                <w:rFonts w:eastAsia="Calibri"/>
                <w:i/>
                <w:iCs/>
                <w:lang w:eastAsia="en-US"/>
              </w:rPr>
              <w:t xml:space="preserve">“lai īstenotu nepieciešamos pasākumus finanšu un ekonomisko noziegumu apkarošanai” </w:t>
            </w:r>
            <w:r w:rsidRPr="00AD64EE">
              <w:rPr>
                <w:rFonts w:eastAsia="Calibri"/>
                <w:lang w:eastAsia="en-US"/>
              </w:rPr>
              <w:t xml:space="preserve">izmeklēšanas iestādēm un Finanšu izlūkošanas dienestam ļauj Ministru kabineta noteiktajā kārtībā </w:t>
            </w:r>
            <w:r w:rsidRPr="00AD64EE">
              <w:rPr>
                <w:rFonts w:eastAsia="Calibri"/>
                <w:lang w:eastAsia="en-US"/>
              </w:rPr>
              <w:lastRenderedPageBreak/>
              <w:t>pieteikties līdzekļu izmantošanai, kas sevī ietver arī materiāltehnisko nodrošinājumu un infrastruktūras attīstību. Vienlaikus piedāvātā redakcija varētu radīt maldīgu priekšstatu, ka citas institūcijas, piemēram, Valsts tiesu ekspertīžu birojs, Valsts darba inspekcija nevar saņemt līdzekļus pasākumiem finanšu un ekonomisko noziegumu apkarošanai.</w:t>
            </w:r>
          </w:p>
        </w:tc>
        <w:tc>
          <w:tcPr>
            <w:tcW w:w="3544" w:type="dxa"/>
            <w:gridSpan w:val="2"/>
            <w:tcBorders>
              <w:left w:val="single" w:sz="6" w:space="0" w:color="000000"/>
              <w:bottom w:val="single" w:sz="4" w:space="0" w:color="auto"/>
              <w:right w:val="single" w:sz="6" w:space="0" w:color="000000"/>
            </w:tcBorders>
          </w:tcPr>
          <w:p w:rsidR="00F66DCF" w:rsidRPr="00AD64EE" w:rsidRDefault="00F66DCF" w:rsidP="00F66DCF">
            <w:pPr>
              <w:pStyle w:val="naisc"/>
              <w:spacing w:before="0" w:after="0"/>
            </w:pPr>
            <w:r w:rsidRPr="00AD64EE">
              <w:rPr>
                <w:b/>
              </w:rPr>
              <w:lastRenderedPageBreak/>
              <w:t>Ņemts vērā</w:t>
            </w:r>
          </w:p>
          <w:p w:rsidR="00F66DCF" w:rsidRPr="00AD64EE" w:rsidRDefault="00F66DCF" w:rsidP="00F66DCF">
            <w:pPr>
              <w:pStyle w:val="naisc"/>
              <w:spacing w:before="0" w:after="0"/>
              <w:jc w:val="both"/>
              <w:rPr>
                <w:b/>
              </w:rPr>
            </w:pPr>
            <w:r w:rsidRPr="00AD64EE">
              <w:t>Ņemot vērā, ka jau šobrīd ir iespējams izmantot Konfiskācijas fondā ieskaitītos finanšu līdzekļus iestāžu, kas veic finanšu un ekonomisko noziegumu apkarošanu, materiāltehniskā nodrošinājuma un infrastruktūras attīstībai, precizēts likumprojekts un tā sākotnējās ietekmes novērtējuma ziņojums (anotācija).</w:t>
            </w:r>
          </w:p>
        </w:tc>
        <w:tc>
          <w:tcPr>
            <w:tcW w:w="2977" w:type="dxa"/>
            <w:tcBorders>
              <w:top w:val="single" w:sz="4" w:space="0" w:color="auto"/>
              <w:left w:val="single" w:sz="4" w:space="0" w:color="auto"/>
              <w:bottom w:val="single" w:sz="4" w:space="0" w:color="auto"/>
            </w:tcBorders>
          </w:tcPr>
          <w:p w:rsidR="00F66DCF" w:rsidRPr="00AD64EE" w:rsidRDefault="00F66DCF" w:rsidP="00F66DCF">
            <w:pPr>
              <w:contextualSpacing/>
              <w:jc w:val="both"/>
              <w:rPr>
                <w:lang w:eastAsia="en-US"/>
              </w:rPr>
            </w:pPr>
            <w:r w:rsidRPr="00AD64EE">
              <w:rPr>
                <w:lang w:eastAsia="en-US"/>
              </w:rPr>
              <w:t xml:space="preserve">Izslēgt 45. pantā vārdus "bet ne vairāk kā divus miljonus </w:t>
            </w:r>
            <w:r w:rsidRPr="00AD64EE">
              <w:rPr>
                <w:i/>
                <w:lang w:eastAsia="en-US"/>
              </w:rPr>
              <w:t>euro</w:t>
            </w:r>
            <w:r w:rsidRPr="00AD64EE">
              <w:rPr>
                <w:lang w:eastAsia="en-US"/>
              </w:rPr>
              <w:t>".</w:t>
            </w:r>
          </w:p>
          <w:p w:rsidR="00F66DCF" w:rsidRPr="00AD64EE" w:rsidRDefault="00F66DCF" w:rsidP="00536AB2">
            <w:pPr>
              <w:jc w:val="both"/>
            </w:pPr>
          </w:p>
        </w:tc>
      </w:tr>
      <w:tr w:rsidR="00F66DCF" w:rsidRPr="00AD64EE" w:rsidTr="003E57A4">
        <w:tc>
          <w:tcPr>
            <w:tcW w:w="708" w:type="dxa"/>
            <w:tcBorders>
              <w:left w:val="single" w:sz="6" w:space="0" w:color="000000"/>
              <w:bottom w:val="single" w:sz="4" w:space="0" w:color="auto"/>
              <w:right w:val="single" w:sz="6" w:space="0" w:color="000000"/>
            </w:tcBorders>
          </w:tcPr>
          <w:p w:rsidR="00F66DCF" w:rsidRPr="00AD64EE" w:rsidRDefault="00F66DCF" w:rsidP="003E57A4">
            <w:pPr>
              <w:pStyle w:val="naisc"/>
              <w:tabs>
                <w:tab w:val="left" w:pos="45"/>
              </w:tabs>
              <w:spacing w:before="0" w:after="0"/>
              <w:ind w:left="-997" w:firstLine="862"/>
            </w:pPr>
            <w:r w:rsidRPr="00AD64EE">
              <w:t>4.</w:t>
            </w:r>
          </w:p>
        </w:tc>
        <w:tc>
          <w:tcPr>
            <w:tcW w:w="3086" w:type="dxa"/>
            <w:gridSpan w:val="2"/>
            <w:tcBorders>
              <w:left w:val="single" w:sz="6" w:space="0" w:color="000000"/>
              <w:bottom w:val="single" w:sz="4" w:space="0" w:color="auto"/>
              <w:right w:val="single" w:sz="6" w:space="0" w:color="000000"/>
            </w:tcBorders>
          </w:tcPr>
          <w:p w:rsidR="00F66DCF" w:rsidRPr="00AD64EE" w:rsidRDefault="00F66DCF" w:rsidP="00F66DCF">
            <w:pPr>
              <w:contextualSpacing/>
              <w:jc w:val="both"/>
              <w:rPr>
                <w:lang w:eastAsia="en-US"/>
              </w:rPr>
            </w:pPr>
            <w:r w:rsidRPr="00AD64EE">
              <w:rPr>
                <w:lang w:eastAsia="en-US"/>
              </w:rPr>
              <w:t>Izteikt 45. panta pirmo teikumu šādā redakcijā:</w:t>
            </w:r>
          </w:p>
          <w:p w:rsidR="00F66DCF" w:rsidRPr="00AD64EE" w:rsidRDefault="00F66DCF" w:rsidP="00F66DCF">
            <w:pPr>
              <w:contextualSpacing/>
              <w:jc w:val="both"/>
              <w:rPr>
                <w:lang w:eastAsia="en-US"/>
              </w:rPr>
            </w:pPr>
            <w:r w:rsidRPr="00AD64EE">
              <w:rPr>
                <w:lang w:eastAsia="en-US"/>
              </w:rPr>
              <w:t>"Pusi no valsts budžetā ieskaitītajiem konfiscētajiem noziedzīgi iegūtajiem līdzekļiem saimnieciskajā gadā novirza Tieslietu ministrijas atsevišķā budžeta programmā, lai īstenotu nepieciešamos pasākumus finanšu un ekonomisko noziegumu, kā arī organizētās noziedzības apkarošanai, izmeklēšanas iestāžu un</w:t>
            </w:r>
            <w:r w:rsidRPr="00AD64EE">
              <w:rPr>
                <w:rFonts w:ascii="Calibri" w:eastAsia="Calibri" w:hAnsi="Calibri"/>
                <w:lang w:eastAsia="en-US"/>
              </w:rPr>
              <w:t xml:space="preserve"> </w:t>
            </w:r>
            <w:r w:rsidRPr="00AD64EE">
              <w:rPr>
                <w:rFonts w:eastAsia="Calibri"/>
                <w:lang w:eastAsia="en-US"/>
              </w:rPr>
              <w:t>Finanšu</w:t>
            </w:r>
            <w:r w:rsidRPr="00AD64EE">
              <w:rPr>
                <w:rFonts w:ascii="Calibri" w:eastAsia="Calibri" w:hAnsi="Calibri"/>
                <w:lang w:eastAsia="en-US"/>
              </w:rPr>
              <w:t xml:space="preserve"> </w:t>
            </w:r>
            <w:r w:rsidRPr="00AD64EE">
              <w:rPr>
                <w:rFonts w:eastAsia="Calibri"/>
                <w:lang w:eastAsia="en-US"/>
              </w:rPr>
              <w:t xml:space="preserve">izlūkošanas </w:t>
            </w:r>
            <w:r w:rsidRPr="00AD64EE">
              <w:rPr>
                <w:lang w:eastAsia="en-US"/>
              </w:rPr>
              <w:t>dienesta materiāltehniskā nodrošinājuma un infrastruktūras attīstībai un atbalsta sniegšanai noziedzīgos nodarījumos cietušajiem."</w:t>
            </w:r>
          </w:p>
          <w:p w:rsidR="00F66DCF" w:rsidRPr="00AD64EE" w:rsidRDefault="00F66DCF" w:rsidP="006555EB">
            <w:pPr>
              <w:contextualSpacing/>
              <w:jc w:val="both"/>
              <w:rPr>
                <w:lang w:eastAsia="en-US"/>
              </w:rPr>
            </w:pPr>
          </w:p>
        </w:tc>
        <w:tc>
          <w:tcPr>
            <w:tcW w:w="4394" w:type="dxa"/>
            <w:tcBorders>
              <w:left w:val="single" w:sz="6" w:space="0" w:color="000000"/>
              <w:bottom w:val="single" w:sz="4" w:space="0" w:color="auto"/>
              <w:right w:val="single" w:sz="6" w:space="0" w:color="000000"/>
            </w:tcBorders>
          </w:tcPr>
          <w:p w:rsidR="00F66DCF" w:rsidRPr="00AD64EE" w:rsidRDefault="00F66DCF" w:rsidP="00F66DCF">
            <w:pPr>
              <w:jc w:val="center"/>
              <w:rPr>
                <w:b/>
              </w:rPr>
            </w:pPr>
            <w:r w:rsidRPr="00AD64EE">
              <w:rPr>
                <w:b/>
              </w:rPr>
              <w:t>Tieslietu ministrijas 19.08.2019. iebildums</w:t>
            </w:r>
          </w:p>
          <w:p w:rsidR="00F66DCF" w:rsidRPr="00AD64EE" w:rsidRDefault="00F66DCF" w:rsidP="00F66DCF">
            <w:pPr>
              <w:spacing w:after="120"/>
              <w:jc w:val="both"/>
            </w:pPr>
            <w:r w:rsidRPr="00AD64EE">
              <w:t xml:space="preserve">   Nav atbalstāms precizētajā likumprojektā iekļautais teksts "materiāltehniskā nodrošinājuma un infrastruktūras attīstībai". Vēršam uzmanību, ka gan esošajā tiesiskajā regulējumā, gan likumprojekta piedāvātajā redakcijā teikuma daļa “lai īstenotu nepieciešamos pasākumus finanšu un ekonomisko noziegumu apkarošanai” ļauj Ministru kabineta 2017. gada 19. decembra noteikumos Nr. 769 "Tieslietu ministrijas pamatbudžeta programmas "Noziedzīgi iegūtu līdzekļu konfiskācijas fonds"" noteiktajā kārtībā pieteikties līdzekļu izmantošanai, kas sevī ietver arī materiāltehnisko nodrošinājumu un infrastruktūras attīstību. Vienlaikus Noziedzīgi iegūtas mantas konfiskācijas izpildes likuma 45.pantā iekļautais teksts "noziegumu apkarošanai" ir lasāms visplašākajā nozīmē. Nav vēlams esošo formulējumu sašaurināt, jo tas nākotnē var radīt interpretācijas problēmas, piemēram, </w:t>
            </w:r>
            <w:r w:rsidRPr="00AD64EE">
              <w:lastRenderedPageBreak/>
              <w:t>kāds varētu apgalvot, ka visi līdzekļi, kas būs piešķirti materiāltehniskā nodrošinājuma un infrastruktūras attīstībai līdz šo grozījumu spēkā stāšanās dienai, ir bijuši piešķirti nelikumīgi, jo likums tādu iespēju nebija iepriekš paredzējis.</w:t>
            </w:r>
          </w:p>
        </w:tc>
        <w:tc>
          <w:tcPr>
            <w:tcW w:w="3544" w:type="dxa"/>
            <w:gridSpan w:val="2"/>
            <w:tcBorders>
              <w:left w:val="single" w:sz="6" w:space="0" w:color="000000"/>
              <w:bottom w:val="single" w:sz="4" w:space="0" w:color="auto"/>
              <w:right w:val="single" w:sz="6" w:space="0" w:color="000000"/>
            </w:tcBorders>
          </w:tcPr>
          <w:p w:rsidR="00F66DCF" w:rsidRPr="00AD64EE" w:rsidRDefault="00F66DCF" w:rsidP="00F66DCF">
            <w:pPr>
              <w:pStyle w:val="naisc"/>
              <w:spacing w:before="0" w:after="0"/>
            </w:pPr>
            <w:r w:rsidRPr="00AD64EE">
              <w:rPr>
                <w:b/>
              </w:rPr>
              <w:lastRenderedPageBreak/>
              <w:t>Ņemts vērā</w:t>
            </w:r>
          </w:p>
          <w:p w:rsidR="00F66DCF" w:rsidRPr="00AD64EE" w:rsidRDefault="00F66DCF" w:rsidP="00F66DCF">
            <w:pPr>
              <w:pStyle w:val="naisc"/>
              <w:spacing w:before="0" w:after="0"/>
              <w:jc w:val="both"/>
              <w:rPr>
                <w:b/>
              </w:rPr>
            </w:pPr>
            <w:r w:rsidRPr="00AD64EE">
              <w:t>Ņemot vērā, ka jau šobrīd ir iespējams izmantot Konfiskācijas fondā ieskaitītos finanšu līdzekļus iestāžu, kas veic finanšu un ekonomisko noziegumu apkarošanu, materiāltehniskā nodrošinājuma un infrastruktūras attīstībai, precizēts likumprojekts un tā sākotnējās ietekmes novērtējuma ziņojums (anotācija).</w:t>
            </w:r>
          </w:p>
        </w:tc>
        <w:tc>
          <w:tcPr>
            <w:tcW w:w="2977" w:type="dxa"/>
            <w:tcBorders>
              <w:top w:val="single" w:sz="4" w:space="0" w:color="auto"/>
              <w:left w:val="single" w:sz="4" w:space="0" w:color="auto"/>
              <w:bottom w:val="single" w:sz="4" w:space="0" w:color="auto"/>
            </w:tcBorders>
          </w:tcPr>
          <w:p w:rsidR="00F66DCF" w:rsidRPr="00AD64EE" w:rsidRDefault="00F66DCF" w:rsidP="00F66DCF">
            <w:pPr>
              <w:contextualSpacing/>
              <w:jc w:val="both"/>
              <w:rPr>
                <w:lang w:eastAsia="en-US"/>
              </w:rPr>
            </w:pPr>
            <w:r w:rsidRPr="00AD64EE">
              <w:rPr>
                <w:lang w:eastAsia="en-US"/>
              </w:rPr>
              <w:t xml:space="preserve">Izslēgt 45. pantā vārdus "bet ne vairāk kā divus miljonus </w:t>
            </w:r>
            <w:r w:rsidRPr="00AD64EE">
              <w:rPr>
                <w:i/>
                <w:lang w:eastAsia="en-US"/>
              </w:rPr>
              <w:t>euro</w:t>
            </w:r>
            <w:r w:rsidRPr="00AD64EE">
              <w:rPr>
                <w:lang w:eastAsia="en-US"/>
              </w:rPr>
              <w:t>".</w:t>
            </w:r>
          </w:p>
          <w:p w:rsidR="00F66DCF" w:rsidRPr="00AD64EE" w:rsidRDefault="00F66DCF" w:rsidP="00536AB2">
            <w:pPr>
              <w:jc w:val="both"/>
            </w:pPr>
          </w:p>
        </w:tc>
      </w:tr>
      <w:tr w:rsidR="00340AF6" w:rsidRPr="00AD64EE" w:rsidTr="003E57A4">
        <w:tc>
          <w:tcPr>
            <w:tcW w:w="708" w:type="dxa"/>
            <w:tcBorders>
              <w:left w:val="single" w:sz="6" w:space="0" w:color="000000"/>
              <w:bottom w:val="single" w:sz="4" w:space="0" w:color="auto"/>
              <w:right w:val="single" w:sz="6" w:space="0" w:color="000000"/>
            </w:tcBorders>
          </w:tcPr>
          <w:p w:rsidR="00340AF6" w:rsidRPr="00AD64EE" w:rsidRDefault="00340AF6" w:rsidP="003E57A4">
            <w:pPr>
              <w:pStyle w:val="naisc"/>
              <w:tabs>
                <w:tab w:val="left" w:pos="45"/>
              </w:tabs>
              <w:spacing w:before="0" w:after="0"/>
              <w:ind w:left="-997" w:firstLine="862"/>
            </w:pPr>
            <w:r w:rsidRPr="00AD64EE">
              <w:t>5.</w:t>
            </w:r>
          </w:p>
        </w:tc>
        <w:tc>
          <w:tcPr>
            <w:tcW w:w="3086" w:type="dxa"/>
            <w:gridSpan w:val="2"/>
            <w:tcBorders>
              <w:left w:val="single" w:sz="6" w:space="0" w:color="000000"/>
              <w:bottom w:val="single" w:sz="4" w:space="0" w:color="auto"/>
              <w:right w:val="single" w:sz="6" w:space="0" w:color="000000"/>
            </w:tcBorders>
          </w:tcPr>
          <w:p w:rsidR="00340AF6" w:rsidRPr="00AD64EE" w:rsidRDefault="00340AF6" w:rsidP="00340AF6">
            <w:pPr>
              <w:contextualSpacing/>
              <w:jc w:val="both"/>
              <w:rPr>
                <w:lang w:eastAsia="en-US"/>
              </w:rPr>
            </w:pPr>
            <w:r w:rsidRPr="00AD64EE">
              <w:rPr>
                <w:lang w:eastAsia="en-US"/>
              </w:rPr>
              <w:t>Izteikt 45. panta pirmo teikumu šādā redakcijā:</w:t>
            </w:r>
          </w:p>
          <w:p w:rsidR="00340AF6" w:rsidRPr="00AD64EE" w:rsidRDefault="00340AF6" w:rsidP="00340AF6">
            <w:pPr>
              <w:contextualSpacing/>
              <w:jc w:val="both"/>
              <w:rPr>
                <w:lang w:eastAsia="en-US"/>
              </w:rPr>
            </w:pPr>
            <w:r w:rsidRPr="00AD64EE">
              <w:rPr>
                <w:rFonts w:eastAsia="Calibri"/>
                <w:lang w:eastAsia="en-US"/>
              </w:rPr>
              <w:t>"</w:t>
            </w:r>
            <w:r w:rsidRPr="00AD64EE">
              <w:rPr>
                <w:lang w:eastAsia="en-US"/>
              </w:rPr>
              <w:t>Pusi no valsts budžetā ieskaitītajiem konfiscētajiem noziedzīgi iegūtajiem līdzekļiem saimnieciskajā gadā novirza Tieslietu ministrijas atsevišķā budžeta programmā, lai īstenotu nepieciešamos pasākumus noziegumu, kas saistīti ar finansiālo un ekonomisko ietekmi, apkarošanai, tostarp iestāžu, kas veic minēto noziegumu apkarošanu, materiāltehniskā nodrošinājuma un infrastruktūras attīstībai, un atbalsta sniegšanai noziedzīgos nodarījumos cietušajiem.</w:t>
            </w:r>
            <w:r w:rsidRPr="00AD64EE">
              <w:rPr>
                <w:rFonts w:eastAsia="Calibri"/>
                <w:lang w:eastAsia="en-US"/>
              </w:rPr>
              <w:t>"</w:t>
            </w:r>
          </w:p>
          <w:p w:rsidR="00340AF6" w:rsidRPr="00AD64EE" w:rsidRDefault="00340AF6" w:rsidP="00F66DCF">
            <w:pPr>
              <w:contextualSpacing/>
              <w:jc w:val="both"/>
              <w:rPr>
                <w:lang w:eastAsia="en-US"/>
              </w:rPr>
            </w:pPr>
          </w:p>
        </w:tc>
        <w:tc>
          <w:tcPr>
            <w:tcW w:w="4394" w:type="dxa"/>
            <w:tcBorders>
              <w:left w:val="single" w:sz="6" w:space="0" w:color="000000"/>
              <w:bottom w:val="single" w:sz="4" w:space="0" w:color="auto"/>
              <w:right w:val="single" w:sz="6" w:space="0" w:color="000000"/>
            </w:tcBorders>
          </w:tcPr>
          <w:p w:rsidR="00340AF6" w:rsidRPr="00AD64EE" w:rsidRDefault="00340AF6" w:rsidP="00340AF6">
            <w:pPr>
              <w:jc w:val="center"/>
              <w:rPr>
                <w:b/>
              </w:rPr>
            </w:pPr>
            <w:r w:rsidRPr="00AD64EE">
              <w:rPr>
                <w:b/>
              </w:rPr>
              <w:t xml:space="preserve">Tieslietu ministrijas izteiktais iebildums saskaņošanas sanāksmē </w:t>
            </w:r>
            <w:r w:rsidR="00557699" w:rsidRPr="00AD64EE">
              <w:rPr>
                <w:b/>
              </w:rPr>
              <w:t>(</w:t>
            </w:r>
            <w:r w:rsidRPr="00AD64EE">
              <w:rPr>
                <w:b/>
              </w:rPr>
              <w:t>10.10.2019.</w:t>
            </w:r>
            <w:r w:rsidR="00557699" w:rsidRPr="00AD64EE">
              <w:rPr>
                <w:b/>
              </w:rPr>
              <w:t>)</w:t>
            </w:r>
          </w:p>
          <w:p w:rsidR="00340AF6" w:rsidRPr="00AD64EE" w:rsidRDefault="00340AF6" w:rsidP="00340AF6">
            <w:pPr>
              <w:jc w:val="both"/>
              <w:rPr>
                <w:b/>
              </w:rPr>
            </w:pPr>
            <w:r w:rsidRPr="00AD64EE">
              <w:rPr>
                <w:lang w:eastAsia="en-US"/>
              </w:rPr>
              <w:t>Nav atbalstāma Konfiskācijas fondā esošo finanšu līdzekļu izmantošana darba vides (telpu) remontam. Izstrādājot Konfiskācijas fonda regulējumu un nosakot Konfiskācijas fondā ieskatīto finanšu līdzekļu izmantošanas mērķus, tika nolemts, ka minētajā fondā ieskaitītie finanšu līdzekļi nav izmantojami telpu remontam. Praksē jau ir bijis gadījums, kad ir iesniegts pieteikums Konfiskācijas fondā esošo finanšu līdzekļu izmantošanai telpu remontam, taču Tieslietu ministrija to nav atbalstījusi, jo telpu remonta gadījumā nav nosakāmi rezultatīvie rādītāji, ko pēc finanšu līdzekļu piešķiršanas un pasākumu īstenošanas var izmērīt.</w:t>
            </w:r>
          </w:p>
          <w:p w:rsidR="00340AF6" w:rsidRPr="00AD64EE" w:rsidRDefault="00340AF6" w:rsidP="00F66DCF">
            <w:pPr>
              <w:jc w:val="center"/>
              <w:rPr>
                <w:b/>
              </w:rPr>
            </w:pPr>
          </w:p>
        </w:tc>
        <w:tc>
          <w:tcPr>
            <w:tcW w:w="3544" w:type="dxa"/>
            <w:gridSpan w:val="2"/>
            <w:tcBorders>
              <w:left w:val="single" w:sz="6" w:space="0" w:color="000000"/>
              <w:bottom w:val="single" w:sz="4" w:space="0" w:color="auto"/>
              <w:right w:val="single" w:sz="6" w:space="0" w:color="000000"/>
            </w:tcBorders>
          </w:tcPr>
          <w:p w:rsidR="00340AF6" w:rsidRPr="00AD64EE" w:rsidRDefault="00340AF6" w:rsidP="00340AF6">
            <w:pPr>
              <w:pStyle w:val="naisc"/>
              <w:spacing w:before="0" w:after="0"/>
            </w:pPr>
            <w:r w:rsidRPr="00AD64EE">
              <w:rPr>
                <w:b/>
              </w:rPr>
              <w:t>Ņemts vērā</w:t>
            </w:r>
          </w:p>
          <w:p w:rsidR="00340AF6" w:rsidRPr="00AD64EE" w:rsidRDefault="00340AF6" w:rsidP="007C0B7D">
            <w:pPr>
              <w:pStyle w:val="naisc"/>
              <w:spacing w:before="0" w:after="0"/>
              <w:jc w:val="both"/>
            </w:pPr>
            <w:r w:rsidRPr="00AD64EE">
              <w:t>Ņemot vērā</w:t>
            </w:r>
            <w:r w:rsidR="00557699" w:rsidRPr="00AD64EE">
              <w:t xml:space="preserve"> Tieslietu ministrijas </w:t>
            </w:r>
            <w:r w:rsidR="007C0B7D" w:rsidRPr="00AD64EE">
              <w:t xml:space="preserve">izteikto viedokli saskaņošanas sanāksmē, </w:t>
            </w:r>
            <w:r w:rsidR="00557699" w:rsidRPr="00AD64EE">
              <w:t>precizēts likumprojekts un tā sākotnējās ietekmes novērtējuma ziņojums (anotācijai), paredzot</w:t>
            </w:r>
            <w:r w:rsidR="002C100D" w:rsidRPr="00AD64EE">
              <w:t xml:space="preserve"> grozījumu Noziedzīgi iegūtas mantas konfiskācijas izpildes likuma 45. pantā tikai par Konfiskācijas fondā novirzāmo finanšu līdzekļu apmēru, tādējādi nepaplašinot Konfiskācijas fondā ieskaitīto finanšu līdzekļu izmantošanas mērķi.</w:t>
            </w:r>
            <w:r w:rsidR="00557699" w:rsidRPr="00AD64EE">
              <w:t xml:space="preserve"> </w:t>
            </w:r>
          </w:p>
        </w:tc>
        <w:tc>
          <w:tcPr>
            <w:tcW w:w="2977" w:type="dxa"/>
            <w:tcBorders>
              <w:top w:val="single" w:sz="4" w:space="0" w:color="auto"/>
              <w:left w:val="single" w:sz="4" w:space="0" w:color="auto"/>
              <w:bottom w:val="single" w:sz="4" w:space="0" w:color="auto"/>
            </w:tcBorders>
          </w:tcPr>
          <w:p w:rsidR="00557699" w:rsidRPr="00AD64EE" w:rsidRDefault="00557699" w:rsidP="00557699">
            <w:pPr>
              <w:contextualSpacing/>
              <w:jc w:val="both"/>
              <w:rPr>
                <w:lang w:eastAsia="en-US"/>
              </w:rPr>
            </w:pPr>
            <w:r w:rsidRPr="00AD64EE">
              <w:rPr>
                <w:lang w:eastAsia="en-US"/>
              </w:rPr>
              <w:t xml:space="preserve">Izslēgt 45. pantā vārdus "bet ne vairāk kā divus miljonus </w:t>
            </w:r>
            <w:r w:rsidRPr="00AD64EE">
              <w:rPr>
                <w:i/>
                <w:lang w:eastAsia="en-US"/>
              </w:rPr>
              <w:t>euro</w:t>
            </w:r>
            <w:r w:rsidRPr="00AD64EE">
              <w:rPr>
                <w:lang w:eastAsia="en-US"/>
              </w:rPr>
              <w:t>".</w:t>
            </w:r>
          </w:p>
          <w:p w:rsidR="00340AF6" w:rsidRPr="00AD64EE" w:rsidRDefault="00340AF6" w:rsidP="00F66DCF">
            <w:pPr>
              <w:contextualSpacing/>
              <w:jc w:val="both"/>
              <w:rPr>
                <w:lang w:eastAsia="en-US"/>
              </w:rPr>
            </w:pPr>
          </w:p>
        </w:tc>
      </w:tr>
      <w:tr w:rsidR="00AA1AD0" w:rsidRPr="00AD64EE" w:rsidTr="003E57A4">
        <w:tc>
          <w:tcPr>
            <w:tcW w:w="708" w:type="dxa"/>
            <w:tcBorders>
              <w:left w:val="single" w:sz="6" w:space="0" w:color="000000"/>
              <w:bottom w:val="single" w:sz="4" w:space="0" w:color="auto"/>
              <w:right w:val="single" w:sz="6" w:space="0" w:color="000000"/>
            </w:tcBorders>
          </w:tcPr>
          <w:p w:rsidR="00AA1AD0" w:rsidRPr="00AD64EE" w:rsidRDefault="00557699" w:rsidP="00AA1AD0">
            <w:pPr>
              <w:pStyle w:val="naisc"/>
              <w:tabs>
                <w:tab w:val="left" w:pos="45"/>
              </w:tabs>
              <w:spacing w:before="0" w:after="0"/>
              <w:ind w:left="-997" w:firstLine="862"/>
            </w:pPr>
            <w:r w:rsidRPr="00AD64EE">
              <w:t>6</w:t>
            </w:r>
            <w:r w:rsidR="00AA1AD0" w:rsidRPr="00AD64EE">
              <w:t>.</w:t>
            </w:r>
          </w:p>
        </w:tc>
        <w:tc>
          <w:tcPr>
            <w:tcW w:w="3086" w:type="dxa"/>
            <w:gridSpan w:val="2"/>
            <w:tcBorders>
              <w:left w:val="single" w:sz="6" w:space="0" w:color="000000"/>
              <w:bottom w:val="single" w:sz="4" w:space="0" w:color="auto"/>
              <w:right w:val="single" w:sz="6" w:space="0" w:color="000000"/>
            </w:tcBorders>
          </w:tcPr>
          <w:p w:rsidR="00AA1AD0" w:rsidRPr="00AD64EE" w:rsidRDefault="00AA1AD0" w:rsidP="00AA1AD0">
            <w:pPr>
              <w:contextualSpacing/>
              <w:jc w:val="both"/>
              <w:rPr>
                <w:lang w:eastAsia="en-US"/>
              </w:rPr>
            </w:pPr>
            <w:r w:rsidRPr="00AD64EE">
              <w:rPr>
                <w:lang w:eastAsia="en-US"/>
              </w:rPr>
              <w:t>Izteikt 45. panta pirmo teikumu šādā redakcijā:</w:t>
            </w:r>
          </w:p>
          <w:p w:rsidR="00AA1AD0" w:rsidRPr="00AD64EE" w:rsidRDefault="00AA1AD0" w:rsidP="00AA1AD0">
            <w:pPr>
              <w:contextualSpacing/>
              <w:jc w:val="both"/>
              <w:rPr>
                <w:lang w:eastAsia="en-US"/>
              </w:rPr>
            </w:pPr>
            <w:r w:rsidRPr="00AD64EE">
              <w:rPr>
                <w:lang w:eastAsia="en-US"/>
              </w:rPr>
              <w:t xml:space="preserve">"Pusi no valsts budžetā ieskaitītajiem konfiscētajiem noziedzīgi iegūtajiem līdzekļiem saimnieciskajā </w:t>
            </w:r>
            <w:r w:rsidRPr="00AD64EE">
              <w:rPr>
                <w:lang w:eastAsia="en-US"/>
              </w:rPr>
              <w:lastRenderedPageBreak/>
              <w:t>gadā novirza Tieslietu ministrijas atsevišķā budžeta programmā, lai īstenotu nepieciešamos pasākumus finanšu un ekonomisko noziegumu, kā arī organizētās noziedzības apkarošanai, izmeklēšanas iestāžu un</w:t>
            </w:r>
            <w:r w:rsidRPr="00AD64EE">
              <w:rPr>
                <w:rFonts w:ascii="Calibri" w:eastAsia="Calibri" w:hAnsi="Calibri"/>
                <w:lang w:eastAsia="en-US"/>
              </w:rPr>
              <w:t xml:space="preserve"> </w:t>
            </w:r>
            <w:r w:rsidRPr="00AD64EE">
              <w:rPr>
                <w:rFonts w:eastAsia="Calibri"/>
                <w:lang w:eastAsia="en-US"/>
              </w:rPr>
              <w:t>Finanšu</w:t>
            </w:r>
            <w:r w:rsidRPr="00AD64EE">
              <w:rPr>
                <w:rFonts w:ascii="Calibri" w:eastAsia="Calibri" w:hAnsi="Calibri"/>
                <w:lang w:eastAsia="en-US"/>
              </w:rPr>
              <w:t xml:space="preserve"> </w:t>
            </w:r>
            <w:r w:rsidRPr="00AD64EE">
              <w:rPr>
                <w:rFonts w:eastAsia="Calibri"/>
                <w:lang w:eastAsia="en-US"/>
              </w:rPr>
              <w:t xml:space="preserve">izlūkošanas </w:t>
            </w:r>
            <w:r w:rsidRPr="00AD64EE">
              <w:rPr>
                <w:lang w:eastAsia="en-US"/>
              </w:rPr>
              <w:t>dienesta materiāltehniskā nodrošinājuma un infrastruktūras attīstībai un atbalsta sniegšanai noziedzīgos nodarījumos cietušajiem."</w:t>
            </w:r>
          </w:p>
          <w:p w:rsidR="00AA1AD0" w:rsidRPr="00AD64EE" w:rsidRDefault="00AA1AD0" w:rsidP="00AA1AD0">
            <w:pPr>
              <w:contextualSpacing/>
              <w:jc w:val="both"/>
              <w:rPr>
                <w:lang w:eastAsia="en-US"/>
              </w:rPr>
            </w:pPr>
          </w:p>
        </w:tc>
        <w:tc>
          <w:tcPr>
            <w:tcW w:w="4394" w:type="dxa"/>
            <w:tcBorders>
              <w:left w:val="single" w:sz="6" w:space="0" w:color="000000"/>
              <w:bottom w:val="single" w:sz="4" w:space="0" w:color="auto"/>
              <w:right w:val="single" w:sz="6" w:space="0" w:color="000000"/>
            </w:tcBorders>
          </w:tcPr>
          <w:p w:rsidR="00AA1AD0" w:rsidRPr="00AD64EE" w:rsidRDefault="00AA1AD0" w:rsidP="00AA1AD0">
            <w:pPr>
              <w:tabs>
                <w:tab w:val="left" w:pos="7005"/>
              </w:tabs>
              <w:jc w:val="center"/>
              <w:rPr>
                <w:b/>
              </w:rPr>
            </w:pPr>
            <w:r w:rsidRPr="00AD64EE">
              <w:rPr>
                <w:b/>
              </w:rPr>
              <w:lastRenderedPageBreak/>
              <w:t>Ģenerālprokuratūras 16.07.2019. iebildums</w:t>
            </w:r>
          </w:p>
          <w:p w:rsidR="00AA1AD0" w:rsidRPr="00AD64EE" w:rsidRDefault="00AA1AD0" w:rsidP="00AA1AD0">
            <w:pPr>
              <w:tabs>
                <w:tab w:val="left" w:pos="7005"/>
              </w:tabs>
              <w:jc w:val="both"/>
            </w:pPr>
            <w:r w:rsidRPr="00AD64EE">
              <w:t xml:space="preserve">     Likumprojekts paredz izteikt jaunā redakcijā noziedzīgi iegūtas mantas konfiskācijas izpildes likuma 45.panta pirmo teikumu.</w:t>
            </w:r>
          </w:p>
          <w:p w:rsidR="00AA1AD0" w:rsidRPr="00AD64EE" w:rsidRDefault="00AA1AD0" w:rsidP="00AA1AD0">
            <w:pPr>
              <w:pStyle w:val="naisf"/>
              <w:spacing w:before="0" w:after="0"/>
              <w:ind w:firstLine="0"/>
            </w:pPr>
            <w:r w:rsidRPr="00AD64EE">
              <w:rPr>
                <w:vertAlign w:val="superscript"/>
              </w:rPr>
              <w:lastRenderedPageBreak/>
              <w:t xml:space="preserve"> </w:t>
            </w:r>
            <w:r w:rsidRPr="00AD64EE">
              <w:t xml:space="preserve">    Likumprojekta anotācijā norādīts, ka likumprojekts izstrādāts, lai turpmāk Tieslietu ministrijas pamatbudžeta programmai “Noziedzīgi iegūtu līdzekļu konfiskācijas fonds” varētu novirzīt pusi no visiem valsts budžetā ieskaitītajiem konfiscētajiem noziedzīgi iegūtajiem līdzekļiem, nenosakot novirzāmo līdzekļu maksimālo apmēru, kā arī </w:t>
            </w:r>
            <w:r w:rsidRPr="00AD64EE">
              <w:rPr>
                <w:u w:val="single"/>
              </w:rPr>
              <w:t>lai minētajā pamatbudžeta programmā novirzītos līdzekļus varētu izmantot</w:t>
            </w:r>
            <w:r w:rsidRPr="00AD64EE">
              <w:t xml:space="preserve"> organizētās noziedzības apkarošanai un </w:t>
            </w:r>
            <w:r w:rsidRPr="00AD64EE">
              <w:rPr>
                <w:u w:val="single"/>
              </w:rPr>
              <w:t>izmeklēšanas iestāžu un Finanšu izlūkošanas dienesta materiāltehniskā nodrošinājuma un infrastruktūras attīstībai</w:t>
            </w:r>
            <w:r w:rsidRPr="00AD64EE">
              <w:t xml:space="preserve">. Vienlaicīgi anotācijā ir norādīts, ka izmaiņas nepieciešamas, lai Ministru kabineta 2017.gada 19.decembra noteikumu Nr.769 “Tieslietu ministrijas pamatbudžeta programmas “Noziedzīgi iegūtu līdzekļu konfiskācijas fonds” finanšu līdzekļu izmantošanas kārtība” (turpmāk - Noteikumi Nr.769) </w:t>
            </w:r>
            <w:r w:rsidRPr="00AD64EE">
              <w:rPr>
                <w:u w:val="single"/>
              </w:rPr>
              <w:t>6.punktā minētajām iestādēm</w:t>
            </w:r>
            <w:r w:rsidRPr="00AD64EE">
              <w:t xml:space="preserve">, tostarp Iekšlietu ministrijai, </w:t>
            </w:r>
            <w:r w:rsidRPr="00AD64EE">
              <w:rPr>
                <w:u w:val="single"/>
              </w:rPr>
              <w:t>varētu novirzīt vairāk finanšu līdzekļu izmeklēšanas iestāžu un Finanšu izlūkošanas dienesta materiāltehniskā nodrošinājuma un infrastruktūras pilnveidošanai un uzlabošanai</w:t>
            </w:r>
            <w:r w:rsidRPr="00AD64EE">
              <w:t xml:space="preserve">, finanšu un ekonomisko noziegumu, kā arī organizētās noziedzības apkarošanai un atbalsta sniegšanai noziedzīgos nodarījumos cietušajiem. Vēršam uzmanību, ka Noteikumu Nr.769 6.punktā ir minētas ne </w:t>
            </w:r>
            <w:r w:rsidRPr="00AD64EE">
              <w:lastRenderedPageBreak/>
              <w:t>tikai iestādes, kuru padotībā atrodas izmeklēšanas iestādes, bet cita starpā arī prokuratūra, kas nav izmeklēšanas iestāde. Likumprojekta anotācijā nav pamatots, kādēļ Noziedzīgi iegūtas mantas konfiskācijas izpildes likuma 45.pantā ir nepieciešams atsevišķi izdalīt līdzekļu izmantošanas mērķi - materiāltehniskā nodrošinājuma un infrastruktūras attīstībai, jo, mūsuprāt, ievērojot pastāvošo regulējumu, nav konstatējams liegums jau tagad šos līdzekļus izmantot, piemēram, datorprogrammu licenču iegādei vai IT drošības infrastruktūras attīstībai. Tādējādi, izdarot šādus grozījumus, varētu veidoties atšķirīga izpratne par līdzekļu izmantošanas mērķa pieļaujamību, proti, vai iepriekš minēto finanšu līdzekļu izmantošanas iespējas attiecībā uz materiāltehnisko nodrošinājumu un infrastruktūras attīstību attieksies tikai uz izmeklēšanas iestādēm un Finanšu izlūkošanas dienestu, neparedzot šādu finanšu līdzekļu izmantošanas mērķi citām institūcijām, tostarp prokuratūrai, vai uz visām Noteikumu Nr.769 minētajām institūcijām.</w:t>
            </w:r>
          </w:p>
          <w:p w:rsidR="00AA1AD0" w:rsidRPr="00AD64EE" w:rsidRDefault="00AA1AD0" w:rsidP="00AA1AD0">
            <w:pPr>
              <w:pStyle w:val="naisc"/>
              <w:spacing w:before="0" w:after="0"/>
              <w:jc w:val="both"/>
            </w:pPr>
            <w:r w:rsidRPr="00AD64EE">
              <w:t xml:space="preserve">     Ievērojot iepriekš norādīto, mūsuprāt, lai neapgrūtinātu likumprojektā paredzētās normas praktisko piemērošanu un neradītu atšķirīgu tās izpratni, būtu diskutējams jautājums par nepieciešamību Noziedzīgi iegūtas mantas konfiskācijas izpildes likuma 45.pantā atsevišķi izdalīt līdzekļu izmantošanas mērķi -  materiāltehniskā </w:t>
            </w:r>
            <w:r w:rsidRPr="00AD64EE">
              <w:lastRenderedPageBreak/>
              <w:t>nodrošinājuma un infrastruktūras attīstībai. Turklāt iebilstam pret iniciatīvu paredzēt iepriekš minēto līdzekļu izmantošanas iespēju tikai izmeklēšanas iestāžu un Finanšu izlūkošanas dienesta materiāltehniskā nodrošinājuma un infrastruktūras attīstībai, neparedzot šādu iespēju prokuratūrai.</w:t>
            </w:r>
          </w:p>
        </w:tc>
        <w:tc>
          <w:tcPr>
            <w:tcW w:w="3544" w:type="dxa"/>
            <w:gridSpan w:val="2"/>
            <w:tcBorders>
              <w:left w:val="single" w:sz="6" w:space="0" w:color="000000"/>
              <w:bottom w:val="single" w:sz="4" w:space="0" w:color="auto"/>
              <w:right w:val="single" w:sz="6" w:space="0" w:color="000000"/>
            </w:tcBorders>
          </w:tcPr>
          <w:p w:rsidR="00AA1AD0" w:rsidRPr="00AD64EE" w:rsidRDefault="00AA1AD0" w:rsidP="00AA1AD0">
            <w:pPr>
              <w:pStyle w:val="naisc"/>
              <w:spacing w:before="0" w:after="0"/>
              <w:rPr>
                <w:b/>
              </w:rPr>
            </w:pPr>
            <w:r w:rsidRPr="00AD64EE">
              <w:rPr>
                <w:b/>
              </w:rPr>
              <w:lastRenderedPageBreak/>
              <w:t>Ņemts vērā</w:t>
            </w:r>
          </w:p>
          <w:p w:rsidR="00F66DCF" w:rsidRPr="00AD64EE" w:rsidRDefault="00F66DCF" w:rsidP="00AA1AD0">
            <w:pPr>
              <w:pStyle w:val="naisc"/>
              <w:spacing w:before="0" w:after="0"/>
              <w:jc w:val="both"/>
            </w:pPr>
            <w:r w:rsidRPr="00AD64EE">
              <w:t xml:space="preserve">Ņemot vērā, ka jau šobrīd ir iespējams izmantot Konfiskācijas fondā ieskaitītos finanšu līdzekļus iestāžu, kas veic finanšu un ekonomisko noziegumu </w:t>
            </w:r>
            <w:r w:rsidRPr="00AD64EE">
              <w:lastRenderedPageBreak/>
              <w:t>apkarošanu, materiāltehniskā nodrošinājuma un infrastruktūras attīstībai, precizēts likumprojekts un tā sākotnējās ietekmes novērtējuma ziņojums (anotācija).</w:t>
            </w:r>
          </w:p>
          <w:p w:rsidR="00AA1AD0" w:rsidRPr="00AD64EE" w:rsidRDefault="00AA1AD0" w:rsidP="00F66DCF">
            <w:pPr>
              <w:pStyle w:val="naisc"/>
              <w:spacing w:before="0" w:after="0"/>
              <w:jc w:val="both"/>
              <w:rPr>
                <w:b/>
              </w:rPr>
            </w:pPr>
          </w:p>
        </w:tc>
        <w:tc>
          <w:tcPr>
            <w:tcW w:w="2977" w:type="dxa"/>
            <w:tcBorders>
              <w:top w:val="single" w:sz="4" w:space="0" w:color="auto"/>
              <w:left w:val="single" w:sz="4" w:space="0" w:color="auto"/>
              <w:bottom w:val="single" w:sz="4" w:space="0" w:color="auto"/>
            </w:tcBorders>
          </w:tcPr>
          <w:p w:rsidR="00F66DCF" w:rsidRPr="00AD64EE" w:rsidRDefault="00F66DCF" w:rsidP="00F66DCF">
            <w:pPr>
              <w:contextualSpacing/>
              <w:jc w:val="both"/>
              <w:rPr>
                <w:lang w:eastAsia="en-US"/>
              </w:rPr>
            </w:pPr>
            <w:r w:rsidRPr="00AD64EE">
              <w:rPr>
                <w:lang w:eastAsia="en-US"/>
              </w:rPr>
              <w:lastRenderedPageBreak/>
              <w:t xml:space="preserve">Izslēgt 45. pantā vārdus "bet ne vairāk kā divus miljonus </w:t>
            </w:r>
            <w:r w:rsidRPr="00AD64EE">
              <w:rPr>
                <w:i/>
                <w:lang w:eastAsia="en-US"/>
              </w:rPr>
              <w:t>euro</w:t>
            </w:r>
            <w:r w:rsidRPr="00AD64EE">
              <w:rPr>
                <w:lang w:eastAsia="en-US"/>
              </w:rPr>
              <w:t>".</w:t>
            </w:r>
          </w:p>
          <w:p w:rsidR="00AA1AD0" w:rsidRPr="00AD64EE" w:rsidRDefault="00AA1AD0" w:rsidP="00536AB2">
            <w:pPr>
              <w:jc w:val="both"/>
            </w:pPr>
          </w:p>
        </w:tc>
      </w:tr>
      <w:tr w:rsidR="00B34E3F" w:rsidRPr="00AD64EE" w:rsidTr="009C3749">
        <w:tc>
          <w:tcPr>
            <w:tcW w:w="708" w:type="dxa"/>
            <w:tcBorders>
              <w:left w:val="single" w:sz="6" w:space="0" w:color="000000"/>
              <w:bottom w:val="single" w:sz="4" w:space="0" w:color="auto"/>
              <w:right w:val="single" w:sz="6" w:space="0" w:color="000000"/>
            </w:tcBorders>
          </w:tcPr>
          <w:p w:rsidR="00B34E3F" w:rsidRPr="00AD64EE" w:rsidRDefault="00557699" w:rsidP="009C3749">
            <w:pPr>
              <w:pStyle w:val="naisc"/>
              <w:tabs>
                <w:tab w:val="left" w:pos="45"/>
              </w:tabs>
              <w:spacing w:before="0" w:after="0"/>
              <w:ind w:left="-997" w:firstLine="862"/>
            </w:pPr>
            <w:r w:rsidRPr="00AD64EE">
              <w:lastRenderedPageBreak/>
              <w:t>7</w:t>
            </w:r>
            <w:r w:rsidR="00B34E3F" w:rsidRPr="00AD64EE">
              <w:t>.</w:t>
            </w:r>
          </w:p>
        </w:tc>
        <w:tc>
          <w:tcPr>
            <w:tcW w:w="3086" w:type="dxa"/>
            <w:gridSpan w:val="2"/>
            <w:tcBorders>
              <w:left w:val="single" w:sz="6" w:space="0" w:color="000000"/>
              <w:bottom w:val="single" w:sz="4" w:space="0" w:color="auto"/>
              <w:right w:val="single" w:sz="6" w:space="0" w:color="000000"/>
            </w:tcBorders>
          </w:tcPr>
          <w:p w:rsidR="00B34E3F" w:rsidRPr="00AD64EE" w:rsidRDefault="00B34E3F" w:rsidP="009C3749">
            <w:pPr>
              <w:contextualSpacing/>
              <w:jc w:val="both"/>
              <w:rPr>
                <w:lang w:eastAsia="en-US"/>
              </w:rPr>
            </w:pPr>
          </w:p>
          <w:p w:rsidR="00B34E3F" w:rsidRPr="00AD64EE" w:rsidRDefault="00B34E3F" w:rsidP="009C3749">
            <w:pPr>
              <w:contextualSpacing/>
              <w:jc w:val="both"/>
              <w:rPr>
                <w:lang w:eastAsia="en-US"/>
              </w:rPr>
            </w:pPr>
            <w:r w:rsidRPr="00AD64EE">
              <w:rPr>
                <w:lang w:eastAsia="en-US"/>
              </w:rPr>
              <w:t>Likumprojekta anotācijas I sadaļas 2. punkts.</w:t>
            </w:r>
          </w:p>
        </w:tc>
        <w:tc>
          <w:tcPr>
            <w:tcW w:w="4394" w:type="dxa"/>
            <w:tcBorders>
              <w:left w:val="single" w:sz="6" w:space="0" w:color="000000"/>
              <w:bottom w:val="single" w:sz="4" w:space="0" w:color="auto"/>
              <w:right w:val="single" w:sz="6" w:space="0" w:color="000000"/>
            </w:tcBorders>
          </w:tcPr>
          <w:p w:rsidR="00B34E3F" w:rsidRPr="00AD64EE" w:rsidRDefault="00B34E3F" w:rsidP="009C3749">
            <w:pPr>
              <w:tabs>
                <w:tab w:val="left" w:pos="7005"/>
              </w:tabs>
              <w:jc w:val="center"/>
              <w:rPr>
                <w:b/>
              </w:rPr>
            </w:pPr>
            <w:r w:rsidRPr="00AD64EE">
              <w:rPr>
                <w:b/>
              </w:rPr>
              <w:t>Ģenerālprokuratūras 16.08.2019. iebildums</w:t>
            </w:r>
          </w:p>
          <w:p w:rsidR="00B34E3F" w:rsidRPr="00AD64EE" w:rsidRDefault="00B34E3F" w:rsidP="009C3749">
            <w:pPr>
              <w:suppressAutoHyphens/>
              <w:autoSpaceDN w:val="0"/>
              <w:jc w:val="both"/>
              <w:textAlignment w:val="baseline"/>
            </w:pPr>
            <w:r w:rsidRPr="00AD64EE">
              <w:t xml:space="preserve">   Vēršam uzmanību, ka likumprojekta anotācijā vēl aizvien nav pamatots, kādēļ Noziedzīgi iegūtas mantas konfiskācijas izpildes likuma 45.pantā nepieciešams atsevišķi izdalīt līdzekļu izmantošanas mērķi - materiāltehniskā nodrošinājuma un infrastruktūras attīstībai. Mūsuprāt, ievērojot pastāvošo regulējumu, nav konstatējams liegums jau tagad šos līdzekļus izmantot, piemēram, datorprogrammu licenču iegādei vai IT drošības infrastruktūras attīstībai. </w:t>
            </w:r>
          </w:p>
          <w:p w:rsidR="00B34E3F" w:rsidRPr="00AD64EE" w:rsidRDefault="00B34E3F" w:rsidP="009C3749">
            <w:pPr>
              <w:tabs>
                <w:tab w:val="left" w:pos="7005"/>
              </w:tabs>
              <w:jc w:val="both"/>
              <w:rPr>
                <w:b/>
              </w:rPr>
            </w:pPr>
            <w:r w:rsidRPr="00AD64EE">
              <w:t>    Ievērojot iepriekš minēto, likumprojekta anotācijā būtu jānorāda, ka jau tagad tiesībaizsardzības iestādes konfiscētos noziedzīgi iegūtos līdzekļus var izmantot materiāltehniskā nodrošinājuma un infrastruktūras attīstībai.   </w:t>
            </w:r>
          </w:p>
        </w:tc>
        <w:tc>
          <w:tcPr>
            <w:tcW w:w="3544" w:type="dxa"/>
            <w:gridSpan w:val="2"/>
            <w:tcBorders>
              <w:left w:val="single" w:sz="6" w:space="0" w:color="000000"/>
              <w:bottom w:val="single" w:sz="4" w:space="0" w:color="auto"/>
              <w:right w:val="single" w:sz="6" w:space="0" w:color="000000"/>
            </w:tcBorders>
          </w:tcPr>
          <w:p w:rsidR="00B34E3F" w:rsidRPr="00AD64EE" w:rsidRDefault="00B34E3F" w:rsidP="009C3749">
            <w:pPr>
              <w:pStyle w:val="naisc"/>
              <w:spacing w:before="0" w:after="0"/>
              <w:rPr>
                <w:b/>
              </w:rPr>
            </w:pPr>
            <w:r w:rsidRPr="00AD64EE">
              <w:rPr>
                <w:b/>
              </w:rPr>
              <w:t>Ņemts vērā</w:t>
            </w:r>
          </w:p>
          <w:p w:rsidR="00B34E3F" w:rsidRPr="00AD64EE" w:rsidRDefault="00F66DCF" w:rsidP="00F66DCF">
            <w:pPr>
              <w:pStyle w:val="naisc"/>
              <w:spacing w:before="0" w:after="0"/>
              <w:jc w:val="both"/>
            </w:pPr>
            <w:r w:rsidRPr="00AD64EE">
              <w:t>Ņemot vērā, ka jau šobrīd ir iespējams izmantot Konfiskācijas fondā ieskaitītos finanšu līdzekļus iestāžu, kas veic finanšu un ekonomisko noziegumu apkarošanu, materiāltehniskā nodrošinājuma un infrastruktūras attīstībai, precizēts likumprojekts un tā sākotnējās ietekmes novērtējuma ziņojums (anotācija).</w:t>
            </w:r>
          </w:p>
        </w:tc>
        <w:tc>
          <w:tcPr>
            <w:tcW w:w="2977" w:type="dxa"/>
            <w:tcBorders>
              <w:top w:val="single" w:sz="4" w:space="0" w:color="auto"/>
              <w:left w:val="single" w:sz="4" w:space="0" w:color="auto"/>
              <w:bottom w:val="single" w:sz="4" w:space="0" w:color="auto"/>
            </w:tcBorders>
          </w:tcPr>
          <w:p w:rsidR="00F66DCF" w:rsidRPr="00AD64EE" w:rsidRDefault="00F66DCF" w:rsidP="00F66DCF">
            <w:pPr>
              <w:contextualSpacing/>
              <w:jc w:val="both"/>
              <w:rPr>
                <w:lang w:eastAsia="en-US"/>
              </w:rPr>
            </w:pPr>
            <w:r w:rsidRPr="00AD64EE">
              <w:rPr>
                <w:lang w:eastAsia="en-US"/>
              </w:rPr>
              <w:t xml:space="preserve">Izslēgt 45. pantā vārdus "bet ne vairāk kā divus miljonus </w:t>
            </w:r>
            <w:r w:rsidRPr="00AD64EE">
              <w:rPr>
                <w:i/>
                <w:lang w:eastAsia="en-US"/>
              </w:rPr>
              <w:t>euro</w:t>
            </w:r>
            <w:r w:rsidRPr="00AD64EE">
              <w:rPr>
                <w:lang w:eastAsia="en-US"/>
              </w:rPr>
              <w:t>".</w:t>
            </w:r>
          </w:p>
          <w:p w:rsidR="00B34E3F" w:rsidRPr="00AD64EE" w:rsidRDefault="00B34E3F" w:rsidP="009C3749">
            <w:pPr>
              <w:jc w:val="both"/>
            </w:pPr>
          </w:p>
        </w:tc>
      </w:tr>
      <w:tr w:rsidR="00AA1AD0" w:rsidRPr="00AD64EE" w:rsidTr="003E57A4">
        <w:tc>
          <w:tcPr>
            <w:tcW w:w="708" w:type="dxa"/>
            <w:tcBorders>
              <w:left w:val="single" w:sz="6" w:space="0" w:color="000000"/>
              <w:bottom w:val="single" w:sz="4" w:space="0" w:color="auto"/>
              <w:right w:val="single" w:sz="6" w:space="0" w:color="000000"/>
            </w:tcBorders>
          </w:tcPr>
          <w:p w:rsidR="00AA1AD0" w:rsidRPr="00AD64EE" w:rsidRDefault="00557699" w:rsidP="00AA1AD0">
            <w:pPr>
              <w:pStyle w:val="naisc"/>
              <w:spacing w:before="0" w:after="0"/>
              <w:ind w:left="-735" w:firstLine="720"/>
            </w:pPr>
            <w:r w:rsidRPr="00AD64EE">
              <w:t>8</w:t>
            </w:r>
            <w:r w:rsidR="00AA1AD0" w:rsidRPr="00AD64EE">
              <w:t>.</w:t>
            </w:r>
          </w:p>
        </w:tc>
        <w:tc>
          <w:tcPr>
            <w:tcW w:w="3086" w:type="dxa"/>
            <w:gridSpan w:val="2"/>
            <w:tcBorders>
              <w:left w:val="single" w:sz="6" w:space="0" w:color="000000"/>
              <w:bottom w:val="single" w:sz="4" w:space="0" w:color="auto"/>
              <w:right w:val="single" w:sz="6" w:space="0" w:color="000000"/>
            </w:tcBorders>
          </w:tcPr>
          <w:p w:rsidR="00AA1AD0" w:rsidRPr="00AD64EE" w:rsidRDefault="00AA1AD0" w:rsidP="00AA1AD0">
            <w:pPr>
              <w:pStyle w:val="naisc"/>
              <w:spacing w:before="0" w:after="0"/>
              <w:jc w:val="both"/>
              <w:rPr>
                <w:iCs/>
              </w:rPr>
            </w:pPr>
            <w:r w:rsidRPr="00AD64EE">
              <w:rPr>
                <w:iCs/>
              </w:rPr>
              <w:t>Likumprojekta anotācijas I sadaļas 2. punktā norādītais:</w:t>
            </w:r>
          </w:p>
          <w:p w:rsidR="00AA1AD0" w:rsidRPr="00AD64EE" w:rsidRDefault="00AA1AD0" w:rsidP="00AA1AD0">
            <w:pPr>
              <w:pStyle w:val="naisc"/>
              <w:spacing w:before="0" w:after="0"/>
              <w:jc w:val="both"/>
            </w:pPr>
            <w:r w:rsidRPr="00AD64EE">
              <w:rPr>
                <w:iCs/>
              </w:rPr>
              <w:t xml:space="preserve">“Pašreiz Noziedzīgi iegūtas mantas konfiskācijas izpildes likuma 45. pants paredz, ka pusi no valsts budžetā </w:t>
            </w:r>
            <w:r w:rsidRPr="00AD64EE">
              <w:rPr>
                <w:iCs/>
              </w:rPr>
              <w:lastRenderedPageBreak/>
              <w:t xml:space="preserve">ieskaitītajiem konfiscētajiem noziedzīgi iegūtajiem līdzekļiem, bet ne vairāk kā divus miljonus </w:t>
            </w:r>
            <w:r w:rsidRPr="00AD64EE">
              <w:rPr>
                <w:i/>
                <w:iCs/>
              </w:rPr>
              <w:t>euro</w:t>
            </w:r>
            <w:r w:rsidRPr="00AD64EE">
              <w:rPr>
                <w:iCs/>
              </w:rPr>
              <w:t xml:space="preserve"> saimnieciskajā gadā novirza Tieslietu ministrijas atsevišķā budžeta programmā. Līdz ar to ir noteikts ierobežojums, ka vairāk kā divus miljonus </w:t>
            </w:r>
            <w:r w:rsidRPr="00AD64EE">
              <w:rPr>
                <w:i/>
                <w:iCs/>
              </w:rPr>
              <w:t>euro</w:t>
            </w:r>
            <w:r w:rsidRPr="00AD64EE">
              <w:rPr>
                <w:iCs/>
              </w:rPr>
              <w:t xml:space="preserve"> saimnieciskajā gadā var novirzīt minētajā budžeta programmā.”</w:t>
            </w:r>
          </w:p>
        </w:tc>
        <w:tc>
          <w:tcPr>
            <w:tcW w:w="4394" w:type="dxa"/>
            <w:tcBorders>
              <w:left w:val="single" w:sz="6" w:space="0" w:color="000000"/>
              <w:bottom w:val="single" w:sz="4" w:space="0" w:color="auto"/>
              <w:right w:val="single" w:sz="6" w:space="0" w:color="000000"/>
            </w:tcBorders>
          </w:tcPr>
          <w:p w:rsidR="00AA1AD0" w:rsidRPr="00AD64EE" w:rsidRDefault="00AA1AD0" w:rsidP="00AA1AD0">
            <w:pPr>
              <w:spacing w:after="120"/>
              <w:jc w:val="center"/>
              <w:rPr>
                <w:b/>
                <w:lang w:eastAsia="en-US"/>
              </w:rPr>
            </w:pPr>
            <w:r w:rsidRPr="00AD64EE">
              <w:rPr>
                <w:b/>
                <w:lang w:eastAsia="en-US"/>
              </w:rPr>
              <w:lastRenderedPageBreak/>
              <w:t>Finanšu ministrijas 19.07.2019. iebildums</w:t>
            </w:r>
          </w:p>
          <w:p w:rsidR="00AA1AD0" w:rsidRPr="00AD64EE" w:rsidRDefault="00AA1AD0" w:rsidP="00AA1AD0">
            <w:pPr>
              <w:tabs>
                <w:tab w:val="left" w:pos="7005"/>
              </w:tabs>
              <w:jc w:val="both"/>
              <w:rPr>
                <w:b/>
              </w:rPr>
            </w:pPr>
            <w:r w:rsidRPr="00AD64EE">
              <w:rPr>
                <w:bCs/>
                <w:lang w:eastAsia="en-US"/>
              </w:rPr>
              <w:t xml:space="preserve">     Anotācijas I sadaļas 2.punktā (3.lpp) ir rakstīts “Pašreiz Noziedzīgi iegūtas mantas konfiskācijas izpildes likuma 45. pants paredz, ka pusi no valsts budžetā </w:t>
            </w:r>
            <w:r w:rsidRPr="00AD64EE">
              <w:rPr>
                <w:bCs/>
                <w:lang w:eastAsia="en-US"/>
              </w:rPr>
              <w:lastRenderedPageBreak/>
              <w:t xml:space="preserve">ieskaitītajiem konfiscētajiem noziedzīgi iegūtajiem līdzekļiem, bet ne vairāk kā divus miljonus </w:t>
            </w:r>
            <w:r w:rsidRPr="00AD64EE">
              <w:rPr>
                <w:bCs/>
                <w:i/>
                <w:lang w:eastAsia="en-US"/>
              </w:rPr>
              <w:t>euro</w:t>
            </w:r>
            <w:r w:rsidRPr="00AD64EE">
              <w:rPr>
                <w:bCs/>
                <w:lang w:eastAsia="en-US"/>
              </w:rPr>
              <w:t xml:space="preserve"> saimnieciskajā gadā novirza Tieslietu ministrijas atsevišķā budžeta programmā. Līdz ar to ir noteikts ierobežojums, ka vairāk kā divus miljonus </w:t>
            </w:r>
            <w:r w:rsidRPr="00AD64EE">
              <w:rPr>
                <w:bCs/>
                <w:i/>
                <w:lang w:eastAsia="en-US"/>
              </w:rPr>
              <w:t>euro</w:t>
            </w:r>
            <w:r w:rsidRPr="00AD64EE">
              <w:rPr>
                <w:bCs/>
                <w:lang w:eastAsia="en-US"/>
              </w:rPr>
              <w:t xml:space="preserve"> saimnieciskajā gadā var novirzīt minētajā budžeta programmā.” Vēršam uzmanību, ka otrais teikums ir pretrunā pirmajam teikumam;</w:t>
            </w:r>
          </w:p>
        </w:tc>
        <w:tc>
          <w:tcPr>
            <w:tcW w:w="3544" w:type="dxa"/>
            <w:gridSpan w:val="2"/>
            <w:tcBorders>
              <w:left w:val="single" w:sz="6" w:space="0" w:color="000000"/>
              <w:bottom w:val="single" w:sz="4" w:space="0" w:color="auto"/>
              <w:right w:val="single" w:sz="6" w:space="0" w:color="000000"/>
            </w:tcBorders>
          </w:tcPr>
          <w:p w:rsidR="00AA1AD0" w:rsidRPr="00AD64EE" w:rsidRDefault="00AA1AD0" w:rsidP="00AA1AD0">
            <w:pPr>
              <w:pStyle w:val="naisc"/>
              <w:spacing w:before="0" w:after="0"/>
              <w:rPr>
                <w:b/>
              </w:rPr>
            </w:pPr>
            <w:r w:rsidRPr="00AD64EE">
              <w:rPr>
                <w:b/>
              </w:rPr>
              <w:lastRenderedPageBreak/>
              <w:t>Ņemts vērā</w:t>
            </w:r>
          </w:p>
          <w:p w:rsidR="00AA1AD0" w:rsidRPr="00AD64EE" w:rsidRDefault="00AA1AD0" w:rsidP="00AA1AD0">
            <w:pPr>
              <w:pStyle w:val="naisc"/>
              <w:spacing w:before="0" w:after="0"/>
              <w:jc w:val="both"/>
            </w:pPr>
          </w:p>
        </w:tc>
        <w:tc>
          <w:tcPr>
            <w:tcW w:w="2977" w:type="dxa"/>
            <w:tcBorders>
              <w:top w:val="single" w:sz="4" w:space="0" w:color="auto"/>
              <w:left w:val="single" w:sz="4" w:space="0" w:color="auto"/>
              <w:bottom w:val="single" w:sz="4" w:space="0" w:color="auto"/>
            </w:tcBorders>
          </w:tcPr>
          <w:p w:rsidR="00AA1AD0" w:rsidRPr="00AD64EE" w:rsidRDefault="00AA1AD0" w:rsidP="00AA1AD0">
            <w:pPr>
              <w:jc w:val="both"/>
              <w:rPr>
                <w:iCs/>
              </w:rPr>
            </w:pPr>
            <w:r w:rsidRPr="00AD64EE">
              <w:rPr>
                <w:iCs/>
              </w:rPr>
              <w:t>Likumprojekta anotācijas I sadaļas 2. punktā norādītais:</w:t>
            </w:r>
          </w:p>
          <w:p w:rsidR="00AA1AD0" w:rsidRPr="00AD64EE" w:rsidRDefault="00AA1AD0" w:rsidP="00AA1AD0">
            <w:pPr>
              <w:jc w:val="both"/>
            </w:pPr>
            <w:r w:rsidRPr="00AD64EE">
              <w:rPr>
                <w:iCs/>
              </w:rPr>
              <w:t xml:space="preserve">“Pašreiz Noziedzīgi iegūtas mantas konfiskācijas izpildes likuma 45. pants </w:t>
            </w:r>
            <w:r w:rsidRPr="00AD64EE">
              <w:rPr>
                <w:iCs/>
              </w:rPr>
              <w:lastRenderedPageBreak/>
              <w:t xml:space="preserve">paredz, ka pusi no valsts budžetā ieskaitītajiem konfiscētajiem noziedzīgi iegūtajiem līdzekļiem, bet ne vairāk kā divus miljonus </w:t>
            </w:r>
            <w:r w:rsidRPr="00AD64EE">
              <w:rPr>
                <w:i/>
                <w:iCs/>
              </w:rPr>
              <w:t>euro</w:t>
            </w:r>
            <w:r w:rsidRPr="00AD64EE">
              <w:rPr>
                <w:iCs/>
              </w:rPr>
              <w:t xml:space="preserve"> saimnieciskajā gadā novirza Tieslietu ministrijas atsevišķā budžeta programmā. Līdz ar to ir noteikts ierobežojums, ka ne vairāk kā divus miljonus </w:t>
            </w:r>
            <w:r w:rsidRPr="00AD64EE">
              <w:rPr>
                <w:i/>
                <w:iCs/>
              </w:rPr>
              <w:t>euro</w:t>
            </w:r>
            <w:r w:rsidRPr="00AD64EE">
              <w:rPr>
                <w:iCs/>
              </w:rPr>
              <w:t xml:space="preserve"> saimnieciskajā gadā var novirzīt minētajā budžeta programmā.”</w:t>
            </w:r>
          </w:p>
        </w:tc>
      </w:tr>
      <w:tr w:rsidR="00AA1AD0" w:rsidRPr="00AD64EE" w:rsidTr="003E57A4">
        <w:tc>
          <w:tcPr>
            <w:tcW w:w="708" w:type="dxa"/>
            <w:tcBorders>
              <w:left w:val="single" w:sz="6" w:space="0" w:color="000000"/>
              <w:bottom w:val="single" w:sz="4" w:space="0" w:color="auto"/>
              <w:right w:val="single" w:sz="6" w:space="0" w:color="000000"/>
            </w:tcBorders>
          </w:tcPr>
          <w:p w:rsidR="00AA1AD0" w:rsidRPr="00AD64EE" w:rsidRDefault="00557699" w:rsidP="00AA1AD0">
            <w:pPr>
              <w:pStyle w:val="naisc"/>
              <w:spacing w:before="0" w:after="0"/>
              <w:ind w:left="-750" w:firstLine="720"/>
            </w:pPr>
            <w:r w:rsidRPr="00AD64EE">
              <w:lastRenderedPageBreak/>
              <w:t>9</w:t>
            </w:r>
            <w:r w:rsidR="00AA1AD0" w:rsidRPr="00AD64EE">
              <w:t>.</w:t>
            </w:r>
          </w:p>
        </w:tc>
        <w:tc>
          <w:tcPr>
            <w:tcW w:w="3086" w:type="dxa"/>
            <w:gridSpan w:val="2"/>
            <w:tcBorders>
              <w:left w:val="single" w:sz="6" w:space="0" w:color="000000"/>
              <w:bottom w:val="single" w:sz="4" w:space="0" w:color="auto"/>
              <w:right w:val="single" w:sz="6" w:space="0" w:color="000000"/>
            </w:tcBorders>
          </w:tcPr>
          <w:p w:rsidR="00AA1AD0" w:rsidRPr="00AD64EE" w:rsidRDefault="00AA1AD0" w:rsidP="00AA1AD0">
            <w:pPr>
              <w:pStyle w:val="naisc"/>
              <w:spacing w:before="0" w:after="0"/>
              <w:jc w:val="both"/>
              <w:rPr>
                <w:iCs/>
              </w:rPr>
            </w:pPr>
            <w:r w:rsidRPr="00AD64EE">
              <w:rPr>
                <w:iCs/>
              </w:rPr>
              <w:t>Likumprojekta anotācijas I sadaļas 2. punktā norādītais:</w:t>
            </w:r>
          </w:p>
          <w:p w:rsidR="00AA1AD0" w:rsidRPr="00AD64EE" w:rsidRDefault="00AA1AD0" w:rsidP="00AA1AD0">
            <w:pPr>
              <w:pStyle w:val="naisc"/>
              <w:spacing w:before="0" w:after="0"/>
              <w:jc w:val="both"/>
            </w:pPr>
            <w:r w:rsidRPr="00AD64EE">
              <w:rPr>
                <w:iCs/>
              </w:rPr>
              <w:t>“Turklāt saskaņā ar Ministru kabineta 2016. gada 6. aprīļa rīkojumu Nr. 248 apstiprināto Valsts policijas attīstības koncepciju noziedzīgi iegūtu līdzekļu konfiskācija ir ļoti efektīvs organizētās noziedzības veids.”</w:t>
            </w:r>
          </w:p>
        </w:tc>
        <w:tc>
          <w:tcPr>
            <w:tcW w:w="4394" w:type="dxa"/>
            <w:tcBorders>
              <w:left w:val="single" w:sz="6" w:space="0" w:color="000000"/>
              <w:bottom w:val="single" w:sz="4" w:space="0" w:color="auto"/>
              <w:right w:val="single" w:sz="6" w:space="0" w:color="000000"/>
            </w:tcBorders>
          </w:tcPr>
          <w:p w:rsidR="00AA1AD0" w:rsidRPr="00AD64EE" w:rsidRDefault="00AA1AD0" w:rsidP="00AA1AD0">
            <w:pPr>
              <w:spacing w:after="120"/>
              <w:jc w:val="center"/>
              <w:rPr>
                <w:b/>
                <w:lang w:eastAsia="en-US"/>
              </w:rPr>
            </w:pPr>
            <w:r w:rsidRPr="00AD64EE">
              <w:rPr>
                <w:b/>
                <w:lang w:eastAsia="en-US"/>
              </w:rPr>
              <w:t>Finanšu ministrijas 19.07.2019. iebildums</w:t>
            </w:r>
          </w:p>
          <w:p w:rsidR="00AA1AD0" w:rsidRPr="00AD64EE" w:rsidRDefault="00AA1AD0" w:rsidP="00AA1AD0">
            <w:pPr>
              <w:jc w:val="both"/>
              <w:rPr>
                <w:bCs/>
                <w:lang w:eastAsia="en-US"/>
              </w:rPr>
            </w:pPr>
            <w:r w:rsidRPr="00AD64EE">
              <w:rPr>
                <w:bCs/>
                <w:lang w:eastAsia="en-US"/>
              </w:rPr>
              <w:t xml:space="preserve">     Anotācijas I sadaļas 2.punktā (4.lpp) ir rakstīts “Turklāt saskaņā ar Ministru kabineta 2016.gada 6.aprīļa rīkojumu Nr.248 apstiprināto Valsts policijas attīstības koncepciju noziedzīgi iegūtu līdzekļu konfiskācija ir ļoti efektīvs organizētās noziedzības veids.” Konfiskācija varētu būt  efektīvs noziedzības apkarošanas veids, ne – noziedzības veids. </w:t>
            </w:r>
          </w:p>
        </w:tc>
        <w:tc>
          <w:tcPr>
            <w:tcW w:w="3544" w:type="dxa"/>
            <w:gridSpan w:val="2"/>
            <w:tcBorders>
              <w:left w:val="single" w:sz="6" w:space="0" w:color="000000"/>
              <w:bottom w:val="single" w:sz="4" w:space="0" w:color="auto"/>
              <w:right w:val="single" w:sz="6" w:space="0" w:color="000000"/>
            </w:tcBorders>
          </w:tcPr>
          <w:p w:rsidR="00AA1AD0" w:rsidRPr="00AD64EE" w:rsidRDefault="00AA1AD0" w:rsidP="00AA1AD0">
            <w:pPr>
              <w:pStyle w:val="naisc"/>
              <w:spacing w:before="0" w:after="0"/>
              <w:rPr>
                <w:b/>
              </w:rPr>
            </w:pPr>
            <w:r w:rsidRPr="00AD64EE">
              <w:rPr>
                <w:b/>
              </w:rPr>
              <w:t>Ņemts vērā</w:t>
            </w:r>
          </w:p>
          <w:p w:rsidR="00AA1AD0" w:rsidRPr="00AD64EE" w:rsidRDefault="00AA1AD0" w:rsidP="00AA1AD0">
            <w:pPr>
              <w:pStyle w:val="naisc"/>
              <w:spacing w:before="0" w:after="0"/>
              <w:jc w:val="both"/>
            </w:pPr>
          </w:p>
        </w:tc>
        <w:tc>
          <w:tcPr>
            <w:tcW w:w="2977" w:type="dxa"/>
            <w:tcBorders>
              <w:top w:val="single" w:sz="4" w:space="0" w:color="auto"/>
              <w:left w:val="single" w:sz="4" w:space="0" w:color="auto"/>
              <w:bottom w:val="single" w:sz="4" w:space="0" w:color="auto"/>
            </w:tcBorders>
          </w:tcPr>
          <w:p w:rsidR="00AA1AD0" w:rsidRPr="00AD64EE" w:rsidRDefault="00AA1AD0" w:rsidP="00AA1AD0">
            <w:pPr>
              <w:jc w:val="both"/>
            </w:pPr>
            <w:r w:rsidRPr="00AD64EE">
              <w:rPr>
                <w:iCs/>
              </w:rPr>
              <w:t>Likumprojekta anotācijas I sadaļas 2. punktā norādītais:</w:t>
            </w:r>
          </w:p>
          <w:p w:rsidR="00AA1AD0" w:rsidRPr="00AD64EE" w:rsidRDefault="00AA1AD0" w:rsidP="00AA1AD0">
            <w:pPr>
              <w:jc w:val="both"/>
            </w:pPr>
            <w:r w:rsidRPr="00AD64EE">
              <w:t>“Turklāt saskaņā ar Ministru kabineta 2016. gada 6. aprīļa rīkojumu Nr. 248 apstiprināto Valsts policijas attīstības koncepciju noziedzīgi iegūtu līdzekļu konfiskācija ir ļoti efektīvs organizētās noziedzības apkarošanas veids.”</w:t>
            </w:r>
          </w:p>
        </w:tc>
      </w:tr>
      <w:tr w:rsidR="00AA1AD0" w:rsidRPr="00AD64EE" w:rsidTr="003E57A4">
        <w:tc>
          <w:tcPr>
            <w:tcW w:w="708" w:type="dxa"/>
            <w:tcBorders>
              <w:left w:val="single" w:sz="6" w:space="0" w:color="000000"/>
              <w:bottom w:val="single" w:sz="4" w:space="0" w:color="auto"/>
              <w:right w:val="single" w:sz="6" w:space="0" w:color="000000"/>
            </w:tcBorders>
          </w:tcPr>
          <w:p w:rsidR="00AA1AD0" w:rsidRPr="00AD64EE" w:rsidRDefault="00557699" w:rsidP="00AA1AD0">
            <w:pPr>
              <w:pStyle w:val="naisc"/>
              <w:tabs>
                <w:tab w:val="left" w:pos="45"/>
              </w:tabs>
              <w:spacing w:before="0" w:after="0"/>
              <w:ind w:left="-997" w:firstLine="862"/>
            </w:pPr>
            <w:r w:rsidRPr="00AD64EE">
              <w:t>10</w:t>
            </w:r>
            <w:r w:rsidR="00AA1AD0" w:rsidRPr="00AD64EE">
              <w:t>.</w:t>
            </w:r>
          </w:p>
        </w:tc>
        <w:tc>
          <w:tcPr>
            <w:tcW w:w="3086" w:type="dxa"/>
            <w:gridSpan w:val="2"/>
            <w:tcBorders>
              <w:left w:val="single" w:sz="6" w:space="0" w:color="000000"/>
              <w:bottom w:val="single" w:sz="4" w:space="0" w:color="auto"/>
              <w:right w:val="single" w:sz="6" w:space="0" w:color="000000"/>
            </w:tcBorders>
          </w:tcPr>
          <w:p w:rsidR="00AA1AD0" w:rsidRPr="00AD64EE" w:rsidRDefault="00AA1AD0" w:rsidP="00AA1AD0">
            <w:pPr>
              <w:contextualSpacing/>
              <w:jc w:val="both"/>
              <w:rPr>
                <w:lang w:eastAsia="en-US"/>
              </w:rPr>
            </w:pPr>
            <w:r w:rsidRPr="00AD64EE">
              <w:rPr>
                <w:lang w:eastAsia="en-US"/>
              </w:rPr>
              <w:t>Likumprojekta anotācijas III sadaļa</w:t>
            </w:r>
          </w:p>
          <w:p w:rsidR="00AA1AD0" w:rsidRPr="00AD64EE" w:rsidRDefault="00AA1AD0" w:rsidP="00AA1AD0">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AA1AD0" w:rsidRPr="00AD64EE" w:rsidRDefault="00AA1AD0" w:rsidP="00AA1AD0">
            <w:pPr>
              <w:pStyle w:val="naisc"/>
              <w:spacing w:before="0" w:after="0"/>
              <w:rPr>
                <w:rFonts w:eastAsia="Calibri"/>
                <w:b/>
                <w:lang w:eastAsia="en-US"/>
              </w:rPr>
            </w:pPr>
            <w:r w:rsidRPr="00AD64EE">
              <w:rPr>
                <w:rFonts w:eastAsia="Calibri"/>
                <w:b/>
                <w:lang w:eastAsia="en-US"/>
              </w:rPr>
              <w:t>Tieslietu ministrijas 15.07.2019. iebildums</w:t>
            </w:r>
          </w:p>
          <w:p w:rsidR="00AA1AD0" w:rsidRPr="00AD64EE" w:rsidRDefault="00AA1AD0" w:rsidP="00AA1AD0">
            <w:pPr>
              <w:tabs>
                <w:tab w:val="left" w:pos="7005"/>
              </w:tabs>
              <w:jc w:val="both"/>
              <w:rPr>
                <w:b/>
                <w:bCs/>
                <w:lang w:eastAsia="en-US"/>
              </w:rPr>
            </w:pPr>
            <w:r w:rsidRPr="00AD64EE">
              <w:rPr>
                <w:rFonts w:eastAsia="Calibri"/>
                <w:lang w:eastAsia="en-US"/>
              </w:rPr>
              <w:t xml:space="preserve">     Ir nepieciešams aizpildīt anotācijas III sadaļu </w:t>
            </w:r>
            <w:r w:rsidRPr="00AD64EE">
              <w:rPr>
                <w:iCs/>
              </w:rPr>
              <w:t>Tiesību akta projekta ietekme uz valsts budžetu un pašvaldību budžetiem, ņemot vērā, ka likumprojekts paredz nenoteikt novirzāmo līdzekļu maksimālo apmēru, tam ir ietekme uz valsts budžetu.</w:t>
            </w:r>
          </w:p>
        </w:tc>
        <w:tc>
          <w:tcPr>
            <w:tcW w:w="3544" w:type="dxa"/>
            <w:gridSpan w:val="2"/>
            <w:tcBorders>
              <w:left w:val="single" w:sz="6" w:space="0" w:color="000000"/>
              <w:bottom w:val="single" w:sz="4" w:space="0" w:color="auto"/>
              <w:right w:val="single" w:sz="6" w:space="0" w:color="000000"/>
            </w:tcBorders>
          </w:tcPr>
          <w:p w:rsidR="00AA1AD0" w:rsidRPr="00AD64EE" w:rsidRDefault="00AA1AD0" w:rsidP="00AA1AD0">
            <w:pPr>
              <w:pStyle w:val="naisc"/>
              <w:spacing w:before="0" w:after="0"/>
              <w:rPr>
                <w:b/>
              </w:rPr>
            </w:pPr>
            <w:r w:rsidRPr="00AD64EE">
              <w:rPr>
                <w:b/>
              </w:rPr>
              <w:t>Ņemts vērā</w:t>
            </w:r>
          </w:p>
          <w:p w:rsidR="00AA1AD0" w:rsidRPr="00AD64EE" w:rsidRDefault="00AA1AD0" w:rsidP="00AA1AD0">
            <w:pPr>
              <w:pStyle w:val="naisc"/>
              <w:spacing w:before="0" w:after="0"/>
              <w:rPr>
                <w:b/>
              </w:rPr>
            </w:pPr>
          </w:p>
        </w:tc>
        <w:tc>
          <w:tcPr>
            <w:tcW w:w="2977" w:type="dxa"/>
            <w:tcBorders>
              <w:top w:val="single" w:sz="4" w:space="0" w:color="auto"/>
              <w:left w:val="single" w:sz="4" w:space="0" w:color="auto"/>
              <w:bottom w:val="single" w:sz="4" w:space="0" w:color="auto"/>
            </w:tcBorders>
          </w:tcPr>
          <w:p w:rsidR="00AA1AD0" w:rsidRPr="00AD64EE" w:rsidRDefault="00AA1AD0" w:rsidP="00AA1AD0">
            <w:pPr>
              <w:jc w:val="both"/>
            </w:pPr>
            <w:r w:rsidRPr="00AD64EE">
              <w:t>Aizpildīta likumprojekta anotācijas III sadaļa.</w:t>
            </w:r>
          </w:p>
          <w:p w:rsidR="00AA1AD0" w:rsidRPr="00AD64EE" w:rsidRDefault="00AA1AD0" w:rsidP="00AA1AD0">
            <w:pPr>
              <w:jc w:val="both"/>
              <w:rPr>
                <w:iCs/>
              </w:rPr>
            </w:pPr>
            <w:r w:rsidRPr="00AD64EE">
              <w:t>Sagatavots Ministru kabineta protokollēmuma projekts.</w:t>
            </w:r>
          </w:p>
        </w:tc>
      </w:tr>
      <w:tr w:rsidR="00786190" w:rsidRPr="00AD64EE" w:rsidTr="003E57A4">
        <w:tc>
          <w:tcPr>
            <w:tcW w:w="708" w:type="dxa"/>
            <w:tcBorders>
              <w:left w:val="single" w:sz="6" w:space="0" w:color="000000"/>
              <w:bottom w:val="single" w:sz="4" w:space="0" w:color="auto"/>
              <w:right w:val="single" w:sz="6" w:space="0" w:color="000000"/>
            </w:tcBorders>
          </w:tcPr>
          <w:p w:rsidR="00786190" w:rsidRPr="00AD64EE" w:rsidRDefault="00557699" w:rsidP="00AA1AD0">
            <w:pPr>
              <w:pStyle w:val="naisc"/>
              <w:tabs>
                <w:tab w:val="left" w:pos="45"/>
              </w:tabs>
              <w:spacing w:before="0" w:after="0"/>
              <w:ind w:left="-997" w:firstLine="862"/>
            </w:pPr>
            <w:r w:rsidRPr="00AD64EE">
              <w:lastRenderedPageBreak/>
              <w:t>11</w:t>
            </w:r>
            <w:r w:rsidR="00786190" w:rsidRPr="00AD64EE">
              <w:t>.</w:t>
            </w:r>
          </w:p>
        </w:tc>
        <w:tc>
          <w:tcPr>
            <w:tcW w:w="3086" w:type="dxa"/>
            <w:gridSpan w:val="2"/>
            <w:tcBorders>
              <w:left w:val="single" w:sz="6" w:space="0" w:color="000000"/>
              <w:bottom w:val="single" w:sz="4" w:space="0" w:color="auto"/>
              <w:right w:val="single" w:sz="6" w:space="0" w:color="000000"/>
            </w:tcBorders>
          </w:tcPr>
          <w:p w:rsidR="00786190" w:rsidRPr="00AD64EE" w:rsidRDefault="00786190" w:rsidP="00786190">
            <w:pPr>
              <w:contextualSpacing/>
              <w:jc w:val="both"/>
              <w:rPr>
                <w:lang w:eastAsia="en-US"/>
              </w:rPr>
            </w:pPr>
            <w:r w:rsidRPr="00AD64EE">
              <w:rPr>
                <w:lang w:eastAsia="en-US"/>
              </w:rPr>
              <w:t>Likumprojekta anotācijas IV sadaļas 1. punktā norādītais:</w:t>
            </w:r>
          </w:p>
          <w:p w:rsidR="00786190" w:rsidRPr="00AD64EE" w:rsidRDefault="00786190" w:rsidP="00786190">
            <w:pPr>
              <w:contextualSpacing/>
              <w:jc w:val="both"/>
              <w:rPr>
                <w:lang w:eastAsia="en-US"/>
              </w:rPr>
            </w:pPr>
            <w:r w:rsidRPr="00AD64EE">
              <w:rPr>
                <w:lang w:eastAsia="en-US"/>
              </w:rPr>
              <w:t xml:space="preserve">“Tāpat Noteikumu Nr.769 8.punkts nosaka, ka pasākuma īstenošanas termiņš nav ilgāks par 12 mēnešiem no līdzekļu saņemšanas dienas. Ņemot vērā, ka likumprojekts paplašina no Tieslietu ministrijas pamatbudžeta programmas “Noziedzīgi iegūtu līdzekļu konfiskācijas fonds” finansējamo pasākumu loku, lai būtu iespējams finanšu līdzekļus izmantot materiāltehniskā nodrošinājuma un infrastruktūras attīstībai, proti pasākumiem, kuru ieviešana varētu pārsniegt 12 mēnešus,   nepieciešams pagarināt pasākumu īstenošanas termiņu. Par konkrētu pagarinājumu vienošanās tiks panākta grozījumu Noteikumos Nr.769  projekta sagatavošanas laikā, izvērtējot reālos preču, pakalpojumu vai darbu izpildes termiņus no brīža, kad piešķirts finansējums. Līdz ar to nepieciešams </w:t>
            </w:r>
            <w:r w:rsidRPr="00AD64EE">
              <w:rPr>
                <w:lang w:eastAsia="en-US"/>
              </w:rPr>
              <w:lastRenderedPageBreak/>
              <w:t>izdarīt attiecīgu grozījumu arī Noteikumu Nr.769 8.punktā.”</w:t>
            </w:r>
          </w:p>
        </w:tc>
        <w:tc>
          <w:tcPr>
            <w:tcW w:w="4394" w:type="dxa"/>
            <w:tcBorders>
              <w:left w:val="single" w:sz="6" w:space="0" w:color="000000"/>
              <w:bottom w:val="single" w:sz="4" w:space="0" w:color="auto"/>
              <w:right w:val="single" w:sz="6" w:space="0" w:color="000000"/>
            </w:tcBorders>
          </w:tcPr>
          <w:p w:rsidR="00786190" w:rsidRPr="00AD64EE" w:rsidRDefault="00786190" w:rsidP="00786190">
            <w:pPr>
              <w:spacing w:after="120"/>
              <w:jc w:val="center"/>
              <w:rPr>
                <w:rFonts w:eastAsia="Calibri"/>
                <w:b/>
                <w:lang w:eastAsia="en-US"/>
              </w:rPr>
            </w:pPr>
            <w:r w:rsidRPr="00AD64EE">
              <w:rPr>
                <w:rFonts w:eastAsia="Calibri"/>
                <w:b/>
                <w:lang w:eastAsia="en-US"/>
              </w:rPr>
              <w:lastRenderedPageBreak/>
              <w:t>Tieslietu ministrijas 15.07.2019. iebildums</w:t>
            </w:r>
          </w:p>
          <w:p w:rsidR="00786190" w:rsidRPr="00AD64EE" w:rsidRDefault="00786190" w:rsidP="00786190">
            <w:pPr>
              <w:pStyle w:val="naisc"/>
              <w:spacing w:before="0" w:after="0"/>
              <w:jc w:val="both"/>
              <w:rPr>
                <w:rFonts w:eastAsia="Calibri"/>
                <w:b/>
                <w:lang w:eastAsia="en-US"/>
              </w:rPr>
            </w:pPr>
            <w:r w:rsidRPr="00AD64EE">
              <w:rPr>
                <w:rFonts w:eastAsia="Calibri"/>
                <w:lang w:eastAsia="en-US"/>
              </w:rPr>
              <w:t xml:space="preserve">Nav atbalstāms anotācijas sadaļā norādītais </w:t>
            </w:r>
            <w:r w:rsidRPr="00AD64EE">
              <w:rPr>
                <w:rFonts w:eastAsia="Calibri"/>
                <w:iCs/>
                <w:lang w:eastAsia="en-US"/>
              </w:rPr>
              <w:t>"</w:t>
            </w:r>
            <w:r w:rsidRPr="00AD64EE">
              <w:t xml:space="preserve">Tāpat Noteikumu Nr.769 8.punkts nosaka, ka pasākuma īstenošanas termiņš nav ilgāks par 12 mēnešiem no līdzekļu saņemšanas dienas. Ņemot vērā, ka likumprojekts paplašina Tieslietu ministrijas pamatbudžeta programmā “Noziedzīgi iegūtu līdzekļu konfiskācijas fonds” novirzāmo līdzekļu izlietošanas mērķi, nepieciešams pagarināt pasākuma īstenošanas termiņu (piemēram, nosakot to trīs gadi vai arī atceļot termiņa ierobežojumu), lai izmeklēšanas iestādēm un </w:t>
            </w:r>
            <w:r w:rsidRPr="00AD64EE">
              <w:rPr>
                <w:rFonts w:eastAsia="Calibri"/>
                <w:lang w:eastAsia="en-US"/>
              </w:rPr>
              <w:t xml:space="preserve">Finanšu izlūkošanas </w:t>
            </w:r>
            <w:r w:rsidRPr="00AD64EE">
              <w:rPr>
                <w:lang w:eastAsia="en-US"/>
              </w:rPr>
              <w:t>dienestam</w:t>
            </w:r>
            <w:r w:rsidRPr="00AD64EE">
              <w:t xml:space="preserve"> būtu iespējams finanšu līdzekļus izmantot materiāltehniskā nodrošinājuma un infrastruktūras attīstībai, proti pasākumiem, kuru ieviešana varētu pārsniegt 12 mēnešus. Līdz ar to nepieciešams izdarīt attiecīgu grozījumu arī Noteikumu Nr.769 8.punktā</w:t>
            </w:r>
            <w:r w:rsidRPr="00AD64EE">
              <w:rPr>
                <w:rFonts w:eastAsia="Calibri"/>
                <w:lang w:eastAsia="en-US"/>
              </w:rPr>
              <w:t xml:space="preserve">". Vēršam uzmanību, ka atbilstoši Ministru kabineta 2017. gada 19. decembra noteikumu Nr. 769 “Tieslietu ministrijas pamatbudžeta programmas “Noziedzīgi iegūtu līdzekļu konfiskācijas fonds”” 8.punktā noteiktā termiņa mērķis bija paredzēt, ka no Konfiskācijas fonda netiek finansēti ilgtermiņa pasākumi. Mērķa paplašināšana automātiski nenozīmē, ka Konfiskācijas fonda līdzekļi piešķirami ilgtermiņa pasākumu īstenošanai. Vienlaikus norādāms, ka Tieslietu </w:t>
            </w:r>
            <w:r w:rsidRPr="00AD64EE">
              <w:rPr>
                <w:rFonts w:eastAsia="Calibri"/>
                <w:lang w:eastAsia="en-US"/>
              </w:rPr>
              <w:lastRenderedPageBreak/>
              <w:t>ministrija ir gatava diskutēt par iespējamu pasākuma īstenošanas termiņa pagarināšanu Ministru kabineta 2017. gada 19. decembra noteikumu Nr. 769 “Tieslietu ministrijas pamatbudžeta programmas “Noziedzīgi iegūtu līdzekļu konfiskācijas fonds”” grozījumu izstrādes laikā.</w:t>
            </w:r>
          </w:p>
        </w:tc>
        <w:tc>
          <w:tcPr>
            <w:tcW w:w="3544" w:type="dxa"/>
            <w:gridSpan w:val="2"/>
            <w:tcBorders>
              <w:left w:val="single" w:sz="6" w:space="0" w:color="000000"/>
              <w:bottom w:val="single" w:sz="4" w:space="0" w:color="auto"/>
              <w:right w:val="single" w:sz="6" w:space="0" w:color="000000"/>
            </w:tcBorders>
          </w:tcPr>
          <w:p w:rsidR="00786190" w:rsidRPr="00AD64EE" w:rsidRDefault="00786190" w:rsidP="00AA1AD0">
            <w:pPr>
              <w:pStyle w:val="naisc"/>
              <w:spacing w:before="0" w:after="0"/>
              <w:rPr>
                <w:b/>
              </w:rPr>
            </w:pPr>
            <w:r w:rsidRPr="00AD64EE">
              <w:rPr>
                <w:b/>
              </w:rPr>
              <w:lastRenderedPageBreak/>
              <w:t>Ņemts vērā</w:t>
            </w:r>
          </w:p>
        </w:tc>
        <w:tc>
          <w:tcPr>
            <w:tcW w:w="2977" w:type="dxa"/>
            <w:tcBorders>
              <w:top w:val="single" w:sz="4" w:space="0" w:color="auto"/>
              <w:left w:val="single" w:sz="4" w:space="0" w:color="auto"/>
              <w:bottom w:val="single" w:sz="4" w:space="0" w:color="auto"/>
            </w:tcBorders>
          </w:tcPr>
          <w:p w:rsidR="00786190" w:rsidRPr="00AD64EE" w:rsidRDefault="00786190" w:rsidP="00CB749D">
            <w:pPr>
              <w:jc w:val="both"/>
            </w:pPr>
            <w:r w:rsidRPr="00AD64EE">
              <w:t xml:space="preserve">Precizēts likumprojekta </w:t>
            </w:r>
            <w:r w:rsidR="00CB749D" w:rsidRPr="00AD64EE">
              <w:t>anotācijas IV sadaļas 1. punkts.</w:t>
            </w:r>
          </w:p>
        </w:tc>
      </w:tr>
      <w:tr w:rsidR="00786190" w:rsidRPr="00AD64EE" w:rsidTr="003E57A4">
        <w:tc>
          <w:tcPr>
            <w:tcW w:w="708" w:type="dxa"/>
            <w:tcBorders>
              <w:left w:val="single" w:sz="6" w:space="0" w:color="000000"/>
              <w:bottom w:val="single" w:sz="4" w:space="0" w:color="auto"/>
              <w:right w:val="single" w:sz="6" w:space="0" w:color="000000"/>
            </w:tcBorders>
          </w:tcPr>
          <w:p w:rsidR="00786190" w:rsidRPr="00AD64EE" w:rsidRDefault="00557699" w:rsidP="00AA1AD0">
            <w:pPr>
              <w:pStyle w:val="naisc"/>
              <w:tabs>
                <w:tab w:val="left" w:pos="45"/>
              </w:tabs>
              <w:spacing w:before="0" w:after="0"/>
              <w:ind w:left="-997" w:firstLine="862"/>
            </w:pPr>
            <w:r w:rsidRPr="00AD64EE">
              <w:t>12</w:t>
            </w:r>
            <w:r w:rsidR="00786190" w:rsidRPr="00AD64EE">
              <w:t>.</w:t>
            </w:r>
          </w:p>
        </w:tc>
        <w:tc>
          <w:tcPr>
            <w:tcW w:w="3086" w:type="dxa"/>
            <w:gridSpan w:val="2"/>
            <w:tcBorders>
              <w:left w:val="single" w:sz="6" w:space="0" w:color="000000"/>
              <w:bottom w:val="single" w:sz="4" w:space="0" w:color="auto"/>
              <w:right w:val="single" w:sz="6" w:space="0" w:color="000000"/>
            </w:tcBorders>
          </w:tcPr>
          <w:p w:rsidR="00786190" w:rsidRPr="00AD64EE" w:rsidRDefault="00786190" w:rsidP="00786190">
            <w:pPr>
              <w:contextualSpacing/>
              <w:jc w:val="both"/>
              <w:rPr>
                <w:lang w:eastAsia="en-US"/>
              </w:rPr>
            </w:pPr>
            <w:r w:rsidRPr="00AD64EE">
              <w:rPr>
                <w:lang w:eastAsia="en-US"/>
              </w:rPr>
              <w:t>Likumprojekta anotācijas IV sadaļas 1. punktā norādītais:</w:t>
            </w:r>
          </w:p>
          <w:p w:rsidR="00786190" w:rsidRPr="00AD64EE" w:rsidRDefault="00786190" w:rsidP="00786190">
            <w:pPr>
              <w:contextualSpacing/>
              <w:jc w:val="both"/>
              <w:rPr>
                <w:lang w:eastAsia="en-US"/>
              </w:rPr>
            </w:pPr>
            <w:r w:rsidRPr="00AD64EE">
              <w:rPr>
                <w:lang w:eastAsia="en-US"/>
              </w:rPr>
              <w:t xml:space="preserve">“Tāpat Noteikumu Nr.769 8.punkts nosaka, ka pasākuma īstenošanas termiņš nav ilgāks par 12 mēnešiem no līdzekļu saņemšanas dienas. Ņemot vērā, ka likumprojekts paplašina no Tieslietu ministrijas pamatbudžeta programmas “Noziedzīgi iegūtu līdzekļu konfiskācijas fonds” finansējamo pasākumu loku, lai būtu iespējams finanšu līdzekļus izmantot materiāltehniskā nodrošinājuma un infrastruktūras attīstībai, proti pasākumiem, kuru ieviešana varētu pārsniegt 12 mēnešus,   nepieciešams pagarināt pasākumu īstenošanas termiņu. Par konkrētu pagarinājumu vienošanās tiks panākta grozījumu Noteikumos Nr.769  projekta </w:t>
            </w:r>
            <w:r w:rsidRPr="00AD64EE">
              <w:rPr>
                <w:lang w:eastAsia="en-US"/>
              </w:rPr>
              <w:lastRenderedPageBreak/>
              <w:t>sagatavošanas laikā, izvērtējot reālos preču, pakalpojumu vai darbu izpildes termiņus no brīža, kad piešķirts finansējums. Līdz ar to nepieciešams izdarīt attiecīgu grozījumu arī Noteikumu Nr.769 8.punktā.”</w:t>
            </w:r>
          </w:p>
        </w:tc>
        <w:tc>
          <w:tcPr>
            <w:tcW w:w="4394" w:type="dxa"/>
            <w:tcBorders>
              <w:left w:val="single" w:sz="6" w:space="0" w:color="000000"/>
              <w:bottom w:val="single" w:sz="4" w:space="0" w:color="auto"/>
              <w:right w:val="single" w:sz="6" w:space="0" w:color="000000"/>
            </w:tcBorders>
          </w:tcPr>
          <w:p w:rsidR="00786190" w:rsidRPr="00AD64EE" w:rsidRDefault="00786190" w:rsidP="00786190">
            <w:pPr>
              <w:spacing w:after="120"/>
              <w:jc w:val="center"/>
              <w:rPr>
                <w:b/>
                <w:lang w:eastAsia="en-US"/>
              </w:rPr>
            </w:pPr>
            <w:r w:rsidRPr="00AD64EE">
              <w:rPr>
                <w:b/>
                <w:lang w:eastAsia="en-US"/>
              </w:rPr>
              <w:lastRenderedPageBreak/>
              <w:t>Tieslietu ministrijas 19.08.2019. iebildums</w:t>
            </w:r>
          </w:p>
          <w:p w:rsidR="00786190" w:rsidRPr="00AD64EE" w:rsidRDefault="00786190" w:rsidP="00786190">
            <w:pPr>
              <w:spacing w:after="120"/>
              <w:jc w:val="both"/>
              <w:rPr>
                <w:rFonts w:eastAsia="Calibri"/>
                <w:b/>
                <w:lang w:eastAsia="en-US"/>
              </w:rPr>
            </w:pPr>
            <w:r w:rsidRPr="00AD64EE">
              <w:rPr>
                <w:lang w:eastAsia="en-US"/>
              </w:rPr>
              <w:t xml:space="preserve">Nav atbalstāms anotācijas sadaļā norādītais "Ņemot vērā, ka likumprojekts paplašina no Tieslietu ministrijas pamatbudžeta programmā “Noziedzīgi iegūtu līdzekļu konfiskācijas fonds” finansējamo pasākumu loku, lai būtu iespējams finanšu līdzekļus izmantot materiāltehniskā nodrošinājuma un infrastruktūras attīstībai, proti pasākumiem, kuru ieviešana varētu pārsniegt 12 mēnešus, nepieciešams pagarināt pasākumu īstenošanas termiņu. [..]Līdz ar to nepieciešams izdarīt attiecīgu grozījumu arī Noteikumu Nr.769 8.punktā", jo ietvertais teksts kategoriski nosaka atbilstošu grozījumu nepieciešamību. Tieslietu ministrija norāda, ka, lai nonāktu pie šāda secinājuma, ir nepieciešama diskusija par iespējamu pasākuma īstenošanas termiņa pagarināšanu un attiecīgu grozījumu Ministru kabineta 2017. gada 19. decembra noteikumu Nr. 769 "Tieslietu ministrijas pamatbudžeta programmas "Noziedzīgi iegūtu līdzekļu konfiskācijas fonds"" veikšanu, tajā pieaicinot piedalīties visas kompetentās </w:t>
            </w:r>
            <w:r w:rsidRPr="00AD64EE">
              <w:rPr>
                <w:lang w:eastAsia="en-US"/>
              </w:rPr>
              <w:lastRenderedPageBreak/>
              <w:t>iestādes. Ņemot vērā minēto, lūdzam precizēt likumprojekta anotāciju.</w:t>
            </w:r>
          </w:p>
        </w:tc>
        <w:tc>
          <w:tcPr>
            <w:tcW w:w="3544" w:type="dxa"/>
            <w:gridSpan w:val="2"/>
            <w:tcBorders>
              <w:left w:val="single" w:sz="6" w:space="0" w:color="000000"/>
              <w:bottom w:val="single" w:sz="4" w:space="0" w:color="auto"/>
              <w:right w:val="single" w:sz="6" w:space="0" w:color="000000"/>
            </w:tcBorders>
          </w:tcPr>
          <w:p w:rsidR="00786190" w:rsidRPr="00AD64EE" w:rsidRDefault="00786190" w:rsidP="00AA1AD0">
            <w:pPr>
              <w:pStyle w:val="naisc"/>
              <w:spacing w:before="0" w:after="0"/>
              <w:rPr>
                <w:b/>
              </w:rPr>
            </w:pPr>
            <w:r w:rsidRPr="00AD64EE">
              <w:rPr>
                <w:b/>
              </w:rPr>
              <w:lastRenderedPageBreak/>
              <w:t>Ņemts vērā</w:t>
            </w:r>
          </w:p>
        </w:tc>
        <w:tc>
          <w:tcPr>
            <w:tcW w:w="2977" w:type="dxa"/>
            <w:tcBorders>
              <w:top w:val="single" w:sz="4" w:space="0" w:color="auto"/>
              <w:left w:val="single" w:sz="4" w:space="0" w:color="auto"/>
              <w:bottom w:val="single" w:sz="4" w:space="0" w:color="auto"/>
            </w:tcBorders>
          </w:tcPr>
          <w:p w:rsidR="00786190" w:rsidRPr="00AD64EE" w:rsidRDefault="00786190" w:rsidP="00AA1AD0">
            <w:pPr>
              <w:jc w:val="both"/>
            </w:pPr>
            <w:r w:rsidRPr="00AD64EE">
              <w:t>Precizēts likumprojekta anotācijas</w:t>
            </w:r>
            <w:r w:rsidR="00CB749D" w:rsidRPr="00AD64EE">
              <w:t xml:space="preserve"> IV sadaļas 1. punkts.</w:t>
            </w:r>
          </w:p>
        </w:tc>
      </w:tr>
      <w:tr w:rsidR="00AA1AD0" w:rsidRPr="00AD64EE" w:rsidTr="003E57A4">
        <w:tblPrEx>
          <w:tblBorders>
            <w:top w:val="none" w:sz="0" w:space="0" w:color="auto"/>
            <w:left w:val="none" w:sz="0" w:space="0" w:color="auto"/>
            <w:bottom w:val="none" w:sz="0" w:space="0" w:color="auto"/>
            <w:right w:val="none" w:sz="0" w:space="0" w:color="auto"/>
          </w:tblBorders>
        </w:tblPrEx>
        <w:trPr>
          <w:gridAfter w:val="2"/>
          <w:wAfter w:w="5422" w:type="dxa"/>
        </w:trPr>
        <w:tc>
          <w:tcPr>
            <w:tcW w:w="3108" w:type="dxa"/>
            <w:gridSpan w:val="2"/>
          </w:tcPr>
          <w:p w:rsidR="00E41DB6" w:rsidRPr="00AD64EE" w:rsidRDefault="00E41DB6" w:rsidP="00AA1AD0">
            <w:pPr>
              <w:pStyle w:val="naiskr"/>
              <w:spacing w:before="0" w:after="0"/>
            </w:pPr>
          </w:p>
          <w:p w:rsidR="00AA1AD0" w:rsidRPr="00AD64EE" w:rsidRDefault="00AA1AD0" w:rsidP="00AA1AD0">
            <w:pPr>
              <w:pStyle w:val="naiskr"/>
              <w:spacing w:before="0" w:after="0"/>
            </w:pPr>
            <w:r w:rsidRPr="00AD64EE">
              <w:t>Atbildīgā amatpersona</w:t>
            </w:r>
          </w:p>
        </w:tc>
        <w:tc>
          <w:tcPr>
            <w:tcW w:w="6179" w:type="dxa"/>
            <w:gridSpan w:val="3"/>
          </w:tcPr>
          <w:p w:rsidR="00AA1AD0" w:rsidRPr="00AD64EE" w:rsidRDefault="00AA1AD0" w:rsidP="00AA1AD0">
            <w:pPr>
              <w:pStyle w:val="naiskr"/>
              <w:spacing w:before="0" w:after="0"/>
              <w:ind w:firstLine="720"/>
            </w:pPr>
          </w:p>
        </w:tc>
      </w:tr>
      <w:tr w:rsidR="00AA1AD0" w:rsidRPr="00AD64EE" w:rsidTr="003E57A4">
        <w:tblPrEx>
          <w:tblBorders>
            <w:top w:val="none" w:sz="0" w:space="0" w:color="auto"/>
            <w:left w:val="none" w:sz="0" w:space="0" w:color="auto"/>
            <w:bottom w:val="none" w:sz="0" w:space="0" w:color="auto"/>
            <w:right w:val="none" w:sz="0" w:space="0" w:color="auto"/>
          </w:tblBorders>
        </w:tblPrEx>
        <w:trPr>
          <w:gridAfter w:val="2"/>
          <w:wAfter w:w="5422" w:type="dxa"/>
        </w:trPr>
        <w:tc>
          <w:tcPr>
            <w:tcW w:w="3108" w:type="dxa"/>
            <w:gridSpan w:val="2"/>
          </w:tcPr>
          <w:p w:rsidR="00AA1AD0" w:rsidRPr="00AD64EE" w:rsidRDefault="00AA1AD0" w:rsidP="00AA1AD0">
            <w:pPr>
              <w:pStyle w:val="naiskr"/>
              <w:spacing w:before="0" w:after="0"/>
              <w:ind w:firstLine="720"/>
            </w:pPr>
          </w:p>
        </w:tc>
        <w:tc>
          <w:tcPr>
            <w:tcW w:w="6179" w:type="dxa"/>
            <w:gridSpan w:val="3"/>
            <w:tcBorders>
              <w:top w:val="single" w:sz="6" w:space="0" w:color="000000"/>
            </w:tcBorders>
          </w:tcPr>
          <w:p w:rsidR="00AA1AD0" w:rsidRPr="00AD64EE" w:rsidRDefault="00AA1AD0" w:rsidP="00AA1AD0">
            <w:pPr>
              <w:pStyle w:val="naisc"/>
              <w:spacing w:before="0" w:after="0"/>
              <w:ind w:firstLine="720"/>
            </w:pPr>
            <w:r w:rsidRPr="00AD64EE">
              <w:t>(paraksts*)</w:t>
            </w:r>
          </w:p>
        </w:tc>
      </w:tr>
    </w:tbl>
    <w:p w:rsidR="00275648" w:rsidRPr="00AD64EE" w:rsidRDefault="00184479" w:rsidP="00DC6E00">
      <w:pPr>
        <w:pStyle w:val="naisf"/>
        <w:spacing w:before="0" w:after="0"/>
        <w:ind w:firstLine="720"/>
      </w:pPr>
      <w:r w:rsidRPr="00AD64EE">
        <w:t>Piezīme.</w:t>
      </w:r>
      <w:r w:rsidR="00767BF3" w:rsidRPr="00AD64EE">
        <w:t> </w:t>
      </w:r>
      <w:r w:rsidR="00FB6C91" w:rsidRPr="00AD64EE">
        <w:t>*</w:t>
      </w:r>
      <w:r w:rsidR="00767BF3" w:rsidRPr="00AD64EE">
        <w:t> </w:t>
      </w:r>
      <w:r w:rsidR="00317DC7" w:rsidRPr="00AD64EE">
        <w:t xml:space="preserve">Dokumenta rekvizītu </w:t>
      </w:r>
      <w:r w:rsidR="00364BB6" w:rsidRPr="00AD64EE">
        <w:t>"</w:t>
      </w:r>
      <w:r w:rsidR="0018210A" w:rsidRPr="00AD64EE">
        <w:t>p</w:t>
      </w:r>
      <w:r w:rsidR="00317DC7" w:rsidRPr="00AD64EE">
        <w:t>araksts</w:t>
      </w:r>
      <w:r w:rsidR="00364BB6" w:rsidRPr="00AD64EE">
        <w:t>"</w:t>
      </w:r>
      <w:r w:rsidR="00317DC7" w:rsidRPr="00AD64EE">
        <w:t xml:space="preserve"> neaizpilda, ja elektroniskais dokuments ir </w:t>
      </w:r>
      <w:r w:rsidRPr="00AD64EE">
        <w:t>sagatavots</w:t>
      </w:r>
      <w:r w:rsidR="00317DC7" w:rsidRPr="00AD64EE">
        <w:t xml:space="preserve"> atbilstoši </w:t>
      </w:r>
      <w:r w:rsidRPr="00AD64EE">
        <w:t xml:space="preserve">normatīvajiem aktiem par </w:t>
      </w:r>
      <w:r w:rsidR="00317DC7" w:rsidRPr="00AD64EE">
        <w:t>elektronisko dokumentu noformēšan</w:t>
      </w:r>
      <w:r w:rsidRPr="00AD64EE">
        <w:t>u.</w:t>
      </w:r>
    </w:p>
    <w:p w:rsidR="004373E1" w:rsidRPr="00AD64EE" w:rsidRDefault="00275648" w:rsidP="00C55BC0">
      <w:pPr>
        <w:pStyle w:val="naisf"/>
        <w:spacing w:before="120" w:after="0"/>
        <w:ind w:left="2880" w:firstLine="720"/>
      </w:pPr>
      <w:r w:rsidRPr="00AD64EE">
        <w:t>Krista Brača</w:t>
      </w:r>
    </w:p>
    <w:tbl>
      <w:tblPr>
        <w:tblW w:w="0" w:type="auto"/>
        <w:tblLook w:val="00A0" w:firstRow="1" w:lastRow="0" w:firstColumn="1" w:lastColumn="0" w:noHBand="0" w:noVBand="0"/>
      </w:tblPr>
      <w:tblGrid>
        <w:gridCol w:w="8268"/>
      </w:tblGrid>
      <w:tr w:rsidR="008655A2" w:rsidRPr="00AD64EE">
        <w:tc>
          <w:tcPr>
            <w:tcW w:w="8268" w:type="dxa"/>
            <w:tcBorders>
              <w:top w:val="single" w:sz="4" w:space="0" w:color="000000"/>
            </w:tcBorders>
          </w:tcPr>
          <w:p w:rsidR="008655A2" w:rsidRPr="00AD64EE" w:rsidRDefault="00184479" w:rsidP="00184479">
            <w:pPr>
              <w:jc w:val="center"/>
            </w:pPr>
            <w:r w:rsidRPr="00AD64EE">
              <w:t>(</w:t>
            </w:r>
            <w:r w:rsidR="008655A2" w:rsidRPr="00AD64EE">
              <w:t xml:space="preserve">par projektu atbildīgās amatpersonas </w:t>
            </w:r>
            <w:r w:rsidRPr="00AD64EE">
              <w:t xml:space="preserve">vārds un </w:t>
            </w:r>
            <w:r w:rsidR="008655A2" w:rsidRPr="00AD64EE">
              <w:t>uzvārds</w:t>
            </w:r>
            <w:r w:rsidRPr="00AD64EE">
              <w:t>)</w:t>
            </w:r>
          </w:p>
        </w:tc>
      </w:tr>
      <w:tr w:rsidR="008655A2" w:rsidRPr="00AD64EE">
        <w:tc>
          <w:tcPr>
            <w:tcW w:w="8268" w:type="dxa"/>
            <w:tcBorders>
              <w:bottom w:val="single" w:sz="4" w:space="0" w:color="000000"/>
            </w:tcBorders>
          </w:tcPr>
          <w:p w:rsidR="009E3801" w:rsidRPr="00AD64EE" w:rsidRDefault="009E3801" w:rsidP="00275648">
            <w:pPr>
              <w:jc w:val="center"/>
              <w:rPr>
                <w:sz w:val="8"/>
                <w:szCs w:val="8"/>
              </w:rPr>
            </w:pPr>
          </w:p>
          <w:p w:rsidR="00275648" w:rsidRPr="00AD64EE" w:rsidRDefault="00275648" w:rsidP="00275648">
            <w:pPr>
              <w:jc w:val="center"/>
            </w:pPr>
            <w:r w:rsidRPr="00AD64EE">
              <w:t>Iekšlietu ministrijas Juridiskā departamenta</w:t>
            </w:r>
          </w:p>
          <w:p w:rsidR="008655A2" w:rsidRPr="00AD64EE" w:rsidRDefault="00275648" w:rsidP="00275648">
            <w:pPr>
              <w:jc w:val="center"/>
            </w:pPr>
            <w:r w:rsidRPr="00AD64EE">
              <w:t>Normatīvo aktu nodaļas juriskonsulte</w:t>
            </w:r>
          </w:p>
        </w:tc>
      </w:tr>
      <w:tr w:rsidR="008655A2" w:rsidRPr="00AD64EE">
        <w:tc>
          <w:tcPr>
            <w:tcW w:w="8268" w:type="dxa"/>
            <w:tcBorders>
              <w:top w:val="single" w:sz="4" w:space="0" w:color="000000"/>
            </w:tcBorders>
          </w:tcPr>
          <w:p w:rsidR="008655A2" w:rsidRPr="00AD64EE" w:rsidRDefault="00184479" w:rsidP="00184479">
            <w:pPr>
              <w:jc w:val="center"/>
            </w:pPr>
            <w:r w:rsidRPr="00AD64EE">
              <w:t>(</w:t>
            </w:r>
            <w:r w:rsidR="008655A2" w:rsidRPr="00AD64EE">
              <w:t>amats</w:t>
            </w:r>
            <w:r w:rsidRPr="00AD64EE">
              <w:t>)</w:t>
            </w:r>
          </w:p>
        </w:tc>
      </w:tr>
      <w:tr w:rsidR="008655A2" w:rsidRPr="00AD64EE">
        <w:tc>
          <w:tcPr>
            <w:tcW w:w="8268" w:type="dxa"/>
            <w:tcBorders>
              <w:bottom w:val="single" w:sz="4" w:space="0" w:color="000000"/>
            </w:tcBorders>
          </w:tcPr>
          <w:p w:rsidR="00671575" w:rsidRPr="00AD64EE" w:rsidRDefault="00671575" w:rsidP="00275648">
            <w:pPr>
              <w:jc w:val="center"/>
              <w:rPr>
                <w:sz w:val="8"/>
                <w:szCs w:val="8"/>
              </w:rPr>
            </w:pPr>
          </w:p>
          <w:p w:rsidR="008655A2" w:rsidRPr="00AD64EE" w:rsidRDefault="00275648" w:rsidP="00275648">
            <w:pPr>
              <w:jc w:val="center"/>
            </w:pPr>
            <w:r w:rsidRPr="00AD64EE">
              <w:t>tālr. 67219158</w:t>
            </w:r>
          </w:p>
        </w:tc>
      </w:tr>
      <w:tr w:rsidR="008655A2" w:rsidRPr="00AD64EE">
        <w:tc>
          <w:tcPr>
            <w:tcW w:w="8268" w:type="dxa"/>
            <w:tcBorders>
              <w:top w:val="single" w:sz="4" w:space="0" w:color="000000"/>
            </w:tcBorders>
          </w:tcPr>
          <w:p w:rsidR="008655A2" w:rsidRPr="00AD64EE" w:rsidRDefault="00184479" w:rsidP="00184479">
            <w:pPr>
              <w:jc w:val="center"/>
            </w:pPr>
            <w:r w:rsidRPr="00AD64EE">
              <w:t>(</w:t>
            </w:r>
            <w:r w:rsidR="008655A2" w:rsidRPr="00AD64EE">
              <w:t>tālruņa un faksa numurs</w:t>
            </w:r>
            <w:r w:rsidRPr="00AD64EE">
              <w:t>)</w:t>
            </w:r>
          </w:p>
        </w:tc>
      </w:tr>
      <w:tr w:rsidR="008655A2" w:rsidRPr="00AD64EE">
        <w:tc>
          <w:tcPr>
            <w:tcW w:w="8268" w:type="dxa"/>
            <w:tcBorders>
              <w:bottom w:val="single" w:sz="4" w:space="0" w:color="000000"/>
            </w:tcBorders>
          </w:tcPr>
          <w:p w:rsidR="00671575" w:rsidRPr="00AD64EE" w:rsidRDefault="00671575" w:rsidP="00275648">
            <w:pPr>
              <w:jc w:val="center"/>
              <w:rPr>
                <w:sz w:val="8"/>
                <w:szCs w:val="8"/>
              </w:rPr>
            </w:pPr>
          </w:p>
          <w:p w:rsidR="008655A2" w:rsidRPr="00AD64EE" w:rsidRDefault="00334E37" w:rsidP="00275648">
            <w:pPr>
              <w:jc w:val="center"/>
            </w:pPr>
            <w:hyperlink r:id="rId8" w:history="1">
              <w:r w:rsidR="00275648" w:rsidRPr="00AD64EE">
                <w:rPr>
                  <w:rStyle w:val="Hyperlink"/>
                </w:rPr>
                <w:t>krista.braca@iem.gov.lv</w:t>
              </w:r>
            </w:hyperlink>
          </w:p>
        </w:tc>
      </w:tr>
      <w:tr w:rsidR="008655A2" w:rsidRPr="00712B66">
        <w:tc>
          <w:tcPr>
            <w:tcW w:w="8268" w:type="dxa"/>
            <w:tcBorders>
              <w:top w:val="single" w:sz="4" w:space="0" w:color="000000"/>
            </w:tcBorders>
          </w:tcPr>
          <w:p w:rsidR="008655A2" w:rsidRPr="00712B66" w:rsidRDefault="00184479" w:rsidP="00184479">
            <w:pPr>
              <w:jc w:val="center"/>
            </w:pPr>
            <w:r w:rsidRPr="00AD64EE">
              <w:t>(</w:t>
            </w:r>
            <w:r w:rsidR="008655A2" w:rsidRPr="00AD64EE">
              <w:t>e-pasta adrese</w:t>
            </w:r>
            <w:r w:rsidRPr="00AD64EE">
              <w:t>)</w:t>
            </w:r>
          </w:p>
        </w:tc>
      </w:tr>
    </w:tbl>
    <w:p w:rsidR="007116C7" w:rsidRPr="008167C8" w:rsidRDefault="007116C7" w:rsidP="00DC6E00">
      <w:pPr>
        <w:pStyle w:val="naisf"/>
        <w:spacing w:before="0" w:after="0"/>
        <w:ind w:firstLine="0"/>
        <w:jc w:val="left"/>
        <w:rPr>
          <w:sz w:val="16"/>
          <w:szCs w:val="16"/>
        </w:rPr>
      </w:pPr>
    </w:p>
    <w:sectPr w:rsidR="007116C7" w:rsidRPr="008167C8" w:rsidSect="00AF1148">
      <w:headerReference w:type="even" r:id="rId9"/>
      <w:headerReference w:type="default" r:id="rId10"/>
      <w:footerReference w:type="default" r:id="rId11"/>
      <w:footerReference w:type="first" r:id="rId12"/>
      <w:pgSz w:w="16838" w:h="11906" w:orient="landscape" w:code="9"/>
      <w:pgMar w:top="1135" w:right="1134" w:bottom="1134" w:left="1701" w:header="709"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37" w:rsidRDefault="00334E37">
      <w:r>
        <w:separator/>
      </w:r>
    </w:p>
  </w:endnote>
  <w:endnote w:type="continuationSeparator" w:id="0">
    <w:p w:rsidR="00334E37" w:rsidRDefault="0033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3C" w:rsidRPr="00275648" w:rsidRDefault="00275648" w:rsidP="0027564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67611">
      <w:rPr>
        <w:noProof/>
        <w:sz w:val="20"/>
        <w:szCs w:val="20"/>
      </w:rPr>
      <w:t>IEMIzz_251119_NIMKIL</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275648" w:rsidRDefault="00275648" w:rsidP="0027564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67611">
      <w:rPr>
        <w:noProof/>
        <w:sz w:val="20"/>
        <w:szCs w:val="20"/>
      </w:rPr>
      <w:t>IEMIzz_251119_NIMKIL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37" w:rsidRDefault="00334E37">
      <w:r>
        <w:separator/>
      </w:r>
    </w:p>
  </w:footnote>
  <w:footnote w:type="continuationSeparator" w:id="0">
    <w:p w:rsidR="00334E37" w:rsidRDefault="0033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F26">
      <w:rPr>
        <w:rStyle w:val="PageNumber"/>
        <w:noProof/>
      </w:rPr>
      <w:t>21</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D141103"/>
    <w:multiLevelType w:val="hybridMultilevel"/>
    <w:tmpl w:val="E85A7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1E67"/>
    <w:rsid w:val="0001249F"/>
    <w:rsid w:val="000125C0"/>
    <w:rsid w:val="0001270C"/>
    <w:rsid w:val="000136AA"/>
    <w:rsid w:val="00013B4C"/>
    <w:rsid w:val="00013BF6"/>
    <w:rsid w:val="0001554C"/>
    <w:rsid w:val="00015B94"/>
    <w:rsid w:val="00015C84"/>
    <w:rsid w:val="00015DE5"/>
    <w:rsid w:val="000172E2"/>
    <w:rsid w:val="00017449"/>
    <w:rsid w:val="00017A48"/>
    <w:rsid w:val="00020249"/>
    <w:rsid w:val="000217D0"/>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378C9"/>
    <w:rsid w:val="00040A5C"/>
    <w:rsid w:val="00043005"/>
    <w:rsid w:val="0004345F"/>
    <w:rsid w:val="00044026"/>
    <w:rsid w:val="000453B8"/>
    <w:rsid w:val="00046075"/>
    <w:rsid w:val="0004631D"/>
    <w:rsid w:val="00046A6E"/>
    <w:rsid w:val="00046CAD"/>
    <w:rsid w:val="00046F5C"/>
    <w:rsid w:val="00047385"/>
    <w:rsid w:val="00050554"/>
    <w:rsid w:val="00053706"/>
    <w:rsid w:val="00053E04"/>
    <w:rsid w:val="000579E6"/>
    <w:rsid w:val="00060E03"/>
    <w:rsid w:val="000614CA"/>
    <w:rsid w:val="000641CE"/>
    <w:rsid w:val="0006523E"/>
    <w:rsid w:val="00065271"/>
    <w:rsid w:val="00066176"/>
    <w:rsid w:val="0006618D"/>
    <w:rsid w:val="00066751"/>
    <w:rsid w:val="00066885"/>
    <w:rsid w:val="0006694E"/>
    <w:rsid w:val="00066A37"/>
    <w:rsid w:val="00066F05"/>
    <w:rsid w:val="00067611"/>
    <w:rsid w:val="0007086E"/>
    <w:rsid w:val="000708B7"/>
    <w:rsid w:val="00070F9E"/>
    <w:rsid w:val="00071987"/>
    <w:rsid w:val="00072628"/>
    <w:rsid w:val="000728ED"/>
    <w:rsid w:val="000733F5"/>
    <w:rsid w:val="000733FF"/>
    <w:rsid w:val="0007577A"/>
    <w:rsid w:val="000764CC"/>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E91"/>
    <w:rsid w:val="0009302B"/>
    <w:rsid w:val="00093EC2"/>
    <w:rsid w:val="000958A2"/>
    <w:rsid w:val="000965E7"/>
    <w:rsid w:val="000A0041"/>
    <w:rsid w:val="000A06FC"/>
    <w:rsid w:val="000A1A02"/>
    <w:rsid w:val="000A4035"/>
    <w:rsid w:val="000A483A"/>
    <w:rsid w:val="000A55D2"/>
    <w:rsid w:val="000A64D3"/>
    <w:rsid w:val="000A77B9"/>
    <w:rsid w:val="000A7CC0"/>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37B8"/>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312A"/>
    <w:rsid w:val="000E5509"/>
    <w:rsid w:val="000E585F"/>
    <w:rsid w:val="000E66F8"/>
    <w:rsid w:val="000E76BA"/>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23D"/>
    <w:rsid w:val="000F6A0B"/>
    <w:rsid w:val="000F7695"/>
    <w:rsid w:val="001012E3"/>
    <w:rsid w:val="00101EEB"/>
    <w:rsid w:val="0010375A"/>
    <w:rsid w:val="001038ED"/>
    <w:rsid w:val="001042B0"/>
    <w:rsid w:val="00104FCA"/>
    <w:rsid w:val="00106F4F"/>
    <w:rsid w:val="001071D3"/>
    <w:rsid w:val="001072F1"/>
    <w:rsid w:val="001075A8"/>
    <w:rsid w:val="00110259"/>
    <w:rsid w:val="00110AA9"/>
    <w:rsid w:val="001115A9"/>
    <w:rsid w:val="0011254D"/>
    <w:rsid w:val="001139C2"/>
    <w:rsid w:val="00114559"/>
    <w:rsid w:val="00114EA9"/>
    <w:rsid w:val="00115ED0"/>
    <w:rsid w:val="0011683C"/>
    <w:rsid w:val="001179E8"/>
    <w:rsid w:val="0012021B"/>
    <w:rsid w:val="0012222D"/>
    <w:rsid w:val="00123100"/>
    <w:rsid w:val="00123616"/>
    <w:rsid w:val="001243DE"/>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174"/>
    <w:rsid w:val="00147596"/>
    <w:rsid w:val="001522FA"/>
    <w:rsid w:val="00152718"/>
    <w:rsid w:val="001530CF"/>
    <w:rsid w:val="00153F12"/>
    <w:rsid w:val="001542A6"/>
    <w:rsid w:val="001543DB"/>
    <w:rsid w:val="00155473"/>
    <w:rsid w:val="00155DC2"/>
    <w:rsid w:val="00156D90"/>
    <w:rsid w:val="00156E9F"/>
    <w:rsid w:val="00157A57"/>
    <w:rsid w:val="00157DB6"/>
    <w:rsid w:val="00157EC2"/>
    <w:rsid w:val="00162A68"/>
    <w:rsid w:val="00162E08"/>
    <w:rsid w:val="001633F1"/>
    <w:rsid w:val="00164CA0"/>
    <w:rsid w:val="0016531E"/>
    <w:rsid w:val="0016565C"/>
    <w:rsid w:val="00166314"/>
    <w:rsid w:val="00166746"/>
    <w:rsid w:val="00167590"/>
    <w:rsid w:val="00167918"/>
    <w:rsid w:val="00167C1E"/>
    <w:rsid w:val="0017043B"/>
    <w:rsid w:val="001706A1"/>
    <w:rsid w:val="00170914"/>
    <w:rsid w:val="00170DF2"/>
    <w:rsid w:val="00174841"/>
    <w:rsid w:val="00175F6F"/>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4F3E"/>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09C"/>
    <w:rsid w:val="001D5564"/>
    <w:rsid w:val="001D6900"/>
    <w:rsid w:val="001D6FAA"/>
    <w:rsid w:val="001D70FA"/>
    <w:rsid w:val="001D7BA9"/>
    <w:rsid w:val="001E039D"/>
    <w:rsid w:val="001E22E7"/>
    <w:rsid w:val="001E2714"/>
    <w:rsid w:val="001E398C"/>
    <w:rsid w:val="001E4456"/>
    <w:rsid w:val="001E4DDC"/>
    <w:rsid w:val="001E7105"/>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2CB6"/>
    <w:rsid w:val="00214809"/>
    <w:rsid w:val="002149A1"/>
    <w:rsid w:val="00214E7A"/>
    <w:rsid w:val="00215BFE"/>
    <w:rsid w:val="00215C44"/>
    <w:rsid w:val="00216E73"/>
    <w:rsid w:val="0021774C"/>
    <w:rsid w:val="00217FF6"/>
    <w:rsid w:val="00222386"/>
    <w:rsid w:val="002224FD"/>
    <w:rsid w:val="00222F51"/>
    <w:rsid w:val="002230E1"/>
    <w:rsid w:val="00223361"/>
    <w:rsid w:val="002244BA"/>
    <w:rsid w:val="002247AA"/>
    <w:rsid w:val="00224DA7"/>
    <w:rsid w:val="002261CB"/>
    <w:rsid w:val="002268BF"/>
    <w:rsid w:val="00227BDE"/>
    <w:rsid w:val="00230045"/>
    <w:rsid w:val="0023014E"/>
    <w:rsid w:val="002306A4"/>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863"/>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BB"/>
    <w:rsid w:val="00257FF4"/>
    <w:rsid w:val="00260FCB"/>
    <w:rsid w:val="002615F5"/>
    <w:rsid w:val="002616B9"/>
    <w:rsid w:val="0026217B"/>
    <w:rsid w:val="002626F4"/>
    <w:rsid w:val="002629E4"/>
    <w:rsid w:val="00263FE3"/>
    <w:rsid w:val="00265593"/>
    <w:rsid w:val="002675EA"/>
    <w:rsid w:val="00267BC5"/>
    <w:rsid w:val="00267CBE"/>
    <w:rsid w:val="00267E0B"/>
    <w:rsid w:val="00270680"/>
    <w:rsid w:val="0027076A"/>
    <w:rsid w:val="00270DCC"/>
    <w:rsid w:val="00271103"/>
    <w:rsid w:val="00271598"/>
    <w:rsid w:val="002721FA"/>
    <w:rsid w:val="0027230C"/>
    <w:rsid w:val="00272B99"/>
    <w:rsid w:val="00273518"/>
    <w:rsid w:val="0027380D"/>
    <w:rsid w:val="0027468E"/>
    <w:rsid w:val="00274826"/>
    <w:rsid w:val="00275005"/>
    <w:rsid w:val="002752AB"/>
    <w:rsid w:val="00275648"/>
    <w:rsid w:val="002756D6"/>
    <w:rsid w:val="0027573C"/>
    <w:rsid w:val="002815D0"/>
    <w:rsid w:val="002820A7"/>
    <w:rsid w:val="00283B82"/>
    <w:rsid w:val="00283E13"/>
    <w:rsid w:val="00286478"/>
    <w:rsid w:val="00287AD0"/>
    <w:rsid w:val="00287EDD"/>
    <w:rsid w:val="0029141B"/>
    <w:rsid w:val="002927D3"/>
    <w:rsid w:val="00294BDE"/>
    <w:rsid w:val="00295DB6"/>
    <w:rsid w:val="0029788B"/>
    <w:rsid w:val="00297D1B"/>
    <w:rsid w:val="00297F4D"/>
    <w:rsid w:val="002A0226"/>
    <w:rsid w:val="002A0661"/>
    <w:rsid w:val="002A1CF2"/>
    <w:rsid w:val="002A2ED0"/>
    <w:rsid w:val="002A3A84"/>
    <w:rsid w:val="002A47E1"/>
    <w:rsid w:val="002A4B96"/>
    <w:rsid w:val="002A4C3E"/>
    <w:rsid w:val="002A56BC"/>
    <w:rsid w:val="002A5C53"/>
    <w:rsid w:val="002A6AD6"/>
    <w:rsid w:val="002A72CC"/>
    <w:rsid w:val="002A76AB"/>
    <w:rsid w:val="002A7A4F"/>
    <w:rsid w:val="002A7AFE"/>
    <w:rsid w:val="002B01DB"/>
    <w:rsid w:val="002B09C0"/>
    <w:rsid w:val="002B13B3"/>
    <w:rsid w:val="002B183D"/>
    <w:rsid w:val="002B1DBF"/>
    <w:rsid w:val="002B1E4E"/>
    <w:rsid w:val="002B207F"/>
    <w:rsid w:val="002B2A48"/>
    <w:rsid w:val="002B2BEE"/>
    <w:rsid w:val="002B31AD"/>
    <w:rsid w:val="002B3EA7"/>
    <w:rsid w:val="002B4BAE"/>
    <w:rsid w:val="002B538B"/>
    <w:rsid w:val="002B581B"/>
    <w:rsid w:val="002C0E6D"/>
    <w:rsid w:val="002C100D"/>
    <w:rsid w:val="002C149B"/>
    <w:rsid w:val="002C2892"/>
    <w:rsid w:val="002C52D9"/>
    <w:rsid w:val="002C58AB"/>
    <w:rsid w:val="002C6D84"/>
    <w:rsid w:val="002C7D21"/>
    <w:rsid w:val="002D033B"/>
    <w:rsid w:val="002D1564"/>
    <w:rsid w:val="002D1CA4"/>
    <w:rsid w:val="002D2C09"/>
    <w:rsid w:val="002D2C45"/>
    <w:rsid w:val="002D2ED8"/>
    <w:rsid w:val="002D4969"/>
    <w:rsid w:val="002D4EE1"/>
    <w:rsid w:val="002D4F49"/>
    <w:rsid w:val="002D5932"/>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5A8"/>
    <w:rsid w:val="002F3D1C"/>
    <w:rsid w:val="002F4EA1"/>
    <w:rsid w:val="002F52DE"/>
    <w:rsid w:val="002F55C1"/>
    <w:rsid w:val="002F797A"/>
    <w:rsid w:val="00300483"/>
    <w:rsid w:val="00301C43"/>
    <w:rsid w:val="00301C91"/>
    <w:rsid w:val="00303F2B"/>
    <w:rsid w:val="00304607"/>
    <w:rsid w:val="0030467A"/>
    <w:rsid w:val="00304D4E"/>
    <w:rsid w:val="00304FFD"/>
    <w:rsid w:val="00305608"/>
    <w:rsid w:val="00305B72"/>
    <w:rsid w:val="0030610A"/>
    <w:rsid w:val="00306627"/>
    <w:rsid w:val="003069DD"/>
    <w:rsid w:val="00306CAB"/>
    <w:rsid w:val="003101FC"/>
    <w:rsid w:val="0031146F"/>
    <w:rsid w:val="00311795"/>
    <w:rsid w:val="003117B1"/>
    <w:rsid w:val="00311817"/>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52E"/>
    <w:rsid w:val="003209E4"/>
    <w:rsid w:val="00320F38"/>
    <w:rsid w:val="00321183"/>
    <w:rsid w:val="00321694"/>
    <w:rsid w:val="00321F0A"/>
    <w:rsid w:val="003223CE"/>
    <w:rsid w:val="00322A2D"/>
    <w:rsid w:val="00322E80"/>
    <w:rsid w:val="00324D5B"/>
    <w:rsid w:val="00325045"/>
    <w:rsid w:val="00325D91"/>
    <w:rsid w:val="003267B4"/>
    <w:rsid w:val="003270B8"/>
    <w:rsid w:val="00331193"/>
    <w:rsid w:val="003333D4"/>
    <w:rsid w:val="00334951"/>
    <w:rsid w:val="00334E37"/>
    <w:rsid w:val="00336411"/>
    <w:rsid w:val="0033678D"/>
    <w:rsid w:val="0033720D"/>
    <w:rsid w:val="003373E8"/>
    <w:rsid w:val="00337D78"/>
    <w:rsid w:val="00340AF6"/>
    <w:rsid w:val="003443DD"/>
    <w:rsid w:val="00344B5C"/>
    <w:rsid w:val="00344D5A"/>
    <w:rsid w:val="00346EB6"/>
    <w:rsid w:val="00347EDB"/>
    <w:rsid w:val="00350797"/>
    <w:rsid w:val="00351A85"/>
    <w:rsid w:val="00351ED4"/>
    <w:rsid w:val="003522E8"/>
    <w:rsid w:val="00353989"/>
    <w:rsid w:val="00355B7A"/>
    <w:rsid w:val="0035617C"/>
    <w:rsid w:val="00356B0E"/>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2F2"/>
    <w:rsid w:val="00372221"/>
    <w:rsid w:val="003727CE"/>
    <w:rsid w:val="00372CF2"/>
    <w:rsid w:val="00374C7E"/>
    <w:rsid w:val="00377353"/>
    <w:rsid w:val="0037736B"/>
    <w:rsid w:val="00381F57"/>
    <w:rsid w:val="0038216E"/>
    <w:rsid w:val="003822E5"/>
    <w:rsid w:val="003830B8"/>
    <w:rsid w:val="00383262"/>
    <w:rsid w:val="003A0047"/>
    <w:rsid w:val="003A006C"/>
    <w:rsid w:val="003A157A"/>
    <w:rsid w:val="003A1CCF"/>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ABF"/>
    <w:rsid w:val="003B52FE"/>
    <w:rsid w:val="003B572A"/>
    <w:rsid w:val="003B575A"/>
    <w:rsid w:val="003B62A9"/>
    <w:rsid w:val="003B6325"/>
    <w:rsid w:val="003B7093"/>
    <w:rsid w:val="003B71E0"/>
    <w:rsid w:val="003B78A4"/>
    <w:rsid w:val="003C144E"/>
    <w:rsid w:val="003C1A07"/>
    <w:rsid w:val="003C1E74"/>
    <w:rsid w:val="003C20A2"/>
    <w:rsid w:val="003C2673"/>
    <w:rsid w:val="003C27A2"/>
    <w:rsid w:val="003C567C"/>
    <w:rsid w:val="003C59B8"/>
    <w:rsid w:val="003C6809"/>
    <w:rsid w:val="003C7897"/>
    <w:rsid w:val="003C7ED1"/>
    <w:rsid w:val="003D0937"/>
    <w:rsid w:val="003D17E6"/>
    <w:rsid w:val="003D1A20"/>
    <w:rsid w:val="003D1AC9"/>
    <w:rsid w:val="003D2AC9"/>
    <w:rsid w:val="003D2CD8"/>
    <w:rsid w:val="003D3724"/>
    <w:rsid w:val="003D46A7"/>
    <w:rsid w:val="003D547D"/>
    <w:rsid w:val="003D6376"/>
    <w:rsid w:val="003E1235"/>
    <w:rsid w:val="003E2A35"/>
    <w:rsid w:val="003E2B56"/>
    <w:rsid w:val="003E2CE1"/>
    <w:rsid w:val="003E2DCB"/>
    <w:rsid w:val="003E4C3F"/>
    <w:rsid w:val="003E4D7C"/>
    <w:rsid w:val="003E57A4"/>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585B"/>
    <w:rsid w:val="0042651C"/>
    <w:rsid w:val="00426E9B"/>
    <w:rsid w:val="0042758F"/>
    <w:rsid w:val="00427D55"/>
    <w:rsid w:val="0043233C"/>
    <w:rsid w:val="004345A6"/>
    <w:rsid w:val="00435B2F"/>
    <w:rsid w:val="00435E03"/>
    <w:rsid w:val="004371CE"/>
    <w:rsid w:val="004373E1"/>
    <w:rsid w:val="004374A3"/>
    <w:rsid w:val="00437A7E"/>
    <w:rsid w:val="00437B6C"/>
    <w:rsid w:val="00437C77"/>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904"/>
    <w:rsid w:val="004624AE"/>
    <w:rsid w:val="0046250E"/>
    <w:rsid w:val="00462E9C"/>
    <w:rsid w:val="00464B48"/>
    <w:rsid w:val="00465231"/>
    <w:rsid w:val="004662AD"/>
    <w:rsid w:val="00466516"/>
    <w:rsid w:val="00467B65"/>
    <w:rsid w:val="00471EA5"/>
    <w:rsid w:val="004720C9"/>
    <w:rsid w:val="00472257"/>
    <w:rsid w:val="00472E49"/>
    <w:rsid w:val="00472FF0"/>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557"/>
    <w:rsid w:val="004A2A54"/>
    <w:rsid w:val="004A2EF3"/>
    <w:rsid w:val="004A3B0D"/>
    <w:rsid w:val="004A52F5"/>
    <w:rsid w:val="004A56C5"/>
    <w:rsid w:val="004A5D3A"/>
    <w:rsid w:val="004A6897"/>
    <w:rsid w:val="004A692B"/>
    <w:rsid w:val="004A6EB6"/>
    <w:rsid w:val="004A794C"/>
    <w:rsid w:val="004B0706"/>
    <w:rsid w:val="004B1C71"/>
    <w:rsid w:val="004B3EC7"/>
    <w:rsid w:val="004B5005"/>
    <w:rsid w:val="004B5664"/>
    <w:rsid w:val="004C00BB"/>
    <w:rsid w:val="004C2107"/>
    <w:rsid w:val="004C444A"/>
    <w:rsid w:val="004C5FC6"/>
    <w:rsid w:val="004C6435"/>
    <w:rsid w:val="004C649B"/>
    <w:rsid w:val="004C71B5"/>
    <w:rsid w:val="004C77C5"/>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133A"/>
    <w:rsid w:val="004F263C"/>
    <w:rsid w:val="004F2BB1"/>
    <w:rsid w:val="004F2EC7"/>
    <w:rsid w:val="004F3CE8"/>
    <w:rsid w:val="004F4BD7"/>
    <w:rsid w:val="004F6BFB"/>
    <w:rsid w:val="004F7E4A"/>
    <w:rsid w:val="0050147C"/>
    <w:rsid w:val="0050182B"/>
    <w:rsid w:val="00502579"/>
    <w:rsid w:val="005029F7"/>
    <w:rsid w:val="00503CDF"/>
    <w:rsid w:val="00503D4C"/>
    <w:rsid w:val="00504C0C"/>
    <w:rsid w:val="00504E48"/>
    <w:rsid w:val="005070FF"/>
    <w:rsid w:val="005109EC"/>
    <w:rsid w:val="00511865"/>
    <w:rsid w:val="00512BBC"/>
    <w:rsid w:val="005134FB"/>
    <w:rsid w:val="005135FD"/>
    <w:rsid w:val="0051366C"/>
    <w:rsid w:val="005160D3"/>
    <w:rsid w:val="0051684F"/>
    <w:rsid w:val="00516A92"/>
    <w:rsid w:val="00516B9F"/>
    <w:rsid w:val="00517693"/>
    <w:rsid w:val="00517747"/>
    <w:rsid w:val="005205AB"/>
    <w:rsid w:val="00523378"/>
    <w:rsid w:val="0052550F"/>
    <w:rsid w:val="00526C0F"/>
    <w:rsid w:val="0052702A"/>
    <w:rsid w:val="00530397"/>
    <w:rsid w:val="00530BFB"/>
    <w:rsid w:val="00530F73"/>
    <w:rsid w:val="00533B8E"/>
    <w:rsid w:val="00533F3E"/>
    <w:rsid w:val="00534C78"/>
    <w:rsid w:val="00535417"/>
    <w:rsid w:val="00535833"/>
    <w:rsid w:val="00536AB2"/>
    <w:rsid w:val="00536D28"/>
    <w:rsid w:val="005372C5"/>
    <w:rsid w:val="00537A26"/>
    <w:rsid w:val="00537E11"/>
    <w:rsid w:val="005401D8"/>
    <w:rsid w:val="00540E47"/>
    <w:rsid w:val="00543283"/>
    <w:rsid w:val="0054364C"/>
    <w:rsid w:val="00546747"/>
    <w:rsid w:val="00547510"/>
    <w:rsid w:val="00547ECC"/>
    <w:rsid w:val="00551D5A"/>
    <w:rsid w:val="00551EC3"/>
    <w:rsid w:val="00554A44"/>
    <w:rsid w:val="00554B90"/>
    <w:rsid w:val="00554C53"/>
    <w:rsid w:val="00554F18"/>
    <w:rsid w:val="00555220"/>
    <w:rsid w:val="005553DC"/>
    <w:rsid w:val="005555F0"/>
    <w:rsid w:val="00555739"/>
    <w:rsid w:val="00556E75"/>
    <w:rsid w:val="00556F2D"/>
    <w:rsid w:val="00557699"/>
    <w:rsid w:val="0056069A"/>
    <w:rsid w:val="00560C3B"/>
    <w:rsid w:val="00561D3C"/>
    <w:rsid w:val="00561EA1"/>
    <w:rsid w:val="00562799"/>
    <w:rsid w:val="00564804"/>
    <w:rsid w:val="00565598"/>
    <w:rsid w:val="00565B5A"/>
    <w:rsid w:val="00567E8F"/>
    <w:rsid w:val="005702D6"/>
    <w:rsid w:val="00572588"/>
    <w:rsid w:val="00573A50"/>
    <w:rsid w:val="00574363"/>
    <w:rsid w:val="0057466A"/>
    <w:rsid w:val="005746D2"/>
    <w:rsid w:val="00574E8A"/>
    <w:rsid w:val="00577775"/>
    <w:rsid w:val="005804F7"/>
    <w:rsid w:val="0058121A"/>
    <w:rsid w:val="00581863"/>
    <w:rsid w:val="00581EA3"/>
    <w:rsid w:val="0058205A"/>
    <w:rsid w:val="0058260B"/>
    <w:rsid w:val="00584D1E"/>
    <w:rsid w:val="00586795"/>
    <w:rsid w:val="00586B82"/>
    <w:rsid w:val="00587E13"/>
    <w:rsid w:val="00587E14"/>
    <w:rsid w:val="005933AA"/>
    <w:rsid w:val="005940AA"/>
    <w:rsid w:val="00594614"/>
    <w:rsid w:val="00594E10"/>
    <w:rsid w:val="00596306"/>
    <w:rsid w:val="00596487"/>
    <w:rsid w:val="005A0809"/>
    <w:rsid w:val="005A0B91"/>
    <w:rsid w:val="005A1494"/>
    <w:rsid w:val="005A3590"/>
    <w:rsid w:val="005A378E"/>
    <w:rsid w:val="005A4A1C"/>
    <w:rsid w:val="005A5BD8"/>
    <w:rsid w:val="005A692A"/>
    <w:rsid w:val="005A6AB8"/>
    <w:rsid w:val="005B11C2"/>
    <w:rsid w:val="005B180A"/>
    <w:rsid w:val="005B382C"/>
    <w:rsid w:val="005B3C11"/>
    <w:rsid w:val="005B3E8A"/>
    <w:rsid w:val="005B40DA"/>
    <w:rsid w:val="005B4226"/>
    <w:rsid w:val="005B5555"/>
    <w:rsid w:val="005B5AA4"/>
    <w:rsid w:val="005B656B"/>
    <w:rsid w:val="005B71B3"/>
    <w:rsid w:val="005B76A4"/>
    <w:rsid w:val="005C04A7"/>
    <w:rsid w:val="005C17A4"/>
    <w:rsid w:val="005C27CC"/>
    <w:rsid w:val="005C35EE"/>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B0A"/>
    <w:rsid w:val="005E60B3"/>
    <w:rsid w:val="005E676C"/>
    <w:rsid w:val="005E6CB9"/>
    <w:rsid w:val="005E7B21"/>
    <w:rsid w:val="005E7F14"/>
    <w:rsid w:val="005F0154"/>
    <w:rsid w:val="005F0176"/>
    <w:rsid w:val="005F021D"/>
    <w:rsid w:val="005F1EAC"/>
    <w:rsid w:val="005F308F"/>
    <w:rsid w:val="005F4869"/>
    <w:rsid w:val="005F4BFD"/>
    <w:rsid w:val="005F5748"/>
    <w:rsid w:val="005F5834"/>
    <w:rsid w:val="005F5E11"/>
    <w:rsid w:val="005F6622"/>
    <w:rsid w:val="005F68F6"/>
    <w:rsid w:val="006003E5"/>
    <w:rsid w:val="00600E63"/>
    <w:rsid w:val="00601561"/>
    <w:rsid w:val="00601E55"/>
    <w:rsid w:val="00602037"/>
    <w:rsid w:val="006026BF"/>
    <w:rsid w:val="006029DD"/>
    <w:rsid w:val="00602C6A"/>
    <w:rsid w:val="00603AF5"/>
    <w:rsid w:val="00606C66"/>
    <w:rsid w:val="00607F7D"/>
    <w:rsid w:val="00610145"/>
    <w:rsid w:val="00610D1F"/>
    <w:rsid w:val="0061127D"/>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A3F"/>
    <w:rsid w:val="00630D2E"/>
    <w:rsid w:val="00630D39"/>
    <w:rsid w:val="00631E19"/>
    <w:rsid w:val="00633E76"/>
    <w:rsid w:val="00633EC9"/>
    <w:rsid w:val="006340F5"/>
    <w:rsid w:val="00634542"/>
    <w:rsid w:val="00634731"/>
    <w:rsid w:val="00635E4D"/>
    <w:rsid w:val="0063620C"/>
    <w:rsid w:val="00637E18"/>
    <w:rsid w:val="0064032E"/>
    <w:rsid w:val="0064038D"/>
    <w:rsid w:val="00641A0B"/>
    <w:rsid w:val="00641D5A"/>
    <w:rsid w:val="00641E06"/>
    <w:rsid w:val="00642608"/>
    <w:rsid w:val="00643007"/>
    <w:rsid w:val="006431D0"/>
    <w:rsid w:val="006432C5"/>
    <w:rsid w:val="006436FA"/>
    <w:rsid w:val="00643852"/>
    <w:rsid w:val="00643C27"/>
    <w:rsid w:val="006455E7"/>
    <w:rsid w:val="00645758"/>
    <w:rsid w:val="006461A1"/>
    <w:rsid w:val="00647422"/>
    <w:rsid w:val="00647E6B"/>
    <w:rsid w:val="00650E84"/>
    <w:rsid w:val="006514B4"/>
    <w:rsid w:val="0065198B"/>
    <w:rsid w:val="006525AF"/>
    <w:rsid w:val="0065266A"/>
    <w:rsid w:val="00653F9C"/>
    <w:rsid w:val="00655470"/>
    <w:rsid w:val="006555EB"/>
    <w:rsid w:val="00656FEE"/>
    <w:rsid w:val="0065758F"/>
    <w:rsid w:val="00660897"/>
    <w:rsid w:val="00661028"/>
    <w:rsid w:val="006613ED"/>
    <w:rsid w:val="006617BD"/>
    <w:rsid w:val="0066194D"/>
    <w:rsid w:val="00664695"/>
    <w:rsid w:val="00664840"/>
    <w:rsid w:val="00664B44"/>
    <w:rsid w:val="006652BF"/>
    <w:rsid w:val="0066630C"/>
    <w:rsid w:val="00667BBD"/>
    <w:rsid w:val="00671149"/>
    <w:rsid w:val="00671575"/>
    <w:rsid w:val="00671615"/>
    <w:rsid w:val="00671741"/>
    <w:rsid w:val="00671766"/>
    <w:rsid w:val="00672914"/>
    <w:rsid w:val="006744C3"/>
    <w:rsid w:val="0067537F"/>
    <w:rsid w:val="00676410"/>
    <w:rsid w:val="00680509"/>
    <w:rsid w:val="006805CB"/>
    <w:rsid w:val="00681CC1"/>
    <w:rsid w:val="0068233B"/>
    <w:rsid w:val="00682E11"/>
    <w:rsid w:val="00683081"/>
    <w:rsid w:val="006833D6"/>
    <w:rsid w:val="00684C95"/>
    <w:rsid w:val="006850D3"/>
    <w:rsid w:val="00685249"/>
    <w:rsid w:val="006856B9"/>
    <w:rsid w:val="00685BDE"/>
    <w:rsid w:val="00686085"/>
    <w:rsid w:val="00687C0D"/>
    <w:rsid w:val="00691237"/>
    <w:rsid w:val="006920E6"/>
    <w:rsid w:val="00692555"/>
    <w:rsid w:val="00696566"/>
    <w:rsid w:val="006966BA"/>
    <w:rsid w:val="00696852"/>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2BA2"/>
    <w:rsid w:val="006D4D79"/>
    <w:rsid w:val="006D4FBD"/>
    <w:rsid w:val="006D5879"/>
    <w:rsid w:val="006D63FD"/>
    <w:rsid w:val="006D65B4"/>
    <w:rsid w:val="006D754A"/>
    <w:rsid w:val="006D7B9C"/>
    <w:rsid w:val="006D7DBA"/>
    <w:rsid w:val="006E04C6"/>
    <w:rsid w:val="006E0A65"/>
    <w:rsid w:val="006E1B01"/>
    <w:rsid w:val="006E211E"/>
    <w:rsid w:val="006E30F0"/>
    <w:rsid w:val="006E3E3D"/>
    <w:rsid w:val="006E4836"/>
    <w:rsid w:val="006E5DDD"/>
    <w:rsid w:val="006E6C7A"/>
    <w:rsid w:val="006E7811"/>
    <w:rsid w:val="006F04DA"/>
    <w:rsid w:val="006F0557"/>
    <w:rsid w:val="006F0EA3"/>
    <w:rsid w:val="006F1B5D"/>
    <w:rsid w:val="006F212B"/>
    <w:rsid w:val="006F37F7"/>
    <w:rsid w:val="006F4A61"/>
    <w:rsid w:val="006F4ADC"/>
    <w:rsid w:val="006F643D"/>
    <w:rsid w:val="006F675C"/>
    <w:rsid w:val="006F6D13"/>
    <w:rsid w:val="006F7759"/>
    <w:rsid w:val="006F7B3E"/>
    <w:rsid w:val="006F7D95"/>
    <w:rsid w:val="00700D41"/>
    <w:rsid w:val="00701B21"/>
    <w:rsid w:val="00702384"/>
    <w:rsid w:val="00704BAE"/>
    <w:rsid w:val="00705807"/>
    <w:rsid w:val="00705C74"/>
    <w:rsid w:val="00705C78"/>
    <w:rsid w:val="007060E1"/>
    <w:rsid w:val="00706824"/>
    <w:rsid w:val="00706ACE"/>
    <w:rsid w:val="00706B85"/>
    <w:rsid w:val="007071FC"/>
    <w:rsid w:val="00707C84"/>
    <w:rsid w:val="00710A59"/>
    <w:rsid w:val="00710FDE"/>
    <w:rsid w:val="007116C7"/>
    <w:rsid w:val="00711C5A"/>
    <w:rsid w:val="00712B66"/>
    <w:rsid w:val="00713C31"/>
    <w:rsid w:val="0071428D"/>
    <w:rsid w:val="007144C9"/>
    <w:rsid w:val="007157D3"/>
    <w:rsid w:val="00716B3C"/>
    <w:rsid w:val="007170C2"/>
    <w:rsid w:val="00717EE4"/>
    <w:rsid w:val="00717F2D"/>
    <w:rsid w:val="00720453"/>
    <w:rsid w:val="00720853"/>
    <w:rsid w:val="00722129"/>
    <w:rsid w:val="00723697"/>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CD"/>
    <w:rsid w:val="007470EC"/>
    <w:rsid w:val="0075020B"/>
    <w:rsid w:val="00751017"/>
    <w:rsid w:val="00751960"/>
    <w:rsid w:val="00753471"/>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0F"/>
    <w:rsid w:val="00771067"/>
    <w:rsid w:val="007722ED"/>
    <w:rsid w:val="0077408B"/>
    <w:rsid w:val="00774AF6"/>
    <w:rsid w:val="00774EC8"/>
    <w:rsid w:val="00776781"/>
    <w:rsid w:val="0077704D"/>
    <w:rsid w:val="007776CC"/>
    <w:rsid w:val="00777CE9"/>
    <w:rsid w:val="0078060A"/>
    <w:rsid w:val="00780D05"/>
    <w:rsid w:val="00783C7B"/>
    <w:rsid w:val="0078556C"/>
    <w:rsid w:val="007855C5"/>
    <w:rsid w:val="007856D3"/>
    <w:rsid w:val="00785ABD"/>
    <w:rsid w:val="007860C6"/>
    <w:rsid w:val="00786190"/>
    <w:rsid w:val="00786254"/>
    <w:rsid w:val="00786DB0"/>
    <w:rsid w:val="00787C12"/>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14F"/>
    <w:rsid w:val="007A6F0F"/>
    <w:rsid w:val="007A708C"/>
    <w:rsid w:val="007A75B5"/>
    <w:rsid w:val="007A7985"/>
    <w:rsid w:val="007A7ABE"/>
    <w:rsid w:val="007A7D53"/>
    <w:rsid w:val="007B01AE"/>
    <w:rsid w:val="007B03C5"/>
    <w:rsid w:val="007B26E1"/>
    <w:rsid w:val="007B2EC8"/>
    <w:rsid w:val="007B3045"/>
    <w:rsid w:val="007B364A"/>
    <w:rsid w:val="007B4C0F"/>
    <w:rsid w:val="007B5616"/>
    <w:rsid w:val="007B5E25"/>
    <w:rsid w:val="007B6E0E"/>
    <w:rsid w:val="007B76E5"/>
    <w:rsid w:val="007C0B7D"/>
    <w:rsid w:val="007C1DD2"/>
    <w:rsid w:val="007C27FB"/>
    <w:rsid w:val="007C2CBB"/>
    <w:rsid w:val="007C309C"/>
    <w:rsid w:val="007C4209"/>
    <w:rsid w:val="007C5EB9"/>
    <w:rsid w:val="007C7449"/>
    <w:rsid w:val="007C7EA5"/>
    <w:rsid w:val="007D1A95"/>
    <w:rsid w:val="007D245E"/>
    <w:rsid w:val="007D3764"/>
    <w:rsid w:val="007D485A"/>
    <w:rsid w:val="007D4E72"/>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56BD"/>
    <w:rsid w:val="007F5C30"/>
    <w:rsid w:val="007F7022"/>
    <w:rsid w:val="007F7222"/>
    <w:rsid w:val="007F7690"/>
    <w:rsid w:val="008011CC"/>
    <w:rsid w:val="00801404"/>
    <w:rsid w:val="008017AA"/>
    <w:rsid w:val="00801CBA"/>
    <w:rsid w:val="00801D92"/>
    <w:rsid w:val="00804BCF"/>
    <w:rsid w:val="00804FA4"/>
    <w:rsid w:val="00805275"/>
    <w:rsid w:val="00806805"/>
    <w:rsid w:val="00806A62"/>
    <w:rsid w:val="00806E55"/>
    <w:rsid w:val="008075CE"/>
    <w:rsid w:val="008109A0"/>
    <w:rsid w:val="00812179"/>
    <w:rsid w:val="008124E2"/>
    <w:rsid w:val="00813928"/>
    <w:rsid w:val="00815321"/>
    <w:rsid w:val="008166DB"/>
    <w:rsid w:val="008167C8"/>
    <w:rsid w:val="008173E0"/>
    <w:rsid w:val="008175C1"/>
    <w:rsid w:val="008200D4"/>
    <w:rsid w:val="00820370"/>
    <w:rsid w:val="00820CC6"/>
    <w:rsid w:val="00822C41"/>
    <w:rsid w:val="00824386"/>
    <w:rsid w:val="00825043"/>
    <w:rsid w:val="00825267"/>
    <w:rsid w:val="008264EC"/>
    <w:rsid w:val="00827C0D"/>
    <w:rsid w:val="00830642"/>
    <w:rsid w:val="00831250"/>
    <w:rsid w:val="00831D8D"/>
    <w:rsid w:val="00832297"/>
    <w:rsid w:val="00832496"/>
    <w:rsid w:val="00832AE2"/>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58F"/>
    <w:rsid w:val="008477D2"/>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AA3"/>
    <w:rsid w:val="00863C9F"/>
    <w:rsid w:val="008645D6"/>
    <w:rsid w:val="0086552B"/>
    <w:rsid w:val="008655A2"/>
    <w:rsid w:val="0086584F"/>
    <w:rsid w:val="00865948"/>
    <w:rsid w:val="008671C7"/>
    <w:rsid w:val="00867EB8"/>
    <w:rsid w:val="00870335"/>
    <w:rsid w:val="00870AA2"/>
    <w:rsid w:val="00873D88"/>
    <w:rsid w:val="0087433B"/>
    <w:rsid w:val="008745F6"/>
    <w:rsid w:val="0087621E"/>
    <w:rsid w:val="008767B2"/>
    <w:rsid w:val="00877328"/>
    <w:rsid w:val="0087787A"/>
    <w:rsid w:val="008802F0"/>
    <w:rsid w:val="00880992"/>
    <w:rsid w:val="00880C03"/>
    <w:rsid w:val="00881692"/>
    <w:rsid w:val="008826D8"/>
    <w:rsid w:val="00883143"/>
    <w:rsid w:val="00884EC8"/>
    <w:rsid w:val="00886154"/>
    <w:rsid w:val="00886526"/>
    <w:rsid w:val="00890277"/>
    <w:rsid w:val="0089061A"/>
    <w:rsid w:val="008915C6"/>
    <w:rsid w:val="00891677"/>
    <w:rsid w:val="00891FD6"/>
    <w:rsid w:val="00892DB5"/>
    <w:rsid w:val="00894B61"/>
    <w:rsid w:val="00895255"/>
    <w:rsid w:val="00895DF1"/>
    <w:rsid w:val="00896645"/>
    <w:rsid w:val="008975D2"/>
    <w:rsid w:val="008A035B"/>
    <w:rsid w:val="008A0459"/>
    <w:rsid w:val="008A1218"/>
    <w:rsid w:val="008A15B6"/>
    <w:rsid w:val="008A1A6E"/>
    <w:rsid w:val="008A202A"/>
    <w:rsid w:val="008A2EE0"/>
    <w:rsid w:val="008A36C9"/>
    <w:rsid w:val="008A3E87"/>
    <w:rsid w:val="008A5AF9"/>
    <w:rsid w:val="008B16DE"/>
    <w:rsid w:val="008B251F"/>
    <w:rsid w:val="008B2602"/>
    <w:rsid w:val="008B2727"/>
    <w:rsid w:val="008B316B"/>
    <w:rsid w:val="008B5059"/>
    <w:rsid w:val="008B5BF2"/>
    <w:rsid w:val="008B6934"/>
    <w:rsid w:val="008B6CF8"/>
    <w:rsid w:val="008B72F6"/>
    <w:rsid w:val="008B78C5"/>
    <w:rsid w:val="008C119E"/>
    <w:rsid w:val="008C1E24"/>
    <w:rsid w:val="008C257B"/>
    <w:rsid w:val="008C296B"/>
    <w:rsid w:val="008C2A46"/>
    <w:rsid w:val="008C3FF4"/>
    <w:rsid w:val="008C4278"/>
    <w:rsid w:val="008C520E"/>
    <w:rsid w:val="008C563B"/>
    <w:rsid w:val="008C567E"/>
    <w:rsid w:val="008C5DEE"/>
    <w:rsid w:val="008C6285"/>
    <w:rsid w:val="008C7182"/>
    <w:rsid w:val="008C7268"/>
    <w:rsid w:val="008C7CA5"/>
    <w:rsid w:val="008C7D9D"/>
    <w:rsid w:val="008D0416"/>
    <w:rsid w:val="008D13C6"/>
    <w:rsid w:val="008D1B04"/>
    <w:rsid w:val="008D2EFF"/>
    <w:rsid w:val="008D3235"/>
    <w:rsid w:val="008D33C8"/>
    <w:rsid w:val="008D3893"/>
    <w:rsid w:val="008D45CD"/>
    <w:rsid w:val="008D55F1"/>
    <w:rsid w:val="008D5CD7"/>
    <w:rsid w:val="008D718E"/>
    <w:rsid w:val="008E09C5"/>
    <w:rsid w:val="008E0AA7"/>
    <w:rsid w:val="008E0E3A"/>
    <w:rsid w:val="008E1B09"/>
    <w:rsid w:val="008E2355"/>
    <w:rsid w:val="008E3151"/>
    <w:rsid w:val="008E3386"/>
    <w:rsid w:val="008E5410"/>
    <w:rsid w:val="008E5A3F"/>
    <w:rsid w:val="008E7209"/>
    <w:rsid w:val="008E7448"/>
    <w:rsid w:val="008F11BB"/>
    <w:rsid w:val="008F16FF"/>
    <w:rsid w:val="008F182F"/>
    <w:rsid w:val="008F1E95"/>
    <w:rsid w:val="008F2304"/>
    <w:rsid w:val="008F57DD"/>
    <w:rsid w:val="008F592D"/>
    <w:rsid w:val="008F5AEE"/>
    <w:rsid w:val="008F6EAA"/>
    <w:rsid w:val="008F7800"/>
    <w:rsid w:val="008F7BCA"/>
    <w:rsid w:val="00900A15"/>
    <w:rsid w:val="00900F4D"/>
    <w:rsid w:val="0090167B"/>
    <w:rsid w:val="00902DEC"/>
    <w:rsid w:val="0090342E"/>
    <w:rsid w:val="00903D3A"/>
    <w:rsid w:val="009044B9"/>
    <w:rsid w:val="009047B1"/>
    <w:rsid w:val="00904C86"/>
    <w:rsid w:val="00904F7D"/>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4F9"/>
    <w:rsid w:val="00921861"/>
    <w:rsid w:val="0092189E"/>
    <w:rsid w:val="00921922"/>
    <w:rsid w:val="009219FD"/>
    <w:rsid w:val="00921DF7"/>
    <w:rsid w:val="00922F37"/>
    <w:rsid w:val="009234C9"/>
    <w:rsid w:val="009236E2"/>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560"/>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25D"/>
    <w:rsid w:val="00955851"/>
    <w:rsid w:val="00955C63"/>
    <w:rsid w:val="00957E23"/>
    <w:rsid w:val="00961487"/>
    <w:rsid w:val="00961BA7"/>
    <w:rsid w:val="00961F01"/>
    <w:rsid w:val="00962162"/>
    <w:rsid w:val="009623BC"/>
    <w:rsid w:val="009628BE"/>
    <w:rsid w:val="009631C8"/>
    <w:rsid w:val="0096354C"/>
    <w:rsid w:val="009638C1"/>
    <w:rsid w:val="00963AE4"/>
    <w:rsid w:val="00963C14"/>
    <w:rsid w:val="00963CAF"/>
    <w:rsid w:val="009645CD"/>
    <w:rsid w:val="00965940"/>
    <w:rsid w:val="00965A4E"/>
    <w:rsid w:val="00966BE5"/>
    <w:rsid w:val="00966EB0"/>
    <w:rsid w:val="00971116"/>
    <w:rsid w:val="00972E28"/>
    <w:rsid w:val="00973030"/>
    <w:rsid w:val="009733F3"/>
    <w:rsid w:val="009748E4"/>
    <w:rsid w:val="00974CFD"/>
    <w:rsid w:val="00975EC7"/>
    <w:rsid w:val="00976D65"/>
    <w:rsid w:val="00977CE6"/>
    <w:rsid w:val="009807AC"/>
    <w:rsid w:val="00980C18"/>
    <w:rsid w:val="009810E9"/>
    <w:rsid w:val="0098141C"/>
    <w:rsid w:val="00981AA9"/>
    <w:rsid w:val="00981C91"/>
    <w:rsid w:val="00983132"/>
    <w:rsid w:val="00983314"/>
    <w:rsid w:val="00983DF2"/>
    <w:rsid w:val="0098433A"/>
    <w:rsid w:val="009846D1"/>
    <w:rsid w:val="009850F1"/>
    <w:rsid w:val="00985675"/>
    <w:rsid w:val="00985939"/>
    <w:rsid w:val="0098637F"/>
    <w:rsid w:val="00986A9B"/>
    <w:rsid w:val="00986B9C"/>
    <w:rsid w:val="00987BAB"/>
    <w:rsid w:val="009906BF"/>
    <w:rsid w:val="009913F3"/>
    <w:rsid w:val="009919A7"/>
    <w:rsid w:val="00991DA1"/>
    <w:rsid w:val="009927F1"/>
    <w:rsid w:val="009936C4"/>
    <w:rsid w:val="009948ED"/>
    <w:rsid w:val="00995710"/>
    <w:rsid w:val="00995ADA"/>
    <w:rsid w:val="0099643A"/>
    <w:rsid w:val="00997959"/>
    <w:rsid w:val="009A0BAF"/>
    <w:rsid w:val="009A1088"/>
    <w:rsid w:val="009A1431"/>
    <w:rsid w:val="009A153D"/>
    <w:rsid w:val="009A1634"/>
    <w:rsid w:val="009A28FA"/>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B03"/>
    <w:rsid w:val="009B4027"/>
    <w:rsid w:val="009B4975"/>
    <w:rsid w:val="009B561F"/>
    <w:rsid w:val="009B5773"/>
    <w:rsid w:val="009B5D2D"/>
    <w:rsid w:val="009C058F"/>
    <w:rsid w:val="009C1239"/>
    <w:rsid w:val="009C2B3E"/>
    <w:rsid w:val="009C2EA2"/>
    <w:rsid w:val="009C2FC9"/>
    <w:rsid w:val="009C3721"/>
    <w:rsid w:val="009C3749"/>
    <w:rsid w:val="009C4141"/>
    <w:rsid w:val="009C4B55"/>
    <w:rsid w:val="009C5FCC"/>
    <w:rsid w:val="009C61A2"/>
    <w:rsid w:val="009C648F"/>
    <w:rsid w:val="009C6DF6"/>
    <w:rsid w:val="009C6E92"/>
    <w:rsid w:val="009D03E4"/>
    <w:rsid w:val="009D04F7"/>
    <w:rsid w:val="009D1589"/>
    <w:rsid w:val="009D2003"/>
    <w:rsid w:val="009D38C2"/>
    <w:rsid w:val="009D417F"/>
    <w:rsid w:val="009D45E5"/>
    <w:rsid w:val="009D4B85"/>
    <w:rsid w:val="009D535B"/>
    <w:rsid w:val="009D630B"/>
    <w:rsid w:val="009D6CAA"/>
    <w:rsid w:val="009D6CF6"/>
    <w:rsid w:val="009D6E69"/>
    <w:rsid w:val="009E0225"/>
    <w:rsid w:val="009E02DC"/>
    <w:rsid w:val="009E2040"/>
    <w:rsid w:val="009E3801"/>
    <w:rsid w:val="009E49AE"/>
    <w:rsid w:val="009E4DC7"/>
    <w:rsid w:val="009E643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569D"/>
    <w:rsid w:val="00A07096"/>
    <w:rsid w:val="00A07DCF"/>
    <w:rsid w:val="00A10839"/>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2FDC"/>
    <w:rsid w:val="00A33E80"/>
    <w:rsid w:val="00A33EFE"/>
    <w:rsid w:val="00A4148D"/>
    <w:rsid w:val="00A44D0E"/>
    <w:rsid w:val="00A4621D"/>
    <w:rsid w:val="00A47A1B"/>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E50"/>
    <w:rsid w:val="00A67B0E"/>
    <w:rsid w:val="00A7077D"/>
    <w:rsid w:val="00A718EF"/>
    <w:rsid w:val="00A72134"/>
    <w:rsid w:val="00A726A8"/>
    <w:rsid w:val="00A727C5"/>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A5F"/>
    <w:rsid w:val="00A95BED"/>
    <w:rsid w:val="00A95EA2"/>
    <w:rsid w:val="00A9787E"/>
    <w:rsid w:val="00A97AF9"/>
    <w:rsid w:val="00AA08E8"/>
    <w:rsid w:val="00AA0DB4"/>
    <w:rsid w:val="00AA11C5"/>
    <w:rsid w:val="00AA17E2"/>
    <w:rsid w:val="00AA1AD0"/>
    <w:rsid w:val="00AA21B7"/>
    <w:rsid w:val="00AA3163"/>
    <w:rsid w:val="00AA3827"/>
    <w:rsid w:val="00AA382D"/>
    <w:rsid w:val="00AA4242"/>
    <w:rsid w:val="00AA4A2C"/>
    <w:rsid w:val="00AA59A6"/>
    <w:rsid w:val="00AA6299"/>
    <w:rsid w:val="00AA6E05"/>
    <w:rsid w:val="00AA797B"/>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0FBA"/>
    <w:rsid w:val="00AD11DC"/>
    <w:rsid w:val="00AD1966"/>
    <w:rsid w:val="00AD19E8"/>
    <w:rsid w:val="00AD2B03"/>
    <w:rsid w:val="00AD2E07"/>
    <w:rsid w:val="00AD38A9"/>
    <w:rsid w:val="00AD4071"/>
    <w:rsid w:val="00AD44EA"/>
    <w:rsid w:val="00AD4782"/>
    <w:rsid w:val="00AD5236"/>
    <w:rsid w:val="00AD527D"/>
    <w:rsid w:val="00AD54E0"/>
    <w:rsid w:val="00AD64EE"/>
    <w:rsid w:val="00AD758E"/>
    <w:rsid w:val="00AD7AB5"/>
    <w:rsid w:val="00AE088C"/>
    <w:rsid w:val="00AE08B7"/>
    <w:rsid w:val="00AE0DBA"/>
    <w:rsid w:val="00AE160F"/>
    <w:rsid w:val="00AE19FE"/>
    <w:rsid w:val="00AE21DC"/>
    <w:rsid w:val="00AE239B"/>
    <w:rsid w:val="00AE25D2"/>
    <w:rsid w:val="00AE2B47"/>
    <w:rsid w:val="00AE2CAD"/>
    <w:rsid w:val="00AE3090"/>
    <w:rsid w:val="00AE380E"/>
    <w:rsid w:val="00AE3AAD"/>
    <w:rsid w:val="00AE4189"/>
    <w:rsid w:val="00AE503A"/>
    <w:rsid w:val="00AE68E2"/>
    <w:rsid w:val="00AE70F0"/>
    <w:rsid w:val="00AF0157"/>
    <w:rsid w:val="00AF1148"/>
    <w:rsid w:val="00AF1B2E"/>
    <w:rsid w:val="00AF2EC7"/>
    <w:rsid w:val="00AF3AC0"/>
    <w:rsid w:val="00AF4F4A"/>
    <w:rsid w:val="00AF505F"/>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570"/>
    <w:rsid w:val="00B16973"/>
    <w:rsid w:val="00B2036A"/>
    <w:rsid w:val="00B21057"/>
    <w:rsid w:val="00B2202B"/>
    <w:rsid w:val="00B23422"/>
    <w:rsid w:val="00B24197"/>
    <w:rsid w:val="00B24948"/>
    <w:rsid w:val="00B24CBD"/>
    <w:rsid w:val="00B25CA3"/>
    <w:rsid w:val="00B26A4C"/>
    <w:rsid w:val="00B30028"/>
    <w:rsid w:val="00B31E8D"/>
    <w:rsid w:val="00B3313B"/>
    <w:rsid w:val="00B331E8"/>
    <w:rsid w:val="00B331EA"/>
    <w:rsid w:val="00B33CB7"/>
    <w:rsid w:val="00B34732"/>
    <w:rsid w:val="00B34E3F"/>
    <w:rsid w:val="00B353B8"/>
    <w:rsid w:val="00B35C56"/>
    <w:rsid w:val="00B35F26"/>
    <w:rsid w:val="00B36F17"/>
    <w:rsid w:val="00B372ED"/>
    <w:rsid w:val="00B40603"/>
    <w:rsid w:val="00B40AF6"/>
    <w:rsid w:val="00B41071"/>
    <w:rsid w:val="00B425C0"/>
    <w:rsid w:val="00B42DB6"/>
    <w:rsid w:val="00B43D5A"/>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1F80"/>
    <w:rsid w:val="00B820F4"/>
    <w:rsid w:val="00B835E0"/>
    <w:rsid w:val="00B8396D"/>
    <w:rsid w:val="00B90331"/>
    <w:rsid w:val="00B903ED"/>
    <w:rsid w:val="00B90B2D"/>
    <w:rsid w:val="00B9286D"/>
    <w:rsid w:val="00B935A1"/>
    <w:rsid w:val="00B93FAA"/>
    <w:rsid w:val="00B95DAD"/>
    <w:rsid w:val="00B96C0C"/>
    <w:rsid w:val="00B9734D"/>
    <w:rsid w:val="00B97732"/>
    <w:rsid w:val="00BA27F4"/>
    <w:rsid w:val="00BA2E40"/>
    <w:rsid w:val="00BA3CB7"/>
    <w:rsid w:val="00BA41DE"/>
    <w:rsid w:val="00BA556C"/>
    <w:rsid w:val="00BA7441"/>
    <w:rsid w:val="00BB0F31"/>
    <w:rsid w:val="00BB15AB"/>
    <w:rsid w:val="00BB189B"/>
    <w:rsid w:val="00BB1D21"/>
    <w:rsid w:val="00BB2E51"/>
    <w:rsid w:val="00BB4BEA"/>
    <w:rsid w:val="00BB4C1A"/>
    <w:rsid w:val="00BB50AB"/>
    <w:rsid w:val="00BB6664"/>
    <w:rsid w:val="00BC01FC"/>
    <w:rsid w:val="00BC16CB"/>
    <w:rsid w:val="00BC1F79"/>
    <w:rsid w:val="00BC2201"/>
    <w:rsid w:val="00BC3C7A"/>
    <w:rsid w:val="00BC4ACE"/>
    <w:rsid w:val="00BC6B48"/>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519"/>
    <w:rsid w:val="00BF6B8E"/>
    <w:rsid w:val="00BF76C8"/>
    <w:rsid w:val="00BF7C95"/>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27D0D"/>
    <w:rsid w:val="00C3063A"/>
    <w:rsid w:val="00C30BAD"/>
    <w:rsid w:val="00C31E8F"/>
    <w:rsid w:val="00C335DA"/>
    <w:rsid w:val="00C33D3E"/>
    <w:rsid w:val="00C362E0"/>
    <w:rsid w:val="00C36ED4"/>
    <w:rsid w:val="00C376CC"/>
    <w:rsid w:val="00C37A06"/>
    <w:rsid w:val="00C400F7"/>
    <w:rsid w:val="00C40EC6"/>
    <w:rsid w:val="00C419AD"/>
    <w:rsid w:val="00C41B34"/>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B89"/>
    <w:rsid w:val="00C5503B"/>
    <w:rsid w:val="00C55A32"/>
    <w:rsid w:val="00C55BC0"/>
    <w:rsid w:val="00C564F2"/>
    <w:rsid w:val="00C56F11"/>
    <w:rsid w:val="00C61F3A"/>
    <w:rsid w:val="00C629CB"/>
    <w:rsid w:val="00C62B75"/>
    <w:rsid w:val="00C657B5"/>
    <w:rsid w:val="00C661E1"/>
    <w:rsid w:val="00C66686"/>
    <w:rsid w:val="00C678C4"/>
    <w:rsid w:val="00C70FC0"/>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360"/>
    <w:rsid w:val="00C939C3"/>
    <w:rsid w:val="00C94228"/>
    <w:rsid w:val="00C95FB9"/>
    <w:rsid w:val="00C963F1"/>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931"/>
    <w:rsid w:val="00CB0C6E"/>
    <w:rsid w:val="00CB0C89"/>
    <w:rsid w:val="00CB1C12"/>
    <w:rsid w:val="00CB226B"/>
    <w:rsid w:val="00CB229B"/>
    <w:rsid w:val="00CB33B4"/>
    <w:rsid w:val="00CB3D93"/>
    <w:rsid w:val="00CB4441"/>
    <w:rsid w:val="00CB4B1A"/>
    <w:rsid w:val="00CB4E1F"/>
    <w:rsid w:val="00CB58CD"/>
    <w:rsid w:val="00CB749D"/>
    <w:rsid w:val="00CC152E"/>
    <w:rsid w:val="00CC2493"/>
    <w:rsid w:val="00CC24B0"/>
    <w:rsid w:val="00CC3222"/>
    <w:rsid w:val="00CC35F1"/>
    <w:rsid w:val="00CC35FF"/>
    <w:rsid w:val="00CD0E6E"/>
    <w:rsid w:val="00CD23AE"/>
    <w:rsid w:val="00CD27DF"/>
    <w:rsid w:val="00CD2D8A"/>
    <w:rsid w:val="00CD3BAC"/>
    <w:rsid w:val="00CD3FF2"/>
    <w:rsid w:val="00CD4A65"/>
    <w:rsid w:val="00CD531F"/>
    <w:rsid w:val="00CD6265"/>
    <w:rsid w:val="00CD6FA3"/>
    <w:rsid w:val="00CE2184"/>
    <w:rsid w:val="00CE3B7F"/>
    <w:rsid w:val="00CE3FA2"/>
    <w:rsid w:val="00CE41A0"/>
    <w:rsid w:val="00CE4958"/>
    <w:rsid w:val="00CE68E2"/>
    <w:rsid w:val="00CE706E"/>
    <w:rsid w:val="00CE70B1"/>
    <w:rsid w:val="00CE7AE4"/>
    <w:rsid w:val="00CF0A4C"/>
    <w:rsid w:val="00CF118B"/>
    <w:rsid w:val="00CF150A"/>
    <w:rsid w:val="00CF1B0C"/>
    <w:rsid w:val="00CF1DF6"/>
    <w:rsid w:val="00CF2225"/>
    <w:rsid w:val="00CF25E7"/>
    <w:rsid w:val="00CF3C77"/>
    <w:rsid w:val="00CF45A2"/>
    <w:rsid w:val="00CF52E7"/>
    <w:rsid w:val="00CF64B5"/>
    <w:rsid w:val="00CF7853"/>
    <w:rsid w:val="00D004ED"/>
    <w:rsid w:val="00D00BCE"/>
    <w:rsid w:val="00D0260F"/>
    <w:rsid w:val="00D03708"/>
    <w:rsid w:val="00D04FD6"/>
    <w:rsid w:val="00D06776"/>
    <w:rsid w:val="00D06E46"/>
    <w:rsid w:val="00D06F95"/>
    <w:rsid w:val="00D07437"/>
    <w:rsid w:val="00D10E99"/>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B6F"/>
    <w:rsid w:val="00D340E2"/>
    <w:rsid w:val="00D36887"/>
    <w:rsid w:val="00D37563"/>
    <w:rsid w:val="00D379EB"/>
    <w:rsid w:val="00D400B8"/>
    <w:rsid w:val="00D4022C"/>
    <w:rsid w:val="00D41023"/>
    <w:rsid w:val="00D41C6C"/>
    <w:rsid w:val="00D42465"/>
    <w:rsid w:val="00D42E5B"/>
    <w:rsid w:val="00D4349C"/>
    <w:rsid w:val="00D439D1"/>
    <w:rsid w:val="00D43C68"/>
    <w:rsid w:val="00D444B2"/>
    <w:rsid w:val="00D453E4"/>
    <w:rsid w:val="00D47226"/>
    <w:rsid w:val="00D50B21"/>
    <w:rsid w:val="00D512D3"/>
    <w:rsid w:val="00D51349"/>
    <w:rsid w:val="00D527AF"/>
    <w:rsid w:val="00D529E1"/>
    <w:rsid w:val="00D534C2"/>
    <w:rsid w:val="00D5410F"/>
    <w:rsid w:val="00D54FEB"/>
    <w:rsid w:val="00D564DF"/>
    <w:rsid w:val="00D576DD"/>
    <w:rsid w:val="00D57CB4"/>
    <w:rsid w:val="00D60D45"/>
    <w:rsid w:val="00D61477"/>
    <w:rsid w:val="00D619E2"/>
    <w:rsid w:val="00D62036"/>
    <w:rsid w:val="00D620CC"/>
    <w:rsid w:val="00D634B8"/>
    <w:rsid w:val="00D63EF3"/>
    <w:rsid w:val="00D64441"/>
    <w:rsid w:val="00D64FB0"/>
    <w:rsid w:val="00D65497"/>
    <w:rsid w:val="00D654DA"/>
    <w:rsid w:val="00D6609E"/>
    <w:rsid w:val="00D670D2"/>
    <w:rsid w:val="00D67A9F"/>
    <w:rsid w:val="00D67C20"/>
    <w:rsid w:val="00D70C1B"/>
    <w:rsid w:val="00D70E5C"/>
    <w:rsid w:val="00D7146C"/>
    <w:rsid w:val="00D714E2"/>
    <w:rsid w:val="00D718CD"/>
    <w:rsid w:val="00D719FC"/>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516C"/>
    <w:rsid w:val="00DA5570"/>
    <w:rsid w:val="00DA70DD"/>
    <w:rsid w:val="00DB088F"/>
    <w:rsid w:val="00DB0B4A"/>
    <w:rsid w:val="00DB1487"/>
    <w:rsid w:val="00DB19B4"/>
    <w:rsid w:val="00DB19F1"/>
    <w:rsid w:val="00DB26AE"/>
    <w:rsid w:val="00DB3801"/>
    <w:rsid w:val="00DB4411"/>
    <w:rsid w:val="00DB466D"/>
    <w:rsid w:val="00DB5FD0"/>
    <w:rsid w:val="00DB7395"/>
    <w:rsid w:val="00DB75C2"/>
    <w:rsid w:val="00DB7E2C"/>
    <w:rsid w:val="00DC027B"/>
    <w:rsid w:val="00DC0A64"/>
    <w:rsid w:val="00DC0FC4"/>
    <w:rsid w:val="00DC1B9A"/>
    <w:rsid w:val="00DC2344"/>
    <w:rsid w:val="00DC2E4F"/>
    <w:rsid w:val="00DC305F"/>
    <w:rsid w:val="00DC384C"/>
    <w:rsid w:val="00DC40C4"/>
    <w:rsid w:val="00DC4AFD"/>
    <w:rsid w:val="00DC4D87"/>
    <w:rsid w:val="00DC4D8A"/>
    <w:rsid w:val="00DC6DF6"/>
    <w:rsid w:val="00DC6E00"/>
    <w:rsid w:val="00DC7BFE"/>
    <w:rsid w:val="00DD08C7"/>
    <w:rsid w:val="00DD1A10"/>
    <w:rsid w:val="00DD200D"/>
    <w:rsid w:val="00DD2990"/>
    <w:rsid w:val="00DD2FE9"/>
    <w:rsid w:val="00DD3A7E"/>
    <w:rsid w:val="00DD434E"/>
    <w:rsid w:val="00DD4402"/>
    <w:rsid w:val="00DD60D0"/>
    <w:rsid w:val="00DD6200"/>
    <w:rsid w:val="00DD686C"/>
    <w:rsid w:val="00DD6E86"/>
    <w:rsid w:val="00DD7538"/>
    <w:rsid w:val="00DE0E5D"/>
    <w:rsid w:val="00DE3C87"/>
    <w:rsid w:val="00DE447F"/>
    <w:rsid w:val="00DE48F0"/>
    <w:rsid w:val="00DE4A77"/>
    <w:rsid w:val="00DE68EE"/>
    <w:rsid w:val="00DE6D24"/>
    <w:rsid w:val="00DE7285"/>
    <w:rsid w:val="00DE7C40"/>
    <w:rsid w:val="00DE7D11"/>
    <w:rsid w:val="00DF0EA5"/>
    <w:rsid w:val="00DF1F1D"/>
    <w:rsid w:val="00DF23A5"/>
    <w:rsid w:val="00DF4C6E"/>
    <w:rsid w:val="00DF6666"/>
    <w:rsid w:val="00DF745E"/>
    <w:rsid w:val="00DF762E"/>
    <w:rsid w:val="00E0044E"/>
    <w:rsid w:val="00E00816"/>
    <w:rsid w:val="00E0088C"/>
    <w:rsid w:val="00E0239F"/>
    <w:rsid w:val="00E0267B"/>
    <w:rsid w:val="00E03459"/>
    <w:rsid w:val="00E04441"/>
    <w:rsid w:val="00E05F03"/>
    <w:rsid w:val="00E06370"/>
    <w:rsid w:val="00E06B7B"/>
    <w:rsid w:val="00E06E20"/>
    <w:rsid w:val="00E07DD9"/>
    <w:rsid w:val="00E102F8"/>
    <w:rsid w:val="00E12FCF"/>
    <w:rsid w:val="00E13273"/>
    <w:rsid w:val="00E1330A"/>
    <w:rsid w:val="00E13379"/>
    <w:rsid w:val="00E139EE"/>
    <w:rsid w:val="00E14D83"/>
    <w:rsid w:val="00E14FA6"/>
    <w:rsid w:val="00E15A0D"/>
    <w:rsid w:val="00E16640"/>
    <w:rsid w:val="00E1740F"/>
    <w:rsid w:val="00E200CF"/>
    <w:rsid w:val="00E20B8B"/>
    <w:rsid w:val="00E23AAC"/>
    <w:rsid w:val="00E24287"/>
    <w:rsid w:val="00E27FC2"/>
    <w:rsid w:val="00E300C2"/>
    <w:rsid w:val="00E31367"/>
    <w:rsid w:val="00E3181C"/>
    <w:rsid w:val="00E32EF3"/>
    <w:rsid w:val="00E33E21"/>
    <w:rsid w:val="00E34BC4"/>
    <w:rsid w:val="00E3540C"/>
    <w:rsid w:val="00E36187"/>
    <w:rsid w:val="00E36332"/>
    <w:rsid w:val="00E36651"/>
    <w:rsid w:val="00E36C9B"/>
    <w:rsid w:val="00E37638"/>
    <w:rsid w:val="00E37E9D"/>
    <w:rsid w:val="00E41B71"/>
    <w:rsid w:val="00E41DB6"/>
    <w:rsid w:val="00E42569"/>
    <w:rsid w:val="00E434A0"/>
    <w:rsid w:val="00E44212"/>
    <w:rsid w:val="00E44D30"/>
    <w:rsid w:val="00E44DD4"/>
    <w:rsid w:val="00E4597F"/>
    <w:rsid w:val="00E46CB7"/>
    <w:rsid w:val="00E46E01"/>
    <w:rsid w:val="00E4723D"/>
    <w:rsid w:val="00E5077C"/>
    <w:rsid w:val="00E50EC8"/>
    <w:rsid w:val="00E5159B"/>
    <w:rsid w:val="00E515C6"/>
    <w:rsid w:val="00E52E0D"/>
    <w:rsid w:val="00E52FE2"/>
    <w:rsid w:val="00E54629"/>
    <w:rsid w:val="00E54715"/>
    <w:rsid w:val="00E54D6B"/>
    <w:rsid w:val="00E54E6F"/>
    <w:rsid w:val="00E55338"/>
    <w:rsid w:val="00E569AF"/>
    <w:rsid w:val="00E57124"/>
    <w:rsid w:val="00E5774E"/>
    <w:rsid w:val="00E57EEB"/>
    <w:rsid w:val="00E60318"/>
    <w:rsid w:val="00E60BA8"/>
    <w:rsid w:val="00E61E25"/>
    <w:rsid w:val="00E61E28"/>
    <w:rsid w:val="00E628E4"/>
    <w:rsid w:val="00E62E0C"/>
    <w:rsid w:val="00E6371B"/>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252C"/>
    <w:rsid w:val="00E8341C"/>
    <w:rsid w:val="00E83C48"/>
    <w:rsid w:val="00E8602B"/>
    <w:rsid w:val="00E86B5F"/>
    <w:rsid w:val="00E86F48"/>
    <w:rsid w:val="00E87D05"/>
    <w:rsid w:val="00E91F96"/>
    <w:rsid w:val="00E92E99"/>
    <w:rsid w:val="00E95478"/>
    <w:rsid w:val="00E968FD"/>
    <w:rsid w:val="00E96D55"/>
    <w:rsid w:val="00E97993"/>
    <w:rsid w:val="00EA0D5D"/>
    <w:rsid w:val="00EA1192"/>
    <w:rsid w:val="00EA153F"/>
    <w:rsid w:val="00EA2788"/>
    <w:rsid w:val="00EA2C6E"/>
    <w:rsid w:val="00EA4964"/>
    <w:rsid w:val="00EA4F1A"/>
    <w:rsid w:val="00EB02DE"/>
    <w:rsid w:val="00EB0A07"/>
    <w:rsid w:val="00EB133D"/>
    <w:rsid w:val="00EB1B69"/>
    <w:rsid w:val="00EB1C78"/>
    <w:rsid w:val="00EB3B46"/>
    <w:rsid w:val="00EB4F08"/>
    <w:rsid w:val="00EB5F85"/>
    <w:rsid w:val="00EC2E07"/>
    <w:rsid w:val="00EC43C7"/>
    <w:rsid w:val="00EC465D"/>
    <w:rsid w:val="00EC5C89"/>
    <w:rsid w:val="00EC66D2"/>
    <w:rsid w:val="00EC67E7"/>
    <w:rsid w:val="00ED0A1B"/>
    <w:rsid w:val="00ED21BC"/>
    <w:rsid w:val="00ED2FEC"/>
    <w:rsid w:val="00ED32C4"/>
    <w:rsid w:val="00ED3F67"/>
    <w:rsid w:val="00ED440A"/>
    <w:rsid w:val="00ED471D"/>
    <w:rsid w:val="00ED6386"/>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862"/>
    <w:rsid w:val="00EF5C82"/>
    <w:rsid w:val="00EF7A15"/>
    <w:rsid w:val="00F01F8C"/>
    <w:rsid w:val="00F03542"/>
    <w:rsid w:val="00F035A6"/>
    <w:rsid w:val="00F04344"/>
    <w:rsid w:val="00F04885"/>
    <w:rsid w:val="00F04AD0"/>
    <w:rsid w:val="00F0583B"/>
    <w:rsid w:val="00F10033"/>
    <w:rsid w:val="00F10848"/>
    <w:rsid w:val="00F10B68"/>
    <w:rsid w:val="00F11553"/>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676A"/>
    <w:rsid w:val="00F37004"/>
    <w:rsid w:val="00F376A1"/>
    <w:rsid w:val="00F37B8E"/>
    <w:rsid w:val="00F41746"/>
    <w:rsid w:val="00F41C16"/>
    <w:rsid w:val="00F41E79"/>
    <w:rsid w:val="00F4315F"/>
    <w:rsid w:val="00F431EC"/>
    <w:rsid w:val="00F445F6"/>
    <w:rsid w:val="00F4512F"/>
    <w:rsid w:val="00F45763"/>
    <w:rsid w:val="00F45BCF"/>
    <w:rsid w:val="00F45BEA"/>
    <w:rsid w:val="00F45CFE"/>
    <w:rsid w:val="00F46877"/>
    <w:rsid w:val="00F47F3E"/>
    <w:rsid w:val="00F50ADD"/>
    <w:rsid w:val="00F520AC"/>
    <w:rsid w:val="00F523D7"/>
    <w:rsid w:val="00F530E6"/>
    <w:rsid w:val="00F532C7"/>
    <w:rsid w:val="00F54EE5"/>
    <w:rsid w:val="00F55358"/>
    <w:rsid w:val="00F5603C"/>
    <w:rsid w:val="00F5605C"/>
    <w:rsid w:val="00F564B9"/>
    <w:rsid w:val="00F57909"/>
    <w:rsid w:val="00F612D6"/>
    <w:rsid w:val="00F63400"/>
    <w:rsid w:val="00F636C6"/>
    <w:rsid w:val="00F6371B"/>
    <w:rsid w:val="00F6433D"/>
    <w:rsid w:val="00F6573E"/>
    <w:rsid w:val="00F662EB"/>
    <w:rsid w:val="00F66DCF"/>
    <w:rsid w:val="00F67606"/>
    <w:rsid w:val="00F70327"/>
    <w:rsid w:val="00F707EB"/>
    <w:rsid w:val="00F70FEF"/>
    <w:rsid w:val="00F72FA8"/>
    <w:rsid w:val="00F75415"/>
    <w:rsid w:val="00F75FE9"/>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4200"/>
    <w:rsid w:val="00F96389"/>
    <w:rsid w:val="00F9650E"/>
    <w:rsid w:val="00F96B73"/>
    <w:rsid w:val="00F977C7"/>
    <w:rsid w:val="00FA0890"/>
    <w:rsid w:val="00FA164A"/>
    <w:rsid w:val="00FA3474"/>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3E07"/>
    <w:rsid w:val="00FC4052"/>
    <w:rsid w:val="00FC5252"/>
    <w:rsid w:val="00FC6356"/>
    <w:rsid w:val="00FC7D01"/>
    <w:rsid w:val="00FD0130"/>
    <w:rsid w:val="00FD0373"/>
    <w:rsid w:val="00FD0582"/>
    <w:rsid w:val="00FD0C93"/>
    <w:rsid w:val="00FD0D33"/>
    <w:rsid w:val="00FD1062"/>
    <w:rsid w:val="00FD2112"/>
    <w:rsid w:val="00FD2589"/>
    <w:rsid w:val="00FD4876"/>
    <w:rsid w:val="00FD4CC9"/>
    <w:rsid w:val="00FD52A3"/>
    <w:rsid w:val="00FD57C9"/>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A1461"/>
  <w15:chartTrackingRefBased/>
  <w15:docId w15:val="{56B549C9-29F0-4DEF-9A0C-CD1BE55C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545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0296799">
      <w:bodyDiv w:val="1"/>
      <w:marLeft w:val="0"/>
      <w:marRight w:val="0"/>
      <w:marTop w:val="0"/>
      <w:marBottom w:val="0"/>
      <w:divBdr>
        <w:top w:val="none" w:sz="0" w:space="0" w:color="auto"/>
        <w:left w:val="none" w:sz="0" w:space="0" w:color="auto"/>
        <w:bottom w:val="none" w:sz="0" w:space="0" w:color="auto"/>
        <w:right w:val="none" w:sz="0" w:space="0" w:color="auto"/>
      </w:divBdr>
    </w:div>
    <w:div w:id="106741353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a.brac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BC37-92B6-499C-A2B5-CABA3067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26470</Words>
  <Characters>15088</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Likumprojekts "Grozījums Nodziedīgi iegūtas mantas konfiskācijas izpildes likumā"</vt:lpstr>
    </vt:vector>
  </TitlesOfParts>
  <Company>Iekšlietu ministrija</Company>
  <LinksUpToDate>false</LinksUpToDate>
  <CharactersWithSpaces>41476</CharactersWithSpaces>
  <SharedDoc>false</SharedDoc>
  <HLinks>
    <vt:vector size="6" baseType="variant">
      <vt:variant>
        <vt:i4>1507377</vt:i4>
      </vt:variant>
      <vt:variant>
        <vt:i4>0</vt:i4>
      </vt:variant>
      <vt:variant>
        <vt:i4>0</vt:i4>
      </vt:variant>
      <vt:variant>
        <vt:i4>5</vt:i4>
      </vt:variant>
      <vt:variant>
        <vt:lpwstr>mailto:krista.braca@iem.gov.lv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Nodziedīgi iegūtas mantas konfiskācijas izpildes likumā"</dc:title>
  <dc:subject>Izziņa</dc:subject>
  <dc:creator>Krista Brača</dc:creator>
  <cp:keywords/>
  <dc:description>67219158, krista.braca@iem.gov.lv</dc:description>
  <cp:lastModifiedBy>Krista Brača</cp:lastModifiedBy>
  <cp:revision>3</cp:revision>
  <cp:lastPrinted>2019-08-08T07:45:00Z</cp:lastPrinted>
  <dcterms:created xsi:type="dcterms:W3CDTF">2019-11-22T06:27:00Z</dcterms:created>
  <dcterms:modified xsi:type="dcterms:W3CDTF">2019-11-22T07:18:00Z</dcterms:modified>
</cp:coreProperties>
</file>