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FFE" w:rsidRPr="00C10FFE" w:rsidRDefault="00C10FFE" w:rsidP="00C10FFE">
      <w:pPr>
        <w:suppressAutoHyphens/>
        <w:autoSpaceDN w:val="0"/>
        <w:spacing w:after="0" w:line="240" w:lineRule="auto"/>
        <w:ind w:firstLine="720"/>
        <w:jc w:val="center"/>
        <w:rPr>
          <w:rFonts w:ascii="Times New Roman" w:eastAsia="Times New Roman" w:hAnsi="Times New Roman" w:cs="Times New Roman"/>
          <w:b/>
          <w:bCs/>
          <w:sz w:val="28"/>
          <w:szCs w:val="28"/>
          <w:lang w:eastAsia="lv-LV"/>
        </w:rPr>
      </w:pPr>
      <w:r w:rsidRPr="00C10FFE">
        <w:rPr>
          <w:rFonts w:ascii="Times New Roman" w:eastAsia="Times New Roman" w:hAnsi="Times New Roman" w:cs="Times New Roman"/>
          <w:b/>
          <w:bCs/>
          <w:sz w:val="28"/>
          <w:szCs w:val="28"/>
          <w:lang w:eastAsia="lv-LV"/>
        </w:rPr>
        <w:t>Izziņa par atzinumos sniegtajiem iebildumiem</w:t>
      </w:r>
    </w:p>
    <w:p w:rsidR="00C10FFE" w:rsidRPr="00C10FFE" w:rsidRDefault="00C10FFE" w:rsidP="00C10FFE">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13958"/>
      </w:tblGrid>
      <w:tr w:rsidR="00C10FFE" w:rsidRPr="00C10FFE" w:rsidTr="00C10FFE">
        <w:trPr>
          <w:jc w:val="center"/>
        </w:trPr>
        <w:tc>
          <w:tcPr>
            <w:tcW w:w="14003" w:type="dxa"/>
            <w:tcBorders>
              <w:top w:val="nil"/>
              <w:left w:val="nil"/>
              <w:bottom w:val="single" w:sz="6" w:space="0" w:color="000000"/>
              <w:right w:val="nil"/>
            </w:tcBorders>
            <w:tcMar>
              <w:top w:w="0" w:type="dxa"/>
              <w:left w:w="108" w:type="dxa"/>
              <w:bottom w:w="0" w:type="dxa"/>
              <w:right w:w="108" w:type="dxa"/>
            </w:tcMar>
            <w:hideMark/>
          </w:tcPr>
          <w:p w:rsidR="00C10FFE" w:rsidRPr="00C10FFE" w:rsidRDefault="00C10FFE" w:rsidP="00C10FFE">
            <w:pPr>
              <w:suppressAutoHyphens/>
              <w:autoSpaceDN w:val="0"/>
              <w:spacing w:after="0" w:line="254" w:lineRule="auto"/>
              <w:jc w:val="center"/>
              <w:rPr>
                <w:rFonts w:ascii="Times New Roman" w:eastAsia="Times New Roman" w:hAnsi="Times New Roman" w:cs="Times New Roman"/>
                <w:sz w:val="24"/>
                <w:szCs w:val="24"/>
              </w:rPr>
            </w:pPr>
            <w:bookmarkStart w:id="0" w:name="OLE_LINK3"/>
            <w:r w:rsidRPr="00C10FFE">
              <w:rPr>
                <w:rFonts w:ascii="Times New Roman" w:eastAsia="Times New Roman" w:hAnsi="Times New Roman" w:cs="Times New Roman"/>
                <w:b/>
                <w:sz w:val="28"/>
                <w:szCs w:val="28"/>
              </w:rPr>
              <w:t>Grozījumi Ministru kabineta 2014.gada 23.decembra noteikumos Nr.805 „ Noteikumi par prognozējamas invaliditātes, invaliditātes un darbspēju zaudējuma noteikšanas kritērijiem, termiņiem un kārtību”</w:t>
            </w:r>
            <w:bookmarkEnd w:id="0"/>
          </w:p>
        </w:tc>
      </w:tr>
    </w:tbl>
    <w:p w:rsidR="00C10FFE" w:rsidRPr="00C10FFE" w:rsidRDefault="00C10FFE" w:rsidP="00C10FFE">
      <w:pPr>
        <w:suppressAutoHyphens/>
        <w:autoSpaceDN w:val="0"/>
        <w:spacing w:after="0" w:line="240" w:lineRule="auto"/>
        <w:ind w:firstLine="1080"/>
        <w:jc w:val="center"/>
        <w:rPr>
          <w:rFonts w:ascii="Times New Roman" w:eastAsia="Times New Roman" w:hAnsi="Times New Roman" w:cs="Times New Roman"/>
          <w:sz w:val="24"/>
          <w:szCs w:val="24"/>
          <w:lang w:eastAsia="lv-LV"/>
        </w:rPr>
      </w:pPr>
      <w:r w:rsidRPr="00C10FFE">
        <w:rPr>
          <w:rFonts w:ascii="Times New Roman" w:eastAsia="Times New Roman" w:hAnsi="Times New Roman" w:cs="Times New Roman"/>
          <w:sz w:val="24"/>
          <w:szCs w:val="24"/>
          <w:lang w:eastAsia="lv-LV"/>
        </w:rPr>
        <w:t>(dokumenta veids un nosaukums)</w:t>
      </w:r>
    </w:p>
    <w:p w:rsidR="00C10FFE" w:rsidRPr="00C10FFE" w:rsidRDefault="00C10FFE" w:rsidP="00C10FFE">
      <w:pPr>
        <w:suppressAutoHyphens/>
        <w:autoSpaceDN w:val="0"/>
        <w:spacing w:after="0" w:line="240" w:lineRule="auto"/>
        <w:ind w:firstLine="720"/>
        <w:jc w:val="both"/>
        <w:rPr>
          <w:rFonts w:ascii="Times New Roman" w:eastAsia="Times New Roman" w:hAnsi="Times New Roman" w:cs="Times New Roman"/>
          <w:sz w:val="24"/>
          <w:szCs w:val="24"/>
          <w:lang w:eastAsia="lv-LV"/>
        </w:rPr>
      </w:pPr>
    </w:p>
    <w:p w:rsidR="00C10FFE" w:rsidRPr="00C10FFE" w:rsidRDefault="00C10FFE" w:rsidP="00C10FFE">
      <w:pPr>
        <w:suppressAutoHyphens/>
        <w:autoSpaceDN w:val="0"/>
        <w:spacing w:after="0" w:line="240" w:lineRule="auto"/>
        <w:jc w:val="center"/>
        <w:rPr>
          <w:rFonts w:ascii="Times New Roman" w:eastAsia="Times New Roman" w:hAnsi="Times New Roman" w:cs="Times New Roman"/>
          <w:b/>
          <w:sz w:val="24"/>
          <w:szCs w:val="24"/>
          <w:lang w:eastAsia="lv-LV"/>
        </w:rPr>
      </w:pPr>
      <w:r w:rsidRPr="00C10FFE">
        <w:rPr>
          <w:rFonts w:ascii="Times New Roman" w:eastAsia="Times New Roman" w:hAnsi="Times New Roman" w:cs="Times New Roman"/>
          <w:b/>
          <w:sz w:val="24"/>
          <w:szCs w:val="24"/>
          <w:lang w:eastAsia="lv-LV"/>
        </w:rPr>
        <w:t>I. Jautājumi, par kuriem saskaņošanā vienošanās nav panākta</w:t>
      </w:r>
    </w:p>
    <w:p w:rsidR="00C10FFE" w:rsidRPr="00C10FFE" w:rsidRDefault="00C10FFE" w:rsidP="00C10FFE">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694"/>
        <w:gridCol w:w="3014"/>
        <w:gridCol w:w="3046"/>
        <w:gridCol w:w="2909"/>
        <w:gridCol w:w="2405"/>
        <w:gridCol w:w="1877"/>
      </w:tblGrid>
      <w:tr w:rsidR="00C10FFE" w:rsidRPr="00C10FFE" w:rsidTr="00C10FFE">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10FFE" w:rsidRPr="00C10FFE" w:rsidRDefault="00C10FFE" w:rsidP="00C10FFE">
            <w:pPr>
              <w:suppressAutoHyphens/>
              <w:autoSpaceDN w:val="0"/>
              <w:spacing w:after="0" w:line="254" w:lineRule="auto"/>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Nr. p.k.</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10FFE" w:rsidRPr="00C10FFE" w:rsidRDefault="00C10FFE" w:rsidP="00C10FFE">
            <w:pPr>
              <w:suppressAutoHyphens/>
              <w:autoSpaceDN w:val="0"/>
              <w:spacing w:after="0" w:line="254" w:lineRule="auto"/>
              <w:ind w:firstLine="12"/>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Saskaņošanai nosūtītā projekta redakcija (konkrēta punkta (panta) redakcija)</w:t>
            </w:r>
          </w:p>
        </w:tc>
        <w:tc>
          <w:tcPr>
            <w:tcW w:w="30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10FFE" w:rsidRPr="00C10FFE" w:rsidRDefault="00C10FFE" w:rsidP="00C10FFE">
            <w:pPr>
              <w:suppressAutoHyphens/>
              <w:autoSpaceDN w:val="0"/>
              <w:spacing w:after="0" w:line="254" w:lineRule="auto"/>
              <w:ind w:right="3"/>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10FFE" w:rsidRPr="00C10FFE" w:rsidRDefault="00C10FFE" w:rsidP="00C10FFE">
            <w:pPr>
              <w:suppressAutoHyphens/>
              <w:autoSpaceDN w:val="0"/>
              <w:spacing w:after="0" w:line="254" w:lineRule="auto"/>
              <w:ind w:firstLine="21"/>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Atbildīgās ministrijas pamatojums iebilduma noraidījumam</w:t>
            </w: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FFE" w:rsidRPr="00C10FFE" w:rsidRDefault="00C10FFE" w:rsidP="00C10FFE">
            <w:pPr>
              <w:suppressAutoHyphens/>
              <w:autoSpaceDN w:val="0"/>
              <w:spacing w:after="0" w:line="254" w:lineRule="auto"/>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Atzinuma sniedzēja uzturētais iebildums, ja tas atšķiras no atzinumā norādītā iebilduma pamatojuma</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FFE" w:rsidRPr="00C10FFE" w:rsidRDefault="00C10FFE" w:rsidP="00C10FFE">
            <w:pPr>
              <w:suppressAutoHyphens/>
              <w:autoSpaceDN w:val="0"/>
              <w:spacing w:after="0" w:line="254" w:lineRule="auto"/>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Projekta attiecīgā punkta (panta) galīgā redakcija</w:t>
            </w:r>
          </w:p>
        </w:tc>
      </w:tr>
      <w:tr w:rsidR="00C10FFE" w:rsidRPr="00C10FFE" w:rsidTr="00C10FFE">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0FFE" w:rsidRPr="00C10FFE" w:rsidRDefault="00C10FFE" w:rsidP="00C10FFE">
            <w:pPr>
              <w:suppressAutoHyphens/>
              <w:autoSpaceDN w:val="0"/>
              <w:spacing w:after="0" w:line="254" w:lineRule="auto"/>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1</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0FFE" w:rsidRPr="00C10FFE" w:rsidRDefault="00C10FFE" w:rsidP="00C10FFE">
            <w:pPr>
              <w:suppressAutoHyphens/>
              <w:autoSpaceDN w:val="0"/>
              <w:spacing w:after="0" w:line="254" w:lineRule="auto"/>
              <w:ind w:firstLine="720"/>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2</w:t>
            </w:r>
          </w:p>
        </w:tc>
        <w:tc>
          <w:tcPr>
            <w:tcW w:w="30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0FFE" w:rsidRPr="00C10FFE" w:rsidRDefault="00C10FFE" w:rsidP="00C10FFE">
            <w:pPr>
              <w:suppressAutoHyphens/>
              <w:autoSpaceDN w:val="0"/>
              <w:spacing w:after="0" w:line="254" w:lineRule="auto"/>
              <w:ind w:firstLine="720"/>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3</w:t>
            </w:r>
          </w:p>
        </w:tc>
        <w:tc>
          <w:tcPr>
            <w:tcW w:w="2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0FFE" w:rsidRPr="00C10FFE" w:rsidRDefault="00C10FFE" w:rsidP="00C10FFE">
            <w:pPr>
              <w:suppressAutoHyphens/>
              <w:autoSpaceDN w:val="0"/>
              <w:spacing w:after="0" w:line="254" w:lineRule="auto"/>
              <w:ind w:firstLine="720"/>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4</w:t>
            </w: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0FFE" w:rsidRPr="00C10FFE" w:rsidRDefault="00C10FFE" w:rsidP="00C10FFE">
            <w:pPr>
              <w:suppressAutoHyphens/>
              <w:autoSpaceDN w:val="0"/>
              <w:spacing w:after="0" w:line="254" w:lineRule="auto"/>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5</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0FFE" w:rsidRPr="00C10FFE" w:rsidRDefault="00C10FFE" w:rsidP="00C10FFE">
            <w:pPr>
              <w:suppressAutoHyphens/>
              <w:autoSpaceDN w:val="0"/>
              <w:spacing w:after="0" w:line="254" w:lineRule="auto"/>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6</w:t>
            </w:r>
          </w:p>
        </w:tc>
      </w:tr>
      <w:tr w:rsidR="00C10FFE" w:rsidRPr="00C10FFE" w:rsidTr="00C10FFE">
        <w:tc>
          <w:tcPr>
            <w:tcW w:w="694"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10FFE" w:rsidRPr="00C10FFE" w:rsidRDefault="00C10FFE" w:rsidP="00C10FFE">
            <w:pPr>
              <w:suppressAutoHyphens/>
              <w:autoSpaceDN w:val="0"/>
              <w:spacing w:after="0" w:line="254" w:lineRule="auto"/>
              <w:ind w:firstLine="720"/>
              <w:jc w:val="both"/>
              <w:rPr>
                <w:rFonts w:ascii="Times New Roman" w:eastAsia="Times New Roman" w:hAnsi="Times New Roman" w:cs="Times New Roman"/>
                <w:sz w:val="24"/>
                <w:szCs w:val="24"/>
              </w:rPr>
            </w:pPr>
          </w:p>
        </w:tc>
        <w:tc>
          <w:tcPr>
            <w:tcW w:w="3025"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10FFE" w:rsidRPr="00C10FFE" w:rsidRDefault="00C10FFE" w:rsidP="00C10FFE">
            <w:pPr>
              <w:suppressAutoHyphens/>
              <w:autoSpaceDN w:val="0"/>
              <w:spacing w:after="0" w:line="254" w:lineRule="auto"/>
              <w:ind w:firstLine="720"/>
              <w:jc w:val="both"/>
              <w:rPr>
                <w:rFonts w:ascii="Times New Roman" w:eastAsia="Times New Roman" w:hAnsi="Times New Roman" w:cs="Times New Roman"/>
                <w:sz w:val="24"/>
                <w:szCs w:val="24"/>
              </w:rPr>
            </w:pPr>
          </w:p>
        </w:tc>
        <w:tc>
          <w:tcPr>
            <w:tcW w:w="305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10FFE" w:rsidRPr="00C10FFE" w:rsidRDefault="00C10FFE" w:rsidP="00C10FFE">
            <w:pPr>
              <w:suppressAutoHyphens/>
              <w:autoSpaceDN w:val="0"/>
              <w:spacing w:after="0" w:line="254" w:lineRule="auto"/>
              <w:jc w:val="both"/>
              <w:rPr>
                <w:rFonts w:ascii="Times New Roman" w:eastAsia="Times New Roman" w:hAnsi="Times New Roman" w:cs="Times New Roman"/>
                <w:sz w:val="24"/>
                <w:szCs w:val="24"/>
              </w:rPr>
            </w:pPr>
          </w:p>
        </w:tc>
        <w:tc>
          <w:tcPr>
            <w:tcW w:w="291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10FFE" w:rsidRPr="00C10FFE" w:rsidRDefault="00C10FFE" w:rsidP="00C10FFE">
            <w:pPr>
              <w:suppressAutoHyphens/>
              <w:autoSpaceDN w:val="0"/>
              <w:spacing w:after="0" w:line="254" w:lineRule="auto"/>
              <w:ind w:firstLine="720"/>
              <w:jc w:val="both"/>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0FFE" w:rsidRPr="00C10FFE" w:rsidRDefault="00C10FFE" w:rsidP="00C10FFE">
            <w:pPr>
              <w:suppressAutoHyphens/>
              <w:autoSpaceDN w:val="0"/>
              <w:spacing w:after="0" w:line="254" w:lineRule="auto"/>
              <w:jc w:val="both"/>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0FFE" w:rsidRPr="00C10FFE" w:rsidRDefault="00C10FFE" w:rsidP="00C10FFE">
            <w:pPr>
              <w:suppressAutoHyphens/>
              <w:autoSpaceDN w:val="0"/>
              <w:spacing w:after="0" w:line="254" w:lineRule="auto"/>
              <w:jc w:val="both"/>
              <w:rPr>
                <w:rFonts w:ascii="Times New Roman" w:eastAsia="Times New Roman" w:hAnsi="Times New Roman" w:cs="Times New Roman"/>
                <w:sz w:val="24"/>
                <w:szCs w:val="24"/>
              </w:rPr>
            </w:pPr>
          </w:p>
        </w:tc>
      </w:tr>
      <w:tr w:rsidR="00C10FFE" w:rsidRPr="00C10FFE" w:rsidTr="00C10FFE">
        <w:tc>
          <w:tcPr>
            <w:tcW w:w="694"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10FFE" w:rsidRPr="00C10FFE" w:rsidRDefault="00C10FFE" w:rsidP="00C10FFE">
            <w:pPr>
              <w:suppressAutoHyphens/>
              <w:autoSpaceDN w:val="0"/>
              <w:spacing w:after="0" w:line="254" w:lineRule="auto"/>
              <w:ind w:firstLine="720"/>
              <w:jc w:val="both"/>
              <w:rPr>
                <w:rFonts w:ascii="Times New Roman" w:eastAsia="Times New Roman" w:hAnsi="Times New Roman" w:cs="Times New Roman"/>
                <w:sz w:val="24"/>
                <w:szCs w:val="24"/>
              </w:rPr>
            </w:pPr>
          </w:p>
        </w:tc>
        <w:tc>
          <w:tcPr>
            <w:tcW w:w="3025"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10FFE" w:rsidRPr="00C10FFE" w:rsidRDefault="00C10FFE" w:rsidP="00C10FFE">
            <w:pPr>
              <w:suppressAutoHyphens/>
              <w:autoSpaceDN w:val="0"/>
              <w:spacing w:after="0" w:line="254" w:lineRule="auto"/>
              <w:ind w:firstLine="720"/>
              <w:jc w:val="both"/>
              <w:rPr>
                <w:rFonts w:ascii="Times New Roman" w:eastAsia="Times New Roman" w:hAnsi="Times New Roman" w:cs="Times New Roman"/>
                <w:sz w:val="24"/>
                <w:szCs w:val="24"/>
              </w:rPr>
            </w:pPr>
          </w:p>
        </w:tc>
        <w:tc>
          <w:tcPr>
            <w:tcW w:w="305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10FFE" w:rsidRPr="00C10FFE" w:rsidRDefault="00C10FFE" w:rsidP="00C10FFE">
            <w:pPr>
              <w:suppressAutoHyphens/>
              <w:autoSpaceDN w:val="0"/>
              <w:spacing w:after="0" w:line="254" w:lineRule="auto"/>
              <w:jc w:val="both"/>
              <w:rPr>
                <w:rFonts w:ascii="Times New Roman" w:eastAsia="Times New Roman" w:hAnsi="Times New Roman" w:cs="Times New Roman"/>
                <w:sz w:val="24"/>
                <w:szCs w:val="24"/>
              </w:rPr>
            </w:pPr>
          </w:p>
        </w:tc>
        <w:tc>
          <w:tcPr>
            <w:tcW w:w="291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10FFE" w:rsidRPr="00C10FFE" w:rsidRDefault="00C10FFE" w:rsidP="00C10FFE">
            <w:pPr>
              <w:suppressAutoHyphens/>
              <w:autoSpaceDN w:val="0"/>
              <w:spacing w:after="0" w:line="254" w:lineRule="auto"/>
              <w:ind w:firstLine="720"/>
              <w:jc w:val="both"/>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0FFE" w:rsidRPr="00C10FFE" w:rsidRDefault="00C10FFE" w:rsidP="00C10FFE">
            <w:pPr>
              <w:suppressAutoHyphens/>
              <w:autoSpaceDN w:val="0"/>
              <w:spacing w:after="0" w:line="254" w:lineRule="auto"/>
              <w:jc w:val="both"/>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0FFE" w:rsidRPr="00C10FFE" w:rsidRDefault="00C10FFE" w:rsidP="00C10FFE">
            <w:pPr>
              <w:suppressAutoHyphens/>
              <w:autoSpaceDN w:val="0"/>
              <w:spacing w:after="0" w:line="254" w:lineRule="auto"/>
              <w:jc w:val="both"/>
              <w:rPr>
                <w:rFonts w:ascii="Times New Roman" w:eastAsia="Times New Roman" w:hAnsi="Times New Roman" w:cs="Times New Roman"/>
                <w:sz w:val="24"/>
                <w:szCs w:val="24"/>
              </w:rPr>
            </w:pPr>
          </w:p>
        </w:tc>
      </w:tr>
    </w:tbl>
    <w:p w:rsidR="00C10FFE" w:rsidRPr="00C10FFE" w:rsidRDefault="00C10FFE" w:rsidP="00C10FFE">
      <w:pPr>
        <w:suppressAutoHyphens/>
        <w:autoSpaceDN w:val="0"/>
        <w:spacing w:after="0" w:line="240" w:lineRule="auto"/>
        <w:jc w:val="both"/>
        <w:rPr>
          <w:rFonts w:ascii="Times New Roman" w:eastAsia="Times New Roman" w:hAnsi="Times New Roman" w:cs="Times New Roman"/>
          <w:sz w:val="24"/>
          <w:szCs w:val="24"/>
          <w:lang w:eastAsia="lv-LV"/>
        </w:rPr>
      </w:pPr>
    </w:p>
    <w:p w:rsidR="00C10FFE" w:rsidRPr="00C10FFE" w:rsidRDefault="00C10FFE" w:rsidP="00C10FFE">
      <w:pPr>
        <w:suppressAutoHyphens/>
        <w:autoSpaceDN w:val="0"/>
        <w:spacing w:after="0" w:line="240" w:lineRule="auto"/>
        <w:jc w:val="both"/>
        <w:rPr>
          <w:rFonts w:ascii="Times New Roman" w:eastAsia="Times New Roman" w:hAnsi="Times New Roman" w:cs="Times New Roman"/>
          <w:b/>
          <w:sz w:val="24"/>
          <w:szCs w:val="24"/>
          <w:lang w:eastAsia="lv-LV"/>
        </w:rPr>
      </w:pPr>
      <w:r w:rsidRPr="00C10FFE">
        <w:rPr>
          <w:rFonts w:ascii="Times New Roman" w:eastAsia="Times New Roman" w:hAnsi="Times New Roman" w:cs="Times New Roman"/>
          <w:b/>
          <w:sz w:val="24"/>
          <w:szCs w:val="24"/>
          <w:lang w:eastAsia="lv-LV"/>
        </w:rPr>
        <w:t xml:space="preserve">Informācija par </w:t>
      </w:r>
      <w:proofErr w:type="spellStart"/>
      <w:r w:rsidRPr="00C10FFE">
        <w:rPr>
          <w:rFonts w:ascii="Times New Roman" w:eastAsia="Times New Roman" w:hAnsi="Times New Roman" w:cs="Times New Roman"/>
          <w:b/>
          <w:sz w:val="24"/>
          <w:szCs w:val="24"/>
          <w:lang w:eastAsia="lv-LV"/>
        </w:rPr>
        <w:t>starpministriju</w:t>
      </w:r>
      <w:proofErr w:type="spellEnd"/>
      <w:r w:rsidRPr="00C10FFE">
        <w:rPr>
          <w:rFonts w:ascii="Times New Roman" w:eastAsia="Times New Roman" w:hAnsi="Times New Roman" w:cs="Times New Roman"/>
          <w:b/>
          <w:sz w:val="24"/>
          <w:szCs w:val="24"/>
          <w:lang w:eastAsia="lv-LV"/>
        </w:rPr>
        <w:t xml:space="preserve"> (starpinstitūciju) sanāksmi vai elektronisko saskaņošanu</w:t>
      </w:r>
    </w:p>
    <w:p w:rsidR="00C10FFE" w:rsidRPr="00C10FFE" w:rsidRDefault="00C10FFE" w:rsidP="00C10FFE">
      <w:pPr>
        <w:suppressAutoHyphens/>
        <w:autoSpaceDN w:val="0"/>
        <w:spacing w:after="0" w:line="240" w:lineRule="auto"/>
        <w:jc w:val="both"/>
        <w:rPr>
          <w:rFonts w:ascii="Times New Roman" w:eastAsia="Times New Roman" w:hAnsi="Times New Roman" w:cs="Times New Roman"/>
          <w:b/>
          <w:sz w:val="24"/>
          <w:szCs w:val="24"/>
          <w:lang w:eastAsia="lv-LV"/>
        </w:rPr>
      </w:pPr>
    </w:p>
    <w:tbl>
      <w:tblPr>
        <w:tblW w:w="5000" w:type="pct"/>
        <w:tblCellMar>
          <w:left w:w="10" w:type="dxa"/>
          <w:right w:w="10" w:type="dxa"/>
        </w:tblCellMar>
        <w:tblLook w:val="04A0" w:firstRow="1" w:lastRow="0" w:firstColumn="1" w:lastColumn="0" w:noHBand="0" w:noVBand="1"/>
      </w:tblPr>
      <w:tblGrid>
        <w:gridCol w:w="2937"/>
        <w:gridCol w:w="11021"/>
      </w:tblGrid>
      <w:tr w:rsidR="00C10FFE" w:rsidRPr="00C10FFE" w:rsidTr="00C10FFE">
        <w:tc>
          <w:tcPr>
            <w:tcW w:w="2943" w:type="dxa"/>
            <w:tcMar>
              <w:top w:w="0" w:type="dxa"/>
              <w:left w:w="108" w:type="dxa"/>
              <w:bottom w:w="0" w:type="dxa"/>
              <w:right w:w="108" w:type="dxa"/>
            </w:tcMar>
            <w:hideMark/>
          </w:tcPr>
          <w:p w:rsidR="00C10FFE" w:rsidRPr="00C10FFE" w:rsidRDefault="00C10FFE" w:rsidP="00C10FFE">
            <w:pPr>
              <w:suppressAutoHyphens/>
              <w:autoSpaceDN w:val="0"/>
              <w:spacing w:after="0" w:line="254" w:lineRule="auto"/>
              <w:jc w:val="both"/>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Datums</w:t>
            </w:r>
          </w:p>
        </w:tc>
        <w:tc>
          <w:tcPr>
            <w:tcW w:w="11060" w:type="dxa"/>
            <w:tcBorders>
              <w:top w:val="nil"/>
              <w:left w:val="nil"/>
              <w:bottom w:val="single" w:sz="4" w:space="0" w:color="000000"/>
              <w:right w:val="nil"/>
            </w:tcBorders>
            <w:tcMar>
              <w:top w:w="0" w:type="dxa"/>
              <w:left w:w="108" w:type="dxa"/>
              <w:bottom w:w="0" w:type="dxa"/>
              <w:right w:w="108" w:type="dxa"/>
            </w:tcMar>
            <w:hideMark/>
          </w:tcPr>
          <w:p w:rsidR="00C10FFE" w:rsidRPr="00C10FFE" w:rsidRDefault="00A7444E" w:rsidP="00C10FFE">
            <w:pPr>
              <w:suppressAutoHyphens/>
              <w:autoSpaceDN w:val="0"/>
              <w:spacing w:after="0" w:line="254"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04.11</w:t>
            </w:r>
            <w:r w:rsidR="00C85E7F">
              <w:rPr>
                <w:rFonts w:ascii="Times New Roman" w:eastAsia="Times New Roman" w:hAnsi="Times New Roman" w:cs="Times New Roman"/>
                <w:sz w:val="24"/>
                <w:szCs w:val="24"/>
              </w:rPr>
              <w:t>.2019.</w:t>
            </w:r>
          </w:p>
        </w:tc>
      </w:tr>
      <w:tr w:rsidR="00C10FFE" w:rsidRPr="00C10FFE" w:rsidTr="00C10FFE">
        <w:tc>
          <w:tcPr>
            <w:tcW w:w="2943" w:type="dxa"/>
            <w:tcMar>
              <w:top w:w="0" w:type="dxa"/>
              <w:left w:w="108" w:type="dxa"/>
              <w:bottom w:w="0" w:type="dxa"/>
              <w:right w:w="108" w:type="dxa"/>
            </w:tcMar>
          </w:tcPr>
          <w:p w:rsidR="00C10FFE" w:rsidRPr="00C10FFE" w:rsidRDefault="00C10FFE" w:rsidP="00C10FFE">
            <w:pPr>
              <w:suppressAutoHyphens/>
              <w:autoSpaceDN w:val="0"/>
              <w:spacing w:after="0" w:line="254" w:lineRule="auto"/>
              <w:jc w:val="both"/>
              <w:rPr>
                <w:rFonts w:ascii="Times New Roman" w:eastAsia="Times New Roman" w:hAnsi="Times New Roman" w:cs="Times New Roman"/>
                <w:sz w:val="24"/>
                <w:szCs w:val="24"/>
              </w:rPr>
            </w:pPr>
          </w:p>
        </w:tc>
        <w:tc>
          <w:tcPr>
            <w:tcW w:w="11060" w:type="dxa"/>
            <w:tcBorders>
              <w:top w:val="single" w:sz="4" w:space="0" w:color="000000"/>
              <w:left w:val="nil"/>
              <w:bottom w:val="nil"/>
              <w:right w:val="nil"/>
            </w:tcBorders>
            <w:tcMar>
              <w:top w:w="0" w:type="dxa"/>
              <w:left w:w="108" w:type="dxa"/>
              <w:bottom w:w="0" w:type="dxa"/>
              <w:right w:w="108" w:type="dxa"/>
            </w:tcMar>
          </w:tcPr>
          <w:p w:rsidR="00C10FFE" w:rsidRPr="00C10FFE" w:rsidRDefault="00C10FFE" w:rsidP="00C10FFE">
            <w:pPr>
              <w:suppressAutoHyphens/>
              <w:autoSpaceDN w:val="0"/>
              <w:spacing w:after="0" w:line="254" w:lineRule="auto"/>
              <w:ind w:firstLine="720"/>
              <w:rPr>
                <w:rFonts w:ascii="Times New Roman" w:eastAsia="Times New Roman" w:hAnsi="Times New Roman" w:cs="Times New Roman"/>
                <w:sz w:val="24"/>
                <w:szCs w:val="24"/>
              </w:rPr>
            </w:pPr>
          </w:p>
        </w:tc>
      </w:tr>
      <w:tr w:rsidR="00C10FFE" w:rsidRPr="00C10FFE" w:rsidTr="00C10FFE">
        <w:tc>
          <w:tcPr>
            <w:tcW w:w="2943" w:type="dxa"/>
            <w:tcMar>
              <w:top w:w="0" w:type="dxa"/>
              <w:left w:w="108" w:type="dxa"/>
              <w:bottom w:w="0" w:type="dxa"/>
              <w:right w:w="108" w:type="dxa"/>
            </w:tcMar>
            <w:hideMark/>
          </w:tcPr>
          <w:p w:rsidR="00C10FFE" w:rsidRPr="00C10FFE" w:rsidRDefault="00C10FFE" w:rsidP="00C10FFE">
            <w:pPr>
              <w:suppressAutoHyphens/>
              <w:autoSpaceDN w:val="0"/>
              <w:spacing w:after="0" w:line="254" w:lineRule="auto"/>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Saskaņošanas dalībnieki</w:t>
            </w:r>
          </w:p>
        </w:tc>
        <w:tc>
          <w:tcPr>
            <w:tcW w:w="11060" w:type="dxa"/>
            <w:tcMar>
              <w:top w:w="0" w:type="dxa"/>
              <w:left w:w="108" w:type="dxa"/>
              <w:bottom w:w="0" w:type="dxa"/>
              <w:right w:w="108" w:type="dxa"/>
            </w:tcMar>
            <w:hideMark/>
          </w:tcPr>
          <w:p w:rsidR="00C10FFE" w:rsidRPr="00C10FFE" w:rsidRDefault="00C10FFE" w:rsidP="00C10FFE">
            <w:pPr>
              <w:suppressAutoHyphens/>
              <w:autoSpaceDN w:val="0"/>
              <w:spacing w:after="0" w:line="254" w:lineRule="auto"/>
              <w:ind w:firstLine="720"/>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Finanšu</w:t>
            </w:r>
            <w:r w:rsidR="00C85E7F">
              <w:rPr>
                <w:rFonts w:ascii="Times New Roman" w:eastAsia="Times New Roman" w:hAnsi="Times New Roman" w:cs="Times New Roman"/>
                <w:sz w:val="24"/>
                <w:szCs w:val="24"/>
              </w:rPr>
              <w:t xml:space="preserve"> ministrija</w:t>
            </w:r>
            <w:r w:rsidRPr="00C10FFE">
              <w:rPr>
                <w:rFonts w:ascii="Times New Roman" w:eastAsia="Times New Roman" w:hAnsi="Times New Roman" w:cs="Times New Roman"/>
                <w:sz w:val="24"/>
                <w:szCs w:val="24"/>
              </w:rPr>
              <w:t>, Tieslietu</w:t>
            </w:r>
            <w:r w:rsidR="00C85E7F">
              <w:rPr>
                <w:rFonts w:ascii="Times New Roman" w:eastAsia="Times New Roman" w:hAnsi="Times New Roman" w:cs="Times New Roman"/>
                <w:sz w:val="24"/>
                <w:szCs w:val="24"/>
              </w:rPr>
              <w:t xml:space="preserve"> ministrija, </w:t>
            </w:r>
            <w:r w:rsidR="00C85E7F" w:rsidRPr="00C85E7F">
              <w:rPr>
                <w:rFonts w:ascii="Times New Roman" w:eastAsia="Times New Roman" w:hAnsi="Times New Roman" w:cs="Times New Roman"/>
                <w:sz w:val="24"/>
                <w:szCs w:val="24"/>
              </w:rPr>
              <w:t>Vides aizsardzības un reģionālās attīstības ministrij</w:t>
            </w:r>
            <w:r w:rsidR="00C85E7F">
              <w:rPr>
                <w:rFonts w:ascii="Times New Roman" w:eastAsia="Times New Roman" w:hAnsi="Times New Roman" w:cs="Times New Roman"/>
                <w:sz w:val="24"/>
                <w:szCs w:val="24"/>
              </w:rPr>
              <w:t>a</w:t>
            </w:r>
            <w:r w:rsidR="007375AC">
              <w:rPr>
                <w:rFonts w:ascii="Times New Roman" w:eastAsia="Times New Roman" w:hAnsi="Times New Roman" w:cs="Times New Roman"/>
                <w:sz w:val="24"/>
                <w:szCs w:val="24"/>
              </w:rPr>
              <w:t xml:space="preserve"> un</w:t>
            </w:r>
            <w:r w:rsidR="00C85E7F">
              <w:rPr>
                <w:rFonts w:ascii="Times New Roman" w:eastAsia="Times New Roman" w:hAnsi="Times New Roman" w:cs="Times New Roman"/>
                <w:sz w:val="24"/>
                <w:szCs w:val="24"/>
              </w:rPr>
              <w:t xml:space="preserve"> Latvijas brīvo arodbiedrību savienība </w:t>
            </w:r>
          </w:p>
        </w:tc>
      </w:tr>
      <w:tr w:rsidR="00C10FFE" w:rsidRPr="00C10FFE" w:rsidTr="00C10FFE">
        <w:tc>
          <w:tcPr>
            <w:tcW w:w="2943" w:type="dxa"/>
            <w:tcMar>
              <w:top w:w="0" w:type="dxa"/>
              <w:left w:w="108" w:type="dxa"/>
              <w:bottom w:w="0" w:type="dxa"/>
              <w:right w:w="108" w:type="dxa"/>
            </w:tcMar>
            <w:hideMark/>
          </w:tcPr>
          <w:p w:rsidR="00C10FFE" w:rsidRPr="00C10FFE" w:rsidRDefault="00C10FFE" w:rsidP="00C10FFE">
            <w:pPr>
              <w:suppressAutoHyphens/>
              <w:autoSpaceDN w:val="0"/>
              <w:spacing w:after="0" w:line="254" w:lineRule="auto"/>
              <w:ind w:firstLine="720"/>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  </w:t>
            </w:r>
          </w:p>
        </w:tc>
        <w:tc>
          <w:tcPr>
            <w:tcW w:w="11060" w:type="dxa"/>
            <w:tcBorders>
              <w:top w:val="single" w:sz="6" w:space="0" w:color="000000"/>
              <w:left w:val="nil"/>
              <w:bottom w:val="single" w:sz="6" w:space="0" w:color="000000"/>
              <w:right w:val="nil"/>
            </w:tcBorders>
            <w:tcMar>
              <w:top w:w="0" w:type="dxa"/>
              <w:left w:w="108" w:type="dxa"/>
              <w:bottom w:w="0" w:type="dxa"/>
              <w:right w:w="108" w:type="dxa"/>
            </w:tcMar>
          </w:tcPr>
          <w:p w:rsidR="00C10FFE" w:rsidRPr="00C10FFE" w:rsidRDefault="00C10FFE" w:rsidP="00C10FFE">
            <w:pPr>
              <w:suppressAutoHyphens/>
              <w:autoSpaceDN w:val="0"/>
              <w:spacing w:after="0" w:line="254" w:lineRule="auto"/>
              <w:ind w:firstLine="720"/>
              <w:rPr>
                <w:rFonts w:ascii="Times New Roman" w:eastAsia="Times New Roman" w:hAnsi="Times New Roman" w:cs="Times New Roman"/>
                <w:sz w:val="24"/>
                <w:szCs w:val="24"/>
              </w:rPr>
            </w:pPr>
          </w:p>
        </w:tc>
      </w:tr>
      <w:tr w:rsidR="00C10FFE" w:rsidRPr="00C10FFE" w:rsidTr="00C10FFE">
        <w:tc>
          <w:tcPr>
            <w:tcW w:w="2943" w:type="dxa"/>
            <w:tcMar>
              <w:top w:w="0" w:type="dxa"/>
              <w:left w:w="108" w:type="dxa"/>
              <w:bottom w:w="0" w:type="dxa"/>
              <w:right w:w="108" w:type="dxa"/>
            </w:tcMar>
          </w:tcPr>
          <w:p w:rsidR="00C10FFE" w:rsidRPr="00C10FFE" w:rsidRDefault="00C10FFE" w:rsidP="00C10FFE">
            <w:pPr>
              <w:suppressAutoHyphens/>
              <w:autoSpaceDN w:val="0"/>
              <w:spacing w:after="0" w:line="254" w:lineRule="auto"/>
              <w:ind w:firstLine="720"/>
              <w:rPr>
                <w:rFonts w:ascii="Times New Roman" w:eastAsia="Times New Roman" w:hAnsi="Times New Roman" w:cs="Times New Roman"/>
                <w:sz w:val="24"/>
                <w:szCs w:val="24"/>
              </w:rPr>
            </w:pPr>
          </w:p>
        </w:tc>
        <w:tc>
          <w:tcPr>
            <w:tcW w:w="11060" w:type="dxa"/>
            <w:tcBorders>
              <w:top w:val="single" w:sz="6" w:space="0" w:color="000000"/>
              <w:left w:val="nil"/>
              <w:bottom w:val="single" w:sz="6" w:space="0" w:color="000000"/>
              <w:right w:val="nil"/>
            </w:tcBorders>
            <w:tcMar>
              <w:top w:w="0" w:type="dxa"/>
              <w:left w:w="108" w:type="dxa"/>
              <w:bottom w:w="0" w:type="dxa"/>
              <w:right w:w="108" w:type="dxa"/>
            </w:tcMar>
          </w:tcPr>
          <w:p w:rsidR="00C10FFE" w:rsidRPr="00C10FFE" w:rsidRDefault="00C10FFE" w:rsidP="00C10FFE">
            <w:pPr>
              <w:suppressAutoHyphens/>
              <w:autoSpaceDN w:val="0"/>
              <w:spacing w:after="0" w:line="254" w:lineRule="auto"/>
              <w:ind w:firstLine="720"/>
              <w:rPr>
                <w:rFonts w:ascii="Times New Roman" w:eastAsia="Times New Roman" w:hAnsi="Times New Roman" w:cs="Times New Roman"/>
                <w:sz w:val="24"/>
                <w:szCs w:val="24"/>
              </w:rPr>
            </w:pPr>
          </w:p>
        </w:tc>
      </w:tr>
    </w:tbl>
    <w:p w:rsidR="00C10FFE" w:rsidRPr="00C10FFE" w:rsidRDefault="00C10FFE" w:rsidP="00C10FFE">
      <w:pPr>
        <w:suppressAutoHyphens/>
        <w:autoSpaceDN w:val="0"/>
        <w:spacing w:after="0" w:line="240" w:lineRule="auto"/>
        <w:rPr>
          <w:rFonts w:ascii="Times New Roman" w:eastAsia="Times New Roman" w:hAnsi="Times New Roman" w:cs="Times New Roman"/>
          <w:sz w:val="24"/>
          <w:szCs w:val="24"/>
          <w:lang w:eastAsia="lv-LV"/>
        </w:rPr>
      </w:pPr>
      <w:bookmarkStart w:id="1" w:name="_GoBack"/>
      <w:bookmarkEnd w:id="1"/>
    </w:p>
    <w:tbl>
      <w:tblPr>
        <w:tblW w:w="5085" w:type="pct"/>
        <w:tblCellMar>
          <w:left w:w="10" w:type="dxa"/>
          <w:right w:w="10" w:type="dxa"/>
        </w:tblCellMar>
        <w:tblLook w:val="04A0" w:firstRow="1" w:lastRow="0" w:firstColumn="1" w:lastColumn="0" w:noHBand="0" w:noVBand="1"/>
      </w:tblPr>
      <w:tblGrid>
        <w:gridCol w:w="3172"/>
        <w:gridCol w:w="11023"/>
      </w:tblGrid>
      <w:tr w:rsidR="00C10FFE" w:rsidRPr="00C10FFE" w:rsidTr="00C10FFE">
        <w:trPr>
          <w:trHeight w:val="285"/>
        </w:trPr>
        <w:tc>
          <w:tcPr>
            <w:tcW w:w="3179" w:type="dxa"/>
            <w:tcMar>
              <w:top w:w="0" w:type="dxa"/>
              <w:left w:w="108" w:type="dxa"/>
              <w:bottom w:w="0" w:type="dxa"/>
              <w:right w:w="108" w:type="dxa"/>
            </w:tcMar>
            <w:hideMark/>
          </w:tcPr>
          <w:p w:rsidR="00C10FFE" w:rsidRPr="00C10FFE" w:rsidRDefault="00C10FFE" w:rsidP="00C10FFE">
            <w:pPr>
              <w:suppressAutoHyphens/>
              <w:autoSpaceDN w:val="0"/>
              <w:spacing w:after="0" w:line="254" w:lineRule="auto"/>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lastRenderedPageBreak/>
              <w:t>Saskaņošanas dalībnieki izskatīja šādu ministriju (citu institūciju) iebildumus</w:t>
            </w:r>
          </w:p>
        </w:tc>
        <w:tc>
          <w:tcPr>
            <w:tcW w:w="11062" w:type="dxa"/>
            <w:tcBorders>
              <w:top w:val="nil"/>
              <w:left w:val="nil"/>
              <w:bottom w:val="single" w:sz="4" w:space="0" w:color="000000"/>
              <w:right w:val="nil"/>
            </w:tcBorders>
            <w:tcMar>
              <w:top w:w="0" w:type="dxa"/>
              <w:left w:w="108" w:type="dxa"/>
              <w:bottom w:w="0" w:type="dxa"/>
              <w:right w:w="108" w:type="dxa"/>
            </w:tcMar>
          </w:tcPr>
          <w:p w:rsidR="00C10FFE" w:rsidRPr="00C10FFE" w:rsidRDefault="00C10FFE" w:rsidP="00C10FFE">
            <w:pPr>
              <w:suppressAutoHyphens/>
              <w:autoSpaceDN w:val="0"/>
              <w:spacing w:after="0" w:line="254" w:lineRule="auto"/>
              <w:rPr>
                <w:rFonts w:ascii="Times New Roman" w:eastAsia="Times New Roman" w:hAnsi="Times New Roman" w:cs="Times New Roman"/>
                <w:sz w:val="24"/>
                <w:szCs w:val="24"/>
              </w:rPr>
            </w:pPr>
          </w:p>
          <w:p w:rsidR="00C10FFE" w:rsidRPr="00C10FFE" w:rsidRDefault="00C10FFE" w:rsidP="00C10FFE">
            <w:pPr>
              <w:suppressAutoHyphens/>
              <w:autoSpaceDN w:val="0"/>
              <w:spacing w:after="0" w:line="254" w:lineRule="auto"/>
              <w:rPr>
                <w:rFonts w:ascii="Times New Roman" w:eastAsia="Times New Roman" w:hAnsi="Times New Roman" w:cs="Times New Roman"/>
                <w:sz w:val="24"/>
                <w:szCs w:val="24"/>
              </w:rPr>
            </w:pPr>
          </w:p>
          <w:p w:rsidR="00C10FFE" w:rsidRPr="00C10FFE" w:rsidRDefault="00C85E7F" w:rsidP="00C10FFE">
            <w:pPr>
              <w:suppressAutoHyphens/>
              <w:autoSpaceDN w:val="0"/>
              <w:spacing w:after="0" w:line="254" w:lineRule="auto"/>
              <w:rPr>
                <w:rFonts w:ascii="Times New Roman" w:eastAsia="Times New Roman" w:hAnsi="Times New Roman" w:cs="Times New Roman"/>
                <w:sz w:val="24"/>
                <w:szCs w:val="24"/>
              </w:rPr>
            </w:pPr>
            <w:r w:rsidRPr="00C85E7F">
              <w:rPr>
                <w:rFonts w:ascii="Times New Roman" w:eastAsia="Times New Roman" w:hAnsi="Times New Roman" w:cs="Times New Roman"/>
                <w:sz w:val="24"/>
                <w:szCs w:val="24"/>
              </w:rPr>
              <w:t>Vides aizsardzības un reģionālās attīstības ministrij</w:t>
            </w:r>
            <w:r>
              <w:rPr>
                <w:rFonts w:ascii="Times New Roman" w:eastAsia="Times New Roman" w:hAnsi="Times New Roman" w:cs="Times New Roman"/>
                <w:sz w:val="24"/>
                <w:szCs w:val="24"/>
              </w:rPr>
              <w:t>a</w:t>
            </w:r>
          </w:p>
        </w:tc>
      </w:tr>
      <w:tr w:rsidR="00C10FFE" w:rsidRPr="00C10FFE" w:rsidTr="00C10FFE">
        <w:tc>
          <w:tcPr>
            <w:tcW w:w="3179" w:type="dxa"/>
            <w:tcMar>
              <w:top w:w="0" w:type="dxa"/>
              <w:left w:w="108" w:type="dxa"/>
              <w:bottom w:w="0" w:type="dxa"/>
              <w:right w:w="108" w:type="dxa"/>
            </w:tcMar>
            <w:hideMark/>
          </w:tcPr>
          <w:p w:rsidR="00C10FFE" w:rsidRPr="00C10FFE" w:rsidRDefault="00C10FFE" w:rsidP="00C10FFE">
            <w:pPr>
              <w:suppressAutoHyphens/>
              <w:autoSpaceDN w:val="0"/>
              <w:spacing w:after="0" w:line="254" w:lineRule="auto"/>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Ministrijas (citas institūcijas), kuras nav ieradušās uz sanāksmi vai kuras nav atbildējušas uz uzaicinājumu piedalīties elektroniskajā saskaņošanā</w:t>
            </w:r>
          </w:p>
        </w:tc>
        <w:tc>
          <w:tcPr>
            <w:tcW w:w="11062" w:type="dxa"/>
            <w:tcBorders>
              <w:top w:val="nil"/>
              <w:left w:val="nil"/>
              <w:bottom w:val="single" w:sz="4" w:space="0" w:color="000000"/>
              <w:right w:val="nil"/>
            </w:tcBorders>
            <w:tcMar>
              <w:top w:w="0" w:type="dxa"/>
              <w:left w:w="108" w:type="dxa"/>
              <w:bottom w:w="0" w:type="dxa"/>
              <w:right w:w="108" w:type="dxa"/>
            </w:tcMar>
            <w:hideMark/>
          </w:tcPr>
          <w:p w:rsidR="00C10FFE" w:rsidRPr="00C10FFE" w:rsidRDefault="00C10FFE" w:rsidP="00C10FFE">
            <w:pPr>
              <w:suppressAutoHyphens/>
              <w:autoSpaceDN w:val="0"/>
              <w:spacing w:after="0" w:line="254" w:lineRule="auto"/>
              <w:ind w:firstLine="720"/>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 xml:space="preserve">    </w:t>
            </w:r>
          </w:p>
        </w:tc>
      </w:tr>
      <w:tr w:rsidR="00C10FFE" w:rsidRPr="00C10FFE" w:rsidTr="00C10FFE">
        <w:tc>
          <w:tcPr>
            <w:tcW w:w="3179" w:type="dxa"/>
            <w:tcMar>
              <w:top w:w="0" w:type="dxa"/>
              <w:left w:w="108" w:type="dxa"/>
              <w:bottom w:w="0" w:type="dxa"/>
              <w:right w:w="108" w:type="dxa"/>
            </w:tcMar>
          </w:tcPr>
          <w:p w:rsidR="00C10FFE" w:rsidRPr="00C10FFE" w:rsidRDefault="00C10FFE" w:rsidP="00C10FFE">
            <w:pPr>
              <w:suppressAutoHyphens/>
              <w:autoSpaceDN w:val="0"/>
              <w:spacing w:after="0" w:line="254" w:lineRule="auto"/>
              <w:rPr>
                <w:rFonts w:ascii="Times New Roman" w:eastAsia="Times New Roman" w:hAnsi="Times New Roman" w:cs="Times New Roman"/>
                <w:sz w:val="24"/>
                <w:szCs w:val="24"/>
              </w:rPr>
            </w:pPr>
          </w:p>
        </w:tc>
        <w:tc>
          <w:tcPr>
            <w:tcW w:w="11062" w:type="dxa"/>
            <w:tcMar>
              <w:top w:w="0" w:type="dxa"/>
              <w:left w:w="108" w:type="dxa"/>
              <w:bottom w:w="0" w:type="dxa"/>
              <w:right w:w="108" w:type="dxa"/>
            </w:tcMar>
          </w:tcPr>
          <w:p w:rsidR="00C10FFE" w:rsidRPr="00C10FFE" w:rsidRDefault="00C10FFE" w:rsidP="00C10FFE">
            <w:pPr>
              <w:suppressAutoHyphens/>
              <w:autoSpaceDN w:val="0"/>
              <w:spacing w:after="0" w:line="254" w:lineRule="auto"/>
              <w:ind w:firstLine="720"/>
              <w:rPr>
                <w:rFonts w:ascii="Times New Roman" w:eastAsia="Times New Roman" w:hAnsi="Times New Roman" w:cs="Times New Roman"/>
                <w:sz w:val="24"/>
                <w:szCs w:val="24"/>
              </w:rPr>
            </w:pPr>
          </w:p>
        </w:tc>
      </w:tr>
      <w:tr w:rsidR="00C10FFE" w:rsidRPr="00C10FFE" w:rsidTr="00C10FFE">
        <w:tc>
          <w:tcPr>
            <w:tcW w:w="3179" w:type="dxa"/>
            <w:tcMar>
              <w:top w:w="0" w:type="dxa"/>
              <w:left w:w="108" w:type="dxa"/>
              <w:bottom w:w="0" w:type="dxa"/>
              <w:right w:w="108" w:type="dxa"/>
            </w:tcMar>
          </w:tcPr>
          <w:p w:rsidR="00C10FFE" w:rsidRPr="00C10FFE" w:rsidRDefault="00C10FFE" w:rsidP="00C10FFE">
            <w:pPr>
              <w:suppressAutoHyphens/>
              <w:autoSpaceDN w:val="0"/>
              <w:spacing w:after="0" w:line="254" w:lineRule="auto"/>
              <w:rPr>
                <w:rFonts w:ascii="Times New Roman" w:eastAsia="Times New Roman" w:hAnsi="Times New Roman" w:cs="Times New Roman"/>
                <w:sz w:val="24"/>
                <w:szCs w:val="24"/>
              </w:rPr>
            </w:pPr>
          </w:p>
        </w:tc>
        <w:tc>
          <w:tcPr>
            <w:tcW w:w="11062" w:type="dxa"/>
            <w:tcMar>
              <w:top w:w="0" w:type="dxa"/>
              <w:left w:w="108" w:type="dxa"/>
              <w:bottom w:w="0" w:type="dxa"/>
              <w:right w:w="108" w:type="dxa"/>
            </w:tcMar>
          </w:tcPr>
          <w:p w:rsidR="00C10FFE" w:rsidRPr="00C10FFE" w:rsidRDefault="00C10FFE" w:rsidP="00C10FFE">
            <w:pPr>
              <w:suppressAutoHyphens/>
              <w:autoSpaceDN w:val="0"/>
              <w:spacing w:after="0" w:line="254" w:lineRule="auto"/>
              <w:ind w:firstLine="720"/>
              <w:rPr>
                <w:rFonts w:ascii="Times New Roman" w:eastAsia="Times New Roman" w:hAnsi="Times New Roman" w:cs="Times New Roman"/>
                <w:sz w:val="24"/>
                <w:szCs w:val="24"/>
              </w:rPr>
            </w:pPr>
          </w:p>
        </w:tc>
      </w:tr>
    </w:tbl>
    <w:p w:rsidR="00C10FFE" w:rsidRPr="00C10FFE" w:rsidRDefault="00C10FFE" w:rsidP="00C10FFE">
      <w:pPr>
        <w:suppressAutoHyphens/>
        <w:autoSpaceDN w:val="0"/>
        <w:spacing w:after="0" w:line="240" w:lineRule="auto"/>
        <w:ind w:firstLine="720"/>
        <w:jc w:val="both"/>
        <w:rPr>
          <w:rFonts w:ascii="Times New Roman" w:eastAsia="Times New Roman" w:hAnsi="Times New Roman" w:cs="Times New Roman"/>
          <w:sz w:val="24"/>
          <w:szCs w:val="24"/>
          <w:lang w:eastAsia="lv-LV"/>
        </w:rPr>
      </w:pPr>
    </w:p>
    <w:p w:rsidR="00C10FFE" w:rsidRPr="00C10FFE" w:rsidRDefault="00C10FFE" w:rsidP="00C10FFE">
      <w:pPr>
        <w:suppressAutoHyphens/>
        <w:autoSpaceDN w:val="0"/>
        <w:spacing w:after="0" w:line="240" w:lineRule="auto"/>
        <w:jc w:val="center"/>
        <w:rPr>
          <w:rFonts w:ascii="Times New Roman" w:eastAsia="Times New Roman" w:hAnsi="Times New Roman" w:cs="Times New Roman"/>
          <w:b/>
          <w:sz w:val="24"/>
          <w:szCs w:val="24"/>
          <w:lang w:eastAsia="lv-LV"/>
        </w:rPr>
      </w:pPr>
      <w:r w:rsidRPr="00C10FFE">
        <w:rPr>
          <w:rFonts w:ascii="Times New Roman" w:eastAsia="Times New Roman" w:hAnsi="Times New Roman" w:cs="Times New Roman"/>
          <w:b/>
          <w:sz w:val="24"/>
          <w:szCs w:val="24"/>
          <w:lang w:eastAsia="lv-LV"/>
        </w:rPr>
        <w:t>II. Jautājumi, par kuriem saskaņošanā vienošanās ir panākta</w:t>
      </w:r>
    </w:p>
    <w:p w:rsidR="00C10FFE" w:rsidRPr="00C10FFE" w:rsidRDefault="00C10FFE" w:rsidP="00C10FFE">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77" w:type="pct"/>
        <w:tblCellMar>
          <w:left w:w="10" w:type="dxa"/>
          <w:right w:w="10" w:type="dxa"/>
        </w:tblCellMar>
        <w:tblLook w:val="04A0" w:firstRow="1" w:lastRow="0" w:firstColumn="1" w:lastColumn="0" w:noHBand="0" w:noVBand="1"/>
      </w:tblPr>
      <w:tblGrid>
        <w:gridCol w:w="576"/>
        <w:gridCol w:w="2711"/>
        <w:gridCol w:w="240"/>
        <w:gridCol w:w="4020"/>
        <w:gridCol w:w="785"/>
        <w:gridCol w:w="2679"/>
        <w:gridCol w:w="151"/>
        <w:gridCol w:w="2998"/>
      </w:tblGrid>
      <w:tr w:rsidR="00C10FFE" w:rsidRPr="00C10FFE" w:rsidTr="00C10FFE">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10FFE" w:rsidRPr="00C10FFE" w:rsidRDefault="00C10FFE" w:rsidP="00C10FFE">
            <w:pPr>
              <w:suppressAutoHyphens/>
              <w:autoSpaceDN w:val="0"/>
              <w:spacing w:after="0" w:line="254" w:lineRule="auto"/>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Nr. p.k.</w:t>
            </w:r>
          </w:p>
        </w:tc>
        <w:tc>
          <w:tcPr>
            <w:tcW w:w="29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10FFE" w:rsidRPr="00C10FFE" w:rsidRDefault="00C10FFE" w:rsidP="00C10FFE">
            <w:pPr>
              <w:suppressAutoHyphens/>
              <w:autoSpaceDN w:val="0"/>
              <w:spacing w:after="0" w:line="254" w:lineRule="auto"/>
              <w:ind w:firstLine="12"/>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Saskaņošanai nosūtītā projekta redakcija (konkrēta punkta (panta) redakcija)</w:t>
            </w:r>
          </w:p>
        </w:tc>
        <w:tc>
          <w:tcPr>
            <w:tcW w:w="4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10FFE" w:rsidRPr="00C10FFE" w:rsidRDefault="00C10FFE" w:rsidP="00C10FFE">
            <w:pPr>
              <w:suppressAutoHyphens/>
              <w:autoSpaceDN w:val="0"/>
              <w:spacing w:after="0" w:line="254" w:lineRule="auto"/>
              <w:ind w:right="3"/>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36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10FFE" w:rsidRPr="00C10FFE" w:rsidRDefault="00C10FFE" w:rsidP="00C10FFE">
            <w:pPr>
              <w:suppressAutoHyphens/>
              <w:autoSpaceDN w:val="0"/>
              <w:spacing w:after="0" w:line="254" w:lineRule="auto"/>
              <w:ind w:firstLine="21"/>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Atbildīgās ministrijas norāde par to, ka iebildums ir ņemts vērā, vai informācija par saskaņošanā panākto alternatīvo risinājumu</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0FFE" w:rsidRPr="00C10FFE" w:rsidRDefault="00C10FFE" w:rsidP="00C10FFE">
            <w:pPr>
              <w:suppressAutoHyphens/>
              <w:autoSpaceDN w:val="0"/>
              <w:spacing w:after="0" w:line="254" w:lineRule="auto"/>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Projekta attiecīgā punkta (panta) galīgā redakcija</w:t>
            </w:r>
          </w:p>
        </w:tc>
      </w:tr>
      <w:tr w:rsidR="00C10FFE" w:rsidRPr="00C10FFE" w:rsidTr="00C10FFE">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0FFE" w:rsidRPr="00C10FFE" w:rsidRDefault="00C10FFE" w:rsidP="00C10FFE">
            <w:pPr>
              <w:suppressAutoHyphens/>
              <w:autoSpaceDN w:val="0"/>
              <w:spacing w:after="0" w:line="254" w:lineRule="auto"/>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1</w:t>
            </w:r>
          </w:p>
        </w:tc>
        <w:tc>
          <w:tcPr>
            <w:tcW w:w="29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0FFE" w:rsidRPr="00C10FFE" w:rsidRDefault="00C10FFE" w:rsidP="00C10FFE">
            <w:pPr>
              <w:suppressAutoHyphens/>
              <w:autoSpaceDN w:val="0"/>
              <w:spacing w:after="0" w:line="254" w:lineRule="auto"/>
              <w:ind w:firstLine="720"/>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2</w:t>
            </w:r>
          </w:p>
        </w:tc>
        <w:tc>
          <w:tcPr>
            <w:tcW w:w="4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0FFE" w:rsidRPr="00C10FFE" w:rsidRDefault="00C10FFE" w:rsidP="00C10FFE">
            <w:pPr>
              <w:suppressAutoHyphens/>
              <w:autoSpaceDN w:val="0"/>
              <w:spacing w:after="0" w:line="254" w:lineRule="auto"/>
              <w:ind w:firstLine="720"/>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3</w:t>
            </w:r>
          </w:p>
        </w:tc>
        <w:tc>
          <w:tcPr>
            <w:tcW w:w="36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0FFE" w:rsidRPr="00C10FFE" w:rsidRDefault="00C10FFE" w:rsidP="00C10FFE">
            <w:pPr>
              <w:suppressAutoHyphens/>
              <w:autoSpaceDN w:val="0"/>
              <w:spacing w:after="0" w:line="254" w:lineRule="auto"/>
              <w:ind w:firstLine="720"/>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4</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0FFE" w:rsidRPr="00C10FFE" w:rsidRDefault="00C10FFE" w:rsidP="00C10FFE">
            <w:pPr>
              <w:suppressAutoHyphens/>
              <w:autoSpaceDN w:val="0"/>
              <w:spacing w:after="0" w:line="254" w:lineRule="auto"/>
              <w:jc w:val="center"/>
              <w:rPr>
                <w:rFonts w:ascii="Times New Roman" w:eastAsia="Times New Roman" w:hAnsi="Times New Roman" w:cs="Times New Roman"/>
                <w:sz w:val="20"/>
                <w:szCs w:val="20"/>
              </w:rPr>
            </w:pPr>
            <w:r w:rsidRPr="00C10FFE">
              <w:rPr>
                <w:rFonts w:ascii="Times New Roman" w:eastAsia="Times New Roman" w:hAnsi="Times New Roman" w:cs="Times New Roman"/>
                <w:sz w:val="20"/>
                <w:szCs w:val="20"/>
              </w:rPr>
              <w:t>5</w:t>
            </w:r>
          </w:p>
        </w:tc>
      </w:tr>
      <w:tr w:rsidR="00C10FFE" w:rsidRPr="00C10FFE" w:rsidTr="00C10FFE">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0FFE" w:rsidRPr="00C10FFE" w:rsidRDefault="00C10FFE" w:rsidP="00C10FFE">
            <w:pPr>
              <w:suppressAutoHyphens/>
              <w:autoSpaceDN w:val="0"/>
              <w:spacing w:after="0" w:line="254" w:lineRule="auto"/>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1.</w:t>
            </w:r>
          </w:p>
        </w:tc>
        <w:tc>
          <w:tcPr>
            <w:tcW w:w="29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10FFE" w:rsidRPr="00C85E7F" w:rsidRDefault="00C10FFE" w:rsidP="00C85E7F">
            <w:pPr>
              <w:suppressAutoHyphens/>
              <w:autoSpaceDN w:val="0"/>
              <w:spacing w:after="0" w:line="254" w:lineRule="auto"/>
              <w:rPr>
                <w:rFonts w:ascii="Times New Roman" w:eastAsia="Times New Roman" w:hAnsi="Times New Roman" w:cs="Times New Roman"/>
                <w:sz w:val="24"/>
                <w:szCs w:val="24"/>
              </w:rPr>
            </w:pPr>
          </w:p>
        </w:tc>
        <w:tc>
          <w:tcPr>
            <w:tcW w:w="4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85E7F" w:rsidRPr="00C85E7F" w:rsidRDefault="00C85E7F" w:rsidP="00C85E7F">
            <w:pPr>
              <w:widowControl w:val="0"/>
              <w:spacing w:after="0" w:line="240" w:lineRule="auto"/>
              <w:ind w:firstLine="325"/>
              <w:contextualSpacing/>
              <w:jc w:val="both"/>
              <w:rPr>
                <w:rFonts w:ascii="Times New Roman" w:eastAsia="Calibri" w:hAnsi="Times New Roman" w:cs="Times New Roman"/>
                <w:sz w:val="24"/>
                <w:szCs w:val="24"/>
              </w:rPr>
            </w:pPr>
            <w:r w:rsidRPr="00C85E7F">
              <w:rPr>
                <w:rFonts w:ascii="Times New Roman" w:eastAsia="Calibri" w:hAnsi="Times New Roman" w:cs="Times New Roman"/>
                <w:sz w:val="24"/>
                <w:szCs w:val="24"/>
              </w:rPr>
              <w:t xml:space="preserve">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w:t>
            </w:r>
            <w:r w:rsidRPr="00C85E7F">
              <w:rPr>
                <w:rFonts w:ascii="Times New Roman" w:eastAsia="Calibri" w:hAnsi="Times New Roman" w:cs="Times New Roman"/>
                <w:sz w:val="24"/>
                <w:szCs w:val="24"/>
              </w:rPr>
              <w:lastRenderedPageBreak/>
              <w:t xml:space="preserve">arī </w:t>
            </w:r>
            <w:r w:rsidRPr="00C85E7F">
              <w:rPr>
                <w:rFonts w:ascii="Times New Roman" w:eastAsia="Calibri" w:hAnsi="Times New Roman" w:cs="Times New Roman"/>
                <w:sz w:val="24"/>
                <w:szCs w:val="24"/>
                <w:u w:val="single"/>
              </w:rPr>
              <w:t>pilnveidot esošos</w:t>
            </w:r>
            <w:r w:rsidRPr="00C85E7F">
              <w:rPr>
                <w:rFonts w:ascii="Times New Roman" w:eastAsia="Calibri" w:hAnsi="Times New Roman" w:cs="Times New Roman"/>
                <w:sz w:val="24"/>
                <w:szCs w:val="24"/>
              </w:rPr>
              <w:t xml:space="preserve">, kā arī to, vai pakalpojums tiks sniegts elektroniski (ja pakalpojums nav pieejams elektroniski, vai ir plānots veidot elektronisku kanālu). </w:t>
            </w:r>
          </w:p>
          <w:p w:rsidR="00C10FFE" w:rsidRPr="00C10FFE" w:rsidRDefault="00C85E7F" w:rsidP="00C85E7F">
            <w:pPr>
              <w:widowControl w:val="0"/>
              <w:spacing w:after="0" w:line="240" w:lineRule="auto"/>
              <w:ind w:firstLine="467"/>
              <w:contextualSpacing/>
              <w:jc w:val="both"/>
              <w:rPr>
                <w:rFonts w:ascii="Times New Roman" w:eastAsia="Times New Roman" w:hAnsi="Times New Roman" w:cs="Times New Roman"/>
                <w:sz w:val="20"/>
                <w:szCs w:val="20"/>
              </w:rPr>
            </w:pPr>
            <w:r w:rsidRPr="00C85E7F">
              <w:rPr>
                <w:rFonts w:ascii="Times New Roman" w:eastAsia="Calibri" w:hAnsi="Times New Roman" w:cs="Times New Roman"/>
                <w:sz w:val="24"/>
                <w:szCs w:val="24"/>
              </w:rPr>
              <w:t xml:space="preserve">Ņemot vērā, ka pakalpojums tiek pilnveidots (noteikti mazāk pieprasāmo dokumenti iesniegšanai no privātpersonas, bet nepieciešamo dokumentu izgūšana no citas iestādes, kuras rīcībā šī informācija ir, tiesīga noteikt personai invaliditāti bez atkārtota invaliditātes ekspertīzes termiņa jeb uz mūžu, kas dos iespēju personām saņemt sociālās garantijas visa mūža garumā bez atkārtotas dokumentu kārtošanas un iesniegšanas Komisijā), vienlaikus samazinot administratīvo slogu gan projekta mērķa grupai, gan Komisijai, lūdzam anotācijas I sadaļas 2. punktā norādīt pakalpojuma nosaukumu un tā sniegšanas kanālus. </w:t>
            </w:r>
          </w:p>
        </w:tc>
        <w:tc>
          <w:tcPr>
            <w:tcW w:w="36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0FFE" w:rsidRPr="00C10FFE" w:rsidRDefault="00C10FFE" w:rsidP="00C10FFE">
            <w:pPr>
              <w:suppressAutoHyphens/>
              <w:autoSpaceDN w:val="0"/>
              <w:spacing w:after="120" w:line="254" w:lineRule="auto"/>
              <w:jc w:val="center"/>
              <w:rPr>
                <w:rFonts w:ascii="Times New Roman" w:eastAsia="Times New Roman" w:hAnsi="Times New Roman" w:cs="Times New Roman"/>
                <w:b/>
                <w:sz w:val="24"/>
                <w:szCs w:val="24"/>
              </w:rPr>
            </w:pPr>
            <w:r w:rsidRPr="00C10FFE">
              <w:rPr>
                <w:rFonts w:ascii="Times New Roman" w:eastAsia="Times New Roman" w:hAnsi="Times New Roman" w:cs="Times New Roman"/>
                <w:b/>
                <w:sz w:val="24"/>
                <w:szCs w:val="24"/>
              </w:rPr>
              <w:lastRenderedPageBreak/>
              <w:t>Ņemts vērā.</w:t>
            </w:r>
          </w:p>
          <w:p w:rsidR="00C10FFE" w:rsidRPr="00C10FFE" w:rsidRDefault="00C10FFE" w:rsidP="00C10FFE">
            <w:pPr>
              <w:suppressAutoHyphens/>
              <w:autoSpaceDN w:val="0"/>
              <w:spacing w:after="120" w:line="254" w:lineRule="auto"/>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Papildināts anotācijas I sadaļas 2. punkts</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0FFE" w:rsidRPr="00C10FFE" w:rsidRDefault="00C10FFE" w:rsidP="00C10FFE">
            <w:pPr>
              <w:widowControl w:val="0"/>
              <w:suppressAutoHyphens/>
              <w:autoSpaceDN w:val="0"/>
              <w:spacing w:after="0" w:line="254" w:lineRule="auto"/>
              <w:jc w:val="both"/>
              <w:rPr>
                <w:rFonts w:ascii="Times New Roman" w:eastAsia="Calibri" w:hAnsi="Times New Roman" w:cs="Times New Roman"/>
                <w:sz w:val="24"/>
                <w:szCs w:val="24"/>
              </w:rPr>
            </w:pPr>
            <w:r w:rsidRPr="00C10FFE">
              <w:rPr>
                <w:rFonts w:ascii="Times New Roman" w:eastAsia="Calibri" w:hAnsi="Times New Roman" w:cs="Times New Roman"/>
                <w:sz w:val="24"/>
                <w:szCs w:val="24"/>
              </w:rPr>
              <w:t>Skatīt anotācijas I sadaļas 2.punktu</w:t>
            </w:r>
            <w:r w:rsidR="00C85E7F">
              <w:rPr>
                <w:rFonts w:ascii="Times New Roman" w:eastAsia="Calibri" w:hAnsi="Times New Roman" w:cs="Times New Roman"/>
                <w:sz w:val="24"/>
                <w:szCs w:val="24"/>
              </w:rPr>
              <w:t>.</w:t>
            </w:r>
          </w:p>
        </w:tc>
      </w:tr>
      <w:tr w:rsidR="00C10FFE" w:rsidRPr="00C10FFE" w:rsidTr="00C10FFE">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0FFE" w:rsidRPr="00C10FFE" w:rsidRDefault="00C10FFE" w:rsidP="00C10FFE">
            <w:pPr>
              <w:suppressAutoHyphens/>
              <w:autoSpaceDN w:val="0"/>
              <w:spacing w:after="0" w:line="254" w:lineRule="auto"/>
              <w:jc w:val="center"/>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2.</w:t>
            </w:r>
          </w:p>
        </w:tc>
        <w:tc>
          <w:tcPr>
            <w:tcW w:w="29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10FFE" w:rsidRPr="00C10FFE" w:rsidRDefault="00C10FFE" w:rsidP="00C10FFE">
            <w:pPr>
              <w:suppressAutoHyphens/>
              <w:autoSpaceDN w:val="0"/>
              <w:spacing w:after="0" w:line="254" w:lineRule="auto"/>
              <w:ind w:firstLine="720"/>
              <w:jc w:val="center"/>
              <w:rPr>
                <w:rFonts w:ascii="Times New Roman" w:eastAsia="Times New Roman" w:hAnsi="Times New Roman" w:cs="Times New Roman"/>
                <w:sz w:val="20"/>
                <w:szCs w:val="20"/>
              </w:rPr>
            </w:pPr>
          </w:p>
        </w:tc>
        <w:tc>
          <w:tcPr>
            <w:tcW w:w="4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0FFE" w:rsidRPr="00C10FFE" w:rsidRDefault="00C85E7F" w:rsidP="00C10FFE">
            <w:pPr>
              <w:suppressAutoHyphens/>
              <w:autoSpaceDN w:val="0"/>
              <w:spacing w:after="120" w:line="254" w:lineRule="auto"/>
              <w:jc w:val="center"/>
              <w:rPr>
                <w:rFonts w:ascii="Times New Roman" w:eastAsia="Times New Roman" w:hAnsi="Times New Roman" w:cs="Times New Roman"/>
                <w:b/>
                <w:sz w:val="24"/>
                <w:szCs w:val="24"/>
              </w:rPr>
            </w:pPr>
            <w:r w:rsidRPr="00C85E7F">
              <w:rPr>
                <w:rFonts w:ascii="Times New Roman" w:eastAsia="Times New Roman" w:hAnsi="Times New Roman" w:cs="Times New Roman"/>
                <w:b/>
                <w:sz w:val="24"/>
                <w:szCs w:val="24"/>
              </w:rPr>
              <w:t>Vides aizsardzības un reģionālās attīstības ministrij</w:t>
            </w:r>
            <w:r>
              <w:rPr>
                <w:rFonts w:ascii="Times New Roman" w:eastAsia="Times New Roman" w:hAnsi="Times New Roman" w:cs="Times New Roman"/>
                <w:b/>
                <w:sz w:val="24"/>
                <w:szCs w:val="24"/>
              </w:rPr>
              <w:t>a</w:t>
            </w:r>
            <w:r w:rsidR="00C10FFE" w:rsidRPr="00C10FFE">
              <w:rPr>
                <w:rFonts w:ascii="Times New Roman" w:eastAsia="Times New Roman" w:hAnsi="Times New Roman" w:cs="Times New Roman"/>
                <w:b/>
                <w:sz w:val="24"/>
                <w:szCs w:val="24"/>
              </w:rPr>
              <w:t>:</w:t>
            </w:r>
          </w:p>
          <w:p w:rsidR="00C10FFE" w:rsidRPr="00C10FFE" w:rsidRDefault="00C85E7F" w:rsidP="00C10FFE">
            <w:pPr>
              <w:widowControl w:val="0"/>
              <w:tabs>
                <w:tab w:val="left" w:pos="34"/>
              </w:tabs>
              <w:suppressAutoHyphens/>
              <w:autoSpaceDN w:val="0"/>
              <w:spacing w:after="120" w:line="254" w:lineRule="auto"/>
              <w:ind w:right="-2"/>
              <w:jc w:val="both"/>
              <w:rPr>
                <w:rFonts w:ascii="Times New Roman" w:eastAsia="Calibri" w:hAnsi="Times New Roman" w:cs="Times New Roman"/>
                <w:color w:val="000000"/>
                <w:sz w:val="24"/>
                <w:szCs w:val="24"/>
              </w:rPr>
            </w:pPr>
            <w:r w:rsidRPr="00C85E7F">
              <w:rPr>
                <w:rFonts w:ascii="Times New Roman" w:eastAsia="Calibri" w:hAnsi="Times New Roman" w:cs="Times New Roman"/>
                <w:color w:val="000000"/>
                <w:sz w:val="24"/>
                <w:szCs w:val="24"/>
              </w:rPr>
              <w:t xml:space="preserve">Pēc Ministru kabineta noteikumu projekta ““Grozījumi Ministru kabineta 2014. gada 23. decembra noteikumos Nr. 805 “Noteikumi par prognozējamas </w:t>
            </w:r>
            <w:r w:rsidRPr="00C85E7F">
              <w:rPr>
                <w:rFonts w:ascii="Times New Roman" w:eastAsia="Calibri" w:hAnsi="Times New Roman" w:cs="Times New Roman"/>
                <w:color w:val="000000"/>
                <w:sz w:val="24"/>
                <w:szCs w:val="24"/>
              </w:rPr>
              <w:lastRenderedPageBreak/>
              <w:t>invaliditātes, invaliditātes un darbspēju zaudējuma noteikšanas kritērijiem, termiņiem un kārtību”” (VSS-1006) spēkā stāšanās lūdzam saskaņā ar Ministru kabineta 2017. gada 4. jūlija noteikumu Nr.399 “Valsts pārvaldes pakalpojumu uzskaites, kvalitātes kontroles un sniegšanas kārtība” 4.3. apakšpunktā minēto, nodrošināt pakalpojuma apraksta aktualizāciju.</w:t>
            </w:r>
          </w:p>
        </w:tc>
        <w:tc>
          <w:tcPr>
            <w:tcW w:w="36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0FFE" w:rsidRPr="00C10FFE" w:rsidRDefault="00C10FFE" w:rsidP="00C10FFE">
            <w:pPr>
              <w:suppressAutoHyphens/>
              <w:autoSpaceDN w:val="0"/>
              <w:spacing w:after="120" w:line="254" w:lineRule="auto"/>
              <w:jc w:val="center"/>
              <w:rPr>
                <w:rFonts w:ascii="Times New Roman" w:eastAsia="Times New Roman" w:hAnsi="Times New Roman" w:cs="Times New Roman"/>
                <w:b/>
                <w:sz w:val="24"/>
                <w:szCs w:val="24"/>
              </w:rPr>
            </w:pPr>
            <w:r w:rsidRPr="00C10FFE">
              <w:rPr>
                <w:rFonts w:ascii="Times New Roman" w:eastAsia="Times New Roman" w:hAnsi="Times New Roman" w:cs="Times New Roman"/>
                <w:b/>
                <w:sz w:val="24"/>
                <w:szCs w:val="24"/>
              </w:rPr>
              <w:lastRenderedPageBreak/>
              <w:t>Ņemts vērā.</w:t>
            </w:r>
          </w:p>
          <w:p w:rsidR="00C10FFE" w:rsidRPr="00C10FFE" w:rsidRDefault="00C10FFE" w:rsidP="00C10FFE">
            <w:pPr>
              <w:suppressAutoHyphens/>
              <w:autoSpaceDN w:val="0"/>
              <w:spacing w:after="120" w:line="254" w:lineRule="auto"/>
              <w:jc w:val="both"/>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 xml:space="preserve"> </w:t>
            </w:r>
            <w:r w:rsidR="001B7F23" w:rsidRPr="001B7F23">
              <w:rPr>
                <w:rFonts w:ascii="Times New Roman" w:eastAsia="Times New Roman" w:hAnsi="Times New Roman" w:cs="Times New Roman"/>
                <w:sz w:val="24"/>
                <w:szCs w:val="24"/>
              </w:rPr>
              <w:t xml:space="preserve">Pēc Ministru kabineta noteikumu projekta ““Grozījumi Ministru kabineta 2014. gada 23. decembra noteikumos Nr. 805 “Noteikumi par prognozējamas invaliditātes, </w:t>
            </w:r>
            <w:r w:rsidR="001B7F23" w:rsidRPr="001B7F23">
              <w:rPr>
                <w:rFonts w:ascii="Times New Roman" w:eastAsia="Times New Roman" w:hAnsi="Times New Roman" w:cs="Times New Roman"/>
                <w:sz w:val="24"/>
                <w:szCs w:val="24"/>
              </w:rPr>
              <w:lastRenderedPageBreak/>
              <w:t xml:space="preserve">invaliditātes un darbspēju zaudējuma noteikšanas kritērijiem, termiņiem un kārtību”” spēkā stāšanās </w:t>
            </w:r>
            <w:r w:rsidR="001B7F23">
              <w:rPr>
                <w:rFonts w:ascii="Times New Roman" w:eastAsia="Times New Roman" w:hAnsi="Times New Roman" w:cs="Times New Roman"/>
                <w:sz w:val="24"/>
                <w:szCs w:val="24"/>
              </w:rPr>
              <w:t xml:space="preserve">tiks </w:t>
            </w:r>
            <w:r w:rsidR="001B7F23" w:rsidRPr="001B7F23">
              <w:rPr>
                <w:rFonts w:ascii="Times New Roman" w:eastAsia="Times New Roman" w:hAnsi="Times New Roman" w:cs="Times New Roman"/>
                <w:sz w:val="24"/>
                <w:szCs w:val="24"/>
              </w:rPr>
              <w:t>nodrošināt</w:t>
            </w:r>
            <w:r w:rsidR="001B7F23">
              <w:rPr>
                <w:rFonts w:ascii="Times New Roman" w:eastAsia="Times New Roman" w:hAnsi="Times New Roman" w:cs="Times New Roman"/>
                <w:sz w:val="24"/>
                <w:szCs w:val="24"/>
              </w:rPr>
              <w:t xml:space="preserve">a </w:t>
            </w:r>
            <w:r w:rsidR="001B7F23" w:rsidRPr="001B7F23">
              <w:rPr>
                <w:rFonts w:ascii="Times New Roman" w:eastAsia="Times New Roman" w:hAnsi="Times New Roman" w:cs="Times New Roman"/>
                <w:sz w:val="24"/>
                <w:szCs w:val="24"/>
              </w:rPr>
              <w:t>pakalpojuma apraksta aktualizācij</w:t>
            </w:r>
            <w:r w:rsidR="001B7F23">
              <w:rPr>
                <w:rFonts w:ascii="Times New Roman" w:eastAsia="Times New Roman" w:hAnsi="Times New Roman" w:cs="Times New Roman"/>
                <w:sz w:val="24"/>
                <w:szCs w:val="24"/>
              </w:rPr>
              <w:t>a</w:t>
            </w:r>
            <w:r w:rsidR="001B7F23">
              <w:t xml:space="preserve"> </w:t>
            </w:r>
            <w:r w:rsidR="001B7F23" w:rsidRPr="001B7F23">
              <w:rPr>
                <w:rFonts w:ascii="Times New Roman" w:eastAsia="Times New Roman" w:hAnsi="Times New Roman" w:cs="Times New Roman"/>
                <w:sz w:val="24"/>
                <w:szCs w:val="24"/>
              </w:rPr>
              <w:t>valsts pārvaldes pakalpojumu katalog</w:t>
            </w:r>
            <w:r w:rsidR="001B7F23">
              <w:rPr>
                <w:rFonts w:ascii="Times New Roman" w:eastAsia="Times New Roman" w:hAnsi="Times New Roman" w:cs="Times New Roman"/>
                <w:sz w:val="24"/>
                <w:szCs w:val="24"/>
              </w:rPr>
              <w:t>ā</w:t>
            </w:r>
            <w:r w:rsidR="001B7F23" w:rsidRPr="001B7F23">
              <w:rPr>
                <w:rFonts w:ascii="Times New Roman" w:eastAsia="Times New Roman" w:hAnsi="Times New Roman" w:cs="Times New Roman"/>
                <w:sz w:val="24"/>
                <w:szCs w:val="24"/>
              </w:rPr>
              <w:t>.</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0FFE" w:rsidRPr="00C10FFE" w:rsidRDefault="00C10FFE" w:rsidP="00C10FFE">
            <w:pPr>
              <w:suppressAutoHyphens/>
              <w:autoSpaceDN w:val="0"/>
              <w:spacing w:after="0" w:line="254" w:lineRule="auto"/>
              <w:jc w:val="both"/>
              <w:rPr>
                <w:rFonts w:ascii="Times New Roman" w:eastAsia="Times New Roman" w:hAnsi="Times New Roman" w:cs="Times New Roman"/>
                <w:sz w:val="24"/>
                <w:szCs w:val="24"/>
              </w:rPr>
            </w:pPr>
          </w:p>
        </w:tc>
      </w:tr>
      <w:tr w:rsidR="00C85E7F" w:rsidRPr="00C10FFE" w:rsidTr="00C10FFE">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85E7F" w:rsidRPr="00C10FFE" w:rsidRDefault="00C85E7F" w:rsidP="00C10FFE">
            <w:pPr>
              <w:suppressAutoHyphens/>
              <w:autoSpaceDN w:val="0"/>
              <w:spacing w:after="0" w:line="254" w:lineRule="auto"/>
              <w:jc w:val="center"/>
              <w:rPr>
                <w:rFonts w:ascii="Times New Roman" w:eastAsia="Times New Roman" w:hAnsi="Times New Roman" w:cs="Times New Roman"/>
                <w:sz w:val="24"/>
                <w:szCs w:val="24"/>
              </w:rPr>
            </w:pPr>
          </w:p>
        </w:tc>
        <w:tc>
          <w:tcPr>
            <w:tcW w:w="29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85E7F" w:rsidRPr="00C10FFE" w:rsidRDefault="00C85E7F" w:rsidP="00C10FFE">
            <w:pPr>
              <w:suppressAutoHyphens/>
              <w:autoSpaceDN w:val="0"/>
              <w:spacing w:after="0" w:line="254" w:lineRule="auto"/>
              <w:ind w:firstLine="720"/>
              <w:jc w:val="center"/>
              <w:rPr>
                <w:rFonts w:ascii="Times New Roman" w:eastAsia="Times New Roman" w:hAnsi="Times New Roman" w:cs="Times New Roman"/>
                <w:sz w:val="20"/>
                <w:szCs w:val="20"/>
              </w:rPr>
            </w:pPr>
          </w:p>
        </w:tc>
        <w:tc>
          <w:tcPr>
            <w:tcW w:w="4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85E7F" w:rsidRDefault="00C85E7F" w:rsidP="00C10FFE">
            <w:pPr>
              <w:suppressAutoHyphens/>
              <w:autoSpaceDN w:val="0"/>
              <w:spacing w:after="120" w:line="254" w:lineRule="auto"/>
              <w:jc w:val="center"/>
              <w:rPr>
                <w:rFonts w:ascii="Times New Roman" w:eastAsia="Times New Roman" w:hAnsi="Times New Roman" w:cs="Times New Roman"/>
                <w:b/>
                <w:sz w:val="24"/>
                <w:szCs w:val="24"/>
              </w:rPr>
            </w:pPr>
            <w:r w:rsidRPr="00C85E7F">
              <w:rPr>
                <w:rFonts w:ascii="Times New Roman" w:eastAsia="Times New Roman" w:hAnsi="Times New Roman" w:cs="Times New Roman"/>
                <w:b/>
                <w:sz w:val="24"/>
                <w:szCs w:val="24"/>
              </w:rPr>
              <w:t>Vides aizsardzības un reģionālās attīstības ministrij</w:t>
            </w:r>
            <w:r>
              <w:rPr>
                <w:rFonts w:ascii="Times New Roman" w:eastAsia="Times New Roman" w:hAnsi="Times New Roman" w:cs="Times New Roman"/>
                <w:b/>
                <w:sz w:val="24"/>
                <w:szCs w:val="24"/>
              </w:rPr>
              <w:t>a:</w:t>
            </w:r>
          </w:p>
          <w:p w:rsidR="00C85E7F" w:rsidRPr="00C85E7F" w:rsidRDefault="00C85E7F" w:rsidP="00C85E7F">
            <w:pPr>
              <w:suppressAutoHyphens/>
              <w:autoSpaceDN w:val="0"/>
              <w:spacing w:after="120" w:line="254" w:lineRule="auto"/>
              <w:ind w:firstLine="325"/>
              <w:jc w:val="both"/>
              <w:rPr>
                <w:rFonts w:ascii="Times New Roman" w:eastAsia="Times New Roman" w:hAnsi="Times New Roman" w:cs="Times New Roman"/>
                <w:b/>
                <w:sz w:val="24"/>
                <w:szCs w:val="24"/>
              </w:rPr>
            </w:pPr>
            <w:r w:rsidRPr="00C85E7F">
              <w:rPr>
                <w:rFonts w:ascii="Times New Roman" w:eastAsia="Calibri" w:hAnsi="Times New Roman" w:cs="Times New Roman"/>
                <w:sz w:val="24"/>
                <w:szCs w:val="24"/>
              </w:rPr>
              <w:t>Lūdzam anotācijā vārdu “mājaslapa” dažādos locījumos aizvietot ar vārdu “tīmekļvietne” attiecīgajos locījumos.</w:t>
            </w:r>
          </w:p>
        </w:tc>
        <w:tc>
          <w:tcPr>
            <w:tcW w:w="36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85E7F" w:rsidRDefault="00C85E7F" w:rsidP="00C10FFE">
            <w:pPr>
              <w:suppressAutoHyphens/>
              <w:autoSpaceDN w:val="0"/>
              <w:spacing w:after="120" w:line="254" w:lineRule="auto"/>
              <w:jc w:val="center"/>
              <w:rPr>
                <w:rFonts w:ascii="Times New Roman" w:eastAsia="Times New Roman" w:hAnsi="Times New Roman" w:cs="Times New Roman"/>
                <w:b/>
                <w:sz w:val="24"/>
                <w:szCs w:val="24"/>
              </w:rPr>
            </w:pPr>
            <w:r w:rsidRPr="00C85E7F">
              <w:rPr>
                <w:rFonts w:ascii="Times New Roman" w:eastAsia="Times New Roman" w:hAnsi="Times New Roman" w:cs="Times New Roman"/>
                <w:b/>
                <w:sz w:val="24"/>
                <w:szCs w:val="24"/>
              </w:rPr>
              <w:t>Ņemts vērā.</w:t>
            </w:r>
          </w:p>
          <w:p w:rsidR="00C85E7F" w:rsidRPr="001B7F23" w:rsidRDefault="001B7F23" w:rsidP="001B7F23">
            <w:pPr>
              <w:suppressAutoHyphens/>
              <w:autoSpaceDN w:val="0"/>
              <w:spacing w:after="120" w:line="254" w:lineRule="auto"/>
              <w:jc w:val="both"/>
              <w:rPr>
                <w:rFonts w:ascii="Times New Roman" w:eastAsia="Times New Roman" w:hAnsi="Times New Roman" w:cs="Times New Roman"/>
                <w:sz w:val="24"/>
                <w:szCs w:val="24"/>
              </w:rPr>
            </w:pPr>
            <w:r w:rsidRPr="001B7F23">
              <w:rPr>
                <w:rFonts w:ascii="Times New Roman" w:eastAsia="Times New Roman" w:hAnsi="Times New Roman" w:cs="Times New Roman"/>
                <w:sz w:val="24"/>
                <w:szCs w:val="24"/>
              </w:rPr>
              <w:t>Anotācijas VI sadaļā</w:t>
            </w:r>
            <w:r>
              <w:t xml:space="preserve"> </w:t>
            </w:r>
            <w:r w:rsidRPr="001B7F23">
              <w:rPr>
                <w:rFonts w:ascii="Times New Roman" w:eastAsia="Times New Roman" w:hAnsi="Times New Roman" w:cs="Times New Roman"/>
                <w:sz w:val="24"/>
                <w:szCs w:val="24"/>
              </w:rPr>
              <w:t>vārd</w:t>
            </w:r>
            <w:r>
              <w:rPr>
                <w:rFonts w:ascii="Times New Roman" w:eastAsia="Times New Roman" w:hAnsi="Times New Roman" w:cs="Times New Roman"/>
                <w:sz w:val="24"/>
                <w:szCs w:val="24"/>
              </w:rPr>
              <w:t>s</w:t>
            </w:r>
            <w:r w:rsidRPr="001B7F23">
              <w:rPr>
                <w:rFonts w:ascii="Times New Roman" w:eastAsia="Times New Roman" w:hAnsi="Times New Roman" w:cs="Times New Roman"/>
                <w:sz w:val="24"/>
                <w:szCs w:val="24"/>
              </w:rPr>
              <w:t xml:space="preserve"> “mājaslapa” dažādos locījumos aizvietot</w:t>
            </w:r>
            <w:r>
              <w:rPr>
                <w:rFonts w:ascii="Times New Roman" w:eastAsia="Times New Roman" w:hAnsi="Times New Roman" w:cs="Times New Roman"/>
                <w:sz w:val="24"/>
                <w:szCs w:val="24"/>
              </w:rPr>
              <w:t>s</w:t>
            </w:r>
            <w:r w:rsidRPr="001B7F23">
              <w:rPr>
                <w:rFonts w:ascii="Times New Roman" w:eastAsia="Times New Roman" w:hAnsi="Times New Roman" w:cs="Times New Roman"/>
                <w:sz w:val="24"/>
                <w:szCs w:val="24"/>
              </w:rPr>
              <w:t xml:space="preserve"> ar vārdu “tīmekļvietne” attiecīgajos locījumos.</w:t>
            </w:r>
          </w:p>
          <w:p w:rsidR="00C85E7F" w:rsidRPr="00C10FFE" w:rsidRDefault="00C85E7F" w:rsidP="00C10FFE">
            <w:pPr>
              <w:suppressAutoHyphens/>
              <w:autoSpaceDN w:val="0"/>
              <w:spacing w:after="120" w:line="254" w:lineRule="auto"/>
              <w:jc w:val="center"/>
              <w:rPr>
                <w:rFonts w:ascii="Times New Roman" w:eastAsia="Times New Roman" w:hAnsi="Times New Roman" w:cs="Times New Roman"/>
                <w:b/>
                <w:sz w:val="24"/>
                <w:szCs w:val="24"/>
              </w:rPr>
            </w:pP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F23" w:rsidRPr="00C10FFE" w:rsidRDefault="001B7F23" w:rsidP="00C10FFE">
            <w:pPr>
              <w:suppressAutoHyphens/>
              <w:autoSpaceDN w:val="0"/>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Skatīt anotācijas VI sadaļu.</w:t>
            </w:r>
          </w:p>
        </w:tc>
      </w:tr>
      <w:tr w:rsidR="00C10FFE" w:rsidRPr="00C10FFE" w:rsidTr="00C10FFE">
        <w:tc>
          <w:tcPr>
            <w:tcW w:w="3287" w:type="dxa"/>
            <w:gridSpan w:val="2"/>
            <w:tcMar>
              <w:top w:w="0" w:type="dxa"/>
              <w:left w:w="108" w:type="dxa"/>
              <w:bottom w:w="0" w:type="dxa"/>
              <w:right w:w="108" w:type="dxa"/>
            </w:tcMar>
          </w:tcPr>
          <w:p w:rsidR="00C10FFE" w:rsidRPr="00C10FFE" w:rsidRDefault="00C10FFE" w:rsidP="00C10FFE">
            <w:pPr>
              <w:suppressAutoHyphens/>
              <w:autoSpaceDN w:val="0"/>
              <w:spacing w:after="0" w:line="254" w:lineRule="auto"/>
              <w:rPr>
                <w:rFonts w:ascii="Times New Roman" w:eastAsia="Times New Roman" w:hAnsi="Times New Roman" w:cs="Times New Roman"/>
                <w:sz w:val="24"/>
                <w:szCs w:val="24"/>
              </w:rPr>
            </w:pPr>
          </w:p>
          <w:p w:rsidR="00C10FFE" w:rsidRPr="00C10FFE" w:rsidRDefault="00C10FFE" w:rsidP="00C10FFE">
            <w:pPr>
              <w:suppressAutoHyphens/>
              <w:autoSpaceDN w:val="0"/>
              <w:spacing w:after="0" w:line="254" w:lineRule="auto"/>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 xml:space="preserve">Atbildīgā amatpersona </w:t>
            </w:r>
          </w:p>
        </w:tc>
        <w:tc>
          <w:tcPr>
            <w:tcW w:w="5045" w:type="dxa"/>
            <w:gridSpan w:val="3"/>
            <w:tcMar>
              <w:top w:w="0" w:type="dxa"/>
              <w:left w:w="108" w:type="dxa"/>
              <w:bottom w:w="0" w:type="dxa"/>
              <w:right w:w="108" w:type="dxa"/>
            </w:tcMar>
          </w:tcPr>
          <w:p w:rsidR="00C10FFE" w:rsidRPr="00C10FFE" w:rsidRDefault="00C10FFE" w:rsidP="00C10FFE">
            <w:pPr>
              <w:suppressAutoHyphens/>
              <w:autoSpaceDN w:val="0"/>
              <w:spacing w:after="0" w:line="254" w:lineRule="auto"/>
              <w:rPr>
                <w:rFonts w:ascii="Times New Roman" w:eastAsia="Times New Roman" w:hAnsi="Times New Roman" w:cs="Times New Roman"/>
                <w:sz w:val="24"/>
                <w:szCs w:val="24"/>
              </w:rPr>
            </w:pPr>
          </w:p>
          <w:p w:rsidR="00C10FFE" w:rsidRPr="00C10FFE" w:rsidRDefault="00C10FFE" w:rsidP="00C10FFE">
            <w:pPr>
              <w:suppressAutoHyphens/>
              <w:autoSpaceDN w:val="0"/>
              <w:spacing w:after="0" w:line="254" w:lineRule="auto"/>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Daina Grabe  </w:t>
            </w:r>
          </w:p>
        </w:tc>
        <w:tc>
          <w:tcPr>
            <w:tcW w:w="2679" w:type="dxa"/>
          </w:tcPr>
          <w:p w:rsidR="00C10FFE" w:rsidRPr="00C10FFE" w:rsidRDefault="00C10FFE" w:rsidP="00C10FFE">
            <w:pPr>
              <w:suppressAutoHyphens/>
              <w:autoSpaceDN w:val="0"/>
              <w:spacing w:after="0" w:line="254" w:lineRule="auto"/>
              <w:rPr>
                <w:rFonts w:ascii="Times New Roman" w:eastAsia="Times New Roman" w:hAnsi="Times New Roman" w:cs="Times New Roman"/>
                <w:sz w:val="24"/>
                <w:szCs w:val="24"/>
              </w:rPr>
            </w:pPr>
          </w:p>
        </w:tc>
        <w:tc>
          <w:tcPr>
            <w:tcW w:w="3149" w:type="dxa"/>
            <w:gridSpan w:val="2"/>
          </w:tcPr>
          <w:p w:rsidR="00C10FFE" w:rsidRPr="00C10FFE" w:rsidRDefault="00C10FFE" w:rsidP="00C10FFE">
            <w:pPr>
              <w:suppressAutoHyphens/>
              <w:autoSpaceDN w:val="0"/>
              <w:spacing w:after="0" w:line="254" w:lineRule="auto"/>
              <w:rPr>
                <w:rFonts w:ascii="Times New Roman" w:eastAsia="Times New Roman" w:hAnsi="Times New Roman" w:cs="Times New Roman"/>
                <w:sz w:val="24"/>
                <w:szCs w:val="24"/>
              </w:rPr>
            </w:pPr>
          </w:p>
        </w:tc>
      </w:tr>
      <w:tr w:rsidR="00C10FFE" w:rsidRPr="00C10FFE" w:rsidTr="00C10FFE">
        <w:tc>
          <w:tcPr>
            <w:tcW w:w="3287" w:type="dxa"/>
            <w:gridSpan w:val="2"/>
            <w:tcMar>
              <w:top w:w="0" w:type="dxa"/>
              <w:left w:w="108" w:type="dxa"/>
              <w:bottom w:w="0" w:type="dxa"/>
              <w:right w:w="108" w:type="dxa"/>
            </w:tcMar>
          </w:tcPr>
          <w:p w:rsidR="00C10FFE" w:rsidRPr="00C10FFE" w:rsidRDefault="00C10FFE" w:rsidP="00C10FFE">
            <w:pPr>
              <w:suppressAutoHyphens/>
              <w:autoSpaceDN w:val="0"/>
              <w:spacing w:after="0" w:line="254" w:lineRule="auto"/>
              <w:rPr>
                <w:rFonts w:ascii="Times New Roman" w:eastAsia="Times New Roman" w:hAnsi="Times New Roman" w:cs="Times New Roman"/>
                <w:sz w:val="24"/>
                <w:szCs w:val="24"/>
              </w:rPr>
            </w:pPr>
          </w:p>
        </w:tc>
        <w:tc>
          <w:tcPr>
            <w:tcW w:w="5045" w:type="dxa"/>
            <w:gridSpan w:val="3"/>
            <w:tcBorders>
              <w:top w:val="single" w:sz="6" w:space="0" w:color="000000"/>
              <w:left w:val="nil"/>
              <w:bottom w:val="nil"/>
              <w:right w:val="nil"/>
            </w:tcBorders>
            <w:tcMar>
              <w:top w:w="0" w:type="dxa"/>
              <w:left w:w="108" w:type="dxa"/>
              <w:bottom w:w="0" w:type="dxa"/>
              <w:right w:w="108" w:type="dxa"/>
            </w:tcMar>
            <w:hideMark/>
          </w:tcPr>
          <w:p w:rsidR="00C10FFE" w:rsidRPr="00C10FFE" w:rsidRDefault="00C10FFE" w:rsidP="00C10FFE">
            <w:pPr>
              <w:suppressAutoHyphens/>
              <w:autoSpaceDN w:val="0"/>
              <w:spacing w:after="0" w:line="254" w:lineRule="auto"/>
              <w:rPr>
                <w:rFonts w:ascii="Times New Roman" w:eastAsia="Times New Roman" w:hAnsi="Times New Roman" w:cs="Times New Roman"/>
                <w:sz w:val="24"/>
                <w:szCs w:val="24"/>
              </w:rPr>
            </w:pPr>
            <w:r w:rsidRPr="00C10FFE">
              <w:rPr>
                <w:rFonts w:ascii="Times New Roman" w:eastAsia="Times New Roman" w:hAnsi="Times New Roman" w:cs="Times New Roman"/>
                <w:sz w:val="24"/>
                <w:szCs w:val="24"/>
              </w:rPr>
              <w:t xml:space="preserve">                           (vārds un uzvārds)</w:t>
            </w:r>
          </w:p>
        </w:tc>
        <w:tc>
          <w:tcPr>
            <w:tcW w:w="2679" w:type="dxa"/>
          </w:tcPr>
          <w:p w:rsidR="00C10FFE" w:rsidRPr="00C10FFE" w:rsidRDefault="00C10FFE" w:rsidP="00C10FFE">
            <w:pPr>
              <w:suppressAutoHyphens/>
              <w:autoSpaceDN w:val="0"/>
              <w:spacing w:after="0" w:line="254" w:lineRule="auto"/>
              <w:rPr>
                <w:rFonts w:ascii="Times New Roman" w:eastAsia="Times New Roman" w:hAnsi="Times New Roman" w:cs="Times New Roman"/>
                <w:sz w:val="24"/>
                <w:szCs w:val="24"/>
              </w:rPr>
            </w:pPr>
          </w:p>
        </w:tc>
        <w:tc>
          <w:tcPr>
            <w:tcW w:w="3149" w:type="dxa"/>
            <w:gridSpan w:val="2"/>
          </w:tcPr>
          <w:p w:rsidR="00C10FFE" w:rsidRPr="00C10FFE" w:rsidRDefault="00C10FFE" w:rsidP="00C10FFE">
            <w:pPr>
              <w:suppressAutoHyphens/>
              <w:autoSpaceDN w:val="0"/>
              <w:spacing w:after="0" w:line="254" w:lineRule="auto"/>
              <w:rPr>
                <w:rFonts w:ascii="Times New Roman" w:eastAsia="Times New Roman" w:hAnsi="Times New Roman" w:cs="Times New Roman"/>
                <w:sz w:val="24"/>
                <w:szCs w:val="24"/>
              </w:rPr>
            </w:pPr>
          </w:p>
        </w:tc>
      </w:tr>
    </w:tbl>
    <w:p w:rsidR="00C10FFE" w:rsidRPr="00C10FFE" w:rsidRDefault="00C10FFE" w:rsidP="00C10FFE">
      <w:pPr>
        <w:suppressAutoHyphens/>
        <w:autoSpaceDN w:val="0"/>
        <w:spacing w:after="0" w:line="240" w:lineRule="auto"/>
        <w:rPr>
          <w:rFonts w:ascii="Times New Roman" w:eastAsia="Times New Roman" w:hAnsi="Times New Roman" w:cs="Times New Roman"/>
          <w:sz w:val="24"/>
          <w:szCs w:val="24"/>
          <w:lang w:eastAsia="lv-LV"/>
        </w:rPr>
      </w:pPr>
    </w:p>
    <w:p w:rsidR="00C10FFE" w:rsidRPr="00C10FFE" w:rsidRDefault="00C10FFE" w:rsidP="00C10FFE">
      <w:pPr>
        <w:suppressAutoHyphens/>
        <w:autoSpaceDN w:val="0"/>
        <w:spacing w:after="0" w:line="240" w:lineRule="auto"/>
        <w:rPr>
          <w:rFonts w:ascii="Times New Roman" w:eastAsia="Times New Roman" w:hAnsi="Times New Roman" w:cs="Times New Roman"/>
          <w:sz w:val="24"/>
          <w:szCs w:val="24"/>
          <w:lang w:eastAsia="lv-LV"/>
        </w:rPr>
      </w:pPr>
    </w:p>
    <w:p w:rsidR="00C10FFE" w:rsidRPr="00C10FFE" w:rsidRDefault="00C10FFE" w:rsidP="00C10FFE">
      <w:pPr>
        <w:suppressAutoHyphens/>
        <w:autoSpaceDN w:val="0"/>
        <w:spacing w:after="0" w:line="240" w:lineRule="auto"/>
        <w:rPr>
          <w:rFonts w:ascii="Times New Roman" w:eastAsia="Times New Roman" w:hAnsi="Times New Roman" w:cs="Times New Roman"/>
          <w:sz w:val="24"/>
          <w:szCs w:val="24"/>
          <w:lang w:eastAsia="lv-LV"/>
        </w:rPr>
      </w:pPr>
      <w:r w:rsidRPr="00C10FFE">
        <w:rPr>
          <w:rFonts w:ascii="Times New Roman" w:eastAsia="Times New Roman" w:hAnsi="Times New Roman" w:cs="Times New Roman"/>
          <w:sz w:val="24"/>
          <w:szCs w:val="24"/>
          <w:lang w:eastAsia="lv-LV"/>
        </w:rPr>
        <w:t>Daina Grabe</w:t>
      </w:r>
    </w:p>
    <w:p w:rsidR="00C10FFE" w:rsidRPr="00C10FFE" w:rsidRDefault="00C10FFE" w:rsidP="00C10FFE">
      <w:pPr>
        <w:suppressAutoHyphens/>
        <w:autoSpaceDN w:val="0"/>
        <w:spacing w:after="0" w:line="240" w:lineRule="auto"/>
        <w:rPr>
          <w:rFonts w:ascii="Times New Roman" w:eastAsia="Times New Roman" w:hAnsi="Times New Roman" w:cs="Times New Roman"/>
          <w:sz w:val="24"/>
          <w:szCs w:val="24"/>
          <w:lang w:eastAsia="lv-LV"/>
        </w:rPr>
      </w:pPr>
      <w:r w:rsidRPr="00C10FFE">
        <w:rPr>
          <w:rFonts w:ascii="Times New Roman" w:eastAsia="Times New Roman" w:hAnsi="Times New Roman" w:cs="Times New Roman"/>
          <w:sz w:val="24"/>
          <w:szCs w:val="24"/>
          <w:lang w:eastAsia="lv-LV"/>
        </w:rPr>
        <w:t>Labklājības ministrijas</w:t>
      </w:r>
    </w:p>
    <w:p w:rsidR="00C10FFE" w:rsidRPr="00C10FFE" w:rsidRDefault="00C10FFE" w:rsidP="00C10FFE">
      <w:pPr>
        <w:suppressAutoHyphens/>
        <w:autoSpaceDN w:val="0"/>
        <w:spacing w:after="0" w:line="240" w:lineRule="auto"/>
        <w:rPr>
          <w:rFonts w:ascii="Times New Roman" w:eastAsia="Times New Roman" w:hAnsi="Times New Roman" w:cs="Times New Roman"/>
          <w:sz w:val="24"/>
          <w:szCs w:val="24"/>
          <w:lang w:eastAsia="lv-LV"/>
        </w:rPr>
      </w:pPr>
      <w:r w:rsidRPr="00C10FFE">
        <w:rPr>
          <w:rFonts w:ascii="Times New Roman" w:eastAsia="Times New Roman" w:hAnsi="Times New Roman" w:cs="Times New Roman"/>
          <w:sz w:val="24"/>
          <w:szCs w:val="24"/>
          <w:lang w:eastAsia="lv-LV"/>
        </w:rPr>
        <w:t xml:space="preserve">Sociālās iekļaušanas politikas departamenta </w:t>
      </w:r>
      <w:r>
        <w:rPr>
          <w:rFonts w:ascii="Times New Roman" w:eastAsia="Times New Roman" w:hAnsi="Times New Roman" w:cs="Times New Roman"/>
          <w:sz w:val="24"/>
          <w:szCs w:val="24"/>
          <w:lang w:eastAsia="lv-LV"/>
        </w:rPr>
        <w:t>direktores vietniece</w:t>
      </w:r>
    </w:p>
    <w:p w:rsidR="00C10FFE" w:rsidRPr="00C10FFE" w:rsidRDefault="00C10FFE" w:rsidP="00C10FFE">
      <w:pPr>
        <w:suppressAutoHyphens/>
        <w:autoSpaceDN w:val="0"/>
        <w:spacing w:after="0" w:line="240" w:lineRule="auto"/>
        <w:rPr>
          <w:rFonts w:ascii="Times New Roman" w:eastAsia="Times New Roman" w:hAnsi="Times New Roman" w:cs="Times New Roman"/>
          <w:sz w:val="24"/>
          <w:szCs w:val="24"/>
          <w:lang w:eastAsia="lv-LV"/>
        </w:rPr>
      </w:pPr>
      <w:r w:rsidRPr="00C10FFE">
        <w:rPr>
          <w:rFonts w:ascii="Times New Roman" w:eastAsia="Times New Roman" w:hAnsi="Times New Roman" w:cs="Times New Roman"/>
          <w:sz w:val="24"/>
          <w:szCs w:val="24"/>
          <w:lang w:eastAsia="lv-LV"/>
        </w:rPr>
        <w:t xml:space="preserve">Tālr.67021594, </w:t>
      </w:r>
    </w:p>
    <w:p w:rsidR="00C10FFE" w:rsidRPr="00C10FFE" w:rsidRDefault="00C10FFE" w:rsidP="00C10FFE">
      <w:pPr>
        <w:suppressAutoHyphens/>
        <w:autoSpaceDN w:val="0"/>
        <w:spacing w:after="0" w:line="240" w:lineRule="auto"/>
        <w:rPr>
          <w:rFonts w:ascii="Times New Roman" w:eastAsia="Times New Roman" w:hAnsi="Times New Roman" w:cs="Times New Roman"/>
          <w:sz w:val="24"/>
          <w:szCs w:val="24"/>
          <w:lang w:eastAsia="lv-LV"/>
        </w:rPr>
      </w:pPr>
      <w:r w:rsidRPr="00C10FFE">
        <w:rPr>
          <w:rFonts w:ascii="Times New Roman" w:eastAsia="Times New Roman" w:hAnsi="Times New Roman" w:cs="Times New Roman"/>
          <w:sz w:val="24"/>
          <w:szCs w:val="24"/>
          <w:lang w:eastAsia="lv-LV"/>
        </w:rPr>
        <w:t>Daina.Grabe@lm.gov.lv</w:t>
      </w:r>
    </w:p>
    <w:p w:rsidR="00283671" w:rsidRDefault="00283671"/>
    <w:sectPr w:rsidR="00283671" w:rsidSect="007375AC">
      <w:headerReference w:type="default" r:id="rId7"/>
      <w:pgSz w:w="16838" w:h="11906" w:orient="landscape"/>
      <w:pgMar w:top="1800" w:right="1440" w:bottom="170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5AC" w:rsidRDefault="007375AC" w:rsidP="007375AC">
      <w:pPr>
        <w:spacing w:after="0" w:line="240" w:lineRule="auto"/>
      </w:pPr>
      <w:r>
        <w:separator/>
      </w:r>
    </w:p>
  </w:endnote>
  <w:endnote w:type="continuationSeparator" w:id="0">
    <w:p w:rsidR="007375AC" w:rsidRDefault="007375AC" w:rsidP="0073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5AC" w:rsidRDefault="007375AC" w:rsidP="007375AC">
      <w:pPr>
        <w:spacing w:after="0" w:line="240" w:lineRule="auto"/>
      </w:pPr>
      <w:r>
        <w:separator/>
      </w:r>
    </w:p>
  </w:footnote>
  <w:footnote w:type="continuationSeparator" w:id="0">
    <w:p w:rsidR="007375AC" w:rsidRDefault="007375AC" w:rsidP="00737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080035"/>
      <w:docPartObj>
        <w:docPartGallery w:val="Page Numbers (Top of Page)"/>
        <w:docPartUnique/>
      </w:docPartObj>
    </w:sdtPr>
    <w:sdtEndPr>
      <w:rPr>
        <w:noProof/>
      </w:rPr>
    </w:sdtEndPr>
    <w:sdtContent>
      <w:p w:rsidR="007375AC" w:rsidRDefault="007375A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375AC" w:rsidRDefault="007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0FE5"/>
    <w:multiLevelType w:val="multilevel"/>
    <w:tmpl w:val="0E3EA1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B803F45"/>
    <w:multiLevelType w:val="hybridMultilevel"/>
    <w:tmpl w:val="3F42465E"/>
    <w:lvl w:ilvl="0" w:tplc="89982BD2">
      <w:start w:val="1"/>
      <w:numFmt w:val="decimal"/>
      <w:lvlText w:val="%1."/>
      <w:lvlJc w:val="left"/>
      <w:pPr>
        <w:ind w:left="785" w:hanging="360"/>
      </w:pPr>
    </w:lvl>
    <w:lvl w:ilvl="1" w:tplc="6D442A62">
      <w:start w:val="1"/>
      <w:numFmt w:val="lowerLetter"/>
      <w:lvlText w:val="%2."/>
      <w:lvlJc w:val="left"/>
      <w:pPr>
        <w:ind w:left="1505" w:hanging="360"/>
      </w:pPr>
    </w:lvl>
    <w:lvl w:ilvl="2" w:tplc="5EDEE96C">
      <w:start w:val="1"/>
      <w:numFmt w:val="lowerRoman"/>
      <w:lvlText w:val="%3."/>
      <w:lvlJc w:val="right"/>
      <w:pPr>
        <w:ind w:left="2225" w:hanging="180"/>
      </w:pPr>
    </w:lvl>
    <w:lvl w:ilvl="3" w:tplc="8516046E">
      <w:start w:val="1"/>
      <w:numFmt w:val="decimal"/>
      <w:lvlText w:val="%4."/>
      <w:lvlJc w:val="left"/>
      <w:pPr>
        <w:ind w:left="2945" w:hanging="360"/>
      </w:pPr>
    </w:lvl>
    <w:lvl w:ilvl="4" w:tplc="3C5294E6">
      <w:start w:val="1"/>
      <w:numFmt w:val="lowerLetter"/>
      <w:lvlText w:val="%5."/>
      <w:lvlJc w:val="left"/>
      <w:pPr>
        <w:ind w:left="3665" w:hanging="360"/>
      </w:pPr>
    </w:lvl>
    <w:lvl w:ilvl="5" w:tplc="AA063ED2">
      <w:start w:val="1"/>
      <w:numFmt w:val="lowerRoman"/>
      <w:lvlText w:val="%6."/>
      <w:lvlJc w:val="right"/>
      <w:pPr>
        <w:ind w:left="4385" w:hanging="180"/>
      </w:pPr>
    </w:lvl>
    <w:lvl w:ilvl="6" w:tplc="78469EE4">
      <w:start w:val="1"/>
      <w:numFmt w:val="decimal"/>
      <w:lvlText w:val="%7."/>
      <w:lvlJc w:val="left"/>
      <w:pPr>
        <w:ind w:left="5105" w:hanging="360"/>
      </w:pPr>
    </w:lvl>
    <w:lvl w:ilvl="7" w:tplc="056686D0">
      <w:start w:val="1"/>
      <w:numFmt w:val="lowerLetter"/>
      <w:lvlText w:val="%8."/>
      <w:lvlJc w:val="left"/>
      <w:pPr>
        <w:ind w:left="5825" w:hanging="360"/>
      </w:pPr>
    </w:lvl>
    <w:lvl w:ilvl="8" w:tplc="754A1226">
      <w:start w:val="1"/>
      <w:numFmt w:val="lowerRoman"/>
      <w:lvlText w:val="%9."/>
      <w:lvlJc w:val="right"/>
      <w:pPr>
        <w:ind w:left="65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FE"/>
    <w:rsid w:val="001B7F23"/>
    <w:rsid w:val="00282E7C"/>
    <w:rsid w:val="00283671"/>
    <w:rsid w:val="007375AC"/>
    <w:rsid w:val="00A7444E"/>
    <w:rsid w:val="00C10FFE"/>
    <w:rsid w:val="00C85E7F"/>
    <w:rsid w:val="00CD5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EAD7"/>
  <w15:chartTrackingRefBased/>
  <w15:docId w15:val="{E677EB24-056F-4E47-B0B9-3E17C4F2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5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75AC"/>
  </w:style>
  <w:style w:type="paragraph" w:styleId="Footer">
    <w:name w:val="footer"/>
    <w:basedOn w:val="Normal"/>
    <w:link w:val="FooterChar"/>
    <w:uiPriority w:val="99"/>
    <w:unhideWhenUsed/>
    <w:rsid w:val="007375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7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54911">
      <w:bodyDiv w:val="1"/>
      <w:marLeft w:val="0"/>
      <w:marRight w:val="0"/>
      <w:marTop w:val="0"/>
      <w:marBottom w:val="0"/>
      <w:divBdr>
        <w:top w:val="none" w:sz="0" w:space="0" w:color="auto"/>
        <w:left w:val="none" w:sz="0" w:space="0" w:color="auto"/>
        <w:bottom w:val="none" w:sz="0" w:space="0" w:color="auto"/>
        <w:right w:val="none" w:sz="0" w:space="0" w:color="auto"/>
      </w:divBdr>
    </w:div>
    <w:div w:id="16841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2900</Words>
  <Characters>1653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23.decembra noteikumos Nr.805 „ Noteikumi par prognozējamas invaliditātes, invaliditātes un darbspēju zaudējuma noteikšanas kritērijiem, termiņiem un kārtību”</dc:title>
  <dc:subject/>
  <dc:creator>Daina Grabe</dc:creator>
  <cp:keywords/>
  <dc:description/>
  <cp:lastModifiedBy>Daina Grabe</cp:lastModifiedBy>
  <cp:revision>5</cp:revision>
  <dcterms:created xsi:type="dcterms:W3CDTF">2019-10-25T06:23:00Z</dcterms:created>
  <dcterms:modified xsi:type="dcterms:W3CDTF">2019-11-01T15:50:00Z</dcterms:modified>
</cp:coreProperties>
</file>