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6C" w:rsidRDefault="00D539A4" w14:paraId="68F050EB" w14:textId="280166C3">
      <w:pPr>
        <w:pBdr>
          <w:top w:val="nil"/>
          <w:left w:val="nil"/>
          <w:bottom w:val="nil"/>
          <w:right w:val="nil"/>
          <w:between w:val="nil"/>
        </w:pBdr>
        <w:ind w:firstLine="720"/>
        <w:jc w:val="center"/>
        <w:rPr>
          <w:b/>
          <w:color w:val="000000"/>
          <w:sz w:val="28"/>
          <w:szCs w:val="28"/>
        </w:rPr>
      </w:pPr>
      <w:r>
        <w:rPr>
          <w:b/>
          <w:color w:val="000000"/>
          <w:sz w:val="28"/>
          <w:szCs w:val="28"/>
        </w:rPr>
        <w:t xml:space="preserve">Izziņa par atzinumos sniegtajiem iebildumiem par Ministru kabineta noteikumu projektu “Grozījumi Ministru kabineta 2011. gada 14. jūnija noteikumos Nr. 451 </w:t>
      </w:r>
      <w:r>
        <w:rPr>
          <w:color w:val="000000"/>
          <w:sz w:val="28"/>
          <w:szCs w:val="28"/>
        </w:rPr>
        <w:t>"</w:t>
      </w:r>
      <w:r>
        <w:rPr>
          <w:b/>
          <w:color w:val="000000"/>
          <w:sz w:val="28"/>
          <w:szCs w:val="28"/>
        </w:rPr>
        <w:t>Noteikumi par drošības prasībām vietējos reisos iesaistītiem pasažieru kuģiem</w:t>
      </w:r>
      <w:r>
        <w:rPr>
          <w:color w:val="000000"/>
          <w:sz w:val="28"/>
          <w:szCs w:val="28"/>
        </w:rPr>
        <w:t>""</w:t>
      </w:r>
      <w:r w:rsidR="008D65B9">
        <w:rPr>
          <w:color w:val="000000"/>
          <w:sz w:val="28"/>
          <w:szCs w:val="28"/>
        </w:rPr>
        <w:t xml:space="preserve"> </w:t>
      </w:r>
      <w:r w:rsidRPr="008D65B9" w:rsidR="008D65B9">
        <w:rPr>
          <w:b/>
          <w:color w:val="000000"/>
          <w:sz w:val="28"/>
          <w:szCs w:val="28"/>
        </w:rPr>
        <w:t>(VSS-</w:t>
      </w:r>
      <w:r w:rsidR="00594EF3">
        <w:rPr>
          <w:b/>
          <w:color w:val="000000"/>
          <w:sz w:val="28"/>
          <w:szCs w:val="28"/>
        </w:rPr>
        <w:t>871</w:t>
      </w:r>
      <w:r w:rsidRPr="008D65B9" w:rsidR="008D65B9">
        <w:rPr>
          <w:b/>
          <w:color w:val="000000"/>
          <w:sz w:val="28"/>
          <w:szCs w:val="28"/>
        </w:rPr>
        <w:t>)</w:t>
      </w:r>
    </w:p>
    <w:p w:rsidR="00C8636C" w:rsidRDefault="00C8636C" w14:paraId="665D31FE" w14:textId="77777777">
      <w:pPr>
        <w:pBdr>
          <w:top w:val="nil"/>
          <w:left w:val="nil"/>
          <w:bottom w:val="nil"/>
          <w:right w:val="nil"/>
          <w:between w:val="nil"/>
        </w:pBdr>
        <w:jc w:val="both"/>
        <w:rPr>
          <w:color w:val="000000"/>
        </w:rPr>
      </w:pPr>
    </w:p>
    <w:p w:rsidRPr="008D65B9" w:rsidR="008D65B9" w:rsidP="008D65B9" w:rsidRDefault="008D65B9" w14:paraId="2D27D8CC" w14:textId="77777777">
      <w:pPr>
        <w:numPr>
          <w:ilvl w:val="0"/>
          <w:numId w:val="1"/>
        </w:numPr>
        <w:pBdr>
          <w:top w:val="nil"/>
          <w:left w:val="nil"/>
          <w:bottom w:val="nil"/>
          <w:right w:val="nil"/>
          <w:between w:val="nil"/>
        </w:pBdr>
        <w:jc w:val="center"/>
        <w:rPr>
          <w:b/>
          <w:color w:val="000000"/>
        </w:rPr>
      </w:pPr>
      <w:r w:rsidRPr="008D65B9">
        <w:rPr>
          <w:b/>
          <w:color w:val="000000"/>
        </w:rPr>
        <w:t>Jautājumi, par kuriem saskaņošanā vienošanās nav panākta</w:t>
      </w:r>
    </w:p>
    <w:p w:rsidRPr="008D65B9" w:rsidR="008D65B9" w:rsidP="008D65B9" w:rsidRDefault="008D65B9" w14:paraId="6CB4D004" w14:textId="77777777">
      <w:pPr>
        <w:pBdr>
          <w:top w:val="nil"/>
          <w:left w:val="nil"/>
          <w:bottom w:val="nil"/>
          <w:right w:val="nil"/>
          <w:between w:val="nil"/>
        </w:pBdr>
        <w:jc w:val="both"/>
        <w:rPr>
          <w:b/>
          <w:color w:val="000000"/>
        </w:rPr>
      </w:pPr>
    </w:p>
    <w:tbl>
      <w:tblPr>
        <w:tblW w:w="14167"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76"/>
        <w:gridCol w:w="2626"/>
        <w:gridCol w:w="2596"/>
        <w:gridCol w:w="2643"/>
        <w:gridCol w:w="2234"/>
        <w:gridCol w:w="3492"/>
      </w:tblGrid>
      <w:tr w:rsidRPr="008D65B9" w:rsidR="008D65B9" w:rsidTr="00273F86" w14:paraId="0742575F" w14:textId="77777777">
        <w:tc>
          <w:tcPr>
            <w:tcW w:w="576" w:type="dxa"/>
            <w:tcBorders>
              <w:top w:val="single" w:color="000000" w:sz="6" w:space="0"/>
              <w:left w:val="single" w:color="000000" w:sz="6" w:space="0"/>
              <w:bottom w:val="single" w:color="000000" w:sz="6" w:space="0"/>
              <w:right w:val="single" w:color="000000" w:sz="6" w:space="0"/>
            </w:tcBorders>
            <w:vAlign w:val="center"/>
          </w:tcPr>
          <w:p w:rsidRPr="008D65B9" w:rsidR="008D65B9" w:rsidP="008D65B9" w:rsidRDefault="008D65B9" w14:paraId="6F9D1559" w14:textId="77777777">
            <w:pPr>
              <w:pBdr>
                <w:top w:val="nil"/>
                <w:left w:val="nil"/>
                <w:bottom w:val="nil"/>
                <w:right w:val="nil"/>
                <w:between w:val="nil"/>
              </w:pBdr>
              <w:jc w:val="both"/>
              <w:rPr>
                <w:color w:val="000000"/>
              </w:rPr>
            </w:pPr>
            <w:r w:rsidRPr="008D65B9">
              <w:rPr>
                <w:color w:val="000000"/>
              </w:rPr>
              <w:t>Nr. p.k.</w:t>
            </w:r>
          </w:p>
        </w:tc>
        <w:tc>
          <w:tcPr>
            <w:tcW w:w="2626" w:type="dxa"/>
            <w:tcBorders>
              <w:top w:val="single" w:color="000000" w:sz="6" w:space="0"/>
              <w:left w:val="single" w:color="000000" w:sz="6" w:space="0"/>
              <w:bottom w:val="single" w:color="000000" w:sz="6" w:space="0"/>
              <w:right w:val="single" w:color="000000" w:sz="6" w:space="0"/>
            </w:tcBorders>
            <w:vAlign w:val="center"/>
          </w:tcPr>
          <w:p w:rsidRPr="008D65B9" w:rsidR="008D65B9" w:rsidP="008D65B9" w:rsidRDefault="008D65B9" w14:paraId="7848E6BF" w14:textId="77777777">
            <w:pPr>
              <w:pBdr>
                <w:top w:val="nil"/>
                <w:left w:val="nil"/>
                <w:bottom w:val="nil"/>
                <w:right w:val="nil"/>
                <w:between w:val="nil"/>
              </w:pBdr>
              <w:jc w:val="both"/>
              <w:rPr>
                <w:color w:val="000000"/>
              </w:rPr>
            </w:pPr>
            <w:r w:rsidRPr="008D65B9">
              <w:rPr>
                <w:color w:val="000000"/>
              </w:rPr>
              <w:t>Saskaņošanai nosūtītā projekta redakcija (konkrēta punkta (panta) redakcija)</w:t>
            </w:r>
          </w:p>
        </w:tc>
        <w:tc>
          <w:tcPr>
            <w:tcW w:w="2596" w:type="dxa"/>
            <w:tcBorders>
              <w:top w:val="single" w:color="000000" w:sz="6" w:space="0"/>
              <w:left w:val="single" w:color="000000" w:sz="6" w:space="0"/>
              <w:bottom w:val="single" w:color="000000" w:sz="6" w:space="0"/>
              <w:right w:val="single" w:color="000000" w:sz="6" w:space="0"/>
            </w:tcBorders>
            <w:vAlign w:val="center"/>
          </w:tcPr>
          <w:p w:rsidRPr="008D65B9" w:rsidR="008D65B9" w:rsidP="008D65B9" w:rsidRDefault="008D65B9" w14:paraId="1FC9317D" w14:textId="77777777">
            <w:pPr>
              <w:pBdr>
                <w:top w:val="nil"/>
                <w:left w:val="nil"/>
                <w:bottom w:val="nil"/>
                <w:right w:val="nil"/>
                <w:between w:val="nil"/>
              </w:pBdr>
              <w:jc w:val="both"/>
              <w:rPr>
                <w:color w:val="000000"/>
              </w:rPr>
            </w:pPr>
            <w:r w:rsidRPr="008D65B9">
              <w:rPr>
                <w:color w:val="000000"/>
              </w:rPr>
              <w:t>Atzinumā norādītais ministrijas (citas institūcijas) iebildums, kā arī saskaņošanā papildus izteiktais iebildums par projekta konkrēto punktu (pantu)</w:t>
            </w:r>
          </w:p>
        </w:tc>
        <w:tc>
          <w:tcPr>
            <w:tcW w:w="2643" w:type="dxa"/>
            <w:tcBorders>
              <w:top w:val="single" w:color="000000" w:sz="6" w:space="0"/>
              <w:left w:val="single" w:color="000000" w:sz="6" w:space="0"/>
              <w:bottom w:val="single" w:color="000000" w:sz="6" w:space="0"/>
              <w:right w:val="single" w:color="000000" w:sz="6" w:space="0"/>
            </w:tcBorders>
            <w:vAlign w:val="center"/>
          </w:tcPr>
          <w:p w:rsidRPr="008D65B9" w:rsidR="008D65B9" w:rsidP="008D65B9" w:rsidRDefault="008D65B9" w14:paraId="047C44E2" w14:textId="77777777">
            <w:pPr>
              <w:pBdr>
                <w:top w:val="nil"/>
                <w:left w:val="nil"/>
                <w:bottom w:val="nil"/>
                <w:right w:val="nil"/>
                <w:between w:val="nil"/>
              </w:pBdr>
              <w:jc w:val="both"/>
              <w:rPr>
                <w:color w:val="000000"/>
              </w:rPr>
            </w:pPr>
            <w:r w:rsidRPr="008D65B9">
              <w:rPr>
                <w:color w:val="000000"/>
              </w:rPr>
              <w:t>Atbildīgās ministrijas pamatojums iebilduma noraidījumam</w:t>
            </w:r>
          </w:p>
        </w:tc>
        <w:tc>
          <w:tcPr>
            <w:tcW w:w="2234" w:type="dxa"/>
            <w:tcBorders>
              <w:top w:val="single" w:color="auto" w:sz="4" w:space="0"/>
              <w:left w:val="single" w:color="auto" w:sz="4" w:space="0"/>
              <w:bottom w:val="single" w:color="auto" w:sz="4" w:space="0"/>
              <w:right w:val="single" w:color="auto" w:sz="4" w:space="0"/>
            </w:tcBorders>
          </w:tcPr>
          <w:p w:rsidRPr="008D65B9" w:rsidR="008D65B9" w:rsidP="008D65B9" w:rsidRDefault="008D65B9" w14:paraId="2E6B359E" w14:textId="77777777">
            <w:pPr>
              <w:pBdr>
                <w:top w:val="nil"/>
                <w:left w:val="nil"/>
                <w:bottom w:val="nil"/>
                <w:right w:val="nil"/>
                <w:between w:val="nil"/>
              </w:pBdr>
              <w:jc w:val="both"/>
              <w:rPr>
                <w:color w:val="000000"/>
              </w:rPr>
            </w:pPr>
            <w:r w:rsidRPr="008D65B9">
              <w:rPr>
                <w:color w:val="000000"/>
              </w:rPr>
              <w:t>Atzinuma sniedzēja uzturētais iebildums, ja tas atšķiras no atzinumā norādītā iebilduma pamatojuma</w:t>
            </w:r>
          </w:p>
        </w:tc>
        <w:tc>
          <w:tcPr>
            <w:tcW w:w="3492" w:type="dxa"/>
            <w:tcBorders>
              <w:top w:val="single" w:color="auto" w:sz="4" w:space="0"/>
              <w:left w:val="single" w:color="auto" w:sz="4" w:space="0"/>
              <w:bottom w:val="single" w:color="auto" w:sz="4" w:space="0"/>
              <w:right w:val="single" w:color="auto" w:sz="4" w:space="0"/>
            </w:tcBorders>
            <w:vAlign w:val="center"/>
          </w:tcPr>
          <w:p w:rsidRPr="008D65B9" w:rsidR="008D65B9" w:rsidP="008D65B9" w:rsidRDefault="008D65B9" w14:paraId="61F4CBFB" w14:textId="77777777">
            <w:pPr>
              <w:pBdr>
                <w:top w:val="nil"/>
                <w:left w:val="nil"/>
                <w:bottom w:val="nil"/>
                <w:right w:val="nil"/>
                <w:between w:val="nil"/>
              </w:pBdr>
              <w:jc w:val="both"/>
              <w:rPr>
                <w:color w:val="000000"/>
              </w:rPr>
            </w:pPr>
            <w:r w:rsidRPr="008D65B9">
              <w:rPr>
                <w:color w:val="000000"/>
              </w:rPr>
              <w:t>Projekta attiecīgā punkta (panta) galīgā redakcija</w:t>
            </w:r>
          </w:p>
        </w:tc>
      </w:tr>
      <w:tr w:rsidRPr="008D65B9" w:rsidR="008D65B9" w:rsidTr="00273F86" w14:paraId="544A0CAE" w14:textId="77777777">
        <w:tc>
          <w:tcPr>
            <w:tcW w:w="576" w:type="dxa"/>
            <w:tcBorders>
              <w:top w:val="single" w:color="000000" w:sz="6" w:space="0"/>
              <w:left w:val="single" w:color="000000" w:sz="6" w:space="0"/>
              <w:bottom w:val="single" w:color="000000" w:sz="6" w:space="0"/>
              <w:right w:val="single" w:color="000000" w:sz="6" w:space="0"/>
            </w:tcBorders>
          </w:tcPr>
          <w:p w:rsidRPr="008D65B9" w:rsidR="008D65B9" w:rsidP="008D65B9" w:rsidRDefault="008D65B9" w14:paraId="171E7C4E" w14:textId="77777777">
            <w:pPr>
              <w:pBdr>
                <w:top w:val="nil"/>
                <w:left w:val="nil"/>
                <w:bottom w:val="nil"/>
                <w:right w:val="nil"/>
                <w:between w:val="nil"/>
              </w:pBdr>
              <w:jc w:val="both"/>
              <w:rPr>
                <w:color w:val="000000"/>
              </w:rPr>
            </w:pPr>
            <w:r w:rsidRPr="008D65B9">
              <w:rPr>
                <w:color w:val="000000"/>
              </w:rPr>
              <w:t>1</w:t>
            </w:r>
          </w:p>
        </w:tc>
        <w:tc>
          <w:tcPr>
            <w:tcW w:w="2626" w:type="dxa"/>
            <w:tcBorders>
              <w:top w:val="single" w:color="000000" w:sz="6" w:space="0"/>
              <w:left w:val="single" w:color="000000" w:sz="6" w:space="0"/>
              <w:bottom w:val="single" w:color="000000" w:sz="6" w:space="0"/>
              <w:right w:val="single" w:color="000000" w:sz="6" w:space="0"/>
            </w:tcBorders>
          </w:tcPr>
          <w:p w:rsidRPr="008D65B9" w:rsidR="008D65B9" w:rsidP="008D65B9" w:rsidRDefault="008D65B9" w14:paraId="079376EF" w14:textId="77777777">
            <w:pPr>
              <w:pBdr>
                <w:top w:val="nil"/>
                <w:left w:val="nil"/>
                <w:bottom w:val="nil"/>
                <w:right w:val="nil"/>
                <w:between w:val="nil"/>
              </w:pBdr>
              <w:jc w:val="both"/>
              <w:rPr>
                <w:color w:val="000000"/>
              </w:rPr>
            </w:pPr>
            <w:r w:rsidRPr="008D65B9">
              <w:rPr>
                <w:color w:val="000000"/>
              </w:rPr>
              <w:t>2</w:t>
            </w:r>
          </w:p>
        </w:tc>
        <w:tc>
          <w:tcPr>
            <w:tcW w:w="2596" w:type="dxa"/>
            <w:tcBorders>
              <w:top w:val="single" w:color="000000" w:sz="6" w:space="0"/>
              <w:left w:val="single" w:color="000000" w:sz="6" w:space="0"/>
              <w:bottom w:val="single" w:color="000000" w:sz="6" w:space="0"/>
              <w:right w:val="single" w:color="000000" w:sz="6" w:space="0"/>
            </w:tcBorders>
          </w:tcPr>
          <w:p w:rsidRPr="008D65B9" w:rsidR="008D65B9" w:rsidP="008D65B9" w:rsidRDefault="008D65B9" w14:paraId="3F4663F3" w14:textId="77777777">
            <w:pPr>
              <w:pBdr>
                <w:top w:val="nil"/>
                <w:left w:val="nil"/>
                <w:bottom w:val="nil"/>
                <w:right w:val="nil"/>
                <w:between w:val="nil"/>
              </w:pBdr>
              <w:jc w:val="both"/>
              <w:rPr>
                <w:color w:val="000000"/>
              </w:rPr>
            </w:pPr>
            <w:r w:rsidRPr="008D65B9">
              <w:rPr>
                <w:color w:val="000000"/>
              </w:rPr>
              <w:t>3</w:t>
            </w:r>
          </w:p>
        </w:tc>
        <w:tc>
          <w:tcPr>
            <w:tcW w:w="2643" w:type="dxa"/>
            <w:tcBorders>
              <w:top w:val="single" w:color="000000" w:sz="6" w:space="0"/>
              <w:left w:val="single" w:color="000000" w:sz="6" w:space="0"/>
              <w:bottom w:val="single" w:color="000000" w:sz="6" w:space="0"/>
              <w:right w:val="single" w:color="000000" w:sz="6" w:space="0"/>
            </w:tcBorders>
          </w:tcPr>
          <w:p w:rsidRPr="008D65B9" w:rsidR="008D65B9" w:rsidP="008D65B9" w:rsidRDefault="008D65B9" w14:paraId="0A7532CE" w14:textId="77777777">
            <w:pPr>
              <w:pBdr>
                <w:top w:val="nil"/>
                <w:left w:val="nil"/>
                <w:bottom w:val="nil"/>
                <w:right w:val="nil"/>
                <w:between w:val="nil"/>
              </w:pBdr>
              <w:jc w:val="both"/>
              <w:rPr>
                <w:color w:val="000000"/>
              </w:rPr>
            </w:pPr>
            <w:r w:rsidRPr="008D65B9">
              <w:rPr>
                <w:color w:val="000000"/>
              </w:rPr>
              <w:t>4</w:t>
            </w:r>
          </w:p>
        </w:tc>
        <w:tc>
          <w:tcPr>
            <w:tcW w:w="2234" w:type="dxa"/>
            <w:tcBorders>
              <w:top w:val="single" w:color="auto" w:sz="4" w:space="0"/>
              <w:left w:val="single" w:color="auto" w:sz="4" w:space="0"/>
              <w:bottom w:val="single" w:color="auto" w:sz="4" w:space="0"/>
              <w:right w:val="single" w:color="auto" w:sz="4" w:space="0"/>
            </w:tcBorders>
          </w:tcPr>
          <w:p w:rsidRPr="008D65B9" w:rsidR="008D65B9" w:rsidP="008D65B9" w:rsidRDefault="008D65B9" w14:paraId="4D2AADED" w14:textId="77777777">
            <w:pPr>
              <w:pBdr>
                <w:top w:val="nil"/>
                <w:left w:val="nil"/>
                <w:bottom w:val="nil"/>
                <w:right w:val="nil"/>
                <w:between w:val="nil"/>
              </w:pBdr>
              <w:jc w:val="both"/>
              <w:rPr>
                <w:color w:val="000000"/>
              </w:rPr>
            </w:pPr>
            <w:r w:rsidRPr="008D65B9">
              <w:rPr>
                <w:color w:val="000000"/>
              </w:rPr>
              <w:t>5</w:t>
            </w:r>
          </w:p>
        </w:tc>
        <w:tc>
          <w:tcPr>
            <w:tcW w:w="3492" w:type="dxa"/>
            <w:tcBorders>
              <w:top w:val="single" w:color="auto" w:sz="4" w:space="0"/>
              <w:left w:val="single" w:color="auto" w:sz="4" w:space="0"/>
              <w:bottom w:val="single" w:color="auto" w:sz="4" w:space="0"/>
              <w:right w:val="single" w:color="auto" w:sz="4" w:space="0"/>
            </w:tcBorders>
          </w:tcPr>
          <w:p w:rsidRPr="008D65B9" w:rsidR="008D65B9" w:rsidP="008D65B9" w:rsidRDefault="008D65B9" w14:paraId="795F3390" w14:textId="77777777">
            <w:pPr>
              <w:pBdr>
                <w:top w:val="nil"/>
                <w:left w:val="nil"/>
                <w:bottom w:val="nil"/>
                <w:right w:val="nil"/>
                <w:between w:val="nil"/>
              </w:pBdr>
              <w:jc w:val="both"/>
              <w:rPr>
                <w:color w:val="000000"/>
              </w:rPr>
            </w:pPr>
            <w:r w:rsidRPr="008D65B9">
              <w:rPr>
                <w:color w:val="000000"/>
              </w:rPr>
              <w:t>6</w:t>
            </w:r>
          </w:p>
        </w:tc>
      </w:tr>
    </w:tbl>
    <w:p w:rsidRPr="008D65B9" w:rsidR="008D65B9" w:rsidP="008D65B9" w:rsidRDefault="008D65B9" w14:paraId="37D5424F" w14:textId="77777777">
      <w:pPr>
        <w:pBdr>
          <w:top w:val="nil"/>
          <w:left w:val="nil"/>
          <w:bottom w:val="nil"/>
          <w:right w:val="nil"/>
          <w:between w:val="nil"/>
        </w:pBdr>
        <w:jc w:val="both"/>
        <w:rPr>
          <w:b/>
          <w:color w:val="000000"/>
        </w:rPr>
      </w:pPr>
    </w:p>
    <w:p w:rsidRPr="008D65B9" w:rsidR="008D65B9" w:rsidP="008D65B9" w:rsidRDefault="008D65B9" w14:paraId="0B5D950A" w14:textId="77777777">
      <w:pPr>
        <w:pBdr>
          <w:top w:val="nil"/>
          <w:left w:val="nil"/>
          <w:bottom w:val="nil"/>
          <w:right w:val="nil"/>
          <w:between w:val="nil"/>
        </w:pBdr>
        <w:jc w:val="both"/>
        <w:rPr>
          <w:b/>
          <w:color w:val="000000"/>
        </w:rPr>
      </w:pPr>
      <w:r w:rsidRPr="008D65B9">
        <w:rPr>
          <w:b/>
          <w:color w:val="000000"/>
        </w:rPr>
        <w:t>Informācija par starpministriju (starpinstitūciju) sanāksmi vai elektronisko saskaņošanu</w:t>
      </w:r>
    </w:p>
    <w:p w:rsidRPr="008D65B9" w:rsidR="008D65B9" w:rsidP="008D65B9" w:rsidRDefault="008D65B9" w14:paraId="202B46EC" w14:textId="77777777">
      <w:pPr>
        <w:pBdr>
          <w:top w:val="nil"/>
          <w:left w:val="nil"/>
          <w:bottom w:val="nil"/>
          <w:right w:val="nil"/>
          <w:between w:val="nil"/>
        </w:pBdr>
        <w:jc w:val="both"/>
        <w:rPr>
          <w:b/>
          <w:color w:val="000000"/>
        </w:rPr>
      </w:pPr>
    </w:p>
    <w:p w:rsidRPr="00DA32EE" w:rsidR="00C04B0E" w:rsidP="00C04B0E" w:rsidRDefault="00C04B0E" w14:paraId="47537B1C" w14:textId="70EBAF4D">
      <w:pPr>
        <w:jc w:val="both"/>
      </w:pPr>
      <w:r w:rsidRPr="00DA32EE">
        <w:t>Datums:</w:t>
      </w:r>
      <w:r w:rsidRPr="00DA32EE">
        <w:tab/>
      </w:r>
      <w:r w:rsidRPr="00DA32EE">
        <w:tab/>
      </w:r>
      <w:r w:rsidRPr="00DA32EE">
        <w:tab/>
      </w:r>
      <w:r w:rsidRPr="00DA32EE">
        <w:tab/>
      </w:r>
      <w:r w:rsidRPr="00DA32EE">
        <w:tab/>
      </w:r>
      <w:r w:rsidRPr="00DA32EE">
        <w:tab/>
      </w:r>
      <w:r w:rsidRPr="00DA32EE">
        <w:tab/>
      </w:r>
      <w:r w:rsidRPr="00594EF3" w:rsidR="00594EF3">
        <w:t xml:space="preserve">2019. gada </w:t>
      </w:r>
      <w:r w:rsidR="00594EF3">
        <w:t>30</w:t>
      </w:r>
      <w:r w:rsidRPr="00594EF3" w:rsidR="00594EF3">
        <w:t>.</w:t>
      </w:r>
      <w:r w:rsidR="00594EF3">
        <w:t xml:space="preserve"> oktobris līdz 6</w:t>
      </w:r>
      <w:r w:rsidRPr="00594EF3" w:rsidR="00594EF3">
        <w:t xml:space="preserve">. </w:t>
      </w:r>
      <w:r w:rsidR="00594EF3">
        <w:t>novembris</w:t>
      </w:r>
      <w:r w:rsidRPr="00594EF3" w:rsidR="00594EF3">
        <w:t xml:space="preserve"> (elektroniskā saskaņošana)</w:t>
      </w:r>
      <w:r w:rsidRPr="00DA32EE">
        <w:t xml:space="preserve"> </w:t>
      </w:r>
    </w:p>
    <w:p w:rsidRPr="00DA32EE" w:rsidR="00C04B0E" w:rsidP="00C04B0E" w:rsidRDefault="00C04B0E" w14:paraId="68A6C905" w14:textId="77777777">
      <w:pPr>
        <w:tabs>
          <w:tab w:val="left" w:pos="4320"/>
        </w:tabs>
        <w:jc w:val="both"/>
      </w:pPr>
    </w:p>
    <w:p w:rsidRPr="00DA32EE" w:rsidR="00C04B0E" w:rsidP="00C04B0E" w:rsidRDefault="00C04B0E" w14:paraId="617ABB93" w14:textId="3BD843A2">
      <w:pPr>
        <w:tabs>
          <w:tab w:val="left" w:pos="5760"/>
        </w:tabs>
        <w:ind w:left="5760" w:hanging="5760"/>
        <w:jc w:val="both"/>
      </w:pPr>
      <w:r w:rsidRPr="00DA32EE">
        <w:t>Saskaņošanas dalībnieki:</w:t>
      </w:r>
      <w:r w:rsidRPr="00DA32EE">
        <w:tab/>
        <w:t>Tieslietu ministrija, Finanšu ministrija, Vides aizsardzības un reģionālās attīstības ministrija, Latvijas Brīvo arodbiedrību savienība</w:t>
      </w:r>
      <w:r w:rsidR="00415168">
        <w:t xml:space="preserve"> un </w:t>
      </w:r>
      <w:r w:rsidRPr="00415168" w:rsidR="00415168">
        <w:rPr>
          <w:bCs/>
        </w:rPr>
        <w:t>Latvijas Tirdzniecības un rūpniecības kamera</w:t>
      </w:r>
    </w:p>
    <w:p w:rsidRPr="00DA32EE" w:rsidR="00C04B0E" w:rsidP="00C04B0E" w:rsidRDefault="00C04B0E" w14:paraId="3C7AF2C9" w14:textId="77777777">
      <w:pPr>
        <w:tabs>
          <w:tab w:val="left" w:pos="3600"/>
        </w:tabs>
        <w:jc w:val="both"/>
      </w:pPr>
    </w:p>
    <w:p w:rsidRPr="00DA32EE" w:rsidR="00C04B0E" w:rsidP="00C04B0E" w:rsidRDefault="00C04B0E" w14:paraId="53C0D093" w14:textId="77777777">
      <w:pPr>
        <w:tabs>
          <w:tab w:val="left" w:pos="3600"/>
        </w:tabs>
        <w:jc w:val="both"/>
      </w:pPr>
      <w:r w:rsidRPr="00DA32EE">
        <w:t>Saskaņošanas dalībnieki izskatīja šādu ministriju</w:t>
      </w:r>
    </w:p>
    <w:p w:rsidRPr="00DA32EE" w:rsidR="00C04B0E" w:rsidP="00C04B0E" w:rsidRDefault="00C04B0E" w14:paraId="270E8327" w14:textId="77777777">
      <w:pPr>
        <w:ind w:left="5760" w:hanging="5760"/>
        <w:jc w:val="both"/>
      </w:pPr>
      <w:r w:rsidRPr="00DA32EE">
        <w:t>(citu institūciju) iebildumus:</w:t>
      </w:r>
      <w:r w:rsidRPr="00DA32EE">
        <w:tab/>
      </w:r>
      <w:r w:rsidRPr="000E385B">
        <w:t>Tieslietu ministrija</w:t>
      </w:r>
      <w:r w:rsidRPr="00DA32EE">
        <w:t xml:space="preserve">, </w:t>
      </w:r>
      <w:r w:rsidRPr="000E385B">
        <w:t>Vides aizsardzības un reģionālās attīstības ministrija</w:t>
      </w:r>
    </w:p>
    <w:p w:rsidRPr="00DA32EE" w:rsidR="00C04B0E" w:rsidP="00C04B0E" w:rsidRDefault="00C04B0E" w14:paraId="72CA2A49" w14:textId="77777777">
      <w:pPr>
        <w:tabs>
          <w:tab w:val="left" w:pos="3600"/>
        </w:tabs>
        <w:jc w:val="both"/>
      </w:pPr>
    </w:p>
    <w:p w:rsidRPr="00DA32EE" w:rsidR="00C04B0E" w:rsidP="00C04B0E" w:rsidRDefault="00C04B0E" w14:paraId="50C5186C" w14:textId="77777777">
      <w:pPr>
        <w:tabs>
          <w:tab w:val="left" w:pos="3600"/>
        </w:tabs>
        <w:jc w:val="both"/>
      </w:pPr>
      <w:r w:rsidRPr="00DA32EE">
        <w:t>Ministrijas (citas institūcijas), kuras nav ieradušās uz</w:t>
      </w:r>
    </w:p>
    <w:p w:rsidRPr="00DA32EE" w:rsidR="00C04B0E" w:rsidP="00C04B0E" w:rsidRDefault="00C04B0E" w14:paraId="3446C246" w14:textId="77777777">
      <w:pPr>
        <w:tabs>
          <w:tab w:val="left" w:pos="3600"/>
        </w:tabs>
        <w:jc w:val="both"/>
      </w:pPr>
      <w:r w:rsidRPr="00DA32EE">
        <w:t>sanāksmi vai kuras nav atbildējušas uz uzaicinājumu</w:t>
      </w:r>
    </w:p>
    <w:p w:rsidRPr="00CC043B" w:rsidR="00CC043B" w:rsidP="00CC043B" w:rsidRDefault="00C04B0E" w14:paraId="34595843" w14:textId="0F258859">
      <w:pPr>
        <w:jc w:val="both"/>
      </w:pPr>
      <w:r w:rsidRPr="00DA32EE">
        <w:t>piedalīties elektroniskajā saskaņošanā:</w:t>
      </w:r>
      <w:r w:rsidRPr="00DA32EE">
        <w:tab/>
      </w:r>
      <w:r w:rsidRPr="00DA32EE">
        <w:tab/>
      </w:r>
      <w:r w:rsidRPr="00DA32EE">
        <w:tab/>
      </w:r>
      <w:r w:rsidRPr="00A54452" w:rsidR="00A54452">
        <w:t>Finanšu ministrija</w:t>
      </w:r>
      <w:r w:rsidR="00A54452">
        <w:t>,</w:t>
      </w:r>
      <w:r w:rsidRPr="00A54452" w:rsidR="00A54452">
        <w:rPr>
          <w:bCs/>
        </w:rPr>
        <w:t xml:space="preserve"> </w:t>
      </w:r>
      <w:r w:rsidRPr="00CC043B" w:rsidR="00CC043B">
        <w:rPr>
          <w:bCs/>
        </w:rPr>
        <w:t>Latvijas Tirdzniecības un rūpniecības kamera</w:t>
      </w:r>
    </w:p>
    <w:p w:rsidR="00C8636C" w:rsidP="00CC043B" w:rsidRDefault="00C8636C" w14:paraId="2053C953" w14:textId="239C0ADC">
      <w:pPr>
        <w:jc w:val="both"/>
        <w:rPr>
          <w:color w:val="000000"/>
        </w:rPr>
      </w:pPr>
    </w:p>
    <w:p w:rsidR="00C8636C" w:rsidRDefault="00C8636C" w14:paraId="04755CBA" w14:textId="77777777">
      <w:pPr>
        <w:pBdr>
          <w:top w:val="nil"/>
          <w:left w:val="nil"/>
          <w:bottom w:val="nil"/>
          <w:right w:val="nil"/>
          <w:between w:val="nil"/>
        </w:pBdr>
        <w:jc w:val="center"/>
        <w:rPr>
          <w:color w:val="000000"/>
        </w:rPr>
      </w:pPr>
    </w:p>
    <w:p w:rsidR="00C8636C" w:rsidRDefault="00C8636C" w14:paraId="2572ECD7" w14:textId="77777777">
      <w:pPr>
        <w:pBdr>
          <w:top w:val="nil"/>
          <w:left w:val="nil"/>
          <w:bottom w:val="nil"/>
          <w:right w:val="nil"/>
          <w:between w:val="nil"/>
        </w:pBdr>
        <w:jc w:val="center"/>
        <w:rPr>
          <w:color w:val="000000"/>
        </w:rPr>
      </w:pPr>
    </w:p>
    <w:p w:rsidR="00C8636C" w:rsidRDefault="00C8636C" w14:paraId="44F4CBF4" w14:textId="77777777">
      <w:pPr>
        <w:pBdr>
          <w:top w:val="nil"/>
          <w:left w:val="nil"/>
          <w:bottom w:val="nil"/>
          <w:right w:val="nil"/>
          <w:between w:val="nil"/>
        </w:pBdr>
        <w:jc w:val="center"/>
        <w:rPr>
          <w:color w:val="000000"/>
        </w:rPr>
      </w:pPr>
    </w:p>
    <w:p w:rsidR="00C8636C" w:rsidRDefault="00D539A4" w14:paraId="7E413401" w14:textId="77777777">
      <w:pPr>
        <w:pBdr>
          <w:top w:val="nil"/>
          <w:left w:val="nil"/>
          <w:bottom w:val="nil"/>
          <w:right w:val="nil"/>
          <w:between w:val="nil"/>
        </w:pBdr>
        <w:jc w:val="center"/>
        <w:rPr>
          <w:color w:val="000000"/>
        </w:rPr>
      </w:pPr>
      <w:r>
        <w:rPr>
          <w:b/>
          <w:color w:val="000000"/>
        </w:rPr>
        <w:lastRenderedPageBreak/>
        <w:t>II. Jautājumi, par kuriem saskaņošanā vienošanās ir panākta</w:t>
      </w:r>
    </w:p>
    <w:p w:rsidR="00C8636C" w:rsidRDefault="00C8636C" w14:paraId="26750326" w14:textId="77777777">
      <w:pPr>
        <w:pBdr>
          <w:top w:val="nil"/>
          <w:left w:val="nil"/>
          <w:bottom w:val="nil"/>
          <w:right w:val="nil"/>
          <w:between w:val="nil"/>
        </w:pBdr>
        <w:ind w:firstLine="720"/>
        <w:jc w:val="both"/>
        <w:rPr>
          <w:color w:val="000000"/>
        </w:rPr>
      </w:pPr>
    </w:p>
    <w:tbl>
      <w:tblPr>
        <w:tblStyle w:val="a2"/>
        <w:tblW w:w="14148"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708"/>
        <w:gridCol w:w="3090"/>
        <w:gridCol w:w="4410"/>
        <w:gridCol w:w="2610"/>
        <w:gridCol w:w="3330"/>
      </w:tblGrid>
      <w:tr w:rsidR="00C8636C" w14:paraId="0030A9D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00C8636C" w:rsidRDefault="00D539A4" w14:paraId="72069B26" w14:textId="77777777">
            <w:pPr>
              <w:pBdr>
                <w:top w:val="nil"/>
                <w:left w:val="nil"/>
                <w:bottom w:val="nil"/>
                <w:right w:val="nil"/>
                <w:between w:val="nil"/>
              </w:pBdr>
              <w:jc w:val="center"/>
              <w:rPr>
                <w:color w:val="000000"/>
              </w:rPr>
            </w:pPr>
            <w:r>
              <w:rPr>
                <w:color w:val="000000"/>
              </w:rPr>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00C8636C" w:rsidRDefault="00D539A4" w14:paraId="027AF28D" w14:textId="77777777">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4410" w:type="dxa"/>
            <w:tcBorders>
              <w:top w:val="single" w:color="000000" w:sz="6" w:space="0"/>
              <w:left w:val="single" w:color="000000" w:sz="6" w:space="0"/>
              <w:bottom w:val="single" w:color="000000" w:sz="6" w:space="0"/>
              <w:right w:val="single" w:color="000000" w:sz="6" w:space="0"/>
            </w:tcBorders>
            <w:vAlign w:val="center"/>
          </w:tcPr>
          <w:p w:rsidR="00C8636C" w:rsidRDefault="00D539A4" w14:paraId="41B7B482" w14:textId="77777777">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610" w:type="dxa"/>
            <w:tcBorders>
              <w:top w:val="single" w:color="000000" w:sz="6" w:space="0"/>
              <w:left w:val="single" w:color="000000" w:sz="6" w:space="0"/>
              <w:bottom w:val="single" w:color="000000" w:sz="6" w:space="0"/>
              <w:right w:val="single" w:color="000000" w:sz="6" w:space="0"/>
            </w:tcBorders>
            <w:vAlign w:val="center"/>
          </w:tcPr>
          <w:p w:rsidR="00C8636C" w:rsidRDefault="00D539A4" w14:paraId="3F94BC4A" w14:textId="77777777">
            <w:pPr>
              <w:pBdr>
                <w:top w:val="nil"/>
                <w:left w:val="nil"/>
                <w:bottom w:val="nil"/>
                <w:right w:val="nil"/>
                <w:between w:val="nil"/>
              </w:pBdr>
              <w:ind w:firstLine="21"/>
              <w:jc w:val="center"/>
              <w:rPr>
                <w:color w:val="000000"/>
              </w:rPr>
            </w:pPr>
            <w:r>
              <w:rPr>
                <w:color w:val="000000"/>
              </w:rPr>
              <w:t>Atbildīgās ministrijas norāde par to, ka iebildums ir ņemts vērā, vai informācija par saskaņošanā panākto alternatīvo risinājumu</w:t>
            </w:r>
          </w:p>
        </w:tc>
        <w:tc>
          <w:tcPr>
            <w:tcW w:w="3330" w:type="dxa"/>
            <w:tcBorders>
              <w:top w:val="single" w:color="000000" w:sz="4" w:space="0"/>
              <w:left w:val="single" w:color="000000" w:sz="4" w:space="0"/>
              <w:bottom w:val="single" w:color="000000" w:sz="4" w:space="0"/>
            </w:tcBorders>
            <w:vAlign w:val="center"/>
          </w:tcPr>
          <w:p w:rsidR="00C8636C" w:rsidRDefault="00D539A4" w14:paraId="4808444A" w14:textId="77777777">
            <w:pPr>
              <w:jc w:val="center"/>
            </w:pPr>
            <w:r>
              <w:t>Projekta attiecīgā punkta (panta) galīgā redakcija</w:t>
            </w:r>
          </w:p>
        </w:tc>
      </w:tr>
      <w:tr w:rsidR="00C8636C" w14:paraId="61459FE5" w14:textId="77777777">
        <w:tc>
          <w:tcPr>
            <w:tcW w:w="708" w:type="dxa"/>
            <w:tcBorders>
              <w:top w:val="single" w:color="000000" w:sz="6" w:space="0"/>
              <w:left w:val="single" w:color="000000" w:sz="6" w:space="0"/>
              <w:bottom w:val="single" w:color="000000" w:sz="6" w:space="0"/>
              <w:right w:val="single" w:color="000000" w:sz="6" w:space="0"/>
            </w:tcBorders>
          </w:tcPr>
          <w:p w:rsidR="00C8636C" w:rsidRDefault="00D539A4" w14:paraId="65EF9615" w14:textId="77777777">
            <w:pPr>
              <w:pBdr>
                <w:top w:val="nil"/>
                <w:left w:val="nil"/>
                <w:bottom w:val="nil"/>
                <w:right w:val="nil"/>
                <w:between w:val="nil"/>
              </w:pBdr>
              <w:jc w:val="center"/>
              <w:rPr>
                <w:color w:val="000000"/>
                <w:sz w:val="20"/>
                <w:szCs w:val="20"/>
              </w:rPr>
            </w:pPr>
            <w:r>
              <w:rPr>
                <w:color w:val="000000"/>
                <w:sz w:val="20"/>
                <w:szCs w:val="20"/>
              </w:rPr>
              <w:t>1</w:t>
            </w:r>
          </w:p>
        </w:tc>
        <w:tc>
          <w:tcPr>
            <w:tcW w:w="3090" w:type="dxa"/>
            <w:tcBorders>
              <w:top w:val="single" w:color="000000" w:sz="6" w:space="0"/>
              <w:left w:val="single" w:color="000000" w:sz="6" w:space="0"/>
              <w:bottom w:val="single" w:color="000000" w:sz="6" w:space="0"/>
              <w:right w:val="single" w:color="000000" w:sz="6" w:space="0"/>
            </w:tcBorders>
          </w:tcPr>
          <w:p w:rsidR="00C8636C" w:rsidRDefault="00D539A4" w14:paraId="335D97B2" w14:textId="77777777">
            <w:pPr>
              <w:pBdr>
                <w:top w:val="nil"/>
                <w:left w:val="nil"/>
                <w:bottom w:val="nil"/>
                <w:right w:val="nil"/>
                <w:between w:val="nil"/>
              </w:pBdr>
              <w:jc w:val="center"/>
              <w:rPr>
                <w:color w:val="000000"/>
                <w:sz w:val="20"/>
                <w:szCs w:val="20"/>
              </w:rPr>
            </w:pPr>
            <w:r>
              <w:rPr>
                <w:color w:val="000000"/>
                <w:sz w:val="20"/>
                <w:szCs w:val="20"/>
              </w:rPr>
              <w:t>2</w:t>
            </w:r>
          </w:p>
        </w:tc>
        <w:tc>
          <w:tcPr>
            <w:tcW w:w="4410" w:type="dxa"/>
            <w:tcBorders>
              <w:top w:val="single" w:color="000000" w:sz="6" w:space="0"/>
              <w:left w:val="single" w:color="000000" w:sz="6" w:space="0"/>
              <w:bottom w:val="single" w:color="000000" w:sz="6" w:space="0"/>
              <w:right w:val="single" w:color="000000" w:sz="6" w:space="0"/>
            </w:tcBorders>
          </w:tcPr>
          <w:p w:rsidR="00C8636C" w:rsidRDefault="00D539A4" w14:paraId="28915764" w14:textId="77777777">
            <w:pPr>
              <w:pBdr>
                <w:top w:val="nil"/>
                <w:left w:val="nil"/>
                <w:bottom w:val="nil"/>
                <w:right w:val="nil"/>
                <w:between w:val="nil"/>
              </w:pBdr>
              <w:jc w:val="center"/>
              <w:rPr>
                <w:color w:val="000000"/>
                <w:sz w:val="20"/>
                <w:szCs w:val="20"/>
              </w:rPr>
            </w:pPr>
            <w:r>
              <w:rPr>
                <w:color w:val="000000"/>
                <w:sz w:val="20"/>
                <w:szCs w:val="20"/>
              </w:rPr>
              <w:t>3</w:t>
            </w:r>
          </w:p>
        </w:tc>
        <w:tc>
          <w:tcPr>
            <w:tcW w:w="2610" w:type="dxa"/>
            <w:tcBorders>
              <w:top w:val="single" w:color="000000" w:sz="6" w:space="0"/>
              <w:left w:val="single" w:color="000000" w:sz="6" w:space="0"/>
              <w:bottom w:val="single" w:color="000000" w:sz="6" w:space="0"/>
              <w:right w:val="single" w:color="000000" w:sz="6" w:space="0"/>
            </w:tcBorders>
          </w:tcPr>
          <w:p w:rsidR="00C8636C" w:rsidRDefault="00D539A4" w14:paraId="6AD254FE" w14:textId="77777777">
            <w:pPr>
              <w:pBdr>
                <w:top w:val="nil"/>
                <w:left w:val="nil"/>
                <w:bottom w:val="nil"/>
                <w:right w:val="nil"/>
                <w:between w:val="nil"/>
              </w:pBdr>
              <w:jc w:val="center"/>
              <w:rPr>
                <w:color w:val="000000"/>
                <w:sz w:val="20"/>
                <w:szCs w:val="20"/>
              </w:rPr>
            </w:pPr>
            <w:r>
              <w:rPr>
                <w:color w:val="000000"/>
                <w:sz w:val="20"/>
                <w:szCs w:val="20"/>
              </w:rPr>
              <w:t>4</w:t>
            </w:r>
          </w:p>
        </w:tc>
        <w:tc>
          <w:tcPr>
            <w:tcW w:w="3330" w:type="dxa"/>
            <w:tcBorders>
              <w:top w:val="single" w:color="000000" w:sz="4" w:space="0"/>
              <w:left w:val="single" w:color="000000" w:sz="4" w:space="0"/>
              <w:bottom w:val="single" w:color="000000" w:sz="4" w:space="0"/>
            </w:tcBorders>
          </w:tcPr>
          <w:p w:rsidR="00C8636C" w:rsidRDefault="00D539A4" w14:paraId="221380EC" w14:textId="77777777">
            <w:pPr>
              <w:jc w:val="center"/>
              <w:rPr>
                <w:sz w:val="20"/>
                <w:szCs w:val="20"/>
              </w:rPr>
            </w:pPr>
            <w:r>
              <w:rPr>
                <w:sz w:val="20"/>
                <w:szCs w:val="20"/>
              </w:rPr>
              <w:t>5</w:t>
            </w:r>
          </w:p>
        </w:tc>
      </w:tr>
      <w:tr w:rsidR="00C8636C" w14:paraId="64DB80D7" w14:textId="77777777">
        <w:tc>
          <w:tcPr>
            <w:tcW w:w="14148" w:type="dxa"/>
            <w:gridSpan w:val="5"/>
            <w:tcBorders>
              <w:left w:val="single" w:color="000000" w:sz="6" w:space="0"/>
              <w:bottom w:val="single" w:color="000000" w:sz="4" w:space="0"/>
            </w:tcBorders>
          </w:tcPr>
          <w:p w:rsidR="00C8636C" w:rsidRDefault="00D539A4" w14:paraId="4713FCF1" w14:textId="77777777">
            <w:pPr>
              <w:jc w:val="center"/>
            </w:pPr>
            <w:r>
              <w:rPr>
                <w:b/>
              </w:rPr>
              <w:t>Tieslietu ministrija</w:t>
            </w:r>
          </w:p>
        </w:tc>
      </w:tr>
      <w:tr w:rsidR="00C8636C" w14:paraId="56C36B8A" w14:textId="77777777">
        <w:tc>
          <w:tcPr>
            <w:tcW w:w="708" w:type="dxa"/>
            <w:tcBorders>
              <w:left w:val="single" w:color="000000" w:sz="6" w:space="0"/>
              <w:bottom w:val="single" w:color="000000" w:sz="4" w:space="0"/>
              <w:right w:val="single" w:color="000000" w:sz="6" w:space="0"/>
            </w:tcBorders>
          </w:tcPr>
          <w:p w:rsidR="00C8636C" w:rsidRDefault="00D539A4" w14:paraId="53EAA965" w14:textId="77777777">
            <w:pPr>
              <w:pBdr>
                <w:top w:val="nil"/>
                <w:left w:val="nil"/>
                <w:bottom w:val="nil"/>
                <w:right w:val="nil"/>
                <w:between w:val="nil"/>
              </w:pBdr>
              <w:jc w:val="center"/>
              <w:rPr>
                <w:color w:val="000000"/>
              </w:rPr>
            </w:pPr>
            <w:r>
              <w:rPr>
                <w:color w:val="000000"/>
              </w:rPr>
              <w:t>1.</w:t>
            </w:r>
          </w:p>
        </w:tc>
        <w:tc>
          <w:tcPr>
            <w:tcW w:w="3090" w:type="dxa"/>
            <w:tcBorders>
              <w:left w:val="single" w:color="000000" w:sz="6" w:space="0"/>
              <w:bottom w:val="single" w:color="000000" w:sz="4" w:space="0"/>
              <w:right w:val="single" w:color="000000" w:sz="6" w:space="0"/>
            </w:tcBorders>
          </w:tcPr>
          <w:p w:rsidR="00C8636C" w:rsidRDefault="00D539A4" w14:paraId="6C717A1B" w14:textId="77777777">
            <w:pPr>
              <w:pBdr>
                <w:top w:val="nil"/>
                <w:left w:val="nil"/>
                <w:bottom w:val="nil"/>
                <w:right w:val="nil"/>
                <w:between w:val="nil"/>
              </w:pBdr>
              <w:rPr>
                <w:color w:val="000000"/>
              </w:rPr>
            </w:pPr>
            <w:r>
              <w:rPr>
                <w:color w:val="000000"/>
              </w:rPr>
              <w:t>–</w:t>
            </w:r>
          </w:p>
        </w:tc>
        <w:tc>
          <w:tcPr>
            <w:tcW w:w="4410" w:type="dxa"/>
            <w:tcBorders>
              <w:left w:val="single" w:color="000000" w:sz="6" w:space="0"/>
              <w:bottom w:val="single" w:color="000000" w:sz="4" w:space="0"/>
              <w:right w:val="single" w:color="000000" w:sz="6" w:space="0"/>
            </w:tcBorders>
          </w:tcPr>
          <w:p w:rsidR="00C8636C" w:rsidRDefault="00D539A4" w14:paraId="586645A8" w14:textId="77777777">
            <w:pPr>
              <w:tabs>
                <w:tab w:val="left" w:pos="993"/>
              </w:tabs>
            </w:pPr>
            <w:r>
              <w:t>Apzināmies, ka projekts izstrādāts, lai pārņemtu Eiropas Parlamenta un Padomes 2017. gada 15. novembra Direktīvas (ES) 2017/2108, ar ko groza Direktīvu 2009/45/EK par pasažieru kuģu drošības noteikumiem un standartiem, (turpmāk – Direktīva) prasības, tomēr uzsveram, ka atbilstoši Līguma par Eiropas Savienības darbību 288. pantam dalībvalstīm, pārņemot direktīvas nacionālajos normatīvajos aktos, nepieciešams sasniegt Direktīvas mērķi. Savukārt dalībvalstis pašas var izvēlēties, kā sasniegt attiecīgo direktīvas mērķi un obligāti nav nepieciešams pārņemt Direktīvas tekstu “vārds vārdā”. Turklāt, pārņemot Direktīvu Latvijas normatīvajos aktos, ir svarīgi ievērot normatīvo aktu izstrādes juridiskās tehnikas prasības. Ievērojot minēto, norādām uz šādiem apsvērumiem:</w:t>
            </w:r>
          </w:p>
        </w:tc>
        <w:tc>
          <w:tcPr>
            <w:tcW w:w="2610" w:type="dxa"/>
            <w:tcBorders>
              <w:left w:val="single" w:color="000000" w:sz="6" w:space="0"/>
              <w:bottom w:val="single" w:color="000000" w:sz="4" w:space="0"/>
              <w:right w:val="single" w:color="000000" w:sz="6" w:space="0"/>
            </w:tcBorders>
          </w:tcPr>
          <w:p w:rsidR="00C8636C" w:rsidRDefault="00D539A4" w14:paraId="668B34F1" w14:textId="77777777">
            <w:pPr>
              <w:pBdr>
                <w:top w:val="nil"/>
                <w:left w:val="nil"/>
                <w:bottom w:val="nil"/>
                <w:right w:val="nil"/>
                <w:between w:val="nil"/>
              </w:pBdr>
              <w:rPr>
                <w:color w:val="000000"/>
              </w:rPr>
            </w:pPr>
            <w:r>
              <w:rPr>
                <w:color w:val="000000"/>
              </w:rPr>
              <w:t>–</w:t>
            </w:r>
          </w:p>
        </w:tc>
        <w:tc>
          <w:tcPr>
            <w:tcW w:w="3330" w:type="dxa"/>
            <w:tcBorders>
              <w:top w:val="single" w:color="000000" w:sz="4" w:space="0"/>
              <w:left w:val="single" w:color="000000" w:sz="4" w:space="0"/>
              <w:bottom w:val="single" w:color="000000" w:sz="4" w:space="0"/>
            </w:tcBorders>
          </w:tcPr>
          <w:p w:rsidR="00C8636C" w:rsidRDefault="00D539A4" w14:paraId="057AE582" w14:textId="77777777">
            <w:r>
              <w:t>–</w:t>
            </w:r>
          </w:p>
        </w:tc>
      </w:tr>
      <w:tr w:rsidR="00C8636C" w14:paraId="763C894A" w14:textId="77777777">
        <w:tc>
          <w:tcPr>
            <w:tcW w:w="708" w:type="dxa"/>
            <w:tcBorders>
              <w:left w:val="single" w:color="000000" w:sz="6" w:space="0"/>
              <w:bottom w:val="single" w:color="000000" w:sz="4" w:space="0"/>
              <w:right w:val="single" w:color="000000" w:sz="6" w:space="0"/>
            </w:tcBorders>
          </w:tcPr>
          <w:p w:rsidR="00C8636C" w:rsidRDefault="00D539A4" w14:paraId="220179A2" w14:textId="77777777">
            <w:pPr>
              <w:pBdr>
                <w:top w:val="nil"/>
                <w:left w:val="nil"/>
                <w:bottom w:val="nil"/>
                <w:right w:val="nil"/>
                <w:between w:val="nil"/>
              </w:pBdr>
              <w:jc w:val="center"/>
              <w:rPr>
                <w:color w:val="000000"/>
              </w:rPr>
            </w:pPr>
            <w:r>
              <w:rPr>
                <w:color w:val="000000"/>
              </w:rPr>
              <w:t>1.1.</w:t>
            </w:r>
          </w:p>
        </w:tc>
        <w:tc>
          <w:tcPr>
            <w:tcW w:w="3090" w:type="dxa"/>
            <w:tcBorders>
              <w:left w:val="single" w:color="000000" w:sz="6" w:space="0"/>
              <w:bottom w:val="single" w:color="000000" w:sz="4" w:space="0"/>
              <w:right w:val="single" w:color="000000" w:sz="6" w:space="0"/>
            </w:tcBorders>
          </w:tcPr>
          <w:p w:rsidR="00C8636C" w:rsidRDefault="00D539A4" w14:paraId="2DA3EFEE" w14:textId="77777777">
            <w:pPr>
              <w:pBdr>
                <w:top w:val="nil"/>
                <w:left w:val="nil"/>
                <w:bottom w:val="nil"/>
                <w:right w:val="nil"/>
                <w:between w:val="nil"/>
              </w:pBdr>
              <w:rPr>
                <w:color w:val="000000"/>
              </w:rPr>
            </w:pPr>
            <w:r>
              <w:rPr>
                <w:color w:val="000000"/>
              </w:rPr>
              <w:t>5. Izteikt 2.20. apakšpunktu šādā redakcijā:</w:t>
            </w:r>
          </w:p>
          <w:p w:rsidR="00C8636C" w:rsidRDefault="00D539A4" w14:paraId="05383A28" w14:textId="77777777">
            <w:pPr>
              <w:pBdr>
                <w:top w:val="nil"/>
                <w:left w:val="nil"/>
                <w:bottom w:val="nil"/>
                <w:right w:val="nil"/>
                <w:between w:val="nil"/>
              </w:pBdr>
              <w:rPr>
                <w:color w:val="000000"/>
              </w:rPr>
            </w:pPr>
            <w:r>
              <w:rPr>
                <w:color w:val="000000"/>
              </w:rPr>
              <w:lastRenderedPageBreak/>
              <w:t>"2.20. būtiski remontdarbi un pārveidojumi – jebkura veida kuģa pārbūve par pasažieru kuģi vai jebkura izmaiņa (izņemto, ja tā ir paredzēta vienīgi, lai sasniegtu augstāku ilgizturības standartu), kuras rezultātā būtiski:</w:t>
            </w:r>
          </w:p>
          <w:p w:rsidR="00C8636C" w:rsidRDefault="00D539A4" w14:paraId="591BC8F3" w14:textId="77777777">
            <w:pPr>
              <w:pBdr>
                <w:top w:val="nil"/>
                <w:left w:val="nil"/>
                <w:bottom w:val="nil"/>
                <w:right w:val="nil"/>
                <w:between w:val="nil"/>
              </w:pBdr>
              <w:rPr>
                <w:color w:val="000000"/>
              </w:rPr>
            </w:pPr>
            <w:r>
              <w:rPr>
                <w:color w:val="000000"/>
              </w:rPr>
              <w:t>[…]"</w:t>
            </w:r>
          </w:p>
          <w:p w:rsidR="00C8636C" w:rsidRDefault="00C8636C" w14:paraId="19F909DE" w14:textId="77777777">
            <w:pPr>
              <w:pBdr>
                <w:top w:val="nil"/>
                <w:left w:val="nil"/>
                <w:bottom w:val="nil"/>
                <w:right w:val="nil"/>
                <w:between w:val="nil"/>
              </w:pBdr>
              <w:rPr>
                <w:color w:val="000000"/>
              </w:rPr>
            </w:pPr>
          </w:p>
          <w:p w:rsidR="00C8636C" w:rsidRDefault="00D539A4" w14:paraId="01FC393B" w14:textId="77777777">
            <w:pPr>
              <w:pBdr>
                <w:top w:val="nil"/>
                <w:left w:val="nil"/>
                <w:bottom w:val="nil"/>
                <w:right w:val="nil"/>
                <w:between w:val="nil"/>
              </w:pBdr>
              <w:rPr>
                <w:color w:val="000000"/>
              </w:rPr>
            </w:pPr>
            <w:r>
              <w:rPr>
                <w:color w:val="000000"/>
              </w:rPr>
              <w:t>6. Papildināt noteikumus ar 2.21., 2.22., 2.23. un 2.24. apakšpunktu šādā redakcijā:</w:t>
            </w:r>
          </w:p>
          <w:p w:rsidR="00C8636C" w:rsidRDefault="00D539A4" w14:paraId="442C4D06" w14:textId="77777777">
            <w:pPr>
              <w:pBdr>
                <w:top w:val="nil"/>
                <w:left w:val="nil"/>
                <w:bottom w:val="nil"/>
                <w:right w:val="nil"/>
                <w:between w:val="nil"/>
              </w:pBdr>
              <w:rPr>
                <w:color w:val="000000"/>
              </w:rPr>
            </w:pPr>
            <w:r>
              <w:rPr>
                <w:color w:val="000000"/>
              </w:rPr>
              <w:t>"[…]</w:t>
            </w:r>
          </w:p>
          <w:p w:rsidR="00C8636C" w:rsidRDefault="00D539A4" w14:paraId="7293A8AF" w14:textId="77777777">
            <w:pPr>
              <w:pBdr>
                <w:top w:val="nil"/>
                <w:left w:val="nil"/>
                <w:bottom w:val="nil"/>
                <w:right w:val="nil"/>
                <w:between w:val="nil"/>
              </w:pBdr>
              <w:rPr>
                <w:color w:val="000000"/>
              </w:rPr>
            </w:pPr>
            <w:r>
              <w:rPr>
                <w:color w:val="000000"/>
              </w:rPr>
              <w:t>2.22. līdzvērtīgs materiāls – alumīnija sakausējums vai jebkurš cits ugunsdrošs materiāls, kas vai nu saskaņā pats ar savām īpašībām, vai nu nodrošinātās izolācijas dēļ pēc tam, kad bijis attiecīgi pakļauts standarta uzliesmošanas testam, saglabā tēraudam līdzvērtīgas strukturālās un integritātes īpašības;</w:t>
            </w:r>
          </w:p>
          <w:p w:rsidR="00C8636C" w:rsidRDefault="00D539A4" w14:paraId="25BB39B0" w14:textId="77777777">
            <w:pPr>
              <w:pBdr>
                <w:top w:val="nil"/>
                <w:left w:val="nil"/>
                <w:bottom w:val="nil"/>
                <w:right w:val="nil"/>
                <w:between w:val="nil"/>
              </w:pBdr>
              <w:rPr>
                <w:color w:val="000000"/>
              </w:rPr>
            </w:pPr>
            <w:r>
              <w:rPr>
                <w:color w:val="000000"/>
              </w:rPr>
              <w:t xml:space="preserve">2.23. uzliesmošanas standarttests – tests, kura laikā attiecīgo starpsienu vai klāju paraugus testēšanas krāsnī pakļauj temperatūrām, kas aptuveni atbilst standarta </w:t>
            </w:r>
            <w:r>
              <w:rPr>
                <w:color w:val="000000"/>
              </w:rPr>
              <w:lastRenderedPageBreak/>
              <w:t xml:space="preserve">laika-temperatūras līknei, saskaņā ar </w:t>
            </w:r>
            <w:r>
              <w:rPr>
                <w:i/>
                <w:color w:val="000000"/>
              </w:rPr>
              <w:t>IMO</w:t>
            </w:r>
            <w:r>
              <w:rPr>
                <w:color w:val="000000"/>
              </w:rPr>
              <w:t xml:space="preserve"> 2010. gada 3. decembra Rezolūcijā MSC 307(88) ietverto Starptautisko kodeksu par ugunsdrošības testu metožu piemērošanu (FTP kodekss);</w:t>
            </w:r>
          </w:p>
          <w:p w:rsidR="00C8636C" w:rsidRDefault="00D539A4" w14:paraId="1AA0CF02" w14:textId="77777777">
            <w:pPr>
              <w:pBdr>
                <w:top w:val="nil"/>
                <w:left w:val="nil"/>
                <w:bottom w:val="nil"/>
                <w:right w:val="nil"/>
                <w:between w:val="nil"/>
              </w:pBdr>
              <w:rPr>
                <w:color w:val="000000"/>
              </w:rPr>
            </w:pPr>
            <w:r>
              <w:rPr>
                <w:color w:val="000000"/>
              </w:rPr>
              <w:t>[…]"</w:t>
            </w:r>
          </w:p>
        </w:tc>
        <w:tc>
          <w:tcPr>
            <w:tcW w:w="4410" w:type="dxa"/>
            <w:tcBorders>
              <w:left w:val="single" w:color="000000" w:sz="6" w:space="0"/>
              <w:bottom w:val="single" w:color="000000" w:sz="4" w:space="0"/>
              <w:right w:val="single" w:color="000000" w:sz="6" w:space="0"/>
            </w:tcBorders>
          </w:tcPr>
          <w:p w:rsidR="00C8636C" w:rsidRDefault="00D539A4" w14:paraId="263250CD" w14:textId="77777777">
            <w:pPr>
              <w:tabs>
                <w:tab w:val="left" w:pos="993"/>
              </w:tabs>
            </w:pPr>
            <w:r>
              <w:lastRenderedPageBreak/>
              <w:t xml:space="preserve">Lūdzam projekta tekstā izvairīties no vārda “standarti” lietojuma, lai minētais jēdziens </w:t>
            </w:r>
            <w:r>
              <w:lastRenderedPageBreak/>
              <w:t>netiktu sajaukts ar standartiem Standartizācijas likuma izpratnē.</w:t>
            </w:r>
          </w:p>
        </w:tc>
        <w:tc>
          <w:tcPr>
            <w:tcW w:w="2610" w:type="dxa"/>
            <w:tcBorders>
              <w:left w:val="single" w:color="000000" w:sz="6" w:space="0"/>
              <w:bottom w:val="single" w:color="000000" w:sz="4" w:space="0"/>
              <w:right w:val="single" w:color="000000" w:sz="6" w:space="0"/>
            </w:tcBorders>
          </w:tcPr>
          <w:p w:rsidR="00C8636C" w:rsidRDefault="00D539A4" w14:paraId="7352907A" w14:textId="77777777">
            <w:pPr>
              <w:pBdr>
                <w:top w:val="nil"/>
                <w:left w:val="nil"/>
                <w:bottom w:val="nil"/>
                <w:right w:val="nil"/>
                <w:between w:val="nil"/>
              </w:pBdr>
              <w:rPr>
                <w:b/>
                <w:color w:val="000000"/>
              </w:rPr>
            </w:pPr>
            <w:r>
              <w:rPr>
                <w:b/>
                <w:color w:val="000000"/>
              </w:rPr>
              <w:lastRenderedPageBreak/>
              <w:t>Ņemts vērā</w:t>
            </w:r>
          </w:p>
          <w:p w:rsidR="00C8636C" w:rsidP="00331709" w:rsidRDefault="00D539A4" w14:paraId="417D8784" w14:textId="435FCCC0">
            <w:pPr>
              <w:pBdr>
                <w:top w:val="nil"/>
                <w:left w:val="nil"/>
                <w:bottom w:val="nil"/>
                <w:right w:val="nil"/>
                <w:between w:val="nil"/>
              </w:pBdr>
              <w:rPr>
                <w:color w:val="000000"/>
              </w:rPr>
            </w:pPr>
            <w:r>
              <w:rPr>
                <w:color w:val="000000"/>
              </w:rPr>
              <w:t xml:space="preserve">(sk. arī </w:t>
            </w:r>
            <w:r w:rsidR="00331709">
              <w:rPr>
                <w:color w:val="000000"/>
              </w:rPr>
              <w:t xml:space="preserve">šīs tabulas </w:t>
            </w:r>
            <w:r w:rsidRPr="00331709">
              <w:rPr>
                <w:color w:val="000000"/>
              </w:rPr>
              <w:t>1.</w:t>
            </w:r>
            <w:r w:rsidRPr="00331709" w:rsidR="00331709">
              <w:rPr>
                <w:color w:val="000000"/>
              </w:rPr>
              <w:t>3</w:t>
            </w:r>
            <w:r w:rsidRPr="00331709">
              <w:rPr>
                <w:color w:val="000000"/>
              </w:rPr>
              <w:t>.</w:t>
            </w:r>
            <w:r w:rsidR="00331709">
              <w:rPr>
                <w:color w:val="000000"/>
              </w:rPr>
              <w:t> </w:t>
            </w:r>
            <w:r>
              <w:rPr>
                <w:color w:val="000000"/>
              </w:rPr>
              <w:t>apakšpunktu)</w:t>
            </w:r>
          </w:p>
        </w:tc>
        <w:tc>
          <w:tcPr>
            <w:tcW w:w="3330" w:type="dxa"/>
            <w:tcBorders>
              <w:top w:val="single" w:color="000000" w:sz="4" w:space="0"/>
              <w:left w:val="single" w:color="000000" w:sz="4" w:space="0"/>
              <w:bottom w:val="single" w:color="000000" w:sz="4" w:space="0"/>
            </w:tcBorders>
          </w:tcPr>
          <w:p w:rsidR="00C8636C" w:rsidRDefault="00F004DC" w14:paraId="07C49BB6" w14:textId="0AF68BFC">
            <w:r>
              <w:t>1.</w:t>
            </w:r>
            <w:r w:rsidR="00D539A4">
              <w:t>5. Izteikt 2.20. apakšpunktu šādā redakcijā:</w:t>
            </w:r>
          </w:p>
          <w:p w:rsidR="00C8636C" w:rsidRDefault="00D539A4" w14:paraId="1C9656E8" w14:textId="77777777">
            <w:r>
              <w:lastRenderedPageBreak/>
              <w:t>"2.20. būtiski remontdarbi un pārveidojumi – jebkura veida kuģa pārbūve par pasažieru kuģi vai jebkura izmaiņa</w:t>
            </w:r>
            <w:r>
              <w:rPr>
                <w:b/>
              </w:rPr>
              <w:t xml:space="preserve">, </w:t>
            </w:r>
            <w:r w:rsidRPr="00F004DC">
              <w:rPr>
                <w:bCs/>
              </w:rPr>
              <w:t>izņemot, ja tā ir paredzēta vienīgi, lai sasniegtu augstāku ilgizturības pakāpi,</w:t>
            </w:r>
            <w:r>
              <w:t xml:space="preserve"> kuras rezultātā būtiski:</w:t>
            </w:r>
          </w:p>
          <w:p w:rsidR="00C8636C" w:rsidRDefault="00D539A4" w14:paraId="4E90C830" w14:textId="77777777">
            <w:r>
              <w:t>[…]"</w:t>
            </w:r>
          </w:p>
          <w:p w:rsidR="00C8636C" w:rsidRDefault="00C8636C" w14:paraId="235CC556" w14:textId="77777777"/>
          <w:p w:rsidR="00C8636C" w:rsidRDefault="00F004DC" w14:paraId="390B3D4C" w14:textId="50084CCC">
            <w:pPr>
              <w:pBdr>
                <w:top w:val="nil"/>
                <w:left w:val="nil"/>
                <w:bottom w:val="nil"/>
                <w:right w:val="nil"/>
                <w:between w:val="nil"/>
              </w:pBdr>
              <w:rPr>
                <w:color w:val="000000"/>
              </w:rPr>
            </w:pPr>
            <w:r>
              <w:rPr>
                <w:color w:val="000000"/>
              </w:rPr>
              <w:t>1.</w:t>
            </w:r>
            <w:r w:rsidR="00D539A4">
              <w:rPr>
                <w:color w:val="000000"/>
              </w:rPr>
              <w:t xml:space="preserve">6. Papildināt noteikumus ar </w:t>
            </w:r>
            <w:r w:rsidRPr="00F004DC" w:rsidR="00D539A4">
              <w:rPr>
                <w:bCs/>
                <w:color w:val="000000"/>
              </w:rPr>
              <w:t>2.21., 2.22.</w:t>
            </w:r>
            <w:r w:rsidRPr="00F004DC" w:rsidR="00D539A4">
              <w:rPr>
                <w:bCs/>
              </w:rPr>
              <w:t xml:space="preserve"> un </w:t>
            </w:r>
            <w:r w:rsidRPr="00F004DC" w:rsidR="00D539A4">
              <w:rPr>
                <w:bCs/>
                <w:color w:val="000000"/>
              </w:rPr>
              <w:t>2.23.</w:t>
            </w:r>
            <w:r w:rsidR="00D539A4">
              <w:rPr>
                <w:b/>
                <w:color w:val="000000"/>
              </w:rPr>
              <w:t xml:space="preserve"> </w:t>
            </w:r>
            <w:r w:rsidR="00D539A4">
              <w:rPr>
                <w:color w:val="000000"/>
              </w:rPr>
              <w:t>apakšpunktu šādā redakcijā:</w:t>
            </w:r>
          </w:p>
          <w:p w:rsidR="00C8636C" w:rsidRDefault="00D539A4" w14:paraId="7F3B6A44" w14:textId="77777777">
            <w:pPr>
              <w:pBdr>
                <w:top w:val="nil"/>
                <w:left w:val="nil"/>
                <w:bottom w:val="nil"/>
                <w:right w:val="nil"/>
                <w:between w:val="nil"/>
              </w:pBdr>
              <w:rPr>
                <w:color w:val="000000"/>
              </w:rPr>
            </w:pPr>
            <w:r>
              <w:rPr>
                <w:color w:val="000000"/>
              </w:rPr>
              <w:t>"[…]</w:t>
            </w:r>
          </w:p>
          <w:p w:rsidR="00C8636C" w:rsidRDefault="00D539A4" w14:paraId="2568B4DB" w14:textId="77777777">
            <w:pPr>
              <w:pBdr>
                <w:top w:val="nil"/>
                <w:left w:val="nil"/>
                <w:bottom w:val="nil"/>
                <w:right w:val="nil"/>
                <w:between w:val="nil"/>
              </w:pBdr>
              <w:rPr>
                <w:color w:val="000000"/>
              </w:rPr>
            </w:pPr>
            <w:r>
              <w:rPr>
                <w:color w:val="000000"/>
              </w:rPr>
              <w:t xml:space="preserve">2.22. līdzvērtīgs materiāls – alumīnija sakausējums vai jebkurš cits ugunsdrošs materiāls, kas vai nu saskaņā pats ar savām īpašībām, vai nu nodrošinātās izolācijas dēļ pēc tam, kad bijis attiecīgi pakļauts </w:t>
            </w:r>
            <w:r w:rsidRPr="00F004DC">
              <w:rPr>
                <w:bCs/>
                <w:color w:val="000000"/>
              </w:rPr>
              <w:t>uzliesmošanas standarttestam,</w:t>
            </w:r>
            <w:r>
              <w:rPr>
                <w:color w:val="000000"/>
              </w:rPr>
              <w:t xml:space="preserve"> saglabā tēraudam līdzvērtīgas strukturālās un integritātes īpašības;</w:t>
            </w:r>
          </w:p>
          <w:p w:rsidR="00C8636C" w:rsidRDefault="00D539A4" w14:paraId="3CEEFCAB" w14:textId="77777777">
            <w:r>
              <w:t xml:space="preserve">2.23. uzliesmošanas standarttests – </w:t>
            </w:r>
            <w:r w:rsidRPr="00F004DC">
              <w:rPr>
                <w:bCs/>
                <w:i/>
              </w:rPr>
              <w:t>IMO</w:t>
            </w:r>
            <w:r w:rsidRPr="00F004DC">
              <w:rPr>
                <w:bCs/>
              </w:rPr>
              <w:t xml:space="preserve"> 2010. gada 3. decembra Rezolūcijā MSC 307(88) ietvertajā Starptautiskajā kodeksā par ugunsdrošības testu metožu piemērošanu (FTP kodekss)</w:t>
            </w:r>
            <w:r>
              <w:rPr>
                <w:b/>
              </w:rPr>
              <w:t xml:space="preserve"> </w:t>
            </w:r>
            <w:r w:rsidRPr="00F004DC">
              <w:rPr>
                <w:bCs/>
              </w:rPr>
              <w:lastRenderedPageBreak/>
              <w:t>noteiktais uzliesmošanas standarttests."</w:t>
            </w:r>
          </w:p>
          <w:p w:rsidR="00C8636C" w:rsidRDefault="00C8636C" w14:paraId="375FEE0F" w14:textId="77777777"/>
        </w:tc>
      </w:tr>
      <w:tr w:rsidR="00C8636C" w14:paraId="41734ED5" w14:textId="77777777">
        <w:tc>
          <w:tcPr>
            <w:tcW w:w="708" w:type="dxa"/>
            <w:tcBorders>
              <w:left w:val="single" w:color="000000" w:sz="6" w:space="0"/>
              <w:bottom w:val="single" w:color="000000" w:sz="4" w:space="0"/>
              <w:right w:val="single" w:color="000000" w:sz="6" w:space="0"/>
            </w:tcBorders>
          </w:tcPr>
          <w:p w:rsidR="00C8636C" w:rsidRDefault="00D539A4" w14:paraId="0B6BE5E7" w14:textId="77777777">
            <w:pPr>
              <w:pBdr>
                <w:top w:val="nil"/>
                <w:left w:val="nil"/>
                <w:bottom w:val="nil"/>
                <w:right w:val="nil"/>
                <w:between w:val="nil"/>
              </w:pBdr>
              <w:jc w:val="center"/>
              <w:rPr>
                <w:color w:val="000000"/>
              </w:rPr>
            </w:pPr>
            <w:r>
              <w:rPr>
                <w:color w:val="000000"/>
              </w:rPr>
              <w:lastRenderedPageBreak/>
              <w:t>1.2.</w:t>
            </w:r>
          </w:p>
        </w:tc>
        <w:tc>
          <w:tcPr>
            <w:tcW w:w="3090" w:type="dxa"/>
            <w:tcBorders>
              <w:left w:val="single" w:color="000000" w:sz="6" w:space="0"/>
              <w:bottom w:val="single" w:color="000000" w:sz="4" w:space="0"/>
              <w:right w:val="single" w:color="000000" w:sz="6" w:space="0"/>
            </w:tcBorders>
          </w:tcPr>
          <w:p w:rsidR="00C8636C" w:rsidRDefault="00D539A4" w14:paraId="455F98DF" w14:textId="77777777">
            <w:pPr>
              <w:pBdr>
                <w:top w:val="nil"/>
                <w:left w:val="nil"/>
                <w:bottom w:val="nil"/>
                <w:right w:val="nil"/>
                <w:between w:val="nil"/>
              </w:pBdr>
              <w:rPr>
                <w:color w:val="000000"/>
              </w:rPr>
            </w:pPr>
            <w:r>
              <w:rPr>
                <w:color w:val="000000"/>
              </w:rPr>
              <w:t>4. Aizstāt 2.17. apakšpunktā vārdus "uzņemšanas valsts" ar vārdiem "ostas valsts".</w:t>
            </w:r>
          </w:p>
          <w:p w:rsidR="00C8636C" w:rsidRDefault="00C8636C" w14:paraId="7F788790" w14:textId="77777777">
            <w:pPr>
              <w:pBdr>
                <w:top w:val="nil"/>
                <w:left w:val="nil"/>
                <w:bottom w:val="nil"/>
                <w:right w:val="nil"/>
                <w:between w:val="nil"/>
              </w:pBdr>
              <w:rPr>
                <w:color w:val="000000"/>
              </w:rPr>
            </w:pPr>
          </w:p>
          <w:p w:rsidR="00C8636C" w:rsidRDefault="00D539A4" w14:paraId="4DF5965F" w14:textId="77777777">
            <w:pPr>
              <w:pBdr>
                <w:top w:val="nil"/>
                <w:left w:val="nil"/>
                <w:bottom w:val="nil"/>
                <w:right w:val="nil"/>
                <w:between w:val="nil"/>
              </w:pBdr>
              <w:rPr>
                <w:color w:val="000000"/>
              </w:rPr>
            </w:pPr>
            <w:r>
              <w:rPr>
                <w:color w:val="000000"/>
              </w:rPr>
              <w:t>24. Aizstāt 32. punktā vārdus "uzņemšanas valsts" (attiecīgā locījumā) ar vārdiem "ostas valsts" (attiecīgā locījumā).</w:t>
            </w:r>
          </w:p>
          <w:p w:rsidR="00C8636C" w:rsidRDefault="00C8636C" w14:paraId="6196AC7A" w14:textId="77777777">
            <w:pPr>
              <w:pBdr>
                <w:top w:val="nil"/>
                <w:left w:val="nil"/>
                <w:bottom w:val="nil"/>
                <w:right w:val="nil"/>
                <w:between w:val="nil"/>
              </w:pBdr>
              <w:rPr>
                <w:color w:val="000000"/>
              </w:rPr>
            </w:pPr>
          </w:p>
        </w:tc>
        <w:tc>
          <w:tcPr>
            <w:tcW w:w="4410" w:type="dxa"/>
            <w:tcBorders>
              <w:left w:val="single" w:color="000000" w:sz="6" w:space="0"/>
              <w:bottom w:val="single" w:color="000000" w:sz="4" w:space="0"/>
              <w:right w:val="single" w:color="000000" w:sz="6" w:space="0"/>
            </w:tcBorders>
          </w:tcPr>
          <w:p w:rsidR="00C8636C" w:rsidRDefault="00D539A4" w14:paraId="6C63A8B9" w14:textId="77777777">
            <w:pPr>
              <w:tabs>
                <w:tab w:val="left" w:pos="993"/>
              </w:tabs>
            </w:pPr>
            <w:r>
              <w:t>Uzskatām, ka atsevišķi Ministru kabineta 2011. gada 14. jūnija noteikumu Nr. 451 “Noteikumi par drošības prasībām vietējos reisos iesaistītiem pasažieru kuģiem” (turpmāk – noteikumi) grozījumi, piemēram, projekta 4. un 32. punktā, ir bez juridiskās slodzes, jo faktiski atbilstoši Direktīvai tiek pārfrāzēti noteikti jēdzieni, kas saturiski neatšķiras. Ievērojot minēto, lūdzam skaidrot minēto projekta normu nepieciešamību un juridisko slodzi. Ja minēto skaidrojumu nav iespējams sniegt, lūdzam svītrot minētās projekta normas.</w:t>
            </w:r>
          </w:p>
        </w:tc>
        <w:tc>
          <w:tcPr>
            <w:tcW w:w="2610" w:type="dxa"/>
            <w:tcBorders>
              <w:left w:val="single" w:color="000000" w:sz="6" w:space="0"/>
              <w:bottom w:val="single" w:color="000000" w:sz="4" w:space="0"/>
              <w:right w:val="single" w:color="000000" w:sz="6" w:space="0"/>
            </w:tcBorders>
          </w:tcPr>
          <w:p w:rsidR="00C8636C" w:rsidRDefault="00D539A4" w14:paraId="464CAA55" w14:textId="77777777">
            <w:pPr>
              <w:pBdr>
                <w:top w:val="nil"/>
                <w:left w:val="nil"/>
                <w:bottom w:val="nil"/>
                <w:right w:val="nil"/>
                <w:between w:val="nil"/>
              </w:pBdr>
              <w:rPr>
                <w:b/>
                <w:color w:val="000000"/>
              </w:rPr>
            </w:pPr>
            <w:r>
              <w:rPr>
                <w:b/>
                <w:color w:val="000000"/>
              </w:rPr>
              <w:t>Ņemts vērā</w:t>
            </w:r>
          </w:p>
          <w:p w:rsidR="00C8636C" w:rsidRDefault="00D539A4" w14:paraId="062F52BA" w14:textId="77777777">
            <w:pPr>
              <w:pBdr>
                <w:top w:val="nil"/>
                <w:left w:val="nil"/>
                <w:bottom w:val="nil"/>
                <w:right w:val="nil"/>
                <w:between w:val="nil"/>
              </w:pBdr>
              <w:rPr>
                <w:color w:val="000000"/>
              </w:rPr>
            </w:pPr>
            <w:r>
              <w:rPr>
                <w:color w:val="000000"/>
              </w:rPr>
              <w:t>Projekta normas, kuras aizstāj vārdus "uzņemšanas valsts" ar vārdiem "ostas valsts", ir nepieciešamas, lai uzlabotu juridisko skaidrību un veicinātu konsekvenci ar citos jūrniecības jomas tiesību aktos lietoto terminoloģiju un it īpaši ar esošajiem noteikumiem attiecināto 1974. gada Starptautisko konvenciju par cilvēku dzīvības aizsardzību uz jūras (</w:t>
            </w:r>
            <w:r>
              <w:rPr>
                <w:i/>
                <w:color w:val="000000"/>
              </w:rPr>
              <w:t>SOLAS</w:t>
            </w:r>
            <w:r>
              <w:rPr>
                <w:color w:val="000000"/>
              </w:rPr>
              <w:t> konvencija). Noteikumu Nr. 451 11. punktā arī ir norāde tieši uz ostas valsts kontroles kārtību.</w:t>
            </w:r>
          </w:p>
        </w:tc>
        <w:tc>
          <w:tcPr>
            <w:tcW w:w="3330" w:type="dxa"/>
            <w:tcBorders>
              <w:top w:val="single" w:color="000000" w:sz="4" w:space="0"/>
              <w:left w:val="single" w:color="000000" w:sz="4" w:space="0"/>
              <w:bottom w:val="single" w:color="000000" w:sz="4" w:space="0"/>
            </w:tcBorders>
          </w:tcPr>
          <w:p w:rsidR="00C8636C" w:rsidRDefault="00F004DC" w14:paraId="608566DC" w14:textId="192AA7EA">
            <w:r>
              <w:t>1.</w:t>
            </w:r>
            <w:r w:rsidR="00D539A4">
              <w:t>4. Aizstāt 2.17. apakšpunktā vārdus "uzņemšanas valsts" ar vārdiem "ostas valsts".</w:t>
            </w:r>
          </w:p>
          <w:p w:rsidR="00C8636C" w:rsidRDefault="00C8636C" w14:paraId="78C7F616" w14:textId="77777777"/>
          <w:p w:rsidR="00C8636C" w:rsidRDefault="00F004DC" w14:paraId="2A38A6F9" w14:textId="325DB986">
            <w:r>
              <w:t>1.</w:t>
            </w:r>
            <w:r w:rsidR="00D539A4">
              <w:t>2</w:t>
            </w:r>
            <w:r>
              <w:t>3</w:t>
            </w:r>
            <w:r w:rsidR="00D539A4">
              <w:t>. Aizstāt 32. punktā vārdus "uzņemšanas valsts" (attiecīgā locījumā) ar vārdiem "ostas valsts" (attiecīgā locījumā).</w:t>
            </w:r>
          </w:p>
          <w:p w:rsidR="00C8636C" w:rsidRDefault="00C8636C" w14:paraId="5A6A7765" w14:textId="77777777"/>
        </w:tc>
      </w:tr>
      <w:tr w:rsidR="008077E4" w:rsidTr="00D75D3B" w14:paraId="10CC2BBF" w14:textId="77777777">
        <w:tc>
          <w:tcPr>
            <w:tcW w:w="708" w:type="dxa"/>
            <w:tcBorders>
              <w:left w:val="single" w:color="000000" w:sz="6" w:space="0"/>
              <w:bottom w:val="single" w:color="000000" w:sz="4" w:space="0"/>
              <w:right w:val="single" w:color="000000" w:sz="6" w:space="0"/>
            </w:tcBorders>
          </w:tcPr>
          <w:p w:rsidR="008077E4" w:rsidP="008077E4" w:rsidRDefault="00273F86" w14:paraId="6A218174" w14:textId="041C43B7">
            <w:pPr>
              <w:pBdr>
                <w:top w:val="nil"/>
                <w:left w:val="nil"/>
                <w:bottom w:val="nil"/>
                <w:right w:val="nil"/>
                <w:between w:val="nil"/>
              </w:pBdr>
              <w:jc w:val="center"/>
              <w:rPr>
                <w:color w:val="000000"/>
              </w:rPr>
            </w:pPr>
            <w:r>
              <w:rPr>
                <w:color w:val="000000"/>
              </w:rPr>
              <w:lastRenderedPageBreak/>
              <w:t>1.3.</w:t>
            </w:r>
          </w:p>
        </w:tc>
        <w:tc>
          <w:tcPr>
            <w:tcW w:w="3090" w:type="dxa"/>
            <w:tcBorders>
              <w:left w:val="single" w:color="000000" w:sz="6" w:space="0"/>
              <w:bottom w:val="single" w:color="000000" w:sz="4" w:space="0"/>
              <w:right w:val="single" w:color="000000" w:sz="6" w:space="0"/>
            </w:tcBorders>
          </w:tcPr>
          <w:p w:rsidR="008077E4" w:rsidP="008077E4" w:rsidRDefault="008077E4" w14:paraId="32E17B83" w14:textId="77777777">
            <w:pPr>
              <w:pBdr>
                <w:top w:val="nil"/>
                <w:left w:val="nil"/>
                <w:bottom w:val="nil"/>
                <w:right w:val="nil"/>
                <w:between w:val="nil"/>
              </w:pBdr>
              <w:rPr>
                <w:color w:val="000000"/>
              </w:rPr>
            </w:pPr>
            <w:r>
              <w:rPr>
                <w:color w:val="000000"/>
              </w:rPr>
              <w:t>5. Izteikt 2.20. apakšpunktu šādā redakcijā:</w:t>
            </w:r>
          </w:p>
          <w:p w:rsidR="008077E4" w:rsidP="008077E4" w:rsidRDefault="008077E4" w14:paraId="0F4C2137" w14:textId="77777777">
            <w:pPr>
              <w:pBdr>
                <w:top w:val="nil"/>
                <w:left w:val="nil"/>
                <w:bottom w:val="nil"/>
                <w:right w:val="nil"/>
                <w:between w:val="nil"/>
              </w:pBdr>
              <w:rPr>
                <w:color w:val="000000"/>
              </w:rPr>
            </w:pPr>
            <w:r>
              <w:rPr>
                <w:color w:val="000000"/>
              </w:rPr>
              <w:t>"2.20. būtiski remontdarbi un pārveidojumi – jebkura veida kuģa pārbūve par pasažieru kuģi vai jebkura izmaiņa (izņemto, ja tā ir paredzēta vienīgi, lai sasniegtu augstāku ilgizturības standartu), kuras rezultātā būtiski:</w:t>
            </w:r>
          </w:p>
          <w:p w:rsidR="008077E4" w:rsidP="008077E4" w:rsidRDefault="008077E4" w14:paraId="76A2FF89" w14:textId="77777777">
            <w:pPr>
              <w:pBdr>
                <w:top w:val="nil"/>
                <w:left w:val="nil"/>
                <w:bottom w:val="nil"/>
                <w:right w:val="nil"/>
                <w:between w:val="nil"/>
              </w:pBdr>
              <w:rPr>
                <w:color w:val="000000"/>
              </w:rPr>
            </w:pPr>
            <w:r>
              <w:rPr>
                <w:color w:val="000000"/>
              </w:rPr>
              <w:t>[…]"</w:t>
            </w:r>
          </w:p>
          <w:p w:rsidR="008077E4" w:rsidP="008077E4" w:rsidRDefault="008077E4" w14:paraId="663232B0" w14:textId="77777777">
            <w:pPr>
              <w:pBdr>
                <w:top w:val="nil"/>
                <w:left w:val="nil"/>
                <w:bottom w:val="nil"/>
                <w:right w:val="nil"/>
                <w:between w:val="nil"/>
              </w:pBdr>
              <w:rPr>
                <w:color w:val="000000"/>
              </w:rPr>
            </w:pPr>
          </w:p>
          <w:p w:rsidR="008077E4" w:rsidP="008077E4" w:rsidRDefault="008077E4" w14:paraId="2ECF76F6" w14:textId="77777777">
            <w:pPr>
              <w:pBdr>
                <w:top w:val="nil"/>
                <w:left w:val="nil"/>
                <w:bottom w:val="nil"/>
                <w:right w:val="nil"/>
                <w:between w:val="nil"/>
              </w:pBdr>
              <w:rPr>
                <w:color w:val="000000"/>
              </w:rPr>
            </w:pPr>
            <w:r>
              <w:rPr>
                <w:color w:val="000000"/>
              </w:rPr>
              <w:t>8. Izteikt 6. punktu šādā redakcijā:</w:t>
            </w:r>
          </w:p>
          <w:p w:rsidR="008077E4" w:rsidP="008077E4" w:rsidRDefault="008077E4" w14:paraId="681379DB" w14:textId="77777777">
            <w:pPr>
              <w:pBdr>
                <w:top w:val="nil"/>
                <w:left w:val="nil"/>
                <w:bottom w:val="nil"/>
                <w:right w:val="nil"/>
                <w:between w:val="nil"/>
              </w:pBdr>
              <w:rPr>
                <w:color w:val="000000"/>
              </w:rPr>
            </w:pPr>
            <w:r>
              <w:rPr>
                <w:color w:val="000000"/>
              </w:rPr>
              <w:t>"6. Noteikumi neattiecas uz:</w:t>
            </w:r>
          </w:p>
          <w:p w:rsidR="008077E4" w:rsidP="008077E4" w:rsidRDefault="008077E4" w14:paraId="4E36B321" w14:textId="77777777">
            <w:pPr>
              <w:pBdr>
                <w:top w:val="nil"/>
                <w:left w:val="nil"/>
                <w:bottom w:val="nil"/>
                <w:right w:val="nil"/>
                <w:between w:val="nil"/>
              </w:pBdr>
              <w:rPr>
                <w:color w:val="000000"/>
              </w:rPr>
            </w:pPr>
            <w:r>
              <w:rPr>
                <w:color w:val="000000"/>
              </w:rPr>
              <w:t>[…]</w:t>
            </w:r>
          </w:p>
          <w:p w:rsidR="008077E4" w:rsidP="008077E4" w:rsidRDefault="008077E4" w14:paraId="2382DA66" w14:textId="77777777">
            <w:pPr>
              <w:pBdr>
                <w:top w:val="nil"/>
                <w:left w:val="nil"/>
                <w:bottom w:val="nil"/>
                <w:right w:val="nil"/>
                <w:between w:val="nil"/>
              </w:pBdr>
              <w:rPr>
                <w:color w:val="000000"/>
              </w:rPr>
            </w:pPr>
            <w:r>
              <w:rPr>
                <w:color w:val="000000"/>
              </w:rPr>
              <w:t>6.1.9. atkrastes iekārtu apkalpošanas kuģi, ko izmanto, lai pārvadātu un uzņemtu rūpniecības nozares darbiniekus, kuri uz šī kuģa neveic darbu, kam ir būtiska nozīme saistībā ar kuģa darbību;</w:t>
            </w:r>
          </w:p>
          <w:p w:rsidR="008077E4" w:rsidP="008077E4" w:rsidRDefault="008077E4" w14:paraId="6E0133A0" w14:textId="77777777">
            <w:pPr>
              <w:pBdr>
                <w:top w:val="nil"/>
                <w:left w:val="nil"/>
                <w:bottom w:val="nil"/>
                <w:right w:val="nil"/>
                <w:between w:val="nil"/>
              </w:pBdr>
              <w:rPr>
                <w:color w:val="000000"/>
              </w:rPr>
            </w:pPr>
            <w:r>
              <w:rPr>
                <w:color w:val="000000"/>
              </w:rPr>
              <w:t>[…]</w:t>
            </w:r>
          </w:p>
          <w:p w:rsidR="008077E4" w:rsidP="008077E4" w:rsidRDefault="008077E4" w14:paraId="3F266049" w14:textId="77777777">
            <w:pPr>
              <w:pBdr>
                <w:top w:val="nil"/>
                <w:left w:val="nil"/>
                <w:bottom w:val="nil"/>
                <w:right w:val="nil"/>
                <w:between w:val="nil"/>
              </w:pBdr>
              <w:rPr>
                <w:color w:val="000000"/>
              </w:rPr>
            </w:pPr>
            <w:r>
              <w:rPr>
                <w:color w:val="000000"/>
              </w:rPr>
              <w:t xml:space="preserve">6.2.4. atkrastes iekārtu apkalpošanas peldlīdzekļi, ko izmanto, lai pārvadātu un uzņemtu rūpniecības nozares darbiniekus, kuri uz šī peldlīdzekļa neveic darbu, kam ir būtiska nozīme </w:t>
            </w:r>
            <w:r>
              <w:rPr>
                <w:color w:val="000000"/>
              </w:rPr>
              <w:lastRenderedPageBreak/>
              <w:t>saistībā ar peldlīdzekļa darbību."</w:t>
            </w:r>
          </w:p>
          <w:p w:rsidR="008077E4" w:rsidP="008077E4" w:rsidRDefault="008077E4" w14:paraId="3E489E5F" w14:textId="77777777">
            <w:pPr>
              <w:pBdr>
                <w:top w:val="nil"/>
                <w:left w:val="nil"/>
                <w:bottom w:val="nil"/>
                <w:right w:val="nil"/>
                <w:between w:val="nil"/>
              </w:pBdr>
              <w:rPr>
                <w:color w:val="000000"/>
              </w:rPr>
            </w:pPr>
          </w:p>
          <w:p w:rsidR="008077E4" w:rsidP="008077E4" w:rsidRDefault="008077E4" w14:paraId="02F071CA" w14:textId="77777777">
            <w:pPr>
              <w:pBdr>
                <w:top w:val="nil"/>
                <w:left w:val="nil"/>
                <w:bottom w:val="nil"/>
                <w:right w:val="nil"/>
                <w:between w:val="nil"/>
              </w:pBdr>
              <w:rPr>
                <w:color w:val="000000"/>
              </w:rPr>
            </w:pPr>
            <w:r>
              <w:rPr>
                <w:color w:val="000000"/>
              </w:rPr>
              <w:t>12. Papildināt noteikumus ar 14.1.3.</w:t>
            </w:r>
          </w:p>
          <w:p w:rsidR="008077E4" w:rsidP="008077E4" w:rsidRDefault="008077E4" w14:paraId="5D4A0C9A" w14:textId="77777777">
            <w:pPr>
              <w:pBdr>
                <w:top w:val="nil"/>
                <w:left w:val="nil"/>
                <w:bottom w:val="nil"/>
                <w:right w:val="nil"/>
                <w:between w:val="nil"/>
              </w:pBdr>
              <w:rPr>
                <w:color w:val="000000"/>
              </w:rPr>
            </w:pPr>
            <w:r>
              <w:rPr>
                <w:color w:val="000000"/>
              </w:rPr>
              <w:t>apakšpunktu šādā redakcijā:</w:t>
            </w:r>
          </w:p>
          <w:p w:rsidR="008077E4" w:rsidP="008077E4" w:rsidRDefault="008077E4" w14:paraId="2270305C" w14:textId="7CD24EF4">
            <w:pPr>
              <w:pBdr>
                <w:top w:val="nil"/>
                <w:left w:val="nil"/>
                <w:bottom w:val="nil"/>
                <w:right w:val="nil"/>
                <w:between w:val="nil"/>
              </w:pBdr>
              <w:rPr>
                <w:color w:val="000000"/>
              </w:rPr>
            </w:pPr>
            <w:r>
              <w:rPr>
                <w:color w:val="000000"/>
              </w:rPr>
              <w:t>"14.1.3. būtiski remontdarbi un pārveidojumi un ar tiem saistītā aprīkojuma uzstādīšana notiek, ievērojot šo noteikumu 14.1.1. un 14.1.2. apakšpunktā minētās prasības;"</w:t>
            </w:r>
          </w:p>
        </w:tc>
        <w:tc>
          <w:tcPr>
            <w:tcW w:w="4410" w:type="dxa"/>
            <w:tcBorders>
              <w:left w:val="single" w:color="000000" w:sz="6" w:space="0"/>
              <w:bottom w:val="single" w:color="000000" w:sz="4" w:space="0"/>
              <w:right w:val="single" w:color="000000" w:sz="6" w:space="0"/>
            </w:tcBorders>
          </w:tcPr>
          <w:p w:rsidR="008077E4" w:rsidP="008077E4" w:rsidRDefault="008077E4" w14:paraId="4149AC37" w14:textId="0EDDE7BE">
            <w:pPr>
              <w:tabs>
                <w:tab w:val="left" w:pos="993"/>
              </w:tabs>
            </w:pPr>
            <w:r>
              <w:lastRenderedPageBreak/>
              <w:t>Apzināmies, ka projekts izstrādāts, lai pārņemtu Eiropas Parlamenta un Padomes 2017. gada 15. novembra Direktīvas (ES) 2017/2108, ar ko groza Direktīvu 2009/45/EK par pasažieru kuģu drošības noteikumiem un standartiem, (turpmāk – Direktīva) prasības, tomēr uzsveram, ka atbilstoši Līguma par Eiropas Savienības darbību 288. pantam dalībvalstīm, pārņemot direktīvas nacionālajos normatīvajos aktos, nepieciešams sasniegt Direktīvas mērķi. Savukārt dalībvalstis pašas var izvēlēties, kā sasniegt attiecīgo direktīvas mērķi un obligāti nav nepieciešams pārņemt Direktīvas tekstu “vārds vārdā”. Turklāt, pārņemot Direktīvu Latvijas normatīvajos aktos, ir svarīgi ievērot normatīvo aktu izstrādes juridiskās tehnikas prasības. Ievērojot minēto, norādām uz šādiem apsvērumiem:</w:t>
            </w:r>
          </w:p>
          <w:p w:rsidR="008077E4" w:rsidP="008077E4" w:rsidRDefault="008077E4" w14:paraId="4260940C" w14:textId="77777777">
            <w:pPr>
              <w:tabs>
                <w:tab w:val="left" w:pos="993"/>
              </w:tabs>
            </w:pPr>
            <w:r>
              <w:t xml:space="preserve">Projekta 5. punktā izteiktajā noteikumu 2.20. apakšpunkta ievaddaļā norādīts, ka </w:t>
            </w:r>
            <w:r>
              <w:rPr>
                <w:u w:val="single"/>
              </w:rPr>
              <w:t>būtiski</w:t>
            </w:r>
            <w:r>
              <w:t xml:space="preserve"> remontdarbi un pārveidojumi ir “jebkura veida kuģa pārbūve par pasažieru kuģi vai jebkura izmaiņa (izņemot, ja tā ir paredzēta vienīgi, lai sasniegtu augstāko ilgizturības standartu), kuras rezultātā </w:t>
            </w:r>
            <w:r>
              <w:rPr>
                <w:u w:val="single"/>
              </w:rPr>
              <w:t>būtiski</w:t>
            </w:r>
            <w:r>
              <w:t>:”.</w:t>
            </w:r>
          </w:p>
          <w:p w:rsidR="008077E4" w:rsidP="008077E4" w:rsidRDefault="008077E4" w14:paraId="0E1C6794" w14:textId="77777777">
            <w:pPr>
              <w:tabs>
                <w:tab w:val="left" w:pos="993"/>
              </w:tabs>
            </w:pPr>
          </w:p>
          <w:p w:rsidR="008077E4" w:rsidP="008077E4" w:rsidRDefault="008077E4" w14:paraId="72BE5CB9" w14:textId="77777777">
            <w:pPr>
              <w:tabs>
                <w:tab w:val="left" w:pos="993"/>
              </w:tabs>
            </w:pPr>
            <w:r>
              <w:t xml:space="preserve">Pirmkārt, norādām, ka no Ministru kabineta 2009. gada 3. februāra noteikumu Nr. 108 “Normatīvo aktu projektu sagatavošanas noteikumi” (turpmāk – </w:t>
            </w:r>
            <w:r>
              <w:lastRenderedPageBreak/>
              <w:t>MKN. 108) 2.2. apakšpunkta izriet, ka projektā izvairās no liekvārdības.</w:t>
            </w:r>
          </w:p>
          <w:p w:rsidR="008077E4" w:rsidP="008077E4" w:rsidRDefault="008077E4" w14:paraId="0BF81BBF" w14:textId="77777777">
            <w:pPr>
              <w:tabs>
                <w:tab w:val="left" w:pos="993"/>
              </w:tabs>
            </w:pPr>
          </w:p>
          <w:p w:rsidR="008077E4" w:rsidP="008077E4" w:rsidRDefault="008077E4" w14:paraId="484D2FA6" w14:textId="77777777">
            <w:pPr>
              <w:tabs>
                <w:tab w:val="left" w:pos="993"/>
              </w:tabs>
            </w:pPr>
            <w:r>
              <w:t xml:space="preserve">Otrkārt, norādām, ka nenorādot konkrētus pārbūves būtiskuma kritērijus praksē dažādi var tikt interpretētas situācijas, kad, piemēram, kuģa izmēru pagarināšana tiek uzskatīta par būtisku, tādējādi pārkāpjot vienlīdzības principu. </w:t>
            </w:r>
          </w:p>
          <w:p w:rsidR="008077E4" w:rsidP="008077E4" w:rsidRDefault="008077E4" w14:paraId="5429D529" w14:textId="77777777">
            <w:pPr>
              <w:tabs>
                <w:tab w:val="left" w:pos="993"/>
              </w:tabs>
            </w:pPr>
          </w:p>
          <w:p w:rsidR="008077E4" w:rsidP="008077E4" w:rsidRDefault="008077E4" w14:paraId="63E36846" w14:textId="77777777">
            <w:pPr>
              <w:tabs>
                <w:tab w:val="left" w:pos="993"/>
              </w:tabs>
            </w:pPr>
            <w:r>
              <w:t>Treškārt, lai nodrošinātu normas skaidru un nepārprotamu izteiksmi, pieturzīmi iekavas nepieciešams aizstāt ar pieturzīmi komats. Norādām, ka iekavās lietotais teksts padara tiesību normu neskaidru un var sašaurināt vai paplašināt normas tvērumu.</w:t>
            </w:r>
          </w:p>
          <w:p w:rsidR="008077E4" w:rsidP="008077E4" w:rsidRDefault="008077E4" w14:paraId="2624323A" w14:textId="77777777">
            <w:pPr>
              <w:tabs>
                <w:tab w:val="left" w:pos="993"/>
              </w:tabs>
            </w:pPr>
          </w:p>
          <w:p w:rsidR="008077E4" w:rsidP="008077E4" w:rsidRDefault="008077E4" w14:paraId="44FBFE81" w14:textId="55A7AB05">
            <w:pPr>
              <w:tabs>
                <w:tab w:val="left" w:pos="993"/>
              </w:tabs>
            </w:pPr>
            <w:r>
              <w:t>Ievērojot minēto, lūdzam precizēt projekta 5. punktu un līdzīgu regulējumu citviet projektā, gan izvairoties no liekvārdības, gan skaidri identificējot būtiskuma kritērijus, tai skaitā arī projekta 7. punktā izteiktajā noteikumu 6.1.9. un 6.2.4. apakšpunktā un projekta 12. punktā izteiktajā noteikumu 14.1.3. apakšpunktā.</w:t>
            </w:r>
          </w:p>
        </w:tc>
        <w:tc>
          <w:tcPr>
            <w:tcW w:w="2610" w:type="dxa"/>
            <w:tcBorders>
              <w:top w:val="single" w:color="000000" w:sz="4" w:space="0"/>
              <w:left w:val="single" w:color="000000" w:sz="4" w:space="0"/>
              <w:bottom w:val="single" w:color="000000" w:sz="4" w:space="0"/>
            </w:tcBorders>
          </w:tcPr>
          <w:p w:rsidRPr="00594EF3" w:rsidR="00594EF3" w:rsidP="00594EF3" w:rsidRDefault="00594EF3" w14:paraId="4A7239DF" w14:textId="77777777">
            <w:pPr>
              <w:pBdr>
                <w:top w:val="nil"/>
                <w:left w:val="nil"/>
                <w:bottom w:val="nil"/>
                <w:right w:val="nil"/>
                <w:between w:val="nil"/>
              </w:pBdr>
              <w:rPr>
                <w:b/>
                <w:color w:val="000000"/>
              </w:rPr>
            </w:pPr>
            <w:r w:rsidRPr="00594EF3">
              <w:rPr>
                <w:b/>
                <w:color w:val="000000"/>
              </w:rPr>
              <w:lastRenderedPageBreak/>
              <w:t>Panākta vienošanās elektroniskajā saskaņošanā</w:t>
            </w:r>
          </w:p>
          <w:p w:rsidR="008077E4" w:rsidP="00594EF3" w:rsidRDefault="008077E4" w14:paraId="36D3B954" w14:textId="5A688527">
            <w:pPr>
              <w:pBdr>
                <w:top w:val="nil"/>
                <w:left w:val="nil"/>
                <w:bottom w:val="nil"/>
                <w:right w:val="nil"/>
                <w:between w:val="nil"/>
              </w:pBdr>
              <w:rPr>
                <w:color w:val="000000"/>
              </w:rPr>
            </w:pPr>
            <w:r>
              <w:rPr>
                <w:color w:val="000000"/>
              </w:rPr>
              <w:t xml:space="preserve">(sk. arī </w:t>
            </w:r>
            <w:r w:rsidR="00331709">
              <w:rPr>
                <w:color w:val="000000"/>
              </w:rPr>
              <w:t>šīs tabulas 1.1. </w:t>
            </w:r>
            <w:r>
              <w:rPr>
                <w:color w:val="000000"/>
              </w:rPr>
              <w:t>apakšpunktu)</w:t>
            </w:r>
          </w:p>
          <w:p w:rsidR="008077E4" w:rsidP="008077E4" w:rsidRDefault="008077E4" w14:paraId="7379A1E8" w14:textId="3401CF50">
            <w:pPr>
              <w:pBdr>
                <w:top w:val="nil"/>
                <w:left w:val="nil"/>
                <w:bottom w:val="nil"/>
                <w:right w:val="nil"/>
                <w:between w:val="nil"/>
              </w:pBdr>
              <w:rPr>
                <w:color w:val="000000"/>
              </w:rPr>
            </w:pPr>
            <w:r>
              <w:rPr>
                <w:color w:val="000000"/>
              </w:rPr>
              <w:t>Konkrētais gadījums, lietojot vārdu "būtiski"</w:t>
            </w:r>
            <w:r w:rsidR="001539BA">
              <w:rPr>
                <w:color w:val="000000"/>
              </w:rPr>
              <w:t>,</w:t>
            </w:r>
            <w:r>
              <w:rPr>
                <w:color w:val="000000"/>
              </w:rPr>
              <w:t xml:space="preserve"> ir dēļ situācijas, kurā nav iespējams precīzi uzskaitīt visus būtiskuma kritērijus vai tos aptveroši nodefinēt, tādēļ būtu jāpieturas tieši pie Direktīvā (ES) 2017/2108 lietotās ģenerālklauzulas "būtiski […]". Par samērā lielu tehnisko nianšu specifiku norāda arī apstāklis, ka Noteikumu Nr. 451 pielikumā tiek lietots vārds "būtiski", un tā izskaidrošana notiek tikai piemērveidīgi.</w:t>
            </w:r>
          </w:p>
          <w:p w:rsidR="008077E4" w:rsidP="008077E4" w:rsidRDefault="008077E4" w14:paraId="1C452BAF" w14:textId="77777777">
            <w:pPr>
              <w:pBdr>
                <w:top w:val="nil"/>
                <w:left w:val="nil"/>
                <w:bottom w:val="nil"/>
                <w:right w:val="nil"/>
                <w:between w:val="nil"/>
              </w:pBdr>
              <w:rPr>
                <w:color w:val="000000"/>
              </w:rPr>
            </w:pPr>
            <w:r>
              <w:rPr>
                <w:color w:val="000000"/>
              </w:rPr>
              <w:t xml:space="preserve">Šāda satura Direktīvas (ES) 2017/2108 pārņemšanai, kura ir mijiedarbībā ar citiem starptautiskajiem jūrniecības normatīvajiem aktiem un standartiem, ir </w:t>
            </w:r>
            <w:r>
              <w:rPr>
                <w:color w:val="000000"/>
              </w:rPr>
              <w:lastRenderedPageBreak/>
              <w:t>lietderīgi izmantot transponēšanas metodi, nevis pārformulēšanas metodi, lai laika gaitā nenonāktu pie sašaurinātām vai paplašinātām normām nacionālajās tiesībās, salīdzinot ar starptautiskajām tiesībām, kā arī lai pieturētos pie jūrniecībā nostiprinājušās terminoloģijas.</w:t>
            </w:r>
          </w:p>
          <w:p w:rsidR="008077E4" w:rsidP="008077E4" w:rsidRDefault="008077E4" w14:paraId="125F86D7" w14:textId="24A9895B">
            <w:pPr>
              <w:pBdr>
                <w:top w:val="nil"/>
                <w:left w:val="nil"/>
                <w:bottom w:val="nil"/>
                <w:right w:val="nil"/>
                <w:between w:val="nil"/>
              </w:pBdr>
              <w:rPr>
                <w:b/>
                <w:color w:val="000000"/>
              </w:rPr>
            </w:pPr>
            <w:r>
              <w:rPr>
                <w:color w:val="000000"/>
              </w:rPr>
              <w:t xml:space="preserve">Vēršam uzmanību, ka atbilstoši mūsu rīcībā esošajai informācijai </w:t>
            </w:r>
            <w:r w:rsidRPr="00594A9F">
              <w:rPr>
                <w:color w:val="000000"/>
              </w:rPr>
              <w:t>Kuģošanas drošības un kuģu izraisītā piesārņojuma novēršanas komiteja</w:t>
            </w:r>
            <w:r>
              <w:rPr>
                <w:color w:val="000000"/>
              </w:rPr>
              <w:t>s</w:t>
            </w:r>
            <w:r w:rsidRPr="00594A9F">
              <w:rPr>
                <w:color w:val="000000"/>
              </w:rPr>
              <w:t xml:space="preserve"> (COSS), kas izveidota ar Regulas (EK) Nr. 2099/2002 3. pantu</w:t>
            </w:r>
            <w:r>
              <w:rPr>
                <w:color w:val="000000"/>
              </w:rPr>
              <w:t xml:space="preserve">, 46. sanāksmes (04.11.2019) darba kārtībā ir jautājums par Regulas projektu, kurš atvieglotu Direktīvas 2009/45/EK (Direktīvas (ES) 2017/2108) tehnisko noteikumu lasāmību, saskaņotu tos ar 1974. </w:t>
            </w:r>
            <w:r>
              <w:rPr>
                <w:color w:val="000000"/>
              </w:rPr>
              <w:lastRenderedPageBreak/>
              <w:t>gada Starptautisko konvenciju par cilvēku dzīvības aizsardzību uz jūras (</w:t>
            </w:r>
            <w:r>
              <w:rPr>
                <w:i/>
                <w:color w:val="000000"/>
              </w:rPr>
              <w:t>SOLAS</w:t>
            </w:r>
            <w:r>
              <w:rPr>
                <w:color w:val="000000"/>
              </w:rPr>
              <w:t> konvencija), ļautu mobilāk ieviest jaunākās izmaiņas un atceltu dalībvalstīm nepieciešamību transponēt izmaiņas direktīvā.</w:t>
            </w:r>
          </w:p>
        </w:tc>
        <w:tc>
          <w:tcPr>
            <w:tcW w:w="3330" w:type="dxa"/>
            <w:tcBorders>
              <w:left w:val="single" w:color="000000" w:sz="6" w:space="0"/>
              <w:bottom w:val="single" w:color="000000" w:sz="4" w:space="0"/>
              <w:right w:val="single" w:color="000000" w:sz="6" w:space="0"/>
            </w:tcBorders>
          </w:tcPr>
          <w:p w:rsidR="008077E4" w:rsidP="008077E4" w:rsidRDefault="00F004DC" w14:paraId="541CB3C2" w14:textId="6DA058C6">
            <w:r>
              <w:lastRenderedPageBreak/>
              <w:t>1.</w:t>
            </w:r>
            <w:r w:rsidR="008077E4">
              <w:t>5. Izteikt 2.20. apakšpunktu šādā redakcijā:</w:t>
            </w:r>
          </w:p>
          <w:p w:rsidR="008077E4" w:rsidP="008077E4" w:rsidRDefault="008077E4" w14:paraId="6C29085E" w14:textId="77777777">
            <w:r>
              <w:t>"2.20. būtiski remontdarbi un pārveidojumi – jebkura veida kuģa pārbūve par pasažieru kuģi vai jebkura izmaiņa</w:t>
            </w:r>
            <w:r>
              <w:rPr>
                <w:b/>
              </w:rPr>
              <w:t xml:space="preserve">, </w:t>
            </w:r>
            <w:r w:rsidRPr="00F004DC">
              <w:rPr>
                <w:bCs/>
              </w:rPr>
              <w:t>izņemot, ja tā ir paredzēta vienīgi, lai sasniegtu augstāku ilgizturības pakāpi,</w:t>
            </w:r>
            <w:r>
              <w:t xml:space="preserve"> kuras rezultātā būtiski:</w:t>
            </w:r>
          </w:p>
          <w:p w:rsidR="008077E4" w:rsidP="008077E4" w:rsidRDefault="008077E4" w14:paraId="7D32F7C1" w14:textId="77777777">
            <w:r>
              <w:t>[…]"</w:t>
            </w:r>
          </w:p>
          <w:p w:rsidR="008077E4" w:rsidP="008077E4" w:rsidRDefault="008077E4" w14:paraId="27579FD3" w14:textId="77777777"/>
          <w:p w:rsidR="008077E4" w:rsidP="008077E4" w:rsidRDefault="00F004DC" w14:paraId="679B2D1A" w14:textId="675707CB">
            <w:r>
              <w:t>1.</w:t>
            </w:r>
            <w:r w:rsidR="008077E4">
              <w:t>8. Izteikt 6. punktu šādā redakcijā:</w:t>
            </w:r>
          </w:p>
          <w:p w:rsidR="008077E4" w:rsidP="008077E4" w:rsidRDefault="008077E4" w14:paraId="471E3B47" w14:textId="77777777">
            <w:r>
              <w:t>"6. Noteikumi neattiecas uz:</w:t>
            </w:r>
          </w:p>
          <w:p w:rsidR="008077E4" w:rsidP="008077E4" w:rsidRDefault="008077E4" w14:paraId="6DD4DDCB" w14:textId="77777777">
            <w:r>
              <w:t>[…]</w:t>
            </w:r>
          </w:p>
          <w:p w:rsidR="008077E4" w:rsidP="008077E4" w:rsidRDefault="008077E4" w14:paraId="1A4DAE22" w14:textId="77777777">
            <w:r>
              <w:t>6.1.9. atkrastes iekārtu apkalpošanas kuģi, ko izmanto, lai pārvadātu un uzņemtu rūpniecības nozares darbiniekus, kuri uz šī kuģa neveic darbu, kam ir būtiska nozīme saistībā ar kuģa darbību;</w:t>
            </w:r>
          </w:p>
          <w:p w:rsidR="008077E4" w:rsidP="008077E4" w:rsidRDefault="008077E4" w14:paraId="311E0BB8" w14:textId="77777777">
            <w:r>
              <w:t>[…]</w:t>
            </w:r>
          </w:p>
          <w:p w:rsidR="008077E4" w:rsidP="008077E4" w:rsidRDefault="008077E4" w14:paraId="68B4629D" w14:textId="77777777">
            <w:r>
              <w:t>6.2.4. atkrastes iekārtu apkalpošanas peldlīdzekļi, ko izmanto, lai pārvadātu un uzņemtu rūpniecības nozares darbiniekus, kuri uz šī peldlīdzekļa neveic darbu, kam ir būtiska nozīme saistībā ar peldlīdzekļa darbību."</w:t>
            </w:r>
          </w:p>
          <w:p w:rsidR="008077E4" w:rsidP="008077E4" w:rsidRDefault="008077E4" w14:paraId="6B3819E4" w14:textId="77777777"/>
          <w:p w:rsidR="008077E4" w:rsidP="008077E4" w:rsidRDefault="00F004DC" w14:paraId="3BFF257C" w14:textId="50A31774">
            <w:r>
              <w:t>1.</w:t>
            </w:r>
            <w:r w:rsidR="008077E4">
              <w:t>12. Papildināt noteikumus ar 14.1.3.</w:t>
            </w:r>
            <w:r>
              <w:t xml:space="preserve"> </w:t>
            </w:r>
            <w:r w:rsidR="008077E4">
              <w:t>apakšpunktu šādā redakcijā:</w:t>
            </w:r>
          </w:p>
          <w:p w:rsidR="008077E4" w:rsidP="008077E4" w:rsidRDefault="008077E4" w14:paraId="75C48FC3" w14:textId="464DD5EC">
            <w:r>
              <w:t>"14.1.3. būtiski remontdarbi un pārveidojumi un ar tiem saistītā aprīkojuma uzstādīšana notiek, ievērojot šo noteikumu 14.1.1. un 14.1.2. apakšpunktā minētās prasības;"</w:t>
            </w:r>
          </w:p>
        </w:tc>
      </w:tr>
      <w:tr w:rsidR="008077E4" w14:paraId="35656BD4" w14:textId="77777777">
        <w:tc>
          <w:tcPr>
            <w:tcW w:w="708" w:type="dxa"/>
            <w:tcBorders>
              <w:left w:val="single" w:color="000000" w:sz="6" w:space="0"/>
              <w:bottom w:val="single" w:color="000000" w:sz="4" w:space="0"/>
              <w:right w:val="single" w:color="000000" w:sz="6" w:space="0"/>
            </w:tcBorders>
          </w:tcPr>
          <w:p w:rsidR="008077E4" w:rsidP="00273F86" w:rsidRDefault="008077E4" w14:paraId="7FA425DB" w14:textId="033718F9">
            <w:pPr>
              <w:pBdr>
                <w:top w:val="nil"/>
                <w:left w:val="nil"/>
                <w:bottom w:val="nil"/>
                <w:right w:val="nil"/>
                <w:between w:val="nil"/>
              </w:pBdr>
              <w:jc w:val="center"/>
              <w:rPr>
                <w:color w:val="000000"/>
              </w:rPr>
            </w:pPr>
            <w:r>
              <w:rPr>
                <w:color w:val="000000"/>
              </w:rPr>
              <w:lastRenderedPageBreak/>
              <w:t>1.</w:t>
            </w:r>
            <w:r w:rsidR="00273F86">
              <w:rPr>
                <w:color w:val="000000"/>
              </w:rPr>
              <w:t>4</w:t>
            </w:r>
            <w:r>
              <w:rPr>
                <w:color w:val="000000"/>
              </w:rPr>
              <w:t>.</w:t>
            </w:r>
          </w:p>
        </w:tc>
        <w:tc>
          <w:tcPr>
            <w:tcW w:w="3090" w:type="dxa"/>
            <w:tcBorders>
              <w:left w:val="single" w:color="000000" w:sz="6" w:space="0"/>
              <w:bottom w:val="single" w:color="000000" w:sz="4" w:space="0"/>
              <w:right w:val="single" w:color="000000" w:sz="6" w:space="0"/>
            </w:tcBorders>
          </w:tcPr>
          <w:p w:rsidR="008077E4" w:rsidP="008077E4" w:rsidRDefault="008077E4" w14:paraId="574D32A6" w14:textId="77777777">
            <w:pPr>
              <w:pBdr>
                <w:top w:val="nil"/>
                <w:left w:val="nil"/>
                <w:bottom w:val="nil"/>
                <w:right w:val="nil"/>
                <w:between w:val="nil"/>
              </w:pBdr>
              <w:rPr>
                <w:color w:val="000000"/>
              </w:rPr>
            </w:pPr>
            <w:r>
              <w:rPr>
                <w:color w:val="000000"/>
              </w:rPr>
              <w:t>6. Papildināt noteikumus ar 2.21., 2.22., 2.23. un 2.24. apakšpunktu šādā redakcijā:</w:t>
            </w:r>
          </w:p>
          <w:p w:rsidR="008077E4" w:rsidP="008077E4" w:rsidRDefault="008077E4" w14:paraId="479D0051" w14:textId="77777777">
            <w:pPr>
              <w:pBdr>
                <w:top w:val="nil"/>
                <w:left w:val="nil"/>
                <w:bottom w:val="nil"/>
                <w:right w:val="nil"/>
                <w:between w:val="nil"/>
              </w:pBdr>
              <w:rPr>
                <w:color w:val="000000"/>
              </w:rPr>
            </w:pPr>
            <w:r>
              <w:rPr>
                <w:color w:val="000000"/>
              </w:rPr>
              <w:t>"[…]</w:t>
            </w:r>
          </w:p>
          <w:p w:rsidR="008077E4" w:rsidP="008077E4" w:rsidRDefault="008077E4" w14:paraId="6D22007C" w14:textId="77777777">
            <w:pPr>
              <w:pBdr>
                <w:top w:val="nil"/>
                <w:left w:val="nil"/>
                <w:bottom w:val="nil"/>
                <w:right w:val="nil"/>
                <w:between w:val="nil"/>
              </w:pBdr>
              <w:rPr>
                <w:color w:val="000000"/>
              </w:rPr>
            </w:pPr>
            <w:r>
              <w:rPr>
                <w:color w:val="000000"/>
              </w:rPr>
              <w:t xml:space="preserve">2.23. uzliesmošanas standarttests – tests, kura laikā attiecīgo starpsienu vai klāju paraugus testēšanas krāsnī pakļauj temperatūrām, kas aptuveni atbilst standarta laika-temperatūras līknei, saskaņā ar </w:t>
            </w:r>
            <w:r>
              <w:rPr>
                <w:i/>
                <w:color w:val="000000"/>
              </w:rPr>
              <w:t>IMO</w:t>
            </w:r>
            <w:r>
              <w:rPr>
                <w:color w:val="000000"/>
              </w:rPr>
              <w:t xml:space="preserve"> 2010. gada 3. decembra Rezolūcijā MSC 307(88) ietverto Starptautisko kodeksu par ugunsdrošības testu metožu piemērošanu (FTP kodekss);</w:t>
            </w:r>
          </w:p>
          <w:p w:rsidR="008077E4" w:rsidP="008077E4" w:rsidRDefault="008077E4" w14:paraId="4C7985D0" w14:textId="77777777">
            <w:pPr>
              <w:pBdr>
                <w:top w:val="nil"/>
                <w:left w:val="nil"/>
                <w:bottom w:val="nil"/>
                <w:right w:val="nil"/>
                <w:between w:val="nil"/>
              </w:pBdr>
              <w:rPr>
                <w:color w:val="000000"/>
              </w:rPr>
            </w:pPr>
            <w:r>
              <w:rPr>
                <w:color w:val="000000"/>
              </w:rPr>
              <w:t xml:space="preserve">2.24. Kodekss par nebojāta kuģa noturību – </w:t>
            </w:r>
            <w:r>
              <w:rPr>
                <w:i/>
                <w:color w:val="000000"/>
              </w:rPr>
              <w:t>IMO</w:t>
            </w:r>
            <w:r>
              <w:rPr>
                <w:color w:val="000000"/>
              </w:rPr>
              <w:t xml:space="preserve"> 1993. gada 4. novembra Rezolūcijā A.749(18) ietvertais "Kodekss par </w:t>
            </w:r>
            <w:r>
              <w:rPr>
                <w:color w:val="000000"/>
              </w:rPr>
              <w:lastRenderedPageBreak/>
              <w:t xml:space="preserve">nebojāta kuģa noturību visu veidu kuģiem, uz kuriem attiecas </w:t>
            </w:r>
            <w:r>
              <w:rPr>
                <w:i/>
                <w:color w:val="000000"/>
              </w:rPr>
              <w:t>IMO</w:t>
            </w:r>
            <w:r>
              <w:rPr>
                <w:color w:val="000000"/>
              </w:rPr>
              <w:t xml:space="preserve"> tiesību instrumenti" vai </w:t>
            </w:r>
            <w:r>
              <w:rPr>
                <w:i/>
                <w:color w:val="000000"/>
              </w:rPr>
              <w:t>IMO</w:t>
            </w:r>
            <w:r>
              <w:rPr>
                <w:color w:val="000000"/>
              </w:rPr>
              <w:t xml:space="preserve"> 2008. gada 4. decembra Rezolūcijā MSC.267(85) ietvertais "2008. gada Starptautiskais kodekss par nebojāta kuģa noturību"."</w:t>
            </w:r>
          </w:p>
          <w:p w:rsidR="008077E4" w:rsidP="008077E4" w:rsidRDefault="008077E4" w14:paraId="6D0F64A3" w14:textId="77777777">
            <w:pPr>
              <w:pBdr>
                <w:top w:val="nil"/>
                <w:left w:val="nil"/>
                <w:bottom w:val="nil"/>
                <w:right w:val="nil"/>
                <w:between w:val="nil"/>
              </w:pBdr>
              <w:rPr>
                <w:color w:val="000000"/>
              </w:rPr>
            </w:pPr>
          </w:p>
          <w:p w:rsidR="008077E4" w:rsidP="008077E4" w:rsidRDefault="008077E4" w14:paraId="0294A686" w14:textId="77777777">
            <w:pPr>
              <w:pBdr>
                <w:top w:val="nil"/>
                <w:left w:val="nil"/>
                <w:bottom w:val="nil"/>
                <w:right w:val="nil"/>
                <w:between w:val="nil"/>
              </w:pBdr>
              <w:rPr>
                <w:color w:val="000000"/>
              </w:rPr>
            </w:pPr>
            <w:r>
              <w:rPr>
                <w:color w:val="000000"/>
              </w:rPr>
              <w:t>8. Izteikt 6. punktu šādā redakcijā:</w:t>
            </w:r>
          </w:p>
          <w:p w:rsidR="008077E4" w:rsidP="008077E4" w:rsidRDefault="008077E4" w14:paraId="1BC505F9" w14:textId="77777777">
            <w:pPr>
              <w:pBdr>
                <w:top w:val="nil"/>
                <w:left w:val="nil"/>
                <w:bottom w:val="nil"/>
                <w:right w:val="nil"/>
                <w:between w:val="nil"/>
              </w:pBdr>
              <w:rPr>
                <w:color w:val="000000"/>
              </w:rPr>
            </w:pPr>
            <w:r>
              <w:rPr>
                <w:color w:val="000000"/>
              </w:rPr>
              <w:t>"[…]</w:t>
            </w:r>
          </w:p>
          <w:p w:rsidR="008077E4" w:rsidP="008077E4" w:rsidRDefault="008077E4" w14:paraId="7082EA23" w14:textId="77777777">
            <w:pPr>
              <w:pBdr>
                <w:top w:val="nil"/>
                <w:left w:val="nil"/>
                <w:bottom w:val="nil"/>
                <w:right w:val="nil"/>
                <w:between w:val="nil"/>
              </w:pBdr>
              <w:rPr>
                <w:color w:val="000000"/>
              </w:rPr>
            </w:pPr>
            <w:r>
              <w:rPr>
                <w:color w:val="000000"/>
              </w:rPr>
              <w:t>6.1.4. kuģi, kuri nav būvēti no tērauda vai līdzvērtīga materiāla un uz kuriem neattiecas ātrgaitas pasažieru kuģiem noteiktās prasības (1994. gada Ātrgaitas kuģu kodekss vai 2000. gada Ātrgaitas kuģu kodekss) vai prasības, kas noteiktas kuģiem ar dinamisko cēlējspēku (</w:t>
            </w:r>
            <w:r>
              <w:rPr>
                <w:i/>
                <w:color w:val="000000"/>
              </w:rPr>
              <w:t>IMO</w:t>
            </w:r>
            <w:r>
              <w:rPr>
                <w:color w:val="000000"/>
              </w:rPr>
              <w:t> 1977. gada 14. novembra Rezolūcija A.373 (X));</w:t>
            </w:r>
          </w:p>
          <w:p w:rsidR="008077E4" w:rsidP="008077E4" w:rsidRDefault="008077E4" w14:paraId="695D38E6" w14:textId="77777777">
            <w:pPr>
              <w:pBdr>
                <w:top w:val="nil"/>
                <w:left w:val="nil"/>
                <w:bottom w:val="nil"/>
                <w:right w:val="nil"/>
                <w:between w:val="nil"/>
              </w:pBdr>
              <w:rPr>
                <w:color w:val="000000"/>
              </w:rPr>
            </w:pPr>
            <w:r>
              <w:rPr>
                <w:color w:val="000000"/>
              </w:rPr>
              <w:t>[…]"</w:t>
            </w:r>
          </w:p>
        </w:tc>
        <w:tc>
          <w:tcPr>
            <w:tcW w:w="4410" w:type="dxa"/>
            <w:tcBorders>
              <w:left w:val="single" w:color="000000" w:sz="6" w:space="0"/>
              <w:bottom w:val="single" w:color="000000" w:sz="4" w:space="0"/>
              <w:right w:val="single" w:color="000000" w:sz="6" w:space="0"/>
            </w:tcBorders>
          </w:tcPr>
          <w:p w:rsidR="008077E4" w:rsidP="008077E4" w:rsidRDefault="008077E4" w14:paraId="385CB6E2" w14:textId="77777777">
            <w:pPr>
              <w:tabs>
                <w:tab w:val="left" w:pos="993"/>
              </w:tabs>
            </w:pPr>
            <w:r>
              <w:lastRenderedPageBreak/>
              <w:t>Projektā daudzviet, piemēram, projekta 6. un 7. punktā, norādītas atsauces uz starptautiskiem jūrniecības dokumentiem, kuru juridiski saistošais spēks nav viennozīmīgi skaidrs. Uzsveram, ka atbilstoši Latvijas Republikas Satversmes 4. un 90. pantam normatīvā akta tekstam jābūt brīvi pieejamam latviešu valodā, lai tas būtu saistošs privātpersonām. Ievērojot minēto, lūdzam sniegt izvērstu skaidrojumu, kā tiek nodrošināta projekta atbilstība Latvijas Republikas Satversmes 4. un 90. panta prasībām, nepieciešamības gadījumā veicot attiecīgas darbības.</w:t>
            </w:r>
          </w:p>
          <w:p w:rsidR="008077E4" w:rsidP="008077E4" w:rsidRDefault="008077E4" w14:paraId="57E0C215" w14:textId="77777777">
            <w:pPr>
              <w:tabs>
                <w:tab w:val="left" w:pos="993"/>
              </w:tabs>
            </w:pPr>
          </w:p>
          <w:p w:rsidR="008077E4" w:rsidP="008077E4" w:rsidRDefault="008077E4" w14:paraId="6482927E" w14:textId="77777777">
            <w:pPr>
              <w:tabs>
                <w:tab w:val="left" w:pos="993"/>
              </w:tabs>
            </w:pPr>
          </w:p>
          <w:p w:rsidR="008077E4" w:rsidP="008077E4" w:rsidRDefault="008077E4" w14:paraId="003AD713" w14:textId="77777777">
            <w:pPr>
              <w:tabs>
                <w:tab w:val="left" w:pos="993"/>
              </w:tabs>
            </w:pPr>
          </w:p>
        </w:tc>
        <w:tc>
          <w:tcPr>
            <w:tcW w:w="2610" w:type="dxa"/>
            <w:tcBorders>
              <w:left w:val="single" w:color="000000" w:sz="6" w:space="0"/>
              <w:bottom w:val="single" w:color="000000" w:sz="4" w:space="0"/>
              <w:right w:val="single" w:color="000000" w:sz="6" w:space="0"/>
            </w:tcBorders>
          </w:tcPr>
          <w:p w:rsidR="008077E4" w:rsidP="008077E4" w:rsidRDefault="008077E4" w14:paraId="6C59AB92" w14:textId="77777777">
            <w:pPr>
              <w:rPr>
                <w:b/>
              </w:rPr>
            </w:pPr>
            <w:r>
              <w:rPr>
                <w:b/>
              </w:rPr>
              <w:t>Ņemts vērā</w:t>
            </w:r>
          </w:p>
          <w:p w:rsidR="008077E4" w:rsidP="008077E4" w:rsidRDefault="008077E4" w14:paraId="4717FEAB" w14:textId="77777777">
            <w:r>
              <w:t>Šobrīd latviešu valodā</w:t>
            </w:r>
          </w:p>
          <w:p w:rsidR="008077E4" w:rsidP="008077E4" w:rsidRDefault="008077E4" w14:paraId="7E91CD4B" w14:textId="5558564A">
            <w:r>
              <w:t>brīvi pieejami ir šādi Noteikumos Nr. 451 minētie starptautiskie jūrniecības dokumenti:</w:t>
            </w:r>
          </w:p>
          <w:p w:rsidR="008077E4" w:rsidP="008077E4" w:rsidRDefault="008077E4" w14:paraId="3A7DBB05" w14:textId="77777777">
            <w:pPr>
              <w:rPr>
                <w:i/>
              </w:rPr>
            </w:pPr>
            <w:r>
              <w:t>[1] Starptautiskais ugunsdrošības sistēmu kodekss (</w:t>
            </w:r>
            <w:r>
              <w:rPr>
                <w:i/>
              </w:rPr>
              <w:t>IMO 2000. gada 5. decembra Rezolūcija MSC.98(73)):</w:t>
            </w:r>
          </w:p>
          <w:p w:rsidR="008077E4" w:rsidP="008077E4" w:rsidRDefault="00F0599D" w14:paraId="047C8390" w14:textId="77777777">
            <w:hyperlink r:id="rId7">
              <w:r w:rsidR="008077E4">
                <w:rPr>
                  <w:i/>
                  <w:color w:val="0563C1"/>
                  <w:u w:val="single"/>
                </w:rPr>
                <w:t>https://vvc.gov.lv/index.php?route=product/search&amp;search=Fire%20SAfety%20systems&amp;category_id=60&amp;sub_category=true&amp;description=true</w:t>
              </w:r>
            </w:hyperlink>
            <w:r w:rsidR="008077E4">
              <w:rPr>
                <w:i/>
              </w:rPr>
              <w:t xml:space="preserve"> </w:t>
            </w:r>
          </w:p>
          <w:p w:rsidR="008077E4" w:rsidP="008077E4" w:rsidRDefault="008077E4" w14:paraId="37CFEF80" w14:textId="77777777">
            <w:r>
              <w:t xml:space="preserve">[2] Starptautiskais kodekss par ugunsdrošības testu metožu piemērošanu </w:t>
            </w:r>
            <w:r>
              <w:rPr>
                <w:i/>
              </w:rPr>
              <w:lastRenderedPageBreak/>
              <w:t>(IMO 1996. gada 5. decembra Rezolūcija MSC.61(67))</w:t>
            </w:r>
            <w:r>
              <w:t xml:space="preserve">: </w:t>
            </w:r>
            <w:hyperlink r:id="rId8">
              <w:r>
                <w:rPr>
                  <w:color w:val="0563C1"/>
                  <w:u w:val="single"/>
                </w:rPr>
                <w:t>https://vvc.gov.lv/index.php?route=product/search&amp;search=fire%20test%20proced&amp;category_id=60&amp;sub_category=true&amp;description=true</w:t>
              </w:r>
            </w:hyperlink>
            <w:r>
              <w:t>.</w:t>
            </w:r>
          </w:p>
          <w:p w:rsidR="008077E4" w:rsidP="008077E4" w:rsidRDefault="008077E4" w14:paraId="3F23C037" w14:textId="77777777">
            <w:pPr>
              <w:rPr>
                <w:b/>
              </w:rPr>
            </w:pPr>
          </w:p>
          <w:p w:rsidR="008077E4" w:rsidP="008077E4" w:rsidRDefault="008077E4" w14:paraId="5991D918" w14:textId="72DD2033">
            <w:r>
              <w:t>Projektā minētos starptautiskos jūrniecības dokumentus plānots pieteikt tulkošanai Valsts valodas centram 2020. gadā. Vienlaikus vēršam uzmanību uz citiem būtiskiem aspektiem šajā s</w:t>
            </w:r>
            <w:r w:rsidR="0034158C">
              <w:t>a</w:t>
            </w:r>
            <w:r>
              <w:t>karā, no kuriem katrs savā veidā var atstāt ietekmi uz dokumentu iztulkošanu un būtu ņemams vērā Tieslietu ministrijas iebilduma sakarā:</w:t>
            </w:r>
          </w:p>
          <w:p w:rsidR="008077E4" w:rsidP="008077E4" w:rsidRDefault="008077E4" w14:paraId="4B4242C3" w14:textId="77777777">
            <w:r>
              <w:t>[1] liels tulkojamo dokumentu apjoms un ekspertu noslodze;</w:t>
            </w:r>
          </w:p>
          <w:p w:rsidR="008077E4" w:rsidP="008077E4" w:rsidRDefault="008077E4" w14:paraId="480812E6" w14:textId="67F357E9">
            <w:r w:rsidRPr="001539BA">
              <w:t xml:space="preserve">[2] </w:t>
            </w:r>
            <w:r w:rsidRPr="001539BA" w:rsidR="00331709">
              <w:t xml:space="preserve">Šīs </w:t>
            </w:r>
            <w:r w:rsidRPr="001539BA">
              <w:t>tabulas 1.</w:t>
            </w:r>
            <w:r w:rsidRPr="001539BA" w:rsidR="00331709">
              <w:t>3. </w:t>
            </w:r>
            <w:r w:rsidRPr="001539BA">
              <w:t>apakšpunktā</w:t>
            </w:r>
            <w:r>
              <w:t xml:space="preserve"> minētais Regulas </w:t>
            </w:r>
            <w:r>
              <w:lastRenderedPageBreak/>
              <w:t>projekts, kurš aizstās Direktīvas 2009/45/EK I-III pielikumu;</w:t>
            </w:r>
          </w:p>
          <w:p w:rsidR="008077E4" w:rsidP="008077E4" w:rsidRDefault="008077E4" w14:paraId="78C9D625" w14:textId="77777777">
            <w:r>
              <w:t>[3] Latvijā pašlaik nav kuģu, kam Noteikumi Nr.451 būtu piemērojami.</w:t>
            </w:r>
            <w:r>
              <w:rPr>
                <w:shd w:val="clear" w:color="auto" w:fill="FF9900"/>
              </w:rPr>
              <w:t xml:space="preserve"> </w:t>
            </w:r>
          </w:p>
        </w:tc>
        <w:tc>
          <w:tcPr>
            <w:tcW w:w="3330" w:type="dxa"/>
            <w:tcBorders>
              <w:top w:val="single" w:color="000000" w:sz="4" w:space="0"/>
              <w:left w:val="single" w:color="000000" w:sz="4" w:space="0"/>
              <w:bottom w:val="single" w:color="000000" w:sz="4" w:space="0"/>
            </w:tcBorders>
          </w:tcPr>
          <w:p w:rsidR="008077E4" w:rsidP="008077E4" w:rsidRDefault="008077E4" w14:paraId="72294C6A" w14:textId="77777777">
            <w:r>
              <w:lastRenderedPageBreak/>
              <w:t>Viss projekts</w:t>
            </w:r>
          </w:p>
        </w:tc>
      </w:tr>
      <w:tr w:rsidR="008077E4" w14:paraId="50884172" w14:textId="77777777">
        <w:tc>
          <w:tcPr>
            <w:tcW w:w="708" w:type="dxa"/>
            <w:tcBorders>
              <w:left w:val="single" w:color="000000" w:sz="6" w:space="0"/>
              <w:bottom w:val="single" w:color="000000" w:sz="4" w:space="0"/>
              <w:right w:val="single" w:color="000000" w:sz="6" w:space="0"/>
            </w:tcBorders>
          </w:tcPr>
          <w:p w:rsidR="008077E4" w:rsidP="00273F86" w:rsidRDefault="008077E4" w14:paraId="0EE67E75" w14:textId="017D2BE3">
            <w:pPr>
              <w:pBdr>
                <w:top w:val="nil"/>
                <w:left w:val="nil"/>
                <w:bottom w:val="nil"/>
                <w:right w:val="nil"/>
                <w:between w:val="nil"/>
              </w:pBdr>
              <w:jc w:val="center"/>
              <w:rPr>
                <w:color w:val="000000"/>
              </w:rPr>
            </w:pPr>
            <w:r>
              <w:rPr>
                <w:color w:val="000000"/>
              </w:rPr>
              <w:lastRenderedPageBreak/>
              <w:t>1.</w:t>
            </w:r>
            <w:r w:rsidR="00273F86">
              <w:rPr>
                <w:color w:val="000000"/>
              </w:rPr>
              <w:t>5</w:t>
            </w:r>
            <w:r>
              <w:rPr>
                <w:color w:val="000000"/>
              </w:rPr>
              <w:t>.</w:t>
            </w:r>
          </w:p>
        </w:tc>
        <w:tc>
          <w:tcPr>
            <w:tcW w:w="3090" w:type="dxa"/>
            <w:tcBorders>
              <w:left w:val="single" w:color="000000" w:sz="6" w:space="0"/>
              <w:bottom w:val="single" w:color="000000" w:sz="4" w:space="0"/>
              <w:right w:val="single" w:color="000000" w:sz="6" w:space="0"/>
            </w:tcBorders>
          </w:tcPr>
          <w:p w:rsidR="008077E4" w:rsidP="008077E4" w:rsidRDefault="008077E4" w14:paraId="3B8E0B32" w14:textId="77777777">
            <w:pPr>
              <w:pBdr>
                <w:top w:val="nil"/>
                <w:left w:val="nil"/>
                <w:bottom w:val="nil"/>
                <w:right w:val="nil"/>
                <w:between w:val="nil"/>
              </w:pBdr>
              <w:rPr>
                <w:color w:val="000000"/>
              </w:rPr>
            </w:pPr>
            <w:r>
              <w:rPr>
                <w:color w:val="000000"/>
              </w:rPr>
              <w:t>6. Papildināt noteikumus ar 2.21., 2.22., 2.23. un 2.24. apakšpunktu šādā redakcijā:</w:t>
            </w:r>
          </w:p>
          <w:p w:rsidR="008077E4" w:rsidP="008077E4" w:rsidRDefault="008077E4" w14:paraId="53505BF3" w14:textId="77777777">
            <w:pPr>
              <w:pBdr>
                <w:top w:val="nil"/>
                <w:left w:val="nil"/>
                <w:bottom w:val="nil"/>
                <w:right w:val="nil"/>
                <w:between w:val="nil"/>
              </w:pBdr>
              <w:rPr>
                <w:color w:val="000000"/>
              </w:rPr>
            </w:pPr>
            <w:r>
              <w:rPr>
                <w:color w:val="000000"/>
              </w:rPr>
              <w:t>"[…]</w:t>
            </w:r>
          </w:p>
          <w:p w:rsidR="008077E4" w:rsidP="008077E4" w:rsidRDefault="008077E4" w14:paraId="4CE44A80" w14:textId="77777777">
            <w:pPr>
              <w:pBdr>
                <w:top w:val="nil"/>
                <w:left w:val="nil"/>
                <w:bottom w:val="nil"/>
                <w:right w:val="nil"/>
                <w:between w:val="nil"/>
              </w:pBdr>
              <w:rPr>
                <w:color w:val="000000"/>
              </w:rPr>
            </w:pPr>
            <w:r>
              <w:rPr>
                <w:color w:val="000000"/>
              </w:rPr>
              <w:t xml:space="preserve">2.23. uzliesmošanas standarttests – tests, kura laikā attiecīgo starpsienu vai klāju paraugus testēšanas krāsnī pakļauj temperatūrām, kas aptuveni atbilst standarta laika-temperatūras līknei, saskaņā ar </w:t>
            </w:r>
            <w:r>
              <w:rPr>
                <w:i/>
                <w:color w:val="000000"/>
              </w:rPr>
              <w:t>IMO</w:t>
            </w:r>
            <w:r>
              <w:rPr>
                <w:color w:val="000000"/>
              </w:rPr>
              <w:t xml:space="preserve"> 2010. gada 3. decembra Rezolūcijā MSC 307(88) ietverto Starptautisko kodeksu par ugunsdrošības testu metožu piemērošanu (FTP kodekss);</w:t>
            </w:r>
          </w:p>
          <w:p w:rsidR="008077E4" w:rsidP="008077E4" w:rsidRDefault="008077E4" w14:paraId="6D0AE671" w14:textId="77777777">
            <w:pPr>
              <w:pBdr>
                <w:top w:val="nil"/>
                <w:left w:val="nil"/>
                <w:bottom w:val="nil"/>
                <w:right w:val="nil"/>
                <w:between w:val="nil"/>
              </w:pBdr>
              <w:rPr>
                <w:color w:val="000000"/>
              </w:rPr>
            </w:pPr>
            <w:r>
              <w:rPr>
                <w:color w:val="000000"/>
              </w:rPr>
              <w:t>[…]"</w:t>
            </w:r>
          </w:p>
        </w:tc>
        <w:tc>
          <w:tcPr>
            <w:tcW w:w="4410" w:type="dxa"/>
            <w:tcBorders>
              <w:left w:val="single" w:color="000000" w:sz="6" w:space="0"/>
              <w:bottom w:val="single" w:color="000000" w:sz="4" w:space="0"/>
              <w:right w:val="single" w:color="000000" w:sz="6" w:space="0"/>
            </w:tcBorders>
          </w:tcPr>
          <w:p w:rsidR="008077E4" w:rsidP="008077E4" w:rsidRDefault="008077E4" w14:paraId="56376400" w14:textId="77777777">
            <w:pPr>
              <w:tabs>
                <w:tab w:val="left" w:pos="993"/>
              </w:tabs>
            </w:pPr>
            <w:r>
              <w:t xml:space="preserve">Projekta 6. punktā izteiktajā noteikumu 2.23. apakšpunktā norādīts, ka temperatūrām testēšanas krāsnī </w:t>
            </w:r>
            <w:r>
              <w:rPr>
                <w:u w:val="single"/>
              </w:rPr>
              <w:t>aptuveni</w:t>
            </w:r>
            <w:r>
              <w:t xml:space="preserve"> jāatbilst standarta laika temperatūras līknei. Vēršam uzmanību, kā vārds “aptuveni” ir subjektīvs. Attiecīgi lūdzam precizēt minēto normu, norādot pieļaujamās temperatūras robežas.</w:t>
            </w:r>
          </w:p>
        </w:tc>
        <w:tc>
          <w:tcPr>
            <w:tcW w:w="2610" w:type="dxa"/>
            <w:tcBorders>
              <w:left w:val="single" w:color="000000" w:sz="6" w:space="0"/>
              <w:bottom w:val="single" w:color="000000" w:sz="4" w:space="0"/>
              <w:right w:val="single" w:color="000000" w:sz="6" w:space="0"/>
            </w:tcBorders>
          </w:tcPr>
          <w:p w:rsidR="008077E4" w:rsidP="008077E4" w:rsidRDefault="008077E4" w14:paraId="26044405" w14:textId="77777777">
            <w:pPr>
              <w:pBdr>
                <w:top w:val="nil"/>
                <w:left w:val="nil"/>
                <w:bottom w:val="nil"/>
                <w:right w:val="nil"/>
                <w:between w:val="nil"/>
              </w:pBdr>
              <w:rPr>
                <w:b/>
                <w:color w:val="000000"/>
              </w:rPr>
            </w:pPr>
            <w:r>
              <w:rPr>
                <w:b/>
                <w:color w:val="000000"/>
              </w:rPr>
              <w:t>Ņemts vērā</w:t>
            </w:r>
          </w:p>
        </w:tc>
        <w:tc>
          <w:tcPr>
            <w:tcW w:w="3330" w:type="dxa"/>
            <w:tcBorders>
              <w:top w:val="single" w:color="000000" w:sz="4" w:space="0"/>
              <w:left w:val="single" w:color="000000" w:sz="4" w:space="0"/>
              <w:bottom w:val="single" w:color="000000" w:sz="4" w:space="0"/>
            </w:tcBorders>
          </w:tcPr>
          <w:p w:rsidRPr="004477C4" w:rsidR="008077E4" w:rsidP="008077E4" w:rsidRDefault="00F004DC" w14:paraId="0CB23C80" w14:textId="61E1D3E7">
            <w:pPr>
              <w:rPr>
                <w:bCs/>
              </w:rPr>
            </w:pPr>
            <w:r>
              <w:t>1.</w:t>
            </w:r>
            <w:r w:rsidR="008077E4">
              <w:t xml:space="preserve">6. Papildināt noteikumus ar </w:t>
            </w:r>
            <w:r w:rsidRPr="004477C4" w:rsidR="008077E4">
              <w:rPr>
                <w:bCs/>
              </w:rPr>
              <w:t>2.21., 2.22. un 2.23. apakšpunktu šādā redakcijā:</w:t>
            </w:r>
          </w:p>
          <w:p w:rsidRPr="00F004DC" w:rsidR="008077E4" w:rsidP="008077E4" w:rsidRDefault="008077E4" w14:paraId="2CC7B552" w14:textId="77777777">
            <w:pPr>
              <w:rPr>
                <w:bCs/>
              </w:rPr>
            </w:pPr>
            <w:r w:rsidRPr="00F004DC">
              <w:rPr>
                <w:bCs/>
              </w:rPr>
              <w:t>"[…]</w:t>
            </w:r>
          </w:p>
          <w:p w:rsidR="008077E4" w:rsidP="008077E4" w:rsidRDefault="008077E4" w14:paraId="0483D4D2" w14:textId="77777777">
            <w:r w:rsidRPr="00F004DC">
              <w:rPr>
                <w:bCs/>
              </w:rPr>
              <w:t xml:space="preserve">2.23. uzliesmošanas standarttests – </w:t>
            </w:r>
            <w:r w:rsidRPr="004477C4">
              <w:rPr>
                <w:bCs/>
                <w:i/>
              </w:rPr>
              <w:t>IMO</w:t>
            </w:r>
            <w:r w:rsidRPr="004477C4">
              <w:rPr>
                <w:bCs/>
              </w:rPr>
              <w:t xml:space="preserve"> 2010. gada 3. decembra Rezolūcijā MSC 307(88) ietvertajā Starptautiskajā kodeksā par ugunsdrošības testu metožu piemērošanu (FTP kodekss) noteiktais uzliesmošanas standarttests."</w:t>
            </w:r>
          </w:p>
        </w:tc>
      </w:tr>
      <w:tr w:rsidR="008077E4" w14:paraId="43B54EDB" w14:textId="77777777">
        <w:tc>
          <w:tcPr>
            <w:tcW w:w="708" w:type="dxa"/>
            <w:tcBorders>
              <w:left w:val="single" w:color="000000" w:sz="6" w:space="0"/>
              <w:bottom w:val="single" w:color="000000" w:sz="4" w:space="0"/>
              <w:right w:val="single" w:color="000000" w:sz="6" w:space="0"/>
            </w:tcBorders>
          </w:tcPr>
          <w:p w:rsidR="008077E4" w:rsidP="008077E4" w:rsidRDefault="008077E4" w14:paraId="1643A55B" w14:textId="77777777">
            <w:pPr>
              <w:pBdr>
                <w:top w:val="nil"/>
                <w:left w:val="nil"/>
                <w:bottom w:val="nil"/>
                <w:right w:val="nil"/>
                <w:between w:val="nil"/>
              </w:pBdr>
              <w:jc w:val="center"/>
              <w:rPr>
                <w:color w:val="000000"/>
              </w:rPr>
            </w:pPr>
            <w:r>
              <w:rPr>
                <w:color w:val="000000"/>
              </w:rPr>
              <w:t>2.</w:t>
            </w:r>
          </w:p>
        </w:tc>
        <w:tc>
          <w:tcPr>
            <w:tcW w:w="3090" w:type="dxa"/>
            <w:tcBorders>
              <w:left w:val="single" w:color="000000" w:sz="6" w:space="0"/>
              <w:bottom w:val="single" w:color="000000" w:sz="4" w:space="0"/>
              <w:right w:val="single" w:color="000000" w:sz="6" w:space="0"/>
            </w:tcBorders>
          </w:tcPr>
          <w:p w:rsidR="008077E4" w:rsidP="008077E4" w:rsidRDefault="008077E4" w14:paraId="3C2B5FF6" w14:textId="77777777">
            <w:pPr>
              <w:pBdr>
                <w:top w:val="nil"/>
                <w:left w:val="nil"/>
                <w:bottom w:val="nil"/>
                <w:right w:val="nil"/>
                <w:between w:val="nil"/>
              </w:pBdr>
              <w:spacing w:before="75" w:after="75"/>
              <w:rPr>
                <w:color w:val="000000"/>
              </w:rPr>
            </w:pPr>
            <w:r>
              <w:rPr>
                <w:color w:val="000000"/>
              </w:rPr>
              <w:t>6. Papildināt noteikumus ar 2.21., 2.22., 2.23. un 2.24. apakšpunktu šādā redakcijā:</w:t>
            </w:r>
          </w:p>
          <w:p w:rsidR="008077E4" w:rsidP="008077E4" w:rsidRDefault="008077E4" w14:paraId="670D3A47" w14:textId="77777777">
            <w:pPr>
              <w:pBdr>
                <w:top w:val="nil"/>
                <w:left w:val="nil"/>
                <w:bottom w:val="nil"/>
                <w:right w:val="nil"/>
                <w:between w:val="nil"/>
              </w:pBdr>
              <w:spacing w:before="75" w:after="75"/>
              <w:rPr>
                <w:color w:val="000000"/>
              </w:rPr>
            </w:pPr>
            <w:r>
              <w:rPr>
                <w:color w:val="000000"/>
              </w:rPr>
              <w:t>"[…]</w:t>
            </w:r>
          </w:p>
          <w:p w:rsidR="008077E4" w:rsidP="008077E4" w:rsidRDefault="008077E4" w14:paraId="0181B4CD" w14:textId="77777777">
            <w:pPr>
              <w:pBdr>
                <w:top w:val="nil"/>
                <w:left w:val="nil"/>
                <w:bottom w:val="nil"/>
                <w:right w:val="nil"/>
                <w:between w:val="nil"/>
              </w:pBdr>
              <w:spacing w:before="75" w:after="75"/>
              <w:rPr>
                <w:color w:val="000000"/>
              </w:rPr>
            </w:pPr>
            <w:r>
              <w:rPr>
                <w:color w:val="000000"/>
              </w:rPr>
              <w:t xml:space="preserve">2.24. Kodekss par nebojāta kuģa noturību – </w:t>
            </w:r>
            <w:r>
              <w:rPr>
                <w:i/>
                <w:color w:val="000000"/>
              </w:rPr>
              <w:t>IMO</w:t>
            </w:r>
            <w:r>
              <w:rPr>
                <w:color w:val="000000"/>
              </w:rPr>
              <w:t xml:space="preserve"> 1993. gada 4. novembra </w:t>
            </w:r>
            <w:r>
              <w:rPr>
                <w:color w:val="000000"/>
              </w:rPr>
              <w:lastRenderedPageBreak/>
              <w:t xml:space="preserve">Rezolūcijā A.749(18) ietvertais "Kodekss par nebojāta kuģa noturību visu veidu kuģiem, uz kuriem attiecas </w:t>
            </w:r>
            <w:r>
              <w:rPr>
                <w:i/>
                <w:color w:val="000000"/>
              </w:rPr>
              <w:t>IMO</w:t>
            </w:r>
            <w:r>
              <w:rPr>
                <w:color w:val="000000"/>
              </w:rPr>
              <w:t xml:space="preserve"> tiesību instrumenti" vai </w:t>
            </w:r>
            <w:r>
              <w:rPr>
                <w:i/>
                <w:color w:val="000000"/>
              </w:rPr>
              <w:t>IMO</w:t>
            </w:r>
            <w:r>
              <w:rPr>
                <w:color w:val="000000"/>
              </w:rPr>
              <w:t xml:space="preserve"> 2008. gada 4. decembra Rezolūcijā MSC.267(85) ietvertais "2008. gada Starptautiskais kodekss par nebojāta kuģa noturību"."</w:t>
            </w:r>
          </w:p>
          <w:p w:rsidR="008077E4" w:rsidP="008077E4" w:rsidRDefault="008077E4" w14:paraId="6801CB60" w14:textId="77777777">
            <w:pPr>
              <w:pBdr>
                <w:top w:val="nil"/>
                <w:left w:val="nil"/>
                <w:bottom w:val="nil"/>
                <w:right w:val="nil"/>
                <w:between w:val="nil"/>
              </w:pBdr>
              <w:rPr>
                <w:color w:val="000000"/>
              </w:rPr>
            </w:pPr>
          </w:p>
        </w:tc>
        <w:tc>
          <w:tcPr>
            <w:tcW w:w="4410" w:type="dxa"/>
            <w:tcBorders>
              <w:left w:val="single" w:color="000000" w:sz="6" w:space="0"/>
              <w:bottom w:val="single" w:color="000000" w:sz="4" w:space="0"/>
              <w:right w:val="single" w:color="000000" w:sz="6" w:space="0"/>
            </w:tcBorders>
          </w:tcPr>
          <w:p w:rsidR="008077E4" w:rsidP="008077E4" w:rsidRDefault="008077E4" w14:paraId="27E416D7" w14:textId="77777777">
            <w:pPr>
              <w:tabs>
                <w:tab w:val="left" w:pos="993"/>
              </w:tabs>
            </w:pPr>
            <w:r>
              <w:lastRenderedPageBreak/>
              <w:t>Nav saprotams, kāpēc projekta 6. punktā izteiktajā noteikumu 2.24. apakšpunktā jāskaidro termins “Kodekss par nebojāta kuģa noturību”, ja noteikumos vai projektā citviet minētais termins nav lietots. Attiecīgi lūdzam svītrot minēto normu.</w:t>
            </w:r>
          </w:p>
        </w:tc>
        <w:tc>
          <w:tcPr>
            <w:tcW w:w="2610" w:type="dxa"/>
            <w:tcBorders>
              <w:left w:val="single" w:color="000000" w:sz="6" w:space="0"/>
              <w:bottom w:val="single" w:color="000000" w:sz="4" w:space="0"/>
              <w:right w:val="single" w:color="000000" w:sz="6" w:space="0"/>
            </w:tcBorders>
          </w:tcPr>
          <w:p w:rsidR="008077E4" w:rsidP="008077E4" w:rsidRDefault="008077E4" w14:paraId="744D09CC" w14:textId="77777777">
            <w:pPr>
              <w:pBdr>
                <w:top w:val="nil"/>
                <w:left w:val="nil"/>
                <w:bottom w:val="nil"/>
                <w:right w:val="nil"/>
                <w:between w:val="nil"/>
              </w:pBdr>
              <w:rPr>
                <w:b/>
                <w:color w:val="000000"/>
              </w:rPr>
            </w:pPr>
            <w:r>
              <w:rPr>
                <w:b/>
                <w:color w:val="000000"/>
              </w:rPr>
              <w:t>Ņemts vērā</w:t>
            </w:r>
          </w:p>
        </w:tc>
        <w:tc>
          <w:tcPr>
            <w:tcW w:w="3330" w:type="dxa"/>
            <w:tcBorders>
              <w:top w:val="single" w:color="000000" w:sz="4" w:space="0"/>
              <w:left w:val="single" w:color="000000" w:sz="4" w:space="0"/>
              <w:bottom w:val="single" w:color="000000" w:sz="4" w:space="0"/>
            </w:tcBorders>
          </w:tcPr>
          <w:p w:rsidR="008077E4" w:rsidP="008077E4" w:rsidRDefault="0033436D" w14:paraId="3E27EAB3" w14:textId="084238CC">
            <w:r>
              <w:t>2.24.apakšpunkts svītrots.</w:t>
            </w:r>
          </w:p>
          <w:p w:rsidRPr="00F004DC" w:rsidR="008077E4" w:rsidP="008077E4" w:rsidRDefault="008077E4" w14:paraId="1C63B503" w14:textId="77777777">
            <w:pPr>
              <w:rPr>
                <w:bCs/>
              </w:rPr>
            </w:pPr>
          </w:p>
          <w:p w:rsidRPr="00F004DC" w:rsidR="008077E4" w:rsidP="008077E4" w:rsidRDefault="00F004DC" w14:paraId="382401B7" w14:textId="746A0E9A">
            <w:pPr>
              <w:rPr>
                <w:bCs/>
              </w:rPr>
            </w:pPr>
            <w:r>
              <w:rPr>
                <w:bCs/>
              </w:rPr>
              <w:t>1.</w:t>
            </w:r>
            <w:r w:rsidRPr="00F004DC" w:rsidR="008077E4">
              <w:rPr>
                <w:bCs/>
              </w:rPr>
              <w:t>27. Papildināt 1. pielikuma saturu aiz vārdiem un skaitļiem "REZOLŪCIJU MSC.216(82)" ar vārdiem un skaitļiem "un REZOLŪCIJU MSC.267(85)".</w:t>
            </w:r>
          </w:p>
          <w:p w:rsidRPr="00F004DC" w:rsidR="008077E4" w:rsidP="008077E4" w:rsidRDefault="008077E4" w14:paraId="5862AA36" w14:textId="77777777">
            <w:pPr>
              <w:rPr>
                <w:bCs/>
              </w:rPr>
            </w:pPr>
          </w:p>
          <w:p w:rsidRPr="00F004DC" w:rsidR="008077E4" w:rsidP="008077E4" w:rsidRDefault="00F004DC" w14:paraId="5C28C690" w14:textId="497BCCAE">
            <w:pPr>
              <w:rPr>
                <w:bCs/>
              </w:rPr>
            </w:pPr>
            <w:r>
              <w:rPr>
                <w:bCs/>
              </w:rPr>
              <w:lastRenderedPageBreak/>
              <w:t>1.</w:t>
            </w:r>
            <w:r w:rsidRPr="00F004DC" w:rsidR="008077E4">
              <w:rPr>
                <w:bCs/>
              </w:rPr>
              <w:t>28. Papildināt 1. pielikuma II-1 nodaļas B-1 daļu ar trešo teikumu šādā redakcijā:</w:t>
            </w:r>
          </w:p>
          <w:p w:rsidR="008077E4" w:rsidP="008077E4" w:rsidRDefault="008077E4" w14:paraId="23566033" w14:textId="77777777">
            <w:pPr>
              <w:rPr>
                <w:b/>
              </w:rPr>
            </w:pPr>
            <w:r w:rsidRPr="00F004DC">
              <w:rPr>
                <w:bCs/>
              </w:rPr>
              <w:t>"Kuģi, kas būvēti 2010. gada 1. jūlijā vai vēlāk – piemēro Rezolūciju MSC.267(85)."</w:t>
            </w:r>
          </w:p>
        </w:tc>
      </w:tr>
      <w:tr w:rsidR="008077E4" w:rsidTr="00D75D3B" w14:paraId="07F37799" w14:textId="77777777">
        <w:tc>
          <w:tcPr>
            <w:tcW w:w="708" w:type="dxa"/>
            <w:tcBorders>
              <w:left w:val="single" w:color="000000" w:sz="6" w:space="0"/>
              <w:bottom w:val="single" w:color="000000" w:sz="4" w:space="0"/>
              <w:right w:val="single" w:color="000000" w:sz="6" w:space="0"/>
            </w:tcBorders>
          </w:tcPr>
          <w:p w:rsidR="008077E4" w:rsidP="008077E4" w:rsidRDefault="00273F86" w14:paraId="482BBF4F" w14:textId="3A0943E9">
            <w:pPr>
              <w:pBdr>
                <w:top w:val="nil"/>
                <w:left w:val="nil"/>
                <w:bottom w:val="nil"/>
                <w:right w:val="nil"/>
                <w:between w:val="nil"/>
              </w:pBdr>
              <w:jc w:val="center"/>
              <w:rPr>
                <w:color w:val="000000"/>
              </w:rPr>
            </w:pPr>
            <w:r>
              <w:rPr>
                <w:color w:val="000000"/>
              </w:rPr>
              <w:lastRenderedPageBreak/>
              <w:t>3.</w:t>
            </w:r>
          </w:p>
        </w:tc>
        <w:tc>
          <w:tcPr>
            <w:tcW w:w="3090" w:type="dxa"/>
            <w:tcBorders>
              <w:left w:val="single" w:color="000000" w:sz="6" w:space="0"/>
              <w:bottom w:val="single" w:color="000000" w:sz="4" w:space="0"/>
              <w:right w:val="single" w:color="000000" w:sz="6" w:space="0"/>
            </w:tcBorders>
          </w:tcPr>
          <w:p w:rsidR="008077E4" w:rsidP="008077E4" w:rsidRDefault="008077E4" w14:paraId="4AD1B187" w14:textId="77777777">
            <w:pPr>
              <w:pBdr>
                <w:top w:val="nil"/>
                <w:left w:val="nil"/>
                <w:bottom w:val="nil"/>
                <w:right w:val="nil"/>
                <w:between w:val="nil"/>
              </w:pBdr>
              <w:rPr>
                <w:color w:val="000000"/>
              </w:rPr>
            </w:pPr>
            <w:r>
              <w:rPr>
                <w:color w:val="000000"/>
              </w:rPr>
              <w:t>8. Izteikt 6. punktu šādā redakcijā:</w:t>
            </w:r>
          </w:p>
          <w:p w:rsidR="008077E4" w:rsidP="008077E4" w:rsidRDefault="008077E4" w14:paraId="69945B49" w14:textId="77777777">
            <w:pPr>
              <w:pBdr>
                <w:top w:val="nil"/>
                <w:left w:val="nil"/>
                <w:bottom w:val="nil"/>
                <w:right w:val="nil"/>
                <w:between w:val="nil"/>
              </w:pBdr>
              <w:rPr>
                <w:color w:val="000000"/>
              </w:rPr>
            </w:pPr>
            <w:r>
              <w:rPr>
                <w:color w:val="000000"/>
              </w:rPr>
              <w:t>"6. Noteikumi neattiecas uz:</w:t>
            </w:r>
          </w:p>
          <w:p w:rsidR="008077E4" w:rsidP="008077E4" w:rsidRDefault="008077E4" w14:paraId="7B7EF827" w14:textId="77777777">
            <w:pPr>
              <w:pBdr>
                <w:top w:val="nil"/>
                <w:left w:val="nil"/>
                <w:bottom w:val="nil"/>
                <w:right w:val="nil"/>
                <w:between w:val="nil"/>
              </w:pBdr>
              <w:rPr>
                <w:color w:val="000000"/>
              </w:rPr>
            </w:pPr>
            <w:r>
              <w:rPr>
                <w:color w:val="000000"/>
              </w:rPr>
              <w:t>6.1. šādiem pasažieru kuģiem:</w:t>
            </w:r>
          </w:p>
          <w:p w:rsidR="008077E4" w:rsidP="008077E4" w:rsidRDefault="008077E4" w14:paraId="5102DAF1" w14:textId="77777777">
            <w:pPr>
              <w:pBdr>
                <w:top w:val="nil"/>
                <w:left w:val="nil"/>
                <w:bottom w:val="nil"/>
                <w:right w:val="nil"/>
                <w:between w:val="nil"/>
              </w:pBdr>
              <w:rPr>
                <w:color w:val="000000"/>
              </w:rPr>
            </w:pPr>
            <w:r>
              <w:rPr>
                <w:color w:val="000000"/>
              </w:rPr>
              <w:t>[…]</w:t>
            </w:r>
          </w:p>
          <w:p w:rsidR="008077E4" w:rsidP="008077E4" w:rsidRDefault="008077E4" w14:paraId="7596233E" w14:textId="77777777">
            <w:pPr>
              <w:pBdr>
                <w:top w:val="nil"/>
                <w:left w:val="nil"/>
                <w:bottom w:val="nil"/>
                <w:right w:val="nil"/>
                <w:between w:val="nil"/>
              </w:pBdr>
              <w:rPr>
                <w:color w:val="000000"/>
              </w:rPr>
            </w:pPr>
            <w:r>
              <w:rPr>
                <w:color w:val="000000"/>
              </w:rPr>
              <w:t>6.1.2. burukuģi, kas ir kuģi, kuru kustību nodrošina ar burām, pat tad ja tiem ir uzstādīts mehānisks dzinējs izmantošanai par palīgiekārtu un ārkārtas situācijām;</w:t>
            </w:r>
          </w:p>
          <w:p w:rsidR="008077E4" w:rsidP="008077E4" w:rsidRDefault="008077E4" w14:paraId="1BD2FD9B" w14:textId="77777777">
            <w:pPr>
              <w:pBdr>
                <w:top w:val="nil"/>
                <w:left w:val="nil"/>
                <w:bottom w:val="nil"/>
                <w:right w:val="nil"/>
                <w:between w:val="nil"/>
              </w:pBdr>
              <w:rPr>
                <w:color w:val="000000"/>
              </w:rPr>
            </w:pPr>
            <w:r>
              <w:rPr>
                <w:color w:val="000000"/>
              </w:rPr>
              <w:t>6.1.3. kuģi, kuru kustību nenodrošina mehāniski līdzekļi;</w:t>
            </w:r>
          </w:p>
          <w:p w:rsidR="008077E4" w:rsidP="008077E4" w:rsidRDefault="008077E4" w14:paraId="51571D21" w14:textId="0857F55C">
            <w:pPr>
              <w:pBdr>
                <w:top w:val="nil"/>
                <w:left w:val="nil"/>
                <w:bottom w:val="nil"/>
                <w:right w:val="nil"/>
                <w:between w:val="nil"/>
              </w:pBdr>
              <w:spacing w:before="75" w:after="75"/>
              <w:rPr>
                <w:color w:val="000000"/>
              </w:rPr>
            </w:pPr>
            <w:r>
              <w:rPr>
                <w:color w:val="000000"/>
              </w:rPr>
              <w:t>[…]"</w:t>
            </w:r>
          </w:p>
        </w:tc>
        <w:tc>
          <w:tcPr>
            <w:tcW w:w="4410" w:type="dxa"/>
            <w:tcBorders>
              <w:left w:val="single" w:color="000000" w:sz="6" w:space="0"/>
              <w:bottom w:val="single" w:color="000000" w:sz="4" w:space="0"/>
              <w:right w:val="single" w:color="000000" w:sz="6" w:space="0"/>
            </w:tcBorders>
          </w:tcPr>
          <w:p w:rsidR="008077E4" w:rsidP="008077E4" w:rsidRDefault="008077E4" w14:paraId="16055641" w14:textId="69B1249C">
            <w:pPr>
              <w:tabs>
                <w:tab w:val="left" w:pos="993"/>
              </w:tabs>
            </w:pPr>
            <w:r>
              <w:t>Uzskatām, ka projekta 7. punktā izteiktais noteikumu 6.1.2. un 6.1.3. apakšpunkts ir apvienojami, jo minētajās normās pieminētie kuģi ir kuģi, kuru kustību nenodrošina mehāniski līdzekļi. Uzsveram, ka saskaņā ar MKN. 108 3.3. apakšpunktu “normatīvā akta projektā neietver normas, kas dublē pašā normatīvā akta projektā ietverto normatīvo regulējumu”. Ievērojot minēto, lūdzam novērst projekta norma dublēšanos.</w:t>
            </w:r>
          </w:p>
        </w:tc>
        <w:tc>
          <w:tcPr>
            <w:tcW w:w="2610" w:type="dxa"/>
            <w:tcBorders>
              <w:top w:val="single" w:color="000000" w:sz="4" w:space="0"/>
              <w:left w:val="single" w:color="000000" w:sz="4" w:space="0"/>
              <w:bottom w:val="single" w:color="000000" w:sz="4" w:space="0"/>
            </w:tcBorders>
          </w:tcPr>
          <w:p w:rsidRPr="00594EF3" w:rsidR="00594EF3" w:rsidP="00594EF3" w:rsidRDefault="00594EF3" w14:paraId="76C907A6" w14:textId="77777777">
            <w:pPr>
              <w:pBdr>
                <w:top w:val="nil"/>
                <w:left w:val="nil"/>
                <w:bottom w:val="nil"/>
                <w:right w:val="nil"/>
                <w:between w:val="nil"/>
              </w:pBdr>
              <w:rPr>
                <w:b/>
                <w:color w:val="000000"/>
              </w:rPr>
            </w:pPr>
            <w:r w:rsidRPr="00594EF3">
              <w:rPr>
                <w:b/>
                <w:color w:val="000000"/>
              </w:rPr>
              <w:t>Panākta vienošanās elektroniskajā saskaņošanā</w:t>
            </w:r>
          </w:p>
          <w:p w:rsidR="008077E4" w:rsidP="008077E4" w:rsidRDefault="008077E4" w14:paraId="292E987E" w14:textId="77777777">
            <w:pPr>
              <w:pBdr>
                <w:top w:val="nil"/>
                <w:left w:val="nil"/>
                <w:bottom w:val="nil"/>
                <w:right w:val="nil"/>
                <w:between w:val="nil"/>
              </w:pBdr>
              <w:rPr>
                <w:color w:val="000000"/>
              </w:rPr>
            </w:pPr>
            <w:r>
              <w:rPr>
                <w:color w:val="000000"/>
              </w:rPr>
              <w:t>Nevar apvienot šos punktus, jo ir atšķirība starp burukuģi un kuģi, kura kustību nenodrošina mehāniski līdzekļi. Tieši burukuģim ir atļauta mehāniskā dzinēja kā palīgiekārtas izmantošana, bet citiem kuģiem - nē, piemēram, ja kuģa kustība tiek nodrošināta ar airiem, šim kuģim nedrīkst būt uzstādīts mehāniskais dzinējs kā palīgiekārta, lai uz to attiektos izņēmums.</w:t>
            </w:r>
          </w:p>
          <w:p w:rsidR="008077E4" w:rsidP="008077E4" w:rsidRDefault="008077E4" w14:paraId="65CAB83A" w14:textId="7B9CD4E3">
            <w:pPr>
              <w:pBdr>
                <w:top w:val="nil"/>
                <w:left w:val="nil"/>
                <w:bottom w:val="nil"/>
                <w:right w:val="nil"/>
                <w:between w:val="nil"/>
              </w:pBdr>
              <w:rPr>
                <w:b/>
                <w:color w:val="000000"/>
              </w:rPr>
            </w:pPr>
            <w:r>
              <w:rPr>
                <w:color w:val="000000"/>
              </w:rPr>
              <w:lastRenderedPageBreak/>
              <w:t>Vienlaikus vēršam uzmanību, ka Eiropas Komisijas jūrniecības jomas auditos vai Eiropas Jūras drošības aģentūras vizītēs tiek izteikti iebildumi par atšķirīgas terminoloģijas, klasifikācijas lietošanu, ieviešot direktīvas.</w:t>
            </w:r>
          </w:p>
        </w:tc>
        <w:tc>
          <w:tcPr>
            <w:tcW w:w="3330" w:type="dxa"/>
            <w:tcBorders>
              <w:left w:val="single" w:color="000000" w:sz="6" w:space="0"/>
              <w:bottom w:val="single" w:color="000000" w:sz="4" w:space="0"/>
              <w:right w:val="single" w:color="000000" w:sz="6" w:space="0"/>
            </w:tcBorders>
          </w:tcPr>
          <w:p w:rsidR="008077E4" w:rsidP="008077E4" w:rsidRDefault="00F004DC" w14:paraId="2B048CB9" w14:textId="0863FBED">
            <w:pPr>
              <w:pBdr>
                <w:top w:val="nil"/>
                <w:left w:val="nil"/>
                <w:bottom w:val="nil"/>
                <w:right w:val="nil"/>
                <w:between w:val="nil"/>
              </w:pBdr>
              <w:rPr>
                <w:color w:val="000000"/>
              </w:rPr>
            </w:pPr>
            <w:r>
              <w:rPr>
                <w:color w:val="000000"/>
              </w:rPr>
              <w:lastRenderedPageBreak/>
              <w:t>1.</w:t>
            </w:r>
            <w:r w:rsidR="008077E4">
              <w:rPr>
                <w:color w:val="000000"/>
              </w:rPr>
              <w:t>8. Izteikt 6. punktu šādā redakcijā:</w:t>
            </w:r>
          </w:p>
          <w:p w:rsidR="008077E4" w:rsidP="008077E4" w:rsidRDefault="008077E4" w14:paraId="68975245" w14:textId="77777777">
            <w:pPr>
              <w:pBdr>
                <w:top w:val="nil"/>
                <w:left w:val="nil"/>
                <w:bottom w:val="nil"/>
                <w:right w:val="nil"/>
                <w:between w:val="nil"/>
              </w:pBdr>
              <w:rPr>
                <w:color w:val="000000"/>
              </w:rPr>
            </w:pPr>
            <w:r>
              <w:rPr>
                <w:color w:val="000000"/>
              </w:rPr>
              <w:t>"6. Noteikumi neattiecas uz:</w:t>
            </w:r>
          </w:p>
          <w:p w:rsidR="008077E4" w:rsidP="008077E4" w:rsidRDefault="008077E4" w14:paraId="103C22B2" w14:textId="77777777">
            <w:pPr>
              <w:pBdr>
                <w:top w:val="nil"/>
                <w:left w:val="nil"/>
                <w:bottom w:val="nil"/>
                <w:right w:val="nil"/>
                <w:between w:val="nil"/>
              </w:pBdr>
              <w:rPr>
                <w:color w:val="000000"/>
              </w:rPr>
            </w:pPr>
            <w:r>
              <w:rPr>
                <w:color w:val="000000"/>
              </w:rPr>
              <w:t>6.1. šādiem pasažieru kuģiem:</w:t>
            </w:r>
          </w:p>
          <w:p w:rsidR="008077E4" w:rsidP="008077E4" w:rsidRDefault="008077E4" w14:paraId="6E0BC347" w14:textId="77777777">
            <w:pPr>
              <w:pBdr>
                <w:top w:val="nil"/>
                <w:left w:val="nil"/>
                <w:bottom w:val="nil"/>
                <w:right w:val="nil"/>
                <w:between w:val="nil"/>
              </w:pBdr>
              <w:rPr>
                <w:color w:val="000000"/>
              </w:rPr>
            </w:pPr>
            <w:r>
              <w:rPr>
                <w:color w:val="000000"/>
              </w:rPr>
              <w:t>[…]</w:t>
            </w:r>
          </w:p>
          <w:p w:rsidR="008077E4" w:rsidP="008077E4" w:rsidRDefault="008077E4" w14:paraId="544F78F9" w14:textId="77777777">
            <w:pPr>
              <w:pBdr>
                <w:top w:val="nil"/>
                <w:left w:val="nil"/>
                <w:bottom w:val="nil"/>
                <w:right w:val="nil"/>
                <w:between w:val="nil"/>
              </w:pBdr>
              <w:rPr>
                <w:color w:val="000000"/>
              </w:rPr>
            </w:pPr>
            <w:r>
              <w:rPr>
                <w:color w:val="000000"/>
              </w:rPr>
              <w:t>6.1.2. burukuģi, kas ir kuģi, kuru kustību nodrošina ar burām, pat tad ja tiem ir uzstādīts mehānisks dzinējs izmantošanai par palīgiekārtu un ārkārtas situācijām;</w:t>
            </w:r>
          </w:p>
          <w:p w:rsidR="008077E4" w:rsidP="008077E4" w:rsidRDefault="008077E4" w14:paraId="07E0BDCE" w14:textId="77777777">
            <w:pPr>
              <w:pBdr>
                <w:top w:val="nil"/>
                <w:left w:val="nil"/>
                <w:bottom w:val="nil"/>
                <w:right w:val="nil"/>
                <w:between w:val="nil"/>
              </w:pBdr>
              <w:rPr>
                <w:color w:val="000000"/>
              </w:rPr>
            </w:pPr>
            <w:r>
              <w:rPr>
                <w:color w:val="000000"/>
              </w:rPr>
              <w:t>6.1.3. kuģi, kuru kustību nenodrošina mehāniski līdzekļi;</w:t>
            </w:r>
          </w:p>
          <w:p w:rsidR="008077E4" w:rsidP="008077E4" w:rsidRDefault="008077E4" w14:paraId="2D0A8740" w14:textId="53DE370A">
            <w:r>
              <w:rPr>
                <w:color w:val="000000"/>
              </w:rPr>
              <w:t>[…]"</w:t>
            </w:r>
          </w:p>
        </w:tc>
      </w:tr>
      <w:tr w:rsidR="008077E4" w14:paraId="16067C41" w14:textId="77777777">
        <w:tc>
          <w:tcPr>
            <w:tcW w:w="708" w:type="dxa"/>
            <w:tcBorders>
              <w:left w:val="single" w:color="000000" w:sz="6" w:space="0"/>
              <w:bottom w:val="single" w:color="000000" w:sz="4" w:space="0"/>
              <w:right w:val="single" w:color="000000" w:sz="6" w:space="0"/>
            </w:tcBorders>
          </w:tcPr>
          <w:p w:rsidR="008077E4" w:rsidP="008077E4" w:rsidRDefault="00273F86" w14:paraId="1D9F0898" w14:textId="754BB854">
            <w:pPr>
              <w:pBdr>
                <w:top w:val="nil"/>
                <w:left w:val="nil"/>
                <w:bottom w:val="nil"/>
                <w:right w:val="nil"/>
                <w:between w:val="nil"/>
              </w:pBdr>
              <w:jc w:val="center"/>
              <w:rPr>
                <w:color w:val="000000"/>
              </w:rPr>
            </w:pPr>
            <w:r>
              <w:rPr>
                <w:color w:val="000000"/>
              </w:rPr>
              <w:lastRenderedPageBreak/>
              <w:t>4</w:t>
            </w:r>
            <w:r w:rsidR="008077E4">
              <w:rPr>
                <w:color w:val="000000"/>
              </w:rPr>
              <w:t>.</w:t>
            </w:r>
          </w:p>
        </w:tc>
        <w:tc>
          <w:tcPr>
            <w:tcW w:w="3090" w:type="dxa"/>
            <w:tcBorders>
              <w:left w:val="single" w:color="000000" w:sz="6" w:space="0"/>
              <w:bottom w:val="single" w:color="000000" w:sz="4" w:space="0"/>
              <w:right w:val="single" w:color="000000" w:sz="6" w:space="0"/>
            </w:tcBorders>
          </w:tcPr>
          <w:p w:rsidR="008077E4" w:rsidP="008077E4" w:rsidRDefault="008077E4" w14:paraId="79196B4F" w14:textId="77777777">
            <w:pPr>
              <w:pBdr>
                <w:top w:val="nil"/>
                <w:left w:val="nil"/>
                <w:bottom w:val="nil"/>
                <w:right w:val="nil"/>
                <w:between w:val="nil"/>
              </w:pBdr>
              <w:rPr>
                <w:color w:val="000000"/>
              </w:rPr>
            </w:pPr>
            <w:r>
              <w:rPr>
                <w:color w:val="000000"/>
              </w:rPr>
              <w:t>8. Izteikt 6. punktu šādā redakcijā:</w:t>
            </w:r>
          </w:p>
          <w:p w:rsidR="008077E4" w:rsidP="008077E4" w:rsidRDefault="008077E4" w14:paraId="5F36A976" w14:textId="77777777">
            <w:pPr>
              <w:pBdr>
                <w:top w:val="nil"/>
                <w:left w:val="nil"/>
                <w:bottom w:val="nil"/>
                <w:right w:val="nil"/>
                <w:between w:val="nil"/>
              </w:pBdr>
              <w:rPr>
                <w:color w:val="000000"/>
              </w:rPr>
            </w:pPr>
            <w:r>
              <w:rPr>
                <w:color w:val="000000"/>
              </w:rPr>
              <w:t>"6. Noteikumi neattiecas uz:</w:t>
            </w:r>
          </w:p>
          <w:p w:rsidR="008077E4" w:rsidP="008077E4" w:rsidRDefault="008077E4" w14:paraId="4F100622" w14:textId="77777777">
            <w:pPr>
              <w:pBdr>
                <w:top w:val="nil"/>
                <w:left w:val="nil"/>
                <w:bottom w:val="nil"/>
                <w:right w:val="nil"/>
                <w:between w:val="nil"/>
              </w:pBdr>
              <w:rPr>
                <w:color w:val="000000"/>
              </w:rPr>
            </w:pPr>
            <w:r>
              <w:rPr>
                <w:color w:val="000000"/>
              </w:rPr>
              <w:t>6.1. šādiem pasažieru kuģiem:</w:t>
            </w:r>
          </w:p>
          <w:p w:rsidR="008077E4" w:rsidP="008077E4" w:rsidRDefault="008077E4" w14:paraId="34C82044" w14:textId="77777777">
            <w:pPr>
              <w:pBdr>
                <w:top w:val="nil"/>
                <w:left w:val="nil"/>
                <w:bottom w:val="nil"/>
                <w:right w:val="nil"/>
                <w:between w:val="nil"/>
              </w:pBdr>
              <w:rPr>
                <w:color w:val="000000"/>
              </w:rPr>
            </w:pPr>
            <w:r>
              <w:rPr>
                <w:color w:val="000000"/>
              </w:rPr>
              <w:t>[…]</w:t>
            </w:r>
          </w:p>
          <w:p w:rsidR="008077E4" w:rsidP="008077E4" w:rsidRDefault="008077E4" w14:paraId="7C8AA957" w14:textId="77777777">
            <w:pPr>
              <w:pBdr>
                <w:top w:val="nil"/>
                <w:left w:val="nil"/>
                <w:bottom w:val="nil"/>
                <w:right w:val="nil"/>
                <w:between w:val="nil"/>
              </w:pBdr>
              <w:rPr>
                <w:color w:val="000000"/>
              </w:rPr>
            </w:pPr>
            <w:r>
              <w:rPr>
                <w:color w:val="000000"/>
              </w:rPr>
              <w:t>6.1.5. primitīvas konstrukcijas koka kuģi;</w:t>
            </w:r>
          </w:p>
          <w:p w:rsidR="008077E4" w:rsidP="008077E4" w:rsidRDefault="008077E4" w14:paraId="6E8F6A3C" w14:textId="77777777">
            <w:pPr>
              <w:pBdr>
                <w:top w:val="nil"/>
                <w:left w:val="nil"/>
                <w:bottom w:val="nil"/>
                <w:right w:val="nil"/>
                <w:between w:val="nil"/>
              </w:pBdr>
              <w:rPr>
                <w:color w:val="000000"/>
              </w:rPr>
            </w:pPr>
            <w:r>
              <w:rPr>
                <w:color w:val="000000"/>
              </w:rPr>
              <w:t>[…]"</w:t>
            </w:r>
          </w:p>
          <w:p w:rsidR="008077E4" w:rsidP="008077E4" w:rsidRDefault="008077E4" w14:paraId="0EEB74EA" w14:textId="77777777">
            <w:pPr>
              <w:pBdr>
                <w:top w:val="nil"/>
                <w:left w:val="nil"/>
                <w:bottom w:val="nil"/>
                <w:right w:val="nil"/>
                <w:between w:val="nil"/>
              </w:pBdr>
              <w:rPr>
                <w:color w:val="000000"/>
              </w:rPr>
            </w:pPr>
          </w:p>
        </w:tc>
        <w:tc>
          <w:tcPr>
            <w:tcW w:w="4410" w:type="dxa"/>
            <w:tcBorders>
              <w:left w:val="single" w:color="000000" w:sz="6" w:space="0"/>
              <w:bottom w:val="single" w:color="000000" w:sz="4" w:space="0"/>
              <w:right w:val="single" w:color="000000" w:sz="6" w:space="0"/>
            </w:tcBorders>
          </w:tcPr>
          <w:p w:rsidR="008077E4" w:rsidP="008077E4" w:rsidRDefault="008077E4" w14:paraId="79F0E4E2" w14:textId="77777777">
            <w:pPr>
              <w:tabs>
                <w:tab w:val="left" w:pos="993"/>
              </w:tabs>
            </w:pPr>
            <w:r>
              <w:t xml:space="preserve">Nav saprotams, kurā brīdī projekta 7. punktā izteiktajā noteikumu 6.1.5. apakšpunktā norādītie kuģi vairs nav uzskatāmi par primitīvas konstrukcijas koka kuģiem. Proti, vārdu savienojums “primitīva konstrukcija” nav viennozīmīgs un praksē var tikt piemērots nevienveidīgi. Ievērojot minēto, lūdzam sniegt skaidrojumu par minētā vārdu savienojuma tvērumu, nepieciešamības gadījumā papildinot projektu. </w:t>
            </w:r>
          </w:p>
        </w:tc>
        <w:tc>
          <w:tcPr>
            <w:tcW w:w="2610" w:type="dxa"/>
            <w:tcBorders>
              <w:left w:val="single" w:color="000000" w:sz="6" w:space="0"/>
              <w:bottom w:val="single" w:color="000000" w:sz="4" w:space="0"/>
              <w:right w:val="single" w:color="000000" w:sz="6" w:space="0"/>
            </w:tcBorders>
          </w:tcPr>
          <w:p w:rsidR="008077E4" w:rsidP="008077E4" w:rsidRDefault="008077E4" w14:paraId="2989B4EE" w14:textId="77777777">
            <w:pPr>
              <w:pBdr>
                <w:top w:val="nil"/>
                <w:left w:val="nil"/>
                <w:bottom w:val="nil"/>
                <w:right w:val="nil"/>
                <w:between w:val="nil"/>
              </w:pBdr>
              <w:rPr>
                <w:b/>
                <w:color w:val="000000"/>
              </w:rPr>
            </w:pPr>
            <w:r>
              <w:rPr>
                <w:b/>
                <w:color w:val="000000"/>
              </w:rPr>
              <w:t>Ņemts vērā</w:t>
            </w:r>
          </w:p>
          <w:p w:rsidR="008077E4" w:rsidP="008077E4" w:rsidRDefault="008077E4" w14:paraId="22EEC7A2" w14:textId="77777777">
            <w:pPr>
              <w:pBdr>
                <w:top w:val="nil"/>
                <w:left w:val="nil"/>
                <w:bottom w:val="nil"/>
                <w:right w:val="nil"/>
                <w:between w:val="nil"/>
              </w:pBdr>
              <w:rPr>
                <w:color w:val="000000"/>
              </w:rPr>
            </w:pPr>
            <w:r>
              <w:rPr>
                <w:color w:val="000000"/>
              </w:rPr>
              <w:t xml:space="preserve">Neatreferētā vārdkopa “primitīvas konstrukcijas koka kuģi” tiek plaši lietota dažādos starptautiskajos jūrniecības normatīvajos aktos (piemēram, 1978. gada Starptautiskā konvencija par jūrnieku sagatavošanu un diplomēšanu, kā arī sardzes pildīšanu, 1974. gada Starptautiskā konvencija par cilvēku dzīvības aizsardzību uz jūras (SOLAS konvencija)), kā arī pārņemamajā Direktīvā (ES) 2017/2108. Ar šādiem kuģiem ir vispārpieņemts saprast </w:t>
            </w:r>
            <w:r>
              <w:rPr>
                <w:color w:val="000000"/>
              </w:rPr>
              <w:lastRenderedPageBreak/>
              <w:t>tradicionāli būvētus vēsturiskus kuģus (piemēram, dou un džonkas laivas), un projektā vēlams nesniegt definīciju, atstājot to piemērošanas praksei. Vienlaikus jāņem vērā, ka šādu kuģu identifikācija nenotiek, vadoties no šiem noteikumiem, bet tā notiek kuģa būvniecības stadijā un kuģim izsniedzot kuģa dokumentus (apliecības).</w:t>
            </w:r>
          </w:p>
        </w:tc>
        <w:tc>
          <w:tcPr>
            <w:tcW w:w="3330" w:type="dxa"/>
            <w:tcBorders>
              <w:top w:val="single" w:color="000000" w:sz="4" w:space="0"/>
              <w:left w:val="single" w:color="000000" w:sz="4" w:space="0"/>
              <w:bottom w:val="single" w:color="000000" w:sz="4" w:space="0"/>
            </w:tcBorders>
          </w:tcPr>
          <w:p w:rsidR="008077E4" w:rsidP="008077E4" w:rsidRDefault="00F004DC" w14:paraId="3D6D5C08" w14:textId="509CDBB1">
            <w:r>
              <w:lastRenderedPageBreak/>
              <w:t>1.</w:t>
            </w:r>
            <w:r w:rsidR="008077E4">
              <w:t>8. Izteikt 6. punktu šādā redakcijā:</w:t>
            </w:r>
          </w:p>
          <w:p w:rsidR="008077E4" w:rsidP="008077E4" w:rsidRDefault="008077E4" w14:paraId="27707201" w14:textId="77777777">
            <w:r>
              <w:t>"6. Noteikumi neattiecas uz:</w:t>
            </w:r>
          </w:p>
          <w:p w:rsidR="008077E4" w:rsidP="008077E4" w:rsidRDefault="008077E4" w14:paraId="1FD254B3" w14:textId="77777777">
            <w:r>
              <w:t>6.1. šādiem pasažieru kuģiem:</w:t>
            </w:r>
          </w:p>
          <w:p w:rsidR="008077E4" w:rsidP="008077E4" w:rsidRDefault="008077E4" w14:paraId="630823AD" w14:textId="77777777">
            <w:r>
              <w:t>[…]</w:t>
            </w:r>
          </w:p>
          <w:p w:rsidR="008077E4" w:rsidP="008077E4" w:rsidRDefault="008077E4" w14:paraId="4A4D9D15" w14:textId="77777777">
            <w:r>
              <w:t>6.1.5. primitīvas konstrukcijas koka kuģi;</w:t>
            </w:r>
          </w:p>
          <w:p w:rsidR="008077E4" w:rsidP="008077E4" w:rsidRDefault="008077E4" w14:paraId="1E90046D" w14:textId="77777777">
            <w:r>
              <w:t>[…]"</w:t>
            </w:r>
          </w:p>
        </w:tc>
      </w:tr>
      <w:tr w:rsidR="008077E4" w14:paraId="300A5D16" w14:textId="77777777">
        <w:tc>
          <w:tcPr>
            <w:tcW w:w="708" w:type="dxa"/>
            <w:tcBorders>
              <w:left w:val="single" w:color="000000" w:sz="6" w:space="0"/>
              <w:bottom w:val="single" w:color="000000" w:sz="4" w:space="0"/>
              <w:right w:val="single" w:color="000000" w:sz="6" w:space="0"/>
            </w:tcBorders>
          </w:tcPr>
          <w:p w:rsidR="008077E4" w:rsidP="008077E4" w:rsidRDefault="00273F86" w14:paraId="11D97500" w14:textId="070EDA14">
            <w:pPr>
              <w:pBdr>
                <w:top w:val="nil"/>
                <w:left w:val="nil"/>
                <w:bottom w:val="nil"/>
                <w:right w:val="nil"/>
                <w:between w:val="nil"/>
              </w:pBdr>
              <w:jc w:val="center"/>
              <w:rPr>
                <w:color w:val="000000"/>
              </w:rPr>
            </w:pPr>
            <w:r>
              <w:rPr>
                <w:color w:val="000000"/>
              </w:rPr>
              <w:t>5</w:t>
            </w:r>
            <w:r w:rsidR="008077E4">
              <w:rPr>
                <w:color w:val="000000"/>
              </w:rPr>
              <w:t>.</w:t>
            </w:r>
          </w:p>
        </w:tc>
        <w:tc>
          <w:tcPr>
            <w:tcW w:w="3090" w:type="dxa"/>
            <w:tcBorders>
              <w:left w:val="single" w:color="000000" w:sz="6" w:space="0"/>
              <w:bottom w:val="single" w:color="000000" w:sz="4" w:space="0"/>
              <w:right w:val="single" w:color="000000" w:sz="6" w:space="0"/>
            </w:tcBorders>
          </w:tcPr>
          <w:p w:rsidR="008077E4" w:rsidP="008077E4" w:rsidRDefault="008077E4" w14:paraId="5E6A3AFE" w14:textId="77777777">
            <w:pPr>
              <w:pBdr>
                <w:top w:val="nil"/>
                <w:left w:val="nil"/>
                <w:bottom w:val="nil"/>
                <w:right w:val="nil"/>
                <w:between w:val="nil"/>
              </w:pBdr>
              <w:rPr>
                <w:color w:val="000000"/>
              </w:rPr>
            </w:pPr>
            <w:r>
              <w:rPr>
                <w:color w:val="000000"/>
              </w:rPr>
              <w:t>8. Izteikt 6. punktu šādā redakcijā:</w:t>
            </w:r>
          </w:p>
          <w:p w:rsidR="008077E4" w:rsidP="008077E4" w:rsidRDefault="008077E4" w14:paraId="2C6612BE" w14:textId="77777777">
            <w:pPr>
              <w:pBdr>
                <w:top w:val="nil"/>
                <w:left w:val="nil"/>
                <w:bottom w:val="nil"/>
                <w:right w:val="nil"/>
                <w:between w:val="nil"/>
              </w:pBdr>
              <w:rPr>
                <w:color w:val="000000"/>
              </w:rPr>
            </w:pPr>
            <w:r>
              <w:rPr>
                <w:color w:val="000000"/>
              </w:rPr>
              <w:t>"6. Noteikumi neattiecas uz:</w:t>
            </w:r>
          </w:p>
          <w:p w:rsidR="008077E4" w:rsidP="008077E4" w:rsidRDefault="008077E4" w14:paraId="62E9CF26" w14:textId="77777777">
            <w:pPr>
              <w:pBdr>
                <w:top w:val="nil"/>
                <w:left w:val="nil"/>
                <w:bottom w:val="nil"/>
                <w:right w:val="nil"/>
                <w:between w:val="nil"/>
              </w:pBdr>
              <w:rPr>
                <w:color w:val="000000"/>
              </w:rPr>
            </w:pPr>
            <w:r>
              <w:rPr>
                <w:color w:val="000000"/>
              </w:rPr>
              <w:t>6.1. šādiem pasažieru kuģiem:</w:t>
            </w:r>
          </w:p>
          <w:p w:rsidR="008077E4" w:rsidP="008077E4" w:rsidRDefault="008077E4" w14:paraId="3EBCD3A0" w14:textId="77777777">
            <w:pPr>
              <w:pBdr>
                <w:top w:val="nil"/>
                <w:left w:val="nil"/>
                <w:bottom w:val="nil"/>
                <w:right w:val="nil"/>
                <w:between w:val="nil"/>
              </w:pBdr>
              <w:rPr>
                <w:color w:val="000000"/>
              </w:rPr>
            </w:pPr>
            <w:r>
              <w:rPr>
                <w:color w:val="000000"/>
              </w:rPr>
              <w:t>[…]</w:t>
            </w:r>
          </w:p>
          <w:p w:rsidR="008077E4" w:rsidP="008077E4" w:rsidRDefault="008077E4" w14:paraId="6D0F6D66" w14:textId="77777777">
            <w:pPr>
              <w:pBdr>
                <w:top w:val="nil"/>
                <w:left w:val="nil"/>
                <w:bottom w:val="nil"/>
                <w:right w:val="nil"/>
                <w:between w:val="nil"/>
              </w:pBdr>
              <w:rPr>
                <w:color w:val="000000"/>
              </w:rPr>
            </w:pPr>
            <w:r>
              <w:rPr>
                <w:color w:val="000000"/>
              </w:rPr>
              <w:t xml:space="preserve">6.1.6. tradicionālie kuģi, kas ir jebkura veida vēsturiski pasažieru kuģi, kas konstruēti pirms 1965. gada, vai to kopijas, kas būvētas galvenokārt no oriģinālajiem materiāliem, ieskaitot tradicionālo amatu un kuģošanas veicināšanai un popularizēšanai paredzētos </w:t>
            </w:r>
            <w:r>
              <w:rPr>
                <w:color w:val="000000"/>
              </w:rPr>
              <w:lastRenderedPageBreak/>
              <w:t>kuģus, kas kopā kalpo kā funkcionējoši kultūras pieminekļi, kurus ekspluatē saskaņā ar tradicionālajiem kuģošanas principiem un paņēmieniem;</w:t>
            </w:r>
          </w:p>
          <w:p w:rsidR="008077E4" w:rsidP="008077E4" w:rsidRDefault="008077E4" w14:paraId="03E4DED0" w14:textId="77777777">
            <w:pPr>
              <w:pBdr>
                <w:top w:val="nil"/>
                <w:left w:val="nil"/>
                <w:bottom w:val="nil"/>
                <w:right w:val="nil"/>
                <w:between w:val="nil"/>
              </w:pBdr>
              <w:rPr>
                <w:color w:val="000000"/>
              </w:rPr>
            </w:pPr>
            <w:r>
              <w:rPr>
                <w:color w:val="000000"/>
              </w:rPr>
              <w:t>[…]"</w:t>
            </w:r>
          </w:p>
        </w:tc>
        <w:tc>
          <w:tcPr>
            <w:tcW w:w="4410" w:type="dxa"/>
            <w:tcBorders>
              <w:left w:val="single" w:color="000000" w:sz="6" w:space="0"/>
              <w:bottom w:val="single" w:color="000000" w:sz="4" w:space="0"/>
              <w:right w:val="single" w:color="000000" w:sz="6" w:space="0"/>
            </w:tcBorders>
          </w:tcPr>
          <w:p w:rsidR="008077E4" w:rsidP="008077E4" w:rsidRDefault="008077E4" w14:paraId="7E4495AB" w14:textId="77777777">
            <w:pPr>
              <w:tabs>
                <w:tab w:val="left" w:pos="993"/>
              </w:tabs>
            </w:pPr>
            <w:r>
              <w:lastRenderedPageBreak/>
              <w:t>Nav saprotams, kas projekta 7. punktā izteiktajā noteikumu 6.1.6. apakšpunktā uzskatāms par “tradicionālajiem kuģošanas principiem un paņēmieniem”. Attiecīgi lūdzam skaidrot minētā vārdu savienojuma tvērumu, nepieciešamības gadījumā papildinot projektu.</w:t>
            </w:r>
          </w:p>
        </w:tc>
        <w:tc>
          <w:tcPr>
            <w:tcW w:w="2610" w:type="dxa"/>
            <w:tcBorders>
              <w:left w:val="single" w:color="000000" w:sz="6" w:space="0"/>
              <w:bottom w:val="single" w:color="000000" w:sz="4" w:space="0"/>
              <w:right w:val="single" w:color="000000" w:sz="6" w:space="0"/>
            </w:tcBorders>
          </w:tcPr>
          <w:p w:rsidR="008077E4" w:rsidP="008077E4" w:rsidRDefault="008077E4" w14:paraId="282EC599" w14:textId="1B666AF1">
            <w:pPr>
              <w:pBdr>
                <w:top w:val="nil"/>
                <w:left w:val="nil"/>
                <w:bottom w:val="nil"/>
                <w:right w:val="nil"/>
                <w:between w:val="nil"/>
              </w:pBdr>
              <w:rPr>
                <w:b/>
                <w:color w:val="000000"/>
              </w:rPr>
            </w:pPr>
            <w:r>
              <w:rPr>
                <w:b/>
                <w:color w:val="000000"/>
              </w:rPr>
              <w:t>Ņemts vērā</w:t>
            </w:r>
          </w:p>
          <w:p w:rsidR="008077E4" w:rsidP="008077E4" w:rsidRDefault="008077E4" w14:paraId="255F3774" w14:textId="7BE8A0A1">
            <w:pPr>
              <w:pBdr>
                <w:top w:val="nil"/>
                <w:left w:val="nil"/>
                <w:bottom w:val="nil"/>
                <w:right w:val="nil"/>
                <w:between w:val="nil"/>
              </w:pBdr>
              <w:rPr>
                <w:color w:val="000000"/>
              </w:rPr>
            </w:pPr>
            <w:r>
              <w:rPr>
                <w:color w:val="000000"/>
              </w:rPr>
              <w:t>Ar tradicionālajiem kuģošanas principiem un paņēmieniem ir vispārpieņemts saprast kuģa vadīšanu (kuģošanu, navigāciju), izmantojot metodes un paņēmienus, kuri tika piekopti attiecīgajā vēsturiskajā kuģa izmantošanas laikmetā.</w:t>
            </w:r>
          </w:p>
          <w:p w:rsidR="008077E4" w:rsidP="008077E4" w:rsidRDefault="008077E4" w14:paraId="50DF31CF" w14:textId="77777777">
            <w:pPr>
              <w:pBdr>
                <w:top w:val="nil"/>
                <w:left w:val="nil"/>
                <w:bottom w:val="nil"/>
                <w:right w:val="nil"/>
                <w:between w:val="nil"/>
              </w:pBdr>
              <w:rPr>
                <w:color w:val="000000"/>
              </w:rPr>
            </w:pPr>
          </w:p>
        </w:tc>
        <w:tc>
          <w:tcPr>
            <w:tcW w:w="3330" w:type="dxa"/>
            <w:tcBorders>
              <w:top w:val="single" w:color="000000" w:sz="4" w:space="0"/>
              <w:left w:val="single" w:color="000000" w:sz="4" w:space="0"/>
              <w:bottom w:val="single" w:color="000000" w:sz="4" w:space="0"/>
            </w:tcBorders>
          </w:tcPr>
          <w:p w:rsidR="008077E4" w:rsidP="008077E4" w:rsidRDefault="00F004DC" w14:paraId="1D86B5C8" w14:textId="5190660E">
            <w:pPr>
              <w:pBdr>
                <w:top w:val="nil"/>
                <w:left w:val="nil"/>
                <w:bottom w:val="nil"/>
                <w:right w:val="nil"/>
                <w:between w:val="nil"/>
              </w:pBdr>
              <w:rPr>
                <w:color w:val="000000"/>
              </w:rPr>
            </w:pPr>
            <w:r>
              <w:rPr>
                <w:color w:val="000000"/>
              </w:rPr>
              <w:t>1.</w:t>
            </w:r>
            <w:r w:rsidR="008077E4">
              <w:rPr>
                <w:color w:val="000000"/>
              </w:rPr>
              <w:t>8. Izteikt 6. punktu šādā redakcijā:</w:t>
            </w:r>
          </w:p>
          <w:p w:rsidR="008077E4" w:rsidP="008077E4" w:rsidRDefault="008077E4" w14:paraId="53F87C7E" w14:textId="77777777">
            <w:pPr>
              <w:pBdr>
                <w:top w:val="nil"/>
                <w:left w:val="nil"/>
                <w:bottom w:val="nil"/>
                <w:right w:val="nil"/>
                <w:between w:val="nil"/>
              </w:pBdr>
              <w:rPr>
                <w:color w:val="000000"/>
              </w:rPr>
            </w:pPr>
            <w:r>
              <w:rPr>
                <w:color w:val="000000"/>
              </w:rPr>
              <w:t>"6. Noteikumi neattiecas uz:</w:t>
            </w:r>
          </w:p>
          <w:p w:rsidR="008077E4" w:rsidP="008077E4" w:rsidRDefault="008077E4" w14:paraId="7ECCC882" w14:textId="77777777">
            <w:pPr>
              <w:pBdr>
                <w:top w:val="nil"/>
                <w:left w:val="nil"/>
                <w:bottom w:val="nil"/>
                <w:right w:val="nil"/>
                <w:between w:val="nil"/>
              </w:pBdr>
              <w:rPr>
                <w:color w:val="000000"/>
              </w:rPr>
            </w:pPr>
            <w:r>
              <w:rPr>
                <w:color w:val="000000"/>
              </w:rPr>
              <w:t>6.1. šādiem pasažieru kuģiem:</w:t>
            </w:r>
          </w:p>
          <w:p w:rsidR="008077E4" w:rsidP="008077E4" w:rsidRDefault="008077E4" w14:paraId="11352229" w14:textId="77777777">
            <w:pPr>
              <w:pBdr>
                <w:top w:val="nil"/>
                <w:left w:val="nil"/>
                <w:bottom w:val="nil"/>
                <w:right w:val="nil"/>
                <w:between w:val="nil"/>
              </w:pBdr>
              <w:rPr>
                <w:color w:val="000000"/>
              </w:rPr>
            </w:pPr>
            <w:r>
              <w:rPr>
                <w:color w:val="000000"/>
              </w:rPr>
              <w:t>[…]</w:t>
            </w:r>
          </w:p>
          <w:p w:rsidR="008077E4" w:rsidP="008077E4" w:rsidRDefault="008077E4" w14:paraId="3E6C26FB" w14:textId="77777777">
            <w:pPr>
              <w:pBdr>
                <w:top w:val="nil"/>
                <w:left w:val="nil"/>
                <w:bottom w:val="nil"/>
                <w:right w:val="nil"/>
                <w:between w:val="nil"/>
              </w:pBdr>
              <w:rPr>
                <w:color w:val="000000"/>
              </w:rPr>
            </w:pPr>
            <w:r>
              <w:rPr>
                <w:color w:val="000000"/>
              </w:rPr>
              <w:t xml:space="preserve">6.1.6. tradicionālie kuģi, kas ir jebkura veida vēsturiski pasažieru kuģi, kas konstruēti pirms 1965. gada, vai to kopijas, kas būvētas galvenokārt no oriģinālajiem materiāliem, ieskaitot tradicionālo amatu un kuģošanas veicināšanai un popularizēšanai paredzētos kuģus, kas kopā kalpo kā </w:t>
            </w:r>
            <w:r>
              <w:rPr>
                <w:color w:val="000000"/>
              </w:rPr>
              <w:lastRenderedPageBreak/>
              <w:t>funkcionējoši kultūras pieminekļi, kurus ekspluatē saskaņā ar tradicionālajiem kuģošanas principiem un paņēmieniem;</w:t>
            </w:r>
          </w:p>
          <w:p w:rsidR="008077E4" w:rsidP="008077E4" w:rsidRDefault="008077E4" w14:paraId="56204BD7" w14:textId="77777777">
            <w:r>
              <w:rPr>
                <w:color w:val="000000"/>
              </w:rPr>
              <w:t>[…]"</w:t>
            </w:r>
          </w:p>
        </w:tc>
      </w:tr>
      <w:tr w:rsidR="008077E4" w:rsidTr="00D75D3B" w14:paraId="7B6D88D9" w14:textId="77777777">
        <w:tc>
          <w:tcPr>
            <w:tcW w:w="708" w:type="dxa"/>
            <w:tcBorders>
              <w:left w:val="single" w:color="000000" w:sz="6" w:space="0"/>
              <w:bottom w:val="single" w:color="000000" w:sz="4" w:space="0"/>
              <w:right w:val="single" w:color="000000" w:sz="6" w:space="0"/>
            </w:tcBorders>
          </w:tcPr>
          <w:p w:rsidR="008077E4" w:rsidP="008077E4" w:rsidRDefault="00273F86" w14:paraId="2AA3DB2F" w14:textId="5FD0DAD9">
            <w:pPr>
              <w:pBdr>
                <w:top w:val="nil"/>
                <w:left w:val="nil"/>
                <w:bottom w:val="nil"/>
                <w:right w:val="nil"/>
                <w:between w:val="nil"/>
              </w:pBdr>
              <w:jc w:val="center"/>
              <w:rPr>
                <w:color w:val="000000"/>
              </w:rPr>
            </w:pPr>
            <w:r>
              <w:rPr>
                <w:color w:val="000000"/>
              </w:rPr>
              <w:lastRenderedPageBreak/>
              <w:t>6.</w:t>
            </w:r>
          </w:p>
        </w:tc>
        <w:tc>
          <w:tcPr>
            <w:tcW w:w="3090" w:type="dxa"/>
            <w:tcBorders>
              <w:left w:val="single" w:color="000000" w:sz="6" w:space="0"/>
              <w:bottom w:val="single" w:color="000000" w:sz="4" w:space="0"/>
              <w:right w:val="single" w:color="000000" w:sz="6" w:space="0"/>
            </w:tcBorders>
          </w:tcPr>
          <w:p w:rsidR="008077E4" w:rsidP="008077E4" w:rsidRDefault="008077E4" w14:paraId="77D44140" w14:textId="77777777">
            <w:pPr>
              <w:pBdr>
                <w:top w:val="nil"/>
                <w:left w:val="nil"/>
                <w:bottom w:val="nil"/>
                <w:right w:val="nil"/>
                <w:between w:val="nil"/>
              </w:pBdr>
              <w:rPr>
                <w:color w:val="000000"/>
              </w:rPr>
            </w:pPr>
            <w:r>
              <w:rPr>
                <w:color w:val="000000"/>
              </w:rPr>
              <w:t>8. Izteikt 6. punktu šādā redakcijā:</w:t>
            </w:r>
          </w:p>
          <w:p w:rsidR="008077E4" w:rsidP="008077E4" w:rsidRDefault="008077E4" w14:paraId="24D81941" w14:textId="77777777">
            <w:pPr>
              <w:pBdr>
                <w:top w:val="nil"/>
                <w:left w:val="nil"/>
                <w:bottom w:val="nil"/>
                <w:right w:val="nil"/>
                <w:between w:val="nil"/>
              </w:pBdr>
              <w:rPr>
                <w:color w:val="000000"/>
              </w:rPr>
            </w:pPr>
            <w:r>
              <w:rPr>
                <w:color w:val="000000"/>
              </w:rPr>
              <w:t>"6. Noteikumi neattiecas uz:</w:t>
            </w:r>
          </w:p>
          <w:p w:rsidR="008077E4" w:rsidP="008077E4" w:rsidRDefault="008077E4" w14:paraId="114DA6C3" w14:textId="77777777">
            <w:pPr>
              <w:pBdr>
                <w:top w:val="nil"/>
                <w:left w:val="nil"/>
                <w:bottom w:val="nil"/>
                <w:right w:val="nil"/>
                <w:between w:val="nil"/>
              </w:pBdr>
              <w:rPr>
                <w:color w:val="000000"/>
              </w:rPr>
            </w:pPr>
            <w:r>
              <w:rPr>
                <w:color w:val="000000"/>
              </w:rPr>
              <w:t>6.1. šādiem pasažieru kuģiem:</w:t>
            </w:r>
          </w:p>
          <w:p w:rsidR="008077E4" w:rsidP="008077E4" w:rsidRDefault="008077E4" w14:paraId="6B0339A4" w14:textId="77777777">
            <w:pPr>
              <w:pBdr>
                <w:top w:val="nil"/>
                <w:left w:val="nil"/>
                <w:bottom w:val="nil"/>
                <w:right w:val="nil"/>
                <w:between w:val="nil"/>
              </w:pBdr>
              <w:rPr>
                <w:color w:val="000000"/>
              </w:rPr>
            </w:pPr>
            <w:r>
              <w:rPr>
                <w:color w:val="000000"/>
              </w:rPr>
              <w:t>[…]</w:t>
            </w:r>
          </w:p>
          <w:p w:rsidR="008077E4" w:rsidP="008077E4" w:rsidRDefault="008077E4" w14:paraId="75C72842" w14:textId="77777777">
            <w:pPr>
              <w:pBdr>
                <w:top w:val="nil"/>
                <w:left w:val="nil"/>
                <w:bottom w:val="nil"/>
                <w:right w:val="nil"/>
                <w:between w:val="nil"/>
              </w:pBdr>
              <w:rPr>
                <w:color w:val="000000"/>
              </w:rPr>
            </w:pPr>
            <w:r>
              <w:rPr>
                <w:color w:val="000000"/>
              </w:rPr>
              <w:t>6.1.7. atpūtas jahtas, ja tās netiek izmantotas komercdarbībai, neatkarīgi no piedziņas veida;</w:t>
            </w:r>
          </w:p>
          <w:p w:rsidR="008077E4" w:rsidP="008077E4" w:rsidRDefault="008077E4" w14:paraId="74606A87" w14:textId="77777777">
            <w:pPr>
              <w:pBdr>
                <w:top w:val="nil"/>
                <w:left w:val="nil"/>
                <w:bottom w:val="nil"/>
                <w:right w:val="nil"/>
                <w:between w:val="nil"/>
              </w:pBdr>
              <w:rPr>
                <w:color w:val="000000"/>
              </w:rPr>
            </w:pPr>
            <w:r>
              <w:rPr>
                <w:color w:val="000000"/>
              </w:rPr>
              <w:t>[…]</w:t>
            </w:r>
          </w:p>
          <w:p w:rsidR="008077E4" w:rsidP="008077E4" w:rsidRDefault="008077E4" w14:paraId="31E3B54E" w14:textId="77777777">
            <w:pPr>
              <w:pBdr>
                <w:top w:val="nil"/>
                <w:left w:val="nil"/>
                <w:bottom w:val="nil"/>
                <w:right w:val="nil"/>
                <w:between w:val="nil"/>
              </w:pBdr>
              <w:rPr>
                <w:color w:val="000000"/>
              </w:rPr>
            </w:pPr>
            <w:r>
              <w:rPr>
                <w:color w:val="000000"/>
              </w:rPr>
              <w:t>6.2. šādiem ātrgaitas pasažieru kuģiem:</w:t>
            </w:r>
          </w:p>
          <w:p w:rsidR="008077E4" w:rsidP="008077E4" w:rsidRDefault="008077E4" w14:paraId="07AF3959" w14:textId="77777777">
            <w:pPr>
              <w:pBdr>
                <w:top w:val="nil"/>
                <w:left w:val="nil"/>
                <w:bottom w:val="nil"/>
                <w:right w:val="nil"/>
                <w:between w:val="nil"/>
              </w:pBdr>
              <w:rPr>
                <w:color w:val="000000"/>
              </w:rPr>
            </w:pPr>
            <w:r>
              <w:rPr>
                <w:color w:val="000000"/>
              </w:rPr>
              <w:t>[…]</w:t>
            </w:r>
          </w:p>
          <w:p w:rsidR="008077E4" w:rsidP="008077E4" w:rsidRDefault="008077E4" w14:paraId="6837ADCC" w14:textId="77777777">
            <w:pPr>
              <w:pBdr>
                <w:top w:val="nil"/>
                <w:left w:val="nil"/>
                <w:bottom w:val="nil"/>
                <w:right w:val="nil"/>
                <w:between w:val="nil"/>
              </w:pBdr>
              <w:rPr>
                <w:color w:val="000000"/>
              </w:rPr>
            </w:pPr>
            <w:r>
              <w:rPr>
                <w:color w:val="000000"/>
              </w:rPr>
              <w:t>6.2.2. atpūtas kuģi, ja tie netiek izmantoti komercdarbībai, neatkarīgi no piedziņas veida;</w:t>
            </w:r>
          </w:p>
          <w:p w:rsidR="008077E4" w:rsidP="008077E4" w:rsidRDefault="008077E4" w14:paraId="6B1C75C9" w14:textId="3B135A3B">
            <w:pPr>
              <w:pBdr>
                <w:top w:val="nil"/>
                <w:left w:val="nil"/>
                <w:bottom w:val="nil"/>
                <w:right w:val="nil"/>
                <w:between w:val="nil"/>
              </w:pBdr>
              <w:rPr>
                <w:color w:val="000000"/>
              </w:rPr>
            </w:pPr>
            <w:r>
              <w:rPr>
                <w:color w:val="000000"/>
              </w:rPr>
              <w:t>[…]"</w:t>
            </w:r>
          </w:p>
        </w:tc>
        <w:tc>
          <w:tcPr>
            <w:tcW w:w="4410" w:type="dxa"/>
            <w:tcBorders>
              <w:left w:val="single" w:color="000000" w:sz="6" w:space="0"/>
              <w:bottom w:val="single" w:color="000000" w:sz="4" w:space="0"/>
              <w:right w:val="single" w:color="000000" w:sz="6" w:space="0"/>
            </w:tcBorders>
          </w:tcPr>
          <w:p w:rsidR="008077E4" w:rsidP="008077E4" w:rsidRDefault="008077E4" w14:paraId="3DDF8672" w14:textId="05841703">
            <w:pPr>
              <w:tabs>
                <w:tab w:val="left" w:pos="993"/>
              </w:tabs>
            </w:pPr>
            <w:r>
              <w:t>Lai izvairītos no liekvārdības, lūdzam projekta 7. punktā izteiktajā noteikumu 6.1.7. apakšpunktā norādītajā vārdu savienojumā “</w:t>
            </w:r>
            <w:r>
              <w:rPr>
                <w:u w:val="single"/>
              </w:rPr>
              <w:t>atpūtas</w:t>
            </w:r>
            <w:r>
              <w:t xml:space="preserve"> jahtām, ja tās netiek izmantotas komercdarbībai” svītrot vārdu “atpūtas”. Līdzīgi lūdzam precizēt arī projekta 7. punktā izteikto noteikumu 6.2.2. apakšpunktu.</w:t>
            </w:r>
          </w:p>
        </w:tc>
        <w:tc>
          <w:tcPr>
            <w:tcW w:w="2610" w:type="dxa"/>
            <w:tcBorders>
              <w:top w:val="single" w:color="000000" w:sz="4" w:space="0"/>
              <w:left w:val="single" w:color="000000" w:sz="4" w:space="0"/>
              <w:bottom w:val="single" w:color="000000" w:sz="4" w:space="0"/>
            </w:tcBorders>
          </w:tcPr>
          <w:p w:rsidRPr="00594EF3" w:rsidR="00594EF3" w:rsidP="00594EF3" w:rsidRDefault="00594EF3" w14:paraId="11954737" w14:textId="77777777">
            <w:pPr>
              <w:pBdr>
                <w:top w:val="nil"/>
                <w:left w:val="nil"/>
                <w:bottom w:val="nil"/>
                <w:right w:val="nil"/>
                <w:between w:val="nil"/>
              </w:pBdr>
              <w:rPr>
                <w:b/>
                <w:color w:val="000000"/>
              </w:rPr>
            </w:pPr>
            <w:r w:rsidRPr="00594EF3">
              <w:rPr>
                <w:b/>
                <w:color w:val="000000"/>
              </w:rPr>
              <w:t>Panākta vienošanās elektroniskajā saskaņošanā</w:t>
            </w:r>
          </w:p>
          <w:p w:rsidR="008077E4" w:rsidP="008077E4" w:rsidRDefault="008077E4" w14:paraId="7D775BC8" w14:textId="77777777">
            <w:pPr>
              <w:pBdr>
                <w:top w:val="nil"/>
                <w:left w:val="nil"/>
                <w:bottom w:val="nil"/>
                <w:right w:val="nil"/>
                <w:between w:val="nil"/>
              </w:pBdr>
              <w:rPr>
                <w:color w:val="000000"/>
              </w:rPr>
            </w:pPr>
            <w:r>
              <w:rPr>
                <w:color w:val="000000"/>
              </w:rPr>
              <w:t xml:space="preserve">Vārda "atpūtas" lietošana ir būtiska, jo Direktīva (ES) 2017/2108 nosaka izņēmumu tieši jahtām un kuģiem ar diviem raksturlielumiem – ir paredzēti izklaides (atpūtas) braucieniem un netiek izmantoti komercdarbībai. Šāds jahtu un kuģu raksturojums ir saskaņā ar 1974. gada Starptautisko konvenciju par cilvēku dzīvības aizsardzību uz jūras (SOLAS konvencija), Starptautisko drošas kuģu ekspluatācijas un piesārņošanas novēršanas vadības kodeksu (IMO 1993. </w:t>
            </w:r>
            <w:r>
              <w:rPr>
                <w:color w:val="000000"/>
              </w:rPr>
              <w:lastRenderedPageBreak/>
              <w:t>gada 4. novembra Rezolūcija A.741(18)) u.c. Lai termini "jahta" un "kuģis" neasociētos ar to plašo nozīmi, tie uzreiz tiek papildināti ar vienu no raksturlielumiem "atpūtas".</w:t>
            </w:r>
          </w:p>
          <w:p w:rsidR="008077E4" w:rsidP="008077E4" w:rsidRDefault="008077E4" w14:paraId="670906A8" w14:textId="77777777">
            <w:pPr>
              <w:pBdr>
                <w:top w:val="nil"/>
                <w:left w:val="nil"/>
                <w:bottom w:val="nil"/>
                <w:right w:val="nil"/>
                <w:between w:val="nil"/>
              </w:pBdr>
              <w:rPr>
                <w:color w:val="000000"/>
              </w:rPr>
            </w:pPr>
            <w:r>
              <w:rPr>
                <w:color w:val="000000"/>
              </w:rPr>
              <w:t>Arī citos normatīvajos aktos tiek lietoti termini "izklaides, izpriecu, atpūtas" jahta un kuģis (Regula (EK) Nr. 336/2006, Jūras kodekss).</w:t>
            </w:r>
          </w:p>
          <w:p w:rsidR="008077E4" w:rsidP="008077E4" w:rsidRDefault="008077E4" w14:paraId="4335A8F1" w14:textId="605156BC">
            <w:pPr>
              <w:pBdr>
                <w:top w:val="nil"/>
                <w:left w:val="nil"/>
                <w:bottom w:val="nil"/>
                <w:right w:val="nil"/>
                <w:between w:val="nil"/>
              </w:pBdr>
              <w:rPr>
                <w:b/>
                <w:color w:val="000000"/>
              </w:rPr>
            </w:pPr>
            <w:r>
              <w:rPr>
                <w:color w:val="000000"/>
              </w:rPr>
              <w:t>Vienlaikus vēršam uzmanību, ka dažādos Eiropas Komisijas jūrniecības jomas auditos vai Eiropas Jūras drošības aģentūras vizītēs tiek izteikti iebildumi par atšķirīgas terminoloģijas, klasifikācijas lietošanu, ieviešot direktīvas.</w:t>
            </w:r>
          </w:p>
        </w:tc>
        <w:tc>
          <w:tcPr>
            <w:tcW w:w="3330" w:type="dxa"/>
            <w:tcBorders>
              <w:left w:val="single" w:color="000000" w:sz="6" w:space="0"/>
              <w:bottom w:val="single" w:color="000000" w:sz="4" w:space="0"/>
              <w:right w:val="single" w:color="000000" w:sz="6" w:space="0"/>
            </w:tcBorders>
          </w:tcPr>
          <w:p w:rsidR="008077E4" w:rsidP="008077E4" w:rsidRDefault="00F004DC" w14:paraId="51569BD5" w14:textId="692C7F44">
            <w:pPr>
              <w:pBdr>
                <w:top w:val="nil"/>
                <w:left w:val="nil"/>
                <w:bottom w:val="nil"/>
                <w:right w:val="nil"/>
                <w:between w:val="nil"/>
              </w:pBdr>
              <w:rPr>
                <w:color w:val="000000"/>
              </w:rPr>
            </w:pPr>
            <w:r>
              <w:rPr>
                <w:color w:val="000000"/>
              </w:rPr>
              <w:lastRenderedPageBreak/>
              <w:t>1.</w:t>
            </w:r>
            <w:r w:rsidR="008077E4">
              <w:rPr>
                <w:color w:val="000000"/>
              </w:rPr>
              <w:t>8. Izteikt 6. punktu šādā redakcijā:</w:t>
            </w:r>
          </w:p>
          <w:p w:rsidR="008077E4" w:rsidP="008077E4" w:rsidRDefault="008077E4" w14:paraId="02A508E8" w14:textId="77777777">
            <w:pPr>
              <w:pBdr>
                <w:top w:val="nil"/>
                <w:left w:val="nil"/>
                <w:bottom w:val="nil"/>
                <w:right w:val="nil"/>
                <w:between w:val="nil"/>
              </w:pBdr>
              <w:rPr>
                <w:color w:val="000000"/>
              </w:rPr>
            </w:pPr>
            <w:r>
              <w:rPr>
                <w:color w:val="000000"/>
              </w:rPr>
              <w:t>"6. Noteikumi neattiecas uz:</w:t>
            </w:r>
          </w:p>
          <w:p w:rsidR="008077E4" w:rsidP="008077E4" w:rsidRDefault="008077E4" w14:paraId="10536D8C" w14:textId="77777777">
            <w:pPr>
              <w:pBdr>
                <w:top w:val="nil"/>
                <w:left w:val="nil"/>
                <w:bottom w:val="nil"/>
                <w:right w:val="nil"/>
                <w:between w:val="nil"/>
              </w:pBdr>
              <w:rPr>
                <w:color w:val="000000"/>
              </w:rPr>
            </w:pPr>
            <w:r>
              <w:rPr>
                <w:color w:val="000000"/>
              </w:rPr>
              <w:t>6.1. šādiem pasažieru kuģiem:</w:t>
            </w:r>
          </w:p>
          <w:p w:rsidR="008077E4" w:rsidP="008077E4" w:rsidRDefault="008077E4" w14:paraId="6B9E4F5A" w14:textId="77777777">
            <w:pPr>
              <w:pBdr>
                <w:top w:val="nil"/>
                <w:left w:val="nil"/>
                <w:bottom w:val="nil"/>
                <w:right w:val="nil"/>
                <w:between w:val="nil"/>
              </w:pBdr>
              <w:rPr>
                <w:color w:val="000000"/>
              </w:rPr>
            </w:pPr>
            <w:r>
              <w:rPr>
                <w:color w:val="000000"/>
              </w:rPr>
              <w:t>[…]</w:t>
            </w:r>
          </w:p>
          <w:p w:rsidR="008077E4" w:rsidP="008077E4" w:rsidRDefault="008077E4" w14:paraId="33572915" w14:textId="77777777">
            <w:pPr>
              <w:pBdr>
                <w:top w:val="nil"/>
                <w:left w:val="nil"/>
                <w:bottom w:val="nil"/>
                <w:right w:val="nil"/>
                <w:between w:val="nil"/>
              </w:pBdr>
              <w:rPr>
                <w:color w:val="000000"/>
              </w:rPr>
            </w:pPr>
            <w:r>
              <w:rPr>
                <w:color w:val="000000"/>
              </w:rPr>
              <w:t>6.1.7. atpūtas jahtas, ja tās netiek izmantotas komercdarbībai, neatkarīgi no piedziņas veida;</w:t>
            </w:r>
          </w:p>
          <w:p w:rsidR="008077E4" w:rsidP="008077E4" w:rsidRDefault="008077E4" w14:paraId="31CFC7FF" w14:textId="77777777">
            <w:pPr>
              <w:pBdr>
                <w:top w:val="nil"/>
                <w:left w:val="nil"/>
                <w:bottom w:val="nil"/>
                <w:right w:val="nil"/>
                <w:between w:val="nil"/>
              </w:pBdr>
              <w:rPr>
                <w:color w:val="000000"/>
              </w:rPr>
            </w:pPr>
            <w:r>
              <w:rPr>
                <w:color w:val="000000"/>
              </w:rPr>
              <w:t>[…]</w:t>
            </w:r>
          </w:p>
          <w:p w:rsidR="008077E4" w:rsidP="008077E4" w:rsidRDefault="008077E4" w14:paraId="0B38526A" w14:textId="77777777">
            <w:pPr>
              <w:pBdr>
                <w:top w:val="nil"/>
                <w:left w:val="nil"/>
                <w:bottom w:val="nil"/>
                <w:right w:val="nil"/>
                <w:between w:val="nil"/>
              </w:pBdr>
              <w:rPr>
                <w:color w:val="000000"/>
              </w:rPr>
            </w:pPr>
            <w:r>
              <w:rPr>
                <w:color w:val="000000"/>
              </w:rPr>
              <w:t>6.2. šādiem ātrgaitas pasažieru kuģiem:</w:t>
            </w:r>
          </w:p>
          <w:p w:rsidR="008077E4" w:rsidP="008077E4" w:rsidRDefault="008077E4" w14:paraId="0ABE58A5" w14:textId="77777777">
            <w:pPr>
              <w:pBdr>
                <w:top w:val="nil"/>
                <w:left w:val="nil"/>
                <w:bottom w:val="nil"/>
                <w:right w:val="nil"/>
                <w:between w:val="nil"/>
              </w:pBdr>
              <w:rPr>
                <w:color w:val="000000"/>
              </w:rPr>
            </w:pPr>
            <w:r>
              <w:rPr>
                <w:color w:val="000000"/>
              </w:rPr>
              <w:t>[…]</w:t>
            </w:r>
          </w:p>
          <w:p w:rsidR="008077E4" w:rsidP="008077E4" w:rsidRDefault="008077E4" w14:paraId="435B64E5" w14:textId="77777777">
            <w:pPr>
              <w:pBdr>
                <w:top w:val="nil"/>
                <w:left w:val="nil"/>
                <w:bottom w:val="nil"/>
                <w:right w:val="nil"/>
                <w:between w:val="nil"/>
              </w:pBdr>
              <w:rPr>
                <w:color w:val="000000"/>
              </w:rPr>
            </w:pPr>
            <w:r>
              <w:rPr>
                <w:color w:val="000000"/>
              </w:rPr>
              <w:t>6.2.2. atpūtas kuģi, ja tie netiek izmantoti komercdarbībai, neatkarīgi no piedziņas veida;</w:t>
            </w:r>
          </w:p>
          <w:p w:rsidR="008077E4" w:rsidP="008077E4" w:rsidRDefault="008077E4" w14:paraId="7C9F041B" w14:textId="243A6C73">
            <w:pPr>
              <w:pBdr>
                <w:top w:val="nil"/>
                <w:left w:val="nil"/>
                <w:bottom w:val="nil"/>
                <w:right w:val="nil"/>
                <w:between w:val="nil"/>
              </w:pBdr>
              <w:rPr>
                <w:color w:val="000000"/>
              </w:rPr>
            </w:pPr>
            <w:r>
              <w:rPr>
                <w:color w:val="000000"/>
              </w:rPr>
              <w:t>[…]"</w:t>
            </w:r>
          </w:p>
        </w:tc>
      </w:tr>
      <w:tr w:rsidR="008077E4" w:rsidTr="00D75D3B" w14:paraId="5B21246B" w14:textId="77777777">
        <w:tc>
          <w:tcPr>
            <w:tcW w:w="708" w:type="dxa"/>
            <w:tcBorders>
              <w:left w:val="single" w:color="000000" w:sz="6" w:space="0"/>
              <w:bottom w:val="single" w:color="000000" w:sz="4" w:space="0"/>
              <w:right w:val="single" w:color="000000" w:sz="6" w:space="0"/>
            </w:tcBorders>
          </w:tcPr>
          <w:p w:rsidR="008077E4" w:rsidP="008077E4" w:rsidRDefault="00273F86" w14:paraId="2D111256" w14:textId="6A68AFC4">
            <w:pPr>
              <w:pBdr>
                <w:top w:val="nil"/>
                <w:left w:val="nil"/>
                <w:bottom w:val="nil"/>
                <w:right w:val="nil"/>
                <w:between w:val="nil"/>
              </w:pBdr>
              <w:jc w:val="center"/>
              <w:rPr>
                <w:color w:val="000000"/>
              </w:rPr>
            </w:pPr>
            <w:r>
              <w:rPr>
                <w:color w:val="000000"/>
              </w:rPr>
              <w:lastRenderedPageBreak/>
              <w:t>7.</w:t>
            </w:r>
          </w:p>
        </w:tc>
        <w:tc>
          <w:tcPr>
            <w:tcW w:w="3090" w:type="dxa"/>
            <w:tcBorders>
              <w:left w:val="single" w:color="000000" w:sz="6" w:space="0"/>
              <w:bottom w:val="single" w:color="000000" w:sz="4" w:space="0"/>
              <w:right w:val="single" w:color="000000" w:sz="6" w:space="0"/>
            </w:tcBorders>
          </w:tcPr>
          <w:p w:rsidR="008077E4" w:rsidP="008077E4" w:rsidRDefault="008077E4" w14:paraId="23CA586A" w14:textId="77777777">
            <w:pPr>
              <w:pBdr>
                <w:top w:val="nil"/>
                <w:left w:val="nil"/>
                <w:bottom w:val="nil"/>
                <w:right w:val="nil"/>
                <w:between w:val="nil"/>
              </w:pBdr>
              <w:rPr>
                <w:color w:val="000000"/>
              </w:rPr>
            </w:pPr>
            <w:r>
              <w:rPr>
                <w:color w:val="000000"/>
              </w:rPr>
              <w:t>9. Izteikt II. nodaļu šādā redakcijā:</w:t>
            </w:r>
          </w:p>
          <w:p w:rsidR="008077E4" w:rsidP="008077E4" w:rsidRDefault="008077E4" w14:paraId="24AE9F12" w14:textId="77777777">
            <w:pPr>
              <w:pBdr>
                <w:top w:val="nil"/>
                <w:left w:val="nil"/>
                <w:bottom w:val="nil"/>
                <w:right w:val="nil"/>
                <w:between w:val="nil"/>
              </w:pBdr>
              <w:rPr>
                <w:color w:val="000000"/>
              </w:rPr>
            </w:pPr>
            <w:r>
              <w:rPr>
                <w:color w:val="000000"/>
              </w:rPr>
              <w:t>"[…]</w:t>
            </w:r>
          </w:p>
          <w:p w:rsidR="008077E4" w:rsidP="008077E4" w:rsidRDefault="008077E4" w14:paraId="5A1930BB" w14:textId="77777777">
            <w:pPr>
              <w:pBdr>
                <w:top w:val="nil"/>
                <w:left w:val="nil"/>
                <w:bottom w:val="nil"/>
                <w:right w:val="nil"/>
                <w:between w:val="nil"/>
              </w:pBdr>
              <w:rPr>
                <w:color w:val="000000"/>
              </w:rPr>
            </w:pPr>
            <w:r>
              <w:rPr>
                <w:color w:val="000000"/>
              </w:rPr>
              <w:t>9. Latvijas Jūras administrācija:</w:t>
            </w:r>
          </w:p>
          <w:p w:rsidR="008077E4" w:rsidP="008077E4" w:rsidRDefault="008077E4" w14:paraId="136F62CF" w14:textId="77777777">
            <w:pPr>
              <w:pBdr>
                <w:top w:val="nil"/>
                <w:left w:val="nil"/>
                <w:bottom w:val="nil"/>
                <w:right w:val="nil"/>
                <w:between w:val="nil"/>
              </w:pBdr>
              <w:rPr>
                <w:color w:val="000000"/>
              </w:rPr>
            </w:pPr>
            <w:r>
              <w:rPr>
                <w:color w:val="000000"/>
              </w:rPr>
              <w:lastRenderedPageBreak/>
              <w:t>9.1. izveido un atjauno Latvijas Republikas jurisdikcijā esošo kuģošanas rajonu sarakstu;</w:t>
            </w:r>
          </w:p>
          <w:p w:rsidR="008077E4" w:rsidP="008077E4" w:rsidRDefault="008077E4" w14:paraId="332E4FC1" w14:textId="77777777">
            <w:pPr>
              <w:pBdr>
                <w:top w:val="nil"/>
                <w:left w:val="nil"/>
                <w:bottom w:val="nil"/>
                <w:right w:val="nil"/>
                <w:between w:val="nil"/>
              </w:pBdr>
              <w:rPr>
                <w:color w:val="000000"/>
              </w:rPr>
            </w:pPr>
            <w:r>
              <w:rPr>
                <w:color w:val="000000"/>
              </w:rPr>
              <w:t>9.2. nosaka vistuvāk tās krasta līnijai esošā kuģošanas rajona iekšējo robežu;</w:t>
            </w:r>
          </w:p>
          <w:p w:rsidR="008077E4" w:rsidP="008077E4" w:rsidRDefault="008077E4" w14:paraId="12B66D91" w14:textId="77777777">
            <w:pPr>
              <w:pBdr>
                <w:top w:val="nil"/>
                <w:left w:val="nil"/>
                <w:bottom w:val="nil"/>
                <w:right w:val="nil"/>
                <w:between w:val="nil"/>
              </w:pBdr>
              <w:rPr>
                <w:color w:val="000000"/>
              </w:rPr>
            </w:pPr>
            <w:r>
              <w:rPr>
                <w:color w:val="000000"/>
              </w:rPr>
              <w:t>9.3. kuģošanas rajonu sarakstu publicē tīmekļa vietnē www.lja.lv;</w:t>
            </w:r>
          </w:p>
          <w:p w:rsidR="008077E4" w:rsidP="008077E4" w:rsidRDefault="008077E4" w14:paraId="7B960DF7" w14:textId="77777777">
            <w:pPr>
              <w:pBdr>
                <w:top w:val="nil"/>
                <w:left w:val="nil"/>
                <w:bottom w:val="nil"/>
                <w:right w:val="nil"/>
                <w:between w:val="nil"/>
              </w:pBdr>
              <w:rPr>
                <w:color w:val="000000"/>
              </w:rPr>
            </w:pPr>
            <w:r>
              <w:rPr>
                <w:color w:val="000000"/>
              </w:rPr>
              <w:t>9.4. dara zināmu Eiropas Komisijai kuģošanas rajonu saraksta atrašanās vietu un to, kad sarakstā ir veiktas izmaiņas."</w:t>
            </w:r>
          </w:p>
          <w:p w:rsidR="008077E4" w:rsidP="008077E4" w:rsidRDefault="008077E4" w14:paraId="46A2C912" w14:textId="77777777">
            <w:pPr>
              <w:pBdr>
                <w:top w:val="nil"/>
                <w:left w:val="nil"/>
                <w:bottom w:val="nil"/>
                <w:right w:val="nil"/>
                <w:between w:val="nil"/>
              </w:pBdr>
              <w:rPr>
                <w:color w:val="000000"/>
              </w:rPr>
            </w:pPr>
          </w:p>
          <w:p w:rsidR="008077E4" w:rsidP="008077E4" w:rsidRDefault="008077E4" w14:paraId="6E08999E" w14:textId="77777777">
            <w:pPr>
              <w:pBdr>
                <w:top w:val="nil"/>
                <w:left w:val="nil"/>
                <w:bottom w:val="nil"/>
                <w:right w:val="nil"/>
                <w:between w:val="nil"/>
              </w:pBdr>
              <w:rPr>
                <w:color w:val="000000"/>
              </w:rPr>
            </w:pPr>
            <w:r>
              <w:rPr>
                <w:color w:val="000000"/>
              </w:rPr>
              <w:t>13. Papildināt noteikumus ar 15.</w:t>
            </w:r>
            <w:r>
              <w:rPr>
                <w:color w:val="000000"/>
                <w:vertAlign w:val="superscript"/>
              </w:rPr>
              <w:t>1</w:t>
            </w:r>
            <w:r>
              <w:rPr>
                <w:color w:val="000000"/>
              </w:rPr>
              <w:t xml:space="preserve"> punktu šādā redakcijā:</w:t>
            </w:r>
          </w:p>
          <w:p w:rsidR="008077E4" w:rsidP="008077E4" w:rsidRDefault="008077E4" w14:paraId="02F946B6" w14:textId="5AFA39AF">
            <w:pPr>
              <w:pBdr>
                <w:top w:val="nil"/>
                <w:left w:val="nil"/>
                <w:bottom w:val="nil"/>
                <w:right w:val="nil"/>
                <w:between w:val="nil"/>
              </w:pBdr>
              <w:rPr>
                <w:color w:val="000000"/>
              </w:rPr>
            </w:pPr>
            <w:r>
              <w:rPr>
                <w:color w:val="000000"/>
              </w:rPr>
              <w:t>"15.</w:t>
            </w:r>
            <w:r>
              <w:rPr>
                <w:color w:val="000000"/>
                <w:vertAlign w:val="superscript"/>
              </w:rPr>
              <w:t>1</w:t>
            </w:r>
            <w:r>
              <w:rPr>
                <w:color w:val="000000"/>
              </w:rPr>
              <w:t xml:space="preserve"> Pirms esošie Latvijas C un D klases pasažieru kuģi uzsāk veikt regulārus vietējos reisus ostas valstī, Kuģošanas drošības inspekcija vienojas ar ostas valsti par drošības prasībām."</w:t>
            </w:r>
          </w:p>
        </w:tc>
        <w:tc>
          <w:tcPr>
            <w:tcW w:w="4410" w:type="dxa"/>
            <w:tcBorders>
              <w:left w:val="single" w:color="000000" w:sz="6" w:space="0"/>
              <w:bottom w:val="single" w:color="000000" w:sz="4" w:space="0"/>
              <w:right w:val="single" w:color="000000" w:sz="6" w:space="0"/>
            </w:tcBorders>
          </w:tcPr>
          <w:p w:rsidR="008077E4" w:rsidP="008077E4" w:rsidRDefault="008077E4" w14:paraId="301A6E73" w14:textId="2E973DF3">
            <w:pPr>
              <w:tabs>
                <w:tab w:val="left" w:pos="993"/>
              </w:tabs>
            </w:pPr>
            <w:r>
              <w:lastRenderedPageBreak/>
              <w:t xml:space="preserve">Projekta 9. punktā izteiktajā 9.1. apakšpunktā norādīt kuģošanas rajonu saraksta izveidošanas un atjaunošanas biežumu, tādējādi nodrošinot minētā pienākuma īstenošanu praksē. Līdzīgi lūdzam precizēt arī pārējās minētās </w:t>
            </w:r>
            <w:r>
              <w:lastRenderedPageBreak/>
              <w:t>projekta vienības apakšpunktus, norādot pienākuma īstenošanas termiņu. Minētais attiecas arī uz projekta 13. punktā izteikto noteikumu 15.</w:t>
            </w:r>
            <w:r>
              <w:rPr>
                <w:vertAlign w:val="superscript"/>
              </w:rPr>
              <w:t>1</w:t>
            </w:r>
            <w:r>
              <w:t xml:space="preserve"> punktu.</w:t>
            </w:r>
          </w:p>
        </w:tc>
        <w:tc>
          <w:tcPr>
            <w:tcW w:w="2610" w:type="dxa"/>
            <w:tcBorders>
              <w:top w:val="single" w:color="000000" w:sz="4" w:space="0"/>
              <w:left w:val="single" w:color="000000" w:sz="4" w:space="0"/>
              <w:bottom w:val="single" w:color="000000" w:sz="4" w:space="0"/>
            </w:tcBorders>
          </w:tcPr>
          <w:p w:rsidRPr="00594EF3" w:rsidR="00594EF3" w:rsidP="00594EF3" w:rsidRDefault="00594EF3" w14:paraId="7A72AEE2" w14:textId="77777777">
            <w:pPr>
              <w:pBdr>
                <w:top w:val="nil"/>
                <w:left w:val="nil"/>
                <w:bottom w:val="nil"/>
                <w:right w:val="nil"/>
                <w:between w:val="nil"/>
              </w:pBdr>
              <w:rPr>
                <w:b/>
                <w:color w:val="000000"/>
              </w:rPr>
            </w:pPr>
            <w:r w:rsidRPr="00594EF3">
              <w:rPr>
                <w:b/>
                <w:color w:val="000000"/>
              </w:rPr>
              <w:lastRenderedPageBreak/>
              <w:t>Panākta vienošanās elektroniskajā saskaņošanā</w:t>
            </w:r>
          </w:p>
          <w:p w:rsidR="008077E4" w:rsidP="008077E4" w:rsidRDefault="008077E4" w14:paraId="621CA8FE" w14:textId="77777777">
            <w:pPr>
              <w:pBdr>
                <w:top w:val="nil"/>
                <w:left w:val="nil"/>
                <w:bottom w:val="nil"/>
                <w:right w:val="nil"/>
                <w:between w:val="nil"/>
              </w:pBdr>
              <w:rPr>
                <w:color w:val="000000"/>
              </w:rPr>
            </w:pPr>
            <w:r>
              <w:rPr>
                <w:color w:val="000000"/>
              </w:rPr>
              <w:t xml:space="preserve">Kuģošanas rajonu saraksta un kuģošanas rajona iekšējo robežu </w:t>
            </w:r>
            <w:r>
              <w:rPr>
                <w:color w:val="000000"/>
              </w:rPr>
              <w:lastRenderedPageBreak/>
              <w:t>noteikšana ir atkarīga no:</w:t>
            </w:r>
          </w:p>
          <w:p w:rsidR="008077E4" w:rsidP="008077E4" w:rsidRDefault="008077E4" w14:paraId="008BF99C" w14:textId="77777777">
            <w:pPr>
              <w:pBdr>
                <w:top w:val="nil"/>
                <w:left w:val="nil"/>
                <w:bottom w:val="nil"/>
                <w:right w:val="nil"/>
                <w:between w:val="nil"/>
              </w:pBdr>
              <w:rPr>
                <w:color w:val="000000"/>
              </w:rPr>
            </w:pPr>
            <w:r>
              <w:rPr>
                <w:color w:val="000000"/>
              </w:rPr>
              <w:t>1) zīmīgu viļņu augstuma, kas ir noteikts ar likumu "Par Līgumu par speciālām stabilitātes prasībām ro-ro tipa pasažieru kuģiem, kas saskaņā ar grafiku veic regulārus reisus starp vai uz, vai no noteiktām ostām ziemeļrietumu Eiropā un Baltijas jūrā (Stokholmas līgums, 1996)";</w:t>
            </w:r>
          </w:p>
          <w:p w:rsidR="008077E4" w:rsidP="008077E4" w:rsidRDefault="008077E4" w14:paraId="14F38747" w14:textId="77777777">
            <w:pPr>
              <w:pBdr>
                <w:top w:val="nil"/>
                <w:left w:val="nil"/>
                <w:bottom w:val="nil"/>
                <w:right w:val="nil"/>
                <w:between w:val="nil"/>
              </w:pBdr>
              <w:rPr>
                <w:color w:val="000000"/>
              </w:rPr>
            </w:pPr>
            <w:r>
              <w:rPr>
                <w:color w:val="000000"/>
              </w:rPr>
              <w:t>2) ostu robežām, kuras ir noteiktas ar Ministru kabineta noteikumiem;</w:t>
            </w:r>
          </w:p>
          <w:p w:rsidR="008077E4" w:rsidP="008077E4" w:rsidRDefault="008077E4" w14:paraId="5D996BB6" w14:textId="77777777">
            <w:pPr>
              <w:pBdr>
                <w:top w:val="nil"/>
                <w:left w:val="nil"/>
                <w:bottom w:val="nil"/>
                <w:right w:val="nil"/>
                <w:between w:val="nil"/>
              </w:pBdr>
              <w:rPr>
                <w:color w:val="000000"/>
              </w:rPr>
            </w:pPr>
            <w:r>
              <w:rPr>
                <w:color w:val="000000"/>
              </w:rPr>
              <w:t>3) krasta līnijas, kuras mērījumi ir Latvijas Ģeotelpiskās informācijas aģentūras kompetencē.</w:t>
            </w:r>
          </w:p>
          <w:p w:rsidR="008077E4" w:rsidP="008077E4" w:rsidRDefault="008077E4" w14:paraId="61C5FDF1" w14:textId="77777777">
            <w:pPr>
              <w:pBdr>
                <w:top w:val="nil"/>
                <w:left w:val="nil"/>
                <w:bottom w:val="nil"/>
                <w:right w:val="nil"/>
                <w:between w:val="nil"/>
              </w:pBdr>
              <w:rPr>
                <w:color w:val="000000"/>
              </w:rPr>
            </w:pPr>
            <w:r>
              <w:rPr>
                <w:color w:val="000000"/>
              </w:rPr>
              <w:t>Ņemot vērā iepriekš minēto, nav iespējams paredzēt darbību biežumu un termiņus. VAS "Latvijas Jūras administrācija" savus pienākumus veiks pēc nepieciešamības un nekavējoties.</w:t>
            </w:r>
          </w:p>
          <w:p w:rsidR="008077E4" w:rsidP="008077E4" w:rsidRDefault="008077E4" w14:paraId="03AC0063" w14:textId="77777777">
            <w:pPr>
              <w:pBdr>
                <w:top w:val="nil"/>
                <w:left w:val="nil"/>
                <w:bottom w:val="nil"/>
                <w:right w:val="nil"/>
                <w:between w:val="nil"/>
              </w:pBdr>
              <w:rPr>
                <w:color w:val="000000"/>
              </w:rPr>
            </w:pPr>
          </w:p>
          <w:p w:rsidR="008077E4" w:rsidP="008077E4" w:rsidRDefault="008077E4" w14:paraId="010C0810" w14:textId="789796C6">
            <w:pPr>
              <w:pBdr>
                <w:top w:val="nil"/>
                <w:left w:val="nil"/>
                <w:bottom w:val="nil"/>
                <w:right w:val="nil"/>
                <w:between w:val="nil"/>
              </w:pBdr>
              <w:rPr>
                <w:b/>
                <w:color w:val="000000"/>
              </w:rPr>
            </w:pPr>
            <w:r>
              <w:rPr>
                <w:color w:val="000000"/>
              </w:rPr>
              <w:t>Projekta 13. punktā paredzēt un noteikt termiņu nav iespējams, jo saskaņošanas procesā ir iesaistīta cita ostas valsts, kurai šie noteikumi nav saistoši.</w:t>
            </w:r>
          </w:p>
        </w:tc>
        <w:tc>
          <w:tcPr>
            <w:tcW w:w="3330" w:type="dxa"/>
            <w:tcBorders>
              <w:left w:val="single" w:color="000000" w:sz="6" w:space="0"/>
              <w:bottom w:val="single" w:color="000000" w:sz="4" w:space="0"/>
              <w:right w:val="single" w:color="000000" w:sz="6" w:space="0"/>
            </w:tcBorders>
          </w:tcPr>
          <w:p w:rsidR="008077E4" w:rsidP="008077E4" w:rsidRDefault="00F004DC" w14:paraId="70AB17F1" w14:textId="0E63EB84">
            <w:pPr>
              <w:pBdr>
                <w:top w:val="nil"/>
                <w:left w:val="nil"/>
                <w:bottom w:val="nil"/>
                <w:right w:val="nil"/>
                <w:between w:val="nil"/>
              </w:pBdr>
              <w:rPr>
                <w:color w:val="000000"/>
              </w:rPr>
            </w:pPr>
            <w:r>
              <w:rPr>
                <w:color w:val="000000"/>
              </w:rPr>
              <w:lastRenderedPageBreak/>
              <w:t>1.</w:t>
            </w:r>
            <w:r w:rsidR="008077E4">
              <w:rPr>
                <w:color w:val="000000"/>
              </w:rPr>
              <w:t>9. Izteikt II. nodaļu šādā redakcijā:</w:t>
            </w:r>
          </w:p>
          <w:p w:rsidR="008077E4" w:rsidP="008077E4" w:rsidRDefault="008077E4" w14:paraId="6EC27335" w14:textId="77777777">
            <w:pPr>
              <w:pBdr>
                <w:top w:val="nil"/>
                <w:left w:val="nil"/>
                <w:bottom w:val="nil"/>
                <w:right w:val="nil"/>
                <w:between w:val="nil"/>
              </w:pBdr>
              <w:rPr>
                <w:color w:val="000000"/>
              </w:rPr>
            </w:pPr>
            <w:r>
              <w:rPr>
                <w:color w:val="000000"/>
              </w:rPr>
              <w:t>"[…]</w:t>
            </w:r>
          </w:p>
          <w:p w:rsidR="008077E4" w:rsidP="008077E4" w:rsidRDefault="008077E4" w14:paraId="34CA9F6E" w14:textId="77777777">
            <w:pPr>
              <w:pBdr>
                <w:top w:val="nil"/>
                <w:left w:val="nil"/>
                <w:bottom w:val="nil"/>
                <w:right w:val="nil"/>
                <w:between w:val="nil"/>
              </w:pBdr>
              <w:rPr>
                <w:color w:val="000000"/>
              </w:rPr>
            </w:pPr>
            <w:r>
              <w:rPr>
                <w:color w:val="000000"/>
              </w:rPr>
              <w:t>9. Latvijas Jūras administrācija:</w:t>
            </w:r>
          </w:p>
          <w:p w:rsidR="008077E4" w:rsidP="008077E4" w:rsidRDefault="008077E4" w14:paraId="5C531D72" w14:textId="77777777">
            <w:pPr>
              <w:pBdr>
                <w:top w:val="nil"/>
                <w:left w:val="nil"/>
                <w:bottom w:val="nil"/>
                <w:right w:val="nil"/>
                <w:between w:val="nil"/>
              </w:pBdr>
              <w:rPr>
                <w:color w:val="000000"/>
              </w:rPr>
            </w:pPr>
            <w:r>
              <w:rPr>
                <w:color w:val="000000"/>
              </w:rPr>
              <w:lastRenderedPageBreak/>
              <w:t>9.1. izveido un atjauno Latvijas Republikas jurisdikcijā esošo kuģošanas rajonu sarakstu;</w:t>
            </w:r>
          </w:p>
          <w:p w:rsidR="008077E4" w:rsidP="008077E4" w:rsidRDefault="008077E4" w14:paraId="7B9D7A1F" w14:textId="77777777">
            <w:pPr>
              <w:pBdr>
                <w:top w:val="nil"/>
                <w:left w:val="nil"/>
                <w:bottom w:val="nil"/>
                <w:right w:val="nil"/>
                <w:between w:val="nil"/>
              </w:pBdr>
              <w:rPr>
                <w:color w:val="000000"/>
              </w:rPr>
            </w:pPr>
            <w:r>
              <w:rPr>
                <w:color w:val="000000"/>
              </w:rPr>
              <w:t>9.2. nosaka vistuvāk tās krasta līnijai esošā kuģošanas rajona iekšējo robežu;</w:t>
            </w:r>
          </w:p>
          <w:p w:rsidR="008077E4" w:rsidP="008077E4" w:rsidRDefault="008077E4" w14:paraId="6363040D" w14:textId="77777777">
            <w:pPr>
              <w:pBdr>
                <w:top w:val="nil"/>
                <w:left w:val="nil"/>
                <w:bottom w:val="nil"/>
                <w:right w:val="nil"/>
                <w:between w:val="nil"/>
              </w:pBdr>
              <w:rPr>
                <w:color w:val="000000"/>
              </w:rPr>
            </w:pPr>
            <w:r>
              <w:rPr>
                <w:color w:val="000000"/>
              </w:rPr>
              <w:t>9.3. kuģošanas rajonu sarakstu publicē tīmekļa vietnē www.lja.lv;</w:t>
            </w:r>
          </w:p>
          <w:p w:rsidR="008077E4" w:rsidP="008077E4" w:rsidRDefault="008077E4" w14:paraId="689F4C40" w14:textId="77777777">
            <w:pPr>
              <w:pBdr>
                <w:top w:val="nil"/>
                <w:left w:val="nil"/>
                <w:bottom w:val="nil"/>
                <w:right w:val="nil"/>
                <w:between w:val="nil"/>
              </w:pBdr>
              <w:rPr>
                <w:color w:val="000000"/>
              </w:rPr>
            </w:pPr>
            <w:r>
              <w:rPr>
                <w:color w:val="000000"/>
              </w:rPr>
              <w:t>9.4. dara zināmu Eiropas Komisijai kuģošanas rajonu saraksta atrašanās vietu un to, kad sarakstā ir veiktas izmaiņas."</w:t>
            </w:r>
          </w:p>
          <w:p w:rsidR="008077E4" w:rsidP="008077E4" w:rsidRDefault="008077E4" w14:paraId="423D11CF" w14:textId="77777777">
            <w:pPr>
              <w:pBdr>
                <w:top w:val="nil"/>
                <w:left w:val="nil"/>
                <w:bottom w:val="nil"/>
                <w:right w:val="nil"/>
                <w:between w:val="nil"/>
              </w:pBdr>
              <w:rPr>
                <w:color w:val="000000"/>
              </w:rPr>
            </w:pPr>
          </w:p>
          <w:p w:rsidR="008077E4" w:rsidP="008077E4" w:rsidRDefault="00F004DC" w14:paraId="3BE114E1" w14:textId="3DC18CE0">
            <w:pPr>
              <w:pBdr>
                <w:top w:val="nil"/>
                <w:left w:val="nil"/>
                <w:bottom w:val="nil"/>
                <w:right w:val="nil"/>
                <w:between w:val="nil"/>
              </w:pBdr>
              <w:rPr>
                <w:color w:val="000000"/>
              </w:rPr>
            </w:pPr>
            <w:r>
              <w:rPr>
                <w:color w:val="000000"/>
              </w:rPr>
              <w:t>1.</w:t>
            </w:r>
            <w:r w:rsidR="008077E4">
              <w:rPr>
                <w:color w:val="000000"/>
              </w:rPr>
              <w:t>13. Papildināt noteikumus ar 15.</w:t>
            </w:r>
            <w:r w:rsidR="008077E4">
              <w:rPr>
                <w:color w:val="000000"/>
                <w:vertAlign w:val="superscript"/>
              </w:rPr>
              <w:t>1</w:t>
            </w:r>
            <w:r w:rsidR="008077E4">
              <w:rPr>
                <w:color w:val="000000"/>
              </w:rPr>
              <w:t xml:space="preserve"> punktu šādā redakcijā:</w:t>
            </w:r>
          </w:p>
          <w:p w:rsidR="008077E4" w:rsidP="008077E4" w:rsidRDefault="008077E4" w14:paraId="459E0B37" w14:textId="44EADE0B">
            <w:pPr>
              <w:pBdr>
                <w:top w:val="nil"/>
                <w:left w:val="nil"/>
                <w:bottom w:val="nil"/>
                <w:right w:val="nil"/>
                <w:between w:val="nil"/>
              </w:pBdr>
              <w:rPr>
                <w:color w:val="000000"/>
              </w:rPr>
            </w:pPr>
            <w:r>
              <w:rPr>
                <w:color w:val="000000"/>
              </w:rPr>
              <w:t>"15.</w:t>
            </w:r>
            <w:r>
              <w:rPr>
                <w:color w:val="000000"/>
                <w:vertAlign w:val="superscript"/>
              </w:rPr>
              <w:t>1</w:t>
            </w:r>
            <w:r>
              <w:rPr>
                <w:color w:val="000000"/>
              </w:rPr>
              <w:t xml:space="preserve"> Pirms esošie Latvijas C un D klases pasažieru kuģi uzsāk veikt regulārus vietējos reisus ostas valstī, Kuģošanas drošības inspekcija vienojas ar ostas valsti par drošības prasībām."</w:t>
            </w:r>
          </w:p>
        </w:tc>
      </w:tr>
      <w:tr w:rsidR="008077E4" w14:paraId="5CB05CA6" w14:textId="77777777">
        <w:tc>
          <w:tcPr>
            <w:tcW w:w="708" w:type="dxa"/>
            <w:tcBorders>
              <w:left w:val="single" w:color="000000" w:sz="6" w:space="0"/>
              <w:bottom w:val="single" w:color="000000" w:sz="4" w:space="0"/>
              <w:right w:val="single" w:color="000000" w:sz="6" w:space="0"/>
            </w:tcBorders>
          </w:tcPr>
          <w:p w:rsidR="008077E4" w:rsidP="008077E4" w:rsidRDefault="00273F86" w14:paraId="18A1D0A3" w14:textId="2536C88C">
            <w:pPr>
              <w:pBdr>
                <w:top w:val="nil"/>
                <w:left w:val="nil"/>
                <w:bottom w:val="nil"/>
                <w:right w:val="nil"/>
                <w:between w:val="nil"/>
              </w:pBdr>
              <w:jc w:val="center"/>
              <w:rPr>
                <w:color w:val="000000"/>
              </w:rPr>
            </w:pPr>
            <w:r>
              <w:rPr>
                <w:color w:val="000000"/>
              </w:rPr>
              <w:lastRenderedPageBreak/>
              <w:t>8</w:t>
            </w:r>
            <w:r w:rsidR="008077E4">
              <w:rPr>
                <w:color w:val="000000"/>
              </w:rPr>
              <w:t>.</w:t>
            </w:r>
          </w:p>
        </w:tc>
        <w:tc>
          <w:tcPr>
            <w:tcW w:w="3090" w:type="dxa"/>
            <w:tcBorders>
              <w:left w:val="single" w:color="000000" w:sz="6" w:space="0"/>
              <w:bottom w:val="single" w:color="000000" w:sz="4" w:space="0"/>
              <w:right w:val="single" w:color="000000" w:sz="6" w:space="0"/>
            </w:tcBorders>
          </w:tcPr>
          <w:p w:rsidR="008077E4" w:rsidP="008077E4" w:rsidRDefault="008077E4" w14:paraId="12CDC72C" w14:textId="77777777">
            <w:pPr>
              <w:pBdr>
                <w:top w:val="nil"/>
                <w:left w:val="nil"/>
                <w:bottom w:val="nil"/>
                <w:right w:val="nil"/>
                <w:between w:val="nil"/>
              </w:pBdr>
              <w:rPr>
                <w:color w:val="000000"/>
              </w:rPr>
            </w:pPr>
            <w:r>
              <w:rPr>
                <w:color w:val="000000"/>
              </w:rPr>
              <w:t>9. Izteikt II. nodaļu šādā redakcijā:</w:t>
            </w:r>
          </w:p>
          <w:p w:rsidR="008077E4" w:rsidP="008077E4" w:rsidRDefault="008077E4" w14:paraId="7B5EA12C" w14:textId="77777777">
            <w:pPr>
              <w:pBdr>
                <w:top w:val="nil"/>
                <w:left w:val="nil"/>
                <w:bottom w:val="nil"/>
                <w:right w:val="nil"/>
                <w:between w:val="nil"/>
              </w:pBdr>
              <w:rPr>
                <w:color w:val="000000"/>
              </w:rPr>
            </w:pPr>
            <w:r>
              <w:rPr>
                <w:color w:val="000000"/>
              </w:rPr>
              <w:t>"[…]</w:t>
            </w:r>
          </w:p>
          <w:p w:rsidR="008077E4" w:rsidP="008077E4" w:rsidRDefault="008077E4" w14:paraId="785A0C0B" w14:textId="77777777">
            <w:pPr>
              <w:pBdr>
                <w:top w:val="nil"/>
                <w:left w:val="nil"/>
                <w:bottom w:val="nil"/>
                <w:right w:val="nil"/>
                <w:between w:val="nil"/>
              </w:pBdr>
              <w:rPr>
                <w:color w:val="000000"/>
              </w:rPr>
            </w:pPr>
            <w:r>
              <w:rPr>
                <w:color w:val="000000"/>
              </w:rPr>
              <w:t>9. Latvijas Jūras administrācija:</w:t>
            </w:r>
          </w:p>
          <w:p w:rsidR="008077E4" w:rsidP="008077E4" w:rsidRDefault="008077E4" w14:paraId="318CF3F7" w14:textId="77777777">
            <w:pPr>
              <w:pBdr>
                <w:top w:val="nil"/>
                <w:left w:val="nil"/>
                <w:bottom w:val="nil"/>
                <w:right w:val="nil"/>
                <w:between w:val="nil"/>
              </w:pBdr>
              <w:rPr>
                <w:color w:val="000000"/>
              </w:rPr>
            </w:pPr>
            <w:r>
              <w:rPr>
                <w:color w:val="000000"/>
              </w:rPr>
              <w:t>[…]</w:t>
            </w:r>
          </w:p>
          <w:p w:rsidR="008077E4" w:rsidP="008077E4" w:rsidRDefault="008077E4" w14:paraId="077808DA" w14:textId="77777777">
            <w:pPr>
              <w:pBdr>
                <w:top w:val="nil"/>
                <w:left w:val="nil"/>
                <w:bottom w:val="nil"/>
                <w:right w:val="nil"/>
                <w:between w:val="nil"/>
              </w:pBdr>
              <w:rPr>
                <w:color w:val="000000"/>
              </w:rPr>
            </w:pPr>
            <w:r>
              <w:rPr>
                <w:color w:val="000000"/>
              </w:rPr>
              <w:t>9.4. dara zināmu Eiropas Komisijai kuģošanas rajonu saraksta atrašanās vietu un to, kad sarakstā ir veiktas izmaiņas."</w:t>
            </w:r>
          </w:p>
          <w:p w:rsidR="008077E4" w:rsidP="008077E4" w:rsidRDefault="008077E4" w14:paraId="22F83690" w14:textId="77777777">
            <w:pPr>
              <w:pBdr>
                <w:top w:val="nil"/>
                <w:left w:val="nil"/>
                <w:bottom w:val="nil"/>
                <w:right w:val="nil"/>
                <w:between w:val="nil"/>
              </w:pBdr>
              <w:rPr>
                <w:color w:val="000000"/>
              </w:rPr>
            </w:pPr>
          </w:p>
        </w:tc>
        <w:tc>
          <w:tcPr>
            <w:tcW w:w="4410" w:type="dxa"/>
            <w:tcBorders>
              <w:left w:val="single" w:color="000000" w:sz="6" w:space="0"/>
              <w:bottom w:val="single" w:color="000000" w:sz="4" w:space="0"/>
              <w:right w:val="single" w:color="000000" w:sz="6" w:space="0"/>
            </w:tcBorders>
          </w:tcPr>
          <w:p w:rsidR="008077E4" w:rsidP="008077E4" w:rsidRDefault="008077E4" w14:paraId="275201F7" w14:textId="77777777">
            <w:pPr>
              <w:tabs>
                <w:tab w:val="left" w:pos="993"/>
              </w:tabs>
            </w:pPr>
            <w:r>
              <w:t>Projekta 9. punktā izteiktajā noteikumu 9.4. apakšpunktā ietverts Latvijas Jūras administrācijas pienākums pret Eiropas Komisiju, kas tieši neskar privātpersonas. Attiecīgi minētais regulējums obligāti nav ārējā normatīvā aktā ietverams jautājums. Ievērojot minēto, lūdzam izvērtēt, vai minētā norma saglabājam informatīviem nolūkiem vai svītrojama.</w:t>
            </w:r>
          </w:p>
          <w:p w:rsidR="008077E4" w:rsidP="008077E4" w:rsidRDefault="008077E4" w14:paraId="1022176E" w14:textId="77777777">
            <w:pPr>
              <w:tabs>
                <w:tab w:val="left" w:pos="993"/>
              </w:tabs>
            </w:pPr>
          </w:p>
        </w:tc>
        <w:tc>
          <w:tcPr>
            <w:tcW w:w="2610" w:type="dxa"/>
            <w:tcBorders>
              <w:left w:val="single" w:color="000000" w:sz="6" w:space="0"/>
              <w:bottom w:val="single" w:color="000000" w:sz="4" w:space="0"/>
              <w:right w:val="single" w:color="000000" w:sz="6" w:space="0"/>
            </w:tcBorders>
          </w:tcPr>
          <w:p w:rsidR="008077E4" w:rsidP="008077E4" w:rsidRDefault="008077E4" w14:paraId="06E9A15E" w14:textId="131979A8">
            <w:pPr>
              <w:rPr>
                <w:b/>
              </w:rPr>
            </w:pPr>
            <w:r>
              <w:rPr>
                <w:b/>
                <w:color w:val="000000"/>
              </w:rPr>
              <w:t>Ņemts vērā</w:t>
            </w:r>
            <w:r>
              <w:rPr>
                <w:b/>
              </w:rPr>
              <w:t xml:space="preserve"> </w:t>
            </w:r>
          </w:p>
          <w:p w:rsidRPr="00BA3184" w:rsidR="008077E4" w:rsidP="008077E4" w:rsidRDefault="008077E4" w14:paraId="7821815A" w14:textId="67FBDD2E">
            <w:r>
              <w:t xml:space="preserve">Direktīvas (ES) 2017/2108 1. panta 3. punkts nosaka, ka Eiropas Komisijai jādara zināma jūras rajonu saraksta atrašanās vieta un veiktās izmaiņas tajā. Ņemot vērā, ka Direktīvas (ES) 2017/2108 prasība paredz vairākkārtēju tās piemērošanu, kompetentā subjekta, kuram nosakāms šāds pienākums, noteikšanu, šāda pienākumu uzliekoša materiālā tiesību norma projektā būtu atstājama. Šī norma attiecībās starp valsti un privātpersonu faktiski nosaka valsts pienākumu nodrošināt privātpersonām </w:t>
            </w:r>
            <w:r>
              <w:lastRenderedPageBreak/>
              <w:t>pieejamu un uzraugāmu informācijas publicitāti. Šādas normas ir arī citos normatīvajos aktos, piemēram, Ministru kabineta 2012. gada 15. maija noteikumu Nr. 339 “Noteikumi par ostu formalitātēm” 19. punkts.</w:t>
            </w:r>
          </w:p>
        </w:tc>
        <w:tc>
          <w:tcPr>
            <w:tcW w:w="3330" w:type="dxa"/>
            <w:tcBorders>
              <w:top w:val="single" w:color="000000" w:sz="4" w:space="0"/>
              <w:left w:val="single" w:color="000000" w:sz="4" w:space="0"/>
              <w:bottom w:val="single" w:color="000000" w:sz="4" w:space="0"/>
            </w:tcBorders>
          </w:tcPr>
          <w:p w:rsidR="008077E4" w:rsidP="008077E4" w:rsidRDefault="00F004DC" w14:paraId="386C4DD6" w14:textId="30D400EF">
            <w:r>
              <w:lastRenderedPageBreak/>
              <w:t>1.</w:t>
            </w:r>
            <w:r w:rsidR="008077E4">
              <w:t>9. Izteikt II. nodaļu šādā redakcijā:</w:t>
            </w:r>
          </w:p>
          <w:p w:rsidR="008077E4" w:rsidP="008077E4" w:rsidRDefault="008077E4" w14:paraId="2DF2D333" w14:textId="77777777">
            <w:r>
              <w:t>"[…]</w:t>
            </w:r>
          </w:p>
          <w:p w:rsidR="008077E4" w:rsidP="008077E4" w:rsidRDefault="008077E4" w14:paraId="579D17CE" w14:textId="77777777">
            <w:r>
              <w:t>9. Latvijas Jūras administrācija:</w:t>
            </w:r>
          </w:p>
          <w:p w:rsidR="008077E4" w:rsidP="008077E4" w:rsidRDefault="008077E4" w14:paraId="40A7103B" w14:textId="77777777">
            <w:r>
              <w:t>[…]</w:t>
            </w:r>
          </w:p>
          <w:p w:rsidR="008077E4" w:rsidP="008077E4" w:rsidRDefault="008077E4" w14:paraId="64266B77" w14:textId="77777777">
            <w:r>
              <w:t>9.4. dara zināmu Eiropas Komisijai kuģošanas rajonu saraksta atrašanās vietu un to, kad sarakstā ir veiktas izmaiņas."</w:t>
            </w:r>
          </w:p>
          <w:p w:rsidR="008077E4" w:rsidP="008077E4" w:rsidRDefault="008077E4" w14:paraId="30F5B1BD" w14:textId="77777777"/>
        </w:tc>
      </w:tr>
      <w:tr w:rsidR="008077E4" w14:paraId="235F2525" w14:textId="77777777">
        <w:tc>
          <w:tcPr>
            <w:tcW w:w="708" w:type="dxa"/>
            <w:tcBorders>
              <w:left w:val="single" w:color="000000" w:sz="6" w:space="0"/>
              <w:bottom w:val="single" w:color="000000" w:sz="4" w:space="0"/>
              <w:right w:val="single" w:color="000000" w:sz="6" w:space="0"/>
            </w:tcBorders>
          </w:tcPr>
          <w:p w:rsidR="008077E4" w:rsidP="008077E4" w:rsidRDefault="00273F86" w14:paraId="74DF46F6" w14:textId="5C24C140">
            <w:pPr>
              <w:pBdr>
                <w:top w:val="nil"/>
                <w:left w:val="nil"/>
                <w:bottom w:val="nil"/>
                <w:right w:val="nil"/>
                <w:between w:val="nil"/>
              </w:pBdr>
              <w:jc w:val="center"/>
              <w:rPr>
                <w:color w:val="000000"/>
              </w:rPr>
            </w:pPr>
            <w:r>
              <w:rPr>
                <w:color w:val="000000"/>
              </w:rPr>
              <w:t>9</w:t>
            </w:r>
            <w:r w:rsidR="008077E4">
              <w:rPr>
                <w:color w:val="000000"/>
              </w:rPr>
              <w:t>.</w:t>
            </w:r>
          </w:p>
        </w:tc>
        <w:tc>
          <w:tcPr>
            <w:tcW w:w="3090" w:type="dxa"/>
            <w:tcBorders>
              <w:left w:val="single" w:color="000000" w:sz="6" w:space="0"/>
              <w:bottom w:val="single" w:color="000000" w:sz="4" w:space="0"/>
              <w:right w:val="single" w:color="000000" w:sz="6" w:space="0"/>
            </w:tcBorders>
          </w:tcPr>
          <w:p w:rsidR="008077E4" w:rsidP="008077E4" w:rsidRDefault="008077E4" w14:paraId="34B23278" w14:textId="77777777">
            <w:pPr>
              <w:pBdr>
                <w:top w:val="nil"/>
                <w:left w:val="nil"/>
                <w:bottom w:val="nil"/>
                <w:right w:val="nil"/>
                <w:between w:val="nil"/>
              </w:pBdr>
              <w:rPr>
                <w:color w:val="000000"/>
              </w:rPr>
            </w:pPr>
            <w:r>
              <w:rPr>
                <w:color w:val="000000"/>
              </w:rPr>
              <w:t>15. Papildināt noteikumus ar 18.</w:t>
            </w:r>
            <w:r>
              <w:rPr>
                <w:color w:val="000000"/>
                <w:vertAlign w:val="superscript"/>
              </w:rPr>
              <w:t>1</w:t>
            </w:r>
            <w:r>
              <w:rPr>
                <w:color w:val="000000"/>
              </w:rPr>
              <w:t xml:space="preserve"> punktu šādā redakcijā:</w:t>
            </w:r>
          </w:p>
          <w:p w:rsidR="008077E4" w:rsidP="008077E4" w:rsidRDefault="008077E4" w14:paraId="3346FD09" w14:textId="77777777">
            <w:pPr>
              <w:pBdr>
                <w:top w:val="nil"/>
                <w:left w:val="nil"/>
                <w:bottom w:val="nil"/>
                <w:right w:val="nil"/>
                <w:between w:val="nil"/>
              </w:pBdr>
              <w:rPr>
                <w:color w:val="000000"/>
              </w:rPr>
            </w:pPr>
            <w:r>
              <w:rPr>
                <w:color w:val="000000"/>
              </w:rPr>
              <w:t>"18.</w:t>
            </w:r>
            <w:r>
              <w:rPr>
                <w:color w:val="000000"/>
                <w:vertAlign w:val="superscript"/>
              </w:rPr>
              <w:t>1</w:t>
            </w:r>
            <w:r>
              <w:rPr>
                <w:color w:val="000000"/>
              </w:rPr>
              <w:t xml:space="preserve"> Kuģi, kas būvēti no līdzvērtīga materiāla pirms 2017. gada 20. decembra, atbilst šo noteikumu prasībām līdz 2025. gada 22. decembrim."</w:t>
            </w:r>
          </w:p>
          <w:p w:rsidR="008077E4" w:rsidP="008077E4" w:rsidRDefault="008077E4" w14:paraId="45661B22" w14:textId="77777777">
            <w:pPr>
              <w:pBdr>
                <w:top w:val="nil"/>
                <w:left w:val="nil"/>
                <w:bottom w:val="nil"/>
                <w:right w:val="nil"/>
                <w:between w:val="nil"/>
              </w:pBdr>
              <w:rPr>
                <w:color w:val="000000"/>
              </w:rPr>
            </w:pPr>
          </w:p>
        </w:tc>
        <w:tc>
          <w:tcPr>
            <w:tcW w:w="4410" w:type="dxa"/>
            <w:tcBorders>
              <w:left w:val="single" w:color="000000" w:sz="6" w:space="0"/>
              <w:bottom w:val="single" w:color="000000" w:sz="4" w:space="0"/>
              <w:right w:val="single" w:color="000000" w:sz="6" w:space="0"/>
            </w:tcBorders>
          </w:tcPr>
          <w:p w:rsidR="008077E4" w:rsidP="008077E4" w:rsidRDefault="008077E4" w14:paraId="792BD186" w14:textId="77777777">
            <w:pPr>
              <w:tabs>
                <w:tab w:val="left" w:pos="993"/>
              </w:tabs>
            </w:pPr>
            <w:r>
              <w:t>Atbilstoši MKN. 108 115. punktam projekta 15. punkts ir noslēguma jautājums. Attiecīgi lūdzam precizēt projekta 15. punktā ietvertā regulējuma izvietojumu noteikumos.</w:t>
            </w:r>
          </w:p>
        </w:tc>
        <w:tc>
          <w:tcPr>
            <w:tcW w:w="2610" w:type="dxa"/>
            <w:tcBorders>
              <w:left w:val="single" w:color="000000" w:sz="6" w:space="0"/>
              <w:bottom w:val="single" w:color="000000" w:sz="4" w:space="0"/>
              <w:right w:val="single" w:color="000000" w:sz="6" w:space="0"/>
            </w:tcBorders>
          </w:tcPr>
          <w:p w:rsidR="008077E4" w:rsidP="008077E4" w:rsidRDefault="008077E4" w14:paraId="2111EA48" w14:textId="77777777">
            <w:pPr>
              <w:pBdr>
                <w:top w:val="nil"/>
                <w:left w:val="nil"/>
                <w:bottom w:val="nil"/>
                <w:right w:val="nil"/>
                <w:between w:val="nil"/>
              </w:pBdr>
              <w:rPr>
                <w:b/>
                <w:color w:val="000000"/>
              </w:rPr>
            </w:pPr>
            <w:r>
              <w:rPr>
                <w:b/>
                <w:color w:val="000000"/>
              </w:rPr>
              <w:t>Ņemts vērā</w:t>
            </w:r>
          </w:p>
        </w:tc>
        <w:tc>
          <w:tcPr>
            <w:tcW w:w="3330" w:type="dxa"/>
            <w:tcBorders>
              <w:top w:val="single" w:color="000000" w:sz="4" w:space="0"/>
              <w:left w:val="single" w:color="000000" w:sz="4" w:space="0"/>
              <w:bottom w:val="single" w:color="000000" w:sz="4" w:space="0"/>
            </w:tcBorders>
          </w:tcPr>
          <w:p w:rsidRPr="00E744AE" w:rsidR="008077E4" w:rsidP="008077E4" w:rsidRDefault="00F004DC" w14:paraId="47559583" w14:textId="0E47DBA9">
            <w:pPr>
              <w:rPr>
                <w:bCs/>
              </w:rPr>
            </w:pPr>
            <w:r>
              <w:rPr>
                <w:bCs/>
              </w:rPr>
              <w:t>1.</w:t>
            </w:r>
            <w:r w:rsidRPr="004477C4" w:rsidR="008077E4">
              <w:rPr>
                <w:bCs/>
              </w:rPr>
              <w:t>24.</w:t>
            </w:r>
            <w:r w:rsidRPr="00705301" w:rsidR="008077E4">
              <w:rPr>
                <w:bCs/>
              </w:rPr>
              <w:t xml:space="preserve"> Papildināt noteikumus ar </w:t>
            </w:r>
            <w:r w:rsidRPr="004477C4" w:rsidR="008077E4">
              <w:rPr>
                <w:bCs/>
              </w:rPr>
              <w:t>34.</w:t>
            </w:r>
            <w:r w:rsidRPr="00705301" w:rsidR="008077E4">
              <w:rPr>
                <w:bCs/>
              </w:rPr>
              <w:t xml:space="preserve"> punktu šādā redakcijā:</w:t>
            </w:r>
          </w:p>
          <w:p w:rsidRPr="00E744AE" w:rsidR="008077E4" w:rsidP="008077E4" w:rsidRDefault="008077E4" w14:paraId="395595C3" w14:textId="338F6F33">
            <w:pPr>
              <w:rPr>
                <w:bCs/>
              </w:rPr>
            </w:pPr>
            <w:r w:rsidRPr="00E744AE">
              <w:rPr>
                <w:bCs/>
              </w:rPr>
              <w:t>"</w:t>
            </w:r>
            <w:r w:rsidRPr="004477C4">
              <w:rPr>
                <w:bCs/>
              </w:rPr>
              <w:t>34.</w:t>
            </w:r>
            <w:r w:rsidRPr="00705301">
              <w:rPr>
                <w:bCs/>
              </w:rPr>
              <w:t xml:space="preserve"> Kuģ</w:t>
            </w:r>
            <w:r w:rsidR="00F004DC">
              <w:rPr>
                <w:bCs/>
              </w:rPr>
              <w:t>u</w:t>
            </w:r>
            <w:r w:rsidRPr="00705301">
              <w:rPr>
                <w:bCs/>
              </w:rPr>
              <w:t>, kas būvēti no līdzvērtīga materiāla pirms 2017. gada 20. decembra, atbilst</w:t>
            </w:r>
            <w:r w:rsidR="00F004DC">
              <w:rPr>
                <w:bCs/>
              </w:rPr>
              <w:t xml:space="preserve">ība </w:t>
            </w:r>
            <w:r w:rsidRPr="00705301">
              <w:rPr>
                <w:bCs/>
              </w:rPr>
              <w:t xml:space="preserve">šo noteikumu prasībām </w:t>
            </w:r>
            <w:r w:rsidR="00F004DC">
              <w:rPr>
                <w:bCs/>
              </w:rPr>
              <w:t>jānodrošina ne vēlāk kā no</w:t>
            </w:r>
            <w:r w:rsidRPr="00705301">
              <w:rPr>
                <w:bCs/>
              </w:rPr>
              <w:t xml:space="preserve"> 2025. gada 2</w:t>
            </w:r>
            <w:r w:rsidR="00F004DC">
              <w:rPr>
                <w:bCs/>
              </w:rPr>
              <w:t>3</w:t>
            </w:r>
            <w:r w:rsidRPr="00705301">
              <w:rPr>
                <w:bCs/>
              </w:rPr>
              <w:t>. decembr</w:t>
            </w:r>
            <w:r w:rsidR="00F004DC">
              <w:rPr>
                <w:bCs/>
              </w:rPr>
              <w:t>a</w:t>
            </w:r>
            <w:r w:rsidRPr="00705301">
              <w:rPr>
                <w:bCs/>
              </w:rPr>
              <w:t>."</w:t>
            </w:r>
          </w:p>
        </w:tc>
      </w:tr>
      <w:tr w:rsidR="008077E4" w:rsidTr="00273F86" w14:paraId="74D111AB" w14:textId="77777777">
        <w:tc>
          <w:tcPr>
            <w:tcW w:w="708" w:type="dxa"/>
            <w:tcBorders>
              <w:left w:val="single" w:color="000000" w:sz="6" w:space="0"/>
              <w:bottom w:val="single" w:color="auto" w:sz="4" w:space="0"/>
              <w:right w:val="single" w:color="000000" w:sz="6" w:space="0"/>
            </w:tcBorders>
          </w:tcPr>
          <w:p w:rsidR="008077E4" w:rsidP="008077E4" w:rsidRDefault="00273F86" w14:paraId="1420C4FA" w14:textId="6992729A">
            <w:pPr>
              <w:pBdr>
                <w:top w:val="nil"/>
                <w:left w:val="nil"/>
                <w:bottom w:val="nil"/>
                <w:right w:val="nil"/>
                <w:between w:val="nil"/>
              </w:pBdr>
              <w:jc w:val="center"/>
              <w:rPr>
                <w:color w:val="000000"/>
              </w:rPr>
            </w:pPr>
            <w:r>
              <w:rPr>
                <w:color w:val="000000"/>
              </w:rPr>
              <w:t>10</w:t>
            </w:r>
            <w:r w:rsidR="008077E4">
              <w:rPr>
                <w:color w:val="000000"/>
              </w:rPr>
              <w:t>.</w:t>
            </w:r>
          </w:p>
        </w:tc>
        <w:tc>
          <w:tcPr>
            <w:tcW w:w="3090" w:type="dxa"/>
            <w:tcBorders>
              <w:left w:val="single" w:color="000000" w:sz="6" w:space="0"/>
              <w:bottom w:val="single" w:color="auto" w:sz="4" w:space="0"/>
              <w:right w:val="single" w:color="000000" w:sz="6" w:space="0"/>
            </w:tcBorders>
          </w:tcPr>
          <w:p w:rsidR="008077E4" w:rsidP="008077E4" w:rsidRDefault="008077E4" w14:paraId="483157B4" w14:textId="77777777">
            <w:pPr>
              <w:pBdr>
                <w:top w:val="nil"/>
                <w:left w:val="nil"/>
                <w:bottom w:val="nil"/>
                <w:right w:val="nil"/>
                <w:between w:val="nil"/>
              </w:pBdr>
              <w:rPr>
                <w:color w:val="000000"/>
              </w:rPr>
            </w:pPr>
            <w:r>
              <w:rPr>
                <w:color w:val="000000"/>
              </w:rPr>
              <w:t>Noteikumu 1. pielikums "Drošības prasības attiecībā uz jauniem un esošiem pasažieru kuģiem, kas veic vietējos reisus"</w:t>
            </w:r>
          </w:p>
        </w:tc>
        <w:tc>
          <w:tcPr>
            <w:tcW w:w="4410" w:type="dxa"/>
            <w:tcBorders>
              <w:left w:val="single" w:color="000000" w:sz="6" w:space="0"/>
              <w:bottom w:val="single" w:color="auto" w:sz="4" w:space="0"/>
              <w:right w:val="single" w:color="000000" w:sz="6" w:space="0"/>
            </w:tcBorders>
          </w:tcPr>
          <w:p w:rsidR="008077E4" w:rsidP="008077E4" w:rsidRDefault="008077E4" w14:paraId="27FE66AA" w14:textId="77777777">
            <w:pPr>
              <w:tabs>
                <w:tab w:val="left" w:pos="993"/>
              </w:tabs>
            </w:pPr>
            <w:r>
              <w:t>Izvērtēt noteikumu 1. pielikuma nosaukumu saistībā ar projekta 20. un 21. punktā ietvertajiem noteikumu grozījumiem, nepieciešamības gadījumā papildinot projektu.</w:t>
            </w:r>
          </w:p>
          <w:p w:rsidR="008077E4" w:rsidP="008077E4" w:rsidRDefault="008077E4" w14:paraId="65B54C2A" w14:textId="77777777">
            <w:pPr>
              <w:tabs>
                <w:tab w:val="left" w:pos="993"/>
              </w:tabs>
            </w:pPr>
          </w:p>
        </w:tc>
        <w:tc>
          <w:tcPr>
            <w:tcW w:w="2610" w:type="dxa"/>
            <w:tcBorders>
              <w:left w:val="single" w:color="000000" w:sz="6" w:space="0"/>
              <w:bottom w:val="single" w:color="auto" w:sz="4" w:space="0"/>
              <w:right w:val="single" w:color="000000" w:sz="6" w:space="0"/>
            </w:tcBorders>
          </w:tcPr>
          <w:p w:rsidR="008077E4" w:rsidP="008077E4" w:rsidRDefault="008077E4" w14:paraId="7737E13D" w14:textId="77777777">
            <w:pPr>
              <w:pBdr>
                <w:top w:val="nil"/>
                <w:left w:val="nil"/>
                <w:bottom w:val="nil"/>
                <w:right w:val="nil"/>
                <w:between w:val="nil"/>
              </w:pBdr>
              <w:rPr>
                <w:color w:val="000000"/>
              </w:rPr>
            </w:pPr>
            <w:r>
              <w:rPr>
                <w:b/>
                <w:color w:val="000000"/>
              </w:rPr>
              <w:t>Ņemts vērā</w:t>
            </w:r>
          </w:p>
        </w:tc>
        <w:tc>
          <w:tcPr>
            <w:tcW w:w="3330" w:type="dxa"/>
            <w:tcBorders>
              <w:top w:val="single" w:color="000000" w:sz="4" w:space="0"/>
              <w:left w:val="single" w:color="000000" w:sz="4" w:space="0"/>
              <w:bottom w:val="single" w:color="auto" w:sz="4" w:space="0"/>
            </w:tcBorders>
          </w:tcPr>
          <w:p w:rsidRPr="004477C4" w:rsidR="008077E4" w:rsidP="008077E4" w:rsidRDefault="00F004DC" w14:paraId="35C8D646" w14:textId="52CA34F0">
            <w:pPr>
              <w:rPr>
                <w:bCs/>
              </w:rPr>
            </w:pPr>
            <w:r>
              <w:rPr>
                <w:bCs/>
              </w:rPr>
              <w:t>1.</w:t>
            </w:r>
            <w:bookmarkStart w:name="_GoBack" w:id="0"/>
            <w:bookmarkEnd w:id="0"/>
            <w:r w:rsidRPr="004477C4" w:rsidR="008077E4">
              <w:rPr>
                <w:bCs/>
              </w:rPr>
              <w:t>26. Svītrot 1. pielikuma nosaukumā vārdus "jauniem un esošiem".</w:t>
            </w:r>
          </w:p>
        </w:tc>
      </w:tr>
      <w:tr w:rsidR="00273F86" w:rsidTr="00D75D3B" w14:paraId="15D8E1D3" w14:textId="77777777">
        <w:tc>
          <w:tcPr>
            <w:tcW w:w="708" w:type="dxa"/>
            <w:tcBorders>
              <w:left w:val="single" w:color="000000" w:sz="6" w:space="0"/>
              <w:bottom w:val="single" w:color="000000" w:sz="4" w:space="0"/>
              <w:right w:val="single" w:color="000000" w:sz="6" w:space="0"/>
            </w:tcBorders>
          </w:tcPr>
          <w:p w:rsidR="00273F86" w:rsidP="00273F86" w:rsidRDefault="00273F86" w14:paraId="271E5C5A" w14:textId="324366B2">
            <w:pPr>
              <w:pBdr>
                <w:top w:val="nil"/>
                <w:left w:val="nil"/>
                <w:bottom w:val="nil"/>
                <w:right w:val="nil"/>
                <w:between w:val="nil"/>
              </w:pBdr>
              <w:jc w:val="center"/>
              <w:rPr>
                <w:color w:val="000000"/>
              </w:rPr>
            </w:pPr>
            <w:r>
              <w:rPr>
                <w:color w:val="000000"/>
              </w:rPr>
              <w:t>11.</w:t>
            </w:r>
          </w:p>
        </w:tc>
        <w:tc>
          <w:tcPr>
            <w:tcW w:w="3090" w:type="dxa"/>
            <w:tcBorders>
              <w:left w:val="single" w:color="000000" w:sz="6" w:space="0"/>
              <w:bottom w:val="single" w:color="000000" w:sz="4" w:space="0"/>
              <w:right w:val="single" w:color="000000" w:sz="6" w:space="0"/>
            </w:tcBorders>
          </w:tcPr>
          <w:p w:rsidR="00273F86" w:rsidP="00273F86" w:rsidRDefault="00273F86" w14:paraId="52C9BD83" w14:textId="539EFDC1">
            <w:pPr>
              <w:pBdr>
                <w:top w:val="nil"/>
                <w:left w:val="nil"/>
                <w:bottom w:val="nil"/>
                <w:right w:val="nil"/>
                <w:between w:val="nil"/>
              </w:pBdr>
              <w:rPr>
                <w:color w:val="000000"/>
              </w:rPr>
            </w:pPr>
            <w:r>
              <w:rPr>
                <w:color w:val="000000"/>
              </w:rPr>
              <w:t>Anotācijas V sadaļa</w:t>
            </w:r>
          </w:p>
        </w:tc>
        <w:tc>
          <w:tcPr>
            <w:tcW w:w="4410" w:type="dxa"/>
            <w:tcBorders>
              <w:top w:val="single" w:color="000000" w:sz="6" w:space="0"/>
              <w:left w:val="single" w:color="000000" w:sz="6" w:space="0"/>
              <w:bottom w:val="single" w:color="000000" w:sz="6" w:space="0"/>
              <w:right w:val="single" w:color="000000" w:sz="6" w:space="0"/>
            </w:tcBorders>
          </w:tcPr>
          <w:p w:rsidR="00273F86" w:rsidP="00273F86" w:rsidRDefault="00273F86" w14:paraId="20783C1C" w14:textId="1EE02D1A">
            <w:pPr>
              <w:tabs>
                <w:tab w:val="left" w:pos="993"/>
              </w:tabs>
            </w:pPr>
            <w:r>
              <w:t>Saistībā ar projektā ietvertajām atsaucēm uz Eiropas Savienības regulu un starptautiskajiem dokumentiem lūdzam papildināt projekta anotācijas V sadaļu atbilstoši Ministru kabineta 2009. gada 15. decembra instrukcijas Nr. 19 “Tiesību akta projekta sākotnējās ietekmes izvērtēšanas kārtība” 55.–58. punktam.</w:t>
            </w:r>
          </w:p>
        </w:tc>
        <w:tc>
          <w:tcPr>
            <w:tcW w:w="2610" w:type="dxa"/>
            <w:tcBorders>
              <w:top w:val="single" w:color="000000" w:sz="4" w:space="0"/>
              <w:left w:val="single" w:color="000000" w:sz="4" w:space="0"/>
              <w:bottom w:val="single" w:color="000000" w:sz="4" w:space="0"/>
            </w:tcBorders>
          </w:tcPr>
          <w:p w:rsidRPr="00594EF3" w:rsidR="00594EF3" w:rsidP="00594EF3" w:rsidRDefault="00594EF3" w14:paraId="0EB97B80" w14:textId="77777777">
            <w:pPr>
              <w:rPr>
                <w:b/>
              </w:rPr>
            </w:pPr>
            <w:r w:rsidRPr="00594EF3">
              <w:rPr>
                <w:b/>
              </w:rPr>
              <w:t>Panākta vienošanās elektroniskajā saskaņošanā</w:t>
            </w:r>
          </w:p>
          <w:p w:rsidR="00273F86" w:rsidP="00273F86" w:rsidRDefault="00273F86" w14:paraId="3FA6B8C4" w14:textId="58EE85E5">
            <w:pPr>
              <w:pBdr>
                <w:top w:val="nil"/>
                <w:left w:val="nil"/>
                <w:bottom w:val="nil"/>
                <w:right w:val="nil"/>
                <w:between w:val="nil"/>
              </w:pBdr>
              <w:rPr>
                <w:b/>
                <w:color w:val="000000"/>
              </w:rPr>
            </w:pPr>
            <w:r>
              <w:t xml:space="preserve">Projektā minētās saistības, kas izriet no citiem starptautiskiem jūrniecības dokumentiem, Latvija </w:t>
            </w:r>
            <w:r>
              <w:lastRenderedPageBreak/>
              <w:t>jau ir uzņēmusies un pilda. Ar Direktīvas (ES) 2017/2108 pārņemšanu visas šīs saistības vienkārši tiek attiecinātas uz citu subjektu loku, proti, pasažieru kuģiem, kuri neveic starptautiskos reisus.</w:t>
            </w:r>
          </w:p>
        </w:tc>
        <w:tc>
          <w:tcPr>
            <w:tcW w:w="3330" w:type="dxa"/>
            <w:tcBorders>
              <w:top w:val="single" w:color="000000" w:sz="4" w:space="0"/>
              <w:left w:val="single" w:color="000000" w:sz="4" w:space="0"/>
              <w:bottom w:val="single" w:color="000000" w:sz="4" w:space="0"/>
              <w:right w:val="single" w:color="000000" w:sz="4" w:space="0"/>
            </w:tcBorders>
          </w:tcPr>
          <w:p w:rsidRPr="004477C4" w:rsidR="00273F86" w:rsidP="00273F86" w:rsidRDefault="00273F86" w14:paraId="5CC61242" w14:textId="77777777">
            <w:pPr>
              <w:pBdr>
                <w:top w:val="nil"/>
                <w:left w:val="nil"/>
                <w:bottom w:val="nil"/>
                <w:right w:val="nil"/>
                <w:between w:val="nil"/>
              </w:pBdr>
              <w:rPr>
                <w:bCs/>
              </w:rPr>
            </w:pPr>
            <w:r w:rsidRPr="004477C4">
              <w:rPr>
                <w:bCs/>
              </w:rPr>
              <w:lastRenderedPageBreak/>
              <w:t>Anotācijas V sadaļas 3. punkts papildināts ar šādu aprakstu:</w:t>
            </w:r>
          </w:p>
          <w:p w:rsidRPr="004477C4" w:rsidR="00273F86" w:rsidP="00273F86" w:rsidRDefault="00273F86" w14:paraId="7A0B12B0" w14:textId="35B746C4">
            <w:pPr>
              <w:rPr>
                <w:bCs/>
              </w:rPr>
            </w:pPr>
            <w:r w:rsidRPr="004477C4">
              <w:rPr>
                <w:bCs/>
              </w:rPr>
              <w:t xml:space="preserve">"Projektā minētās saistības, kas izriet no citiem starptautiskiem jūrniecības dokumentiem, Latvija jau ir uzņēmusies un pilda. Ar Direktīvas (ES) 2017/2108 pārņemšanu visas šīs </w:t>
            </w:r>
            <w:r w:rsidRPr="004477C4">
              <w:rPr>
                <w:bCs/>
              </w:rPr>
              <w:lastRenderedPageBreak/>
              <w:t>saistības vienkārši tiek attiecinātas uz citu subjektu loku, proti, pasažieru kuģiem, kuri veic vietējos reisus, nevis starptautiskos reisus."</w:t>
            </w:r>
          </w:p>
        </w:tc>
      </w:tr>
    </w:tbl>
    <w:tbl>
      <w:tblPr>
        <w:tblStyle w:val="a3"/>
        <w:tblW w:w="14148"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708"/>
        <w:gridCol w:w="3090"/>
        <w:gridCol w:w="4410"/>
        <w:gridCol w:w="2610"/>
        <w:gridCol w:w="3330"/>
      </w:tblGrid>
      <w:tr w:rsidR="00C8636C" w14:paraId="1C7643F5" w14:textId="77777777">
        <w:tc>
          <w:tcPr>
            <w:tcW w:w="14148" w:type="dxa"/>
            <w:gridSpan w:val="5"/>
            <w:tcBorders>
              <w:left w:val="single" w:color="000000" w:sz="6" w:space="0"/>
              <w:bottom w:val="single" w:color="000000" w:sz="4" w:space="0"/>
            </w:tcBorders>
          </w:tcPr>
          <w:p w:rsidR="00C8636C" w:rsidRDefault="00D539A4" w14:paraId="74F95672" w14:textId="77777777">
            <w:pPr>
              <w:jc w:val="center"/>
            </w:pPr>
            <w:r>
              <w:rPr>
                <w:b/>
              </w:rPr>
              <w:lastRenderedPageBreak/>
              <w:t>Vides aizsardzības un reģionālās attīstības ministrija</w:t>
            </w:r>
          </w:p>
        </w:tc>
      </w:tr>
      <w:tr w:rsidR="00C8636C" w14:paraId="3D236EE5" w14:textId="77777777">
        <w:tc>
          <w:tcPr>
            <w:tcW w:w="708" w:type="dxa"/>
            <w:tcBorders>
              <w:left w:val="single" w:color="000000" w:sz="6" w:space="0"/>
              <w:bottom w:val="single" w:color="000000" w:sz="4" w:space="0"/>
              <w:right w:val="single" w:color="000000" w:sz="6" w:space="0"/>
            </w:tcBorders>
          </w:tcPr>
          <w:p w:rsidR="00C8636C" w:rsidRDefault="00273F86" w14:paraId="0019E141" w14:textId="451052E0">
            <w:pPr>
              <w:pBdr>
                <w:top w:val="nil"/>
                <w:left w:val="nil"/>
                <w:bottom w:val="nil"/>
                <w:right w:val="nil"/>
                <w:between w:val="nil"/>
              </w:pBdr>
              <w:jc w:val="center"/>
              <w:rPr>
                <w:color w:val="000000"/>
              </w:rPr>
            </w:pPr>
            <w:r>
              <w:rPr>
                <w:color w:val="000000"/>
              </w:rPr>
              <w:t>12</w:t>
            </w:r>
            <w:r w:rsidR="00D539A4">
              <w:rPr>
                <w:color w:val="000000"/>
              </w:rPr>
              <w:t>.</w:t>
            </w:r>
          </w:p>
        </w:tc>
        <w:tc>
          <w:tcPr>
            <w:tcW w:w="3090" w:type="dxa"/>
            <w:tcBorders>
              <w:left w:val="single" w:color="000000" w:sz="6" w:space="0"/>
              <w:bottom w:val="single" w:color="000000" w:sz="4" w:space="0"/>
              <w:right w:val="single" w:color="000000" w:sz="6" w:space="0"/>
            </w:tcBorders>
          </w:tcPr>
          <w:p w:rsidR="00C8636C" w:rsidRDefault="00D539A4" w14:paraId="7BE32685" w14:textId="77777777">
            <w:pPr>
              <w:pBdr>
                <w:top w:val="nil"/>
                <w:left w:val="nil"/>
                <w:bottom w:val="nil"/>
                <w:right w:val="nil"/>
                <w:between w:val="nil"/>
              </w:pBdr>
              <w:rPr>
                <w:color w:val="000000"/>
              </w:rPr>
            </w:pPr>
            <w:r>
              <w:rPr>
                <w:color w:val="000000"/>
              </w:rPr>
              <w:t>Anotācijas I sadaļas 2. punkts</w:t>
            </w:r>
          </w:p>
        </w:tc>
        <w:tc>
          <w:tcPr>
            <w:tcW w:w="4410" w:type="dxa"/>
            <w:tcBorders>
              <w:left w:val="single" w:color="000000" w:sz="6" w:space="0"/>
              <w:bottom w:val="single" w:color="000000" w:sz="4" w:space="0"/>
              <w:right w:val="single" w:color="000000" w:sz="6" w:space="0"/>
            </w:tcBorders>
          </w:tcPr>
          <w:p w:rsidR="00C8636C" w:rsidRDefault="00D539A4" w14:paraId="5449A717" w14:textId="77777777">
            <w:pPr>
              <w:tabs>
                <w:tab w:val="left" w:pos="993"/>
              </w:tabs>
            </w:pPr>
            <w:r>
              <w:t xml:space="preserve">Ministru kabineta 2011. gada 14. jūnija noteikumi Nr.451 “Noteikumi par drošības prasībām vietējos reisos iesaistītiem pasažieru kuģiem” satur norādi par kārtību, kādā tiek izsniegtas pasažieru kuģu drošības apliecības. Ņemot vērā, ka šis valsts pārvaldes pakalpojums nav identificēts un definēts, lūdzam saskaņā ar Ministru kabineta 2009. gada 15. decembra instrukcijas Nr. 19 “Tiesību akta projekta sākotnējās ietekmes izvērtēšanas kārtība” 14.4. apakšpunktu anotācijas I sadaļas 2. punktā norādīt minētā valsts pārvaldes pakalpojuma nosaukumu un tā sniegšanas kanālus. Pakalpojuma nosaukumu lūdzam veidot atbilstoši VARAM izstrādātajiem un 2019. gada 10. aprīlī apstiprinātajiem metodiskajiem ieteikumiem “Metodiskie ieteikumi valsts pārvaldes pakalpojumu pārvaldībai”, savukārt pakalpojuma pieprasīšanas un saņemšanas kanāli, saskaņā ar Ministru kabineta 2017. gada </w:t>
            </w:r>
            <w:r>
              <w:lastRenderedPageBreak/>
              <w:t>4. jūlija noteikumu Nr.399 “Valsts pārvaldes pakalpojumu uzskaites, kvalitātes kontroles un sniegšanas kārtība” 17. punktu, iedalāmi klātienes un neklātienes kanālos. Neklātienes kanāli iedalāmi elektroniskos, telefoniskos un pasta starpniecības kanālos.</w:t>
            </w:r>
          </w:p>
        </w:tc>
        <w:tc>
          <w:tcPr>
            <w:tcW w:w="2610" w:type="dxa"/>
            <w:tcBorders>
              <w:left w:val="single" w:color="000000" w:sz="6" w:space="0"/>
              <w:bottom w:val="single" w:color="000000" w:sz="4" w:space="0"/>
              <w:right w:val="single" w:color="000000" w:sz="6" w:space="0"/>
            </w:tcBorders>
          </w:tcPr>
          <w:p w:rsidR="00C8636C" w:rsidRDefault="00D539A4" w14:paraId="289BFEB0" w14:textId="77777777">
            <w:pPr>
              <w:pBdr>
                <w:top w:val="nil"/>
                <w:left w:val="nil"/>
                <w:bottom w:val="nil"/>
                <w:right w:val="nil"/>
                <w:between w:val="nil"/>
              </w:pBdr>
              <w:rPr>
                <w:b/>
                <w:color w:val="000000"/>
              </w:rPr>
            </w:pPr>
            <w:r>
              <w:rPr>
                <w:b/>
                <w:color w:val="000000"/>
              </w:rPr>
              <w:lastRenderedPageBreak/>
              <w:t>Ņemts vērā</w:t>
            </w:r>
          </w:p>
        </w:tc>
        <w:tc>
          <w:tcPr>
            <w:tcW w:w="3330" w:type="dxa"/>
            <w:tcBorders>
              <w:top w:val="single" w:color="000000" w:sz="4" w:space="0"/>
              <w:left w:val="single" w:color="000000" w:sz="4" w:space="0"/>
              <w:bottom w:val="single" w:color="000000" w:sz="4" w:space="0"/>
            </w:tcBorders>
          </w:tcPr>
          <w:p w:rsidRPr="004477C4" w:rsidR="00C8636C" w:rsidRDefault="00D539A4" w14:paraId="03867DE8" w14:textId="77777777">
            <w:pPr>
              <w:rPr>
                <w:bCs/>
              </w:rPr>
            </w:pPr>
            <w:r w:rsidRPr="004477C4">
              <w:rPr>
                <w:bCs/>
              </w:rPr>
              <w:t>Anotācijas I sadaļas 2. punkts papildināts ar šādu aprakstu:</w:t>
            </w:r>
          </w:p>
          <w:p w:rsidRPr="004477C4" w:rsidR="00C8636C" w:rsidRDefault="00D539A4" w14:paraId="5998EA32" w14:textId="77777777">
            <w:pPr>
              <w:rPr>
                <w:bCs/>
              </w:rPr>
            </w:pPr>
            <w:r w:rsidRPr="004477C4">
              <w:rPr>
                <w:bCs/>
                <w:color w:val="000000"/>
              </w:rPr>
              <w:t>"</w:t>
            </w:r>
            <w:r w:rsidRPr="004477C4">
              <w:rPr>
                <w:bCs/>
              </w:rPr>
              <w:t>Noteikumi un ar projektu saistītie grozījumi satur valsts akciju sabiedrības "Latvijas Jūras administrācija" un klasifikācijas sabiedrību (atzīto organizāciju) (sk. sarakstu –</w:t>
            </w:r>
          </w:p>
          <w:p w:rsidRPr="004477C4" w:rsidR="00C8636C" w:rsidRDefault="00D539A4" w14:paraId="5A5D73DA" w14:textId="77777777">
            <w:pPr>
              <w:rPr>
                <w:bCs/>
              </w:rPr>
            </w:pPr>
            <w:r w:rsidRPr="004477C4">
              <w:rPr>
                <w:bCs/>
              </w:rPr>
              <w:t xml:space="preserve">https://www.lja.lv/kugu-registrs/atzito-klasifikaciju-sabiedribu-saraksts/atzito-klasifikacijas-sabiedribu-saraksts) sniegto pakalpojumu "Vietējos reisos iesaistītā pasažieru kuģa un ātrgaitas pasažieru kuģa drošības apliecības un darbības atļaujas saņemšana". Minētā pakalpojuma pieprasīšanai ir iespējams izmantot klātienes un neklātienes kanālu, proti, iesniegumu par pakalpojuma </w:t>
            </w:r>
            <w:r w:rsidRPr="004477C4">
              <w:rPr>
                <w:bCs/>
              </w:rPr>
              <w:lastRenderedPageBreak/>
              <w:t>pieprasīšanu var iesniegt klātienē, elektroniski, parakstot ar drošu elektronisko parakstu, vai</w:t>
            </w:r>
            <w:r w:rsidRPr="004477C4" w:rsidR="000E385B">
              <w:rPr>
                <w:bCs/>
              </w:rPr>
              <w:t>,</w:t>
            </w:r>
            <w:r w:rsidRPr="004477C4">
              <w:rPr>
                <w:bCs/>
              </w:rPr>
              <w:t xml:space="preserve"> izmantojot pasta starpniecību. Savukārt minētā pakalpojuma saņemšanai ir izveidots klātienes kanāls – </w:t>
            </w:r>
          </w:p>
          <w:p w:rsidRPr="004477C4" w:rsidR="00C8636C" w:rsidRDefault="00D539A4" w14:paraId="4E325D6B" w14:textId="77777777">
            <w:pPr>
              <w:rPr>
                <w:bCs/>
              </w:rPr>
            </w:pPr>
            <w:r w:rsidRPr="004477C4">
              <w:rPr>
                <w:bCs/>
              </w:rPr>
              <w:t>apliecības un darbības atļaujas saņemšana notiek klātienē pie pakalpojuma sniedzēja vai inspicēšanas vietā.</w:t>
            </w:r>
          </w:p>
          <w:p w:rsidRPr="004477C4" w:rsidR="00C8636C" w:rsidRDefault="00D539A4" w14:paraId="7D36A8EF" w14:textId="77777777">
            <w:pPr>
              <w:rPr>
                <w:bCs/>
              </w:rPr>
            </w:pPr>
            <w:r w:rsidRPr="004477C4">
              <w:rPr>
                <w:bCs/>
              </w:rPr>
              <w:t>Pakalpojuma pieprasīšanai un saņemšanai nav plānots izveidot jaunas informācijas un komunikācijas tehnoloģiju sistēmas vai pilnveidot esošās, jo tas šobrīd nav lietderīgi – kopš 2011. gada 29. jūnija, kad stājās spēkā noteikumi, Latvijas Kuģu reģistrā nav reģistrēts kuģis, uz kuru būtu attiecināmi šie noteikumi.</w:t>
            </w:r>
          </w:p>
          <w:p w:rsidRPr="004477C4" w:rsidR="00C8636C" w:rsidRDefault="00D539A4" w14:paraId="34FBDB93" w14:textId="77777777">
            <w:pPr>
              <w:rPr>
                <w:bCs/>
              </w:rPr>
            </w:pPr>
            <w:r w:rsidRPr="004477C4">
              <w:rPr>
                <w:bCs/>
              </w:rPr>
              <w:t>Pēc projekta spēkā stāšanās minētā pakalpojuma apraksts tiks ievietots pakalpojumu katalogā.</w:t>
            </w:r>
            <w:r w:rsidRPr="004477C4">
              <w:rPr>
                <w:bCs/>
                <w:color w:val="000000"/>
              </w:rPr>
              <w:t>"</w:t>
            </w:r>
          </w:p>
        </w:tc>
      </w:tr>
      <w:tr w:rsidR="00C8636C" w14:paraId="17513687" w14:textId="77777777">
        <w:tc>
          <w:tcPr>
            <w:tcW w:w="708" w:type="dxa"/>
            <w:tcBorders>
              <w:top w:val="single" w:color="000000" w:sz="4" w:space="0"/>
              <w:left w:val="single" w:color="000000" w:sz="4" w:space="0"/>
              <w:bottom w:val="single" w:color="000000" w:sz="4" w:space="0"/>
              <w:right w:val="single" w:color="000000" w:sz="4" w:space="0"/>
            </w:tcBorders>
          </w:tcPr>
          <w:p w:rsidR="00C8636C" w:rsidRDefault="00273F86" w14:paraId="13620E87" w14:textId="4048499D">
            <w:pPr>
              <w:pBdr>
                <w:top w:val="nil"/>
                <w:left w:val="nil"/>
                <w:bottom w:val="nil"/>
                <w:right w:val="nil"/>
                <w:between w:val="nil"/>
              </w:pBdr>
              <w:jc w:val="center"/>
              <w:rPr>
                <w:color w:val="000000"/>
              </w:rPr>
            </w:pPr>
            <w:r>
              <w:rPr>
                <w:color w:val="000000"/>
              </w:rPr>
              <w:lastRenderedPageBreak/>
              <w:t>13</w:t>
            </w:r>
            <w:r w:rsidR="00D539A4">
              <w:rPr>
                <w:color w:val="000000"/>
              </w:rPr>
              <w:t>.</w:t>
            </w:r>
          </w:p>
        </w:tc>
        <w:tc>
          <w:tcPr>
            <w:tcW w:w="3090" w:type="dxa"/>
            <w:tcBorders>
              <w:top w:val="single" w:color="000000" w:sz="4" w:space="0"/>
              <w:left w:val="single" w:color="000000" w:sz="4" w:space="0"/>
              <w:bottom w:val="single" w:color="000000" w:sz="4" w:space="0"/>
              <w:right w:val="single" w:color="000000" w:sz="4" w:space="0"/>
            </w:tcBorders>
          </w:tcPr>
          <w:p w:rsidR="00C8636C" w:rsidRDefault="00D539A4" w14:paraId="33D40186" w14:textId="77777777">
            <w:pPr>
              <w:pBdr>
                <w:top w:val="nil"/>
                <w:left w:val="nil"/>
                <w:bottom w:val="nil"/>
                <w:right w:val="nil"/>
                <w:between w:val="nil"/>
              </w:pBdr>
              <w:rPr>
                <w:color w:val="000000"/>
              </w:rPr>
            </w:pPr>
            <w:r>
              <w:rPr>
                <w:color w:val="000000"/>
              </w:rPr>
              <w:t>Anotācijas I sadaļas 2. punkts</w:t>
            </w:r>
          </w:p>
        </w:tc>
        <w:tc>
          <w:tcPr>
            <w:tcW w:w="4410" w:type="dxa"/>
            <w:tcBorders>
              <w:top w:val="single" w:color="000000" w:sz="4" w:space="0"/>
              <w:left w:val="single" w:color="000000" w:sz="4" w:space="0"/>
              <w:bottom w:val="single" w:color="000000" w:sz="4" w:space="0"/>
              <w:right w:val="single" w:color="000000" w:sz="4" w:space="0"/>
            </w:tcBorders>
          </w:tcPr>
          <w:p w:rsidR="00C8636C" w:rsidRDefault="00D539A4" w14:paraId="674B3929" w14:textId="77777777">
            <w:pPr>
              <w:tabs>
                <w:tab w:val="left" w:pos="993"/>
              </w:tabs>
            </w:pPr>
            <w:r>
              <w:t xml:space="preserve">Ņemot vērā, ka idenfiticētais pakalpojums “pasažieru kuģu drošības apliecības saņemšana” nav aprakstīts portālā Latvija.lv, lūdzam pēc Ministru kabineta “Grozījumi Ministru kabineta 2011. gada 14. jūnija noteikumos Nr.451 “Noteikumi par drošības prasībām vietējos reisos </w:t>
            </w:r>
            <w:r>
              <w:lastRenderedPageBreak/>
              <w:t>iesaistītiem pasažieru kuģiem”” (VSS-871) spēkā stāšanās nodrošināt pakalpojuma aprakstīšanu un publicēšanu valsts pārvaldes pakalpojumu portālā Latvija.lv, iekļaujot Ministru kabineta 2017. gada 4. jūlija noteikumu Nr. 399 “Valsts pārvaldes pakalpojumu uzskaites, kvalitātes kontroles un sniegšanas kārtība” 9. punktā minēto informāciju par pakalpojumu.</w:t>
            </w:r>
          </w:p>
        </w:tc>
        <w:tc>
          <w:tcPr>
            <w:tcW w:w="2610" w:type="dxa"/>
            <w:tcBorders>
              <w:top w:val="single" w:color="000000" w:sz="4" w:space="0"/>
              <w:left w:val="single" w:color="000000" w:sz="4" w:space="0"/>
              <w:bottom w:val="single" w:color="000000" w:sz="4" w:space="0"/>
              <w:right w:val="single" w:color="000000" w:sz="4" w:space="0"/>
            </w:tcBorders>
          </w:tcPr>
          <w:p w:rsidR="00C8636C" w:rsidRDefault="00D539A4" w14:paraId="4BDCBEAC" w14:textId="535CCE3D">
            <w:pPr>
              <w:pBdr>
                <w:top w:val="nil"/>
                <w:left w:val="nil"/>
                <w:bottom w:val="nil"/>
                <w:right w:val="nil"/>
                <w:between w:val="nil"/>
              </w:pBdr>
              <w:rPr>
                <w:b/>
                <w:color w:val="000000"/>
              </w:rPr>
            </w:pPr>
            <w:r>
              <w:rPr>
                <w:b/>
                <w:color w:val="000000"/>
              </w:rPr>
              <w:lastRenderedPageBreak/>
              <w:t>Ņemts vērā</w:t>
            </w:r>
          </w:p>
        </w:tc>
        <w:tc>
          <w:tcPr>
            <w:tcW w:w="3330" w:type="dxa"/>
            <w:tcBorders>
              <w:top w:val="single" w:color="000000" w:sz="4" w:space="0"/>
              <w:left w:val="single" w:color="000000" w:sz="4" w:space="0"/>
              <w:bottom w:val="single" w:color="000000" w:sz="4" w:space="0"/>
              <w:right w:val="single" w:color="000000" w:sz="4" w:space="0"/>
            </w:tcBorders>
          </w:tcPr>
          <w:p w:rsidRPr="004477C4" w:rsidR="00C8636C" w:rsidRDefault="00D539A4" w14:paraId="6E8BB216" w14:textId="77777777">
            <w:pPr>
              <w:rPr>
                <w:bCs/>
              </w:rPr>
            </w:pPr>
            <w:r w:rsidRPr="004477C4">
              <w:rPr>
                <w:bCs/>
              </w:rPr>
              <w:t>Anotācijas I sadaļas 2. punkts papildināts ar šādu aprakstu:</w:t>
            </w:r>
          </w:p>
          <w:p w:rsidRPr="004477C4" w:rsidR="00C8636C" w:rsidRDefault="00D539A4" w14:paraId="003BDB86" w14:textId="77777777">
            <w:pPr>
              <w:rPr>
                <w:bCs/>
              </w:rPr>
            </w:pPr>
            <w:r w:rsidRPr="004477C4">
              <w:rPr>
                <w:bCs/>
                <w:color w:val="000000"/>
              </w:rPr>
              <w:t>"</w:t>
            </w:r>
            <w:r w:rsidRPr="004477C4">
              <w:rPr>
                <w:bCs/>
              </w:rPr>
              <w:t xml:space="preserve">Noteikumi un ar projektu saistītie grozījumi satur valsts akciju sabiedrības "Latvijas Jūras administrācija" un </w:t>
            </w:r>
            <w:r w:rsidRPr="004477C4">
              <w:rPr>
                <w:bCs/>
              </w:rPr>
              <w:lastRenderedPageBreak/>
              <w:t>klasifikācijas sabiedrību (atzīto organizāciju) (sk. sarakstu –</w:t>
            </w:r>
          </w:p>
          <w:p w:rsidRPr="004477C4" w:rsidR="00C8636C" w:rsidRDefault="00D539A4" w14:paraId="13615BF4" w14:textId="77777777">
            <w:pPr>
              <w:rPr>
                <w:bCs/>
              </w:rPr>
            </w:pPr>
            <w:r w:rsidRPr="004477C4">
              <w:rPr>
                <w:bCs/>
              </w:rPr>
              <w:t>https://www.lja.lv/kugu-registrs/atzito-klasifikaciju-sabiedribu-saraksts/atzito-klasifikacijas-sabiedribu-saraksts) sniegto pakalpojumu "Vietējos reisos iesaistītā pasažieru kuģa un ātrgaitas pasažieru kuģa drošības apliecības un darbības atļaujas saņemšana". Minētā pakalpojuma pieprasīšanai ir iespējams izmantot klātienes un neklātienes kanālu, proti, iesniegumu par pakalpojuma pieprasīšanu var iesniegt klātienē, elektroniski, parakstot ar drošu elektronisko parakstu, vai</w:t>
            </w:r>
            <w:r w:rsidRPr="004477C4" w:rsidR="000E385B">
              <w:rPr>
                <w:bCs/>
              </w:rPr>
              <w:t>,</w:t>
            </w:r>
            <w:r w:rsidRPr="004477C4">
              <w:rPr>
                <w:bCs/>
              </w:rPr>
              <w:t xml:space="preserve"> izmantojot pasta starpniecību. Savukārt minētā pakalpojuma saņemšanai ir izveidots klātienes kanāls – </w:t>
            </w:r>
          </w:p>
          <w:p w:rsidRPr="004477C4" w:rsidR="00C8636C" w:rsidRDefault="00D539A4" w14:paraId="191162EE" w14:textId="77777777">
            <w:pPr>
              <w:rPr>
                <w:bCs/>
              </w:rPr>
            </w:pPr>
            <w:r w:rsidRPr="004477C4">
              <w:rPr>
                <w:bCs/>
              </w:rPr>
              <w:t>apliecības un darbības atļaujas saņemšana notiek klātienē pie pakalpojuma sniedzēja vai inspicēšanas vietā.</w:t>
            </w:r>
          </w:p>
          <w:p w:rsidRPr="004477C4" w:rsidR="00C8636C" w:rsidRDefault="00D539A4" w14:paraId="4B0D0AA6" w14:textId="77777777">
            <w:pPr>
              <w:rPr>
                <w:bCs/>
              </w:rPr>
            </w:pPr>
            <w:r w:rsidRPr="004477C4">
              <w:rPr>
                <w:bCs/>
              </w:rPr>
              <w:t xml:space="preserve">Pakalpojuma pieprasīšanai un saņemšanai nav plānots izveidot jaunas informācijas un komunikācijas tehnoloģiju sistēmas vai pilnveidot esošās, jo tas šobrīd nav lietderīgi – </w:t>
            </w:r>
            <w:r w:rsidRPr="004477C4">
              <w:rPr>
                <w:bCs/>
              </w:rPr>
              <w:lastRenderedPageBreak/>
              <w:t>kopš 2011. gada 29. jūnija, kad stājās spēkā noteikumi, Latvijas Kuģu reģistrā nav reģistrēts kuģis, uz kuru būtu attiecināmi šie noteikumi.</w:t>
            </w:r>
          </w:p>
          <w:p w:rsidRPr="004477C4" w:rsidR="00C8636C" w:rsidRDefault="00D539A4" w14:paraId="4E5E6B8F" w14:textId="77777777">
            <w:pPr>
              <w:rPr>
                <w:bCs/>
              </w:rPr>
            </w:pPr>
            <w:r w:rsidRPr="004477C4">
              <w:rPr>
                <w:bCs/>
              </w:rPr>
              <w:t>Pēc projekta spēkā stāšanās minētā pakalpojuma apraksts tiks ievietots pakalpojumu katalogā.</w:t>
            </w:r>
            <w:r w:rsidRPr="004477C4">
              <w:rPr>
                <w:bCs/>
                <w:color w:val="000000"/>
              </w:rPr>
              <w:t>"</w:t>
            </w:r>
          </w:p>
        </w:tc>
      </w:tr>
    </w:tbl>
    <w:p w:rsidR="000E385B" w:rsidP="000E385B" w:rsidRDefault="000E385B" w14:paraId="21A589E6" w14:textId="77777777">
      <w:pPr>
        <w:pStyle w:val="naisf"/>
        <w:spacing w:before="0" w:after="0"/>
        <w:ind w:firstLine="0"/>
      </w:pPr>
    </w:p>
    <w:p w:rsidR="000E385B" w:rsidP="000E385B" w:rsidRDefault="000E385B" w14:paraId="66A80083" w14:textId="77777777">
      <w:pPr>
        <w:pStyle w:val="naisf"/>
        <w:spacing w:before="0" w:after="0"/>
        <w:ind w:firstLine="0"/>
      </w:pPr>
    </w:p>
    <w:p w:rsidRPr="000E385B" w:rsidR="000E385B" w:rsidP="000E385B" w:rsidRDefault="000E385B" w14:paraId="56289820" w14:textId="77777777">
      <w:pPr>
        <w:pStyle w:val="naisf"/>
        <w:spacing w:before="0" w:after="0"/>
        <w:ind w:firstLine="0"/>
      </w:pPr>
      <w:r>
        <w:t xml:space="preserve">Atbildīgā amatpersona </w:t>
      </w:r>
      <w:r w:rsidRPr="000E385B">
        <w:t>_____________________________________________</w:t>
      </w:r>
    </w:p>
    <w:p w:rsidRPr="000E385B" w:rsidR="000E385B" w:rsidP="000E385B" w:rsidRDefault="000E385B" w14:paraId="6E60EB19" w14:textId="77777777">
      <w:pPr>
        <w:jc w:val="both"/>
      </w:pPr>
      <w:r w:rsidRPr="000E385B">
        <w:tab/>
      </w:r>
      <w:r w:rsidRPr="000E385B">
        <w:tab/>
      </w:r>
      <w:r w:rsidRPr="000E385B">
        <w:tab/>
      </w:r>
      <w:r w:rsidRPr="000E385B">
        <w:tab/>
      </w:r>
      <w:r w:rsidRPr="000E385B">
        <w:tab/>
      </w:r>
      <w:r w:rsidRPr="000E385B">
        <w:tab/>
        <w:t>(paraksts)</w:t>
      </w:r>
    </w:p>
    <w:p w:rsidRPr="000E385B" w:rsidR="000E385B" w:rsidP="000E385B" w:rsidRDefault="000E385B" w14:paraId="1728185E" w14:textId="77777777">
      <w:pPr>
        <w:jc w:val="both"/>
      </w:pPr>
    </w:p>
    <w:p w:rsidRPr="00415168" w:rsidR="00415168" w:rsidP="00415168" w:rsidRDefault="00415168" w14:paraId="29B870F2" w14:textId="77777777">
      <w:r w:rsidRPr="00415168">
        <w:t xml:space="preserve">Laima Rituma </w:t>
      </w:r>
    </w:p>
    <w:p w:rsidRPr="00415168" w:rsidR="00415168" w:rsidP="00415168" w:rsidRDefault="00415168" w14:paraId="23D1C13E" w14:textId="77777777">
      <w:r w:rsidRPr="00415168">
        <w:t>Satiksmes ministrijas</w:t>
      </w:r>
    </w:p>
    <w:p w:rsidRPr="00415168" w:rsidR="00415168" w:rsidP="00415168" w:rsidRDefault="00415168" w14:paraId="40EF2C62" w14:textId="77777777">
      <w:r w:rsidRPr="00415168">
        <w:t>Jūrlietu departamenta direktore</w:t>
      </w:r>
    </w:p>
    <w:p w:rsidRPr="00415168" w:rsidR="00415168" w:rsidP="00415168" w:rsidRDefault="00415168" w14:paraId="328682AB" w14:textId="5CD1DAD7">
      <w:r w:rsidRPr="00415168">
        <w:t xml:space="preserve">67028198, </w:t>
      </w:r>
      <w:hyperlink w:history="1" r:id="rId9">
        <w:r w:rsidRPr="00415168">
          <w:rPr>
            <w:rStyle w:val="Hyperlink"/>
          </w:rPr>
          <w:t>laima.rituma@sam.gov.lv</w:t>
        </w:r>
      </w:hyperlink>
      <w:r w:rsidRPr="00415168">
        <w:tab/>
      </w:r>
    </w:p>
    <w:p w:rsidRPr="00415168" w:rsidR="00415168" w:rsidP="00415168" w:rsidRDefault="00415168" w14:paraId="6D4FB681" w14:textId="77777777"/>
    <w:p w:rsidRPr="00415168" w:rsidR="00415168" w:rsidP="00415168" w:rsidRDefault="00415168" w14:paraId="261971A5" w14:textId="709466BE">
      <w:r>
        <w:t>Viesturs Ruško</w:t>
      </w:r>
    </w:p>
    <w:p w:rsidRPr="00415168" w:rsidR="00415168" w:rsidP="00415168" w:rsidRDefault="00415168" w14:paraId="3929874E" w14:textId="77777777">
      <w:r w:rsidRPr="00415168">
        <w:t>VAS “Latvijas Jūras administrācija”</w:t>
      </w:r>
    </w:p>
    <w:p w:rsidRPr="00415168" w:rsidR="00415168" w:rsidP="00415168" w:rsidRDefault="00415168" w14:paraId="0938964D" w14:textId="1EA21E65">
      <w:r w:rsidRPr="00415168">
        <w:t>juriskonsult</w:t>
      </w:r>
      <w:r>
        <w:t>s</w:t>
      </w:r>
    </w:p>
    <w:p w:rsidRPr="00415168" w:rsidR="00415168" w:rsidP="00415168" w:rsidRDefault="00415168" w14:paraId="5AEACF14" w14:textId="798F8A92">
      <w:r w:rsidRPr="00415168">
        <w:t>670621</w:t>
      </w:r>
      <w:r>
        <w:t>2</w:t>
      </w:r>
      <w:r w:rsidRPr="00415168">
        <w:t xml:space="preserve">7, </w:t>
      </w:r>
      <w:hyperlink w:history="1" r:id="rId10">
        <w:r w:rsidRPr="0074510B">
          <w:rPr>
            <w:rStyle w:val="Hyperlink"/>
          </w:rPr>
          <w:t>viesturs.rusko@lja.lv</w:t>
        </w:r>
      </w:hyperlink>
      <w:r w:rsidRPr="00415168">
        <w:t xml:space="preserve"> </w:t>
      </w:r>
    </w:p>
    <w:p w:rsidR="00C8636C" w:rsidRDefault="00C8636C" w14:paraId="6759C8E8" w14:textId="77777777"/>
    <w:sectPr w:rsidR="00C8636C">
      <w:headerReference w:type="even" r:id="rId11"/>
      <w:headerReference w:type="default" r:id="rId12"/>
      <w:footerReference w:type="default" r:id="rId13"/>
      <w:footerReference w:type="first" r:id="rId14"/>
      <w:pgSz w:w="16838" w:h="11906"/>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6590" w14:textId="77777777" w:rsidR="00F842AA" w:rsidRDefault="00F842AA">
      <w:r>
        <w:separator/>
      </w:r>
    </w:p>
  </w:endnote>
  <w:endnote w:type="continuationSeparator" w:id="0">
    <w:p w14:paraId="6B71D808" w14:textId="77777777" w:rsidR="00F842AA" w:rsidRDefault="00F8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0747" w14:textId="2CBBB1FD" w:rsidR="00D75D3B" w:rsidRDefault="00D75D3B">
    <w:pPr>
      <w:pBdr>
        <w:top w:val="nil"/>
        <w:left w:val="nil"/>
        <w:bottom w:val="nil"/>
        <w:right w:val="nil"/>
        <w:between w:val="nil"/>
      </w:pBdr>
      <w:rPr>
        <w:color w:val="000000"/>
        <w:sz w:val="20"/>
        <w:szCs w:val="20"/>
      </w:rPr>
    </w:pPr>
    <w:r>
      <w:rPr>
        <w:color w:val="000000"/>
        <w:sz w:val="20"/>
        <w:szCs w:val="20"/>
      </w:rPr>
      <w:t>SM</w:t>
    </w:r>
    <w:r w:rsidR="003E6089">
      <w:rPr>
        <w:color w:val="000000"/>
        <w:sz w:val="20"/>
        <w:szCs w:val="20"/>
      </w:rPr>
      <w:t>i</w:t>
    </w:r>
    <w:r>
      <w:rPr>
        <w:color w:val="000000"/>
        <w:sz w:val="20"/>
        <w:szCs w:val="20"/>
      </w:rPr>
      <w:t>zz_</w:t>
    </w:r>
    <w:r w:rsidR="00594EF3">
      <w:rPr>
        <w:color w:val="000000"/>
        <w:sz w:val="20"/>
        <w:szCs w:val="20"/>
      </w:rPr>
      <w:t>0711</w:t>
    </w:r>
    <w:r>
      <w:rPr>
        <w:color w:val="000000"/>
        <w:sz w:val="20"/>
        <w:szCs w:val="20"/>
      </w:rPr>
      <w:t>19_VSS-871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325D" w14:textId="09B34198" w:rsidR="00D75D3B" w:rsidRDefault="00D75D3B">
    <w:pPr>
      <w:pBdr>
        <w:top w:val="nil"/>
        <w:left w:val="nil"/>
        <w:bottom w:val="nil"/>
        <w:right w:val="nil"/>
        <w:between w:val="nil"/>
      </w:pBdr>
      <w:rPr>
        <w:color w:val="000000"/>
        <w:sz w:val="20"/>
        <w:szCs w:val="20"/>
      </w:rPr>
    </w:pPr>
    <w:r>
      <w:rPr>
        <w:color w:val="000000"/>
        <w:sz w:val="20"/>
        <w:szCs w:val="20"/>
      </w:rPr>
      <w:t>SM</w:t>
    </w:r>
    <w:r w:rsidR="003E6089">
      <w:rPr>
        <w:color w:val="000000"/>
        <w:sz w:val="20"/>
        <w:szCs w:val="20"/>
      </w:rPr>
      <w:t>i</w:t>
    </w:r>
    <w:r>
      <w:rPr>
        <w:color w:val="000000"/>
        <w:sz w:val="20"/>
        <w:szCs w:val="20"/>
      </w:rPr>
      <w:t>zz_</w:t>
    </w:r>
    <w:r w:rsidR="00594EF3">
      <w:rPr>
        <w:color w:val="000000"/>
        <w:sz w:val="20"/>
        <w:szCs w:val="20"/>
      </w:rPr>
      <w:t>0711</w:t>
    </w:r>
    <w:r>
      <w:rPr>
        <w:color w:val="000000"/>
        <w:sz w:val="20"/>
        <w:szCs w:val="20"/>
      </w:rPr>
      <w:t>19_VSS-871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48B6" w14:textId="77777777" w:rsidR="00F842AA" w:rsidRDefault="00F842AA">
      <w:r>
        <w:separator/>
      </w:r>
    </w:p>
  </w:footnote>
  <w:footnote w:type="continuationSeparator" w:id="0">
    <w:p w14:paraId="41D8C184" w14:textId="77777777" w:rsidR="00F842AA" w:rsidRDefault="00F8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3B" w:rsidRDefault="00D75D3B" w14:paraId="0074E5C9"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D75D3B" w:rsidRDefault="00D75D3B" w14:paraId="1FA004FF" w14:textId="7777777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3B" w:rsidRDefault="00D75D3B" w14:paraId="014D5FE8"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A54452">
      <w:rPr>
        <w:noProof/>
        <w:color w:val="000000"/>
      </w:rPr>
      <w:t>22</w:t>
    </w:r>
    <w:r>
      <w:rPr>
        <w:color w:val="000000"/>
      </w:rPr>
      <w:fldChar w:fldCharType="end"/>
    </w:r>
  </w:p>
  <w:p w:rsidR="00D75D3B" w:rsidRDefault="00D75D3B" w14:paraId="10650553" w14:textId="7777777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31A2"/>
    <w:multiLevelType w:val="hybridMultilevel"/>
    <w:tmpl w:val="DADE157C"/>
    <w:lvl w:ilvl="0" w:tplc="ECBEFD58">
      <w:start w:val="1"/>
      <w:numFmt w:val="upperRoman"/>
      <w:lvlText w:val="%1."/>
      <w:lvlJc w:val="left"/>
      <w:pPr>
        <w:ind w:left="1095" w:hanging="72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6C"/>
    <w:rsid w:val="000D14FE"/>
    <w:rsid w:val="000E385B"/>
    <w:rsid w:val="000E767B"/>
    <w:rsid w:val="001539BA"/>
    <w:rsid w:val="001A7ADA"/>
    <w:rsid w:val="0023702D"/>
    <w:rsid w:val="00273F86"/>
    <w:rsid w:val="00315585"/>
    <w:rsid w:val="00331709"/>
    <w:rsid w:val="0033436D"/>
    <w:rsid w:val="0034158C"/>
    <w:rsid w:val="003E6089"/>
    <w:rsid w:val="00415168"/>
    <w:rsid w:val="004477C4"/>
    <w:rsid w:val="004B5068"/>
    <w:rsid w:val="004F626B"/>
    <w:rsid w:val="00594A9F"/>
    <w:rsid w:val="00594EF3"/>
    <w:rsid w:val="00681D0C"/>
    <w:rsid w:val="00705301"/>
    <w:rsid w:val="008077E4"/>
    <w:rsid w:val="008D65B9"/>
    <w:rsid w:val="008F4549"/>
    <w:rsid w:val="00A35E8D"/>
    <w:rsid w:val="00A54452"/>
    <w:rsid w:val="00BA3184"/>
    <w:rsid w:val="00C04B0E"/>
    <w:rsid w:val="00C8636C"/>
    <w:rsid w:val="00CC043B"/>
    <w:rsid w:val="00CC6566"/>
    <w:rsid w:val="00D539A4"/>
    <w:rsid w:val="00D75D3B"/>
    <w:rsid w:val="00D93076"/>
    <w:rsid w:val="00DA32EE"/>
    <w:rsid w:val="00E744AE"/>
    <w:rsid w:val="00F004DC"/>
    <w:rsid w:val="00F842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5D52"/>
  <w15:docId w15:val="{5F0DC6A4-868F-4D06-933F-22F625DC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Footer">
    <w:name w:val="footer"/>
    <w:basedOn w:val="Normal"/>
    <w:link w:val="FooterChar"/>
    <w:uiPriority w:val="99"/>
    <w:unhideWhenUsed/>
    <w:rsid w:val="00DA32EE"/>
    <w:pPr>
      <w:tabs>
        <w:tab w:val="center" w:pos="4513"/>
        <w:tab w:val="right" w:pos="9026"/>
      </w:tabs>
    </w:pPr>
  </w:style>
  <w:style w:type="character" w:customStyle="1" w:styleId="FooterChar">
    <w:name w:val="Footer Char"/>
    <w:basedOn w:val="DefaultParagraphFont"/>
    <w:link w:val="Footer"/>
    <w:uiPriority w:val="99"/>
    <w:rsid w:val="00DA32EE"/>
  </w:style>
  <w:style w:type="paragraph" w:styleId="Header">
    <w:name w:val="header"/>
    <w:basedOn w:val="Normal"/>
    <w:link w:val="HeaderChar"/>
    <w:uiPriority w:val="99"/>
    <w:unhideWhenUsed/>
    <w:rsid w:val="00DA32EE"/>
    <w:pPr>
      <w:tabs>
        <w:tab w:val="center" w:pos="4513"/>
        <w:tab w:val="right" w:pos="9026"/>
      </w:tabs>
    </w:pPr>
  </w:style>
  <w:style w:type="character" w:customStyle="1" w:styleId="HeaderChar">
    <w:name w:val="Header Char"/>
    <w:basedOn w:val="DefaultParagraphFont"/>
    <w:link w:val="Header"/>
    <w:uiPriority w:val="99"/>
    <w:rsid w:val="00DA32EE"/>
  </w:style>
  <w:style w:type="paragraph" w:customStyle="1" w:styleId="naisf">
    <w:name w:val="naisf"/>
    <w:basedOn w:val="Normal"/>
    <w:rsid w:val="000E385B"/>
    <w:pPr>
      <w:spacing w:before="75" w:after="75"/>
      <w:ind w:firstLine="375"/>
      <w:jc w:val="both"/>
    </w:pPr>
  </w:style>
  <w:style w:type="character" w:styleId="CommentReference">
    <w:name w:val="annotation reference"/>
    <w:basedOn w:val="DefaultParagraphFont"/>
    <w:uiPriority w:val="99"/>
    <w:semiHidden/>
    <w:unhideWhenUsed/>
    <w:rsid w:val="008F4549"/>
    <w:rPr>
      <w:sz w:val="16"/>
      <w:szCs w:val="16"/>
    </w:rPr>
  </w:style>
  <w:style w:type="paragraph" w:styleId="CommentText">
    <w:name w:val="annotation text"/>
    <w:basedOn w:val="Normal"/>
    <w:link w:val="CommentTextChar"/>
    <w:uiPriority w:val="99"/>
    <w:semiHidden/>
    <w:unhideWhenUsed/>
    <w:rsid w:val="008F4549"/>
    <w:rPr>
      <w:sz w:val="20"/>
      <w:szCs w:val="20"/>
    </w:rPr>
  </w:style>
  <w:style w:type="character" w:customStyle="1" w:styleId="CommentTextChar">
    <w:name w:val="Comment Text Char"/>
    <w:basedOn w:val="DefaultParagraphFont"/>
    <w:link w:val="CommentText"/>
    <w:uiPriority w:val="99"/>
    <w:semiHidden/>
    <w:rsid w:val="008F4549"/>
    <w:rPr>
      <w:sz w:val="20"/>
      <w:szCs w:val="20"/>
    </w:rPr>
  </w:style>
  <w:style w:type="paragraph" w:styleId="CommentSubject">
    <w:name w:val="annotation subject"/>
    <w:basedOn w:val="CommentText"/>
    <w:next w:val="CommentText"/>
    <w:link w:val="CommentSubjectChar"/>
    <w:uiPriority w:val="99"/>
    <w:semiHidden/>
    <w:unhideWhenUsed/>
    <w:rsid w:val="008F4549"/>
    <w:rPr>
      <w:b/>
      <w:bCs/>
    </w:rPr>
  </w:style>
  <w:style w:type="character" w:customStyle="1" w:styleId="CommentSubjectChar">
    <w:name w:val="Comment Subject Char"/>
    <w:basedOn w:val="CommentTextChar"/>
    <w:link w:val="CommentSubject"/>
    <w:uiPriority w:val="99"/>
    <w:semiHidden/>
    <w:rsid w:val="008F4549"/>
    <w:rPr>
      <w:b/>
      <w:bCs/>
      <w:sz w:val="20"/>
      <w:szCs w:val="20"/>
    </w:rPr>
  </w:style>
  <w:style w:type="paragraph" w:styleId="BalloonText">
    <w:name w:val="Balloon Text"/>
    <w:basedOn w:val="Normal"/>
    <w:link w:val="BalloonTextChar"/>
    <w:uiPriority w:val="99"/>
    <w:semiHidden/>
    <w:unhideWhenUsed/>
    <w:rsid w:val="008F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49"/>
    <w:rPr>
      <w:rFonts w:ascii="Segoe UI" w:hAnsi="Segoe UI" w:cs="Segoe UI"/>
      <w:sz w:val="18"/>
      <w:szCs w:val="18"/>
    </w:rPr>
  </w:style>
  <w:style w:type="character" w:styleId="Hyperlink">
    <w:name w:val="Hyperlink"/>
    <w:basedOn w:val="DefaultParagraphFont"/>
    <w:uiPriority w:val="99"/>
    <w:unhideWhenUsed/>
    <w:rsid w:val="008D65B9"/>
    <w:rPr>
      <w:color w:val="0000FF" w:themeColor="hyperlink"/>
      <w:u w:val="single"/>
    </w:rPr>
  </w:style>
  <w:style w:type="character" w:styleId="UnresolvedMention">
    <w:name w:val="Unresolved Mention"/>
    <w:basedOn w:val="DefaultParagraphFont"/>
    <w:uiPriority w:val="99"/>
    <w:semiHidden/>
    <w:unhideWhenUsed/>
    <w:rsid w:val="001A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vc.gov.lv/index.php?route=product/search&amp;search=fire%20test%20proced&amp;category_id=60&amp;sub_category=true&amp;description=tr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vc.gov.lv/index.php?route=product/search&amp;search=Fire%20SAfety%20systems&amp;category_id=60&amp;sub_category=true&amp;description=tru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esturs.rusko@lja.lv" TargetMode="External"/><Relationship Id="rId4" Type="http://schemas.openxmlformats.org/officeDocument/2006/relationships/webSettings" Target="webSettings.xml"/><Relationship Id="rId9" Type="http://schemas.openxmlformats.org/officeDocument/2006/relationships/hyperlink" Target="mailto:laima.ritum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21</Pages>
  <Words>22299</Words>
  <Characters>12711</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Grozījumi Ministru kabineta 2011.gada 14.jūnija noteikumos Nr.451 "Noteikumi par drošības prasībām vietējos reisos iesaistītiem pasažieru kuģiem"</vt:lpstr>
    </vt:vector>
  </TitlesOfParts>
  <Company>Satiksmes ministrija</Company>
  <LinksUpToDate>false</LinksUpToDate>
  <CharactersWithSpaces>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14.jūnija noteikumos Nr.451 "Noteikumi par drošības prasībām vietējos reisos iesaistītiem pasažieru kuģiem"</dc:title>
  <dc:subject>Izziņa</dc:subject>
  <dc:creator>viesturs.rusko@lja.lv;juris.ozolins@lja.lv</dc:creator>
  <dc:description>67062127, viesturs.rusko@lja.lv</dc:description>
  <cp:lastModifiedBy>Laima Rituma</cp:lastModifiedBy>
  <cp:revision>7</cp:revision>
  <dcterms:created xsi:type="dcterms:W3CDTF">2019-11-08T12:15:00Z</dcterms:created>
  <dcterms:modified xsi:type="dcterms:W3CDTF">2019-11-25T12:14:00Z</dcterms:modified>
</cp:coreProperties>
</file>