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5B0A" w:rsidR="006A1B4F" w:rsidP="003E6BA8" w:rsidRDefault="006A1B4F" w14:paraId="601BF747" w14:textId="77777777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B95B0A">
        <w:rPr>
          <w:rFonts w:cs="Times New Roman"/>
          <w:b/>
          <w:sz w:val="24"/>
          <w:szCs w:val="24"/>
        </w:rPr>
        <w:t>INFORMATĪVAIS ZIŅOJUMS</w:t>
      </w:r>
    </w:p>
    <w:p w:rsidRPr="00560A2B" w:rsidR="006A1B4F" w:rsidP="006A1B4F" w:rsidRDefault="006A1B4F" w14:paraId="2BEA47D8" w14:textId="586F1216">
      <w:pPr>
        <w:spacing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bookmarkStart w:name="_Hlk25305270" w:id="0"/>
      <w:r w:rsidRPr="00560A2B">
        <w:rPr>
          <w:rFonts w:cs="Times New Roman"/>
          <w:b/>
          <w:sz w:val="24"/>
          <w:szCs w:val="24"/>
        </w:rPr>
        <w:t xml:space="preserve">Par Rail Baltica </w:t>
      </w:r>
      <w:r w:rsidRPr="00560A2B" w:rsidR="00567FF2">
        <w:rPr>
          <w:rFonts w:cs="Times New Roman"/>
          <w:b/>
          <w:sz w:val="24"/>
          <w:szCs w:val="24"/>
        </w:rPr>
        <w:t xml:space="preserve">pirmā </w:t>
      </w:r>
      <w:r w:rsidRPr="00560A2B">
        <w:rPr>
          <w:rFonts w:cs="Times New Roman"/>
          <w:b/>
          <w:sz w:val="24"/>
          <w:szCs w:val="24"/>
        </w:rPr>
        <w:t>Finansēšanas līguma</w:t>
      </w:r>
      <w:r w:rsidRPr="00560A2B" w:rsidR="00567FF2">
        <w:rPr>
          <w:rFonts w:cs="Times New Roman"/>
          <w:b/>
          <w:sz w:val="24"/>
          <w:szCs w:val="24"/>
        </w:rPr>
        <w:t xml:space="preserve"> </w:t>
      </w:r>
      <w:r w:rsidRPr="00560A2B" w:rsidR="00357040">
        <w:rPr>
          <w:rFonts w:cs="Times New Roman"/>
          <w:b/>
          <w:sz w:val="24"/>
          <w:szCs w:val="24"/>
        </w:rPr>
        <w:t xml:space="preserve">(CEF1) </w:t>
      </w:r>
      <w:r w:rsidRPr="00560A2B" w:rsidR="00567FF2">
        <w:rPr>
          <w:rFonts w:cs="Times New Roman"/>
          <w:b/>
          <w:sz w:val="24"/>
          <w:szCs w:val="24"/>
        </w:rPr>
        <w:t xml:space="preserve">grozījumu </w:t>
      </w:r>
      <w:r w:rsidRPr="00560A2B">
        <w:rPr>
          <w:rFonts w:cs="Times New Roman"/>
          <w:b/>
          <w:sz w:val="24"/>
          <w:szCs w:val="24"/>
        </w:rPr>
        <w:t>parakstīšanu ar Inovācijas un tīklu izpildaģentūru (INEA)</w:t>
      </w:r>
    </w:p>
    <w:bookmarkEnd w:id="0"/>
    <w:p w:rsidR="0007229D" w:rsidP="0051046E" w:rsidRDefault="0007229D" w14:paraId="55D2F645" w14:textId="61D8D749">
      <w:pPr>
        <w:ind w:firstLine="720"/>
        <w:jc w:val="both"/>
        <w:rPr>
          <w:rFonts w:cs="Times New Roman"/>
          <w:sz w:val="24"/>
          <w:szCs w:val="24"/>
        </w:rPr>
      </w:pPr>
      <w:r w:rsidRPr="00567FF2">
        <w:rPr>
          <w:rFonts w:cs="Times New Roman"/>
          <w:iCs/>
          <w:sz w:val="24"/>
          <w:szCs w:val="24"/>
        </w:rPr>
        <w:t>Rail Baltica projekts</w:t>
      </w:r>
      <w:r w:rsidR="00567FF2">
        <w:rPr>
          <w:rFonts w:cs="Times New Roman"/>
          <w:iCs/>
          <w:sz w:val="24"/>
          <w:szCs w:val="24"/>
        </w:rPr>
        <w:t xml:space="preserve"> (turpmāk – Projekts) </w:t>
      </w:r>
      <w:r w:rsidRPr="0001668B">
        <w:rPr>
          <w:rFonts w:cs="Times New Roman"/>
          <w:sz w:val="24"/>
          <w:szCs w:val="24"/>
        </w:rPr>
        <w:t xml:space="preserve">ir Eiropas standarta platuma dzelzceļa transporta </w:t>
      </w:r>
      <w:proofErr w:type="spellStart"/>
      <w:r w:rsidRPr="0001668B">
        <w:rPr>
          <w:rFonts w:cs="Times New Roman"/>
          <w:sz w:val="24"/>
          <w:szCs w:val="24"/>
        </w:rPr>
        <w:t>Transeiropas</w:t>
      </w:r>
      <w:proofErr w:type="spellEnd"/>
      <w:r w:rsidRPr="0001668B">
        <w:rPr>
          <w:rFonts w:cs="Times New Roman"/>
          <w:sz w:val="24"/>
          <w:szCs w:val="24"/>
        </w:rPr>
        <w:t xml:space="preserve"> transporta tīkla (turpmāk</w:t>
      </w:r>
      <w:r w:rsidR="00567FF2">
        <w:rPr>
          <w:rFonts w:cs="Times New Roman"/>
          <w:sz w:val="24"/>
          <w:szCs w:val="24"/>
        </w:rPr>
        <w:t xml:space="preserve"> </w:t>
      </w:r>
      <w:r w:rsidRPr="0001668B">
        <w:rPr>
          <w:rFonts w:cs="Times New Roman"/>
          <w:sz w:val="24"/>
          <w:szCs w:val="24"/>
        </w:rPr>
        <w:t>– TEN-T tīkla) Ziemeļjūras – Baltijas koridora transporta sistēmas elements, kas aptver četras Eiropas Savienības dalībvalstis – Poliju, Lietuvu, Latviju un Igauniju, un netieši arī Somiju, tālākā nākotnē paredzot maršruta pagarinājumu ar savienojumu Tallina – Helsinki. Projekta</w:t>
      </w:r>
      <w:r w:rsidR="00567FF2">
        <w:rPr>
          <w:rFonts w:cs="Times New Roman"/>
          <w:sz w:val="24"/>
          <w:szCs w:val="24"/>
        </w:rPr>
        <w:t xml:space="preserve"> </w:t>
      </w:r>
      <w:r w:rsidRPr="0001668B">
        <w:rPr>
          <w:rFonts w:cs="Times New Roman"/>
          <w:sz w:val="24"/>
          <w:szCs w:val="24"/>
        </w:rPr>
        <w:t>mērķis ir</w:t>
      </w:r>
      <w:bookmarkStart w:name="_GoBack" w:id="1"/>
      <w:bookmarkEnd w:id="1"/>
      <w:r w:rsidRPr="0001668B">
        <w:rPr>
          <w:rFonts w:cs="Times New Roman"/>
          <w:sz w:val="24"/>
          <w:szCs w:val="24"/>
        </w:rPr>
        <w:t xml:space="preserve"> savienot Baltijas valstis ar Poliju un pārējo Eiropas Savienību ar efektīvu, modernu, drošu, videi draudzīgu un tirgus prasībām atbilstošu dzelzceļa pārvadājumu sistēmu.</w:t>
      </w:r>
      <w:r w:rsidRPr="0001668B">
        <w:t xml:space="preserve"> </w:t>
      </w:r>
      <w:r w:rsidRPr="0001668B">
        <w:rPr>
          <w:rFonts w:cs="Times New Roman"/>
          <w:sz w:val="24"/>
          <w:szCs w:val="24"/>
        </w:rPr>
        <w:t>Ziemeļu - Dienvidu virziena dzelzceļa līnijas attīstība veicinās Baltijas valstu transporta infrastruktūras sistēmas integrāciju Eiropas Savienībā, kā arī tautsaimniecības ilgtspējīgu un diversificētu attīstību un konkurētspēju.</w:t>
      </w:r>
    </w:p>
    <w:p w:rsidRPr="00784A73" w:rsidR="00344ECC" w:rsidP="0051046E" w:rsidRDefault="00344ECC" w14:paraId="193E95E0" w14:textId="77777777">
      <w:pPr>
        <w:spacing w:after="120"/>
        <w:ind w:firstLine="720"/>
        <w:jc w:val="center"/>
        <w:rPr>
          <w:rFonts w:cs="Times New Roman"/>
          <w:b/>
          <w:sz w:val="24"/>
          <w:szCs w:val="24"/>
        </w:rPr>
      </w:pPr>
      <w:r w:rsidRPr="00784A73">
        <w:rPr>
          <w:rFonts w:cs="Times New Roman"/>
          <w:b/>
          <w:sz w:val="24"/>
          <w:szCs w:val="24"/>
        </w:rPr>
        <w:t xml:space="preserve">Eiropas infrastruktūras savienošanas instruments (EISI) </w:t>
      </w:r>
    </w:p>
    <w:p w:rsidR="00344ECC" w:rsidP="00BB3A90" w:rsidRDefault="00344ECC" w14:paraId="11087FEE" w14:textId="5CE6B3FC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784A73">
        <w:rPr>
          <w:rFonts w:cs="Times New Roman"/>
          <w:sz w:val="24"/>
          <w:szCs w:val="24"/>
        </w:rPr>
        <w:t xml:space="preserve">Eiropas Komisija (turpmāk - </w:t>
      </w:r>
      <w:r w:rsidR="00DF7B82">
        <w:rPr>
          <w:rFonts w:cs="Times New Roman"/>
          <w:sz w:val="24"/>
          <w:szCs w:val="24"/>
        </w:rPr>
        <w:t>EK</w:t>
      </w:r>
      <w:r w:rsidRPr="00784A73">
        <w:rPr>
          <w:rFonts w:cs="Times New Roman"/>
          <w:sz w:val="24"/>
          <w:szCs w:val="24"/>
        </w:rPr>
        <w:t>)</w:t>
      </w:r>
      <w:r w:rsidR="00DF7B82">
        <w:rPr>
          <w:rFonts w:cs="Times New Roman"/>
          <w:sz w:val="24"/>
          <w:szCs w:val="24"/>
        </w:rPr>
        <w:t xml:space="preserve"> </w:t>
      </w:r>
      <w:r w:rsidRPr="00784A73">
        <w:rPr>
          <w:rFonts w:cs="Times New Roman"/>
          <w:sz w:val="24"/>
          <w:szCs w:val="24"/>
        </w:rPr>
        <w:t>2011. gada</w:t>
      </w:r>
      <w:r w:rsidR="008C1B6F">
        <w:rPr>
          <w:rFonts w:cs="Times New Roman"/>
          <w:sz w:val="24"/>
          <w:szCs w:val="24"/>
        </w:rPr>
        <w:t xml:space="preserve"> </w:t>
      </w:r>
      <w:r w:rsidRPr="00784A73">
        <w:rPr>
          <w:rFonts w:cs="Times New Roman"/>
          <w:sz w:val="24"/>
          <w:szCs w:val="24"/>
        </w:rPr>
        <w:t>jūnijā publicēja priekšlikumu par daudzgadu finanšu plānu laikposmam no 2014.</w:t>
      </w:r>
      <w:r w:rsidR="0091021E">
        <w:rPr>
          <w:rFonts w:cs="Times New Roman"/>
          <w:sz w:val="24"/>
          <w:szCs w:val="24"/>
        </w:rPr>
        <w:t>gada</w:t>
      </w:r>
      <w:r w:rsidRPr="00784A73">
        <w:rPr>
          <w:rFonts w:cs="Times New Roman"/>
          <w:sz w:val="24"/>
          <w:szCs w:val="24"/>
        </w:rPr>
        <w:t xml:space="preserve"> līdz 2020.gadam – “Budžets stratēģijai “Eiropa 2020””. Savā priekšlikumā </w:t>
      </w:r>
      <w:r w:rsidR="008C1B6F">
        <w:rPr>
          <w:rFonts w:cs="Times New Roman"/>
          <w:sz w:val="24"/>
          <w:szCs w:val="24"/>
        </w:rPr>
        <w:t xml:space="preserve">EK </w:t>
      </w:r>
      <w:r w:rsidRPr="00784A73">
        <w:rPr>
          <w:rFonts w:cs="Times New Roman"/>
          <w:sz w:val="24"/>
          <w:szCs w:val="24"/>
        </w:rPr>
        <w:t>ierosināja izveidot jaunu integrētu instrumentu ieguldījumiem Eiropas Savienības infrastruktūras prioritātēs transporta, enerģētikas un telekomunikāciju jomā – "Eiropas infrastruktūras savienošanas instruments"</w:t>
      </w:r>
      <w:r w:rsidR="0091021E">
        <w:rPr>
          <w:rFonts w:cs="Times New Roman"/>
          <w:sz w:val="24"/>
          <w:szCs w:val="24"/>
        </w:rPr>
        <w:t xml:space="preserve"> (turpmāk – EISI).</w:t>
      </w:r>
      <w:r w:rsidRPr="00784A73">
        <w:rPr>
          <w:rFonts w:cs="Times New Roman"/>
          <w:sz w:val="24"/>
          <w:szCs w:val="24"/>
        </w:rPr>
        <w:t xml:space="preserve"> 2013.gada</w:t>
      </w:r>
      <w:r w:rsidR="008C1B6F">
        <w:rPr>
          <w:rFonts w:cs="Times New Roman"/>
          <w:sz w:val="24"/>
          <w:szCs w:val="24"/>
        </w:rPr>
        <w:t xml:space="preserve"> </w:t>
      </w:r>
      <w:r w:rsidRPr="00784A73">
        <w:rPr>
          <w:rFonts w:cs="Times New Roman"/>
          <w:sz w:val="24"/>
          <w:szCs w:val="24"/>
        </w:rPr>
        <w:t>decembrī tika pieņemta Eiropas Parlamenta un Padomes regula (ES) Nr. 1316/2013 ar ko izveido E</w:t>
      </w:r>
      <w:r w:rsidR="0091021E">
        <w:rPr>
          <w:rFonts w:cs="Times New Roman"/>
          <w:sz w:val="24"/>
          <w:szCs w:val="24"/>
        </w:rPr>
        <w:t>ISI</w:t>
      </w:r>
      <w:r w:rsidRPr="00784A73">
        <w:rPr>
          <w:rFonts w:cs="Times New Roman"/>
          <w:sz w:val="24"/>
          <w:szCs w:val="24"/>
        </w:rPr>
        <w:t>, groza Regulu (ES) Nr. 913/2010 un atceļ Regulu (EK) Nr. 680/2007 un Regulu (EK) Nr. 67/2010</w:t>
      </w:r>
      <w:r w:rsidR="00114C2E">
        <w:rPr>
          <w:rFonts w:cs="Times New Roman"/>
          <w:sz w:val="24"/>
          <w:szCs w:val="24"/>
        </w:rPr>
        <w:t xml:space="preserve"> </w:t>
      </w:r>
      <w:r w:rsidRPr="00784A73">
        <w:rPr>
          <w:rFonts w:cs="Times New Roman"/>
          <w:sz w:val="24"/>
          <w:szCs w:val="24"/>
        </w:rPr>
        <w:t xml:space="preserve">(turpmāk – EISI Regula). </w:t>
      </w:r>
    </w:p>
    <w:p w:rsidRPr="00784A73" w:rsidR="00344ECC" w:rsidP="00BB3A90" w:rsidRDefault="00344ECC" w14:paraId="0FFC68FE" w14:textId="7802FF47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784A73">
        <w:rPr>
          <w:rFonts w:cs="Times New Roman"/>
          <w:sz w:val="24"/>
          <w:szCs w:val="24"/>
        </w:rPr>
        <w:t>EISI paredzētais finansējums transporta nozarei laikposmā no 2014.</w:t>
      </w:r>
      <w:r w:rsidR="008C1B6F">
        <w:rPr>
          <w:rFonts w:cs="Times New Roman"/>
          <w:sz w:val="24"/>
          <w:szCs w:val="24"/>
        </w:rPr>
        <w:t xml:space="preserve"> gada</w:t>
      </w:r>
      <w:r w:rsidRPr="00784A73">
        <w:rPr>
          <w:rFonts w:cs="Times New Roman"/>
          <w:sz w:val="24"/>
          <w:szCs w:val="24"/>
        </w:rPr>
        <w:t xml:space="preserve"> līdz</w:t>
      </w:r>
      <w:r>
        <w:rPr>
          <w:rFonts w:cs="Times New Roman"/>
          <w:sz w:val="24"/>
          <w:szCs w:val="24"/>
        </w:rPr>
        <w:t xml:space="preserve"> 2020. gadam ir 24 miljardi eiro</w:t>
      </w:r>
      <w:r w:rsidRPr="00784A73">
        <w:rPr>
          <w:rFonts w:cs="Times New Roman"/>
          <w:sz w:val="24"/>
          <w:szCs w:val="24"/>
        </w:rPr>
        <w:t xml:space="preserve">, no kuriem 11.3 miljardi ir pārvietoti no Kohēzijas fonda, uz kuru var pieteikties tikai tās valstis, kas ir tiesīgas saņemt finansējumu no Kohēzijas fonda ar atbalsta intensitāti līdz 85%. 10 % no finansējuma summas </w:t>
      </w:r>
      <w:r w:rsidR="005D0CB5">
        <w:rPr>
          <w:rFonts w:cs="Times New Roman"/>
          <w:sz w:val="24"/>
          <w:szCs w:val="24"/>
        </w:rPr>
        <w:t xml:space="preserve">ir </w:t>
      </w:r>
      <w:r w:rsidRPr="00784A73">
        <w:rPr>
          <w:rFonts w:cs="Times New Roman"/>
          <w:sz w:val="24"/>
          <w:szCs w:val="24"/>
        </w:rPr>
        <w:t>paredzēts izmantot EISI finanšu instrumentu formā</w:t>
      </w:r>
      <w:r w:rsidR="00114C2E">
        <w:rPr>
          <w:rFonts w:cs="Times New Roman"/>
          <w:sz w:val="24"/>
          <w:szCs w:val="24"/>
        </w:rPr>
        <w:t xml:space="preserve"> (turpmāk – CEF)</w:t>
      </w:r>
      <w:r w:rsidRPr="00784A73">
        <w:rPr>
          <w:rFonts w:cs="Times New Roman"/>
          <w:sz w:val="24"/>
          <w:szCs w:val="24"/>
        </w:rPr>
        <w:t xml:space="preserve">.  </w:t>
      </w:r>
    </w:p>
    <w:p w:rsidR="00344ECC" w:rsidP="00BB3A90" w:rsidRDefault="00344ECC" w14:paraId="040EF017" w14:textId="3F98FE92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784A73">
        <w:rPr>
          <w:rFonts w:cs="Times New Roman"/>
          <w:sz w:val="24"/>
          <w:szCs w:val="24"/>
        </w:rPr>
        <w:t>E</w:t>
      </w:r>
      <w:r w:rsidR="00DF7B82">
        <w:rPr>
          <w:rFonts w:cs="Times New Roman"/>
          <w:sz w:val="24"/>
          <w:szCs w:val="24"/>
        </w:rPr>
        <w:t xml:space="preserve">K </w:t>
      </w:r>
      <w:r w:rsidRPr="00784A73">
        <w:rPr>
          <w:rFonts w:cs="Times New Roman"/>
          <w:sz w:val="24"/>
          <w:szCs w:val="24"/>
        </w:rPr>
        <w:t>2014.</w:t>
      </w:r>
      <w:r w:rsidR="00DF7B82">
        <w:rPr>
          <w:rFonts w:cs="Times New Roman"/>
          <w:sz w:val="24"/>
          <w:szCs w:val="24"/>
        </w:rPr>
        <w:t xml:space="preserve">, </w:t>
      </w:r>
      <w:r w:rsidRPr="00784A73">
        <w:rPr>
          <w:rFonts w:cs="Times New Roman"/>
          <w:sz w:val="24"/>
          <w:szCs w:val="24"/>
        </w:rPr>
        <w:t>2015.</w:t>
      </w:r>
      <w:r w:rsidR="00D926F5">
        <w:rPr>
          <w:rFonts w:cs="Times New Roman"/>
          <w:sz w:val="24"/>
          <w:szCs w:val="24"/>
        </w:rPr>
        <w:t xml:space="preserve"> </w:t>
      </w:r>
      <w:r w:rsidR="00DF7B82">
        <w:rPr>
          <w:rFonts w:cs="Times New Roman"/>
          <w:sz w:val="24"/>
          <w:szCs w:val="24"/>
        </w:rPr>
        <w:t xml:space="preserve">un 2016.gadā </w:t>
      </w:r>
      <w:r w:rsidRPr="00784A73">
        <w:rPr>
          <w:rFonts w:cs="Times New Roman"/>
          <w:sz w:val="24"/>
          <w:szCs w:val="24"/>
        </w:rPr>
        <w:t>izsludināja pa vienam projektu iesniegumu konkursam par finanšu palīdzības piešķiršanu no EISI, k</w:t>
      </w:r>
      <w:r w:rsidR="00E07586">
        <w:rPr>
          <w:rFonts w:cs="Times New Roman"/>
          <w:sz w:val="24"/>
          <w:szCs w:val="24"/>
        </w:rPr>
        <w:t xml:space="preserve">uros piedaloties Projekts ieguva finansējumu lai </w:t>
      </w:r>
      <w:r w:rsidRPr="00784A73">
        <w:rPr>
          <w:rFonts w:cs="Times New Roman"/>
          <w:sz w:val="24"/>
          <w:szCs w:val="24"/>
        </w:rPr>
        <w:t>turpin</w:t>
      </w:r>
      <w:r w:rsidR="00E07586">
        <w:rPr>
          <w:rFonts w:cs="Times New Roman"/>
          <w:sz w:val="24"/>
          <w:szCs w:val="24"/>
        </w:rPr>
        <w:t xml:space="preserve">ātu </w:t>
      </w:r>
      <w:r w:rsidRPr="00784A73">
        <w:rPr>
          <w:rFonts w:cs="Times New Roman"/>
          <w:sz w:val="24"/>
          <w:szCs w:val="24"/>
        </w:rPr>
        <w:t>jauno Eiropas transporta tīklu (TEN-T) politiku, transporta ikgadējās un daudzgadu darba programmas 2014.-2020.g. ietvaros.</w:t>
      </w:r>
      <w:r w:rsidR="00E07586">
        <w:rPr>
          <w:rFonts w:cs="Times New Roman"/>
          <w:sz w:val="24"/>
          <w:szCs w:val="24"/>
        </w:rPr>
        <w:t xml:space="preserve"> </w:t>
      </w:r>
      <w:r w:rsidR="008C1B6F">
        <w:rPr>
          <w:rFonts w:cs="Times New Roman"/>
          <w:sz w:val="24"/>
          <w:szCs w:val="24"/>
        </w:rPr>
        <w:t xml:space="preserve"> </w:t>
      </w:r>
    </w:p>
    <w:p w:rsidR="004B0E0D" w:rsidP="00BB3A90" w:rsidRDefault="004B0E0D" w14:paraId="375DDF88" w14:textId="3D87F970">
      <w:pPr>
        <w:spacing w:after="120"/>
        <w:ind w:firstLine="720"/>
        <w:jc w:val="both"/>
        <w:rPr>
          <w:rFonts w:cs="Times New Roman"/>
          <w:sz w:val="24"/>
          <w:szCs w:val="24"/>
        </w:rPr>
      </w:pPr>
      <w:r w:rsidRPr="00784A73">
        <w:rPr>
          <w:rFonts w:cs="Times New Roman"/>
          <w:sz w:val="24"/>
          <w:szCs w:val="24"/>
        </w:rPr>
        <w:t>Saskaņā ar EISI Regulas 11.panta 2.apakšpunktu Kohēzijas valstu garantēto aplokšņu princips projektu atlasē, kuri tiesīgi saņemt finansējumu, tik</w:t>
      </w:r>
      <w:r w:rsidR="001619AC">
        <w:rPr>
          <w:rFonts w:cs="Times New Roman"/>
          <w:sz w:val="24"/>
          <w:szCs w:val="24"/>
        </w:rPr>
        <w:t>a</w:t>
      </w:r>
      <w:r w:rsidRPr="00784A73">
        <w:rPr>
          <w:rFonts w:cs="Times New Roman"/>
          <w:sz w:val="24"/>
          <w:szCs w:val="24"/>
        </w:rPr>
        <w:t xml:space="preserve"> ievērots līdz 2016.gada 31.decembrim. Sākot ar 2017.gada 1.janvāri</w:t>
      </w:r>
      <w:r w:rsidR="001619AC">
        <w:rPr>
          <w:rFonts w:cs="Times New Roman"/>
          <w:sz w:val="24"/>
          <w:szCs w:val="24"/>
        </w:rPr>
        <w:t>,</w:t>
      </w:r>
      <w:r w:rsidRPr="00784A73">
        <w:rPr>
          <w:rFonts w:cs="Times New Roman"/>
          <w:sz w:val="24"/>
          <w:szCs w:val="24"/>
        </w:rPr>
        <w:t xml:space="preserve"> līdzekļus, kas pārvietoti EISI un kas nav piešķirti transporta infrastruktūras </w:t>
      </w:r>
      <w:r w:rsidR="00453A71">
        <w:rPr>
          <w:rFonts w:cs="Times New Roman"/>
          <w:sz w:val="24"/>
          <w:szCs w:val="24"/>
        </w:rPr>
        <w:t>p</w:t>
      </w:r>
      <w:r w:rsidRPr="00784A73">
        <w:rPr>
          <w:rFonts w:cs="Times New Roman"/>
          <w:sz w:val="24"/>
          <w:szCs w:val="24"/>
        </w:rPr>
        <w:t>rojektam, dara pieejamus visām dalībvalstīm, kuras ir tiesīgas saņemt finansējumu no Kohēzijas fonda, lai finansētu transporta infrastruktūras projektus saskaņā ar šo regulu.</w:t>
      </w:r>
      <w:r w:rsidR="0027026B">
        <w:rPr>
          <w:rFonts w:cs="Times New Roman"/>
          <w:sz w:val="24"/>
          <w:szCs w:val="24"/>
        </w:rPr>
        <w:t xml:space="preserve"> </w:t>
      </w:r>
      <w:r w:rsidR="00E07586">
        <w:rPr>
          <w:rFonts w:cs="Times New Roman"/>
          <w:sz w:val="24"/>
          <w:szCs w:val="24"/>
        </w:rPr>
        <w:t>Projekts nepiedalījās 4. un 5. projektu iesniegumu konkursā, bet gatavo iesniegumu 6.</w:t>
      </w:r>
      <w:r w:rsidR="00D926F5">
        <w:rPr>
          <w:rFonts w:cs="Times New Roman"/>
          <w:sz w:val="24"/>
          <w:szCs w:val="24"/>
        </w:rPr>
        <w:t xml:space="preserve"> </w:t>
      </w:r>
      <w:r w:rsidR="00E07586">
        <w:rPr>
          <w:rFonts w:cs="Times New Roman"/>
          <w:sz w:val="24"/>
          <w:szCs w:val="24"/>
        </w:rPr>
        <w:t xml:space="preserve">projektu iesniegumu konkursam, kas tika izsludināts </w:t>
      </w:r>
      <w:r w:rsidR="0027026B">
        <w:rPr>
          <w:rFonts w:cs="Times New Roman"/>
          <w:sz w:val="24"/>
          <w:szCs w:val="24"/>
        </w:rPr>
        <w:t>2019.gada oktobrī</w:t>
      </w:r>
      <w:r w:rsidR="005215B5">
        <w:rPr>
          <w:rFonts w:cs="Times New Roman"/>
          <w:sz w:val="24"/>
          <w:szCs w:val="24"/>
        </w:rPr>
        <w:t xml:space="preserve"> un noslēdzas 2020.gada februārī</w:t>
      </w:r>
      <w:r w:rsidR="00E07586">
        <w:rPr>
          <w:rFonts w:cs="Times New Roman"/>
          <w:sz w:val="24"/>
          <w:szCs w:val="24"/>
        </w:rPr>
        <w:t xml:space="preserve">. </w:t>
      </w:r>
      <w:r w:rsidR="0027026B">
        <w:rPr>
          <w:rFonts w:cs="Times New Roman"/>
          <w:sz w:val="24"/>
          <w:szCs w:val="24"/>
        </w:rPr>
        <w:t xml:space="preserve"> </w:t>
      </w:r>
      <w:r w:rsidRPr="00784A73">
        <w:rPr>
          <w:rFonts w:cs="Times New Roman"/>
          <w:sz w:val="24"/>
          <w:szCs w:val="24"/>
        </w:rPr>
        <w:t xml:space="preserve"> </w:t>
      </w:r>
    </w:p>
    <w:p w:rsidRPr="00784A73" w:rsidR="00083645" w:rsidP="00BB3A90" w:rsidRDefault="00083645" w14:paraId="08597591" w14:textId="0D6E9D7D">
      <w:pPr>
        <w:spacing w:after="120"/>
        <w:ind w:firstLine="720"/>
        <w:jc w:val="center"/>
        <w:rPr>
          <w:rFonts w:cs="Times New Roman"/>
          <w:b/>
          <w:sz w:val="24"/>
          <w:szCs w:val="24"/>
        </w:rPr>
      </w:pPr>
      <w:r w:rsidRPr="00784A73">
        <w:rPr>
          <w:rFonts w:cs="Times New Roman"/>
          <w:b/>
          <w:sz w:val="24"/>
          <w:szCs w:val="24"/>
        </w:rPr>
        <w:t xml:space="preserve">Latvijai pieejamais </w:t>
      </w:r>
      <w:r w:rsidR="00256637">
        <w:rPr>
          <w:rFonts w:cs="Times New Roman"/>
          <w:b/>
          <w:sz w:val="24"/>
          <w:szCs w:val="24"/>
        </w:rPr>
        <w:t>CEF</w:t>
      </w:r>
      <w:r w:rsidRPr="00784A73" w:rsidR="00256637">
        <w:rPr>
          <w:rFonts w:cs="Times New Roman"/>
          <w:b/>
          <w:sz w:val="24"/>
          <w:szCs w:val="24"/>
        </w:rPr>
        <w:t xml:space="preserve"> </w:t>
      </w:r>
      <w:r w:rsidRPr="00784A73">
        <w:rPr>
          <w:rFonts w:cs="Times New Roman"/>
          <w:b/>
          <w:sz w:val="24"/>
          <w:szCs w:val="24"/>
        </w:rPr>
        <w:t>finansējums Rail Baltica projekta realizēšanai</w:t>
      </w:r>
    </w:p>
    <w:p w:rsidR="005330A0" w:rsidP="00F6139F" w:rsidRDefault="00F101A2" w14:paraId="19F9A306" w14:textId="00AAD350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2A2841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aika posmā no 2015. gada līdz 2019. gadam </w:t>
      </w:r>
      <w:r w:rsidRPr="002A2841" w:rsidR="005330A0">
        <w:rPr>
          <w:rFonts w:cs="Times New Roman"/>
          <w:sz w:val="24"/>
          <w:szCs w:val="24"/>
        </w:rPr>
        <w:t xml:space="preserve">Baltijas valstis un </w:t>
      </w:r>
      <w:r w:rsidR="005330A0">
        <w:rPr>
          <w:rFonts w:cs="Times New Roman"/>
          <w:sz w:val="24"/>
          <w:szCs w:val="24"/>
        </w:rPr>
        <w:t xml:space="preserve">RBR ir parakstījušas </w:t>
      </w:r>
      <w:r>
        <w:rPr>
          <w:rFonts w:cs="Times New Roman"/>
          <w:sz w:val="24"/>
          <w:szCs w:val="24"/>
        </w:rPr>
        <w:t xml:space="preserve">trīs </w:t>
      </w:r>
      <w:r w:rsidRPr="002A2841">
        <w:rPr>
          <w:rFonts w:cs="Times New Roman"/>
          <w:sz w:val="24"/>
          <w:szCs w:val="24"/>
        </w:rPr>
        <w:t>Finansēšanas līgumus</w:t>
      </w:r>
      <w:r>
        <w:rPr>
          <w:rFonts w:cs="Times New Roman"/>
          <w:sz w:val="24"/>
          <w:szCs w:val="24"/>
        </w:rPr>
        <w:t xml:space="preserve">, kuros ir iestrādāts arī dalībvalstu līdzfinansējums, </w:t>
      </w:r>
      <w:r w:rsidR="005330A0">
        <w:rPr>
          <w:rFonts w:cs="Times New Roman"/>
          <w:sz w:val="24"/>
          <w:szCs w:val="24"/>
        </w:rPr>
        <w:t xml:space="preserve">tajos attiecināmās </w:t>
      </w:r>
      <w:r w:rsidR="005330A0">
        <w:rPr>
          <w:rFonts w:cs="Times New Roman"/>
          <w:sz w:val="24"/>
          <w:szCs w:val="24"/>
        </w:rPr>
        <w:lastRenderedPageBreak/>
        <w:t>izmaksas ir 824 milj. EUR apmērā, no kurām CEF</w:t>
      </w:r>
      <w:r>
        <w:rPr>
          <w:rFonts w:cs="Times New Roman"/>
          <w:sz w:val="24"/>
          <w:szCs w:val="24"/>
        </w:rPr>
        <w:t xml:space="preserve"> </w:t>
      </w:r>
      <w:r w:rsidRPr="002A2841">
        <w:rPr>
          <w:rFonts w:cs="Times New Roman"/>
          <w:sz w:val="24"/>
          <w:szCs w:val="24"/>
        </w:rPr>
        <w:t>finansējum</w:t>
      </w:r>
      <w:r w:rsidR="005330A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5330A0">
        <w:rPr>
          <w:rFonts w:cs="Times New Roman"/>
          <w:sz w:val="24"/>
          <w:szCs w:val="24"/>
        </w:rPr>
        <w:t>ir 683</w:t>
      </w:r>
      <w:r>
        <w:rPr>
          <w:rFonts w:cs="Times New Roman"/>
          <w:sz w:val="24"/>
          <w:szCs w:val="24"/>
        </w:rPr>
        <w:t xml:space="preserve"> </w:t>
      </w:r>
      <w:r w:rsidR="005330A0">
        <w:rPr>
          <w:rFonts w:cs="Times New Roman"/>
          <w:sz w:val="24"/>
          <w:szCs w:val="24"/>
        </w:rPr>
        <w:t xml:space="preserve">milj. </w:t>
      </w:r>
      <w:r>
        <w:rPr>
          <w:rFonts w:cs="Times New Roman"/>
          <w:sz w:val="24"/>
          <w:szCs w:val="24"/>
        </w:rPr>
        <w:t xml:space="preserve">EUR </w:t>
      </w:r>
      <w:r w:rsidR="005330A0">
        <w:rPr>
          <w:rFonts w:cs="Times New Roman"/>
          <w:sz w:val="24"/>
          <w:szCs w:val="24"/>
        </w:rPr>
        <w:t>un dalībvalstu nodrošināmais līdzfinansējums 141 milj. EUR. Projekta līgumu ietvaros Latvijas aktivitāšu attiecināmās izmaksas ir</w:t>
      </w:r>
      <w:r>
        <w:rPr>
          <w:rFonts w:cs="Times New Roman"/>
          <w:sz w:val="24"/>
          <w:szCs w:val="24"/>
        </w:rPr>
        <w:t xml:space="preserve"> </w:t>
      </w:r>
      <w:r w:rsidRPr="00785323" w:rsidR="00B93418">
        <w:rPr>
          <w:bCs/>
          <w:sz w:val="24"/>
          <w:szCs w:val="24"/>
        </w:rPr>
        <w:t>296 450 169</w:t>
      </w:r>
      <w:r w:rsidRPr="00785323" w:rsidR="00B93418">
        <w:rPr>
          <w:b/>
          <w:sz w:val="24"/>
          <w:szCs w:val="24"/>
        </w:rPr>
        <w:t xml:space="preserve"> </w:t>
      </w:r>
      <w:r w:rsidRPr="0034448A" w:rsidR="0013123F">
        <w:rPr>
          <w:bCs/>
          <w:sz w:val="24"/>
          <w:szCs w:val="24"/>
        </w:rPr>
        <w:t>E</w:t>
      </w:r>
      <w:r w:rsidRPr="00CA54DC">
        <w:rPr>
          <w:rFonts w:cs="Times New Roman"/>
          <w:sz w:val="24"/>
          <w:szCs w:val="24"/>
        </w:rPr>
        <w:t>UR</w:t>
      </w:r>
      <w:r w:rsidR="005330A0">
        <w:rPr>
          <w:rFonts w:cs="Times New Roman"/>
          <w:sz w:val="24"/>
          <w:szCs w:val="24"/>
        </w:rPr>
        <w:t>, no kurām:</w:t>
      </w:r>
    </w:p>
    <w:p w:rsidRPr="00266C24" w:rsidR="005330A0" w:rsidP="007455D4" w:rsidRDefault="007A611B" w14:paraId="3876E5E0" w14:textId="6FA24F87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330A0">
        <w:rPr>
          <w:rFonts w:cs="Times New Roman"/>
          <w:szCs w:val="24"/>
        </w:rPr>
        <w:t>Pirmā finansēšanas līguma (</w:t>
      </w:r>
      <w:r w:rsidRPr="005330A0" w:rsidR="00F101A2">
        <w:rPr>
          <w:rFonts w:cs="Times New Roman"/>
          <w:szCs w:val="24"/>
        </w:rPr>
        <w:t>CEF1</w:t>
      </w:r>
      <w:r w:rsidR="00F73E4D">
        <w:rPr>
          <w:rStyle w:val="FootnoteReference"/>
          <w:rFonts w:cs="Times New Roman"/>
          <w:szCs w:val="24"/>
        </w:rPr>
        <w:footnoteReference w:id="1"/>
      </w:r>
      <w:r w:rsidRPr="005330A0">
        <w:rPr>
          <w:rFonts w:cs="Times New Roman"/>
          <w:szCs w:val="24"/>
        </w:rPr>
        <w:t>)</w:t>
      </w:r>
      <w:r w:rsidRPr="005330A0" w:rsidR="00F101A2">
        <w:rPr>
          <w:rFonts w:cs="Times New Roman"/>
          <w:szCs w:val="24"/>
        </w:rPr>
        <w:t xml:space="preserve"> ietvarā </w:t>
      </w:r>
      <w:r w:rsidRPr="005330A0" w:rsidR="005330A0">
        <w:rPr>
          <w:rFonts w:cs="Times New Roman"/>
          <w:szCs w:val="24"/>
        </w:rPr>
        <w:t>CEF finansējums ir 237 510 </w:t>
      </w:r>
      <w:r w:rsidRPr="00266C24" w:rsidR="005330A0">
        <w:rPr>
          <w:rFonts w:cs="Times New Roman"/>
          <w:szCs w:val="24"/>
        </w:rPr>
        <w:t xml:space="preserve">990 EUR un </w:t>
      </w:r>
      <w:r w:rsidRPr="00266C24" w:rsidR="00F101A2">
        <w:rPr>
          <w:rFonts w:cs="Times New Roman"/>
          <w:szCs w:val="24"/>
        </w:rPr>
        <w:t>Latvija</w:t>
      </w:r>
      <w:r w:rsidR="00624009">
        <w:rPr>
          <w:rFonts w:cs="Times New Roman"/>
          <w:szCs w:val="24"/>
        </w:rPr>
        <w:t>s</w:t>
      </w:r>
      <w:r w:rsidRPr="00266C24" w:rsidR="00F101A2">
        <w:rPr>
          <w:rFonts w:cs="Times New Roman"/>
          <w:szCs w:val="24"/>
        </w:rPr>
        <w:t xml:space="preserve"> </w:t>
      </w:r>
      <w:r w:rsidR="00D2009D">
        <w:rPr>
          <w:rFonts w:cs="Times New Roman"/>
          <w:szCs w:val="24"/>
        </w:rPr>
        <w:t xml:space="preserve">valsts budžeta </w:t>
      </w:r>
      <w:r w:rsidRPr="00266C24" w:rsidR="00F101A2">
        <w:rPr>
          <w:rFonts w:cs="Times New Roman"/>
          <w:szCs w:val="24"/>
        </w:rPr>
        <w:t xml:space="preserve">līdzfinansējums ir </w:t>
      </w:r>
      <w:r w:rsidRPr="00266C24" w:rsidR="00E561EF">
        <w:rPr>
          <w:bCs/>
          <w:szCs w:val="24"/>
        </w:rPr>
        <w:t>54 248 010</w:t>
      </w:r>
      <w:r w:rsidRPr="00266C24" w:rsidR="00E561EF">
        <w:rPr>
          <w:b/>
          <w:szCs w:val="24"/>
        </w:rPr>
        <w:t xml:space="preserve"> </w:t>
      </w:r>
      <w:r w:rsidRPr="00266C24" w:rsidR="00F101A2">
        <w:rPr>
          <w:rFonts w:cs="Times New Roman"/>
          <w:szCs w:val="24"/>
        </w:rPr>
        <w:t xml:space="preserve">EUR, </w:t>
      </w:r>
    </w:p>
    <w:p w:rsidRPr="00266C24" w:rsidR="005330A0" w:rsidP="007455D4" w:rsidRDefault="007A611B" w14:paraId="582AA2F1" w14:textId="67946BFC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266C24">
        <w:rPr>
          <w:rFonts w:cs="Times New Roman"/>
          <w:szCs w:val="24"/>
        </w:rPr>
        <w:t>otrā finansēšanas līguma (</w:t>
      </w:r>
      <w:r w:rsidRPr="00266C24" w:rsidR="00F101A2">
        <w:rPr>
          <w:rFonts w:cs="Times New Roman"/>
          <w:szCs w:val="24"/>
        </w:rPr>
        <w:t>CEF2</w:t>
      </w:r>
      <w:r w:rsidR="00F73E4D">
        <w:rPr>
          <w:rStyle w:val="FootnoteReference"/>
          <w:rFonts w:cs="Times New Roman"/>
          <w:szCs w:val="24"/>
        </w:rPr>
        <w:footnoteReference w:id="2"/>
      </w:r>
      <w:r w:rsidRPr="00266C24">
        <w:rPr>
          <w:rFonts w:cs="Times New Roman"/>
          <w:szCs w:val="24"/>
        </w:rPr>
        <w:t>)</w:t>
      </w:r>
      <w:r w:rsidRPr="00266C24" w:rsidR="00F101A2">
        <w:rPr>
          <w:rFonts w:cs="Times New Roman"/>
          <w:szCs w:val="24"/>
        </w:rPr>
        <w:t xml:space="preserve"> ietvar</w:t>
      </w:r>
      <w:r w:rsidRPr="00266C24">
        <w:rPr>
          <w:rFonts w:cs="Times New Roman"/>
          <w:szCs w:val="24"/>
        </w:rPr>
        <w:t>ā</w:t>
      </w:r>
      <w:r w:rsidRPr="00266C24" w:rsidR="00F101A2">
        <w:rPr>
          <w:rFonts w:cs="Times New Roman"/>
          <w:szCs w:val="24"/>
        </w:rPr>
        <w:t xml:space="preserve"> </w:t>
      </w:r>
      <w:r w:rsidRPr="00266C24" w:rsidR="00266C24">
        <w:rPr>
          <w:rFonts w:cs="Times New Roman"/>
          <w:szCs w:val="24"/>
        </w:rPr>
        <w:t xml:space="preserve">CEF finansējums ir </w:t>
      </w:r>
      <w:r w:rsidRPr="00266C24" w:rsidR="005330A0">
        <w:rPr>
          <w:rFonts w:cs="Times New Roman"/>
          <w:szCs w:val="24"/>
        </w:rPr>
        <w:t>492</w:t>
      </w:r>
      <w:r w:rsidRPr="00266C24" w:rsidR="00266C24">
        <w:rPr>
          <w:rFonts w:cs="Times New Roman"/>
          <w:szCs w:val="24"/>
        </w:rPr>
        <w:t> </w:t>
      </w:r>
      <w:r w:rsidRPr="00266C24" w:rsidR="005330A0">
        <w:rPr>
          <w:rFonts w:cs="Times New Roman"/>
          <w:szCs w:val="24"/>
        </w:rPr>
        <w:t>762</w:t>
      </w:r>
      <w:r w:rsidRPr="00266C24" w:rsidR="00266C24">
        <w:rPr>
          <w:rFonts w:cs="Times New Roman"/>
          <w:szCs w:val="24"/>
        </w:rPr>
        <w:t xml:space="preserve"> EUR un </w:t>
      </w:r>
      <w:r w:rsidRPr="00266C24" w:rsidR="00F101A2">
        <w:rPr>
          <w:rFonts w:cs="Times New Roman"/>
          <w:szCs w:val="24"/>
        </w:rPr>
        <w:t>Latvija</w:t>
      </w:r>
      <w:r w:rsidR="00624009">
        <w:rPr>
          <w:rFonts w:cs="Times New Roman"/>
          <w:szCs w:val="24"/>
        </w:rPr>
        <w:t>s</w:t>
      </w:r>
      <w:r w:rsidRPr="00266C24" w:rsidR="00F101A2">
        <w:rPr>
          <w:rFonts w:cs="Times New Roman"/>
          <w:szCs w:val="24"/>
        </w:rPr>
        <w:t xml:space="preserve"> </w:t>
      </w:r>
      <w:r w:rsidR="00D2009D">
        <w:rPr>
          <w:rFonts w:cs="Times New Roman"/>
          <w:szCs w:val="24"/>
        </w:rPr>
        <w:t xml:space="preserve">valsts budžeta </w:t>
      </w:r>
      <w:r w:rsidRPr="00266C24" w:rsidR="00F101A2">
        <w:rPr>
          <w:rFonts w:cs="Times New Roman"/>
          <w:szCs w:val="24"/>
        </w:rPr>
        <w:t xml:space="preserve">līdzfinansējums ir </w:t>
      </w:r>
      <w:r w:rsidRPr="00266C24" w:rsidR="00E561EF">
        <w:rPr>
          <w:bCs/>
          <w:szCs w:val="24"/>
        </w:rPr>
        <w:t>86 958</w:t>
      </w:r>
      <w:r w:rsidRPr="00266C24" w:rsidR="00E561EF">
        <w:rPr>
          <w:b/>
          <w:szCs w:val="24"/>
        </w:rPr>
        <w:t xml:space="preserve"> </w:t>
      </w:r>
      <w:r w:rsidRPr="00266C24" w:rsidR="00F101A2">
        <w:rPr>
          <w:rFonts w:cs="Times New Roman"/>
          <w:szCs w:val="24"/>
        </w:rPr>
        <w:t>EUR</w:t>
      </w:r>
      <w:r w:rsidR="00266C24">
        <w:rPr>
          <w:rFonts w:cs="Times New Roman"/>
          <w:szCs w:val="24"/>
        </w:rPr>
        <w:t>,</w:t>
      </w:r>
      <w:r w:rsidRPr="00266C24" w:rsidR="00F101A2">
        <w:rPr>
          <w:rFonts w:cs="Times New Roman"/>
          <w:szCs w:val="24"/>
        </w:rPr>
        <w:t xml:space="preserve">  </w:t>
      </w:r>
    </w:p>
    <w:p w:rsidR="005330A0" w:rsidP="00BB3A90" w:rsidRDefault="007A611B" w14:paraId="635777DA" w14:textId="43FF87A0">
      <w:pPr>
        <w:pStyle w:val="ListParagraph"/>
        <w:numPr>
          <w:ilvl w:val="0"/>
          <w:numId w:val="16"/>
        </w:numPr>
        <w:ind w:left="714" w:hanging="357"/>
        <w:rPr>
          <w:rFonts w:cs="Times New Roman"/>
          <w:szCs w:val="24"/>
        </w:rPr>
      </w:pPr>
      <w:r w:rsidRPr="005330A0">
        <w:rPr>
          <w:rFonts w:cs="Times New Roman"/>
          <w:szCs w:val="24"/>
        </w:rPr>
        <w:t>trešā finansēšanas līguma (</w:t>
      </w:r>
      <w:r w:rsidRPr="005330A0" w:rsidR="00F101A2">
        <w:rPr>
          <w:rFonts w:cs="Times New Roman"/>
          <w:szCs w:val="24"/>
        </w:rPr>
        <w:t>CEF3</w:t>
      </w:r>
      <w:r w:rsidR="00F73E4D">
        <w:rPr>
          <w:rStyle w:val="FootnoteReference"/>
          <w:rFonts w:cs="Times New Roman"/>
          <w:szCs w:val="24"/>
        </w:rPr>
        <w:footnoteReference w:id="3"/>
      </w:r>
      <w:r w:rsidRPr="005330A0">
        <w:rPr>
          <w:rFonts w:cs="Times New Roman"/>
          <w:szCs w:val="24"/>
        </w:rPr>
        <w:t>)</w:t>
      </w:r>
      <w:r w:rsidRPr="005330A0" w:rsidR="00F101A2">
        <w:rPr>
          <w:rFonts w:cs="Times New Roman"/>
          <w:szCs w:val="24"/>
        </w:rPr>
        <w:t xml:space="preserve"> ietvar</w:t>
      </w:r>
      <w:r w:rsidRPr="005330A0">
        <w:rPr>
          <w:rFonts w:cs="Times New Roman"/>
          <w:szCs w:val="24"/>
        </w:rPr>
        <w:t>ā</w:t>
      </w:r>
      <w:r w:rsidRPr="005330A0" w:rsidR="00F101A2">
        <w:rPr>
          <w:rFonts w:cs="Times New Roman"/>
          <w:szCs w:val="24"/>
        </w:rPr>
        <w:t xml:space="preserve"> </w:t>
      </w:r>
      <w:r w:rsidRPr="005330A0" w:rsidR="00266C24">
        <w:rPr>
          <w:rFonts w:cs="Times New Roman"/>
          <w:szCs w:val="24"/>
        </w:rPr>
        <w:t xml:space="preserve">CEF finansējums ir </w:t>
      </w:r>
      <w:r w:rsidRPr="005330A0" w:rsidR="005330A0">
        <w:rPr>
          <w:rFonts w:cs="Times New Roman"/>
          <w:szCs w:val="24"/>
        </w:rPr>
        <w:t>3 494</w:t>
      </w:r>
      <w:r w:rsidR="00266C24">
        <w:rPr>
          <w:rFonts w:cs="Times New Roman"/>
          <w:szCs w:val="24"/>
        </w:rPr>
        <w:t> </w:t>
      </w:r>
      <w:r w:rsidRPr="005330A0" w:rsidR="005330A0">
        <w:rPr>
          <w:rFonts w:cs="Times New Roman"/>
          <w:szCs w:val="24"/>
        </w:rPr>
        <w:t>732</w:t>
      </w:r>
      <w:r w:rsidR="00266C24">
        <w:rPr>
          <w:rFonts w:cs="Times New Roman"/>
          <w:szCs w:val="24"/>
        </w:rPr>
        <w:t xml:space="preserve"> EUR un </w:t>
      </w:r>
      <w:r w:rsidRPr="00266C24" w:rsidR="00266C24">
        <w:rPr>
          <w:rFonts w:cs="Times New Roman"/>
          <w:szCs w:val="24"/>
        </w:rPr>
        <w:t>Latvija</w:t>
      </w:r>
      <w:r w:rsidR="00212C24">
        <w:rPr>
          <w:rFonts w:cs="Times New Roman"/>
          <w:szCs w:val="24"/>
        </w:rPr>
        <w:t>s</w:t>
      </w:r>
      <w:r w:rsidRPr="00266C24" w:rsidR="00266C24">
        <w:rPr>
          <w:rFonts w:cs="Times New Roman"/>
          <w:szCs w:val="24"/>
        </w:rPr>
        <w:t xml:space="preserve"> </w:t>
      </w:r>
      <w:r w:rsidR="00D2009D">
        <w:rPr>
          <w:rFonts w:cs="Times New Roman"/>
          <w:szCs w:val="24"/>
        </w:rPr>
        <w:t xml:space="preserve">valsts budžeta </w:t>
      </w:r>
      <w:r w:rsidRPr="00266C24" w:rsidR="00266C24">
        <w:rPr>
          <w:rFonts w:cs="Times New Roman"/>
          <w:szCs w:val="24"/>
        </w:rPr>
        <w:t xml:space="preserve">līdzfinansējums ir </w:t>
      </w:r>
      <w:r w:rsidRPr="005330A0" w:rsidR="00E561EF">
        <w:rPr>
          <w:bCs/>
          <w:szCs w:val="24"/>
        </w:rPr>
        <w:t>616 717</w:t>
      </w:r>
      <w:r w:rsidRPr="005330A0" w:rsidR="00E561EF">
        <w:rPr>
          <w:b/>
        </w:rPr>
        <w:t xml:space="preserve"> </w:t>
      </w:r>
      <w:r w:rsidRPr="005330A0" w:rsidR="00F101A2">
        <w:rPr>
          <w:rFonts w:cs="Times New Roman"/>
          <w:szCs w:val="24"/>
        </w:rPr>
        <w:t>EUR.</w:t>
      </w:r>
      <w:r w:rsidRPr="005330A0" w:rsidR="00BC7A25">
        <w:rPr>
          <w:rFonts w:cs="Times New Roman"/>
          <w:szCs w:val="24"/>
        </w:rPr>
        <w:t xml:space="preserve"> </w:t>
      </w:r>
    </w:p>
    <w:p w:rsidRPr="007455D4" w:rsidR="00114C2E" w:rsidP="00BB3A90" w:rsidRDefault="00855141" w14:paraId="271F3089" w14:textId="5712E1DF">
      <w:pPr>
        <w:spacing w:after="0"/>
        <w:ind w:firstLine="714"/>
        <w:jc w:val="both"/>
        <w:rPr>
          <w:rFonts w:cs="Times New Roman"/>
          <w:sz w:val="24"/>
          <w:szCs w:val="24"/>
        </w:rPr>
      </w:pPr>
      <w:r w:rsidRPr="007455D4">
        <w:rPr>
          <w:rFonts w:cs="Times New Roman"/>
          <w:sz w:val="24"/>
          <w:szCs w:val="24"/>
        </w:rPr>
        <w:t xml:space="preserve">Projekta koordinatora RB Rail AS (turpmāk </w:t>
      </w:r>
      <w:r w:rsidRPr="007455D4" w:rsidR="002B1DDB">
        <w:rPr>
          <w:rFonts w:cs="Times New Roman"/>
          <w:sz w:val="24"/>
          <w:szCs w:val="24"/>
        </w:rPr>
        <w:t xml:space="preserve">– RBR) pārziņā ir Projekta horizontālās (pārrobežu) aktivitātes. </w:t>
      </w:r>
      <w:r w:rsidRPr="007455D4" w:rsidR="00BC7A25">
        <w:rPr>
          <w:rFonts w:cs="Times New Roman"/>
          <w:sz w:val="24"/>
          <w:szCs w:val="24"/>
        </w:rPr>
        <w:t>CEF līgumu ietvarā</w:t>
      </w:r>
      <w:r w:rsidRPr="007455D4" w:rsidR="001A72FF">
        <w:rPr>
          <w:rFonts w:cs="Times New Roman"/>
          <w:sz w:val="24"/>
          <w:szCs w:val="24"/>
        </w:rPr>
        <w:t xml:space="preserve"> RBR aktivitāšu</w:t>
      </w:r>
      <w:r w:rsidRPr="007455D4" w:rsidR="002B1DDB">
        <w:rPr>
          <w:rFonts w:cs="Times New Roman"/>
          <w:sz w:val="24"/>
          <w:szCs w:val="24"/>
        </w:rPr>
        <w:t xml:space="preserve"> </w:t>
      </w:r>
      <w:r w:rsidRPr="007455D4">
        <w:rPr>
          <w:rFonts w:cs="Times New Roman"/>
          <w:sz w:val="24"/>
          <w:szCs w:val="24"/>
        </w:rPr>
        <w:t>īstenošana</w:t>
      </w:r>
      <w:r w:rsidR="005330A0">
        <w:rPr>
          <w:rFonts w:cs="Times New Roman"/>
          <w:sz w:val="24"/>
          <w:szCs w:val="24"/>
        </w:rPr>
        <w:t xml:space="preserve">s attiecināmās izmaksas </w:t>
      </w:r>
      <w:r w:rsidRPr="007455D4" w:rsidR="00BC7A25">
        <w:rPr>
          <w:rFonts w:cs="Times New Roman"/>
          <w:sz w:val="24"/>
          <w:szCs w:val="24"/>
        </w:rPr>
        <w:t>ir</w:t>
      </w:r>
      <w:r w:rsidRPr="007455D4">
        <w:rPr>
          <w:rFonts w:cs="Times New Roman"/>
          <w:sz w:val="24"/>
          <w:szCs w:val="24"/>
        </w:rPr>
        <w:t xml:space="preserve"> </w:t>
      </w:r>
      <w:r w:rsidRPr="007455D4" w:rsidR="00BC7A25">
        <w:rPr>
          <w:rFonts w:cs="Times New Roman"/>
          <w:sz w:val="24"/>
          <w:szCs w:val="24"/>
        </w:rPr>
        <w:t>19 260</w:t>
      </w:r>
      <w:r w:rsidRPr="007455D4">
        <w:rPr>
          <w:rFonts w:cs="Times New Roman"/>
          <w:sz w:val="24"/>
          <w:szCs w:val="24"/>
        </w:rPr>
        <w:t> </w:t>
      </w:r>
      <w:r w:rsidRPr="007455D4" w:rsidR="00BC7A25">
        <w:rPr>
          <w:rFonts w:cs="Times New Roman"/>
          <w:sz w:val="24"/>
          <w:szCs w:val="24"/>
        </w:rPr>
        <w:t>353</w:t>
      </w:r>
      <w:r w:rsidRPr="007455D4">
        <w:rPr>
          <w:rFonts w:cs="Times New Roman"/>
          <w:sz w:val="24"/>
          <w:szCs w:val="24"/>
        </w:rPr>
        <w:t xml:space="preserve"> EUR</w:t>
      </w:r>
      <w:r w:rsidR="005330A0">
        <w:rPr>
          <w:rFonts w:cs="Times New Roman"/>
          <w:sz w:val="24"/>
          <w:szCs w:val="24"/>
        </w:rPr>
        <w:t>,</w:t>
      </w:r>
      <w:r w:rsidRPr="007455D4" w:rsidR="00BC7A25">
        <w:rPr>
          <w:rFonts w:cs="Times New Roman"/>
          <w:sz w:val="24"/>
          <w:szCs w:val="24"/>
        </w:rPr>
        <w:t xml:space="preserve"> no kur</w:t>
      </w:r>
      <w:r w:rsidR="005330A0">
        <w:rPr>
          <w:rFonts w:cs="Times New Roman"/>
          <w:sz w:val="24"/>
          <w:szCs w:val="24"/>
        </w:rPr>
        <w:t>ā</w:t>
      </w:r>
      <w:r w:rsidRPr="007455D4" w:rsidR="00BC7A25">
        <w:rPr>
          <w:rFonts w:cs="Times New Roman"/>
          <w:sz w:val="24"/>
          <w:szCs w:val="24"/>
        </w:rPr>
        <w:t>m Latvijai, Lietuvai un Igaunijai ir jānodrošina līdzfinansējums 2 889 053 EUR</w:t>
      </w:r>
      <w:r w:rsidRPr="007455D4" w:rsidR="001A72FF">
        <w:rPr>
          <w:rFonts w:cs="Times New Roman"/>
          <w:sz w:val="24"/>
          <w:szCs w:val="24"/>
        </w:rPr>
        <w:t xml:space="preserve"> apmērā</w:t>
      </w:r>
      <w:r w:rsidRPr="007455D4" w:rsidR="00BC7A25">
        <w:rPr>
          <w:rFonts w:cs="Times New Roman"/>
          <w:sz w:val="24"/>
          <w:szCs w:val="24"/>
        </w:rPr>
        <w:t xml:space="preserve">, </w:t>
      </w:r>
      <w:r w:rsidRPr="007455D4">
        <w:rPr>
          <w:rFonts w:cs="Times New Roman"/>
          <w:sz w:val="24"/>
          <w:szCs w:val="24"/>
        </w:rPr>
        <w:t xml:space="preserve">tai skaitā </w:t>
      </w:r>
      <w:r w:rsidRPr="007455D4">
        <w:rPr>
          <w:rFonts w:eastAsia="Times New Roman" w:cs="Times New Roman"/>
          <w:color w:val="000000"/>
          <w:sz w:val="24"/>
          <w:szCs w:val="24"/>
          <w:lang w:val="en-GB" w:eastAsia="en-GB"/>
        </w:rPr>
        <w:t>963 018 EUR</w:t>
      </w:r>
      <w:r w:rsidRPr="007455D4">
        <w:rPr>
          <w:rFonts w:cs="Times New Roman"/>
          <w:sz w:val="24"/>
          <w:szCs w:val="24"/>
        </w:rPr>
        <w:t xml:space="preserve"> ir </w:t>
      </w:r>
      <w:r w:rsidRPr="007455D4" w:rsidR="00BC7A25">
        <w:rPr>
          <w:rFonts w:cs="Times New Roman"/>
          <w:sz w:val="24"/>
          <w:szCs w:val="24"/>
        </w:rPr>
        <w:t>Latvijas</w:t>
      </w:r>
      <w:r w:rsidRPr="007455D4" w:rsidR="001A72FF">
        <w:rPr>
          <w:rFonts w:cs="Times New Roman"/>
          <w:sz w:val="24"/>
          <w:szCs w:val="24"/>
        </w:rPr>
        <w:t xml:space="preserve"> </w:t>
      </w:r>
      <w:r w:rsidR="009B6DF6">
        <w:rPr>
          <w:rFonts w:cs="Times New Roman"/>
          <w:sz w:val="24"/>
          <w:szCs w:val="24"/>
        </w:rPr>
        <w:t xml:space="preserve">valsts </w:t>
      </w:r>
      <w:r w:rsidRPr="007455D4" w:rsidR="001A72FF">
        <w:rPr>
          <w:rFonts w:cs="Times New Roman"/>
          <w:sz w:val="24"/>
          <w:szCs w:val="24"/>
        </w:rPr>
        <w:t>budžeta</w:t>
      </w:r>
      <w:r w:rsidRPr="007455D4" w:rsidR="00BC7A25">
        <w:rPr>
          <w:rFonts w:cs="Times New Roman"/>
          <w:sz w:val="24"/>
          <w:szCs w:val="24"/>
        </w:rPr>
        <w:t xml:space="preserve"> līdzfinansējuma daļa</w:t>
      </w:r>
      <w:r w:rsidRPr="007455D4" w:rsidR="001A72FF">
        <w:rPr>
          <w:rFonts w:eastAsia="Times New Roman" w:cs="Times New Roman"/>
          <w:color w:val="000000"/>
          <w:sz w:val="24"/>
          <w:szCs w:val="24"/>
          <w:lang w:val="en-GB" w:eastAsia="en-GB"/>
        </w:rPr>
        <w:t>.</w:t>
      </w:r>
      <w:r w:rsidRPr="007455D4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455D4" w:rsidR="00F101A2">
        <w:rPr>
          <w:rFonts w:cs="Times New Roman"/>
          <w:sz w:val="24"/>
          <w:szCs w:val="24"/>
        </w:rPr>
        <w:t xml:space="preserve"> CEF1 un CEF2 līdzekļu apguves periods beidzas 2020. gada decembrī, CEF3 līdzekļu apguves periods – 2023</w:t>
      </w:r>
      <w:r w:rsidRPr="007455D4" w:rsidR="00D926F5">
        <w:rPr>
          <w:rFonts w:cs="Times New Roman"/>
          <w:sz w:val="24"/>
          <w:szCs w:val="24"/>
        </w:rPr>
        <w:t>.</w:t>
      </w:r>
      <w:r w:rsidRPr="007455D4" w:rsidR="00F101A2">
        <w:rPr>
          <w:rFonts w:cs="Times New Roman"/>
          <w:sz w:val="24"/>
          <w:szCs w:val="24"/>
        </w:rPr>
        <w:t xml:space="preserve"> gada decembrī.</w:t>
      </w:r>
      <w:r w:rsidRPr="007455D4" w:rsidR="0027026B">
        <w:rPr>
          <w:rFonts w:cs="Times New Roman"/>
          <w:sz w:val="24"/>
          <w:szCs w:val="24"/>
        </w:rPr>
        <w:t xml:space="preserve"> 6.</w:t>
      </w:r>
      <w:r w:rsidRPr="007455D4" w:rsidR="00D926F5">
        <w:rPr>
          <w:rFonts w:cs="Times New Roman"/>
          <w:sz w:val="24"/>
          <w:szCs w:val="24"/>
        </w:rPr>
        <w:t xml:space="preserve"> </w:t>
      </w:r>
      <w:r w:rsidRPr="007455D4" w:rsidR="0027026B">
        <w:rPr>
          <w:rFonts w:cs="Times New Roman"/>
          <w:sz w:val="24"/>
          <w:szCs w:val="24"/>
        </w:rPr>
        <w:t>projektu iesniegumu konkursa ietvaros Latvija plāno pieteikties 278 713 600 EUR finansējumam.</w:t>
      </w:r>
    </w:p>
    <w:p w:rsidR="00855141" w:rsidP="00F6139F" w:rsidRDefault="00114C2E" w14:paraId="6C1FE533" w14:textId="3040F21C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C70852">
        <w:rPr>
          <w:rFonts w:cs="Times New Roman"/>
          <w:bCs/>
          <w:sz w:val="24"/>
          <w:szCs w:val="24"/>
        </w:rPr>
        <w:t xml:space="preserve">Ņemot vērā </w:t>
      </w:r>
      <w:r>
        <w:rPr>
          <w:rFonts w:cs="Times New Roman"/>
          <w:bCs/>
          <w:sz w:val="24"/>
          <w:szCs w:val="24"/>
        </w:rPr>
        <w:t>Projekta</w:t>
      </w:r>
      <w:r w:rsidRPr="00C70852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kas ir </w:t>
      </w:r>
      <w:r w:rsidRPr="00C70852">
        <w:rPr>
          <w:rFonts w:cs="Times New Roman"/>
          <w:bCs/>
          <w:sz w:val="24"/>
          <w:szCs w:val="24"/>
        </w:rPr>
        <w:t>pirmais Eiropas platuma sliežu projekts Baltijā, pirmais projekts ES, kur tieši iesaistītas 3 valstis un netieši vēl divas (Polija un Somija)</w:t>
      </w:r>
      <w:r w:rsidR="005215B5">
        <w:rPr>
          <w:rFonts w:cs="Times New Roman"/>
          <w:bCs/>
          <w:sz w:val="24"/>
          <w:szCs w:val="24"/>
        </w:rPr>
        <w:t xml:space="preserve"> sarežģītību, P</w:t>
      </w:r>
      <w:r w:rsidRPr="00C70852">
        <w:rPr>
          <w:rFonts w:cs="Times New Roman"/>
          <w:bCs/>
          <w:sz w:val="24"/>
          <w:szCs w:val="24"/>
        </w:rPr>
        <w:t>rojekta sākum</w:t>
      </w:r>
      <w:r w:rsidR="005215B5">
        <w:rPr>
          <w:rFonts w:cs="Times New Roman"/>
          <w:bCs/>
          <w:sz w:val="24"/>
          <w:szCs w:val="24"/>
        </w:rPr>
        <w:t xml:space="preserve">a posms ieilga, jo tas </w:t>
      </w:r>
      <w:r w:rsidRPr="00C70852">
        <w:rPr>
          <w:rFonts w:cs="Times New Roman"/>
          <w:bCs/>
          <w:sz w:val="24"/>
          <w:szCs w:val="24"/>
        </w:rPr>
        <w:t xml:space="preserve">prasīja salāgot valstu intereses, izveidot attiecīgas juridiskās struktūras, vienoties par </w:t>
      </w:r>
      <w:r w:rsidR="005215B5">
        <w:rPr>
          <w:rFonts w:cs="Times New Roman"/>
          <w:bCs/>
          <w:sz w:val="24"/>
          <w:szCs w:val="24"/>
        </w:rPr>
        <w:t>P</w:t>
      </w:r>
      <w:r w:rsidRPr="00C70852">
        <w:rPr>
          <w:rFonts w:cs="Times New Roman"/>
          <w:bCs/>
          <w:sz w:val="24"/>
          <w:szCs w:val="24"/>
        </w:rPr>
        <w:t>rojekta ieviešanas principiem un atbildībām, kā arī noteikt trases atrašanās vietu Baltijā. Šie sarežģītie, bet nepieciešamie darbi</w:t>
      </w:r>
      <w:r>
        <w:rPr>
          <w:rFonts w:cs="Times New Roman"/>
          <w:bCs/>
          <w:sz w:val="24"/>
          <w:szCs w:val="24"/>
        </w:rPr>
        <w:t>,</w:t>
      </w:r>
      <w:r w:rsidRPr="00C70852">
        <w:rPr>
          <w:rFonts w:cs="Times New Roman"/>
          <w:bCs/>
          <w:sz w:val="24"/>
          <w:szCs w:val="24"/>
        </w:rPr>
        <w:t xml:space="preserve"> aizņēma vairākus gadus, un tikai 2018.gadā </w:t>
      </w:r>
      <w:r w:rsidR="005215B5">
        <w:rPr>
          <w:rFonts w:cs="Times New Roman"/>
          <w:bCs/>
          <w:sz w:val="24"/>
          <w:szCs w:val="24"/>
        </w:rPr>
        <w:t>P</w:t>
      </w:r>
      <w:r w:rsidRPr="00C70852">
        <w:rPr>
          <w:rFonts w:cs="Times New Roman"/>
          <w:bCs/>
          <w:sz w:val="24"/>
          <w:szCs w:val="24"/>
        </w:rPr>
        <w:t>rojekts noslēdz</w:t>
      </w:r>
      <w:r>
        <w:rPr>
          <w:rFonts w:cs="Times New Roman"/>
          <w:bCs/>
          <w:sz w:val="24"/>
          <w:szCs w:val="24"/>
        </w:rPr>
        <w:t>a</w:t>
      </w:r>
      <w:r w:rsidRPr="00C70852">
        <w:rPr>
          <w:rFonts w:cs="Times New Roman"/>
          <w:bCs/>
          <w:sz w:val="24"/>
          <w:szCs w:val="24"/>
        </w:rPr>
        <w:t xml:space="preserve"> plānošanas fāzi </w:t>
      </w:r>
      <w:r>
        <w:rPr>
          <w:rFonts w:cs="Times New Roman"/>
          <w:bCs/>
          <w:sz w:val="24"/>
          <w:szCs w:val="24"/>
        </w:rPr>
        <w:t xml:space="preserve">ieejot  </w:t>
      </w:r>
      <w:r w:rsidRPr="00C70852">
        <w:rPr>
          <w:rFonts w:cs="Times New Roman"/>
          <w:bCs/>
          <w:sz w:val="24"/>
          <w:szCs w:val="24"/>
        </w:rPr>
        <w:t xml:space="preserve">projektēšanas fāzē. </w:t>
      </w:r>
      <w:r>
        <w:rPr>
          <w:rFonts w:cs="Times New Roman"/>
          <w:bCs/>
          <w:sz w:val="24"/>
          <w:szCs w:val="24"/>
        </w:rPr>
        <w:t xml:space="preserve"> </w:t>
      </w:r>
    </w:p>
    <w:p w:rsidR="00114C2E" w:rsidP="00114C2E" w:rsidRDefault="00114C2E" w14:paraId="6B9BC3DB" w14:textId="3E4EB26D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C70852">
        <w:rPr>
          <w:rFonts w:cs="Times New Roman"/>
          <w:bCs/>
          <w:sz w:val="24"/>
          <w:szCs w:val="24"/>
        </w:rPr>
        <w:t xml:space="preserve">Situāciju izprot visas </w:t>
      </w:r>
      <w:r w:rsidR="005215B5">
        <w:rPr>
          <w:rFonts w:cs="Times New Roman"/>
          <w:bCs/>
          <w:sz w:val="24"/>
          <w:szCs w:val="24"/>
        </w:rPr>
        <w:t>P</w:t>
      </w:r>
      <w:r w:rsidRPr="00C70852">
        <w:rPr>
          <w:rFonts w:cs="Times New Roman"/>
          <w:bCs/>
          <w:sz w:val="24"/>
          <w:szCs w:val="24"/>
        </w:rPr>
        <w:t xml:space="preserve">rojektā iesaistītās </w:t>
      </w:r>
      <w:r w:rsidR="005215B5">
        <w:rPr>
          <w:rFonts w:cs="Times New Roman"/>
          <w:bCs/>
          <w:sz w:val="24"/>
          <w:szCs w:val="24"/>
        </w:rPr>
        <w:t xml:space="preserve">puses </w:t>
      </w:r>
      <w:r w:rsidRPr="00C70852">
        <w:rPr>
          <w:rFonts w:cs="Times New Roman"/>
          <w:bCs/>
          <w:sz w:val="24"/>
          <w:szCs w:val="24"/>
        </w:rPr>
        <w:t>un par to ar ikgad</w:t>
      </w:r>
      <w:r>
        <w:rPr>
          <w:rFonts w:cs="Times New Roman"/>
          <w:bCs/>
          <w:sz w:val="24"/>
          <w:szCs w:val="24"/>
        </w:rPr>
        <w:t xml:space="preserve">ējām Projekta ieviešanas atskaitēm tika informēta </w:t>
      </w:r>
      <w:r w:rsidRPr="00C70852">
        <w:rPr>
          <w:rFonts w:cs="Times New Roman"/>
          <w:bCs/>
          <w:sz w:val="24"/>
          <w:szCs w:val="24"/>
        </w:rPr>
        <w:t xml:space="preserve">INEA </w:t>
      </w:r>
      <w:r>
        <w:rPr>
          <w:rFonts w:cs="Times New Roman"/>
          <w:bCs/>
          <w:sz w:val="24"/>
          <w:szCs w:val="24"/>
        </w:rPr>
        <w:t>un EK</w:t>
      </w:r>
      <w:r w:rsidRPr="00C70852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 xml:space="preserve">Tādejādi ar INEA un EK </w:t>
      </w:r>
      <w:r w:rsidR="0027026B">
        <w:rPr>
          <w:rFonts w:cs="Times New Roman"/>
          <w:bCs/>
          <w:sz w:val="24"/>
          <w:szCs w:val="24"/>
        </w:rPr>
        <w:t xml:space="preserve">tika </w:t>
      </w:r>
      <w:r w:rsidRPr="00C70852">
        <w:rPr>
          <w:rFonts w:cs="Times New Roman"/>
          <w:bCs/>
          <w:sz w:val="24"/>
          <w:szCs w:val="24"/>
        </w:rPr>
        <w:t>panākta konceptuāla vienošanās</w:t>
      </w:r>
      <w:r>
        <w:rPr>
          <w:rFonts w:cs="Times New Roman"/>
          <w:bCs/>
          <w:sz w:val="24"/>
          <w:szCs w:val="24"/>
        </w:rPr>
        <w:t xml:space="preserve"> par CEF1 finansēšanas grozījumiem, kuri finanšu resursu apguves laiku pagarina </w:t>
      </w:r>
      <w:r w:rsidR="005215B5">
        <w:rPr>
          <w:rFonts w:cs="Times New Roman"/>
          <w:bCs/>
          <w:sz w:val="24"/>
          <w:szCs w:val="24"/>
        </w:rPr>
        <w:t>no 2020.</w:t>
      </w:r>
      <w:r w:rsidR="00D926F5">
        <w:rPr>
          <w:rFonts w:cs="Times New Roman"/>
          <w:bCs/>
          <w:sz w:val="24"/>
          <w:szCs w:val="24"/>
        </w:rPr>
        <w:t xml:space="preserve"> </w:t>
      </w:r>
      <w:r w:rsidR="005215B5">
        <w:rPr>
          <w:rFonts w:cs="Times New Roman"/>
          <w:bCs/>
          <w:sz w:val="24"/>
          <w:szCs w:val="24"/>
        </w:rPr>
        <w:t>gada</w:t>
      </w:r>
      <w:r w:rsidR="00245B55">
        <w:rPr>
          <w:rFonts w:cs="Times New Roman"/>
          <w:bCs/>
          <w:sz w:val="24"/>
          <w:szCs w:val="24"/>
        </w:rPr>
        <w:t xml:space="preserve"> 31.</w:t>
      </w:r>
      <w:r w:rsidR="00D926F5">
        <w:rPr>
          <w:rFonts w:cs="Times New Roman"/>
          <w:bCs/>
          <w:sz w:val="24"/>
          <w:szCs w:val="24"/>
        </w:rPr>
        <w:t xml:space="preserve"> </w:t>
      </w:r>
      <w:r w:rsidR="00245B55">
        <w:rPr>
          <w:rFonts w:cs="Times New Roman"/>
          <w:bCs/>
          <w:sz w:val="24"/>
          <w:szCs w:val="24"/>
        </w:rPr>
        <w:t xml:space="preserve">decembra </w:t>
      </w:r>
      <w:r>
        <w:rPr>
          <w:rFonts w:cs="Times New Roman"/>
          <w:bCs/>
          <w:sz w:val="24"/>
          <w:szCs w:val="24"/>
        </w:rPr>
        <w:t>līdz 2022. gada 31. decembrim</w:t>
      </w:r>
      <w:r w:rsidR="00245B55">
        <w:rPr>
          <w:rFonts w:cs="Times New Roman"/>
          <w:bCs/>
          <w:sz w:val="24"/>
          <w:szCs w:val="24"/>
        </w:rPr>
        <w:t xml:space="preserve"> vienlaikus </w:t>
      </w:r>
      <w:r>
        <w:rPr>
          <w:rFonts w:cs="Times New Roman"/>
          <w:bCs/>
          <w:sz w:val="24"/>
          <w:szCs w:val="24"/>
        </w:rPr>
        <w:t>pārdal</w:t>
      </w:r>
      <w:r w:rsidR="00245B55">
        <w:rPr>
          <w:rFonts w:cs="Times New Roman"/>
          <w:bCs/>
          <w:sz w:val="24"/>
          <w:szCs w:val="24"/>
        </w:rPr>
        <w:t xml:space="preserve">ot </w:t>
      </w:r>
      <w:r>
        <w:rPr>
          <w:rFonts w:cs="Times New Roman"/>
          <w:bCs/>
          <w:sz w:val="24"/>
          <w:szCs w:val="24"/>
        </w:rPr>
        <w:t>finanšu resursus</w:t>
      </w:r>
      <w:r w:rsidR="00B14E57">
        <w:rPr>
          <w:rFonts w:cs="Times New Roman"/>
          <w:bCs/>
          <w:sz w:val="24"/>
          <w:szCs w:val="24"/>
        </w:rPr>
        <w:t xml:space="preserve"> </w:t>
      </w:r>
      <w:r w:rsidR="0027026B">
        <w:rPr>
          <w:rFonts w:cs="Times New Roman"/>
          <w:bCs/>
          <w:sz w:val="24"/>
          <w:szCs w:val="24"/>
        </w:rPr>
        <w:t>CEF1 finansēšanas līguma ietvar</w:t>
      </w:r>
      <w:r w:rsidR="00C364AD">
        <w:rPr>
          <w:rFonts w:cs="Times New Roman"/>
          <w:bCs/>
          <w:sz w:val="24"/>
          <w:szCs w:val="24"/>
        </w:rPr>
        <w:t>ā</w:t>
      </w:r>
      <w:r w:rsidR="00245B55">
        <w:rPr>
          <w:rFonts w:cs="Times New Roman"/>
          <w:bCs/>
          <w:sz w:val="24"/>
          <w:szCs w:val="24"/>
        </w:rPr>
        <w:t xml:space="preserve"> tādejādi </w:t>
      </w:r>
      <w:r w:rsidR="00B14E57">
        <w:rPr>
          <w:rFonts w:cs="Times New Roman"/>
          <w:bCs/>
          <w:sz w:val="24"/>
          <w:szCs w:val="24"/>
        </w:rPr>
        <w:t>atspoguļojot aktualizētās Projekta vajadzības</w:t>
      </w:r>
      <w:r>
        <w:rPr>
          <w:rFonts w:cs="Times New Roman"/>
          <w:bCs/>
          <w:sz w:val="24"/>
          <w:szCs w:val="24"/>
        </w:rPr>
        <w:t>. CEF1 finansēšanas l</w:t>
      </w:r>
      <w:r w:rsidR="00525B10">
        <w:rPr>
          <w:rFonts w:cs="Times New Roman"/>
          <w:bCs/>
          <w:sz w:val="24"/>
          <w:szCs w:val="24"/>
        </w:rPr>
        <w:t>īguma</w:t>
      </w:r>
      <w:r>
        <w:rPr>
          <w:rFonts w:cs="Times New Roman"/>
          <w:bCs/>
          <w:sz w:val="24"/>
          <w:szCs w:val="24"/>
        </w:rPr>
        <w:t xml:space="preserve"> grozījumi </w:t>
      </w:r>
      <w:r w:rsidR="00B14E57">
        <w:rPr>
          <w:rFonts w:cs="Times New Roman"/>
          <w:bCs/>
          <w:sz w:val="24"/>
          <w:szCs w:val="24"/>
        </w:rPr>
        <w:t xml:space="preserve">samazina </w:t>
      </w:r>
      <w:r>
        <w:rPr>
          <w:rFonts w:cs="Times New Roman"/>
          <w:bCs/>
          <w:sz w:val="24"/>
          <w:szCs w:val="24"/>
        </w:rPr>
        <w:t>Latvijas valsts budžeta saistības kopumā</w:t>
      </w:r>
      <w:r w:rsidR="00B14E57">
        <w:rPr>
          <w:rFonts w:cs="Times New Roman"/>
          <w:bCs/>
          <w:sz w:val="24"/>
          <w:szCs w:val="24"/>
        </w:rPr>
        <w:t>,</w:t>
      </w:r>
      <w:r w:rsidR="0027026B">
        <w:rPr>
          <w:rFonts w:cs="Times New Roman"/>
          <w:bCs/>
          <w:sz w:val="24"/>
          <w:szCs w:val="24"/>
        </w:rPr>
        <w:t xml:space="preserve"> </w:t>
      </w:r>
      <w:r w:rsidR="00B14E57">
        <w:rPr>
          <w:rFonts w:cs="Times New Roman"/>
          <w:bCs/>
          <w:sz w:val="24"/>
          <w:szCs w:val="24"/>
        </w:rPr>
        <w:t xml:space="preserve">pagarina tās par diviem gadiem un izmaina to sadali </w:t>
      </w:r>
      <w:r>
        <w:rPr>
          <w:rFonts w:cs="Times New Roman"/>
          <w:bCs/>
          <w:sz w:val="24"/>
          <w:szCs w:val="24"/>
        </w:rPr>
        <w:t>pa gadiem.</w:t>
      </w:r>
    </w:p>
    <w:p w:rsidR="00114C2E" w:rsidP="00F101A2" w:rsidRDefault="00114C2E" w14:paraId="784F4293" w14:textId="77777777">
      <w:pPr>
        <w:spacing w:after="0"/>
        <w:ind w:firstLine="720"/>
        <w:jc w:val="both"/>
        <w:rPr>
          <w:rFonts w:cs="Times New Roman"/>
          <w:sz w:val="24"/>
          <w:szCs w:val="24"/>
        </w:rPr>
      </w:pPr>
    </w:p>
    <w:p w:rsidR="00B92226" w:rsidP="00BB3A90" w:rsidRDefault="0027026B" w14:paraId="7D9B1239" w14:textId="3CA07ED9">
      <w:pPr>
        <w:spacing w:after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CEF1 </w:t>
      </w:r>
      <w:r w:rsidR="00286F91">
        <w:rPr>
          <w:rFonts w:cs="Times New Roman"/>
          <w:b/>
          <w:sz w:val="24"/>
          <w:szCs w:val="24"/>
        </w:rPr>
        <w:t xml:space="preserve">finansēšanas līgums un tā grozījumi </w:t>
      </w:r>
      <w:r w:rsidR="00B92226">
        <w:rPr>
          <w:rFonts w:cs="Times New Roman"/>
          <w:b/>
          <w:sz w:val="24"/>
          <w:szCs w:val="24"/>
        </w:rPr>
        <w:t xml:space="preserve"> </w:t>
      </w:r>
    </w:p>
    <w:p w:rsidR="006252DC" w:rsidP="00BB3A90" w:rsidRDefault="006252DC" w14:paraId="480FEDF5" w14:textId="7944EA18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Latvijas aktivitātes, par kuru īstenošanu CEF1 ietvarā Latvija ir uzņēmusies finansiālās saistības:</w:t>
      </w:r>
    </w:p>
    <w:p w:rsidR="006252DC" w:rsidP="001106C2" w:rsidRDefault="006252DC" w14:paraId="26289DA2" w14:textId="77777777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(1) nekustamo īpašumu atsavināšana;</w:t>
      </w:r>
    </w:p>
    <w:p w:rsidR="006252DC" w:rsidP="001106C2" w:rsidRDefault="006252DC" w14:paraId="7F340A38" w14:textId="183CC6AB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(2) Rīgas Centrālā dzelzceļa mezgla un saistītās infrastruktūras projektēšana un būvniecība;</w:t>
      </w:r>
    </w:p>
    <w:p w:rsidR="006252DC" w:rsidP="001106C2" w:rsidRDefault="006252DC" w14:paraId="0A78F34B" w14:textId="4AF8A225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(3) Rail Baltica </w:t>
      </w:r>
      <w:r w:rsidR="00F83049">
        <w:rPr>
          <w:rFonts w:cs="Times New Roman"/>
          <w:sz w:val="24"/>
          <w:szCs w:val="24"/>
        </w:rPr>
        <w:t xml:space="preserve">līnijas </w:t>
      </w:r>
      <w:r>
        <w:rPr>
          <w:rFonts w:cs="Times New Roman"/>
          <w:sz w:val="24"/>
          <w:szCs w:val="24"/>
        </w:rPr>
        <w:t xml:space="preserve">savienojuma ar starptautisko lidostu “Rīga” projektēšana un būvniecība; </w:t>
      </w:r>
    </w:p>
    <w:p w:rsidR="00245B55" w:rsidP="001106C2" w:rsidRDefault="00245B55" w14:paraId="264FF43D" w14:textId="17B253B9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(4) Rīgas pamatlīnijas projektēšana;</w:t>
      </w:r>
    </w:p>
    <w:p w:rsidR="00245B55" w:rsidP="001106C2" w:rsidRDefault="00245B55" w14:paraId="45283FEF" w14:textId="1A46EEDF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(5) Rail Baltica sekcijas Vangaži – Salaspils – Misa projektēšana</w:t>
      </w:r>
      <w:r w:rsidR="00F83049">
        <w:rPr>
          <w:rFonts w:cs="Times New Roman"/>
          <w:sz w:val="24"/>
          <w:szCs w:val="24"/>
        </w:rPr>
        <w:t>;</w:t>
      </w:r>
    </w:p>
    <w:p w:rsidR="00F83049" w:rsidP="001106C2" w:rsidRDefault="006252DC" w14:paraId="0860A4F5" w14:textId="3E9B7A0B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(4) būvprojektu tehniskais novērtējums un </w:t>
      </w:r>
      <w:r w:rsidR="00453A71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rojekta atbalsta pasākumi</w:t>
      </w:r>
      <w:r w:rsidR="00F83049">
        <w:rPr>
          <w:rFonts w:cs="Times New Roman"/>
          <w:sz w:val="24"/>
          <w:szCs w:val="24"/>
        </w:rPr>
        <w:t>.</w:t>
      </w:r>
    </w:p>
    <w:p w:rsidR="008D29A1" w:rsidP="001106C2" w:rsidRDefault="00F83049" w14:paraId="0288BE05" w14:textId="77777777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CEF1 finansēšanas līguma ietvaros Latvija ir pabeigusi nekustamo īpašumu atsavināšanas 1.fāzi (sagatavots nekustamo īpašumu atsavināšanas plāns un novērtēts juridiskais ietvars)</w:t>
      </w:r>
      <w:r w:rsidR="008D29A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noslēdz Rail Baltica savienojuma ar starptautisko lidostu Rīga projektēšanu un ir parakstījusi Rīgas Centrālā dzelzceļa mezgla un saistītās infrastruktūras projektēšanas un būvniecības līgumu, Rīgas pamatlīnijas un Rail Baltica sekcijas Vangaži – Salaspils – Misa </w:t>
      </w:r>
      <w:r w:rsidR="00802832">
        <w:rPr>
          <w:rFonts w:cs="Times New Roman"/>
          <w:sz w:val="24"/>
          <w:szCs w:val="24"/>
        </w:rPr>
        <w:t>projektēšanas līgumus, kā arī divus būvprojektu tehniskā novērtējuma un būvuzraudzības līgumus</w:t>
      </w:r>
      <w:r w:rsidR="001106C2">
        <w:rPr>
          <w:rFonts w:cs="Times New Roman"/>
          <w:sz w:val="24"/>
          <w:szCs w:val="24"/>
        </w:rPr>
        <w:t>.</w:t>
      </w:r>
      <w:r w:rsidR="00F901E0">
        <w:rPr>
          <w:rFonts w:cs="Times New Roman"/>
          <w:sz w:val="24"/>
          <w:szCs w:val="24"/>
        </w:rPr>
        <w:t xml:space="preserve"> CEF1 finansēšanas līguma aktivitāšu sadalījumu pa kategorijām skatīt 1.tabulā.</w:t>
      </w:r>
    </w:p>
    <w:p w:rsidR="001106C2" w:rsidP="001106C2" w:rsidRDefault="00F901E0" w14:paraId="50BB43ED" w14:textId="2356702E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A611B" w:rsidR="007A611B">
        <w:rPr>
          <w:rFonts w:cs="Times New Roman"/>
          <w:sz w:val="24"/>
          <w:szCs w:val="24"/>
        </w:rPr>
        <w:t xml:space="preserve">                                                    1.tabula</w:t>
      </w:r>
      <w:r w:rsidR="007A611B">
        <w:rPr>
          <w:rFonts w:cs="Times New Roman"/>
          <w:sz w:val="24"/>
          <w:szCs w:val="24"/>
        </w:rPr>
        <w:t>.</w:t>
      </w:r>
      <w:r w:rsidRPr="007A611B" w:rsidR="007A611B">
        <w:rPr>
          <w:rFonts w:cs="Times New Roman"/>
          <w:sz w:val="24"/>
          <w:szCs w:val="24"/>
        </w:rPr>
        <w:t xml:space="preserve"> CEF1 finansēšanas līgums, Latvijas aktivitātes </w:t>
      </w:r>
      <w:r w:rsidR="009F1D96">
        <w:rPr>
          <w:noProof/>
          <w:lang w:eastAsia="lv-LV"/>
        </w:rPr>
        <w:drawing>
          <wp:inline distT="0" distB="0" distL="0" distR="0" wp14:anchorId="51830EC0" wp14:editId="232F2190">
            <wp:extent cx="5850890" cy="5593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5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5A" w:rsidP="001106C2" w:rsidRDefault="00305E5D" w14:paraId="7CEE2D61" w14:textId="4694FA35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Tā kā izdevumu </w:t>
      </w:r>
      <w:proofErr w:type="spellStart"/>
      <w:r>
        <w:rPr>
          <w:rFonts w:cs="Times New Roman"/>
          <w:sz w:val="24"/>
          <w:szCs w:val="24"/>
        </w:rPr>
        <w:t>attiecināmības</w:t>
      </w:r>
      <w:proofErr w:type="spellEnd"/>
      <w:r w:rsidR="00D926F5">
        <w:rPr>
          <w:rFonts w:cs="Times New Roman"/>
          <w:sz w:val="24"/>
          <w:szCs w:val="24"/>
        </w:rPr>
        <w:t xml:space="preserve"> un pieejamo finanšu resursu </w:t>
      </w:r>
      <w:r>
        <w:rPr>
          <w:rFonts w:cs="Times New Roman"/>
          <w:sz w:val="24"/>
          <w:szCs w:val="24"/>
        </w:rPr>
        <w:t xml:space="preserve">dēļ lielie, laikietilpīgie būvniecības līgumi tiek sadalīti posmos, </w:t>
      </w:r>
      <w:r w:rsidR="001106C2">
        <w:rPr>
          <w:rFonts w:cs="Times New Roman"/>
          <w:sz w:val="24"/>
          <w:szCs w:val="24"/>
        </w:rPr>
        <w:t xml:space="preserve">CEF1 līguma grozījumu ietvarā Latvija plāno uzsākt Rīgas Centrālā dzelzceļa mezgla un Rail Baltica līnijas savienojuma ar starptautisko lidostu “Rīga” būvniecības pirmos posmus, </w:t>
      </w:r>
      <w:r w:rsidR="008D29A1">
        <w:rPr>
          <w:rFonts w:cs="Times New Roman"/>
          <w:sz w:val="24"/>
          <w:szCs w:val="24"/>
        </w:rPr>
        <w:t xml:space="preserve">kā arī </w:t>
      </w:r>
      <w:r w:rsidR="001106C2">
        <w:rPr>
          <w:rFonts w:cs="Times New Roman"/>
          <w:sz w:val="24"/>
          <w:szCs w:val="24"/>
        </w:rPr>
        <w:t xml:space="preserve">Rail Baltica Ziemeļu un Dienvidu sekciju projektēšanu tādejādi </w:t>
      </w:r>
      <w:r w:rsidR="00AC78D2">
        <w:rPr>
          <w:rFonts w:cs="Times New Roman"/>
          <w:sz w:val="24"/>
          <w:szCs w:val="24"/>
        </w:rPr>
        <w:t xml:space="preserve">noslēdzot </w:t>
      </w:r>
      <w:r w:rsidR="001106C2">
        <w:rPr>
          <w:rFonts w:cs="Times New Roman"/>
          <w:sz w:val="24"/>
          <w:szCs w:val="24"/>
        </w:rPr>
        <w:t>visas Rail Baltica Latvijas līnijas projektēšanas darbus</w:t>
      </w:r>
      <w:r w:rsidR="00CD3EEC">
        <w:rPr>
          <w:rFonts w:cs="Times New Roman"/>
          <w:sz w:val="24"/>
          <w:szCs w:val="24"/>
        </w:rPr>
        <w:t xml:space="preserve">, izstrādāt </w:t>
      </w:r>
      <w:r w:rsidR="001106C2">
        <w:rPr>
          <w:rFonts w:cs="Times New Roman"/>
          <w:sz w:val="24"/>
          <w:szCs w:val="24"/>
        </w:rPr>
        <w:t>Rīgas mezgla optimizācijas plānu</w:t>
      </w:r>
      <w:r w:rsidR="00CD3EEC">
        <w:rPr>
          <w:rFonts w:cs="Times New Roman"/>
          <w:sz w:val="24"/>
          <w:szCs w:val="24"/>
        </w:rPr>
        <w:t xml:space="preserve"> un palielināt nekustamā īpašuma atsavināšanas budžetu.</w:t>
      </w:r>
      <w:r w:rsidR="00F576E5">
        <w:rPr>
          <w:rFonts w:cs="Times New Roman"/>
          <w:sz w:val="24"/>
          <w:szCs w:val="24"/>
        </w:rPr>
        <w:t xml:space="preserve"> </w:t>
      </w:r>
      <w:r w:rsidR="008D29A1">
        <w:rPr>
          <w:rFonts w:cs="Times New Roman"/>
          <w:sz w:val="24"/>
          <w:szCs w:val="24"/>
        </w:rPr>
        <w:t>G</w:t>
      </w:r>
      <w:r w:rsidR="00524361">
        <w:rPr>
          <w:rFonts w:cs="Times New Roman"/>
          <w:sz w:val="24"/>
          <w:szCs w:val="24"/>
        </w:rPr>
        <w:t xml:space="preserve">rozījumu rezultātā </w:t>
      </w:r>
      <w:r w:rsidR="00524361">
        <w:rPr>
          <w:rFonts w:cs="Times New Roman"/>
          <w:sz w:val="24"/>
          <w:szCs w:val="24"/>
        </w:rPr>
        <w:lastRenderedPageBreak/>
        <w:t xml:space="preserve">7 % pieejamā finansējuma tiks izmantoti </w:t>
      </w:r>
      <w:r w:rsidR="00453A71">
        <w:rPr>
          <w:rFonts w:cs="Times New Roman"/>
          <w:sz w:val="24"/>
          <w:szCs w:val="24"/>
        </w:rPr>
        <w:t>P</w:t>
      </w:r>
      <w:r w:rsidR="00524361">
        <w:rPr>
          <w:rFonts w:cs="Times New Roman"/>
          <w:sz w:val="24"/>
          <w:szCs w:val="24"/>
        </w:rPr>
        <w:t xml:space="preserve">rojekta atbalsta pasākumiem,  11 % </w:t>
      </w:r>
      <w:r w:rsidR="00453A71">
        <w:rPr>
          <w:rFonts w:cs="Times New Roman"/>
          <w:sz w:val="24"/>
          <w:szCs w:val="24"/>
        </w:rPr>
        <w:t>P</w:t>
      </w:r>
      <w:r w:rsidR="00524361">
        <w:rPr>
          <w:rFonts w:cs="Times New Roman"/>
          <w:sz w:val="24"/>
          <w:szCs w:val="24"/>
        </w:rPr>
        <w:t>rojektam nepieciešamo nekustamo īpašumu atsavināšanai, 27 % tehnisko projektu izstrādei un 54 % pieejamā finansējuma tiks izmantoti Rail Baltica trases būvniecībai</w:t>
      </w:r>
      <w:r w:rsidR="008F21E8">
        <w:rPr>
          <w:rFonts w:cs="Times New Roman"/>
          <w:sz w:val="24"/>
          <w:szCs w:val="24"/>
        </w:rPr>
        <w:t xml:space="preserve"> tādejādi Latvijas teritorijā pārliecinoši uzsākot Projekta būvniecības posmu. </w:t>
      </w:r>
      <w:r w:rsidR="00F576E5">
        <w:rPr>
          <w:rFonts w:cs="Times New Roman"/>
          <w:sz w:val="24"/>
          <w:szCs w:val="24"/>
        </w:rPr>
        <w:t>CEF1 finansēšanas līguma grozījumu</w:t>
      </w:r>
      <w:r w:rsidR="00E473EF">
        <w:rPr>
          <w:rFonts w:cs="Times New Roman"/>
          <w:sz w:val="24"/>
          <w:szCs w:val="24"/>
        </w:rPr>
        <w:t xml:space="preserve"> Latvijas</w:t>
      </w:r>
      <w:r w:rsidR="00F576E5">
        <w:rPr>
          <w:rFonts w:cs="Times New Roman"/>
          <w:sz w:val="24"/>
          <w:szCs w:val="24"/>
        </w:rPr>
        <w:t xml:space="preserve"> </w:t>
      </w:r>
      <w:r w:rsidR="008F21E8">
        <w:rPr>
          <w:rFonts w:cs="Times New Roman"/>
          <w:sz w:val="24"/>
          <w:szCs w:val="24"/>
        </w:rPr>
        <w:t xml:space="preserve">aktivitāšu </w:t>
      </w:r>
      <w:r w:rsidR="00F576E5">
        <w:rPr>
          <w:rFonts w:cs="Times New Roman"/>
          <w:sz w:val="24"/>
          <w:szCs w:val="24"/>
        </w:rPr>
        <w:t xml:space="preserve">sadalījumu pa kategorijām skatīt 2. tabulā. </w:t>
      </w:r>
      <w:r w:rsidR="00CD3EEC">
        <w:rPr>
          <w:rFonts w:cs="Times New Roman"/>
          <w:sz w:val="24"/>
          <w:szCs w:val="24"/>
        </w:rPr>
        <w:t xml:space="preserve"> </w:t>
      </w:r>
    </w:p>
    <w:p w:rsidR="006252DC" w:rsidP="007A611B" w:rsidRDefault="001106C2" w14:paraId="5D1A3BEB" w14:textId="1A69974E">
      <w:pPr>
        <w:spacing w:after="0"/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A611B" w:rsidR="007A611B">
        <w:rPr>
          <w:rFonts w:cs="Times New Roman"/>
          <w:sz w:val="24"/>
          <w:szCs w:val="24"/>
        </w:rPr>
        <w:t>2.tabula</w:t>
      </w:r>
      <w:r w:rsidR="007A611B">
        <w:rPr>
          <w:rFonts w:cs="Times New Roman"/>
          <w:sz w:val="24"/>
          <w:szCs w:val="24"/>
        </w:rPr>
        <w:t>.</w:t>
      </w:r>
      <w:r w:rsidRPr="007A611B" w:rsidR="007A611B">
        <w:rPr>
          <w:rFonts w:cs="Times New Roman"/>
          <w:sz w:val="24"/>
          <w:szCs w:val="24"/>
        </w:rPr>
        <w:t xml:space="preserve"> CEF1 finansēšanas līguma grozījumi, Latvijas aktivitātes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850"/>
        <w:gridCol w:w="993"/>
        <w:gridCol w:w="992"/>
        <w:gridCol w:w="1134"/>
        <w:gridCol w:w="850"/>
        <w:gridCol w:w="993"/>
      </w:tblGrid>
      <w:tr w:rsidRPr="008F21E8" w:rsidR="00FA270F" w:rsidTr="008F21E8" w14:paraId="29643553" w14:textId="77777777">
        <w:trPr>
          <w:trHeight w:val="221"/>
        </w:trPr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171B60" w:rsidR="00FA270F" w:rsidP="00FA270F" w:rsidRDefault="008F21E8" w14:paraId="576543B3" w14:textId="792000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71B6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Pasākuma nosaukums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171B60" w:rsidR="00FA270F" w:rsidP="00FA270F" w:rsidRDefault="00FA270F" w14:paraId="62E30B35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71B6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Kopā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3B31E0A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0384057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2017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7AD272C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768B3B1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2019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6672E6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2020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4F6D380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2021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C0A7CD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2022</w:t>
            </w:r>
          </w:p>
        </w:tc>
      </w:tr>
      <w:tr w:rsidRPr="008F21E8" w:rsidR="00FA270F" w:rsidTr="008F21E8" w14:paraId="6B64C302" w14:textId="77777777">
        <w:trPr>
          <w:trHeight w:val="111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045E763D" w14:textId="5DC2E2B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Finansējum</w:t>
            </w:r>
            <w:r w:rsidRPr="00153749" w:rsidR="008F21E8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a avoti</w:t>
            </w:r>
            <w:r w:rsidRPr="00153749" w:rsid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 (EUR)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36EAC7C5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67FEA096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2E639A65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3E26F0D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76F2C511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5A7F104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579FDA8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2A8FD82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</w:tr>
      <w:tr w:rsidRPr="008F21E8" w:rsidR="00FA270F" w:rsidTr="008F21E8" w14:paraId="0B5C6234" w14:textId="77777777">
        <w:trPr>
          <w:trHeight w:val="15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139A1851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19A3A72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287 407 726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36515BB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6A374FD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63 948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66FDFFCE" w14:textId="0FF686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4 139</w:t>
            </w:r>
            <w:r w:rsidR="002B7985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 </w:t>
            </w: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804</w:t>
            </w:r>
            <w:r w:rsidR="002B7985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394B7DD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24 924 548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2027928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69 524 786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292DDED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83 333 543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5FCB0A7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105 421 097</w:t>
            </w:r>
          </w:p>
        </w:tc>
      </w:tr>
      <w:tr w:rsidRPr="008F21E8" w:rsidR="00FA270F" w:rsidTr="008F21E8" w14:paraId="40C586F8" w14:textId="77777777">
        <w:trPr>
          <w:trHeight w:val="98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524361" w14:paraId="72300D80" w14:textId="47C3D5D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3882D29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236 579 721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0DD51A9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436A97E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54 356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6B5272D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3 507 472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550BF6C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20 732 781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4707CA8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58 144 478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10F23FE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68 290 321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388AD2C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85 850 314</w:t>
            </w:r>
          </w:p>
        </w:tc>
      </w:tr>
      <w:tr w:rsidRPr="008F21E8" w:rsidR="00FA270F" w:rsidTr="008F21E8" w14:paraId="6A14EF7F" w14:textId="77777777">
        <w:trPr>
          <w:trHeight w:val="200"/>
        </w:trPr>
        <w:tc>
          <w:tcPr>
            <w:tcW w:w="1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524361" w14:paraId="74D7AE09" w14:textId="7C12EB6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113C763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50 828 005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5790325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153749" w:rsidR="00FA270F" w:rsidP="00FA270F" w:rsidRDefault="00FA270F" w14:paraId="51E8E27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9 592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6E44D06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632 332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60FC3C8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4 191 767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47AB3F4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11 380 309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0FA7ECD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15 043 222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6E0B4"/>
            <w:noWrap/>
            <w:vAlign w:val="bottom"/>
            <w:hideMark/>
          </w:tcPr>
          <w:p w:rsidRPr="008F21E8" w:rsidR="00FA270F" w:rsidP="00FA270F" w:rsidRDefault="00FA270F" w14:paraId="3835268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19 570 783</w:t>
            </w:r>
          </w:p>
        </w:tc>
      </w:tr>
      <w:tr w:rsidRPr="008F21E8" w:rsidR="00FA270F" w:rsidTr="008F21E8" w14:paraId="79694E8C" w14:textId="77777777">
        <w:trPr>
          <w:trHeight w:val="315"/>
        </w:trPr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4034DA2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Pētījumi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46A16C5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63 948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39C660E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0A81790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63 948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40DEBD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451CBA0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7A1A214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77B35C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CCAC16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04F84C9D" w14:textId="77777777">
        <w:trPr>
          <w:trHeight w:val="226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8F21E8" w14:paraId="57F7466C" w14:textId="7AB45E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A</w:t>
            </w:r>
            <w:r w:rsidRPr="00153749" w:rsidR="00FA270F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tsavināšana</w:t>
            </w: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s plāns</w:t>
            </w:r>
            <w:r w:rsidRPr="00153749" w:rsidR="00FA270F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45576E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63 948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DC025D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F783E0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63 948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2EFC69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3A17B9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5105F9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0304C8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7F45F4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45D42FB6" w14:textId="77777777">
        <w:trPr>
          <w:trHeight w:val="125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449FD563" w14:textId="49FA4DB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2CA133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54 356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D4F7C5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D63111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54 356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C94861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8E9D4B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D9128C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4D6F12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4EF27B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3A005854" w14:textId="77777777">
        <w:trPr>
          <w:trHeight w:val="99"/>
        </w:trPr>
        <w:tc>
          <w:tcPr>
            <w:tcW w:w="1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78373FD7" w14:textId="20CFF2F1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A991C6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9 592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EE4959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24B451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9 592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CA5E2D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2FC0C0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A6642A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018FAC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958AD6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8F21E8" w14:paraId="108A1CA0" w14:textId="77777777">
        <w:trPr>
          <w:trHeight w:val="315"/>
        </w:trPr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3A4959D2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Tehniskie projekti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2B0795D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79 784 322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5D0B6C8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1A4F960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7A3BE86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1 339 286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674FB16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10 328 331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77558B2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42 647 654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7C8C6C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16 871 092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C7F090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sz w:val="14"/>
                <w:szCs w:val="14"/>
                <w:lang w:val="en-GB" w:eastAsia="en-GB"/>
              </w:rPr>
              <w:t>8 597 959</w:t>
            </w:r>
          </w:p>
        </w:tc>
      </w:tr>
      <w:tr w:rsidRPr="008F21E8" w:rsidR="00FA270F" w:rsidTr="008F21E8" w14:paraId="6623CEC8" w14:textId="77777777">
        <w:trPr>
          <w:trHeight w:val="285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1D78D9C1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Detalizēti tehniskie projekti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0467A5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71 786 078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AD0EC9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C106C0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D0C9A5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1 339 286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788C63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8 446 048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5289C3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38 319 732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1FEF15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15 215 990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C7D188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8 465 022</w:t>
            </w:r>
          </w:p>
        </w:tc>
      </w:tr>
      <w:tr w:rsidRPr="008F21E8" w:rsidR="00FA270F" w:rsidTr="00971528" w14:paraId="31D25D39" w14:textId="77777777">
        <w:trPr>
          <w:trHeight w:val="139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06C0CEB6" w14:textId="1A957F5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DC6DFD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61 018 166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1868FD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248857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336059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1 138 393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A8080D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7 179 141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EDC7B6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32 571 772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B77AF9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12 933 592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998B13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7 195 269</w:t>
            </w:r>
          </w:p>
        </w:tc>
      </w:tr>
      <w:tr w:rsidRPr="008F21E8" w:rsidR="00FA270F" w:rsidTr="00971528" w14:paraId="0F7FF32F" w14:textId="77777777">
        <w:trPr>
          <w:trHeight w:val="129"/>
        </w:trPr>
        <w:tc>
          <w:tcPr>
            <w:tcW w:w="1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6E4F24ED" w14:textId="6F103B2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D48946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10 767 912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4721A7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86D57F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5D45C5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200 893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EE69B9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1 266 907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FECD07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5 747 960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B065DC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2 282 399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E48F23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1 269 753</w:t>
            </w:r>
          </w:p>
        </w:tc>
      </w:tr>
      <w:tr w:rsidRPr="008F21E8" w:rsidR="00FA270F" w:rsidTr="00971528" w14:paraId="73F72AAC" w14:textId="77777777">
        <w:trPr>
          <w:trHeight w:val="73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3AA0FA16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Novērtēšana  un sertificēšana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CA6F7A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7 998 244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C78B84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E43905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104DA5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239A80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1 882 283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8EF0B2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4 327 922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58AAB0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1 655 102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3CFBFA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132 937</w:t>
            </w:r>
          </w:p>
        </w:tc>
      </w:tr>
      <w:tr w:rsidRPr="008F21E8" w:rsidR="00FA270F" w:rsidTr="00971528" w14:paraId="10753036" w14:textId="77777777">
        <w:trPr>
          <w:trHeight w:val="12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6C2D089C" w14:textId="7FD45F4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6B039E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6 798 507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1A9A4F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42B4A7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BD5695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536077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1 599 941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4C84AC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3 678 734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2E8735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1 406 837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A9E281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112 996</w:t>
            </w:r>
          </w:p>
        </w:tc>
      </w:tr>
      <w:tr w:rsidRPr="008F21E8" w:rsidR="00FA270F" w:rsidTr="00971528" w14:paraId="488EF2D6" w14:textId="77777777">
        <w:trPr>
          <w:trHeight w:val="9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8F21E8" w14:paraId="7AC74C06" w14:textId="09C79C5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ABC7C2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1 199 737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BF4260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062F0E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EC056B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3CA5B1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282 342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514F08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649 188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F5B170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248 265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48E0CD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19 941</w:t>
            </w:r>
          </w:p>
        </w:tc>
      </w:tr>
      <w:tr w:rsidRPr="008F21E8" w:rsidR="00FA270F" w:rsidTr="008F21E8" w14:paraId="7A98B35F" w14:textId="77777777">
        <w:trPr>
          <w:trHeight w:val="315"/>
        </w:trPr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2F06E312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Būvniecība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3641EF8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155 729 572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1A8EB42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6FA3340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630F0EC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3B6272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8 200 000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0E09EF7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14 662 957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E34ADA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51 572 963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35F7B2F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81 293 652</w:t>
            </w:r>
          </w:p>
        </w:tc>
      </w:tr>
      <w:tr w:rsidRPr="008F21E8" w:rsidR="00FA270F" w:rsidTr="00971528" w14:paraId="49F8F620" w14:textId="77777777">
        <w:trPr>
          <w:trHeight w:val="359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4F262BF6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Rīgas Centrālais dzelzceļa mezgls 1. posms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6715E4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125 500 000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63B72F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1B609A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F9E288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185DED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8 200 000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7C1EA0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11 640 000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53C73F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41 899 500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B39F85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63 760 500</w:t>
            </w:r>
          </w:p>
        </w:tc>
      </w:tr>
      <w:tr w:rsidRPr="008F21E8" w:rsidR="00FA270F" w:rsidTr="00971528" w14:paraId="3CC2B9F5" w14:textId="77777777">
        <w:trPr>
          <w:trHeight w:val="18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6F06FF44" w14:textId="200C974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A7BC52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101 655 000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946F69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26E796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3339AE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DCAD59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6 642 000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9706F0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9 428 400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96108F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33 938 595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AA0900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51 646 005</w:t>
            </w:r>
          </w:p>
        </w:tc>
      </w:tr>
      <w:tr w:rsidRPr="008F21E8" w:rsidR="00FA270F" w:rsidTr="00971528" w14:paraId="5647705A" w14:textId="77777777">
        <w:trPr>
          <w:trHeight w:val="14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1564BC2E" w14:textId="3BACD53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493F1D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23 845 000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AB0FF9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3496EA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327357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23A070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1 558 000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72D1D6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2 211 600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8CE655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7 960 905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112B8C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12 114 495</w:t>
            </w:r>
          </w:p>
        </w:tc>
      </w:tr>
      <w:tr w:rsidRPr="008F21E8" w:rsidR="00FA270F" w:rsidTr="00971528" w14:paraId="40073C24" w14:textId="77777777">
        <w:trPr>
          <w:trHeight w:val="27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0DAE002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Rix</w:t>
            </w:r>
            <w:proofErr w:type="spellEnd"/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stacijas būvniecība, 1. posms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749326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30 229 572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E20AAB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642C30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A41414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47146A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8B0986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3 022 957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9D2E36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9 673 463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A6A032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17 533 152</w:t>
            </w:r>
          </w:p>
        </w:tc>
      </w:tr>
      <w:tr w:rsidRPr="008F21E8" w:rsidR="00FA270F" w:rsidTr="00971528" w14:paraId="34CBAC09" w14:textId="77777777">
        <w:trPr>
          <w:trHeight w:val="14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709B1687" w14:textId="63D869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8BC370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24 485 953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796BB8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CA4797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CD595A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8DA774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01E388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2 448 595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26A8DA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7 835 505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CC9CD0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14 201 853</w:t>
            </w:r>
          </w:p>
        </w:tc>
      </w:tr>
      <w:tr w:rsidRPr="008F21E8" w:rsidR="00FA270F" w:rsidTr="00971528" w14:paraId="65F81D50" w14:textId="77777777">
        <w:trPr>
          <w:trHeight w:val="201"/>
        </w:trPr>
        <w:tc>
          <w:tcPr>
            <w:tcW w:w="1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04939FFA" w14:textId="07586F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E6CF0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5 743 619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46527F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7BA3E3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EF0980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F04D6D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7B242C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574 362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CB8BC3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1 837 958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61A31D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3 331 299</w:t>
            </w:r>
          </w:p>
        </w:tc>
      </w:tr>
      <w:tr w:rsidRPr="008F21E8" w:rsidR="00FA270F" w:rsidTr="008F21E8" w14:paraId="1B94170A" w14:textId="77777777">
        <w:trPr>
          <w:trHeight w:val="315"/>
        </w:trPr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7A89761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Īpašumu atsavināšana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0683CC5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30 791 583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0941D40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3D700ED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0EF7644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284 040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43CF5E9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3 127 120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056BF24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9 126 808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1939CB6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9 126 808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93D312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9 126 807</w:t>
            </w:r>
          </w:p>
        </w:tc>
      </w:tr>
      <w:tr w:rsidRPr="008F21E8" w:rsidR="00FA270F" w:rsidTr="00971528" w14:paraId="36D9BA1F" w14:textId="77777777">
        <w:trPr>
          <w:trHeight w:val="369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1B449B00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Īpašumu atsavināšana 1. posms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1FB039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30 791 583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5C5F20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5E3C50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E0A4B0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284 040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BED08D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3 127 120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F78C38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6F2A87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9 126 808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636294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9 126 807</w:t>
            </w:r>
          </w:p>
        </w:tc>
      </w:tr>
      <w:tr w:rsidRPr="008F21E8" w:rsidR="00FA270F" w:rsidTr="00971528" w14:paraId="34B91C48" w14:textId="77777777">
        <w:trPr>
          <w:trHeight w:val="11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59C5F560" w14:textId="01AF685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A6353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24 941 182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F9920B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089F61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7B2748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230 072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42DEE7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2 532 967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120EE6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7 392 714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7674D6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7 392 714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111035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7 392 714</w:t>
            </w:r>
          </w:p>
        </w:tc>
      </w:tr>
      <w:tr w:rsidRPr="008F21E8" w:rsidR="00FA270F" w:rsidTr="00971528" w14:paraId="718A84CB" w14:textId="77777777">
        <w:trPr>
          <w:trHeight w:val="133"/>
        </w:trPr>
        <w:tc>
          <w:tcPr>
            <w:tcW w:w="1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3C7ED8B0" w14:textId="7B0FC1A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94BAC4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5 850 401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71E1A6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8E7DB1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1CD4DA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53 968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C2A194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594 153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6197A0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1 734 094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A6A933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1 734 094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59F764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1 734 093</w:t>
            </w:r>
          </w:p>
        </w:tc>
      </w:tr>
      <w:tr w:rsidRPr="008F21E8" w:rsidR="00FA270F" w:rsidTr="008F21E8" w14:paraId="53A18CA4" w14:textId="77777777">
        <w:trPr>
          <w:trHeight w:val="315"/>
        </w:trPr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6A15669D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Projekta vadība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520E937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21 038 301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143B19F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153749" w:rsidR="00FA270F" w:rsidP="00FA270F" w:rsidRDefault="00FA270F" w14:paraId="3A5ED56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632D48E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2 516 478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5B537FA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3 269 097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D54A4B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3 087 367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2340277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5 762 680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noWrap/>
            <w:vAlign w:val="bottom"/>
            <w:hideMark/>
          </w:tcPr>
          <w:p w:rsidRPr="008F21E8" w:rsidR="00FA270F" w:rsidP="00FA270F" w:rsidRDefault="00FA270F" w14:paraId="6F38084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6 402 679</w:t>
            </w:r>
          </w:p>
        </w:tc>
      </w:tr>
      <w:tr w:rsidRPr="008F21E8" w:rsidR="00FA270F" w:rsidTr="008F21E8" w14:paraId="42A7BC0F" w14:textId="77777777">
        <w:trPr>
          <w:trHeight w:val="285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779D401F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Atbalsta pasākumi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6B1EF9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13 973 926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340E69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BDB294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1CBCE1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2 294 070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2ADB92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3 031 817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DA49F2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2 882 680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F7A656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2 882 680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591BA6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2 882 679</w:t>
            </w:r>
          </w:p>
        </w:tc>
      </w:tr>
      <w:tr w:rsidRPr="008F21E8" w:rsidR="00FA270F" w:rsidTr="00971528" w14:paraId="00D2938D" w14:textId="77777777">
        <w:trPr>
          <w:trHeight w:val="17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37E6545B" w14:textId="78F2F6B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A3EF6C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11 877 837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C8E3AA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76E383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A6FA4D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1 949 960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814C17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2 577 044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F4F1D3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2 450 278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920B42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2 450 278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6AC089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2 450 277</w:t>
            </w:r>
          </w:p>
        </w:tc>
      </w:tr>
      <w:tr w:rsidRPr="008F21E8" w:rsidR="00FA270F" w:rsidTr="00971528" w14:paraId="196F3B78" w14:textId="77777777">
        <w:trPr>
          <w:trHeight w:val="133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29734404" w14:textId="15AEB74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605255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2 096 089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4E7688C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46A40B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B41811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344 111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B01928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454 773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65E98E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432 402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61CFD0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432 402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12311D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432 402</w:t>
            </w:r>
          </w:p>
        </w:tc>
      </w:tr>
      <w:tr w:rsidRPr="008F21E8" w:rsidR="00FA270F" w:rsidTr="00971528" w14:paraId="50B458D9" w14:textId="77777777">
        <w:trPr>
          <w:trHeight w:val="10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5B493B71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Komunikācijas pasākumi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37A378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664 375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2B0982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BC9B16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3A8E20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222 408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0F4771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237 280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D88B46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204 687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07E66C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C39CE8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0BC71F97" w14:textId="77777777">
        <w:trPr>
          <w:trHeight w:val="81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31C14DFB" w14:textId="1DFEF0AB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FD9652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564 719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20A9A9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5BD9F57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3A9AE5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189 047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F91311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201 688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0152D1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173 984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771026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577460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2E4B829D" w14:textId="77777777">
        <w:trPr>
          <w:trHeight w:val="19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7113A68A" w14:textId="490A22A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9E8EF4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99 656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1831177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E5F114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0273FE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33 361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CCAD8E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CF0164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30 703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19334A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4758A1F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Pr="008F21E8" w:rsidR="00FA270F" w:rsidTr="00971528" w14:paraId="1B9C24E1" w14:textId="77777777">
        <w:trPr>
          <w:trHeight w:val="129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53749" w:rsidR="00FA270F" w:rsidP="00FA270F" w:rsidRDefault="00FA270F" w14:paraId="21DE85BF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Būvuzraudzība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0BDB98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6 400 000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982E19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6D14E8D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636816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040E8CCF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D3C8C82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6E7309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2 880 000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E40EB9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3 520 000</w:t>
            </w:r>
          </w:p>
        </w:tc>
      </w:tr>
      <w:tr w:rsidRPr="008F21E8" w:rsidR="00FA270F" w:rsidTr="00971528" w14:paraId="1029805C" w14:textId="77777777">
        <w:trPr>
          <w:trHeight w:val="89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503F97CA" w14:textId="3AAC4D3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2AF083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5 184 000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7FDBB63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AE9722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58CE3CA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AF8D83B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78C5748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DFD24C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2 332 800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13787B9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2 851 200</w:t>
            </w:r>
          </w:p>
        </w:tc>
      </w:tr>
      <w:tr w:rsidRPr="008F21E8" w:rsidR="00FA270F" w:rsidTr="00971528" w14:paraId="71E498F6" w14:textId="77777777">
        <w:trPr>
          <w:trHeight w:val="205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53749" w:rsidR="00FA270F" w:rsidP="00FA270F" w:rsidRDefault="00971528" w14:paraId="232E079D" w14:textId="0D29AC5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37E6E2B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1 216 000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2F9511D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53749" w:rsidR="00FA270F" w:rsidP="00FA270F" w:rsidRDefault="00FA270F" w14:paraId="04D9A91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15374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D389E3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701B5D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64E0F0CB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24827E4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547 200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F21E8" w:rsidR="00FA270F" w:rsidP="00FA270F" w:rsidRDefault="00FA270F" w14:paraId="3D333E2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8F21E8">
              <w:rPr>
                <w:rFonts w:eastAsia="Times New Roman" w:cs="Times New Roman"/>
                <w:color w:val="000000"/>
                <w:sz w:val="14"/>
                <w:szCs w:val="14"/>
                <w:lang w:val="en-GB" w:eastAsia="en-GB"/>
              </w:rPr>
              <w:t>668 800</w:t>
            </w:r>
          </w:p>
        </w:tc>
      </w:tr>
    </w:tbl>
    <w:p w:rsidRPr="002B7985" w:rsidR="001B120A" w:rsidP="00FA270F" w:rsidRDefault="00971528" w14:paraId="46B1A1C4" w14:textId="5EFB16EA">
      <w:pPr>
        <w:spacing w:after="120"/>
        <w:jc w:val="both"/>
        <w:rPr>
          <w:rFonts w:cs="Times New Roman"/>
          <w:sz w:val="16"/>
          <w:szCs w:val="16"/>
        </w:rPr>
      </w:pPr>
      <w:r w:rsidRPr="002B7985">
        <w:rPr>
          <w:rFonts w:cs="Times New Roman"/>
          <w:sz w:val="14"/>
          <w:szCs w:val="14"/>
        </w:rPr>
        <w:t xml:space="preserve">                                               </w:t>
      </w:r>
      <w:r w:rsidRPr="002B7985" w:rsidR="008D29A1">
        <w:rPr>
          <w:rFonts w:cs="Times New Roman"/>
          <w:sz w:val="14"/>
          <w:szCs w:val="14"/>
        </w:rPr>
        <w:t xml:space="preserve">  </w:t>
      </w:r>
      <w:r w:rsidRPr="002B7985" w:rsidR="002B7985">
        <w:rPr>
          <w:rFonts w:cs="Times New Roman"/>
          <w:sz w:val="16"/>
          <w:szCs w:val="16"/>
        </w:rPr>
        <w:t xml:space="preserve">*norādīti izdevumi uz CEF1 līguma grozījumu sagatavošanas brīdi. Saskaņā ar 2018.gada faktisko izpildi CEF1 līguma ietvaros 2018.gadā izdevumi veikti 3 282 485 EUR apmērā. Starpība starp minētajām summām tiks apgūta turpmākajos gados. </w:t>
      </w:r>
    </w:p>
    <w:p w:rsidR="009F1D96" w:rsidP="00BB3A90" w:rsidRDefault="00450597" w14:paraId="2A56FD56" w14:textId="5C4F9B85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Spēkā esošo CEF līgumu</w:t>
      </w:r>
      <w:r w:rsidR="009E57E2">
        <w:rPr>
          <w:rFonts w:cs="Times New Roman"/>
          <w:sz w:val="24"/>
          <w:szCs w:val="24"/>
        </w:rPr>
        <w:t xml:space="preserve"> 4.1.2. punkt</w:t>
      </w:r>
      <w:r w:rsidR="00CC32D7">
        <w:rPr>
          <w:rFonts w:cs="Times New Roman"/>
          <w:sz w:val="24"/>
          <w:szCs w:val="24"/>
        </w:rPr>
        <w:t>s nosaka</w:t>
      </w:r>
      <w:r w:rsidR="00AD0519">
        <w:rPr>
          <w:rFonts w:cs="Times New Roman"/>
          <w:sz w:val="24"/>
          <w:szCs w:val="24"/>
        </w:rPr>
        <w:t>, ka</w:t>
      </w:r>
      <w:r w:rsidR="009E57E2">
        <w:rPr>
          <w:rFonts w:cs="Times New Roman"/>
          <w:sz w:val="24"/>
          <w:szCs w:val="24"/>
        </w:rPr>
        <w:t xml:space="preserve"> ārvalstu finanšu palīdzība</w:t>
      </w:r>
      <w:r w:rsidR="00D54040">
        <w:rPr>
          <w:rFonts w:cs="Times New Roman"/>
          <w:sz w:val="24"/>
          <w:szCs w:val="24"/>
        </w:rPr>
        <w:t xml:space="preserve"> (turpmāk – AFP)</w:t>
      </w:r>
      <w:r>
        <w:rPr>
          <w:rFonts w:cs="Times New Roman"/>
          <w:sz w:val="24"/>
          <w:szCs w:val="24"/>
        </w:rPr>
        <w:t xml:space="preserve"> </w:t>
      </w:r>
      <w:r w:rsidR="009E57E2">
        <w:rPr>
          <w:rFonts w:cs="Times New Roman"/>
          <w:sz w:val="24"/>
          <w:szCs w:val="24"/>
        </w:rPr>
        <w:t>iestādes ieņēmumos</w:t>
      </w:r>
      <w:r>
        <w:rPr>
          <w:rFonts w:cs="Times New Roman"/>
          <w:sz w:val="24"/>
          <w:szCs w:val="24"/>
        </w:rPr>
        <w:t xml:space="preserve"> </w:t>
      </w:r>
      <w:r w:rsidR="008D29A1">
        <w:rPr>
          <w:rFonts w:cs="Times New Roman"/>
          <w:sz w:val="24"/>
          <w:szCs w:val="24"/>
        </w:rPr>
        <w:t xml:space="preserve">nevar pārsniegt </w:t>
      </w:r>
      <w:r w:rsidR="009E57E2">
        <w:rPr>
          <w:rFonts w:cs="Times New Roman"/>
          <w:sz w:val="24"/>
          <w:szCs w:val="24"/>
        </w:rPr>
        <w:t>50%</w:t>
      </w:r>
      <w:r w:rsidR="00F73E4D">
        <w:rPr>
          <w:rFonts w:cs="Times New Roman"/>
          <w:sz w:val="24"/>
          <w:szCs w:val="24"/>
        </w:rPr>
        <w:t xml:space="preserve"> (CEF1) </w:t>
      </w:r>
      <w:r w:rsidR="008D29A1">
        <w:rPr>
          <w:rFonts w:cs="Times New Roman"/>
          <w:sz w:val="24"/>
          <w:szCs w:val="24"/>
        </w:rPr>
        <w:t xml:space="preserve">vai </w:t>
      </w:r>
      <w:r w:rsidR="00F73E4D">
        <w:rPr>
          <w:rFonts w:cs="Times New Roman"/>
          <w:sz w:val="24"/>
          <w:szCs w:val="24"/>
        </w:rPr>
        <w:t xml:space="preserve">40% (CEF2 un CEF 3) </w:t>
      </w:r>
      <w:r w:rsidR="00D54040">
        <w:rPr>
          <w:rFonts w:cs="Times New Roman"/>
          <w:sz w:val="24"/>
          <w:szCs w:val="24"/>
        </w:rPr>
        <w:t xml:space="preserve">no </w:t>
      </w:r>
      <w:r>
        <w:rPr>
          <w:rFonts w:cs="Times New Roman"/>
          <w:sz w:val="24"/>
          <w:szCs w:val="24"/>
        </w:rPr>
        <w:t>plānotā</w:t>
      </w:r>
      <w:r w:rsidRPr="00CC32D7" w:rsidR="00CC32D7">
        <w:rPr>
          <w:rFonts w:cs="Times New Roman"/>
          <w:sz w:val="24"/>
          <w:szCs w:val="24"/>
        </w:rPr>
        <w:t xml:space="preserve"> </w:t>
      </w:r>
      <w:r w:rsidR="00CC32D7">
        <w:rPr>
          <w:rFonts w:cs="Times New Roman"/>
          <w:sz w:val="24"/>
          <w:szCs w:val="24"/>
        </w:rPr>
        <w:t>CEF</w:t>
      </w:r>
      <w:r w:rsidR="00F73E4D">
        <w:rPr>
          <w:rFonts w:cs="Times New Roman"/>
          <w:sz w:val="24"/>
          <w:szCs w:val="24"/>
        </w:rPr>
        <w:t xml:space="preserve"> finansējuma</w:t>
      </w:r>
      <w:r w:rsidR="00431B65">
        <w:rPr>
          <w:rFonts w:cs="Times New Roman"/>
          <w:sz w:val="24"/>
          <w:szCs w:val="24"/>
        </w:rPr>
        <w:t xml:space="preserve">. Papildus CEF līgumu </w:t>
      </w:r>
      <w:r w:rsidR="009E57E2">
        <w:rPr>
          <w:rFonts w:cs="Times New Roman"/>
          <w:sz w:val="24"/>
          <w:szCs w:val="24"/>
        </w:rPr>
        <w:t xml:space="preserve">4.1.3 punktā </w:t>
      </w:r>
      <w:r w:rsidR="00CC32D7">
        <w:rPr>
          <w:rFonts w:cs="Times New Roman"/>
          <w:sz w:val="24"/>
          <w:szCs w:val="24"/>
        </w:rPr>
        <w:t>atrunāts</w:t>
      </w:r>
      <w:r w:rsidR="00431B65">
        <w:rPr>
          <w:rFonts w:cs="Times New Roman"/>
          <w:sz w:val="24"/>
          <w:szCs w:val="24"/>
        </w:rPr>
        <w:t>, ka</w:t>
      </w:r>
      <w:r w:rsidR="009E57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AFP</w:t>
      </w:r>
      <w:r w:rsidR="009E57E2">
        <w:rPr>
          <w:rFonts w:cs="Times New Roman"/>
          <w:sz w:val="24"/>
          <w:szCs w:val="24"/>
        </w:rPr>
        <w:t xml:space="preserve"> līdz </w:t>
      </w:r>
      <w:r w:rsidR="00453A71">
        <w:rPr>
          <w:rFonts w:cs="Times New Roman"/>
          <w:sz w:val="24"/>
          <w:szCs w:val="24"/>
        </w:rPr>
        <w:t>P</w:t>
      </w:r>
      <w:r w:rsidR="009E57E2">
        <w:rPr>
          <w:rFonts w:cs="Times New Roman"/>
          <w:sz w:val="24"/>
          <w:szCs w:val="24"/>
        </w:rPr>
        <w:t>rojekta no</w:t>
      </w:r>
      <w:r w:rsidR="00423AF4">
        <w:rPr>
          <w:rFonts w:cs="Times New Roman"/>
          <w:sz w:val="24"/>
          <w:szCs w:val="24"/>
        </w:rPr>
        <w:t xml:space="preserve">beiguma </w:t>
      </w:r>
      <w:r w:rsidR="009E57E2">
        <w:rPr>
          <w:rFonts w:cs="Times New Roman"/>
          <w:sz w:val="24"/>
          <w:szCs w:val="24"/>
        </w:rPr>
        <w:t>maksājumam  nepārsniedz 80%</w:t>
      </w:r>
      <w:r w:rsidR="00CC32D7">
        <w:rPr>
          <w:rFonts w:cs="Times New Roman"/>
          <w:sz w:val="24"/>
          <w:szCs w:val="24"/>
        </w:rPr>
        <w:t xml:space="preserve"> no </w:t>
      </w:r>
      <w:r>
        <w:rPr>
          <w:rFonts w:cs="Times New Roman"/>
          <w:sz w:val="24"/>
          <w:szCs w:val="24"/>
        </w:rPr>
        <w:t>līgumā plānotā CEF</w:t>
      </w:r>
      <w:r w:rsidR="00CC32D7">
        <w:rPr>
          <w:rFonts w:cs="Times New Roman"/>
          <w:sz w:val="24"/>
          <w:szCs w:val="24"/>
        </w:rPr>
        <w:t xml:space="preserve"> finansējuma. </w:t>
      </w:r>
      <w:r>
        <w:rPr>
          <w:rFonts w:cs="Times New Roman"/>
          <w:sz w:val="24"/>
          <w:szCs w:val="24"/>
        </w:rPr>
        <w:t>L</w:t>
      </w:r>
      <w:r w:rsidR="00CC32D7">
        <w:rPr>
          <w:rFonts w:cs="Times New Roman"/>
          <w:sz w:val="24"/>
          <w:szCs w:val="24"/>
        </w:rPr>
        <w:t xml:space="preserve">ai nodrošinātu Projekta nepārtrauktību un veiksmīgu realizēšanu, no Latvijas valsts budžeta ir nepieciešama </w:t>
      </w:r>
      <w:r>
        <w:rPr>
          <w:rFonts w:cs="Times New Roman"/>
          <w:sz w:val="24"/>
          <w:szCs w:val="24"/>
        </w:rPr>
        <w:t xml:space="preserve">AFP </w:t>
      </w:r>
      <w:proofErr w:type="spellStart"/>
      <w:r w:rsidR="00CC32D7">
        <w:rPr>
          <w:rFonts w:cs="Times New Roman"/>
          <w:sz w:val="24"/>
          <w:szCs w:val="24"/>
        </w:rPr>
        <w:t>priekšfinansēšana</w:t>
      </w:r>
      <w:proofErr w:type="spellEnd"/>
      <w:r>
        <w:rPr>
          <w:rFonts w:cs="Times New Roman"/>
          <w:sz w:val="24"/>
          <w:szCs w:val="24"/>
        </w:rPr>
        <w:t xml:space="preserve">, kas </w:t>
      </w:r>
      <w:r w:rsidR="00423AF4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skaidro </w:t>
      </w:r>
      <w:r w:rsidR="00423AF4">
        <w:rPr>
          <w:rFonts w:cs="Times New Roman"/>
          <w:sz w:val="24"/>
          <w:szCs w:val="24"/>
        </w:rPr>
        <w:t xml:space="preserve">CEF līgumu nesakritību ar </w:t>
      </w:r>
      <w:r w:rsidR="00453A71">
        <w:rPr>
          <w:rFonts w:cs="Times New Roman"/>
          <w:sz w:val="24"/>
          <w:szCs w:val="24"/>
        </w:rPr>
        <w:t>faktiskajiem Valsts Kases datiem</w:t>
      </w:r>
      <w:r w:rsidR="00AF40C6">
        <w:rPr>
          <w:rFonts w:cs="Times New Roman"/>
          <w:sz w:val="24"/>
          <w:szCs w:val="24"/>
        </w:rPr>
        <w:t xml:space="preserve"> sadalījumā pa finansējuma avotiem</w:t>
      </w:r>
      <w:r w:rsidR="00431B65">
        <w:rPr>
          <w:rFonts w:cs="Times New Roman"/>
          <w:sz w:val="24"/>
          <w:szCs w:val="24"/>
        </w:rPr>
        <w:t xml:space="preserve">. AFP </w:t>
      </w:r>
      <w:proofErr w:type="spellStart"/>
      <w:r w:rsidR="00431B65">
        <w:rPr>
          <w:rFonts w:cs="Times New Roman"/>
          <w:sz w:val="24"/>
          <w:szCs w:val="24"/>
        </w:rPr>
        <w:t>priekšfinansēšana</w:t>
      </w:r>
      <w:proofErr w:type="spellEnd"/>
      <w:r w:rsidR="00431B65">
        <w:rPr>
          <w:rFonts w:cs="Times New Roman"/>
          <w:sz w:val="24"/>
          <w:szCs w:val="24"/>
        </w:rPr>
        <w:t xml:space="preserve"> tiks atgriezta Latvijas valsts budžetā pēc CEF līgumu nobeiguma maksājumu saņemšanas.</w:t>
      </w:r>
    </w:p>
    <w:p w:rsidR="003327B6" w:rsidP="00785323" w:rsidRDefault="00305E5D" w14:paraId="4BDF9FF8" w14:textId="53331814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Apkopojot augstā</w:t>
      </w:r>
      <w:r w:rsidR="004E29CD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 minēto secināms, ka CEF1 grozījumu rezultātā </w:t>
      </w:r>
      <w:r w:rsidR="002220C5">
        <w:rPr>
          <w:rFonts w:cs="Times New Roman"/>
          <w:sz w:val="24"/>
          <w:szCs w:val="24"/>
        </w:rPr>
        <w:t xml:space="preserve"> Latvijas aktivitā</w:t>
      </w:r>
      <w:r w:rsidR="005C6108">
        <w:rPr>
          <w:rFonts w:cs="Times New Roman"/>
          <w:sz w:val="24"/>
          <w:szCs w:val="24"/>
        </w:rPr>
        <w:t xml:space="preserve">šu attiecināmās izmaksas </w:t>
      </w:r>
      <w:r w:rsidR="002220C5">
        <w:rPr>
          <w:rFonts w:cs="Times New Roman"/>
          <w:sz w:val="24"/>
          <w:szCs w:val="24"/>
        </w:rPr>
        <w:t>samazināsies par 4 351 274 EUR, ta</w:t>
      </w:r>
      <w:r w:rsidR="007F040D">
        <w:rPr>
          <w:rFonts w:cs="Times New Roman"/>
          <w:sz w:val="24"/>
          <w:szCs w:val="24"/>
        </w:rPr>
        <w:t>i</w:t>
      </w:r>
      <w:r w:rsidR="002220C5">
        <w:rPr>
          <w:rFonts w:cs="Times New Roman"/>
          <w:sz w:val="24"/>
          <w:szCs w:val="24"/>
        </w:rPr>
        <w:t xml:space="preserve"> skaitā </w:t>
      </w:r>
      <w:r w:rsidR="005C6108">
        <w:rPr>
          <w:rFonts w:cs="Times New Roman"/>
          <w:sz w:val="24"/>
          <w:szCs w:val="24"/>
        </w:rPr>
        <w:t xml:space="preserve">CEF </w:t>
      </w:r>
      <w:r w:rsidR="002220C5">
        <w:rPr>
          <w:rFonts w:cs="Times New Roman"/>
          <w:sz w:val="24"/>
          <w:szCs w:val="24"/>
        </w:rPr>
        <w:t xml:space="preserve">finansējums par 931 269 EUR un </w:t>
      </w:r>
      <w:r w:rsidR="005C6108">
        <w:rPr>
          <w:rFonts w:cs="Times New Roman"/>
          <w:sz w:val="24"/>
          <w:szCs w:val="24"/>
        </w:rPr>
        <w:t xml:space="preserve">valsts </w:t>
      </w:r>
      <w:r w:rsidR="002220C5">
        <w:rPr>
          <w:rFonts w:cs="Times New Roman"/>
          <w:sz w:val="24"/>
          <w:szCs w:val="24"/>
        </w:rPr>
        <w:t xml:space="preserve">budžeta līdzfinansējums par 3 420 005 EUR. </w:t>
      </w:r>
    </w:p>
    <w:p w:rsidR="007A611B" w:rsidP="00785323" w:rsidRDefault="00AC78D2" w14:paraId="6B02D6EA" w14:textId="6E0EBCDE">
      <w:pPr>
        <w:tabs>
          <w:tab w:val="left" w:pos="993"/>
        </w:tabs>
        <w:spacing w:after="0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             </w:t>
      </w:r>
      <w:r w:rsidR="00CA5F65">
        <w:rPr>
          <w:rFonts w:cs="Times New Roman"/>
          <w:bCs/>
          <w:sz w:val="24"/>
          <w:szCs w:val="24"/>
        </w:rPr>
        <w:t>Daļu no Projekta aktivitātēm īsteno Latvijā reģistrētais Projekta koordinators RB</w:t>
      </w:r>
      <w:r w:rsidR="00855626">
        <w:rPr>
          <w:rFonts w:cs="Times New Roman"/>
          <w:bCs/>
          <w:sz w:val="24"/>
          <w:szCs w:val="24"/>
        </w:rPr>
        <w:t>R</w:t>
      </w:r>
      <w:r w:rsidR="00CA5F65">
        <w:rPr>
          <w:rFonts w:cs="Times New Roman"/>
          <w:bCs/>
          <w:sz w:val="24"/>
          <w:szCs w:val="24"/>
        </w:rPr>
        <w:t xml:space="preserve">. </w:t>
      </w:r>
      <w:r w:rsidR="00855626">
        <w:rPr>
          <w:rFonts w:cs="Times New Roman"/>
          <w:bCs/>
          <w:sz w:val="24"/>
          <w:szCs w:val="24"/>
        </w:rPr>
        <w:t xml:space="preserve">Tā </w:t>
      </w:r>
      <w:r w:rsidR="00CA5F65">
        <w:rPr>
          <w:rFonts w:cs="Times New Roman"/>
          <w:bCs/>
          <w:sz w:val="24"/>
          <w:szCs w:val="24"/>
        </w:rPr>
        <w:t>pārziņā ir horizontālās Projekta aktivitātes, kur</w:t>
      </w:r>
      <w:r>
        <w:rPr>
          <w:rFonts w:cs="Times New Roman"/>
          <w:bCs/>
          <w:sz w:val="24"/>
          <w:szCs w:val="24"/>
        </w:rPr>
        <w:t>a</w:t>
      </w:r>
      <w:r w:rsidR="00CA5F65">
        <w:rPr>
          <w:rFonts w:cs="Times New Roman"/>
          <w:bCs/>
          <w:sz w:val="24"/>
          <w:szCs w:val="24"/>
        </w:rPr>
        <w:t>s 85 % apmērā finansē EK un solidāri, katra 5 % apmērā</w:t>
      </w:r>
      <w:r w:rsidR="00B31FAB">
        <w:rPr>
          <w:rFonts w:cs="Times New Roman"/>
          <w:bCs/>
          <w:sz w:val="24"/>
          <w:szCs w:val="24"/>
        </w:rPr>
        <w:t>,</w:t>
      </w:r>
      <w:r w:rsidR="00CA5F65">
        <w:rPr>
          <w:rFonts w:cs="Times New Roman"/>
          <w:bCs/>
          <w:sz w:val="24"/>
          <w:szCs w:val="24"/>
        </w:rPr>
        <w:t xml:space="preserve"> līdzfinansē Igaunija, Latvija un Lietuva.</w:t>
      </w:r>
      <w:r w:rsidR="00B31FAB">
        <w:rPr>
          <w:rFonts w:cs="Times New Roman"/>
          <w:bCs/>
          <w:sz w:val="24"/>
          <w:szCs w:val="24"/>
        </w:rPr>
        <w:t xml:space="preserve"> Informācij</w:t>
      </w:r>
      <w:r w:rsidR="003B4BC0">
        <w:rPr>
          <w:rFonts w:cs="Times New Roman"/>
          <w:bCs/>
          <w:sz w:val="24"/>
          <w:szCs w:val="24"/>
        </w:rPr>
        <w:t xml:space="preserve">u </w:t>
      </w:r>
      <w:bookmarkStart w:name="_Hlk24029477" w:id="2"/>
      <w:r w:rsidR="00B31FAB">
        <w:rPr>
          <w:rFonts w:cs="Times New Roman"/>
          <w:bCs/>
          <w:sz w:val="24"/>
          <w:szCs w:val="24"/>
        </w:rPr>
        <w:t xml:space="preserve">par nepieciešamo </w:t>
      </w:r>
      <w:r>
        <w:rPr>
          <w:rFonts w:cs="Times New Roman"/>
          <w:bCs/>
          <w:sz w:val="24"/>
          <w:szCs w:val="24"/>
        </w:rPr>
        <w:t xml:space="preserve">Latvijas </w:t>
      </w:r>
      <w:r w:rsidR="00B31FAB">
        <w:rPr>
          <w:rFonts w:cs="Times New Roman"/>
          <w:bCs/>
          <w:sz w:val="24"/>
          <w:szCs w:val="24"/>
        </w:rPr>
        <w:t xml:space="preserve">līdzfinansējumu RBR aktivitātēm CEF1 finansēšanas līguma grozījumu ietvarā </w:t>
      </w:r>
      <w:bookmarkEnd w:id="2"/>
      <w:r w:rsidR="00B31FAB">
        <w:rPr>
          <w:rFonts w:cs="Times New Roman"/>
          <w:bCs/>
          <w:sz w:val="24"/>
          <w:szCs w:val="24"/>
        </w:rPr>
        <w:t xml:space="preserve">skatīt </w:t>
      </w:r>
      <w:r w:rsidR="00D54AD4">
        <w:rPr>
          <w:rFonts w:cs="Times New Roman"/>
          <w:bCs/>
          <w:sz w:val="24"/>
          <w:szCs w:val="24"/>
        </w:rPr>
        <w:t>3</w:t>
      </w:r>
      <w:r w:rsidR="00B31FAB">
        <w:rPr>
          <w:rFonts w:cs="Times New Roman"/>
          <w:bCs/>
          <w:sz w:val="24"/>
          <w:szCs w:val="24"/>
        </w:rPr>
        <w:t>.tabul</w:t>
      </w:r>
      <w:r w:rsidR="003B4BC0">
        <w:rPr>
          <w:rFonts w:cs="Times New Roman"/>
          <w:bCs/>
          <w:sz w:val="24"/>
          <w:szCs w:val="24"/>
        </w:rPr>
        <w:t>ā</w:t>
      </w:r>
      <w:r w:rsidR="00B31FAB">
        <w:rPr>
          <w:rFonts w:cs="Times New Roman"/>
          <w:bCs/>
          <w:sz w:val="24"/>
          <w:szCs w:val="24"/>
        </w:rPr>
        <w:t>.</w:t>
      </w:r>
    </w:p>
    <w:p w:rsidR="007A611B" w:rsidP="007A611B" w:rsidRDefault="00D54AD4" w14:paraId="6252556F" w14:textId="4438DE95">
      <w:pPr>
        <w:tabs>
          <w:tab w:val="left" w:pos="993"/>
        </w:tabs>
        <w:spacing w:after="0"/>
        <w:contextualSpacing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</w:t>
      </w:r>
      <w:r w:rsidRPr="007A611B" w:rsidR="007A611B">
        <w:rPr>
          <w:rFonts w:cs="Times New Roman"/>
          <w:bCs/>
          <w:sz w:val="24"/>
          <w:szCs w:val="24"/>
        </w:rPr>
        <w:t>.tabula</w:t>
      </w:r>
      <w:r w:rsidR="007A611B">
        <w:rPr>
          <w:rFonts w:cs="Times New Roman"/>
          <w:bCs/>
          <w:sz w:val="24"/>
          <w:szCs w:val="24"/>
        </w:rPr>
        <w:t>.</w:t>
      </w:r>
      <w:r w:rsidRPr="007A611B" w:rsidR="007A611B">
        <w:rPr>
          <w:rFonts w:cs="Times New Roman"/>
          <w:bCs/>
          <w:sz w:val="24"/>
          <w:szCs w:val="24"/>
        </w:rPr>
        <w:t xml:space="preserve"> CEF1 finansēšanas līguma grozījumi, RBR aktivitātes</w:t>
      </w:r>
    </w:p>
    <w:tbl>
      <w:tblPr>
        <w:tblW w:w="9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1"/>
        <w:gridCol w:w="1152"/>
        <w:gridCol w:w="647"/>
        <w:gridCol w:w="971"/>
        <w:gridCol w:w="711"/>
        <w:gridCol w:w="822"/>
        <w:gridCol w:w="822"/>
        <w:gridCol w:w="822"/>
        <w:gridCol w:w="822"/>
        <w:gridCol w:w="711"/>
        <w:gridCol w:w="9"/>
      </w:tblGrid>
      <w:tr w:rsidRPr="003F6724" w:rsidR="00097B2D" w:rsidTr="00D54AD4" w14:paraId="4EE235EF" w14:textId="77777777">
        <w:trPr>
          <w:gridAfter w:val="1"/>
          <w:wAfter w:w="12" w:type="dxa"/>
          <w:trHeight w:val="153"/>
          <w:tblHeader/>
        </w:trPr>
        <w:tc>
          <w:tcPr>
            <w:tcW w:w="1915" w:type="dxa"/>
            <w:shd w:val="clear" w:color="000000" w:fill="00B050"/>
            <w:noWrap/>
            <w:vAlign w:val="bottom"/>
            <w:hideMark/>
          </w:tcPr>
          <w:p w:rsidRPr="00171B60" w:rsidR="00953EE1" w:rsidP="0013123F" w:rsidRDefault="00AF40C6" w14:paraId="64FEFE2F" w14:textId="60898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54AD4">
              <w:rPr>
                <w:rFonts w:cs="Times New Roman"/>
                <w:bCs/>
                <w:sz w:val="14"/>
                <w:szCs w:val="14"/>
              </w:rPr>
              <w:t>Pasākuma nosaukums</w:t>
            </w:r>
            <w:r w:rsidRPr="00D54AD4" w:rsidR="007A611B">
              <w:rPr>
                <w:rFonts w:cs="Times New Roman"/>
                <w:bCs/>
                <w:sz w:val="14"/>
                <w:szCs w:val="14"/>
              </w:rPr>
              <w:t xml:space="preserve">                                           </w:t>
            </w:r>
          </w:p>
        </w:tc>
        <w:tc>
          <w:tcPr>
            <w:tcW w:w="1087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56A4943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Kopā</w:t>
            </w:r>
          </w:p>
        </w:tc>
        <w:tc>
          <w:tcPr>
            <w:tcW w:w="610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7989504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2015</w:t>
            </w:r>
          </w:p>
        </w:tc>
        <w:tc>
          <w:tcPr>
            <w:tcW w:w="916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3DA865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2016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15FC47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2017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1FFF5E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2018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738A348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2019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80DF80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2020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6AF2293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2021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6723438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2022</w:t>
            </w:r>
          </w:p>
        </w:tc>
      </w:tr>
      <w:tr w:rsidRPr="003F6724" w:rsidR="00953EE1" w:rsidTr="00D54AD4" w14:paraId="30D54A0B" w14:textId="77777777">
        <w:trPr>
          <w:trHeight w:val="210"/>
        </w:trPr>
        <w:tc>
          <w:tcPr>
            <w:tcW w:w="9520" w:type="dxa"/>
            <w:gridSpan w:val="11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73BEBE3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3F672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Finansējuma avoti (EUR) </w:t>
            </w:r>
          </w:p>
        </w:tc>
      </w:tr>
      <w:tr w:rsidRPr="003F6724" w:rsidR="00097B2D" w:rsidTr="00D54AD4" w14:paraId="6CD3A955" w14:textId="77777777">
        <w:trPr>
          <w:gridAfter w:val="1"/>
          <w:wAfter w:w="12" w:type="dxa"/>
          <w:trHeight w:val="210"/>
        </w:trPr>
        <w:tc>
          <w:tcPr>
            <w:tcW w:w="1915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18655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Kopā</w:t>
            </w:r>
          </w:p>
        </w:tc>
        <w:tc>
          <w:tcPr>
            <w:tcW w:w="1087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978968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22 829 612</w:t>
            </w:r>
          </w:p>
        </w:tc>
        <w:tc>
          <w:tcPr>
            <w:tcW w:w="610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4233A09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1A4CD9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74 000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3A70A87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273 000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EFCED4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6 651 982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82767C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6 140 232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3AC6075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5 788 564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A14E66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3 045 995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6ED7EE0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855 839</w:t>
            </w:r>
          </w:p>
        </w:tc>
      </w:tr>
      <w:tr w:rsidRPr="003F6724" w:rsidR="00097B2D" w:rsidTr="00D54AD4" w14:paraId="3EE18DA4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F14089C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E9AFD5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19 405 170</w:t>
            </w:r>
          </w:p>
        </w:tc>
        <w:tc>
          <w:tcPr>
            <w:tcW w:w="610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6AF60D6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C6D32F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62 900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448DBA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232 050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A1FC99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5 654 185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3084C47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5 219 197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071448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4 920 279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445E8CD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2 589 096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A4EDF8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727 463</w:t>
            </w:r>
          </w:p>
        </w:tc>
      </w:tr>
      <w:tr w:rsidRPr="003F6724" w:rsidR="00097B2D" w:rsidTr="00D54AD4" w14:paraId="766BCFE9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6E0399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B25BEC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3 424 442</w:t>
            </w:r>
          </w:p>
        </w:tc>
        <w:tc>
          <w:tcPr>
            <w:tcW w:w="610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21510D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4D33F08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11 100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CA0595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40 950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E91469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997 797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64CCCD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921 035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7B5C303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868 285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AB2D0F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456 899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906D6D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128 376</w:t>
            </w:r>
          </w:p>
        </w:tc>
      </w:tr>
      <w:tr w:rsidRPr="003F6724" w:rsidR="00097B2D" w:rsidTr="00D54AD4" w14:paraId="005BDEB3" w14:textId="77777777">
        <w:trPr>
          <w:gridAfter w:val="1"/>
          <w:wAfter w:w="12" w:type="dxa"/>
          <w:trHeight w:val="193"/>
        </w:trPr>
        <w:tc>
          <w:tcPr>
            <w:tcW w:w="1915" w:type="dxa"/>
            <w:shd w:val="clear" w:color="000000" w:fill="C6E0B4"/>
            <w:vAlign w:val="bottom"/>
            <w:hideMark/>
          </w:tcPr>
          <w:p w:rsidRPr="00514594" w:rsidR="00953EE1" w:rsidP="0013123F" w:rsidRDefault="00953EE1" w14:paraId="2114227F" w14:textId="4EBD8F2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Latvijas budžet</w:t>
            </w:r>
            <w:r w:rsidR="00714F40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s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(EUR)</w:t>
            </w:r>
          </w:p>
        </w:tc>
        <w:tc>
          <w:tcPr>
            <w:tcW w:w="1087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C7C179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1 141 481</w:t>
            </w:r>
          </w:p>
        </w:tc>
        <w:tc>
          <w:tcPr>
            <w:tcW w:w="610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FA0B65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33802F4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3 700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57A374F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13 650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34C9FE7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332 599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44340EE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307 012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1C2D389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289 428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DE0F64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152 300</w:t>
            </w:r>
          </w:p>
        </w:tc>
        <w:tc>
          <w:tcPr>
            <w:tcW w:w="0" w:type="auto"/>
            <w:shd w:val="clear" w:color="000000" w:fill="C6E0B4"/>
            <w:noWrap/>
            <w:vAlign w:val="bottom"/>
            <w:hideMark/>
          </w:tcPr>
          <w:p w:rsidRPr="00514594" w:rsidR="00953EE1" w:rsidP="0013123F" w:rsidRDefault="00953EE1" w14:paraId="0A552AE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42 792</w:t>
            </w:r>
          </w:p>
        </w:tc>
      </w:tr>
      <w:tr w:rsidRPr="003F6724" w:rsidR="00097B2D" w:rsidTr="00D54AD4" w14:paraId="312B24FD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F7B396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Pētījumi</w:t>
            </w:r>
          </w:p>
        </w:tc>
        <w:tc>
          <w:tcPr>
            <w:tcW w:w="1087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5558C4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2 383 583</w:t>
            </w:r>
          </w:p>
        </w:tc>
        <w:tc>
          <w:tcPr>
            <w:tcW w:w="610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0DF3EEB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621AAC2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74 000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344BA97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273 000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5B1FF4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1 430 006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89AD24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350 000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680FFC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256 577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DE21C7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669BAA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083D71C4" w14:textId="77777777">
        <w:trPr>
          <w:gridAfter w:val="1"/>
          <w:wAfter w:w="12" w:type="dxa"/>
          <w:trHeight w:val="357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714F40" w14:paraId="5F36C2D8" w14:textId="54D92C2E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I</w:t>
            </w:r>
            <w:r w:rsidRPr="00514594" w:rsidR="00953EE1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zmaksu un ieguvumu analīzes izstrāde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2DDB68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273 000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EAF4B2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5E209C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B9DFA8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273 000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69FC6D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A9CAEE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7EEAA9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A1402A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CB6B4A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187D74C7" w14:textId="77777777">
        <w:trPr>
          <w:gridAfter w:val="1"/>
          <w:wAfter w:w="12" w:type="dxa"/>
          <w:trHeight w:val="145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384232DC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EA606C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232 050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25EC68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8F1FDE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6A68C3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232 050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E5DF92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62BA7C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3D064F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BF4D1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1FD965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CE75316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1FF5C2B9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23BF12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40 950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0A0072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63EC7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18A516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40 950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261D43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E179FE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B5ED51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0226BB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38BFFF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3D1B383A" w14:textId="77777777">
        <w:trPr>
          <w:gridAfter w:val="1"/>
          <w:wAfter w:w="12" w:type="dxa"/>
          <w:trHeight w:val="32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616B6136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Dzelzceļa darbības plāna izstrāde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F7D35D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505 571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188A36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1F05AF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CDF6FD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2D202A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505 571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DBC134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33BC85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781514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718CA7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66E580AA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5848E77B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FE52E6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429 735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632F62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C19CEA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51A5F2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FC1E7C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429 735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CE5EAD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B6E949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C46588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1BE91A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2C85D716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0D85D5EC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26C823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75 836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7CD779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0729BE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7D2B21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9082F9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75 836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A17B0D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9E900C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ACF9AB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970840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0856DED9" w14:textId="77777777">
        <w:trPr>
          <w:gridAfter w:val="1"/>
          <w:wAfter w:w="12" w:type="dxa"/>
          <w:trHeight w:val="32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259938F7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Biznesa plāna izstrāde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22B2AA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359 850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D0F469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E14027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0AFB0D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F206D5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359 850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A0E994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D1A7B3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BF547E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D3D31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22FE662D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07AFE01C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1354B4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305 873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495594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08ED00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1CED29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671B9F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305 873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3F8A4D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4D8404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726561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4C1344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128FD104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14A2878B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A36A60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53 978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D8B4B4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3D3D79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10335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33A2AB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53 978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98543C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88559C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ED2A54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21C4BA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63650BF3" w14:textId="77777777">
        <w:trPr>
          <w:gridAfter w:val="1"/>
          <w:wAfter w:w="12" w:type="dxa"/>
          <w:trHeight w:val="320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714F40" w14:paraId="32523D87" w14:textId="289E181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L</w:t>
            </w:r>
            <w:r w:rsidRPr="00514594" w:rsidR="00953EE1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īgumu slēgšanas shēmu pētījums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80F41E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74 000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C6111C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2F4536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74 000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230EBF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9D9302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18542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C6252A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309F11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F72D51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64AEBE7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36885626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75DC6B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62 900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39D75A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AB78EB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62 900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EE9DBE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CA6820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AD69D6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661836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5FB2AC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FA634F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1161B94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4348E6A4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EC506B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11 100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7A0160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379686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11 100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3A60B4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40CA6C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466C1F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52ADD0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86DD19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80DB64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979CE91" w14:textId="77777777">
        <w:trPr>
          <w:gridAfter w:val="1"/>
          <w:wAfter w:w="12" w:type="dxa"/>
          <w:trHeight w:val="22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714F40" w14:paraId="082CE4B2" w14:textId="7ECEA05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T</w:t>
            </w:r>
            <w:r w:rsidRPr="00514594" w:rsidR="00953EE1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ehnisko standartu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 izstrāde</w:t>
            </w:r>
            <w:r w:rsidRPr="00514594" w:rsidR="00953EE1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D4E31A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564 585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D43F0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8826AC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E46099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FEB98E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564 585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C560A6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BDA9AA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C6C45E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0C24FB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6562C109" w14:textId="77777777">
        <w:trPr>
          <w:gridAfter w:val="1"/>
          <w:wAfter w:w="12" w:type="dxa"/>
          <w:trHeight w:val="139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60F66066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6DD0D1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479 897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94BCB4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C224C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20ACDA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38038D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479 897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9115A4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9C1759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DC9F2C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774C2D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4CD39FA" w14:textId="77777777">
        <w:trPr>
          <w:gridAfter w:val="1"/>
          <w:wAfter w:w="12" w:type="dxa"/>
          <w:trHeight w:val="24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189472CE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204F7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84 688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3A9A23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DC1BA0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0A7D6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979B0C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84 688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C7EE23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AB9F6E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B4102D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816913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30C5E2CE" w14:textId="77777777">
        <w:trPr>
          <w:gridAfter w:val="1"/>
          <w:wAfter w:w="12" w:type="dxa"/>
          <w:trHeight w:val="273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10360D9B" w14:textId="72A3BD3A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proofErr w:type="spellStart"/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Komercializācijas</w:t>
            </w:r>
            <w:proofErr w:type="spellEnd"/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 un tirgus pētījumi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4B4A85D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606 577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1AB9BF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F8B956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8EF19C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7BD028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917761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350 000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41B651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256 577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A03124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2E11A9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7B613132" w14:textId="77777777">
        <w:trPr>
          <w:gridAfter w:val="1"/>
          <w:wAfter w:w="12" w:type="dxa"/>
          <w:trHeight w:val="22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329ACB68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77A351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515 590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652905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8771D4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CAC4E2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93EB13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5225C2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297 500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236530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218 090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91D28D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EB4710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0A8EECE4" w14:textId="77777777">
        <w:trPr>
          <w:gridAfter w:val="1"/>
          <w:wAfter w:w="12" w:type="dxa"/>
          <w:trHeight w:val="139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5AA93D94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9AC3EB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90 987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FEDE3A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443E90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C4F2CB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474839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4E9EAF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52 500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CE8B44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38 487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65966B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EC5EFD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097B2D" w:rsidTr="00D54AD4" w14:paraId="6A0644F6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00B050"/>
            <w:vAlign w:val="bottom"/>
            <w:hideMark/>
          </w:tcPr>
          <w:p w:rsidRPr="00514594" w:rsidR="00953EE1" w:rsidP="0013123F" w:rsidRDefault="00953EE1" w14:paraId="28229BF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Projekta vadība</w:t>
            </w:r>
          </w:p>
        </w:tc>
        <w:tc>
          <w:tcPr>
            <w:tcW w:w="1087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2C5B12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17 882 766</w:t>
            </w:r>
          </w:p>
        </w:tc>
        <w:tc>
          <w:tcPr>
            <w:tcW w:w="610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052A63B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4640139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33C2C7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683D72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5 221 976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AE1FD4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5 597 988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6ABDC41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4 442 600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0D195F0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1 956 608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15F8F3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663 594</w:t>
            </w:r>
          </w:p>
        </w:tc>
      </w:tr>
      <w:tr w:rsidRPr="003F6724" w:rsidR="00953EE1" w:rsidTr="00D54AD4" w14:paraId="0465C1CC" w14:textId="77777777">
        <w:trPr>
          <w:gridAfter w:val="1"/>
          <w:wAfter w:w="12" w:type="dxa"/>
          <w:trHeight w:val="326"/>
        </w:trPr>
        <w:tc>
          <w:tcPr>
            <w:tcW w:w="1915" w:type="dxa"/>
            <w:shd w:val="clear" w:color="000000" w:fill="FFFFFF"/>
            <w:vAlign w:val="center"/>
            <w:hideMark/>
          </w:tcPr>
          <w:p w:rsidRPr="00514594" w:rsidR="00953EE1" w:rsidP="0013123F" w:rsidRDefault="00953EE1" w14:paraId="0D90879C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Projekta īstenošanas atbalsta pasākumi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CAF10E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17 485 624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3289F0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86A787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79D00D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D352E9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4 824 834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C4A0AF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5 597 988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F93559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4 442 600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2481E3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1 956 608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3BBBD9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663 594</w:t>
            </w:r>
          </w:p>
        </w:tc>
      </w:tr>
      <w:tr w:rsidRPr="003F6724" w:rsidR="00953EE1" w:rsidTr="00D54AD4" w14:paraId="725FAACF" w14:textId="77777777">
        <w:trPr>
          <w:gridAfter w:val="1"/>
          <w:wAfter w:w="12" w:type="dxa"/>
          <w:trHeight w:val="137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4EC86488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8C5A2C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14 862 781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10373C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7E7DE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BAFE49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5E2975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4 101 109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0D45D2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4 758 290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E07D4F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3 776 210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D81584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1 663 117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6255CA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564 055</w:t>
            </w:r>
          </w:p>
        </w:tc>
      </w:tr>
      <w:tr w:rsidRPr="003F6724" w:rsidR="00953EE1" w:rsidTr="00D54AD4" w14:paraId="52F06D79" w14:textId="77777777">
        <w:trPr>
          <w:gridAfter w:val="1"/>
          <w:wAfter w:w="12" w:type="dxa"/>
          <w:trHeight w:val="11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5B28BFFB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559F8E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2 622 844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7AE349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123948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D06414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402539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723 725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84EE20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839 698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541727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666 390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AD1363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293 491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719C6E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99 539</w:t>
            </w:r>
          </w:p>
        </w:tc>
      </w:tr>
      <w:tr w:rsidRPr="003F6724" w:rsidR="00953EE1" w:rsidTr="00D54AD4" w14:paraId="140119DA" w14:textId="77777777">
        <w:trPr>
          <w:gridAfter w:val="1"/>
          <w:wAfter w:w="12" w:type="dxa"/>
          <w:trHeight w:val="99"/>
        </w:trPr>
        <w:tc>
          <w:tcPr>
            <w:tcW w:w="1915" w:type="dxa"/>
            <w:shd w:val="clear" w:color="000000" w:fill="FFFFFF"/>
            <w:vAlign w:val="center"/>
            <w:hideMark/>
          </w:tcPr>
          <w:p w:rsidRPr="00514594" w:rsidR="00953EE1" w:rsidP="0013123F" w:rsidRDefault="00953EE1" w14:paraId="6CA4A7D3" w14:textId="0E9F56FB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Komunikācija un PR plāns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3C746F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397 142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EF90D4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37F171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DA58CF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31DE81A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397 142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D5DF76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8E8E89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A30798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0B2BCC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5ED7E00A" w14:textId="77777777">
        <w:trPr>
          <w:gridAfter w:val="1"/>
          <w:wAfter w:w="12" w:type="dxa"/>
          <w:trHeight w:val="202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094987E8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4EF7C3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337 571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27E096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83B74B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BF917C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E10EBF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337 571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A39BDB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4311FC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9C010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ADF980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1432D5B4" w14:textId="77777777">
        <w:trPr>
          <w:gridAfter w:val="1"/>
          <w:wAfter w:w="12" w:type="dxa"/>
          <w:trHeight w:val="133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1ABAD2E0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389CC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59 571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2E3BAC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58297B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E029BA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519FF2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59 571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15F535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10C087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5ADA65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1D3C4D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63D84E7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center"/>
            <w:hideMark/>
          </w:tcPr>
          <w:p w:rsidRPr="00514594" w:rsidR="00953EE1" w:rsidP="0013123F" w:rsidRDefault="00953EE1" w14:paraId="7D3D2850" w14:textId="3ABAC884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 xml:space="preserve">Būvuzraudzības pakalpojumi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E4081A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BB59A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D6B686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C90563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849257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92E64C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3DBE78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64DEE5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6BDB10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4CCFBFDB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41207B91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63147D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B9EA91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10CB012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6F8D90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3AA34B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3B5F8A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711B94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DFE782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653ED9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953EE1" w:rsidTr="00D54AD4" w14:paraId="6C2498E6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59001F41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4BBF3A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97E3A5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A91B15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24E23B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ABDD32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F5AD35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A6B803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92260E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6EC23C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Pr="003F6724" w:rsidR="00097B2D" w:rsidTr="00D54AD4" w14:paraId="1A90466F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00B050"/>
            <w:vAlign w:val="bottom"/>
            <w:hideMark/>
          </w:tcPr>
          <w:p w:rsidRPr="00514594" w:rsidR="00953EE1" w:rsidP="0013123F" w:rsidRDefault="00953EE1" w14:paraId="530A9E13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Tehniskie projekti</w:t>
            </w:r>
          </w:p>
        </w:tc>
        <w:tc>
          <w:tcPr>
            <w:tcW w:w="1087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595F15B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2 563 263</w:t>
            </w:r>
          </w:p>
        </w:tc>
        <w:tc>
          <w:tcPr>
            <w:tcW w:w="610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FD207D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784B46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90A9F34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78A4D0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FBAF0A6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192 244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31AECCA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1 089 387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19ECD21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1 089 387</w:t>
            </w:r>
          </w:p>
        </w:tc>
        <w:tc>
          <w:tcPr>
            <w:tcW w:w="0" w:type="auto"/>
            <w:shd w:val="clear" w:color="000000" w:fill="00B050"/>
            <w:noWrap/>
            <w:vAlign w:val="bottom"/>
            <w:hideMark/>
          </w:tcPr>
          <w:p w:rsidRPr="00514594" w:rsidR="00953EE1" w:rsidP="0013123F" w:rsidRDefault="00953EE1" w14:paraId="2D43BC0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192 245</w:t>
            </w:r>
          </w:p>
        </w:tc>
      </w:tr>
      <w:tr w:rsidRPr="003F6724" w:rsidR="00953EE1" w:rsidTr="00D54AD4" w14:paraId="0613D441" w14:textId="77777777">
        <w:trPr>
          <w:gridAfter w:val="1"/>
          <w:wAfter w:w="12" w:type="dxa"/>
          <w:trHeight w:val="594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2BEAE286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sz w:val="14"/>
                <w:szCs w:val="14"/>
                <w:lang w:eastAsia="en-GB"/>
              </w:rPr>
              <w:t>Projektēšanas un būvdarbu novērtēšana, verificēšana un sertificēšana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D00EC1E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2 563 263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76F390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0EAA9D0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581713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1E1575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CDFC6C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192 244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FDA4A1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1 089 387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4582C71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1 089 387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5ADC2B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192 245</w:t>
            </w:r>
          </w:p>
        </w:tc>
      </w:tr>
      <w:tr w:rsidRPr="003F6724" w:rsidR="00953EE1" w:rsidTr="00D54AD4" w14:paraId="056C3401" w14:textId="77777777">
        <w:trPr>
          <w:gridAfter w:val="1"/>
          <w:wAfter w:w="12" w:type="dxa"/>
          <w:trHeight w:val="296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41C2790F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CEF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CAB1E2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2 178 774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2BB1632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F3517C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2DEBE0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62D195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B31EFA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163 407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5C4AE5F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925 979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56222E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925 979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0E251E3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163 408</w:t>
            </w:r>
          </w:p>
        </w:tc>
      </w:tr>
      <w:tr w:rsidRPr="003F6724" w:rsidR="00953EE1" w:rsidTr="00D54AD4" w14:paraId="6317DF86" w14:textId="77777777">
        <w:trPr>
          <w:gridAfter w:val="1"/>
          <w:wAfter w:w="12" w:type="dxa"/>
          <w:trHeight w:val="311"/>
        </w:trPr>
        <w:tc>
          <w:tcPr>
            <w:tcW w:w="1915" w:type="dxa"/>
            <w:shd w:val="clear" w:color="000000" w:fill="FFFFFF"/>
            <w:vAlign w:val="bottom"/>
            <w:hideMark/>
          </w:tcPr>
          <w:p w:rsidRPr="00514594" w:rsidR="00953EE1" w:rsidP="0013123F" w:rsidRDefault="00953EE1" w14:paraId="2313C93B" w14:textId="7777777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sz w:val="14"/>
                <w:szCs w:val="14"/>
                <w:lang w:eastAsia="en-GB"/>
              </w:rPr>
              <w:t>Valstu budžets (EE+LT+LV)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91BAA9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384 489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456D433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BB8154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0153A8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39724E6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71371365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28 837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68EFF031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163 408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57DE743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163 408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Pr="00514594" w:rsidR="00953EE1" w:rsidP="0013123F" w:rsidRDefault="00953EE1" w14:paraId="0C1D822E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514594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28 837</w:t>
            </w:r>
          </w:p>
        </w:tc>
      </w:tr>
    </w:tbl>
    <w:p w:rsidR="00E65FD9" w:rsidP="00785323" w:rsidRDefault="00E65FD9" w14:paraId="78B564A0" w14:textId="77777777">
      <w:pPr>
        <w:spacing w:after="0"/>
        <w:ind w:firstLine="720"/>
        <w:jc w:val="both"/>
        <w:rPr>
          <w:rFonts w:cs="Times New Roman"/>
          <w:sz w:val="24"/>
          <w:szCs w:val="24"/>
        </w:rPr>
      </w:pPr>
    </w:p>
    <w:p w:rsidR="00A50983" w:rsidP="00785323" w:rsidRDefault="003B4BC0" w14:paraId="38A64B47" w14:textId="5DDCB35B">
      <w:pPr>
        <w:spacing w:after="0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5E366E">
        <w:rPr>
          <w:rFonts w:cs="Times New Roman"/>
          <w:sz w:val="24"/>
          <w:szCs w:val="24"/>
        </w:rPr>
        <w:t>pkopojot augstāk minēt</w:t>
      </w:r>
      <w:r w:rsidRPr="00D53054">
        <w:rPr>
          <w:rFonts w:cs="Times New Roman"/>
          <w:sz w:val="24"/>
          <w:szCs w:val="24"/>
        </w:rPr>
        <w:t>o</w:t>
      </w:r>
      <w:r w:rsidR="00DE6291">
        <w:rPr>
          <w:rFonts w:cs="Times New Roman"/>
          <w:sz w:val="24"/>
          <w:szCs w:val="24"/>
        </w:rPr>
        <w:t xml:space="preserve"> </w:t>
      </w:r>
      <w:r w:rsidRPr="005872F8">
        <w:rPr>
          <w:sz w:val="24"/>
          <w:szCs w:val="24"/>
        </w:rPr>
        <w:t>secināms,</w:t>
      </w:r>
      <w:r w:rsidR="00DE6291">
        <w:rPr>
          <w:sz w:val="24"/>
          <w:szCs w:val="24"/>
        </w:rPr>
        <w:t xml:space="preserve"> ka CEF1 finansēšanas grozījumu rezultātā Latvijas valsts budžeta līdzfinansējums RBR aktivitātēm palielinās par 791 481 EUR. Palielinājums ir </w:t>
      </w:r>
      <w:r w:rsidR="00DE6291">
        <w:rPr>
          <w:sz w:val="24"/>
          <w:szCs w:val="24"/>
        </w:rPr>
        <w:lastRenderedPageBreak/>
        <w:t>cieši saistīts ar Projekta ieviešanas atbalsta pasākumu tas ir RBR administratīvo izmaksu pieaugumu.</w:t>
      </w:r>
      <w:r w:rsidR="00783DBF">
        <w:rPr>
          <w:sz w:val="24"/>
          <w:szCs w:val="24"/>
        </w:rPr>
        <w:t xml:space="preserve"> </w:t>
      </w:r>
    </w:p>
    <w:p w:rsidR="003B4BC0" w:rsidP="00785323" w:rsidRDefault="00783DBF" w14:paraId="0086019C" w14:textId="0A7004A0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CEF līgumos paredzēto</w:t>
      </w:r>
      <w:r w:rsidR="005C3FC6">
        <w:rPr>
          <w:sz w:val="24"/>
          <w:szCs w:val="24"/>
        </w:rPr>
        <w:t xml:space="preserve"> aktivitāšu īstenošanai </w:t>
      </w:r>
      <w:r w:rsidR="00A50983">
        <w:rPr>
          <w:sz w:val="24"/>
          <w:szCs w:val="24"/>
        </w:rPr>
        <w:t xml:space="preserve">RBR </w:t>
      </w:r>
      <w:r w:rsidR="005C3FC6">
        <w:rPr>
          <w:sz w:val="24"/>
          <w:szCs w:val="24"/>
        </w:rPr>
        <w:t xml:space="preserve">laika posmā </w:t>
      </w:r>
      <w:r w:rsidR="00A50983">
        <w:rPr>
          <w:sz w:val="24"/>
          <w:szCs w:val="24"/>
        </w:rPr>
        <w:t xml:space="preserve">no 2015.gada </w:t>
      </w:r>
      <w:r w:rsidR="005C3FC6">
        <w:rPr>
          <w:sz w:val="24"/>
          <w:szCs w:val="24"/>
        </w:rPr>
        <w:t xml:space="preserve">līdz 2019. </w:t>
      </w:r>
      <w:r w:rsidR="00A50983">
        <w:rPr>
          <w:sz w:val="24"/>
          <w:szCs w:val="24"/>
        </w:rPr>
        <w:t xml:space="preserve">no </w:t>
      </w:r>
      <w:r w:rsidR="005C3FC6">
        <w:rPr>
          <w:sz w:val="24"/>
          <w:szCs w:val="24"/>
        </w:rPr>
        <w:t xml:space="preserve">Latvijas budžeta ir </w:t>
      </w:r>
      <w:r w:rsidR="00A50983">
        <w:rPr>
          <w:sz w:val="24"/>
          <w:szCs w:val="24"/>
        </w:rPr>
        <w:t>saņēmis 3 </w:t>
      </w:r>
      <w:r w:rsidR="00D55A06">
        <w:rPr>
          <w:sz w:val="24"/>
          <w:szCs w:val="24"/>
        </w:rPr>
        <w:t>900</w:t>
      </w:r>
      <w:r w:rsidR="00A50983">
        <w:rPr>
          <w:sz w:val="24"/>
          <w:szCs w:val="24"/>
        </w:rPr>
        <w:t xml:space="preserve"> 000 EUR </w:t>
      </w:r>
      <w:r w:rsidR="005C3FC6">
        <w:rPr>
          <w:sz w:val="24"/>
          <w:szCs w:val="24"/>
        </w:rPr>
        <w:t>līdzfinansējum</w:t>
      </w:r>
      <w:r w:rsidR="00D55A06">
        <w:rPr>
          <w:sz w:val="24"/>
          <w:szCs w:val="24"/>
        </w:rPr>
        <w:t xml:space="preserve">u, kas tika nodrošināts </w:t>
      </w:r>
      <w:r w:rsidR="005C3FC6">
        <w:rPr>
          <w:sz w:val="24"/>
          <w:szCs w:val="24"/>
        </w:rPr>
        <w:t xml:space="preserve">veicot iemaksas RBR pamatkapitālā. </w:t>
      </w:r>
      <w:r w:rsidR="00CC3576">
        <w:rPr>
          <w:sz w:val="24"/>
          <w:szCs w:val="24"/>
        </w:rPr>
        <w:t xml:space="preserve">Par RBR aktivitāšu finansēšanu tiks sagatavots atsevišķs informatīvais ziņojums. </w:t>
      </w:r>
      <w:r w:rsidR="00DE6291">
        <w:rPr>
          <w:rFonts w:cs="Times New Roman"/>
          <w:bCs/>
          <w:sz w:val="24"/>
          <w:szCs w:val="24"/>
        </w:rPr>
        <w:t xml:space="preserve"> </w:t>
      </w:r>
    </w:p>
    <w:p w:rsidR="00EF4DC5" w:rsidP="00785323" w:rsidRDefault="00EF4DC5" w14:paraId="709F52EA" w14:textId="6F1F6D9E">
      <w:pPr>
        <w:spacing w:after="0"/>
        <w:ind w:firstLine="720"/>
        <w:jc w:val="both"/>
        <w:rPr>
          <w:sz w:val="24"/>
          <w:szCs w:val="24"/>
        </w:rPr>
      </w:pPr>
      <w:r w:rsidRPr="005872F8">
        <w:rPr>
          <w:sz w:val="24"/>
          <w:szCs w:val="24"/>
        </w:rPr>
        <w:t xml:space="preserve">INEA ir </w:t>
      </w:r>
      <w:r w:rsidR="00DE6291">
        <w:rPr>
          <w:sz w:val="24"/>
          <w:szCs w:val="24"/>
        </w:rPr>
        <w:t xml:space="preserve">sagatavojusi CEF1 </w:t>
      </w:r>
      <w:r w:rsidR="000301C5">
        <w:rPr>
          <w:sz w:val="24"/>
          <w:szCs w:val="24"/>
        </w:rPr>
        <w:t>f</w:t>
      </w:r>
      <w:r w:rsidR="00DE6291">
        <w:rPr>
          <w:sz w:val="24"/>
          <w:szCs w:val="24"/>
        </w:rPr>
        <w:t xml:space="preserve">inansēšanas līgumu grozījumus, kas konceptuāli ir tādi paši kā CEF1 finansēšanas līgums, kas balstīts uz EISI regulā ietvertajiem principiem par finansējuma piešķiršanu. </w:t>
      </w:r>
      <w:r w:rsidR="000301C5">
        <w:rPr>
          <w:sz w:val="24"/>
          <w:szCs w:val="24"/>
        </w:rPr>
        <w:t xml:space="preserve">CEF1 finansēšanas līguma grozījumi ir izstrādāti kā vienots un standartizēts līgums, tādejādi nodrošinot konsekvenci, racionalitāti un vienlīdzīgu attieksmi. </w:t>
      </w:r>
    </w:p>
    <w:p w:rsidR="00D55A06" w:rsidP="00785323" w:rsidRDefault="00D53054" w14:paraId="79837FD0" w14:textId="1043150C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5E366E">
        <w:rPr>
          <w:rFonts w:cs="Times New Roman"/>
          <w:sz w:val="24"/>
          <w:szCs w:val="24"/>
        </w:rPr>
        <w:t>Latvija</w:t>
      </w:r>
      <w:r w:rsidR="000301C5">
        <w:rPr>
          <w:rFonts w:cs="Times New Roman"/>
          <w:sz w:val="24"/>
          <w:szCs w:val="24"/>
        </w:rPr>
        <w:t xml:space="preserve">s aktivitātēm </w:t>
      </w:r>
      <w:r w:rsidR="009248E7">
        <w:rPr>
          <w:rFonts w:cs="Times New Roman"/>
          <w:sz w:val="24"/>
          <w:szCs w:val="24"/>
        </w:rPr>
        <w:t xml:space="preserve">CEF1 grozījumu ietvarā attiecināmās izmaksas ir </w:t>
      </w:r>
      <w:r w:rsidRPr="009248E7" w:rsidR="009248E7">
        <w:rPr>
          <w:rFonts w:cs="Times New Roman"/>
          <w:sz w:val="24"/>
          <w:szCs w:val="24"/>
        </w:rPr>
        <w:t>287 407</w:t>
      </w:r>
      <w:r w:rsidR="009248E7">
        <w:rPr>
          <w:rFonts w:cs="Times New Roman"/>
          <w:sz w:val="24"/>
          <w:szCs w:val="24"/>
        </w:rPr>
        <w:t> </w:t>
      </w:r>
      <w:r w:rsidRPr="009248E7" w:rsidR="009248E7">
        <w:rPr>
          <w:rFonts w:cs="Times New Roman"/>
          <w:sz w:val="24"/>
          <w:szCs w:val="24"/>
        </w:rPr>
        <w:t>726</w:t>
      </w:r>
      <w:r w:rsidR="009248E7">
        <w:rPr>
          <w:rFonts w:cs="Times New Roman"/>
          <w:sz w:val="24"/>
          <w:szCs w:val="24"/>
        </w:rPr>
        <w:t xml:space="preserve"> EUR, tai skaitā </w:t>
      </w:r>
      <w:r w:rsidRPr="00986404" w:rsidR="000301C5">
        <w:rPr>
          <w:rFonts w:cs="Times New Roman"/>
          <w:b/>
          <w:bCs/>
          <w:sz w:val="24"/>
          <w:szCs w:val="24"/>
        </w:rPr>
        <w:t xml:space="preserve">pieejamais </w:t>
      </w:r>
      <w:r w:rsidR="009248E7">
        <w:rPr>
          <w:rFonts w:cs="Times New Roman"/>
          <w:b/>
          <w:bCs/>
          <w:sz w:val="24"/>
          <w:szCs w:val="24"/>
        </w:rPr>
        <w:t>CEF</w:t>
      </w:r>
      <w:r w:rsidRPr="00986404" w:rsidR="009248E7">
        <w:rPr>
          <w:rFonts w:cs="Times New Roman"/>
          <w:b/>
          <w:bCs/>
          <w:sz w:val="24"/>
          <w:szCs w:val="24"/>
        </w:rPr>
        <w:t xml:space="preserve"> </w:t>
      </w:r>
      <w:r w:rsidRPr="00986404" w:rsidR="009E7DAB">
        <w:rPr>
          <w:rFonts w:cs="Times New Roman"/>
          <w:b/>
          <w:bCs/>
          <w:sz w:val="24"/>
          <w:szCs w:val="24"/>
        </w:rPr>
        <w:t>finansējums</w:t>
      </w:r>
      <w:r w:rsidR="000301C5">
        <w:rPr>
          <w:rFonts w:cs="Times New Roman"/>
          <w:sz w:val="24"/>
          <w:szCs w:val="24"/>
        </w:rPr>
        <w:t xml:space="preserve"> </w:t>
      </w:r>
      <w:r w:rsidRPr="00986404" w:rsidR="000301C5">
        <w:rPr>
          <w:rFonts w:cs="Times New Roman"/>
          <w:b/>
          <w:bCs/>
          <w:sz w:val="24"/>
          <w:szCs w:val="24"/>
        </w:rPr>
        <w:t>236 579 721 EUR</w:t>
      </w:r>
      <w:r w:rsidR="009248E7">
        <w:rPr>
          <w:rFonts w:cs="Times New Roman"/>
          <w:b/>
          <w:bCs/>
          <w:sz w:val="24"/>
          <w:szCs w:val="24"/>
        </w:rPr>
        <w:t xml:space="preserve"> un Latvijas </w:t>
      </w:r>
      <w:r w:rsidR="001F6B38">
        <w:rPr>
          <w:rFonts w:cs="Times New Roman"/>
          <w:b/>
          <w:bCs/>
          <w:sz w:val="24"/>
          <w:szCs w:val="24"/>
        </w:rPr>
        <w:t xml:space="preserve">valsts budžeta </w:t>
      </w:r>
      <w:r w:rsidR="009248E7">
        <w:rPr>
          <w:rFonts w:cs="Times New Roman"/>
          <w:b/>
          <w:bCs/>
          <w:sz w:val="24"/>
          <w:szCs w:val="24"/>
        </w:rPr>
        <w:t>līdzfinansējums</w:t>
      </w:r>
      <w:r w:rsidRPr="00986404" w:rsidR="000301C5">
        <w:rPr>
          <w:rFonts w:cs="Times New Roman"/>
          <w:b/>
          <w:bCs/>
          <w:sz w:val="24"/>
          <w:szCs w:val="24"/>
        </w:rPr>
        <w:t xml:space="preserve"> 50 828 005 EUR</w:t>
      </w:r>
      <w:r w:rsidR="000301C5">
        <w:rPr>
          <w:rFonts w:cs="Times New Roman"/>
          <w:sz w:val="24"/>
          <w:szCs w:val="24"/>
        </w:rPr>
        <w:t xml:space="preserve">. </w:t>
      </w:r>
    </w:p>
    <w:p w:rsidR="006A1B4F" w:rsidP="00785323" w:rsidRDefault="000301C5" w14:paraId="671AAB08" w14:textId="7A1BF0AD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RBR aktivitātēm </w:t>
      </w:r>
      <w:r w:rsidR="00AE3428">
        <w:rPr>
          <w:rFonts w:cs="Times New Roman"/>
          <w:sz w:val="24"/>
          <w:szCs w:val="24"/>
        </w:rPr>
        <w:t xml:space="preserve">CEF1 grozījumu ietvarā attiecināmās izmaksas ir 22 829 612 EUR, tai skaitā </w:t>
      </w:r>
      <w:r w:rsidR="005D72DC">
        <w:rPr>
          <w:rFonts w:cs="Times New Roman"/>
          <w:sz w:val="24"/>
          <w:szCs w:val="24"/>
        </w:rPr>
        <w:t xml:space="preserve">pieejamais </w:t>
      </w:r>
      <w:r w:rsidR="00AE3428">
        <w:rPr>
          <w:rFonts w:cs="Times New Roman"/>
          <w:sz w:val="24"/>
          <w:szCs w:val="24"/>
        </w:rPr>
        <w:t xml:space="preserve">CEF </w:t>
      </w:r>
      <w:r w:rsidR="005D72DC">
        <w:rPr>
          <w:rFonts w:cs="Times New Roman"/>
          <w:sz w:val="24"/>
          <w:szCs w:val="24"/>
        </w:rPr>
        <w:t>finansējums 19 405 170 EUR</w:t>
      </w:r>
      <w:r w:rsidR="00AE3428">
        <w:rPr>
          <w:rFonts w:cs="Times New Roman"/>
          <w:sz w:val="24"/>
          <w:szCs w:val="24"/>
        </w:rPr>
        <w:t xml:space="preserve"> un </w:t>
      </w:r>
      <w:r w:rsidR="00B63F40">
        <w:rPr>
          <w:rFonts w:cs="Times New Roman"/>
          <w:sz w:val="24"/>
          <w:szCs w:val="24"/>
        </w:rPr>
        <w:t xml:space="preserve"> Igaunijai, Lietuvai un Latvijai kopā nodrošinā</w:t>
      </w:r>
      <w:r w:rsidR="00AE3428">
        <w:rPr>
          <w:rFonts w:cs="Times New Roman"/>
          <w:sz w:val="24"/>
          <w:szCs w:val="24"/>
        </w:rPr>
        <w:t>mais līdzfinansējums</w:t>
      </w:r>
      <w:r w:rsidR="00B63F40">
        <w:rPr>
          <w:rFonts w:cs="Times New Roman"/>
          <w:sz w:val="24"/>
          <w:szCs w:val="24"/>
        </w:rPr>
        <w:t xml:space="preserve"> 3 424 442 EUR, tajā skaitā </w:t>
      </w:r>
      <w:r w:rsidR="00812F21">
        <w:rPr>
          <w:rFonts w:cs="Times New Roman"/>
          <w:sz w:val="24"/>
          <w:szCs w:val="24"/>
        </w:rPr>
        <w:t xml:space="preserve">Latvijai </w:t>
      </w:r>
      <w:r w:rsidR="00AE3428">
        <w:rPr>
          <w:rFonts w:cs="Times New Roman"/>
          <w:sz w:val="24"/>
          <w:szCs w:val="24"/>
        </w:rPr>
        <w:t xml:space="preserve">– </w:t>
      </w:r>
      <w:r w:rsidR="00541B16">
        <w:rPr>
          <w:rFonts w:cs="Times New Roman"/>
          <w:sz w:val="24"/>
          <w:szCs w:val="24"/>
        </w:rPr>
        <w:t xml:space="preserve">1 141 481 </w:t>
      </w:r>
      <w:r w:rsidR="00812F21">
        <w:rPr>
          <w:rFonts w:cs="Times New Roman"/>
          <w:sz w:val="24"/>
          <w:szCs w:val="24"/>
        </w:rPr>
        <w:t xml:space="preserve">EUR. </w:t>
      </w:r>
    </w:p>
    <w:p w:rsidR="00DA55F4" w:rsidP="00785323" w:rsidRDefault="00DA55F4" w14:paraId="29CDEE54" w14:textId="0AA90BAD">
      <w:pPr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 </w:t>
      </w:r>
      <w:r w:rsidRPr="00DA55F4">
        <w:rPr>
          <w:rFonts w:cs="Times New Roman"/>
          <w:sz w:val="24"/>
          <w:szCs w:val="24"/>
        </w:rPr>
        <w:t xml:space="preserve"> Latvijas aktivitātēm </w:t>
      </w:r>
      <w:r w:rsidR="00D8695A">
        <w:rPr>
          <w:rFonts w:cs="Times New Roman"/>
          <w:sz w:val="24"/>
          <w:szCs w:val="24"/>
        </w:rPr>
        <w:t>Satiksmes m</w:t>
      </w:r>
      <w:r>
        <w:rPr>
          <w:rFonts w:cs="Times New Roman"/>
          <w:sz w:val="24"/>
          <w:szCs w:val="24"/>
        </w:rPr>
        <w:t>inistrija</w:t>
      </w:r>
      <w:r w:rsidRPr="00DA55F4">
        <w:rPr>
          <w:rFonts w:cs="Times New Roman"/>
          <w:sz w:val="24"/>
          <w:szCs w:val="24"/>
        </w:rPr>
        <w:t xml:space="preserve"> 2019.gadā un 2020.gadā iesniegs F</w:t>
      </w:r>
      <w:r>
        <w:rPr>
          <w:rFonts w:cs="Times New Roman"/>
          <w:sz w:val="24"/>
          <w:szCs w:val="24"/>
        </w:rPr>
        <w:t xml:space="preserve">inanšu </w:t>
      </w:r>
      <w:r w:rsidR="007B465C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inistrijā</w:t>
      </w:r>
      <w:r w:rsidRPr="00DA55F4">
        <w:rPr>
          <w:rFonts w:cs="Times New Roman"/>
          <w:sz w:val="24"/>
          <w:szCs w:val="24"/>
        </w:rPr>
        <w:t xml:space="preserve"> apro</w:t>
      </w:r>
      <w:r>
        <w:rPr>
          <w:rFonts w:cs="Times New Roman"/>
          <w:sz w:val="24"/>
          <w:szCs w:val="24"/>
        </w:rPr>
        <w:t>priācijas</w:t>
      </w:r>
      <w:r w:rsidRPr="00DA55F4">
        <w:rPr>
          <w:rFonts w:cs="Times New Roman"/>
          <w:sz w:val="24"/>
          <w:szCs w:val="24"/>
        </w:rPr>
        <w:t xml:space="preserve"> izmaiņas saskaņā ar M</w:t>
      </w:r>
      <w:r>
        <w:rPr>
          <w:rFonts w:cs="Times New Roman"/>
          <w:sz w:val="24"/>
          <w:szCs w:val="24"/>
        </w:rPr>
        <w:t xml:space="preserve">inistru kabineta noteikumiem </w:t>
      </w:r>
      <w:r w:rsidRPr="00DA55F4">
        <w:rPr>
          <w:rFonts w:cs="Times New Roman"/>
          <w:sz w:val="24"/>
          <w:szCs w:val="24"/>
        </w:rPr>
        <w:t>Nr.421</w:t>
      </w:r>
      <w:r>
        <w:rPr>
          <w:rStyle w:val="FootnoteReference"/>
          <w:rFonts w:cs="Times New Roman"/>
          <w:sz w:val="24"/>
          <w:szCs w:val="24"/>
        </w:rPr>
        <w:footnoteReference w:id="4"/>
      </w:r>
      <w:r w:rsidRPr="00DA55F4">
        <w:rPr>
          <w:rFonts w:cs="Times New Roman"/>
          <w:sz w:val="24"/>
          <w:szCs w:val="24"/>
        </w:rPr>
        <w:t>, kā arī sniegs priekšlikumus bāzes izdevumu precizējumiem 2022.gadam.</w:t>
      </w:r>
    </w:p>
    <w:p w:rsidR="00D53054" w:rsidP="00785323" w:rsidRDefault="005A003A" w14:paraId="05202E5F" w14:textId="0C189A0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>Latvijas aktivitāt</w:t>
      </w:r>
      <w:r w:rsidR="00812F21">
        <w:rPr>
          <w:rFonts w:cs="Times New Roman"/>
          <w:sz w:val="24"/>
          <w:szCs w:val="24"/>
        </w:rPr>
        <w:t xml:space="preserve">es </w:t>
      </w:r>
      <w:r w:rsidRPr="005A003A">
        <w:rPr>
          <w:rFonts w:cs="Times New Roman"/>
          <w:sz w:val="24"/>
          <w:szCs w:val="24"/>
        </w:rPr>
        <w:t xml:space="preserve">ieviesīs </w:t>
      </w:r>
      <w:r w:rsidR="00497B54">
        <w:rPr>
          <w:rFonts w:cs="Times New Roman"/>
          <w:sz w:val="24"/>
          <w:szCs w:val="24"/>
        </w:rPr>
        <w:t>Satiksmes ministrija</w:t>
      </w:r>
      <w:r w:rsidR="00812F21">
        <w:rPr>
          <w:rFonts w:cs="Times New Roman"/>
          <w:sz w:val="24"/>
          <w:szCs w:val="24"/>
        </w:rPr>
        <w:t xml:space="preserve">, </w:t>
      </w:r>
      <w:r w:rsidR="00497B54">
        <w:rPr>
          <w:rFonts w:cs="Times New Roman"/>
          <w:sz w:val="24"/>
          <w:szCs w:val="24"/>
        </w:rPr>
        <w:t>nacionālais projekta īstenotājs SIA “Eiropas dzelzceļa līnijas”</w:t>
      </w:r>
      <w:r w:rsidR="00812F21">
        <w:rPr>
          <w:rFonts w:cs="Times New Roman"/>
          <w:sz w:val="24"/>
          <w:szCs w:val="24"/>
        </w:rPr>
        <w:t xml:space="preserve"> un RBR. Finanšu resursu apguvi uzraudzīs </w:t>
      </w:r>
      <w:r w:rsidR="00D8695A">
        <w:rPr>
          <w:rFonts w:cs="Times New Roman"/>
          <w:sz w:val="24"/>
          <w:szCs w:val="24"/>
        </w:rPr>
        <w:t>Satiksmes m</w:t>
      </w:r>
      <w:r w:rsidR="00812F21">
        <w:rPr>
          <w:rFonts w:cs="Times New Roman"/>
          <w:sz w:val="24"/>
          <w:szCs w:val="24"/>
        </w:rPr>
        <w:t xml:space="preserve">inistrijas Rail Baltica projekta nodaļa. </w:t>
      </w:r>
    </w:p>
    <w:p w:rsidR="00DA55F4" w:rsidP="00D03D0D" w:rsidRDefault="00DA55F4" w14:paraId="15A8DEF6" w14:textId="77777777">
      <w:pPr>
        <w:ind w:firstLine="567"/>
        <w:jc w:val="both"/>
        <w:rPr>
          <w:rFonts w:cs="Times New Roman"/>
          <w:sz w:val="24"/>
          <w:szCs w:val="24"/>
        </w:rPr>
      </w:pPr>
    </w:p>
    <w:p w:rsidRPr="00A102E7" w:rsidR="003B4BC0" w:rsidP="003B4BC0" w:rsidRDefault="003B4BC0" w14:paraId="0F054456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A102E7">
        <w:rPr>
          <w:rFonts w:eastAsia="Times New Roman" w:cs="Times New Roman"/>
          <w:sz w:val="24"/>
          <w:szCs w:val="24"/>
          <w:lang w:val="cs-CZ"/>
        </w:rPr>
        <w:t>Satiksmes ministrs</w:t>
      </w:r>
      <w:r w:rsidRPr="00A102E7">
        <w:rPr>
          <w:rFonts w:eastAsia="Times New Roman" w:cs="Times New Roman"/>
          <w:sz w:val="24"/>
          <w:szCs w:val="24"/>
          <w:lang w:val="cs-CZ"/>
        </w:rPr>
        <w:tab/>
        <w:t xml:space="preserve">T. Linkaits </w:t>
      </w:r>
    </w:p>
    <w:p w:rsidRPr="00A102E7" w:rsidR="003B4BC0" w:rsidP="003B4BC0" w:rsidRDefault="003B4BC0" w14:paraId="581B5B33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A102E7" w:rsidR="003B4BC0" w:rsidP="003B4BC0" w:rsidRDefault="003B4BC0" w14:paraId="2C86AA1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="003B4BC0" w:rsidP="003B4BC0" w:rsidRDefault="003B4BC0" w14:paraId="45370F4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="003B4BC0" w:rsidP="003B4BC0" w:rsidRDefault="003B4BC0" w14:paraId="2EE56C19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="003B4BC0" w:rsidP="003B4BC0" w:rsidRDefault="003B4BC0" w14:paraId="3270C0D7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A102E7">
        <w:rPr>
          <w:rFonts w:eastAsia="Times New Roman" w:cs="Times New Roman"/>
          <w:sz w:val="24"/>
          <w:szCs w:val="24"/>
          <w:lang w:val="cs-CZ"/>
        </w:rPr>
        <w:t>Vīza:</w:t>
      </w:r>
    </w:p>
    <w:p w:rsidRPr="00A102E7" w:rsidR="003B4BC0" w:rsidP="003B4BC0" w:rsidRDefault="003B4BC0" w14:paraId="2AA2D61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/>
          <w:sz w:val="24"/>
          <w:szCs w:val="24"/>
          <w:lang w:val="cs-CZ"/>
        </w:rPr>
        <w:t>V</w:t>
      </w:r>
      <w:r w:rsidRPr="00A102E7">
        <w:rPr>
          <w:rFonts w:eastAsia="Times New Roman" w:cs="Times New Roman"/>
          <w:sz w:val="24"/>
          <w:szCs w:val="24"/>
          <w:lang w:val="cs-CZ"/>
        </w:rPr>
        <w:t>alsts sekretāra p.i.</w:t>
      </w:r>
      <w:r w:rsidRPr="00A102E7">
        <w:rPr>
          <w:rFonts w:eastAsia="Times New Roman" w:cs="Times New Roman"/>
          <w:sz w:val="24"/>
          <w:szCs w:val="24"/>
          <w:lang w:val="cs-CZ"/>
        </w:rPr>
        <w:tab/>
        <w:t>Dž. Innusa</w:t>
      </w:r>
    </w:p>
    <w:p w:rsidR="006A1B4F" w:rsidP="006A1B4F" w:rsidRDefault="006A1B4F" w14:paraId="1193C34F" w14:textId="77777777">
      <w:pPr>
        <w:spacing w:after="120" w:line="240" w:lineRule="auto"/>
        <w:rPr>
          <w:rFonts w:cs="Times New Roman"/>
          <w:bCs/>
          <w:sz w:val="24"/>
          <w:szCs w:val="24"/>
        </w:rPr>
      </w:pPr>
    </w:p>
    <w:p w:rsidRPr="00325B12" w:rsidR="006A1B4F" w:rsidP="006A1B4F" w:rsidRDefault="006A1B4F" w14:paraId="674F0DBA" w14:textId="77777777">
      <w:pPr>
        <w:spacing w:after="120" w:line="240" w:lineRule="auto"/>
        <w:rPr>
          <w:rFonts w:cs="Times New Roman"/>
          <w:bCs/>
          <w:sz w:val="24"/>
          <w:szCs w:val="24"/>
        </w:rPr>
      </w:pPr>
    </w:p>
    <w:p w:rsidRPr="00CE49AE" w:rsidR="00FE7FA1" w:rsidP="00CE49AE" w:rsidRDefault="00FE7FA1" w14:paraId="0F9C2648" w14:textId="056CFFAA">
      <w:pPr>
        <w:suppressAutoHyphens/>
        <w:spacing w:after="0" w:line="240" w:lineRule="auto"/>
        <w:ind w:right="-341"/>
        <w:jc w:val="both"/>
        <w:rPr>
          <w:sz w:val="20"/>
          <w:szCs w:val="20"/>
        </w:rPr>
      </w:pPr>
    </w:p>
    <w:sectPr w:rsidRPr="00CE49AE" w:rsidR="00FE7FA1" w:rsidSect="00356046">
      <w:headerReference w:type="default" r:id="rId10"/>
      <w:footerReference w:type="default" r:id="rId11"/>
      <w:pgSz w:w="11906" w:h="16838"/>
      <w:pgMar w:top="1440" w:right="1274" w:bottom="1440" w:left="1418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B8F0" w14:textId="77777777" w:rsidR="007335EA" w:rsidRDefault="007335EA" w:rsidP="0060317C">
      <w:pPr>
        <w:spacing w:after="0" w:line="240" w:lineRule="auto"/>
      </w:pPr>
      <w:r>
        <w:separator/>
      </w:r>
    </w:p>
  </w:endnote>
  <w:endnote w:type="continuationSeparator" w:id="0">
    <w:p w14:paraId="7F139E6D" w14:textId="77777777" w:rsidR="007335EA" w:rsidRDefault="007335EA" w:rsidP="006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874A" w14:textId="7421C527" w:rsidR="007335EA" w:rsidRPr="007A611B" w:rsidRDefault="007335EA">
    <w:pPr>
      <w:pStyle w:val="Footer"/>
      <w:rPr>
        <w:sz w:val="22"/>
      </w:rPr>
    </w:pPr>
    <w:r w:rsidRPr="007A611B">
      <w:rPr>
        <w:sz w:val="22"/>
      </w:rPr>
      <w:t>SMzin_</w:t>
    </w:r>
    <w:r w:rsidR="003F40EA">
      <w:rPr>
        <w:sz w:val="22"/>
      </w:rPr>
      <w:t>22</w:t>
    </w:r>
    <w:r w:rsidRPr="007A611B">
      <w:rPr>
        <w:sz w:val="22"/>
      </w:rPr>
      <w:t>1119_CEF1_groz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3102" w14:textId="77777777" w:rsidR="007335EA" w:rsidRDefault="007335EA" w:rsidP="0060317C">
      <w:pPr>
        <w:spacing w:after="0" w:line="240" w:lineRule="auto"/>
      </w:pPr>
      <w:r>
        <w:separator/>
      </w:r>
    </w:p>
  </w:footnote>
  <w:footnote w:type="continuationSeparator" w:id="0">
    <w:p w14:paraId="356AAC3D" w14:textId="77777777" w:rsidR="007335EA" w:rsidRDefault="007335EA" w:rsidP="0060317C">
      <w:pPr>
        <w:spacing w:after="0" w:line="240" w:lineRule="auto"/>
      </w:pPr>
      <w:r>
        <w:continuationSeparator/>
      </w:r>
    </w:p>
  </w:footnote>
  <w:footnote w:id="1">
    <w:p w14:paraId="4B1E49E5" w14:textId="165941B6" w:rsidR="007335EA" w:rsidRDefault="007335EA">
      <w:pPr>
        <w:pStyle w:val="FootnoteText"/>
      </w:pPr>
      <w:r>
        <w:rPr>
          <w:rStyle w:val="FootnoteReference"/>
        </w:rPr>
        <w:footnoteRef/>
      </w:r>
      <w:r>
        <w:t xml:space="preserve"> Finansēšanas līgums INEA/CEF/TRAN/M2014/1045990 </w:t>
      </w:r>
      <w:r w:rsidRPr="00CC32D7">
        <w:t>http://www.railbaltica.org/wp-content/uploads/2017/11/Action_2014-EU-TMC-0560-M.pdf</w:t>
      </w:r>
    </w:p>
  </w:footnote>
  <w:footnote w:id="2">
    <w:p w14:paraId="7D3DBC12" w14:textId="53D21AF1" w:rsidR="007335EA" w:rsidRDefault="007335EA">
      <w:pPr>
        <w:pStyle w:val="FootnoteText"/>
      </w:pPr>
      <w:r>
        <w:rPr>
          <w:rStyle w:val="FootnoteReference"/>
        </w:rPr>
        <w:footnoteRef/>
      </w:r>
      <w:r>
        <w:t xml:space="preserve"> Finansēšanas līgums INEA/CEF/TRAN/M2015/1129482  </w:t>
      </w:r>
      <w:r w:rsidRPr="00CC32D7">
        <w:t>http://www.railbaltica.org/wp-content/uploads/2017/11/Action_2015-EU-TM-0347-M.pdf</w:t>
      </w:r>
    </w:p>
  </w:footnote>
  <w:footnote w:id="3">
    <w:p w14:paraId="6BB10FCB" w14:textId="58904A45" w:rsidR="007335EA" w:rsidRDefault="007335EA">
      <w:pPr>
        <w:pStyle w:val="FootnoteText"/>
      </w:pPr>
      <w:r>
        <w:rPr>
          <w:rStyle w:val="FootnoteReference"/>
        </w:rPr>
        <w:footnoteRef/>
      </w:r>
      <w:r>
        <w:t xml:space="preserve"> Finansēšanas līgums </w:t>
      </w:r>
      <w:r w:rsidRPr="00F73E4D">
        <w:t>INEA/CEF/TRAN/M2016/1360716</w:t>
      </w:r>
      <w:r>
        <w:t xml:space="preserve"> </w:t>
      </w:r>
      <w:r w:rsidRPr="00CC32D7">
        <w:t>http://www.railbaltica.org/wp-content/uploads/2018/10/Action-No.-2016-EU-TMC-0116-M_for_publication_approved-by-INEA.pdf</w:t>
      </w:r>
    </w:p>
  </w:footnote>
  <w:footnote w:id="4">
    <w:p w14:paraId="47A9F6D8" w14:textId="3B5C3CC2" w:rsidR="007335EA" w:rsidRDefault="007335EA" w:rsidP="00DA55F4">
      <w:pPr>
        <w:pStyle w:val="FootnoteText"/>
      </w:pPr>
      <w:r>
        <w:rPr>
          <w:rStyle w:val="FootnoteReference"/>
        </w:rPr>
        <w:footnoteRef/>
      </w:r>
      <w:r>
        <w:t xml:space="preserve"> Ministru kabineta noteikumi Nr. 421 Rīgā 2018. gada 17. jūlijā (prot. Nr. 33 11. §) Kārtība, kādā veic gadskārtējā valsts budžeta likumā noteiktās apropriācijas izmaiņas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751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5EA" w:rsidRDefault="007335EA" w14:paraId="2AE94BBC" w14:textId="33A60C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5EA" w:rsidRDefault="007335EA" w14:paraId="37C0E5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0F3F"/>
    <w:multiLevelType w:val="hybridMultilevel"/>
    <w:tmpl w:val="9208E310"/>
    <w:lvl w:ilvl="0" w:tplc="9C16A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B2"/>
    <w:multiLevelType w:val="hybridMultilevel"/>
    <w:tmpl w:val="80F2640A"/>
    <w:lvl w:ilvl="0" w:tplc="A55AE02C">
      <w:start w:val="6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03A"/>
    <w:multiLevelType w:val="hybridMultilevel"/>
    <w:tmpl w:val="6FBC02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5C63"/>
    <w:multiLevelType w:val="hybridMultilevel"/>
    <w:tmpl w:val="7E54F8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F65"/>
    <w:multiLevelType w:val="hybridMultilevel"/>
    <w:tmpl w:val="1F4C0D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8BB"/>
    <w:multiLevelType w:val="hybridMultilevel"/>
    <w:tmpl w:val="313C5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427"/>
    <w:multiLevelType w:val="hybridMultilevel"/>
    <w:tmpl w:val="8A28C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212"/>
    <w:multiLevelType w:val="hybridMultilevel"/>
    <w:tmpl w:val="38B62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0511A"/>
    <w:multiLevelType w:val="hybridMultilevel"/>
    <w:tmpl w:val="EC2E26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7482"/>
    <w:multiLevelType w:val="hybridMultilevel"/>
    <w:tmpl w:val="01964B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4B7B"/>
    <w:multiLevelType w:val="hybridMultilevel"/>
    <w:tmpl w:val="C60C7208"/>
    <w:lvl w:ilvl="0" w:tplc="032855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F7E"/>
    <w:multiLevelType w:val="hybridMultilevel"/>
    <w:tmpl w:val="892E42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B2E84"/>
    <w:multiLevelType w:val="hybridMultilevel"/>
    <w:tmpl w:val="18060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94559"/>
    <w:multiLevelType w:val="hybridMultilevel"/>
    <w:tmpl w:val="4628B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5901"/>
    <w:multiLevelType w:val="hybridMultilevel"/>
    <w:tmpl w:val="7A883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71702"/>
    <w:multiLevelType w:val="hybridMultilevel"/>
    <w:tmpl w:val="137A6EC2"/>
    <w:lvl w:ilvl="0" w:tplc="9C16A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F"/>
    <w:rsid w:val="00013C42"/>
    <w:rsid w:val="000201AA"/>
    <w:rsid w:val="00024075"/>
    <w:rsid w:val="000301C5"/>
    <w:rsid w:val="00033BCC"/>
    <w:rsid w:val="000412CE"/>
    <w:rsid w:val="00044523"/>
    <w:rsid w:val="00054436"/>
    <w:rsid w:val="000552BB"/>
    <w:rsid w:val="000553BF"/>
    <w:rsid w:val="0006092D"/>
    <w:rsid w:val="00061B98"/>
    <w:rsid w:val="0007229D"/>
    <w:rsid w:val="0007680A"/>
    <w:rsid w:val="00082F4D"/>
    <w:rsid w:val="00082FFA"/>
    <w:rsid w:val="00083645"/>
    <w:rsid w:val="00097B2D"/>
    <w:rsid w:val="000A14D6"/>
    <w:rsid w:val="000A3752"/>
    <w:rsid w:val="000C3458"/>
    <w:rsid w:val="000D300A"/>
    <w:rsid w:val="0010370A"/>
    <w:rsid w:val="001106C2"/>
    <w:rsid w:val="00114C2E"/>
    <w:rsid w:val="001160D2"/>
    <w:rsid w:val="00116DCE"/>
    <w:rsid w:val="00117AF3"/>
    <w:rsid w:val="001218C0"/>
    <w:rsid w:val="00123C6A"/>
    <w:rsid w:val="00127466"/>
    <w:rsid w:val="0013123F"/>
    <w:rsid w:val="0014569A"/>
    <w:rsid w:val="00145B0D"/>
    <w:rsid w:val="001503E7"/>
    <w:rsid w:val="00153749"/>
    <w:rsid w:val="001619AC"/>
    <w:rsid w:val="0016229E"/>
    <w:rsid w:val="00167305"/>
    <w:rsid w:val="00171B60"/>
    <w:rsid w:val="00185C52"/>
    <w:rsid w:val="001A72FF"/>
    <w:rsid w:val="001B120A"/>
    <w:rsid w:val="001B1376"/>
    <w:rsid w:val="001B7711"/>
    <w:rsid w:val="001D1907"/>
    <w:rsid w:val="001F1639"/>
    <w:rsid w:val="001F6B38"/>
    <w:rsid w:val="00210806"/>
    <w:rsid w:val="00212204"/>
    <w:rsid w:val="00212C24"/>
    <w:rsid w:val="002220C5"/>
    <w:rsid w:val="002245F8"/>
    <w:rsid w:val="00232F9F"/>
    <w:rsid w:val="002342B1"/>
    <w:rsid w:val="00234B47"/>
    <w:rsid w:val="00245B55"/>
    <w:rsid w:val="00256637"/>
    <w:rsid w:val="00260576"/>
    <w:rsid w:val="00265AC1"/>
    <w:rsid w:val="00266C24"/>
    <w:rsid w:val="0027026B"/>
    <w:rsid w:val="00286F91"/>
    <w:rsid w:val="00291A20"/>
    <w:rsid w:val="002A0A14"/>
    <w:rsid w:val="002A25C5"/>
    <w:rsid w:val="002A67E8"/>
    <w:rsid w:val="002A7D35"/>
    <w:rsid w:val="002B1DDB"/>
    <w:rsid w:val="002B7985"/>
    <w:rsid w:val="002D64A0"/>
    <w:rsid w:val="002E3EF6"/>
    <w:rsid w:val="002E411F"/>
    <w:rsid w:val="002E6486"/>
    <w:rsid w:val="002F297F"/>
    <w:rsid w:val="00305E5D"/>
    <w:rsid w:val="00306883"/>
    <w:rsid w:val="00306BF0"/>
    <w:rsid w:val="003079C7"/>
    <w:rsid w:val="00327E8E"/>
    <w:rsid w:val="00331018"/>
    <w:rsid w:val="003327B6"/>
    <w:rsid w:val="003343EE"/>
    <w:rsid w:val="00335855"/>
    <w:rsid w:val="00341112"/>
    <w:rsid w:val="0034448A"/>
    <w:rsid w:val="00344ECC"/>
    <w:rsid w:val="00344FB1"/>
    <w:rsid w:val="003535F9"/>
    <w:rsid w:val="00356046"/>
    <w:rsid w:val="00357040"/>
    <w:rsid w:val="003605ED"/>
    <w:rsid w:val="00365B46"/>
    <w:rsid w:val="00375352"/>
    <w:rsid w:val="00376023"/>
    <w:rsid w:val="003A01E0"/>
    <w:rsid w:val="003A0D52"/>
    <w:rsid w:val="003B2027"/>
    <w:rsid w:val="003B432E"/>
    <w:rsid w:val="003B47F7"/>
    <w:rsid w:val="003B4BC0"/>
    <w:rsid w:val="003E6BA8"/>
    <w:rsid w:val="003F2A2D"/>
    <w:rsid w:val="003F40EA"/>
    <w:rsid w:val="003F784F"/>
    <w:rsid w:val="00413C51"/>
    <w:rsid w:val="00415D23"/>
    <w:rsid w:val="00423AF4"/>
    <w:rsid w:val="00431B65"/>
    <w:rsid w:val="00435C3B"/>
    <w:rsid w:val="00444EFA"/>
    <w:rsid w:val="00450597"/>
    <w:rsid w:val="004523B8"/>
    <w:rsid w:val="00453A71"/>
    <w:rsid w:val="00462CFB"/>
    <w:rsid w:val="00467D6A"/>
    <w:rsid w:val="00470B61"/>
    <w:rsid w:val="004712B3"/>
    <w:rsid w:val="004725FB"/>
    <w:rsid w:val="00484542"/>
    <w:rsid w:val="00485255"/>
    <w:rsid w:val="00492564"/>
    <w:rsid w:val="00497B54"/>
    <w:rsid w:val="004A13B3"/>
    <w:rsid w:val="004A1B89"/>
    <w:rsid w:val="004A6251"/>
    <w:rsid w:val="004A7BF9"/>
    <w:rsid w:val="004B0E0D"/>
    <w:rsid w:val="004C49B7"/>
    <w:rsid w:val="004E29CD"/>
    <w:rsid w:val="004E5525"/>
    <w:rsid w:val="004E77EE"/>
    <w:rsid w:val="0051046E"/>
    <w:rsid w:val="00511681"/>
    <w:rsid w:val="005215B5"/>
    <w:rsid w:val="00524361"/>
    <w:rsid w:val="00525B10"/>
    <w:rsid w:val="005271D9"/>
    <w:rsid w:val="005330A0"/>
    <w:rsid w:val="00541B16"/>
    <w:rsid w:val="00545601"/>
    <w:rsid w:val="005605D0"/>
    <w:rsid w:val="00560A2B"/>
    <w:rsid w:val="00560D44"/>
    <w:rsid w:val="00560DD7"/>
    <w:rsid w:val="00561FE5"/>
    <w:rsid w:val="005673BB"/>
    <w:rsid w:val="00567FF2"/>
    <w:rsid w:val="005749CB"/>
    <w:rsid w:val="0058081F"/>
    <w:rsid w:val="00587642"/>
    <w:rsid w:val="005A003A"/>
    <w:rsid w:val="005A3CBF"/>
    <w:rsid w:val="005C2E55"/>
    <w:rsid w:val="005C3FC6"/>
    <w:rsid w:val="005C5C00"/>
    <w:rsid w:val="005C6108"/>
    <w:rsid w:val="005D0CB5"/>
    <w:rsid w:val="005D569E"/>
    <w:rsid w:val="005D72DC"/>
    <w:rsid w:val="005E366E"/>
    <w:rsid w:val="0060317C"/>
    <w:rsid w:val="00624009"/>
    <w:rsid w:val="006252DC"/>
    <w:rsid w:val="00632623"/>
    <w:rsid w:val="00636CAB"/>
    <w:rsid w:val="00646C72"/>
    <w:rsid w:val="0064777A"/>
    <w:rsid w:val="00651761"/>
    <w:rsid w:val="0066503A"/>
    <w:rsid w:val="006736D7"/>
    <w:rsid w:val="00676E7E"/>
    <w:rsid w:val="00682D05"/>
    <w:rsid w:val="00690E63"/>
    <w:rsid w:val="00694C18"/>
    <w:rsid w:val="006A1B4F"/>
    <w:rsid w:val="006B542D"/>
    <w:rsid w:val="006D25EE"/>
    <w:rsid w:val="006D4D9C"/>
    <w:rsid w:val="006D734C"/>
    <w:rsid w:val="006F74D0"/>
    <w:rsid w:val="0071253A"/>
    <w:rsid w:val="00714F40"/>
    <w:rsid w:val="007335EA"/>
    <w:rsid w:val="00734FD4"/>
    <w:rsid w:val="00743C97"/>
    <w:rsid w:val="007455D4"/>
    <w:rsid w:val="00745605"/>
    <w:rsid w:val="007633FB"/>
    <w:rsid w:val="00767FBC"/>
    <w:rsid w:val="00781BE0"/>
    <w:rsid w:val="007825DE"/>
    <w:rsid w:val="00783DBF"/>
    <w:rsid w:val="00785323"/>
    <w:rsid w:val="00791A24"/>
    <w:rsid w:val="00792D7D"/>
    <w:rsid w:val="007A2DF0"/>
    <w:rsid w:val="007A611B"/>
    <w:rsid w:val="007B465C"/>
    <w:rsid w:val="007D2F96"/>
    <w:rsid w:val="007F040D"/>
    <w:rsid w:val="00802832"/>
    <w:rsid w:val="00807DB7"/>
    <w:rsid w:val="00812F21"/>
    <w:rsid w:val="00813E07"/>
    <w:rsid w:val="0081435A"/>
    <w:rsid w:val="00833857"/>
    <w:rsid w:val="00833C40"/>
    <w:rsid w:val="0084591A"/>
    <w:rsid w:val="00852E6E"/>
    <w:rsid w:val="00855141"/>
    <w:rsid w:val="00855626"/>
    <w:rsid w:val="00861699"/>
    <w:rsid w:val="0088044E"/>
    <w:rsid w:val="0088642D"/>
    <w:rsid w:val="00891A79"/>
    <w:rsid w:val="00896868"/>
    <w:rsid w:val="008A0F55"/>
    <w:rsid w:val="008A72EA"/>
    <w:rsid w:val="008B25D0"/>
    <w:rsid w:val="008C1B6F"/>
    <w:rsid w:val="008C71CB"/>
    <w:rsid w:val="008C7772"/>
    <w:rsid w:val="008C7C42"/>
    <w:rsid w:val="008D29A1"/>
    <w:rsid w:val="008E2E3F"/>
    <w:rsid w:val="008E408A"/>
    <w:rsid w:val="008E420A"/>
    <w:rsid w:val="008E7E93"/>
    <w:rsid w:val="008F21E8"/>
    <w:rsid w:val="008F336E"/>
    <w:rsid w:val="0091021E"/>
    <w:rsid w:val="00913C9A"/>
    <w:rsid w:val="00913D60"/>
    <w:rsid w:val="009248E7"/>
    <w:rsid w:val="00942CAB"/>
    <w:rsid w:val="00947C7D"/>
    <w:rsid w:val="00953EE1"/>
    <w:rsid w:val="009568B2"/>
    <w:rsid w:val="00957BE0"/>
    <w:rsid w:val="00971528"/>
    <w:rsid w:val="00986404"/>
    <w:rsid w:val="00996776"/>
    <w:rsid w:val="009971EE"/>
    <w:rsid w:val="009A5D47"/>
    <w:rsid w:val="009A613B"/>
    <w:rsid w:val="009B6DF6"/>
    <w:rsid w:val="009B7E95"/>
    <w:rsid w:val="009C2CAF"/>
    <w:rsid w:val="009C3C7A"/>
    <w:rsid w:val="009C454A"/>
    <w:rsid w:val="009E57E2"/>
    <w:rsid w:val="009E7DAB"/>
    <w:rsid w:val="009F1D96"/>
    <w:rsid w:val="009F5AB8"/>
    <w:rsid w:val="00A03A03"/>
    <w:rsid w:val="00A07468"/>
    <w:rsid w:val="00A365C9"/>
    <w:rsid w:val="00A50983"/>
    <w:rsid w:val="00A56BF5"/>
    <w:rsid w:val="00A574CB"/>
    <w:rsid w:val="00A57F88"/>
    <w:rsid w:val="00A65569"/>
    <w:rsid w:val="00A6559D"/>
    <w:rsid w:val="00A6588D"/>
    <w:rsid w:val="00A77247"/>
    <w:rsid w:val="00A77901"/>
    <w:rsid w:val="00A972CE"/>
    <w:rsid w:val="00AA0292"/>
    <w:rsid w:val="00AA0E59"/>
    <w:rsid w:val="00AA5220"/>
    <w:rsid w:val="00AA65D1"/>
    <w:rsid w:val="00AB0F00"/>
    <w:rsid w:val="00AC449C"/>
    <w:rsid w:val="00AC66E1"/>
    <w:rsid w:val="00AC78D2"/>
    <w:rsid w:val="00AD0519"/>
    <w:rsid w:val="00AD10F7"/>
    <w:rsid w:val="00AE3428"/>
    <w:rsid w:val="00AF302B"/>
    <w:rsid w:val="00AF40C6"/>
    <w:rsid w:val="00B0163A"/>
    <w:rsid w:val="00B05A29"/>
    <w:rsid w:val="00B14E57"/>
    <w:rsid w:val="00B1761F"/>
    <w:rsid w:val="00B22768"/>
    <w:rsid w:val="00B25363"/>
    <w:rsid w:val="00B310C6"/>
    <w:rsid w:val="00B31FAB"/>
    <w:rsid w:val="00B32D79"/>
    <w:rsid w:val="00B4486A"/>
    <w:rsid w:val="00B62DF4"/>
    <w:rsid w:val="00B63F40"/>
    <w:rsid w:val="00B6463D"/>
    <w:rsid w:val="00B77426"/>
    <w:rsid w:val="00B8591E"/>
    <w:rsid w:val="00B92226"/>
    <w:rsid w:val="00B93418"/>
    <w:rsid w:val="00BB0EEF"/>
    <w:rsid w:val="00BB2997"/>
    <w:rsid w:val="00BB3A90"/>
    <w:rsid w:val="00BC294C"/>
    <w:rsid w:val="00BC7A25"/>
    <w:rsid w:val="00BE28F5"/>
    <w:rsid w:val="00C12814"/>
    <w:rsid w:val="00C15144"/>
    <w:rsid w:val="00C155EC"/>
    <w:rsid w:val="00C364AD"/>
    <w:rsid w:val="00C57935"/>
    <w:rsid w:val="00C57F99"/>
    <w:rsid w:val="00C843A6"/>
    <w:rsid w:val="00C927CB"/>
    <w:rsid w:val="00CA54DC"/>
    <w:rsid w:val="00CA5F65"/>
    <w:rsid w:val="00CB0940"/>
    <w:rsid w:val="00CB1E33"/>
    <w:rsid w:val="00CB3C13"/>
    <w:rsid w:val="00CB3F43"/>
    <w:rsid w:val="00CC32D7"/>
    <w:rsid w:val="00CC3576"/>
    <w:rsid w:val="00CC58D9"/>
    <w:rsid w:val="00CD12CD"/>
    <w:rsid w:val="00CD3EEC"/>
    <w:rsid w:val="00CD76EF"/>
    <w:rsid w:val="00CD7937"/>
    <w:rsid w:val="00CE275F"/>
    <w:rsid w:val="00CE399B"/>
    <w:rsid w:val="00CE49AE"/>
    <w:rsid w:val="00CE7C4E"/>
    <w:rsid w:val="00CF3F5A"/>
    <w:rsid w:val="00D03D0D"/>
    <w:rsid w:val="00D07ECA"/>
    <w:rsid w:val="00D11D77"/>
    <w:rsid w:val="00D16881"/>
    <w:rsid w:val="00D17263"/>
    <w:rsid w:val="00D2009D"/>
    <w:rsid w:val="00D23A24"/>
    <w:rsid w:val="00D30AC3"/>
    <w:rsid w:val="00D326C8"/>
    <w:rsid w:val="00D33173"/>
    <w:rsid w:val="00D41DE7"/>
    <w:rsid w:val="00D50989"/>
    <w:rsid w:val="00D53054"/>
    <w:rsid w:val="00D54040"/>
    <w:rsid w:val="00D54AD4"/>
    <w:rsid w:val="00D55A06"/>
    <w:rsid w:val="00D674DC"/>
    <w:rsid w:val="00D67E5A"/>
    <w:rsid w:val="00D85D05"/>
    <w:rsid w:val="00D8695A"/>
    <w:rsid w:val="00D926F5"/>
    <w:rsid w:val="00DA28B8"/>
    <w:rsid w:val="00DA55F4"/>
    <w:rsid w:val="00DA746A"/>
    <w:rsid w:val="00DB598D"/>
    <w:rsid w:val="00DC72A4"/>
    <w:rsid w:val="00DE6291"/>
    <w:rsid w:val="00DF3381"/>
    <w:rsid w:val="00DF7B82"/>
    <w:rsid w:val="00E07586"/>
    <w:rsid w:val="00E20116"/>
    <w:rsid w:val="00E321E1"/>
    <w:rsid w:val="00E45E33"/>
    <w:rsid w:val="00E46E16"/>
    <w:rsid w:val="00E473EF"/>
    <w:rsid w:val="00E47F98"/>
    <w:rsid w:val="00E561EF"/>
    <w:rsid w:val="00E562E0"/>
    <w:rsid w:val="00E57183"/>
    <w:rsid w:val="00E65FD9"/>
    <w:rsid w:val="00E714E6"/>
    <w:rsid w:val="00E75193"/>
    <w:rsid w:val="00EA076B"/>
    <w:rsid w:val="00EA147B"/>
    <w:rsid w:val="00EA7045"/>
    <w:rsid w:val="00EC4640"/>
    <w:rsid w:val="00EC6322"/>
    <w:rsid w:val="00ED307C"/>
    <w:rsid w:val="00EF444B"/>
    <w:rsid w:val="00EF4DC5"/>
    <w:rsid w:val="00F001C2"/>
    <w:rsid w:val="00F065E3"/>
    <w:rsid w:val="00F101A2"/>
    <w:rsid w:val="00F14B02"/>
    <w:rsid w:val="00F24DB7"/>
    <w:rsid w:val="00F25DB3"/>
    <w:rsid w:val="00F368F3"/>
    <w:rsid w:val="00F44394"/>
    <w:rsid w:val="00F501FF"/>
    <w:rsid w:val="00F55D77"/>
    <w:rsid w:val="00F576E5"/>
    <w:rsid w:val="00F6139F"/>
    <w:rsid w:val="00F64180"/>
    <w:rsid w:val="00F73E4D"/>
    <w:rsid w:val="00F80EAD"/>
    <w:rsid w:val="00F83049"/>
    <w:rsid w:val="00F901E0"/>
    <w:rsid w:val="00F9059C"/>
    <w:rsid w:val="00F96790"/>
    <w:rsid w:val="00FA270F"/>
    <w:rsid w:val="00FB3C99"/>
    <w:rsid w:val="00FB4867"/>
    <w:rsid w:val="00FB6A01"/>
    <w:rsid w:val="00FB7123"/>
    <w:rsid w:val="00FD0FB1"/>
    <w:rsid w:val="00FD2528"/>
    <w:rsid w:val="00FD6198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6F26F"/>
  <w15:docId w15:val="{4D5D5B5C-0A99-4DE6-907F-5C19CA0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4F"/>
  </w:style>
  <w:style w:type="paragraph" w:styleId="Header">
    <w:name w:val="header"/>
    <w:basedOn w:val="Normal"/>
    <w:link w:val="Head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4F"/>
  </w:style>
  <w:style w:type="character" w:styleId="Hyperlink">
    <w:name w:val="Hyperlink"/>
    <w:basedOn w:val="DefaultParagraphFont"/>
    <w:uiPriority w:val="99"/>
    <w:unhideWhenUsed/>
    <w:rsid w:val="006A1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34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D734C"/>
    <w:rPr>
      <w:color w:val="2B579A"/>
      <w:shd w:val="clear" w:color="auto" w:fill="E6E6E6"/>
    </w:rPr>
  </w:style>
  <w:style w:type="paragraph" w:styleId="ListParagraph">
    <w:name w:val="List Paragraph"/>
    <w:aliases w:val="Strip,Párrafo de lista"/>
    <w:basedOn w:val="Normal"/>
    <w:link w:val="ListParagraphChar"/>
    <w:uiPriority w:val="34"/>
    <w:qFormat/>
    <w:rsid w:val="00913D60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"/>
    <w:link w:val="ListParagraph"/>
    <w:uiPriority w:val="34"/>
    <w:locked/>
    <w:rsid w:val="00913D60"/>
    <w:rPr>
      <w:sz w:val="24"/>
    </w:rPr>
  </w:style>
  <w:style w:type="character" w:styleId="Emphasis">
    <w:name w:val="Emphasis"/>
    <w:basedOn w:val="DefaultParagraphFont"/>
    <w:uiPriority w:val="20"/>
    <w:qFormat/>
    <w:rsid w:val="00F14B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59545.B45F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11C1-9421-4978-B318-93338135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10406</Words>
  <Characters>5932</Characters>
  <Application>Microsoft Office Word</Application>
  <DocSecurity>4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pievienotās vērtības nodokļa finansējumu Rail Baltica projektam”</vt:lpstr>
    </vt:vector>
  </TitlesOfParts>
  <Company>SM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Rail Baltica pirmā Finansēšanas līguma (CEF1) grozījumu parakstīšanu ar Inovācijas un tīklu izpildaģentūru (INEA)”</dc:title>
  <dc:subject>Informatīvais ziņojums</dc:subject>
  <dc:creator>Olita.Berzina@sam.gov.lv</dc:creator>
  <dc:description>O.Bērziņa, 67028083;
Olita.Berzina@sam.gov.lv</dc:description>
  <cp:lastModifiedBy>Kārlis Enģelis</cp:lastModifiedBy>
  <cp:revision>2</cp:revision>
  <cp:lastPrinted>2019-11-07T12:48:00Z</cp:lastPrinted>
  <dcterms:created xsi:type="dcterms:W3CDTF">2019-11-22T07:29:00Z</dcterms:created>
  <dcterms:modified xsi:type="dcterms:W3CDTF">2019-11-22T07:29:00Z</dcterms:modified>
</cp:coreProperties>
</file>