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CE99A" w14:textId="77777777" w:rsidR="007116C7" w:rsidRPr="00B57019" w:rsidRDefault="007116C7" w:rsidP="00DB7395">
      <w:pPr>
        <w:pStyle w:val="naisnod"/>
        <w:spacing w:before="0" w:after="0"/>
        <w:ind w:firstLine="720"/>
      </w:pPr>
      <w:r w:rsidRPr="00B57019">
        <w:t>Izziņa par atzinumos sniegtajiem iebildumiem</w:t>
      </w:r>
    </w:p>
    <w:p w14:paraId="562A8A77" w14:textId="77777777" w:rsidR="007116C7" w:rsidRPr="00B5701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B57019" w:rsidRPr="00B57019" w14:paraId="0C0F47D5" w14:textId="77777777" w:rsidTr="000B225A">
        <w:trPr>
          <w:jc w:val="center"/>
        </w:trPr>
        <w:tc>
          <w:tcPr>
            <w:tcW w:w="10188" w:type="dxa"/>
            <w:tcBorders>
              <w:bottom w:val="single" w:sz="6" w:space="0" w:color="000000"/>
            </w:tcBorders>
          </w:tcPr>
          <w:p w14:paraId="390EE90C" w14:textId="77777777" w:rsidR="007116C7" w:rsidRPr="00B57019" w:rsidRDefault="00DF7A2F" w:rsidP="00D4629A">
            <w:pPr>
              <w:pStyle w:val="Title"/>
              <w:pBdr>
                <w:bottom w:val="none" w:sz="0" w:space="0" w:color="auto"/>
              </w:pBdr>
              <w:ind w:firstLine="720"/>
              <w:jc w:val="center"/>
              <w:rPr>
                <w:rFonts w:ascii="Times New Roman" w:hAnsi="Times New Roman"/>
                <w:b/>
                <w:bCs/>
                <w:color w:val="auto"/>
                <w:spacing w:val="0"/>
                <w:kern w:val="0"/>
                <w:sz w:val="24"/>
                <w:szCs w:val="24"/>
              </w:rPr>
            </w:pPr>
            <w:r w:rsidRPr="00B57019">
              <w:rPr>
                <w:rFonts w:ascii="Times New Roman" w:hAnsi="Times New Roman"/>
                <w:b/>
                <w:bCs/>
                <w:color w:val="auto"/>
                <w:spacing w:val="0"/>
                <w:kern w:val="0"/>
                <w:sz w:val="24"/>
                <w:szCs w:val="24"/>
              </w:rPr>
              <w:t>Informatīvā ziņojuma</w:t>
            </w:r>
            <w:r w:rsidR="00F05DBC" w:rsidRPr="00B57019">
              <w:rPr>
                <w:rFonts w:ascii="Times New Roman" w:hAnsi="Times New Roman"/>
                <w:b/>
                <w:bCs/>
                <w:color w:val="auto"/>
                <w:spacing w:val="0"/>
                <w:kern w:val="0"/>
                <w:sz w:val="24"/>
                <w:szCs w:val="24"/>
              </w:rPr>
              <w:t xml:space="preserve"> projekts</w:t>
            </w:r>
            <w:r w:rsidR="00DF43E6" w:rsidRPr="00B57019">
              <w:rPr>
                <w:rFonts w:ascii="Times New Roman" w:hAnsi="Times New Roman"/>
                <w:b/>
                <w:bCs/>
                <w:color w:val="auto"/>
                <w:spacing w:val="0"/>
                <w:kern w:val="0"/>
                <w:sz w:val="24"/>
                <w:szCs w:val="24"/>
              </w:rPr>
              <w:t xml:space="preserve"> “</w:t>
            </w:r>
            <w:r w:rsidR="00677D41" w:rsidRPr="00B57019">
              <w:rPr>
                <w:rFonts w:ascii="Times New Roman" w:hAnsi="Times New Roman"/>
                <w:b/>
                <w:bCs/>
                <w:color w:val="auto"/>
                <w:spacing w:val="0"/>
                <w:kern w:val="0"/>
                <w:sz w:val="24"/>
                <w:szCs w:val="24"/>
              </w:rPr>
              <w:t>Informatīvais ziņojums par cilvēkresursu nodrošināšanu valsts informācijas un komunikācijas tehnoloģiju platformu uzturēšanai</w:t>
            </w:r>
            <w:r w:rsidR="00DF43E6" w:rsidRPr="00B57019">
              <w:rPr>
                <w:rFonts w:ascii="Times New Roman" w:hAnsi="Times New Roman"/>
                <w:b/>
                <w:bCs/>
                <w:color w:val="auto"/>
                <w:spacing w:val="0"/>
                <w:kern w:val="0"/>
                <w:sz w:val="24"/>
                <w:szCs w:val="24"/>
              </w:rPr>
              <w:t xml:space="preserve">” </w:t>
            </w:r>
          </w:p>
        </w:tc>
      </w:tr>
    </w:tbl>
    <w:p w14:paraId="41435B05" w14:textId="77777777" w:rsidR="007116C7" w:rsidRPr="00B57019" w:rsidRDefault="007116C7" w:rsidP="009623BC">
      <w:pPr>
        <w:pStyle w:val="naisc"/>
        <w:spacing w:before="0" w:after="0"/>
        <w:ind w:firstLine="1080"/>
      </w:pPr>
      <w:r w:rsidRPr="00B57019">
        <w:t>(dokumenta veids un nosaukums)</w:t>
      </w:r>
    </w:p>
    <w:p w14:paraId="5007A1D6" w14:textId="77777777" w:rsidR="007B4C0F" w:rsidRPr="00B57019" w:rsidRDefault="007B4C0F" w:rsidP="00DB7395">
      <w:pPr>
        <w:pStyle w:val="naisf"/>
        <w:spacing w:before="0" w:after="0"/>
        <w:ind w:firstLine="720"/>
      </w:pPr>
    </w:p>
    <w:p w14:paraId="4FD87279" w14:textId="77777777" w:rsidR="007B4C0F" w:rsidRPr="00B57019" w:rsidRDefault="007B4C0F" w:rsidP="00184479">
      <w:pPr>
        <w:pStyle w:val="naisf"/>
        <w:spacing w:before="0" w:after="0"/>
        <w:ind w:firstLine="0"/>
        <w:jc w:val="center"/>
        <w:rPr>
          <w:b/>
        </w:rPr>
      </w:pPr>
      <w:r w:rsidRPr="00B57019">
        <w:rPr>
          <w:b/>
        </w:rPr>
        <w:t xml:space="preserve">I. Jautājumi, par kuriem saskaņošanā </w:t>
      </w:r>
      <w:r w:rsidR="00134188" w:rsidRPr="00B57019">
        <w:rPr>
          <w:b/>
        </w:rPr>
        <w:t xml:space="preserve">vienošanās </w:t>
      </w:r>
      <w:r w:rsidRPr="00B57019">
        <w:rPr>
          <w:b/>
        </w:rPr>
        <w:t>nav panākta</w:t>
      </w:r>
    </w:p>
    <w:p w14:paraId="3DAC5CBB" w14:textId="77777777" w:rsidR="007B4C0F" w:rsidRPr="00B57019" w:rsidRDefault="007B4C0F" w:rsidP="00DB7395">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802"/>
        <w:gridCol w:w="3118"/>
        <w:gridCol w:w="2977"/>
        <w:gridCol w:w="2459"/>
        <w:gridCol w:w="2503"/>
      </w:tblGrid>
      <w:tr w:rsidR="00B57019" w:rsidRPr="00B57019" w14:paraId="34189F51"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6E446F" w14:textId="77777777" w:rsidR="005F4BFD" w:rsidRPr="00B57019" w:rsidRDefault="005F4BFD" w:rsidP="0036160E">
            <w:pPr>
              <w:pStyle w:val="naisc"/>
              <w:spacing w:before="0" w:after="0"/>
            </w:pPr>
            <w:r w:rsidRPr="00B57019">
              <w:t>Nr. p.k.</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440946" w14:textId="77777777" w:rsidR="005F4BFD" w:rsidRPr="00B57019" w:rsidRDefault="005F4BFD" w:rsidP="00364BB6">
            <w:pPr>
              <w:pStyle w:val="naisc"/>
              <w:spacing w:before="0" w:after="0"/>
              <w:ind w:firstLine="12"/>
            </w:pPr>
            <w:r w:rsidRPr="00B57019">
              <w:t>Saskaņošanai nosūtītā projekta redakcija (konkrēta punkta (panta) redakcija)</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24B00D" w14:textId="77777777" w:rsidR="005F4BFD" w:rsidRPr="00B57019" w:rsidRDefault="005F4BFD" w:rsidP="00364BB6">
            <w:pPr>
              <w:pStyle w:val="naisc"/>
              <w:spacing w:before="0" w:after="0"/>
              <w:ind w:right="3"/>
            </w:pPr>
            <w:r w:rsidRPr="00B57019">
              <w:t>Atzinumā norādītais ministrijas (citas institūcijas) iebildums</w:t>
            </w:r>
            <w:r w:rsidR="00184479" w:rsidRPr="00B57019">
              <w:t>,</w:t>
            </w:r>
            <w:r w:rsidR="000E5509" w:rsidRPr="00B57019">
              <w:t xml:space="preserve"> kā arī saskaņošanā papildus izteiktais iebildums</w:t>
            </w:r>
            <w:r w:rsidRPr="00B57019">
              <w:t xml:space="preserve"> par projekta konkrēto punktu (pantu)</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82B298" w14:textId="77777777" w:rsidR="005F4BFD" w:rsidRPr="00B57019" w:rsidRDefault="005F4BFD" w:rsidP="00364BB6">
            <w:pPr>
              <w:pStyle w:val="naisc"/>
              <w:spacing w:before="0" w:after="0"/>
              <w:ind w:firstLine="21"/>
            </w:pPr>
            <w:r w:rsidRPr="00B57019">
              <w:t>Atbildīgās ministrijas pamatojums</w:t>
            </w:r>
            <w:r w:rsidR="009307F2" w:rsidRPr="00B57019">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50A632F" w14:textId="77777777" w:rsidR="005F4BFD" w:rsidRPr="00B57019" w:rsidRDefault="005F4BFD" w:rsidP="00364BB6">
            <w:pPr>
              <w:jc w:val="center"/>
            </w:pPr>
            <w:r w:rsidRPr="00B57019">
              <w:t>Atzinuma sniedzēja uzturētais iebildums, ja tas atšķiras no atzinumā norādītā iebilduma pamatojuma</w:t>
            </w:r>
          </w:p>
        </w:tc>
        <w:tc>
          <w:tcPr>
            <w:tcW w:w="2503" w:type="dxa"/>
            <w:tcBorders>
              <w:top w:val="single" w:sz="4" w:space="0" w:color="auto"/>
              <w:left w:val="single" w:sz="4" w:space="0" w:color="auto"/>
              <w:bottom w:val="single" w:sz="4" w:space="0" w:color="auto"/>
            </w:tcBorders>
            <w:vAlign w:val="center"/>
          </w:tcPr>
          <w:p w14:paraId="0A8BE68F" w14:textId="77777777" w:rsidR="005F4BFD" w:rsidRPr="00B57019" w:rsidRDefault="005F4BFD" w:rsidP="00364BB6">
            <w:pPr>
              <w:jc w:val="center"/>
            </w:pPr>
            <w:r w:rsidRPr="00B57019">
              <w:t>Projekta attiecīgā punkta (panta) galīgā redakcija</w:t>
            </w:r>
          </w:p>
        </w:tc>
      </w:tr>
      <w:tr w:rsidR="00B57019" w:rsidRPr="00B57019" w14:paraId="5F6EF9E1"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A4B613" w14:textId="77777777" w:rsidR="005F4BFD" w:rsidRPr="00B57019" w:rsidRDefault="008A36C9" w:rsidP="008A36C9">
            <w:pPr>
              <w:pStyle w:val="naisc"/>
              <w:spacing w:before="0" w:after="0"/>
            </w:pPr>
            <w:r w:rsidRPr="00B57019">
              <w:t>1</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E9D3F6" w14:textId="77777777" w:rsidR="005F4BFD" w:rsidRPr="00B57019" w:rsidRDefault="008A36C9" w:rsidP="008A36C9">
            <w:pPr>
              <w:pStyle w:val="naisc"/>
              <w:spacing w:before="0" w:after="0"/>
              <w:ind w:firstLine="720"/>
            </w:pPr>
            <w:r w:rsidRPr="00B57019">
              <w:t>2</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757523" w14:textId="77777777" w:rsidR="005F4BFD" w:rsidRPr="00B57019" w:rsidRDefault="008A36C9" w:rsidP="008A36C9">
            <w:pPr>
              <w:pStyle w:val="naisc"/>
              <w:spacing w:before="0" w:after="0"/>
              <w:ind w:firstLine="720"/>
            </w:pPr>
            <w:r w:rsidRPr="00B57019">
              <w:t>3</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1B815A" w14:textId="77777777" w:rsidR="005F4BFD" w:rsidRPr="00B57019" w:rsidRDefault="008A36C9" w:rsidP="008A36C9">
            <w:pPr>
              <w:pStyle w:val="naisc"/>
              <w:spacing w:before="0" w:after="0"/>
              <w:ind w:firstLine="720"/>
            </w:pPr>
            <w:r w:rsidRPr="00B57019">
              <w:t>4</w:t>
            </w:r>
          </w:p>
        </w:tc>
        <w:tc>
          <w:tcPr>
            <w:tcW w:w="2459" w:type="dxa"/>
            <w:tcBorders>
              <w:top w:val="single" w:sz="4" w:space="0" w:color="auto"/>
              <w:left w:val="single" w:sz="4" w:space="0" w:color="auto"/>
              <w:bottom w:val="single" w:sz="4" w:space="0" w:color="auto"/>
              <w:right w:val="single" w:sz="4" w:space="0" w:color="auto"/>
            </w:tcBorders>
          </w:tcPr>
          <w:p w14:paraId="543E3807" w14:textId="77777777" w:rsidR="005F4BFD" w:rsidRPr="00B57019" w:rsidRDefault="008A36C9" w:rsidP="008A36C9">
            <w:pPr>
              <w:jc w:val="center"/>
            </w:pPr>
            <w:r w:rsidRPr="00B57019">
              <w:t>5</w:t>
            </w:r>
          </w:p>
        </w:tc>
        <w:tc>
          <w:tcPr>
            <w:tcW w:w="2503" w:type="dxa"/>
            <w:tcBorders>
              <w:top w:val="single" w:sz="4" w:space="0" w:color="auto"/>
              <w:left w:val="single" w:sz="4" w:space="0" w:color="auto"/>
              <w:bottom w:val="single" w:sz="4" w:space="0" w:color="auto"/>
            </w:tcBorders>
          </w:tcPr>
          <w:p w14:paraId="71F858AE" w14:textId="77777777" w:rsidR="005F4BFD" w:rsidRPr="00B57019" w:rsidRDefault="008A36C9" w:rsidP="008A36C9">
            <w:pPr>
              <w:jc w:val="center"/>
            </w:pPr>
            <w:r w:rsidRPr="00B57019">
              <w:t>6</w:t>
            </w:r>
          </w:p>
        </w:tc>
      </w:tr>
      <w:tr w:rsidR="00B57019" w:rsidRPr="00B57019" w14:paraId="092DDA8F" w14:textId="77777777" w:rsidTr="6EC0B0DB">
        <w:tc>
          <w:tcPr>
            <w:tcW w:w="14567" w:type="dxa"/>
            <w:gridSpan w:val="6"/>
            <w:tcBorders>
              <w:top w:val="single" w:sz="6" w:space="0" w:color="000000" w:themeColor="text1"/>
              <w:left w:val="single" w:sz="6" w:space="0" w:color="000000" w:themeColor="text1"/>
              <w:bottom w:val="single" w:sz="6" w:space="0" w:color="000000" w:themeColor="text1"/>
            </w:tcBorders>
            <w:shd w:val="clear" w:color="auto" w:fill="auto"/>
          </w:tcPr>
          <w:p w14:paraId="3F751184" w14:textId="77777777" w:rsidR="00AB21D7" w:rsidRPr="00B57019" w:rsidRDefault="00AB21D7" w:rsidP="008A36C9">
            <w:pPr>
              <w:jc w:val="center"/>
              <w:rPr>
                <w:b/>
              </w:rPr>
            </w:pPr>
            <w:r w:rsidRPr="00B57019">
              <w:rPr>
                <w:b/>
              </w:rPr>
              <w:t>Aizsardzības ministrija</w:t>
            </w:r>
          </w:p>
        </w:tc>
      </w:tr>
      <w:tr w:rsidR="00B57019" w:rsidRPr="00B57019" w14:paraId="3A8EB60B"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265F1D" w14:textId="6A972F29" w:rsidR="0038287F" w:rsidRPr="00B57019" w:rsidRDefault="006F1754" w:rsidP="006F1754">
            <w:pPr>
              <w:pStyle w:val="naisc"/>
              <w:spacing w:before="0" w:after="0"/>
              <w:jc w:val="left"/>
            </w:pPr>
            <w:r w:rsidRPr="00B57019">
              <w:t>1.</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1BBA18" w14:textId="77777777" w:rsidR="0038287F" w:rsidRPr="00B57019" w:rsidRDefault="00AB21D7" w:rsidP="005651AD">
            <w:pPr>
              <w:pStyle w:val="naisc"/>
              <w:spacing w:before="0" w:after="0"/>
              <w:jc w:val="left"/>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BF0D66" w14:textId="77777777" w:rsidR="00AB21D7" w:rsidRPr="00B57019" w:rsidRDefault="00AB21D7" w:rsidP="00AB21D7">
            <w:pPr>
              <w:spacing w:after="120"/>
              <w:ind w:firstLine="720"/>
              <w:jc w:val="both"/>
            </w:pPr>
            <w:r w:rsidRPr="00B57019">
              <w:t xml:space="preserve">Lai nodrošinātu </w:t>
            </w:r>
            <w:r w:rsidRPr="00B57019">
              <w:rPr>
                <w:rFonts w:eastAsia="PMingLiU"/>
              </w:rPr>
              <w:t xml:space="preserve">Valsts reģionālās attīstības aģentūras (turpmāk – VRAA) informācijas un komunikācijas tehnoloģiju </w:t>
            </w:r>
            <w:r w:rsidRPr="00B57019">
              <w:t xml:space="preserve">(turpmāk – IKT) </w:t>
            </w:r>
            <w:r w:rsidRPr="00B57019">
              <w:rPr>
                <w:rFonts w:eastAsia="PMingLiU"/>
              </w:rPr>
              <w:t xml:space="preserve">koplietošanas platformu uzturēšanu un attīstību, </w:t>
            </w:r>
            <w:r w:rsidRPr="00B57019">
              <w:t xml:space="preserve">AM neatbalsta aizsardzības resora bāzes izdevumu samazināšanu, tai skaitā samazinājumu par 2 amata vietām. Saņemtajā informācijas kopumā nav norādīts, saskaņā ar kādiem kritērijiem tiek sadalīts amata </w:t>
            </w:r>
            <w:r w:rsidRPr="00B57019">
              <w:lastRenderedPageBreak/>
              <w:t>vietu samazinājums starp ministrijām.</w:t>
            </w:r>
          </w:p>
          <w:p w14:paraId="6471E45C" w14:textId="70E45C4B" w:rsidR="00AB21D7" w:rsidRPr="00B57019" w:rsidRDefault="6EC0B0DB" w:rsidP="00AB21D7">
            <w:pPr>
              <w:spacing w:after="120"/>
              <w:ind w:firstLine="720"/>
              <w:jc w:val="both"/>
            </w:pPr>
            <w:r w:rsidRPr="00B57019">
              <w:t>AM IKT attīstības stratēģija 2019.–2028. gadam nosaka, ka aizsardzības resora IKT pārvaldība un pakalpojumu s4niegšana tiek organizēta centralizēti resora līmenī. Stratēģija paredz plānveidīgu nozares IKT attīstību, pamatojoties uz valsts aizsardzības spēju attīstības prioritātēm, IKT drošības prasībām, kā arī saskaņā ar nozares normatīvajiem aktiem un attīstības plānošanas dokumentiem, lai spētu izpildīt valsts aizsardzības uzdevumus. Ministru kabineta sēdes protokollēmuma projektā noteiktais aizsardzības resora bāzes izdevumu samazinājums, tai skaitā samazinājums par 2 amata vietām, atstās negatīvu ietekmi, jo arī aizsardzības resorā IKT pakalpojumu centralizētai pārvaldībai un attīstībai pieejamie cilvēkresursi jau šobrīd ir nepietiekami.</w:t>
            </w:r>
          </w:p>
          <w:p w14:paraId="00528341" w14:textId="77777777" w:rsidR="0038287F" w:rsidRPr="00B57019" w:rsidRDefault="00AB21D7" w:rsidP="005651AD">
            <w:pPr>
              <w:spacing w:after="120"/>
              <w:jc w:val="both"/>
            </w:pPr>
            <w:r w:rsidRPr="00B57019">
              <w:lastRenderedPageBreak/>
              <w:t>Papildus iepriekšminētajam aizsardzības resorā izmanto tikai daļu no informatīvajā ziņojumā minēto, VRAA centralizēti nodrošināto IKT platformu pakalpojumiem – Elektronisko iepirkumu sistēmas pakalpojumus un Oficiālās elektroniskās adreses informācijas sistēmas pakalpojumus, bet nākotnē, iespējams, izmantos e-rēķinu aprites risinājuma pakalpojumus. Turklāt EIS specifikas dēļ Elektronisko iepirkumu sistēma nenodrošina aizsardzības resoram visu nepieciešamo preču un pakalpojumu klāstu, kā rezultātā AM joprojām ir jānovirza ievērojami cilvēkresursi iepirkumu veikšanai, lai nodrošinātu ar materiāltehniskajiem līdzekļiem Nacionālos bruņotos spēkus tiem noteikto spēju attīstībai.</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820251" w14:textId="77777777" w:rsidR="00AA30B8" w:rsidRPr="00B57019" w:rsidRDefault="00AA30B8" w:rsidP="00AB21D7">
            <w:pPr>
              <w:jc w:val="both"/>
              <w:rPr>
                <w:b/>
              </w:rPr>
            </w:pPr>
            <w:r w:rsidRPr="00B57019">
              <w:rPr>
                <w:b/>
              </w:rPr>
              <w:lastRenderedPageBreak/>
              <w:t xml:space="preserve">Iebildums </w:t>
            </w:r>
            <w:r w:rsidR="003D173F" w:rsidRPr="00B57019">
              <w:rPr>
                <w:b/>
              </w:rPr>
              <w:t xml:space="preserve">daļēji </w:t>
            </w:r>
            <w:r w:rsidRPr="00B57019">
              <w:rPr>
                <w:b/>
              </w:rPr>
              <w:t>ņemts vērā.</w:t>
            </w:r>
          </w:p>
          <w:p w14:paraId="2E9FD5FD" w14:textId="77777777" w:rsidR="006F65C2" w:rsidRPr="00B57019" w:rsidRDefault="006F65C2" w:rsidP="00D01ABF">
            <w:pPr>
              <w:spacing w:after="120"/>
              <w:jc w:val="both"/>
            </w:pPr>
            <w:r w:rsidRPr="00B57019">
              <w:t>Attiecībā uz to, saskaņā ar kādiem kritērijiem tiek sadalīts amata vietu samazinājums starp ministrijām, ir norādāms, ka ietaupītā darba laika apjoms ir aprēķināts</w:t>
            </w:r>
            <w:r w:rsidR="003402EB" w:rsidRPr="00B57019">
              <w:t xml:space="preserve">, sadalot </w:t>
            </w:r>
            <w:r w:rsidRPr="00B57019">
              <w:t xml:space="preserve">saskaņā ar informatīvā ziņojuma pielikumos Nr. 1. – Nr. 5. aprakstītajām metodēm aprēķināto summāro ietaupījumu proporcionāli pa nozaru ministrijām, atbilstoši ministriju un </w:t>
            </w:r>
            <w:r w:rsidRPr="00B57019">
              <w:lastRenderedPageBreak/>
              <w:t xml:space="preserve">padotības iestāžu kopējam nodarbināto skaitam pēc Valsts kancelejas datiem.  </w:t>
            </w:r>
          </w:p>
          <w:p w14:paraId="0A35037B" w14:textId="77777777" w:rsidR="006F65C2" w:rsidRPr="00B57019" w:rsidRDefault="006F65C2" w:rsidP="00AB21D7">
            <w:pPr>
              <w:jc w:val="both"/>
            </w:pPr>
          </w:p>
          <w:p w14:paraId="2ED337F6" w14:textId="1AA88FA4" w:rsidR="006F65C2" w:rsidRPr="00B57019" w:rsidRDefault="00D03146" w:rsidP="00AB21D7">
            <w:pPr>
              <w:jc w:val="both"/>
            </w:pPr>
            <w:r w:rsidRPr="00B57019">
              <w:t xml:space="preserve">Skatīt </w:t>
            </w:r>
            <w:r w:rsidR="00B05C77" w:rsidRPr="00B57019">
              <w:t xml:space="preserve">informatīvā ziņojuma </w:t>
            </w:r>
            <w:r w:rsidRPr="00B57019">
              <w:t>6. pielikumu.</w:t>
            </w:r>
          </w:p>
          <w:p w14:paraId="7816ADA2" w14:textId="77777777" w:rsidR="006F65C2" w:rsidRPr="00B57019" w:rsidRDefault="006F65C2" w:rsidP="00AB21D7">
            <w:pPr>
              <w:jc w:val="both"/>
            </w:pPr>
          </w:p>
          <w:p w14:paraId="191014D1" w14:textId="77777777" w:rsidR="006F65C2" w:rsidRPr="00B57019" w:rsidRDefault="006F65C2" w:rsidP="00AB21D7">
            <w:pPr>
              <w:jc w:val="both"/>
            </w:pPr>
          </w:p>
          <w:p w14:paraId="18FB5E3C" w14:textId="77777777" w:rsidR="006F65C2" w:rsidRPr="00B57019" w:rsidRDefault="006F65C2" w:rsidP="00AB21D7">
            <w:pPr>
              <w:jc w:val="both"/>
            </w:pPr>
          </w:p>
          <w:p w14:paraId="7E5AE222" w14:textId="77777777" w:rsidR="006F65C2" w:rsidRPr="00B57019" w:rsidRDefault="006F65C2" w:rsidP="00AB21D7">
            <w:pPr>
              <w:jc w:val="both"/>
            </w:pPr>
          </w:p>
          <w:p w14:paraId="7FA23759" w14:textId="77777777" w:rsidR="006F65C2" w:rsidRPr="00B57019" w:rsidRDefault="006F65C2" w:rsidP="00AB21D7">
            <w:pPr>
              <w:jc w:val="both"/>
            </w:pPr>
          </w:p>
          <w:p w14:paraId="0D323B0F" w14:textId="77777777" w:rsidR="006F65C2" w:rsidRPr="00B57019" w:rsidRDefault="006F65C2" w:rsidP="00AB21D7">
            <w:pPr>
              <w:jc w:val="both"/>
            </w:pPr>
          </w:p>
          <w:p w14:paraId="5B106D50" w14:textId="77777777" w:rsidR="006F65C2" w:rsidRPr="00B57019" w:rsidRDefault="006F65C2" w:rsidP="00AB21D7">
            <w:pPr>
              <w:jc w:val="both"/>
            </w:pPr>
          </w:p>
          <w:p w14:paraId="203E7F1D" w14:textId="77777777" w:rsidR="006F65C2" w:rsidRPr="00B57019" w:rsidRDefault="006F65C2" w:rsidP="00AB21D7">
            <w:pPr>
              <w:jc w:val="both"/>
            </w:pPr>
          </w:p>
          <w:p w14:paraId="189F4857" w14:textId="77777777" w:rsidR="006F65C2" w:rsidRPr="00B57019" w:rsidRDefault="006F65C2" w:rsidP="00AB21D7">
            <w:pPr>
              <w:jc w:val="both"/>
            </w:pPr>
          </w:p>
          <w:p w14:paraId="31A6EC0D" w14:textId="77777777" w:rsidR="006F65C2" w:rsidRPr="00B57019" w:rsidRDefault="006F65C2" w:rsidP="00AB21D7">
            <w:pPr>
              <w:jc w:val="both"/>
            </w:pPr>
          </w:p>
          <w:p w14:paraId="6BBA7C45" w14:textId="77777777" w:rsidR="006F65C2" w:rsidRPr="00B57019" w:rsidRDefault="006F65C2" w:rsidP="00AB21D7">
            <w:pPr>
              <w:jc w:val="both"/>
            </w:pPr>
          </w:p>
          <w:p w14:paraId="6C3E6331" w14:textId="77777777" w:rsidR="006F65C2" w:rsidRPr="00B57019" w:rsidRDefault="006F65C2" w:rsidP="00AB21D7">
            <w:pPr>
              <w:jc w:val="both"/>
            </w:pPr>
          </w:p>
          <w:p w14:paraId="30704005" w14:textId="77777777" w:rsidR="006F65C2" w:rsidRPr="00B57019" w:rsidRDefault="006F65C2" w:rsidP="00AB21D7">
            <w:pPr>
              <w:jc w:val="both"/>
            </w:pPr>
          </w:p>
          <w:p w14:paraId="5D54C4F9" w14:textId="77777777" w:rsidR="006F65C2" w:rsidRPr="00B57019" w:rsidRDefault="006F65C2" w:rsidP="00AB21D7">
            <w:pPr>
              <w:jc w:val="both"/>
            </w:pPr>
          </w:p>
          <w:p w14:paraId="18157766" w14:textId="77777777" w:rsidR="006F65C2" w:rsidRPr="00B57019" w:rsidRDefault="006F65C2" w:rsidP="00AB21D7">
            <w:pPr>
              <w:jc w:val="both"/>
            </w:pPr>
          </w:p>
          <w:p w14:paraId="0A924FF6" w14:textId="77777777" w:rsidR="006F65C2" w:rsidRPr="00B57019" w:rsidRDefault="006F65C2" w:rsidP="00AB21D7">
            <w:pPr>
              <w:jc w:val="both"/>
            </w:pPr>
          </w:p>
          <w:p w14:paraId="2A1243EB" w14:textId="77777777" w:rsidR="006F65C2" w:rsidRPr="00B57019" w:rsidRDefault="006F65C2" w:rsidP="00AB21D7">
            <w:pPr>
              <w:jc w:val="both"/>
            </w:pPr>
          </w:p>
          <w:p w14:paraId="19C46704" w14:textId="77777777" w:rsidR="006F65C2" w:rsidRPr="00B57019" w:rsidRDefault="006F65C2" w:rsidP="00AB21D7">
            <w:pPr>
              <w:jc w:val="both"/>
            </w:pPr>
          </w:p>
          <w:p w14:paraId="1EB0B35C" w14:textId="77777777" w:rsidR="006F65C2" w:rsidRPr="00B57019" w:rsidRDefault="006F65C2" w:rsidP="00AB21D7">
            <w:pPr>
              <w:jc w:val="both"/>
            </w:pPr>
          </w:p>
          <w:p w14:paraId="7BDD9F05" w14:textId="77777777" w:rsidR="006F65C2" w:rsidRPr="00B57019" w:rsidRDefault="006F65C2" w:rsidP="00AB21D7">
            <w:pPr>
              <w:jc w:val="both"/>
            </w:pPr>
          </w:p>
          <w:p w14:paraId="002A716A" w14:textId="77777777" w:rsidR="006F65C2" w:rsidRPr="00B57019" w:rsidRDefault="006F65C2" w:rsidP="00AB21D7">
            <w:pPr>
              <w:jc w:val="both"/>
            </w:pPr>
          </w:p>
          <w:p w14:paraId="774DA6E0" w14:textId="77777777" w:rsidR="006F65C2" w:rsidRPr="00B57019" w:rsidRDefault="006F65C2" w:rsidP="00AB21D7">
            <w:pPr>
              <w:jc w:val="both"/>
            </w:pPr>
          </w:p>
          <w:p w14:paraId="7907E87E" w14:textId="77777777" w:rsidR="006F65C2" w:rsidRPr="00B57019" w:rsidRDefault="006F65C2" w:rsidP="00AB21D7">
            <w:pPr>
              <w:jc w:val="both"/>
            </w:pPr>
          </w:p>
          <w:p w14:paraId="3F6F216F" w14:textId="77777777" w:rsidR="006F65C2" w:rsidRPr="00B57019" w:rsidRDefault="006F65C2" w:rsidP="00AB21D7">
            <w:pPr>
              <w:jc w:val="both"/>
            </w:pPr>
          </w:p>
          <w:p w14:paraId="25627C50" w14:textId="77777777" w:rsidR="006F65C2" w:rsidRPr="00B57019" w:rsidRDefault="006F65C2" w:rsidP="00AB21D7">
            <w:pPr>
              <w:jc w:val="both"/>
            </w:pPr>
          </w:p>
          <w:p w14:paraId="4E47CC7F" w14:textId="77777777" w:rsidR="006F65C2" w:rsidRPr="00B57019" w:rsidRDefault="006F65C2" w:rsidP="00AB21D7">
            <w:pPr>
              <w:jc w:val="both"/>
            </w:pPr>
          </w:p>
          <w:p w14:paraId="337D1042" w14:textId="77777777" w:rsidR="00AB21D7" w:rsidRPr="00B57019" w:rsidRDefault="00AB21D7" w:rsidP="00AB21D7">
            <w:pPr>
              <w:jc w:val="both"/>
            </w:pPr>
            <w:r w:rsidRPr="00B57019">
              <w:lastRenderedPageBreak/>
              <w:t xml:space="preserve">Attiecībā uz AM iebildumiem par EIS lietošanu paskaidrojam, ka pirms iepirkumu izsludināšanas potenciālā tehniskā specifikācija tiek nosūtīta priekšlikumu iesniegšanai, tādējādi ļaujot papildināt EIS saturu ar to nepieciešamo preču un pakalpojumu klāstu, kuru plānots iegādāties nākotnē. </w:t>
            </w:r>
          </w:p>
          <w:p w14:paraId="5FE591EF" w14:textId="77777777" w:rsidR="00AB21D7" w:rsidRPr="00B57019" w:rsidRDefault="00AB21D7" w:rsidP="00AB21D7">
            <w:pPr>
              <w:jc w:val="both"/>
            </w:pPr>
            <w:r w:rsidRPr="00B57019">
              <w:t>Vēršam uzmanību, ka pašlaik AM un NBS izmanto EIS šādos apjomos:</w:t>
            </w:r>
          </w:p>
          <w:p w14:paraId="051C757D" w14:textId="77777777" w:rsidR="00AB21D7" w:rsidRPr="00B57019" w:rsidRDefault="00AB21D7" w:rsidP="005651AD">
            <w:pPr>
              <w:pStyle w:val="ListParagraph"/>
              <w:numPr>
                <w:ilvl w:val="0"/>
                <w:numId w:val="9"/>
              </w:numPr>
              <w:spacing w:line="240" w:lineRule="auto"/>
              <w:jc w:val="both"/>
              <w:rPr>
                <w:rFonts w:ascii="Times New Roman" w:hAnsi="Times New Roman"/>
                <w:sz w:val="24"/>
                <w:szCs w:val="24"/>
              </w:rPr>
            </w:pPr>
            <w:r w:rsidRPr="00B57019">
              <w:rPr>
                <w:rFonts w:ascii="Times New Roman" w:hAnsi="Times New Roman"/>
                <w:sz w:val="24"/>
                <w:szCs w:val="24"/>
                <w:lang w:val="lv-LV"/>
              </w:rPr>
              <w:t xml:space="preserve">AM 2018. gadā iepirkusi preces un pakalpojumus par 2 266 611 EUR un kopējais darījumu skaits 2018. gadā ir bijis 148 darījumi.   </w:t>
            </w:r>
          </w:p>
          <w:p w14:paraId="2FD3F2F6" w14:textId="77777777" w:rsidR="00AB21D7" w:rsidRPr="00B57019" w:rsidRDefault="00AB21D7" w:rsidP="005651AD">
            <w:pPr>
              <w:pStyle w:val="ListParagraph"/>
              <w:numPr>
                <w:ilvl w:val="0"/>
                <w:numId w:val="9"/>
              </w:numPr>
              <w:spacing w:line="240" w:lineRule="auto"/>
              <w:jc w:val="both"/>
              <w:rPr>
                <w:rFonts w:ascii="Times New Roman" w:hAnsi="Times New Roman"/>
                <w:sz w:val="24"/>
                <w:szCs w:val="24"/>
              </w:rPr>
            </w:pPr>
            <w:r w:rsidRPr="00B57019">
              <w:rPr>
                <w:rFonts w:ascii="Times New Roman" w:hAnsi="Times New Roman"/>
                <w:sz w:val="24"/>
                <w:szCs w:val="24"/>
              </w:rPr>
              <w:t>NBS 2018.</w:t>
            </w:r>
            <w:r w:rsidRPr="00B57019">
              <w:rPr>
                <w:rFonts w:ascii="Times New Roman" w:hAnsi="Times New Roman"/>
                <w:sz w:val="24"/>
                <w:szCs w:val="24"/>
                <w:lang w:val="lv-LV"/>
              </w:rPr>
              <w:t xml:space="preserve"> </w:t>
            </w:r>
            <w:r w:rsidRPr="00B57019">
              <w:rPr>
                <w:rFonts w:ascii="Times New Roman" w:hAnsi="Times New Roman"/>
                <w:sz w:val="24"/>
                <w:szCs w:val="24"/>
              </w:rPr>
              <w:t>gadā iepirkusi preces un pakalpojumus par 5 078 435 EUR un kopējais darījumu skaits 2018.gadā ir bijis 3 782 darījumi.</w:t>
            </w:r>
          </w:p>
          <w:p w14:paraId="711C83D5" w14:textId="77777777" w:rsidR="00AB21D7" w:rsidRPr="00B57019" w:rsidRDefault="00AB21D7" w:rsidP="00AB21D7">
            <w:pPr>
              <w:jc w:val="both"/>
            </w:pPr>
            <w:r w:rsidRPr="00B57019">
              <w:t xml:space="preserve">Ņemot vērā, ka AM un tās padotības institūcijas neplāno samazināt EIS </w:t>
            </w:r>
            <w:r w:rsidRPr="00B57019">
              <w:lastRenderedPageBreak/>
              <w:t>izmantošanas apjomu</w:t>
            </w:r>
            <w:r w:rsidR="002B0A0B" w:rsidRPr="00B57019">
              <w:t>,</w:t>
            </w:r>
            <w:r w:rsidRPr="00B57019">
              <w:t xml:space="preserve"> līdzekļu pārdale ir nepieciešama šā apjoma saglabāšanai turpmāk.   </w:t>
            </w:r>
          </w:p>
          <w:p w14:paraId="6DFA729E" w14:textId="77777777" w:rsidR="00AA30B8" w:rsidRPr="00B57019" w:rsidRDefault="00AB21D7" w:rsidP="006F65C2">
            <w:pPr>
              <w:pStyle w:val="naisc"/>
              <w:spacing w:before="0" w:after="0"/>
              <w:ind w:firstLine="720"/>
              <w:jc w:val="both"/>
            </w:pPr>
            <w:r w:rsidRPr="00B57019">
              <w:t>Vēršam uzmanību, ka informatīvajā ziņojumā definētais ietaupījums rodas nevis attiecībā uz IT personālu, bet gan attiecībā uz atbalsta funkciju nodrošināšanu saistīto personālu (lietvežu, iepirkuma speciālistu, juristu u.tml.).</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3C0C1B7F" w14:textId="61E75542" w:rsidR="0038287F" w:rsidRPr="00B57019" w:rsidRDefault="00524086" w:rsidP="004E1580">
            <w:pPr>
              <w:jc w:val="both"/>
            </w:pPr>
            <w:r w:rsidRPr="00B57019">
              <w:lastRenderedPageBreak/>
              <w:t>Iebildums tiek uzturēts.</w:t>
            </w:r>
          </w:p>
        </w:tc>
        <w:tc>
          <w:tcPr>
            <w:tcW w:w="2503" w:type="dxa"/>
            <w:tcBorders>
              <w:top w:val="single" w:sz="4" w:space="0" w:color="auto"/>
              <w:left w:val="single" w:sz="4" w:space="0" w:color="auto"/>
              <w:bottom w:val="single" w:sz="4" w:space="0" w:color="auto"/>
            </w:tcBorders>
            <w:shd w:val="clear" w:color="auto" w:fill="auto"/>
          </w:tcPr>
          <w:p w14:paraId="3787B9F8" w14:textId="77777777" w:rsidR="0038287F" w:rsidRPr="00B57019" w:rsidRDefault="00570899" w:rsidP="00E3237C">
            <w:pPr>
              <w:jc w:val="both"/>
            </w:pPr>
            <w:r w:rsidRPr="00B57019">
              <w:t>Informatīv</w:t>
            </w:r>
            <w:r w:rsidR="002B0A0B" w:rsidRPr="00B57019">
              <w:t xml:space="preserve">ā </w:t>
            </w:r>
            <w:r w:rsidRPr="00B57019">
              <w:t>ziņojum</w:t>
            </w:r>
            <w:r w:rsidR="002B0A0B" w:rsidRPr="00B57019">
              <w:t xml:space="preserve">a projekta </w:t>
            </w:r>
            <w:r w:rsidR="000258B7" w:rsidRPr="00B57019">
              <w:t>3.</w:t>
            </w:r>
            <w:r w:rsidR="002B0A0B" w:rsidRPr="00B57019">
              <w:t xml:space="preserve"> punkts </w:t>
            </w:r>
            <w:r w:rsidRPr="00B57019">
              <w:t xml:space="preserve"> papildināts ar tekstu šādā redakcijā:</w:t>
            </w:r>
          </w:p>
          <w:p w14:paraId="60EE1056" w14:textId="77777777" w:rsidR="00570899" w:rsidRPr="00B57019" w:rsidRDefault="00570899" w:rsidP="00570899">
            <w:pPr>
              <w:ind w:firstLine="432"/>
              <w:jc w:val="both"/>
            </w:pPr>
            <w:r w:rsidRPr="00B57019">
              <w:t xml:space="preserve">“Ietaupītā darba laika apjoms ir aprēķināts, sadalot saskaņā ar Ziņojuma pielikumos Nr. 1. – Nr. 5. aprakstītajām metodēm aprēķināto summāro ietaupījumu proporcionāli pa nozaru ministrijām, atbilstoši ministriju un padotības iestāžu kopējam </w:t>
            </w:r>
            <w:r w:rsidRPr="00B57019">
              <w:lastRenderedPageBreak/>
              <w:t>nodarbināto skaitam pēc Valsts kancelejas datiem.”</w:t>
            </w:r>
          </w:p>
          <w:p w14:paraId="27F5A1C3" w14:textId="77777777" w:rsidR="00435348" w:rsidRPr="00B57019" w:rsidRDefault="00435348" w:rsidP="00570899">
            <w:pPr>
              <w:ind w:firstLine="432"/>
              <w:jc w:val="both"/>
            </w:pPr>
          </w:p>
          <w:p w14:paraId="154B8C9C" w14:textId="77777777" w:rsidR="00435348" w:rsidRPr="00B57019" w:rsidRDefault="00435348" w:rsidP="00435348">
            <w:r w:rsidRPr="00B57019">
              <w:t>Informatīvais ziņojums papildināts ar 6. pielikumu.</w:t>
            </w:r>
          </w:p>
          <w:p w14:paraId="6CF628F8" w14:textId="77777777" w:rsidR="00435348" w:rsidRPr="00B57019" w:rsidRDefault="00435348" w:rsidP="00570899">
            <w:pPr>
              <w:ind w:firstLine="432"/>
              <w:jc w:val="both"/>
            </w:pPr>
          </w:p>
        </w:tc>
        <w:bookmarkStart w:id="0" w:name="_GoBack"/>
        <w:bookmarkEnd w:id="0"/>
      </w:tr>
      <w:tr w:rsidR="00B57019" w:rsidRPr="00B57019" w14:paraId="35F834F3" w14:textId="77777777" w:rsidTr="6EC0B0DB">
        <w:tc>
          <w:tcPr>
            <w:tcW w:w="14567" w:type="dxa"/>
            <w:gridSpan w:val="6"/>
            <w:tcBorders>
              <w:top w:val="single" w:sz="6" w:space="0" w:color="000000" w:themeColor="text1"/>
              <w:left w:val="single" w:sz="6" w:space="0" w:color="000000" w:themeColor="text1"/>
              <w:bottom w:val="single" w:sz="6" w:space="0" w:color="000000" w:themeColor="text1"/>
            </w:tcBorders>
            <w:shd w:val="clear" w:color="auto" w:fill="auto"/>
          </w:tcPr>
          <w:p w14:paraId="0FEA98E5" w14:textId="77777777" w:rsidR="005A1304" w:rsidRPr="00B57019" w:rsidRDefault="005A1304" w:rsidP="008A36C9">
            <w:pPr>
              <w:jc w:val="center"/>
            </w:pPr>
            <w:r w:rsidRPr="00B57019">
              <w:rPr>
                <w:b/>
              </w:rPr>
              <w:lastRenderedPageBreak/>
              <w:t>Ārlietu ministrija</w:t>
            </w:r>
          </w:p>
        </w:tc>
      </w:tr>
      <w:tr w:rsidR="00B57019" w:rsidRPr="00B57019" w14:paraId="646F1376"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142B1E" w14:textId="77777777" w:rsidR="0038287F" w:rsidRPr="00B57019" w:rsidRDefault="005A1304" w:rsidP="008A36C9">
            <w:pPr>
              <w:pStyle w:val="naisc"/>
              <w:spacing w:before="0" w:after="0"/>
            </w:pPr>
            <w:r w:rsidRPr="00B57019">
              <w:t>2.</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C6D366" w14:textId="77777777" w:rsidR="0038287F" w:rsidRPr="00B57019" w:rsidRDefault="003664C8" w:rsidP="003664C8">
            <w:pPr>
              <w:pStyle w:val="naisc"/>
              <w:spacing w:before="0" w:after="0"/>
              <w:jc w:val="both"/>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A8BE0F" w14:textId="77777777" w:rsidR="000A09F6" w:rsidRPr="00B57019" w:rsidRDefault="000A09F6" w:rsidP="000A09F6">
            <w:pPr>
              <w:jc w:val="both"/>
            </w:pPr>
            <w:r w:rsidRPr="00B57019">
              <w:t xml:space="preserve">Ārlietu ministrijas ieskatā informatīvajā ziņojumā iekļauto koplietošanas platformu vai pakalpojumu izmantošana nesamazinās šo funkciju nodrošināšanai nepieciešamo resursu un darbinieku skaitu. VARAM izstrādātais protokollēmuma projekts parāda, ka pēc būtības ir pārprasta informācijas tehnoloģiju loma gan valsts pārvaldē, gan kopumā sabiedrībā. Informācijas tehnoloģiju attīstības mērķis ir ļaut padarīt vairāk. Informācijas tehnoloģiju risinājumu </w:t>
            </w:r>
            <w:r w:rsidRPr="00B57019">
              <w:lastRenderedPageBreak/>
              <w:t xml:space="preserve">pilnveidošana nodrošina sabiedrības attīstību. Ir iespējami sabiedrības transformācijas procesi un tās dalībnieku pārkārtošanās, reaģējot uz jaunajām radītajām iespējām. Tieša informācijas sistēmu izveidošanas fakta sasaiste ar atbrīvojamo darbinieku skaitu nav pamatojama un neveicina ne sabiedrības, ne digitalizācijas attīstību. </w:t>
            </w:r>
          </w:p>
          <w:p w14:paraId="588FFC4C" w14:textId="77777777" w:rsidR="000A09F6" w:rsidRPr="00B57019" w:rsidRDefault="000A09F6" w:rsidP="000A09F6">
            <w:pPr>
              <w:jc w:val="both"/>
              <w:rPr>
                <w:b/>
              </w:rPr>
            </w:pPr>
            <w:r w:rsidRPr="00B57019">
              <w:t>VARAM radītās informācijas sistēmas veicina sabiedrības attīstību kopumā, kas, savukārt veicina valsts izaugsmi, tādējādi šādu sistēmu uzturēšana ir jāfinansē no valsts ekonomiskās izaugsmes ikgadējā pieauguma.</w:t>
            </w:r>
          </w:p>
          <w:p w14:paraId="26CEC7F4" w14:textId="77777777" w:rsidR="000A09F6" w:rsidRPr="00B57019" w:rsidRDefault="000A09F6" w:rsidP="000A09F6">
            <w:pPr>
              <w:jc w:val="both"/>
            </w:pPr>
            <w:r w:rsidRPr="00B57019">
              <w:t xml:space="preserve">Informācijas sistēmu skaita pieaugums valsts pārvaldē ir apsveicams, tomēr progress palielina informācijas sistēmu sarežģītību un tām nepieciešamo uzturētāju skaitu un kompetenci Ārlietu ministrijā, sevišķi, ņemot vērā Ārlietu ministrijas informācijas sistēmu specifiku tieši vērstu </w:t>
            </w:r>
            <w:r w:rsidRPr="00B57019">
              <w:lastRenderedPageBreak/>
              <w:t>kiberdraudu apstākļos. Informācijas sistēmu attīstība rada nepieciešamību informācijas tehnoloģiju kompetences īpatsvara palielinājumam valsts pārvaldē.</w:t>
            </w:r>
          </w:p>
          <w:p w14:paraId="65D99509" w14:textId="77777777" w:rsidR="000A09F6" w:rsidRPr="00B57019" w:rsidRDefault="000A09F6" w:rsidP="000A09F6">
            <w:pPr>
              <w:jc w:val="both"/>
            </w:pPr>
            <w:r w:rsidRPr="00B57019">
              <w:t xml:space="preserve">Ārlietu ministrijas valsts iepirkumu specifika ir iegādes diplomātiskajās un konsulārajās pārstāvniecībās ārvalstīs, kā arī sensitīvu un valsts noslēpumu saturošu iepirkumu veikšana. Visos šajos gadījumos Elektronisko iepirkumu sistēma (turpmāk – EIS) sistēma nav piemērojama, tāpēc būtisks slodzes samazinājums no EIS ieviešanas Ārlietu ministrijas gadījumā nav jūtams. To preču iegādei nepieciešamais laiks, kuras iekļautas EIS e-pasūtījumu apakšsistēmā (e-katalogi), vairs netiek rēķināts iepirkumu speciālistu slodzēs. </w:t>
            </w:r>
          </w:p>
          <w:p w14:paraId="6737595A" w14:textId="77777777" w:rsidR="000A09F6" w:rsidRPr="00B57019" w:rsidRDefault="000A09F6" w:rsidP="000A09F6">
            <w:pPr>
              <w:jc w:val="both"/>
            </w:pPr>
            <w:r w:rsidRPr="00B57019">
              <w:t xml:space="preserve">Savukārt, iestādei nepieciešamo preču un pakalpojumu iegādei nepieciešamais laiks ir palielinājies, jo EIS e-konkursu sistēma būtisku sloga samazinājumu </w:t>
            </w:r>
            <w:r w:rsidRPr="00B57019">
              <w:lastRenderedPageBreak/>
              <w:t xml:space="preserve">pasūtītājam nedod. Bez iepirkuma procesa neatņemamajiem posmiem – iepirkuma procedūras, t.sk. “mazā” iepirkuma nolikuma, tehniskās specifikācijas izstrādes, sarakstes ar pretendentiem, iepirkuma komisijas locekļu dalības, individuāli veikto katra iepirkuma komisijas locekļu piedāvājumu vērtēšanas, izziņu pieprasīšanas (it īpašu ārvalstu pretendentiem), iepirkuma speciālistam ir nepieciešams apgūt arī pašas sistēmas funkcionalitāti, kas ir mainīga, izprast publiskā iepirkuma terminoloģijas atšķirīgo lietošanu sistēmā un normatīvajos aktos, apmācīt mainīgos iepirkumu komisijas locekļus darbam ar sistēmu. </w:t>
            </w:r>
          </w:p>
          <w:p w14:paraId="516BBECA" w14:textId="77777777" w:rsidR="000A09F6" w:rsidRPr="00B57019" w:rsidRDefault="000A09F6" w:rsidP="000A09F6">
            <w:pPr>
              <w:jc w:val="both"/>
            </w:pPr>
            <w:r w:rsidRPr="00B57019">
              <w:t xml:space="preserve">EIS e-konkursu apakšsistēmas  funkcionalitāte ierobežo pasūtītāja iespējas praktiskajā procedūru īstenošanā, piemēram, ja iepirkumam ir vairākas daļas, tās visas jāvērtē kopā, lai tiktu uz nākamo posmu (nevar vienā daļā ātrāk pieņemt lēmumu). Šādiem gadījumiem </w:t>
            </w:r>
            <w:r w:rsidRPr="00B57019">
              <w:lastRenderedPageBreak/>
              <w:t xml:space="preserve">ir izstrādāti </w:t>
            </w:r>
            <w:r w:rsidRPr="00B57019">
              <w:rPr>
                <w:bCs/>
              </w:rPr>
              <w:t>Valsts reģionālās attīstības aģentūras</w:t>
            </w:r>
            <w:r w:rsidRPr="00B57019">
              <w:t xml:space="preserve"> ieteikumi (piemēram, katra daļa jāizsludina kā atsevišķa procedūra), kas viennozīmīgi palielina pasūtītāja administratīvo slodzi. No tā var secināt, ka sistēma izvirza savus noteikumus, kas atšķiras no vispārpieņemtās prakses iepirkuma procedūru veikšanā.</w:t>
            </w:r>
          </w:p>
          <w:p w14:paraId="2D833735" w14:textId="77777777" w:rsidR="000A09F6" w:rsidRPr="00B57019" w:rsidRDefault="000A09F6" w:rsidP="000A09F6">
            <w:pPr>
              <w:jc w:val="both"/>
            </w:pPr>
            <w:r w:rsidRPr="00B57019">
              <w:t xml:space="preserve">Ārlietu ministrija pirmā piedalījās pilotprojektā par Dokumentu integrācijas vides izveidi, tādējādi nodrošinot elektronisku apriti starp dokumentu vadības informācijas sistēmām. Ieviešot šo informācijas sistēmu, jau tika veikti visi darbinieku funkciju optimizācijas pasākumi. Jaunā e-adreses sistēma pēc būtības neko nav izmainījusi jau izveidotajā Ārlietu ministrijas dokumentu apstrādes procesā, tikai prasījusi papildus darbu un līdzekļus jauna moduļa radīšanā jaunajai e-adreses sistēmai un jaunu nosaukumu. Masveida papīra formāta vēstules Ārlietu ministrija </w:t>
            </w:r>
            <w:r w:rsidRPr="00B57019">
              <w:lastRenderedPageBreak/>
              <w:t>iedzīvotājiem kampaņveidīgi nav sūtījusi.</w:t>
            </w:r>
          </w:p>
          <w:p w14:paraId="1DE9AE58" w14:textId="77777777" w:rsidR="000A09F6" w:rsidRPr="00B57019" w:rsidRDefault="000A09F6" w:rsidP="000A09F6">
            <w:pPr>
              <w:jc w:val="both"/>
            </w:pPr>
            <w:r w:rsidRPr="00B57019">
              <w:t>Skatoties no dokumentācijas pārvaldības darbinieku pozīcijām e-adreses lietošana darbu neatvieglo un nepaātrina. Dokumenti tāpat kā līdz šim manuāli jāreģistrē, jāievieto sistēmā un jāievada metadati, kā arī jāpārliecinās sistēmā, vai dokuments ir sasniedzis adresātu. Sūtot dokumentus e-adresē obligātais nosacījums ir, ka dokumentam jābūt ar e-parakstu. Ņemot vērā e-parakstītāja neērto funkcionalitāti, tas nepalielina informācijas nosūtīšanas ātrumu. Lai izveidotā e-paraksta vide sasniegtu tai izvirzīto mērķi, ir nopietni jāstrādā pie tās funkcionalitātes uzlabošanas.</w:t>
            </w:r>
          </w:p>
          <w:p w14:paraId="28D22163" w14:textId="77777777" w:rsidR="000A09F6" w:rsidRPr="00B57019" w:rsidRDefault="000A09F6" w:rsidP="000A09F6">
            <w:pPr>
              <w:jc w:val="both"/>
            </w:pPr>
            <w:r w:rsidRPr="00B57019">
              <w:t xml:space="preserve">Tādējādi protokollēmumā minētās sistēmas nav ietekmējušas veicamo funkciju apjomu Ārlietu ministrijā, nav devušas līdzekļu ietaupījumu, un nav iespējams šo funkciju veicēju skaita samazinājums vai ikgadējas dotācijas šo sistēmu </w:t>
            </w:r>
            <w:r w:rsidRPr="00B57019">
              <w:lastRenderedPageBreak/>
              <w:t>uzturēšanai no Ārlietu ministrijas budžeta.</w:t>
            </w:r>
          </w:p>
          <w:p w14:paraId="2057AE61" w14:textId="77777777" w:rsidR="000A09F6" w:rsidRPr="00B57019" w:rsidRDefault="000A09F6" w:rsidP="000A09F6">
            <w:pPr>
              <w:jc w:val="both"/>
            </w:pPr>
            <w:r w:rsidRPr="00B57019">
              <w:t xml:space="preserve">Jaunu informācijas sistēmu veidošana  automātiski nenozīmē fizisku cilvēku resursu samazināšanu, jo sistēma neietver sevī dokumentu pārvaldības procesu robotizēšanu. Visus dokumentu pārvaldības procesus nodrošina konkrēts darbinieks. Atšķiras tikai sistēmu uzbūve un kvalitāte. Diemžēl, kā rāda pēdējo gadu pieredze, piemēram, VARAM veidotā Eiropas Savienības vienotā informācijas sistēma dienesta vajadzībām dokumentu apritei (ESVIS R) ir radījusi papildus noslodzi, jo sistēmas izstrādātāji nav pilnībā apzinājuši sistēmas mērķauditorijas vajadzības, netika veikta kvalitatīva esošās sākotnējā normatīvās bāzes analīze un netika precīzi definēta nepieciešamo normatīvu izstrāde. Normatīvi tika izstrādāti pēc sistēmas izveidošanas un, dienesta vajadzībām informācijas regulējums joprojām ir izstrādes procesā. Ārlietu </w:t>
            </w:r>
            <w:r w:rsidRPr="00B57019">
              <w:lastRenderedPageBreak/>
              <w:t xml:space="preserve">ministrija kā Eiropas Savienības jautājumu koordinators pielika īpašas pūles, lai nodrošinātu ESVIS R sistēmā principa “vajadzība zināt” ievērošanu, ministriju lietvedības darbinieku apmācību sadarbībā ar VARAM. Pateicoties tam Eiropas Savienības Padomes </w:t>
            </w:r>
            <w:r w:rsidRPr="00B57019">
              <w:rPr>
                <w:i/>
              </w:rPr>
              <w:t>dienesta vajadzībām/restricted</w:t>
            </w:r>
            <w:r w:rsidRPr="00B57019">
              <w:t xml:space="preserve"> informācijas uzskaite un izplatīšana ESVIS R  sistēmā lietvedību līmenī tiek nodrošināta, bet ministrijas iekšēji nav atradušas resursus tālākai sistēmas attīstībai no IT infrastruktūras, drošības un aizsardzības viedokļa. Tas joprojām bremzē ātru šādas informācijas izplatīšanu ministriju iekšienē. ESVIS R sistēmai ir bieži darbības traucējumi, tādēļ Ārlietu ministrijai bieži ir jāizmanto alternatīvi sakaru līdzekļi – NST, CHIASMUS vai papīrs.  </w:t>
            </w:r>
          </w:p>
          <w:p w14:paraId="5EC989CA" w14:textId="77777777" w:rsidR="000A09F6" w:rsidRPr="00B57019" w:rsidRDefault="000A09F6" w:rsidP="000A09F6">
            <w:pPr>
              <w:jc w:val="both"/>
            </w:pPr>
            <w:r w:rsidRPr="00B57019">
              <w:t xml:space="preserve">Informāciju sistēmu izstrādātāji veido sistēmas atrauti no produkta lietotāju vajadzībām un nepieciešamības, radītās vides </w:t>
            </w:r>
            <w:r w:rsidRPr="00B57019">
              <w:lastRenderedPageBreak/>
              <w:t xml:space="preserve">nav draudzīgas nedz dokumentu pārvaldības procesu organizētājiem nedz arī informācijas  lietotājiem. </w:t>
            </w:r>
          </w:p>
          <w:p w14:paraId="74B80051" w14:textId="77777777" w:rsidR="000A09F6" w:rsidRPr="00B57019" w:rsidRDefault="000A09F6" w:rsidP="000A09F6">
            <w:pPr>
              <w:jc w:val="both"/>
            </w:pPr>
            <w:r w:rsidRPr="00B57019">
              <w:t xml:space="preserve">Valsts kanceleja strādā pie tiesību aktu projektu izstrādes sistēmas TAP veidošanas, ko bija paredzēts ieviests 2019/2020, bet pagaidām nav nekādas informācijas par veidotās sistēmas infrastruktūru un procesiem, informācijas aizsardzības drošības prasībām. Pastāv pamatotas bažas par sistēmas sasaisti ar Ārlietu ministrijas Kopējo informācijas sistēmu (KĀMIS) sistēmu un informācijas apstrādes procesu laikietilpību. Valsts kancelejas pašreizējā sistēmā DAUKS, kura ir pieejama visām ministrijām, ir ne tikai tiesību aktu projekti, bet arī sarakstes dokumenti un cita informācija. Ieviešot TAP, šo sistēmu paredzēts likvidēt. </w:t>
            </w:r>
          </w:p>
          <w:p w14:paraId="51F11FE2" w14:textId="77777777" w:rsidR="000A09F6" w:rsidRPr="00B57019" w:rsidRDefault="000A09F6" w:rsidP="000A09F6">
            <w:pPr>
              <w:jc w:val="both"/>
            </w:pPr>
            <w:r w:rsidRPr="00B57019">
              <w:t xml:space="preserve">Ir jāapzinās, ka ārlietu dienesta informācija ir ekskluzīva informācija, to nav iespējams pakļaut jebkādai unificēšanai, jo tās galvenā sastāvdaļa ir diplomātiskā </w:t>
            </w:r>
            <w:r w:rsidRPr="00B57019">
              <w:lastRenderedPageBreak/>
              <w:t>sarakste, kas saturiski nav standartizējama. Ārlietu dienesta struktūrām, strādājot ar diplomātiskās sarakstes dokumentiem un realizējot to pārvaldību pilnībā, jānodrošina  divpusējās un daudzpusējās sadarbības partneru interešu aizsardzība.</w:t>
            </w:r>
          </w:p>
          <w:p w14:paraId="2A60EFB4" w14:textId="77777777" w:rsidR="0038287F" w:rsidRPr="00B57019" w:rsidRDefault="000A09F6" w:rsidP="000A09F6">
            <w:pPr>
              <w:pStyle w:val="naisc"/>
              <w:spacing w:before="0" w:after="0"/>
              <w:ind w:firstLine="720"/>
              <w:jc w:val="both"/>
            </w:pPr>
            <w:r w:rsidRPr="00B57019">
              <w:t>Vienlaikus vēršu uzmanību, ka Ārlietu ministrija pastāvīgi rūpējas par savas darba efektivitātes paaugstināšanu, kā arī tiek meklētas iespējas ietaupīt nodokļu maksātāju līdzekļus. Ministrija jau šobrīd ir centralizējusi visu atbalstu funkciju veikšanu, tās nodrošinot visām 47 Latvijas diplomātiskajām pārstāvniecībām ārvalstīs. Procesu un funkciju centralizācija ir jāizvērtē</w:t>
            </w:r>
            <w:r w:rsidR="003664C8" w:rsidRPr="00B57019">
              <w:t>,</w:t>
            </w:r>
            <w:r w:rsidRPr="00B57019">
              <w:t xml:space="preserve"> par pamatu ņemot diplomātiskā dienesta specifiskās vajadzības un Ministru kabineta 2004. gada 6. janvāra noteikumus Nr. 21 “Valsts noslēpuma, Ziemeļatlantijas līguma organizācijas, Eiropas Savienības un ārvalstu institūciju klasificētās </w:t>
            </w:r>
            <w:r w:rsidRPr="00B57019">
              <w:lastRenderedPageBreak/>
              <w:t>informācijas aizsardzības noteikumi”.</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D8949F" w14:textId="77777777" w:rsidR="000A09F6" w:rsidRPr="00B57019" w:rsidRDefault="000A09F6" w:rsidP="000A09F6">
            <w:pPr>
              <w:pStyle w:val="ListParagraph"/>
              <w:spacing w:after="0" w:line="240" w:lineRule="auto"/>
              <w:ind w:left="0"/>
              <w:jc w:val="both"/>
              <w:rPr>
                <w:rFonts w:ascii="Times New Roman" w:hAnsi="Times New Roman"/>
                <w:b/>
                <w:sz w:val="24"/>
                <w:szCs w:val="24"/>
                <w:lang w:val="lv-LV"/>
              </w:rPr>
            </w:pPr>
            <w:r w:rsidRPr="00B57019">
              <w:rPr>
                <w:rFonts w:ascii="Times New Roman" w:hAnsi="Times New Roman"/>
                <w:b/>
                <w:sz w:val="24"/>
                <w:szCs w:val="24"/>
                <w:lang w:val="lv-LV"/>
              </w:rPr>
              <w:lastRenderedPageBreak/>
              <w:t>Iebildums nav ņemts vērā.</w:t>
            </w:r>
          </w:p>
          <w:p w14:paraId="06CA7580" w14:textId="77777777" w:rsidR="000A09F6" w:rsidRPr="00B57019" w:rsidRDefault="000A09F6" w:rsidP="000A09F6">
            <w:pPr>
              <w:pStyle w:val="ListParagraph"/>
              <w:spacing w:after="0" w:line="240" w:lineRule="auto"/>
              <w:ind w:left="0"/>
              <w:jc w:val="both"/>
              <w:rPr>
                <w:rFonts w:ascii="Times New Roman" w:hAnsi="Times New Roman"/>
                <w:sz w:val="24"/>
                <w:szCs w:val="24"/>
                <w:lang w:val="lv-LV"/>
              </w:rPr>
            </w:pPr>
            <w:r w:rsidRPr="00B57019">
              <w:rPr>
                <w:rFonts w:ascii="Times New Roman" w:hAnsi="Times New Roman"/>
                <w:sz w:val="24"/>
                <w:szCs w:val="24"/>
                <w:lang w:val="lv-LV"/>
              </w:rPr>
              <w:t>Informācijas tehnoloģiju loma publiskajā sektorā primāri nav izdarīt vairāk, bet izdarīt normatīvajos aktos noteikto efektīvāk</w:t>
            </w:r>
            <w:r w:rsidR="007449F9" w:rsidRPr="00B57019">
              <w:rPr>
                <w:rFonts w:ascii="Times New Roman" w:hAnsi="Times New Roman"/>
                <w:sz w:val="24"/>
                <w:szCs w:val="24"/>
                <w:lang w:val="lv-LV"/>
              </w:rPr>
              <w:t>. I</w:t>
            </w:r>
            <w:r w:rsidRPr="00B57019">
              <w:rPr>
                <w:rFonts w:ascii="Times New Roman" w:hAnsi="Times New Roman"/>
                <w:sz w:val="24"/>
                <w:szCs w:val="24"/>
                <w:lang w:val="lv-LV"/>
              </w:rPr>
              <w:t>nformatīvajā ziņojumā minētās sistēmas to nodrošina.</w:t>
            </w:r>
          </w:p>
          <w:p w14:paraId="200A6BE5" w14:textId="77777777" w:rsidR="000A09F6" w:rsidRPr="00B57019" w:rsidRDefault="000A09F6" w:rsidP="000A09F6">
            <w:pPr>
              <w:pStyle w:val="ListParagraph"/>
              <w:spacing w:after="0" w:line="240" w:lineRule="auto"/>
              <w:ind w:left="0"/>
              <w:jc w:val="both"/>
              <w:rPr>
                <w:rFonts w:ascii="Times New Roman" w:hAnsi="Times New Roman"/>
                <w:sz w:val="24"/>
                <w:szCs w:val="24"/>
                <w:lang w:val="lv-LV"/>
              </w:rPr>
            </w:pPr>
            <w:r w:rsidRPr="00B57019">
              <w:rPr>
                <w:rFonts w:ascii="Times New Roman" w:hAnsi="Times New Roman"/>
                <w:sz w:val="24"/>
                <w:szCs w:val="24"/>
                <w:lang w:val="lv-LV"/>
              </w:rPr>
              <w:t xml:space="preserve">Vēršam uzmanību, ka informatīvajā ziņojumā definētais ietaupījums rodas nevis attiecībā uz IT personālu, bet gan attiecībā uz atbalsta funkciju nodrošināšanu saistīto personālu (lietvežu, </w:t>
            </w:r>
            <w:r w:rsidRPr="00B57019">
              <w:rPr>
                <w:rFonts w:ascii="Times New Roman" w:hAnsi="Times New Roman"/>
                <w:sz w:val="24"/>
                <w:szCs w:val="24"/>
                <w:lang w:val="lv-LV"/>
              </w:rPr>
              <w:lastRenderedPageBreak/>
              <w:t>iepirkuma speciālistu, juristu u.tml.).</w:t>
            </w:r>
          </w:p>
          <w:p w14:paraId="4AD9F31A" w14:textId="77777777" w:rsidR="000A09F6" w:rsidRPr="00B57019" w:rsidRDefault="000A09F6" w:rsidP="000A09F6">
            <w:pPr>
              <w:pStyle w:val="ListParagraph"/>
              <w:spacing w:after="0" w:line="240" w:lineRule="auto"/>
              <w:ind w:left="0"/>
              <w:jc w:val="both"/>
              <w:rPr>
                <w:rFonts w:ascii="Times New Roman" w:hAnsi="Times New Roman"/>
                <w:sz w:val="24"/>
                <w:szCs w:val="24"/>
                <w:lang w:val="lv-LV"/>
              </w:rPr>
            </w:pPr>
            <w:r w:rsidRPr="00B57019">
              <w:rPr>
                <w:rFonts w:ascii="Times New Roman" w:hAnsi="Times New Roman"/>
                <w:sz w:val="24"/>
                <w:szCs w:val="24"/>
                <w:lang w:val="lv-LV"/>
              </w:rPr>
              <w:t>Fakts, ka to preču iegādei nepieciešamais laiks, kuras iekļautas EIS e-pasūtījumu apakšsistēmā (e-katalogi), vairs netiek rēķināts iepirkumu speciālistu slodzēs, liecina par to, ka šāds ietaupījums ir. Var piekrist, ka šo pārdali būtu jāveic līdz ar ietaupījuma iespēju rašan</w:t>
            </w:r>
            <w:r w:rsidR="007449F9" w:rsidRPr="00B57019">
              <w:rPr>
                <w:rFonts w:ascii="Times New Roman" w:hAnsi="Times New Roman"/>
                <w:sz w:val="24"/>
                <w:szCs w:val="24"/>
                <w:lang w:val="lv-LV"/>
              </w:rPr>
              <w:t>os, tomēr ņemot vērā, ka līdz ši</w:t>
            </w:r>
            <w:r w:rsidRPr="00B57019">
              <w:rPr>
                <w:rFonts w:ascii="Times New Roman" w:hAnsi="Times New Roman"/>
                <w:sz w:val="24"/>
                <w:szCs w:val="24"/>
                <w:lang w:val="lv-LV"/>
              </w:rPr>
              <w:t>m situācija nebija ļoti kritiska un bija iespējams uzturēt visas koplietošanas sistēmas uz VARAM iekšējo resursu rēķina, tomēr tuvākajā nākotnē to vairs nebūs iespējams nodrošināt.</w:t>
            </w:r>
            <w:r w:rsidRPr="00B57019">
              <w:rPr>
                <w:rFonts w:ascii="Times New Roman" w:hAnsi="Times New Roman"/>
                <w:sz w:val="24"/>
                <w:szCs w:val="24"/>
              </w:rPr>
              <w:t xml:space="preserve">   </w:t>
            </w:r>
          </w:p>
          <w:p w14:paraId="26500E27" w14:textId="77777777" w:rsidR="000A09F6" w:rsidRPr="00B57019" w:rsidRDefault="000A09F6" w:rsidP="000A09F6">
            <w:pPr>
              <w:pStyle w:val="ListParagraph"/>
              <w:spacing w:after="0" w:line="240" w:lineRule="auto"/>
              <w:ind w:left="0"/>
              <w:jc w:val="both"/>
              <w:rPr>
                <w:rFonts w:ascii="Times New Roman" w:hAnsi="Times New Roman"/>
                <w:sz w:val="24"/>
                <w:szCs w:val="24"/>
                <w:lang w:val="lv-LV"/>
              </w:rPr>
            </w:pPr>
          </w:p>
          <w:p w14:paraId="683BC29C" w14:textId="77777777" w:rsidR="000A09F6" w:rsidRPr="00B57019" w:rsidRDefault="000A09F6" w:rsidP="000A09F6">
            <w:pPr>
              <w:jc w:val="both"/>
            </w:pPr>
            <w:r w:rsidRPr="00B57019">
              <w:t>Jāņem vērā, ka Ārlietu ministrija 2018. gadā izmantojusi EIS e-pasūtījumu sistēmu 351 reizi par kopējo summu 820 140 EUR ar PVN .</w:t>
            </w:r>
          </w:p>
          <w:p w14:paraId="57A5CFB5" w14:textId="77777777" w:rsidR="000A09F6" w:rsidRPr="00B57019" w:rsidRDefault="000A09F6" w:rsidP="000A09F6">
            <w:pPr>
              <w:pStyle w:val="ListParagraph"/>
              <w:spacing w:after="0" w:line="240" w:lineRule="auto"/>
              <w:ind w:left="0"/>
              <w:jc w:val="both"/>
              <w:rPr>
                <w:rFonts w:ascii="Times New Roman" w:hAnsi="Times New Roman"/>
                <w:sz w:val="24"/>
                <w:szCs w:val="24"/>
                <w:highlight w:val="yellow"/>
              </w:rPr>
            </w:pPr>
          </w:p>
          <w:p w14:paraId="0F1E4852" w14:textId="77777777" w:rsidR="000A09F6" w:rsidRPr="00B57019" w:rsidRDefault="000A09F6" w:rsidP="000A09F6">
            <w:pPr>
              <w:pStyle w:val="ListParagraph"/>
              <w:spacing w:after="0" w:line="240" w:lineRule="auto"/>
              <w:ind w:left="0"/>
              <w:jc w:val="both"/>
              <w:rPr>
                <w:rFonts w:ascii="Times New Roman" w:hAnsi="Times New Roman"/>
                <w:sz w:val="24"/>
                <w:szCs w:val="24"/>
                <w:lang w:val="lv-LV"/>
              </w:rPr>
            </w:pPr>
            <w:r w:rsidRPr="00B57019">
              <w:rPr>
                <w:rFonts w:ascii="Times New Roman" w:hAnsi="Times New Roman"/>
                <w:sz w:val="24"/>
                <w:szCs w:val="24"/>
                <w:lang w:val="lv-LV"/>
              </w:rPr>
              <w:t xml:space="preserve">Paskaidrojam, ka EIS e-konkursu apakšsistēma ir izveidota ar mērķi izpildīt ES direktīvu prasības, kam </w:t>
            </w:r>
            <w:r w:rsidRPr="00B57019">
              <w:rPr>
                <w:rFonts w:ascii="Times New Roman" w:hAnsi="Times New Roman"/>
                <w:sz w:val="24"/>
                <w:szCs w:val="24"/>
                <w:lang w:val="lv-LV"/>
              </w:rPr>
              <w:lastRenderedPageBreak/>
              <w:t xml:space="preserve">finansējums pašlaik netiek prasīts, bet gan EIS e-pasūtījumu sistēmai, kurā preču un pakalpojumu pasūtīšanas process ir ievērojami vienkāršāks, tādējādi nodrošinot visu iebildumos uzskaitīto izdevumu ietaupījumu. Savukārt attiecībā uz daļu vērtēšanu paskaidrojam, ka iepriekšminētais ierobežojums par daļu vērtēšanu ir attiecināms tikai uz vairāku posmu procedūrām (piemēram sarunu procedūras), tātad nekādā veidā neskar plaši izmantotus iepirkumus - atklātus konkursus. </w:t>
            </w:r>
          </w:p>
          <w:p w14:paraId="17C9250B" w14:textId="77777777" w:rsidR="000A09F6" w:rsidRPr="00B57019" w:rsidRDefault="000A09F6" w:rsidP="000A09F6">
            <w:pPr>
              <w:pStyle w:val="ListParagraph"/>
              <w:spacing w:after="0" w:line="240" w:lineRule="auto"/>
              <w:ind w:left="0"/>
              <w:jc w:val="both"/>
              <w:rPr>
                <w:rFonts w:ascii="Times New Roman" w:hAnsi="Times New Roman"/>
                <w:sz w:val="24"/>
                <w:szCs w:val="24"/>
                <w:lang w:val="lv-LV"/>
              </w:rPr>
            </w:pPr>
          </w:p>
          <w:p w14:paraId="1A9ED3C4" w14:textId="77777777" w:rsidR="000A09F6" w:rsidRPr="00B57019" w:rsidRDefault="000A09F6" w:rsidP="000A09F6">
            <w:pPr>
              <w:pStyle w:val="ListParagraph"/>
              <w:spacing w:after="0" w:line="240" w:lineRule="auto"/>
              <w:ind w:left="0"/>
              <w:jc w:val="both"/>
              <w:rPr>
                <w:rFonts w:ascii="Times New Roman" w:hAnsi="Times New Roman"/>
                <w:sz w:val="24"/>
                <w:szCs w:val="24"/>
                <w:lang w:val="lv-LV"/>
              </w:rPr>
            </w:pPr>
          </w:p>
          <w:p w14:paraId="5A2EC597" w14:textId="77777777" w:rsidR="000A09F6" w:rsidRPr="00B57019" w:rsidRDefault="000A09F6" w:rsidP="000A09F6">
            <w:pPr>
              <w:pStyle w:val="ListParagraph"/>
              <w:spacing w:after="0" w:line="240" w:lineRule="auto"/>
              <w:ind w:left="0"/>
              <w:jc w:val="both"/>
              <w:rPr>
                <w:rFonts w:ascii="Times New Roman" w:hAnsi="Times New Roman"/>
                <w:sz w:val="24"/>
                <w:szCs w:val="24"/>
                <w:lang w:val="lv-LV"/>
              </w:rPr>
            </w:pPr>
            <w:r w:rsidRPr="00B57019">
              <w:rPr>
                <w:rFonts w:ascii="Times New Roman" w:hAnsi="Times New Roman"/>
                <w:sz w:val="24"/>
                <w:szCs w:val="24"/>
                <w:lang w:val="lv-LV"/>
              </w:rPr>
              <w:t xml:space="preserve">Dokumentu un metadatu reģistrācija tiek veikta nevis e-adresē, bet gan sistēmās, kas pie e-adreses ir integrētas. </w:t>
            </w:r>
            <w:r w:rsidR="00B53C5C" w:rsidRPr="00B57019">
              <w:rPr>
                <w:rFonts w:ascii="Times New Roman" w:hAnsi="Times New Roman"/>
                <w:sz w:val="24"/>
                <w:szCs w:val="24"/>
                <w:lang w:val="lv-LV"/>
              </w:rPr>
              <w:t>Saskaņā ar</w:t>
            </w:r>
            <w:r w:rsidRPr="00B57019">
              <w:rPr>
                <w:rFonts w:ascii="Times New Roman" w:hAnsi="Times New Roman"/>
                <w:sz w:val="24"/>
                <w:szCs w:val="24"/>
                <w:lang w:val="lv-LV"/>
              </w:rPr>
              <w:t xml:space="preserve"> ĀM skaidrojumu, redzams, ka </w:t>
            </w:r>
            <w:r w:rsidR="007472D3" w:rsidRPr="00B57019">
              <w:rPr>
                <w:rFonts w:ascii="Times New Roman" w:hAnsi="Times New Roman"/>
                <w:sz w:val="24"/>
                <w:szCs w:val="24"/>
                <w:lang w:val="lv-LV"/>
              </w:rPr>
              <w:t>iebildumi</w:t>
            </w:r>
            <w:r w:rsidRPr="00B57019">
              <w:rPr>
                <w:rFonts w:ascii="Times New Roman" w:hAnsi="Times New Roman"/>
                <w:sz w:val="24"/>
                <w:szCs w:val="24"/>
                <w:lang w:val="lv-LV"/>
              </w:rPr>
              <w:t xml:space="preserve"> ir nevis e-adresei, bet gan ĀM izmantotajai dokumentu vadības sistēmai, kura ir pieintegrēta pie e-adreses. Ņemot šo vērā, tiek </w:t>
            </w:r>
            <w:r w:rsidRPr="00B57019">
              <w:rPr>
                <w:rFonts w:ascii="Times New Roman" w:hAnsi="Times New Roman"/>
                <w:sz w:val="24"/>
                <w:szCs w:val="24"/>
                <w:lang w:val="lv-LV"/>
              </w:rPr>
              <w:lastRenderedPageBreak/>
              <w:t>secināts, ka ĀM nav sniegusi argumentāciju tam, ka e-adrese nav radījusi ĀM darbinieku resursu ietaupījumu.</w:t>
            </w:r>
          </w:p>
          <w:p w14:paraId="4F5F2552" w14:textId="77777777" w:rsidR="000A09F6" w:rsidRPr="00B57019" w:rsidRDefault="000A09F6" w:rsidP="000A09F6">
            <w:pPr>
              <w:pStyle w:val="ListParagraph"/>
              <w:spacing w:after="0" w:line="240" w:lineRule="auto"/>
              <w:ind w:left="0"/>
              <w:jc w:val="both"/>
              <w:rPr>
                <w:rFonts w:ascii="Times New Roman" w:hAnsi="Times New Roman"/>
                <w:sz w:val="24"/>
                <w:szCs w:val="24"/>
                <w:lang w:val="lv-LV"/>
              </w:rPr>
            </w:pPr>
          </w:p>
          <w:p w14:paraId="1027911C" w14:textId="77777777" w:rsidR="000A09F6" w:rsidRPr="00B57019" w:rsidRDefault="000A09F6" w:rsidP="000A09F6">
            <w:pPr>
              <w:pStyle w:val="ListParagraph"/>
              <w:spacing w:after="0" w:line="240" w:lineRule="auto"/>
              <w:ind w:left="0"/>
              <w:jc w:val="both"/>
              <w:rPr>
                <w:rFonts w:ascii="Times New Roman" w:hAnsi="Times New Roman"/>
                <w:sz w:val="24"/>
                <w:szCs w:val="24"/>
                <w:lang w:val="lv-LV"/>
              </w:rPr>
            </w:pPr>
          </w:p>
          <w:p w14:paraId="58F69C3D" w14:textId="77777777" w:rsidR="000A09F6" w:rsidRPr="00B57019" w:rsidRDefault="000A09F6" w:rsidP="000A09F6">
            <w:pPr>
              <w:pStyle w:val="ListParagraph"/>
              <w:spacing w:after="0" w:line="240" w:lineRule="auto"/>
              <w:ind w:left="0"/>
              <w:jc w:val="both"/>
              <w:rPr>
                <w:rFonts w:ascii="Times New Roman" w:hAnsi="Times New Roman"/>
                <w:sz w:val="24"/>
                <w:szCs w:val="24"/>
                <w:lang w:val="lv-LV"/>
              </w:rPr>
            </w:pPr>
          </w:p>
          <w:p w14:paraId="07D4AB6D" w14:textId="77777777" w:rsidR="000A09F6" w:rsidRPr="00B57019" w:rsidRDefault="000A09F6" w:rsidP="000A09F6">
            <w:pPr>
              <w:jc w:val="both"/>
            </w:pPr>
            <w:r w:rsidRPr="00B57019">
              <w:t>VRAA informē, ka ESVIS izstrādātāji sistēmas mērķauditorijas vajadzības apzina tikai pēc noteiktām procesuālām darbībām, jo ESVIS attīstība tiek nodrošināta</w:t>
            </w:r>
            <w:r w:rsidR="007449F9" w:rsidRPr="00B57019">
              <w:t>,</w:t>
            </w:r>
            <w:r w:rsidRPr="00B57019">
              <w:t xml:space="preserve"> pamatojoties uz izmaiņu pieprasījumos specificētajām lietotāju prasībām, kuras tiek identificētas neformālās darba grupu sanāksmēs no iestāžu lietotāju/pārstāvju pieteikumiem, kuri funkcionālos un procesuālos pilnveidojumus piesaka</w:t>
            </w:r>
            <w:r w:rsidR="00414176" w:rsidRPr="00B57019">
              <w:t>,</w:t>
            </w:r>
            <w:r w:rsidRPr="00B57019">
              <w:t xml:space="preserve"> balstoties uz ES dokumentu apritināšanas normatīvo regulējumu prasībām un to izmaiņām, kā arī uz lietotājiem draudzīgas lietotnes pilnveidojumu prasībām. Izmaiņu pieprasījumi tiek apstiprināti Vecāko amatpersonu </w:t>
            </w:r>
            <w:r w:rsidRPr="00B57019">
              <w:lastRenderedPageBreak/>
              <w:t>sanāksmē un tikai tad nodoti ESVIS izstrādātājam jaunas sistēmas versijas izstrādei. Vispārējā vienošanās ar izstrādātāju neparedz normatīvo aktu analīzi un nepieciešamo normatīvo aktu definēšanu.</w:t>
            </w:r>
          </w:p>
          <w:p w14:paraId="04C13138" w14:textId="77777777" w:rsidR="000A09F6" w:rsidRPr="00B57019" w:rsidRDefault="000A09F6" w:rsidP="000A09F6">
            <w:pPr>
              <w:jc w:val="both"/>
            </w:pPr>
            <w:r w:rsidRPr="00B57019">
              <w:t>Dati par ESVIS-R nepieejamību no monitoringa rīka (laika periodā no 15.05.2018.-15.05.2019.):</w:t>
            </w:r>
          </w:p>
          <w:p w14:paraId="0289E2CD" w14:textId="77777777" w:rsidR="000A09F6" w:rsidRPr="00B57019" w:rsidRDefault="000A09F6" w:rsidP="000A09F6">
            <w:pPr>
              <w:jc w:val="both"/>
            </w:pPr>
            <w:r w:rsidRPr="00B57019">
              <w:t>Tehniskas atteices:</w:t>
            </w:r>
          </w:p>
          <w:p w14:paraId="7ECE8173" w14:textId="77777777" w:rsidR="000A09F6" w:rsidRPr="00B57019" w:rsidRDefault="000A09F6" w:rsidP="000A09F6">
            <w:pPr>
              <w:numPr>
                <w:ilvl w:val="0"/>
                <w:numId w:val="7"/>
              </w:numPr>
              <w:jc w:val="both"/>
            </w:pPr>
            <w:r w:rsidRPr="00B57019">
              <w:t>17.04.2019 - Nebija iespējams autentificēties ESVIS R produkcijas aplikācija - iemesls, HACMP resursu grupa bija nonākusi uz otra servera kur PAGING space bija par mazu datubāzes vajadzībām - problēma tika samērā operatīvi atrisināta un nevajadzētu atkārtoties.</w:t>
            </w:r>
          </w:p>
          <w:p w14:paraId="534914B6" w14:textId="77777777" w:rsidR="000A09F6" w:rsidRPr="00B57019" w:rsidRDefault="000A09F6" w:rsidP="000A09F6">
            <w:pPr>
              <w:numPr>
                <w:ilvl w:val="0"/>
                <w:numId w:val="7"/>
              </w:numPr>
              <w:jc w:val="both"/>
            </w:pPr>
            <w:r w:rsidRPr="00B57019">
              <w:t xml:space="preserve">14.09.2018 16:00 - Uz īsu mirkli traucēta pieslēgšanās ESVIS </w:t>
            </w:r>
            <w:r w:rsidRPr="00B57019">
              <w:lastRenderedPageBreak/>
              <w:t>aplikācijai. Iemesls viena servera atteice.</w:t>
            </w:r>
          </w:p>
          <w:p w14:paraId="35AC654E" w14:textId="77777777" w:rsidR="000A09F6" w:rsidRPr="00B57019" w:rsidRDefault="000A09F6" w:rsidP="000A09F6">
            <w:pPr>
              <w:jc w:val="both"/>
              <w:rPr>
                <w:rFonts w:eastAsia="Calibri"/>
              </w:rPr>
            </w:pPr>
            <w:r w:rsidRPr="00B57019">
              <w:t>Ārējā ietekme:</w:t>
            </w:r>
          </w:p>
          <w:p w14:paraId="31B73D59" w14:textId="77777777" w:rsidR="000A09F6" w:rsidRPr="00B57019" w:rsidRDefault="000A09F6" w:rsidP="000A09F6">
            <w:pPr>
              <w:numPr>
                <w:ilvl w:val="0"/>
                <w:numId w:val="7"/>
              </w:numPr>
              <w:jc w:val="both"/>
            </w:pPr>
            <w:r w:rsidRPr="00B57019">
              <w:t>15.03.2019 - 21.03.2019 - LVRTC veica savu tīkla iekārtu atjauninājumus, rezultātā traucēta šifratoru komunikācija. Stipri traucēta komunikācija ar iestādēs uzstādītajiem šifratoriem.</w:t>
            </w:r>
          </w:p>
          <w:p w14:paraId="5DB95B44" w14:textId="77777777" w:rsidR="000A09F6" w:rsidRPr="00B57019" w:rsidRDefault="000A09F6" w:rsidP="000A09F6">
            <w:pPr>
              <w:jc w:val="both"/>
              <w:rPr>
                <w:rFonts w:eastAsia="Calibri"/>
              </w:rPr>
            </w:pPr>
            <w:r w:rsidRPr="00B57019">
              <w:t>Nepieejamības, kuras ietekmē tikai ĀM tīklu:</w:t>
            </w:r>
          </w:p>
          <w:p w14:paraId="2AEF3B09" w14:textId="77777777" w:rsidR="000A09F6" w:rsidRPr="00B57019" w:rsidRDefault="000A09F6" w:rsidP="000A09F6">
            <w:pPr>
              <w:numPr>
                <w:ilvl w:val="0"/>
                <w:numId w:val="7"/>
              </w:numPr>
              <w:jc w:val="both"/>
            </w:pPr>
            <w:r w:rsidRPr="00B57019">
              <w:t>12.02.2019 - PPES nav savienojums ar šifrēšanas iekārtām. Iemesls MFA darbu rezultātā bija aizmirsts ieslēgt šifrēšanas iekārtas.</w:t>
            </w:r>
          </w:p>
          <w:p w14:paraId="36B8A15C" w14:textId="77777777" w:rsidR="000A09F6" w:rsidRPr="00B57019" w:rsidRDefault="000A09F6" w:rsidP="000A09F6">
            <w:pPr>
              <w:numPr>
                <w:ilvl w:val="0"/>
                <w:numId w:val="7"/>
              </w:numPr>
              <w:jc w:val="both"/>
            </w:pPr>
            <w:r w:rsidRPr="00B57019">
              <w:t>03.01.2019 – 04.01.2019 – Nebija pieejama ESVIS R vide, jo tika veikta MFA šifratoru pārslēgšana uz jauno infrastruktūru.</w:t>
            </w:r>
          </w:p>
          <w:p w14:paraId="64131F23" w14:textId="77777777" w:rsidR="000A09F6" w:rsidRPr="00B57019" w:rsidRDefault="000A09F6" w:rsidP="000A09F6">
            <w:pPr>
              <w:numPr>
                <w:ilvl w:val="0"/>
                <w:numId w:val="7"/>
              </w:numPr>
              <w:jc w:val="both"/>
            </w:pPr>
            <w:r w:rsidRPr="00B57019">
              <w:lastRenderedPageBreak/>
              <w:t>17.09.2018 - Traucēta autentificēšanās ESVIS no MFA infrastruktūras. Iemesls - MFA pusē ugunsmūrī nav pievienota politika vienam no ESVIS serveriem.</w:t>
            </w:r>
          </w:p>
          <w:p w14:paraId="4C9E5DF3" w14:textId="77777777" w:rsidR="000A09F6" w:rsidRPr="00B57019" w:rsidRDefault="000A09F6" w:rsidP="000A09F6">
            <w:pPr>
              <w:jc w:val="both"/>
              <w:rPr>
                <w:rFonts w:eastAsia="Calibri"/>
              </w:rPr>
            </w:pPr>
            <w:r w:rsidRPr="00B57019">
              <w:t>ESVIS datubāzes un aplikāciju serveri – gada griezumā  99% laika ir bijuši pieejami. Atbilstoši Tehniskai specifikācijai darba dienās no 08:00 līdz 20:00 pēc Latvijas laika ESVIS vidējā pieejamība Lietotājiem ir 99,5%, bet pārējā laikā 98%.</w:t>
            </w:r>
          </w:p>
          <w:p w14:paraId="7287241E" w14:textId="77777777" w:rsidR="000A09F6" w:rsidRPr="00B57019" w:rsidRDefault="000A09F6" w:rsidP="000A09F6">
            <w:pPr>
              <w:jc w:val="both"/>
            </w:pPr>
            <w:r w:rsidRPr="00B57019">
              <w:t xml:space="preserve">Ņemot vērā augstāk minēto, norādītās nepieejamības nav uzskatāmas kā “ESVIS R sistēmai ir bieži darbības traucējumi…”, jo tiek nodrošināta vidējā pieejamība atbilstoši dokumentācijai. </w:t>
            </w:r>
          </w:p>
          <w:p w14:paraId="458181DE" w14:textId="77777777" w:rsidR="0038287F" w:rsidRPr="00B57019" w:rsidRDefault="0038287F" w:rsidP="000A09F6">
            <w:pPr>
              <w:pStyle w:val="naisc"/>
              <w:spacing w:before="0" w:after="0"/>
              <w:ind w:firstLine="720"/>
              <w:jc w:val="both"/>
            </w:pPr>
          </w:p>
          <w:p w14:paraId="145FFBF1" w14:textId="77777777" w:rsidR="004A6485" w:rsidRPr="00B57019" w:rsidRDefault="004A6485" w:rsidP="000A09F6">
            <w:pPr>
              <w:pStyle w:val="naisc"/>
              <w:spacing w:before="0" w:after="0"/>
              <w:ind w:firstLine="720"/>
              <w:jc w:val="both"/>
            </w:pPr>
          </w:p>
          <w:p w14:paraId="4150FB4E" w14:textId="77777777" w:rsidR="004A6485" w:rsidRPr="00B57019" w:rsidRDefault="004A6485" w:rsidP="000A09F6">
            <w:pPr>
              <w:pStyle w:val="naisc"/>
              <w:spacing w:before="0" w:after="0"/>
              <w:ind w:firstLine="720"/>
              <w:jc w:val="both"/>
            </w:pPr>
          </w:p>
          <w:p w14:paraId="5AC5C65C" w14:textId="77777777" w:rsidR="004A6485" w:rsidRPr="00B57019" w:rsidRDefault="004A6485" w:rsidP="000A09F6">
            <w:pPr>
              <w:pStyle w:val="naisc"/>
              <w:spacing w:before="0" w:after="0"/>
              <w:ind w:firstLine="720"/>
              <w:jc w:val="both"/>
            </w:pPr>
          </w:p>
          <w:p w14:paraId="7057AE41" w14:textId="77777777" w:rsidR="004A6485" w:rsidRPr="00B57019" w:rsidRDefault="004A6485" w:rsidP="000A09F6">
            <w:pPr>
              <w:pStyle w:val="naisc"/>
              <w:spacing w:before="0" w:after="0"/>
              <w:ind w:firstLine="720"/>
              <w:jc w:val="both"/>
            </w:pPr>
          </w:p>
          <w:p w14:paraId="6EC4F6F6" w14:textId="77777777" w:rsidR="004A6485" w:rsidRPr="00B57019" w:rsidRDefault="004A6485" w:rsidP="000A09F6">
            <w:pPr>
              <w:pStyle w:val="naisc"/>
              <w:spacing w:before="0" w:after="0"/>
              <w:ind w:firstLine="720"/>
              <w:jc w:val="both"/>
            </w:pPr>
          </w:p>
          <w:p w14:paraId="1543253E" w14:textId="77777777" w:rsidR="004A6485" w:rsidRPr="00B57019" w:rsidRDefault="004A6485" w:rsidP="000A09F6">
            <w:pPr>
              <w:pStyle w:val="naisc"/>
              <w:spacing w:before="0" w:after="0"/>
              <w:ind w:firstLine="720"/>
              <w:jc w:val="both"/>
            </w:pPr>
          </w:p>
          <w:p w14:paraId="4BF88853" w14:textId="77777777" w:rsidR="004A6485" w:rsidRPr="00B57019" w:rsidRDefault="004A6485" w:rsidP="000A09F6">
            <w:pPr>
              <w:pStyle w:val="naisc"/>
              <w:spacing w:before="0" w:after="0"/>
              <w:ind w:firstLine="720"/>
              <w:jc w:val="both"/>
            </w:pPr>
          </w:p>
          <w:p w14:paraId="1892B8F6" w14:textId="77777777" w:rsidR="004A6485" w:rsidRPr="00B57019" w:rsidRDefault="004A6485" w:rsidP="000A09F6">
            <w:pPr>
              <w:pStyle w:val="naisc"/>
              <w:spacing w:before="0" w:after="0"/>
              <w:ind w:firstLine="720"/>
              <w:jc w:val="both"/>
            </w:pPr>
          </w:p>
          <w:p w14:paraId="4FCE82EB" w14:textId="77777777" w:rsidR="004A6485" w:rsidRPr="00B57019" w:rsidRDefault="004A6485" w:rsidP="000A09F6">
            <w:pPr>
              <w:pStyle w:val="naisc"/>
              <w:spacing w:before="0" w:after="0"/>
              <w:ind w:firstLine="720"/>
              <w:jc w:val="both"/>
            </w:pPr>
          </w:p>
          <w:p w14:paraId="40814B23" w14:textId="77777777" w:rsidR="004A6485" w:rsidRPr="00B57019" w:rsidRDefault="004A6485" w:rsidP="000A09F6">
            <w:pPr>
              <w:pStyle w:val="naisc"/>
              <w:spacing w:before="0" w:after="0"/>
              <w:ind w:firstLine="720"/>
              <w:jc w:val="both"/>
            </w:pPr>
          </w:p>
          <w:p w14:paraId="3B2C486B" w14:textId="77777777" w:rsidR="004A6485" w:rsidRPr="00B57019" w:rsidRDefault="004A6485" w:rsidP="000A09F6">
            <w:pPr>
              <w:pStyle w:val="naisc"/>
              <w:spacing w:before="0" w:after="0"/>
              <w:ind w:firstLine="720"/>
              <w:jc w:val="both"/>
            </w:pPr>
          </w:p>
          <w:p w14:paraId="2CE30E62" w14:textId="77777777" w:rsidR="004A6485" w:rsidRPr="00B57019" w:rsidRDefault="004A6485" w:rsidP="000A09F6">
            <w:pPr>
              <w:pStyle w:val="naisc"/>
              <w:spacing w:before="0" w:after="0"/>
              <w:ind w:firstLine="720"/>
              <w:jc w:val="both"/>
            </w:pPr>
          </w:p>
          <w:p w14:paraId="1DAB9374" w14:textId="77777777" w:rsidR="004A6485" w:rsidRPr="00B57019" w:rsidRDefault="004A6485" w:rsidP="000A09F6">
            <w:pPr>
              <w:pStyle w:val="naisc"/>
              <w:spacing w:before="0" w:after="0"/>
              <w:ind w:firstLine="720"/>
              <w:jc w:val="both"/>
            </w:pPr>
          </w:p>
          <w:p w14:paraId="5A44986A" w14:textId="77777777" w:rsidR="004A6485" w:rsidRPr="00B57019" w:rsidRDefault="004A6485" w:rsidP="000A09F6">
            <w:pPr>
              <w:pStyle w:val="naisc"/>
              <w:spacing w:before="0" w:after="0"/>
              <w:ind w:firstLine="720"/>
              <w:jc w:val="both"/>
            </w:pPr>
          </w:p>
          <w:p w14:paraId="1497FB18" w14:textId="77777777" w:rsidR="004A6485" w:rsidRPr="00B57019" w:rsidRDefault="004A6485" w:rsidP="000A09F6">
            <w:pPr>
              <w:pStyle w:val="naisc"/>
              <w:spacing w:before="0" w:after="0"/>
              <w:ind w:firstLine="720"/>
              <w:jc w:val="both"/>
            </w:pPr>
          </w:p>
          <w:p w14:paraId="2588805E" w14:textId="77777777" w:rsidR="004A6485" w:rsidRPr="00B57019" w:rsidRDefault="004A6485" w:rsidP="000A09F6">
            <w:pPr>
              <w:pStyle w:val="naisc"/>
              <w:spacing w:before="0" w:after="0"/>
              <w:ind w:firstLine="720"/>
              <w:jc w:val="both"/>
            </w:pPr>
          </w:p>
          <w:p w14:paraId="00B155EB" w14:textId="77777777" w:rsidR="004A6485" w:rsidRPr="00B57019" w:rsidRDefault="004A6485" w:rsidP="000A09F6">
            <w:pPr>
              <w:pStyle w:val="naisc"/>
              <w:spacing w:before="0" w:after="0"/>
              <w:ind w:firstLine="720"/>
              <w:jc w:val="both"/>
            </w:pPr>
          </w:p>
          <w:p w14:paraId="2E39BB97" w14:textId="77777777" w:rsidR="004A6485" w:rsidRPr="00B57019" w:rsidRDefault="004A6485" w:rsidP="000A09F6">
            <w:pPr>
              <w:pStyle w:val="naisc"/>
              <w:spacing w:before="0" w:after="0"/>
              <w:ind w:firstLine="720"/>
              <w:jc w:val="both"/>
            </w:pPr>
          </w:p>
          <w:p w14:paraId="77DE5191" w14:textId="77777777" w:rsidR="004A6485" w:rsidRPr="00B57019" w:rsidRDefault="004A6485" w:rsidP="000A09F6">
            <w:pPr>
              <w:pStyle w:val="naisc"/>
              <w:spacing w:before="0" w:after="0"/>
              <w:ind w:firstLine="720"/>
              <w:jc w:val="both"/>
            </w:pPr>
          </w:p>
          <w:p w14:paraId="26EC187B" w14:textId="77777777" w:rsidR="004A6485" w:rsidRPr="00B57019" w:rsidRDefault="004A6485" w:rsidP="000A09F6">
            <w:pPr>
              <w:pStyle w:val="naisc"/>
              <w:spacing w:before="0" w:after="0"/>
              <w:ind w:firstLine="720"/>
              <w:jc w:val="both"/>
            </w:pPr>
          </w:p>
          <w:p w14:paraId="4A73FF06" w14:textId="77777777" w:rsidR="004A6485" w:rsidRPr="00B57019" w:rsidRDefault="004A6485" w:rsidP="000A09F6">
            <w:pPr>
              <w:pStyle w:val="naisc"/>
              <w:spacing w:before="0" w:after="0"/>
              <w:ind w:firstLine="720"/>
              <w:jc w:val="both"/>
            </w:pPr>
          </w:p>
          <w:p w14:paraId="5F0B68F0" w14:textId="77777777" w:rsidR="004A6485" w:rsidRPr="00B57019" w:rsidRDefault="004A6485" w:rsidP="000A09F6">
            <w:pPr>
              <w:pStyle w:val="naisc"/>
              <w:spacing w:before="0" w:after="0"/>
              <w:ind w:firstLine="720"/>
              <w:jc w:val="both"/>
            </w:pPr>
          </w:p>
          <w:p w14:paraId="53C59E45" w14:textId="77777777" w:rsidR="004A6485" w:rsidRPr="00B57019" w:rsidRDefault="004A6485" w:rsidP="000A09F6">
            <w:pPr>
              <w:pStyle w:val="naisc"/>
              <w:spacing w:before="0" w:after="0"/>
              <w:ind w:firstLine="720"/>
              <w:jc w:val="both"/>
            </w:pPr>
          </w:p>
          <w:p w14:paraId="5F55AA29" w14:textId="77777777" w:rsidR="004A6485" w:rsidRPr="00B57019" w:rsidRDefault="004A6485" w:rsidP="000A09F6">
            <w:pPr>
              <w:pStyle w:val="naisc"/>
              <w:spacing w:before="0" w:after="0"/>
              <w:ind w:firstLine="720"/>
              <w:jc w:val="both"/>
            </w:pPr>
          </w:p>
          <w:p w14:paraId="746DD2B7" w14:textId="77777777" w:rsidR="004A6485" w:rsidRPr="00B57019" w:rsidRDefault="004A6485" w:rsidP="000A09F6">
            <w:pPr>
              <w:pStyle w:val="naisc"/>
              <w:spacing w:before="0" w:after="0"/>
              <w:ind w:firstLine="720"/>
              <w:jc w:val="both"/>
            </w:pPr>
          </w:p>
          <w:p w14:paraId="34399EEE" w14:textId="77777777" w:rsidR="004A6485" w:rsidRPr="00B57019" w:rsidRDefault="004A6485" w:rsidP="000A09F6">
            <w:pPr>
              <w:pStyle w:val="naisc"/>
              <w:spacing w:before="0" w:after="0"/>
              <w:ind w:firstLine="720"/>
              <w:jc w:val="both"/>
            </w:pPr>
          </w:p>
          <w:p w14:paraId="2192F265" w14:textId="77777777" w:rsidR="004A6485" w:rsidRPr="00B57019" w:rsidRDefault="004A6485" w:rsidP="000A09F6">
            <w:pPr>
              <w:pStyle w:val="naisc"/>
              <w:spacing w:before="0" w:after="0"/>
              <w:ind w:firstLine="720"/>
              <w:jc w:val="both"/>
            </w:pPr>
          </w:p>
          <w:p w14:paraId="1D69CFAE" w14:textId="77777777" w:rsidR="004A6485" w:rsidRPr="00B57019" w:rsidRDefault="004A6485" w:rsidP="000A09F6">
            <w:pPr>
              <w:pStyle w:val="naisc"/>
              <w:spacing w:before="0" w:after="0"/>
              <w:ind w:firstLine="720"/>
              <w:jc w:val="both"/>
            </w:pPr>
          </w:p>
          <w:p w14:paraId="7F510885" w14:textId="77777777" w:rsidR="004A6485" w:rsidRPr="00B57019" w:rsidRDefault="004A6485" w:rsidP="000A09F6">
            <w:pPr>
              <w:pStyle w:val="naisc"/>
              <w:spacing w:before="0" w:after="0"/>
              <w:ind w:firstLine="720"/>
              <w:jc w:val="both"/>
            </w:pPr>
          </w:p>
          <w:p w14:paraId="62C0CD00" w14:textId="77777777" w:rsidR="004A6485" w:rsidRPr="00B57019" w:rsidRDefault="004A6485" w:rsidP="000A09F6">
            <w:pPr>
              <w:pStyle w:val="naisc"/>
              <w:spacing w:before="0" w:after="0"/>
              <w:ind w:firstLine="720"/>
              <w:jc w:val="both"/>
            </w:pPr>
          </w:p>
          <w:p w14:paraId="19856E6A" w14:textId="77777777" w:rsidR="004A6485" w:rsidRPr="00B57019" w:rsidRDefault="004A6485" w:rsidP="000A09F6">
            <w:pPr>
              <w:pStyle w:val="naisc"/>
              <w:spacing w:before="0" w:after="0"/>
              <w:ind w:firstLine="720"/>
              <w:jc w:val="both"/>
            </w:pPr>
          </w:p>
          <w:p w14:paraId="2EE9A430" w14:textId="77777777" w:rsidR="004A6485" w:rsidRPr="00B57019" w:rsidRDefault="004A6485" w:rsidP="000A09F6">
            <w:pPr>
              <w:pStyle w:val="naisc"/>
              <w:spacing w:before="0" w:after="0"/>
              <w:ind w:firstLine="720"/>
              <w:jc w:val="both"/>
            </w:pPr>
          </w:p>
          <w:p w14:paraId="544C8A72" w14:textId="77777777" w:rsidR="004A6485" w:rsidRPr="00B57019" w:rsidRDefault="004A6485" w:rsidP="000A09F6">
            <w:pPr>
              <w:pStyle w:val="naisc"/>
              <w:spacing w:before="0" w:after="0"/>
              <w:ind w:firstLine="720"/>
              <w:jc w:val="both"/>
            </w:pPr>
          </w:p>
          <w:p w14:paraId="17681C6C" w14:textId="77777777" w:rsidR="004A6485" w:rsidRPr="00B57019" w:rsidRDefault="004A6485" w:rsidP="000A09F6">
            <w:pPr>
              <w:pStyle w:val="naisc"/>
              <w:spacing w:before="0" w:after="0"/>
              <w:ind w:firstLine="720"/>
              <w:jc w:val="both"/>
            </w:pPr>
          </w:p>
          <w:p w14:paraId="10170905" w14:textId="77777777" w:rsidR="004A6485" w:rsidRPr="00B57019" w:rsidRDefault="004A6485" w:rsidP="000A09F6">
            <w:pPr>
              <w:pStyle w:val="naisc"/>
              <w:spacing w:before="0" w:after="0"/>
              <w:ind w:firstLine="720"/>
              <w:jc w:val="both"/>
            </w:pPr>
          </w:p>
          <w:p w14:paraId="5EC1B79E" w14:textId="77777777" w:rsidR="004A6485" w:rsidRPr="00B57019" w:rsidRDefault="004A6485" w:rsidP="000A09F6">
            <w:pPr>
              <w:pStyle w:val="naisc"/>
              <w:spacing w:before="0" w:after="0"/>
              <w:ind w:firstLine="720"/>
              <w:jc w:val="both"/>
            </w:pPr>
          </w:p>
          <w:p w14:paraId="48AE0815" w14:textId="77777777" w:rsidR="004A6485" w:rsidRPr="00B57019" w:rsidRDefault="004A6485" w:rsidP="000A09F6">
            <w:pPr>
              <w:pStyle w:val="naisc"/>
              <w:spacing w:before="0" w:after="0"/>
              <w:ind w:firstLine="720"/>
              <w:jc w:val="both"/>
            </w:pPr>
          </w:p>
          <w:p w14:paraId="5778E5BE" w14:textId="77777777" w:rsidR="004A6485" w:rsidRPr="00B57019" w:rsidRDefault="004A6485" w:rsidP="000A09F6">
            <w:pPr>
              <w:pStyle w:val="naisc"/>
              <w:spacing w:before="0" w:after="0"/>
              <w:ind w:firstLine="720"/>
              <w:jc w:val="both"/>
            </w:pPr>
          </w:p>
          <w:p w14:paraId="54129B3D" w14:textId="77777777" w:rsidR="004A6485" w:rsidRPr="00B57019" w:rsidRDefault="004A6485" w:rsidP="000A09F6">
            <w:pPr>
              <w:pStyle w:val="naisc"/>
              <w:spacing w:before="0" w:after="0"/>
              <w:ind w:firstLine="720"/>
              <w:jc w:val="both"/>
            </w:pPr>
          </w:p>
          <w:p w14:paraId="68DA5E9B" w14:textId="77777777" w:rsidR="004A6485" w:rsidRPr="00B57019" w:rsidRDefault="004A6485" w:rsidP="000A09F6">
            <w:pPr>
              <w:pStyle w:val="naisc"/>
              <w:spacing w:before="0" w:after="0"/>
              <w:ind w:firstLine="720"/>
              <w:jc w:val="both"/>
            </w:pPr>
          </w:p>
          <w:p w14:paraId="1C6C4C48" w14:textId="77777777" w:rsidR="004A6485" w:rsidRPr="00B57019" w:rsidRDefault="004A6485" w:rsidP="000A09F6">
            <w:pPr>
              <w:pStyle w:val="naisc"/>
              <w:spacing w:before="0" w:after="0"/>
              <w:ind w:firstLine="720"/>
              <w:jc w:val="both"/>
            </w:pPr>
          </w:p>
          <w:p w14:paraId="0BE0C01A" w14:textId="77777777" w:rsidR="00B1506D" w:rsidRPr="00B57019" w:rsidRDefault="00B1506D" w:rsidP="00B1506D">
            <w:pPr>
              <w:jc w:val="both"/>
            </w:pPr>
            <w:r w:rsidRPr="00B57019">
              <w:t>ĀM iebildums neattiecas uz konkrēto informatīvo ziņojumu</w:t>
            </w:r>
            <w:r w:rsidR="008F7B56" w:rsidRPr="00B57019">
              <w:t>.</w:t>
            </w:r>
          </w:p>
          <w:p w14:paraId="483649B6" w14:textId="77777777" w:rsidR="00B1506D" w:rsidRPr="00B57019" w:rsidRDefault="00B1506D" w:rsidP="00B1506D">
            <w:pPr>
              <w:jc w:val="both"/>
            </w:pPr>
            <w:r w:rsidRPr="00B57019">
              <w:t>Papildus vēlamies informēt, ka TAP portāla izstrādes darba grupā ir pārstāvji no ĀM – Raivis Lūsis un Sanda Lūsiņa, kuri varētu sniegt sīkāku informāciju par TAP portālu.</w:t>
            </w:r>
          </w:p>
          <w:p w14:paraId="65B6A1A8" w14:textId="77777777" w:rsidR="00B1506D" w:rsidRPr="00B57019" w:rsidRDefault="00B1506D" w:rsidP="000A09F6">
            <w:pPr>
              <w:pStyle w:val="naisc"/>
              <w:spacing w:before="0" w:after="0"/>
              <w:ind w:firstLine="720"/>
              <w:jc w:val="both"/>
            </w:pP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54859F28" w14:textId="77777777" w:rsidR="0038287F" w:rsidRPr="00B57019" w:rsidRDefault="00524086" w:rsidP="00524086">
            <w:pPr>
              <w:jc w:val="both"/>
            </w:pPr>
            <w:r w:rsidRPr="00B57019">
              <w:lastRenderedPageBreak/>
              <w:t>Iebildums tiek uzturēts.</w:t>
            </w:r>
          </w:p>
          <w:p w14:paraId="2537A197" w14:textId="77777777" w:rsidR="00C716DD" w:rsidRPr="00B57019" w:rsidRDefault="00C716DD" w:rsidP="00524086">
            <w:pPr>
              <w:jc w:val="both"/>
            </w:pPr>
          </w:p>
          <w:p w14:paraId="623EF273" w14:textId="77777777" w:rsidR="00C716DD" w:rsidRPr="00B57019" w:rsidRDefault="00C716DD" w:rsidP="00C716DD">
            <w:pPr>
              <w:jc w:val="both"/>
            </w:pPr>
            <w:r w:rsidRPr="00B57019">
              <w:t>Skatīt informatīvā ziņojuma 6. pielikumu.</w:t>
            </w:r>
          </w:p>
          <w:p w14:paraId="2A64A25E" w14:textId="03923A57" w:rsidR="00C716DD" w:rsidRPr="00B57019" w:rsidRDefault="00C716DD" w:rsidP="00524086">
            <w:pPr>
              <w:jc w:val="both"/>
            </w:pPr>
          </w:p>
        </w:tc>
        <w:tc>
          <w:tcPr>
            <w:tcW w:w="2503" w:type="dxa"/>
            <w:tcBorders>
              <w:top w:val="single" w:sz="4" w:space="0" w:color="auto"/>
              <w:left w:val="single" w:sz="4" w:space="0" w:color="auto"/>
              <w:bottom w:val="single" w:sz="4" w:space="0" w:color="auto"/>
            </w:tcBorders>
            <w:shd w:val="clear" w:color="auto" w:fill="auto"/>
          </w:tcPr>
          <w:p w14:paraId="16B07D4A" w14:textId="77777777" w:rsidR="00C716DD" w:rsidRPr="00B57019" w:rsidRDefault="00C716DD" w:rsidP="00C716DD">
            <w:r w:rsidRPr="00B57019">
              <w:t>Informatīvais ziņojums papildināts ar 6. pielikumu.</w:t>
            </w:r>
          </w:p>
          <w:p w14:paraId="71B5BF0C" w14:textId="77777777" w:rsidR="0038287F" w:rsidRPr="00B57019" w:rsidRDefault="0038287F" w:rsidP="008A36C9">
            <w:pPr>
              <w:jc w:val="center"/>
            </w:pPr>
          </w:p>
        </w:tc>
      </w:tr>
      <w:tr w:rsidR="00B57019" w:rsidRPr="00B57019" w14:paraId="0A8917F1" w14:textId="77777777" w:rsidTr="6EC0B0DB">
        <w:tc>
          <w:tcPr>
            <w:tcW w:w="14567" w:type="dxa"/>
            <w:gridSpan w:val="6"/>
            <w:tcBorders>
              <w:top w:val="single" w:sz="6" w:space="0" w:color="000000" w:themeColor="text1"/>
              <w:left w:val="single" w:sz="6" w:space="0" w:color="000000" w:themeColor="text1"/>
              <w:bottom w:val="single" w:sz="6" w:space="0" w:color="000000" w:themeColor="text1"/>
            </w:tcBorders>
            <w:shd w:val="clear" w:color="auto" w:fill="auto"/>
          </w:tcPr>
          <w:p w14:paraId="144A897C" w14:textId="77777777" w:rsidR="003664C8" w:rsidRPr="00B57019" w:rsidRDefault="003664C8" w:rsidP="008A36C9">
            <w:pPr>
              <w:jc w:val="center"/>
              <w:rPr>
                <w:b/>
              </w:rPr>
            </w:pPr>
            <w:r w:rsidRPr="00B57019">
              <w:rPr>
                <w:b/>
              </w:rPr>
              <w:lastRenderedPageBreak/>
              <w:t>Ekonomikas ministrija</w:t>
            </w:r>
          </w:p>
        </w:tc>
      </w:tr>
      <w:tr w:rsidR="00B57019" w:rsidRPr="00B57019" w14:paraId="67C513E4"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682D60" w14:textId="77777777" w:rsidR="00F928B6" w:rsidRPr="00B57019" w:rsidRDefault="00D2008E" w:rsidP="00F928B6">
            <w:pPr>
              <w:pStyle w:val="naisc"/>
              <w:spacing w:before="0" w:after="0"/>
            </w:pPr>
            <w:r w:rsidRPr="00B57019">
              <w:t>3.</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A197E3" w14:textId="77777777" w:rsidR="00F928B6" w:rsidRPr="00B57019" w:rsidRDefault="00F928B6" w:rsidP="00F928B6">
            <w:pPr>
              <w:pStyle w:val="naisc"/>
              <w:spacing w:before="0" w:after="0"/>
              <w:jc w:val="left"/>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4CBB67" w14:textId="77777777" w:rsidR="00F928B6" w:rsidRPr="00B57019" w:rsidRDefault="00F928B6" w:rsidP="00CE62BB">
            <w:pPr>
              <w:pStyle w:val="naisc"/>
              <w:spacing w:before="0" w:after="0"/>
              <w:jc w:val="both"/>
            </w:pPr>
            <w:r w:rsidRPr="00B57019">
              <w:t>Ekonomikas ministrija minēto vienas amata vietas izdevumu summu uzskata par nekorektu, jo norādīto koplietošanas platformu radītais ietaupījums, ja tāds veidosies, tad pamatā uz nodarbināto cilvēkdienām, kuru amata pienākumi klasificēti nevis 12.mēnešalgas grupā, bet no 7. līdz 11.mēnešlgas grupai.</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BE3362" w14:textId="77777777" w:rsidR="00F928B6" w:rsidRPr="00B57019" w:rsidRDefault="00F928B6" w:rsidP="00F928B6">
            <w:pPr>
              <w:pStyle w:val="PlainText"/>
              <w:jc w:val="both"/>
              <w:rPr>
                <w:rFonts w:ascii="Times New Roman" w:hAnsi="Times New Roman"/>
                <w:b/>
                <w:sz w:val="24"/>
                <w:szCs w:val="24"/>
                <w:lang w:val="lv-LV"/>
              </w:rPr>
            </w:pPr>
            <w:r w:rsidRPr="00B57019">
              <w:rPr>
                <w:rFonts w:ascii="Times New Roman" w:hAnsi="Times New Roman"/>
                <w:b/>
                <w:sz w:val="24"/>
                <w:szCs w:val="24"/>
                <w:lang w:val="lv-LV"/>
              </w:rPr>
              <w:t>Iebildums n</w:t>
            </w:r>
            <w:r w:rsidR="008A08DD" w:rsidRPr="00B57019">
              <w:rPr>
                <w:rFonts w:ascii="Times New Roman" w:hAnsi="Times New Roman"/>
                <w:b/>
                <w:sz w:val="24"/>
                <w:szCs w:val="24"/>
                <w:lang w:val="lv-LV"/>
              </w:rPr>
              <w:t>av</w:t>
            </w:r>
            <w:r w:rsidRPr="00B57019">
              <w:rPr>
                <w:rFonts w:ascii="Times New Roman" w:hAnsi="Times New Roman"/>
                <w:b/>
                <w:sz w:val="24"/>
                <w:szCs w:val="24"/>
                <w:lang w:val="lv-LV"/>
              </w:rPr>
              <w:t xml:space="preserve"> ņemts vērā.</w:t>
            </w:r>
          </w:p>
          <w:p w14:paraId="4AC6360E" w14:textId="77777777" w:rsidR="00A957AA" w:rsidRPr="00B57019" w:rsidRDefault="00F928B6" w:rsidP="00F928B6">
            <w:pPr>
              <w:pStyle w:val="naisc"/>
              <w:spacing w:before="0" w:after="0"/>
              <w:jc w:val="both"/>
            </w:pPr>
            <w:r w:rsidRPr="00B57019">
              <w:t xml:space="preserve">VARAM informatīvajā ziņojumā ir definējusi ietaupījumu, balstoties uz pieejamo informāciju. </w:t>
            </w:r>
          </w:p>
          <w:p w14:paraId="31148FE1" w14:textId="77777777" w:rsidR="00A957AA" w:rsidRPr="00B57019" w:rsidRDefault="00A957AA" w:rsidP="00DB4814">
            <w:pPr>
              <w:pStyle w:val="naisc"/>
              <w:spacing w:before="0" w:after="0"/>
              <w:jc w:val="both"/>
            </w:pPr>
            <w:r w:rsidRPr="00B57019">
              <w:t xml:space="preserve">Visos informatīvā ziņojuma pielikumos ir norādītas amatu saimes, mēnešalgu grupas un līmeņi, sākot no 7. amatu saimes līdz 12. </w:t>
            </w:r>
            <w:r w:rsidR="00881332" w:rsidRPr="00B57019">
              <w:t>amatu sai</w:t>
            </w:r>
            <w:r w:rsidRPr="00B57019">
              <w:t>mei</w:t>
            </w:r>
            <w:r w:rsidR="00881332" w:rsidRPr="00B57019">
              <w:t>.</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7CE06794" w14:textId="77777777" w:rsidR="00F928B6" w:rsidRPr="00B57019" w:rsidRDefault="00F928B6" w:rsidP="00F928B6">
            <w:pPr>
              <w:jc w:val="center"/>
            </w:pPr>
          </w:p>
          <w:p w14:paraId="47F2857D" w14:textId="77777777" w:rsidR="004A6485" w:rsidRPr="00B57019" w:rsidRDefault="004A6485" w:rsidP="004A6485">
            <w:pPr>
              <w:jc w:val="both"/>
            </w:pPr>
          </w:p>
        </w:tc>
        <w:tc>
          <w:tcPr>
            <w:tcW w:w="2503" w:type="dxa"/>
            <w:tcBorders>
              <w:top w:val="single" w:sz="4" w:space="0" w:color="auto"/>
              <w:left w:val="single" w:sz="4" w:space="0" w:color="auto"/>
              <w:bottom w:val="single" w:sz="4" w:space="0" w:color="auto"/>
            </w:tcBorders>
            <w:shd w:val="clear" w:color="auto" w:fill="auto"/>
          </w:tcPr>
          <w:p w14:paraId="3DF7D577" w14:textId="77777777" w:rsidR="00F928B6" w:rsidRPr="00B57019" w:rsidRDefault="00F928B6" w:rsidP="00F928B6">
            <w:pPr>
              <w:jc w:val="center"/>
            </w:pPr>
          </w:p>
        </w:tc>
      </w:tr>
      <w:tr w:rsidR="00B57019" w:rsidRPr="00B57019" w14:paraId="3FF199B6"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98ED9E" w14:textId="77777777" w:rsidR="00F928B6" w:rsidRPr="00B57019" w:rsidRDefault="00D2008E" w:rsidP="00F928B6">
            <w:pPr>
              <w:pStyle w:val="naisc"/>
              <w:spacing w:before="0" w:after="0"/>
            </w:pPr>
            <w:r w:rsidRPr="00B57019">
              <w:t>4.</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E08D6F" w14:textId="77777777" w:rsidR="00F928B6" w:rsidRPr="00B57019" w:rsidRDefault="00F928B6" w:rsidP="00F928B6">
            <w:pPr>
              <w:pStyle w:val="naisc"/>
              <w:spacing w:before="0" w:after="0"/>
              <w:jc w:val="left"/>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9E964C" w14:textId="77777777" w:rsidR="00F928B6" w:rsidRPr="00B57019" w:rsidRDefault="00F928B6" w:rsidP="00CE62BB">
            <w:pPr>
              <w:pStyle w:val="naisc"/>
              <w:spacing w:before="0" w:after="0"/>
              <w:jc w:val="both"/>
            </w:pPr>
            <w:r w:rsidRPr="00B57019">
              <w:t>Valsts pārvaldes iekārtas likuma 97.-100. panta prasības ir radījušas nepieciešamību attīstīt jaunas kompetences, t.sk., informācijas un komunikācijas tehnoloģiju izmantošanā valsts pakalpojumu sniegšanā; EM plāno novirzīt ziņojumā identificēto atbrīvoto štata vietu finansēju</w:t>
            </w:r>
            <w:r w:rsidR="000F7714" w:rsidRPr="00B57019">
              <w:t>mu</w:t>
            </w:r>
            <w:r w:rsidRPr="00B57019">
              <w:t xml:space="preserve"> šo jauno kompetenču finansēšanai.</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F89337" w14:textId="77777777" w:rsidR="00F928B6" w:rsidRPr="00B57019" w:rsidRDefault="00881332" w:rsidP="00881332">
            <w:pPr>
              <w:pStyle w:val="naisc"/>
              <w:spacing w:before="0" w:after="0"/>
              <w:jc w:val="both"/>
              <w:rPr>
                <w:b/>
              </w:rPr>
            </w:pPr>
            <w:r w:rsidRPr="00B57019">
              <w:rPr>
                <w:b/>
              </w:rPr>
              <w:t>Iebildums nav ņemts vērā.</w:t>
            </w:r>
          </w:p>
          <w:p w14:paraId="113461E6" w14:textId="77777777" w:rsidR="004F6F86" w:rsidRPr="00B57019" w:rsidRDefault="00881332" w:rsidP="004F6F86">
            <w:pPr>
              <w:pStyle w:val="naisc"/>
              <w:spacing w:before="0" w:after="0"/>
              <w:jc w:val="both"/>
            </w:pPr>
            <w:r w:rsidRPr="00B57019">
              <w:t xml:space="preserve">Izprotot EM ieceri, VARAM norāda, ka </w:t>
            </w:r>
            <w:r w:rsidR="004F6F86" w:rsidRPr="00B57019">
              <w:t>informatīvais ziņojums informē par to, ka jau šobrīd VRAA ir resursu iztrūkums ziņojumā minēto koplietošanas pakalpojumu nodrošināšanai. Līdz ar to jautājumu nepieciešams risināt steidzami.</w:t>
            </w:r>
          </w:p>
          <w:p w14:paraId="219C81E2" w14:textId="77777777" w:rsidR="00881332" w:rsidRPr="00B57019" w:rsidRDefault="004F6F86" w:rsidP="004F6F86">
            <w:pPr>
              <w:pStyle w:val="naisc"/>
              <w:spacing w:before="0" w:after="0"/>
              <w:jc w:val="both"/>
            </w:pPr>
            <w:r w:rsidRPr="00B57019">
              <w:t xml:space="preserve">Vienlaikus VARAM ieskatā koplietošanas risinājumu darbības nodrošināšanā jāpiedalās proporcionāli un  risinājuma koncepts ir jābalsta principā - pārstrukturizējot kompetences, un resursus </w:t>
            </w:r>
            <w:r w:rsidRPr="00B57019">
              <w:lastRenderedPageBreak/>
              <w:t>rodot publiskas pārvaldes iekšienē.</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0C2F7FF7" w14:textId="77777777" w:rsidR="00F928B6" w:rsidRPr="00B57019" w:rsidRDefault="00F928B6" w:rsidP="00881332">
            <w:pPr>
              <w:jc w:val="both"/>
            </w:pPr>
          </w:p>
        </w:tc>
        <w:tc>
          <w:tcPr>
            <w:tcW w:w="2503" w:type="dxa"/>
            <w:tcBorders>
              <w:top w:val="single" w:sz="4" w:space="0" w:color="auto"/>
              <w:left w:val="single" w:sz="4" w:space="0" w:color="auto"/>
              <w:bottom w:val="single" w:sz="4" w:space="0" w:color="auto"/>
            </w:tcBorders>
            <w:shd w:val="clear" w:color="auto" w:fill="auto"/>
          </w:tcPr>
          <w:p w14:paraId="154CD770" w14:textId="77777777" w:rsidR="00F928B6" w:rsidRPr="00B57019" w:rsidRDefault="00F928B6" w:rsidP="00F928B6">
            <w:pPr>
              <w:jc w:val="center"/>
            </w:pPr>
          </w:p>
        </w:tc>
      </w:tr>
      <w:tr w:rsidR="00B57019" w:rsidRPr="00B57019" w14:paraId="26CE4F23" w14:textId="77777777" w:rsidTr="6EC0B0DB">
        <w:tc>
          <w:tcPr>
            <w:tcW w:w="14567" w:type="dxa"/>
            <w:gridSpan w:val="6"/>
            <w:tcBorders>
              <w:top w:val="single" w:sz="6" w:space="0" w:color="000000" w:themeColor="text1"/>
              <w:left w:val="single" w:sz="6" w:space="0" w:color="000000" w:themeColor="text1"/>
              <w:bottom w:val="single" w:sz="6" w:space="0" w:color="000000" w:themeColor="text1"/>
            </w:tcBorders>
            <w:shd w:val="clear" w:color="auto" w:fill="auto"/>
          </w:tcPr>
          <w:p w14:paraId="32A2B389" w14:textId="77777777" w:rsidR="004C1502" w:rsidRPr="00B57019" w:rsidRDefault="004C1502" w:rsidP="008A36C9">
            <w:pPr>
              <w:jc w:val="center"/>
              <w:rPr>
                <w:b/>
              </w:rPr>
            </w:pPr>
            <w:r w:rsidRPr="00B57019">
              <w:rPr>
                <w:b/>
              </w:rPr>
              <w:t>Iekšlietu ministrija</w:t>
            </w:r>
          </w:p>
        </w:tc>
      </w:tr>
      <w:tr w:rsidR="00B57019" w:rsidRPr="00B57019" w14:paraId="7329282E"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4DBC8D" w14:textId="1ACC821A" w:rsidR="00584088" w:rsidRPr="00B57019" w:rsidRDefault="00584088" w:rsidP="004C1502">
            <w:pPr>
              <w:pStyle w:val="naisc"/>
              <w:spacing w:before="0" w:after="0"/>
            </w:pPr>
            <w:r w:rsidRPr="00B57019">
              <w:t>5.</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473381" w14:textId="6E5B967C" w:rsidR="00584088" w:rsidRPr="00B57019" w:rsidRDefault="00584088" w:rsidP="004C1502">
            <w:pPr>
              <w:pStyle w:val="naisc"/>
              <w:spacing w:before="0" w:after="0"/>
              <w:jc w:val="left"/>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26A0EB" w14:textId="77777777" w:rsidR="00584088" w:rsidRPr="00B57019" w:rsidRDefault="00584088" w:rsidP="00584088">
            <w:pPr>
              <w:pStyle w:val="NoSpacing"/>
              <w:jc w:val="both"/>
              <w:rPr>
                <w:rFonts w:ascii="Times New Roman" w:hAnsi="Times New Roman"/>
                <w:sz w:val="24"/>
                <w:szCs w:val="24"/>
                <w:lang w:val="lv-LV"/>
              </w:rPr>
            </w:pPr>
            <w:r w:rsidRPr="00B57019">
              <w:rPr>
                <w:rFonts w:ascii="Times New Roman" w:hAnsi="Times New Roman"/>
                <w:sz w:val="24"/>
                <w:szCs w:val="24"/>
                <w:lang w:val="lv-LV"/>
              </w:rPr>
              <w:t xml:space="preserve">Iekšlietu resors ir viens no pirmajiem, kurā jau ir veikta informācijas un komunikācijas tehnoloģiju (turpmāk – IKT) uzturēšanas centralizācija, kā rezultātā Iekšlietu ministrijas Informācijas centram tika nodota lielākā daļa resursu, vienlaikus optimizējot IKT jomas speciālistu skaitu. Papildus tam, iekšlietu resorā tuvākajā laikā ir plānots īstenot vai jau tiek īstenoti apjomīgi IKT projekti, piemēram, Fizisko personu reģistra izveide, Nacionālās kriminālizlūkošanas sistēmas izveide, 112 vienotā resursu vadības sistēma, ETIAS sistēmas, Entry/Exit sistēmas izveide, dalība e-lietas projektā, kā arī dažādu reģistru un informācijas sistēmu izveide. Jau pašreiz Iekšlietu ministrijas Informācijas centrs ir vairāku valsts informācijas sistēmu, tostarp integrēto sistēmu turētājs un pārzinis, kuras lieto </w:t>
            </w:r>
            <w:r w:rsidRPr="00B57019">
              <w:rPr>
                <w:rFonts w:ascii="Times New Roman" w:hAnsi="Times New Roman"/>
                <w:sz w:val="24"/>
                <w:szCs w:val="24"/>
                <w:lang w:val="lv-LV"/>
              </w:rPr>
              <w:lastRenderedPageBreak/>
              <w:t>plašs valsts iestāžu klāsts un kuras nodrošina virkni pakalpojumu gan iedzīvotājiem, gan valsts un pašvaldību iestādēm, ieviešanai iekšlietu resoram būs nepieciešams izstrādāt gan jaunus IKT risinājumus, gan nodrošināt to savstarpējo integrāciju un uzturēšanu. Nedz oficiālā adrese, nedz vienotais pieteikšanās modulis, nedz e-rēķinu risinājums nedarbojas/nedarbosies atrauti no resoros izmantojamajām sistēmām. Arī resoros savstarpējās integrācijas ir jāveic un radītie integrācijas risinājumi jāuztur un ar laiku arī jāpielāgo.</w:t>
            </w:r>
          </w:p>
          <w:p w14:paraId="058FC43E" w14:textId="21F84E22" w:rsidR="00584088" w:rsidRPr="00B57019" w:rsidRDefault="00584088" w:rsidP="00584088">
            <w:pPr>
              <w:pStyle w:val="NoSpacing"/>
              <w:spacing w:after="120"/>
              <w:jc w:val="both"/>
              <w:rPr>
                <w:rFonts w:ascii="Times New Roman" w:hAnsi="Times New Roman"/>
                <w:sz w:val="24"/>
                <w:szCs w:val="24"/>
                <w:lang w:val="lv-LV"/>
              </w:rPr>
            </w:pPr>
            <w:r w:rsidRPr="00B57019">
              <w:rPr>
                <w:rFonts w:ascii="Times New Roman" w:hAnsi="Times New Roman"/>
                <w:sz w:val="24"/>
                <w:szCs w:val="24"/>
                <w:lang w:val="lv-LV"/>
              </w:rPr>
              <w:t xml:space="preserve">Iekšlietu resora darbība IKT nozarē jau tagad ļauj secināt, ka līdzīgi kā Valsts reģionālās attīstības aģentūrai būs nepieciešams meklēt risinājumus, lai piesaistītu attiecīgās jomas speciālistus darbam valsts pārvaldē, līdz ar to Iekšlietu ministrija nevar piekrist Valsts reģionālās attīstības aģentūras IKT jomas cilvēkresursu problēmas </w:t>
            </w:r>
            <w:r w:rsidRPr="00B57019">
              <w:rPr>
                <w:rFonts w:ascii="Times New Roman" w:hAnsi="Times New Roman"/>
                <w:sz w:val="24"/>
                <w:szCs w:val="24"/>
                <w:lang w:val="lv-LV"/>
              </w:rPr>
              <w:lastRenderedPageBreak/>
              <w:t>risināt uz iekšlietu resora rēķina.</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72A0DF5" w14:textId="456392EC" w:rsidR="00584088" w:rsidRPr="00B57019" w:rsidRDefault="00584088" w:rsidP="00584088">
            <w:pPr>
              <w:pStyle w:val="PlainText"/>
              <w:jc w:val="both"/>
              <w:rPr>
                <w:rFonts w:ascii="Times New Roman" w:hAnsi="Times New Roman"/>
                <w:b/>
                <w:sz w:val="24"/>
                <w:szCs w:val="24"/>
                <w:lang w:val="lv-LV"/>
              </w:rPr>
            </w:pPr>
            <w:r w:rsidRPr="00B57019">
              <w:rPr>
                <w:rFonts w:ascii="Times New Roman" w:hAnsi="Times New Roman"/>
                <w:b/>
                <w:sz w:val="24"/>
                <w:szCs w:val="24"/>
                <w:lang w:val="lv-LV"/>
              </w:rPr>
              <w:lastRenderedPageBreak/>
              <w:t>Iebildums nav ņemts vērā.</w:t>
            </w:r>
          </w:p>
          <w:p w14:paraId="776832F8" w14:textId="53665202" w:rsidR="00584088" w:rsidRPr="00B57019" w:rsidRDefault="00584088" w:rsidP="00584088">
            <w:pPr>
              <w:pStyle w:val="PlainText"/>
              <w:jc w:val="both"/>
              <w:rPr>
                <w:rFonts w:ascii="Times New Roman" w:hAnsi="Times New Roman"/>
                <w:b/>
                <w:sz w:val="24"/>
                <w:szCs w:val="24"/>
                <w:lang w:val="lv-LV"/>
              </w:rPr>
            </w:pPr>
            <w:r w:rsidRPr="00B57019">
              <w:rPr>
                <w:rFonts w:ascii="Times New Roman" w:hAnsi="Times New Roman"/>
                <w:sz w:val="24"/>
                <w:szCs w:val="24"/>
                <w:lang w:val="lv-LV"/>
              </w:rPr>
              <w:t>Vēršam uzmanību, ka informatīvajā ziņojumā definētais ietaupījums rodas nevis attiecībā uz IT personālu, bet gan attiecībā uz atbalsta funkciju nodrošināšanu saistīto personālu (lietvežu, iepirkuma speciālistu, juristu u.tml.).</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737859FD" w14:textId="105CB4FD" w:rsidR="00584088" w:rsidRPr="00B57019" w:rsidRDefault="00076067" w:rsidP="00E55888">
            <w:pPr>
              <w:jc w:val="both"/>
            </w:pPr>
            <w:r w:rsidRPr="00B57019">
              <w:t>Iebildums tiek uzturēts</w:t>
            </w:r>
            <w:r w:rsidR="00E55888" w:rsidRPr="00B57019">
              <w:t>.</w:t>
            </w:r>
          </w:p>
        </w:tc>
        <w:tc>
          <w:tcPr>
            <w:tcW w:w="2503" w:type="dxa"/>
            <w:tcBorders>
              <w:top w:val="single" w:sz="4" w:space="0" w:color="auto"/>
              <w:left w:val="single" w:sz="4" w:space="0" w:color="auto"/>
              <w:bottom w:val="single" w:sz="4" w:space="0" w:color="auto"/>
            </w:tcBorders>
            <w:shd w:val="clear" w:color="auto" w:fill="auto"/>
          </w:tcPr>
          <w:p w14:paraId="63534D3B" w14:textId="77777777" w:rsidR="00584088" w:rsidRPr="00B57019" w:rsidRDefault="00584088" w:rsidP="00584088">
            <w:pPr>
              <w:jc w:val="both"/>
            </w:pPr>
            <w:r w:rsidRPr="00B57019">
              <w:t xml:space="preserve">Informatīvā ziņojuma  projekta 2.punkts papildināts ar tekstu šādā redakcijā: </w:t>
            </w:r>
          </w:p>
          <w:p w14:paraId="0DC6B2F8" w14:textId="77777777" w:rsidR="00584088" w:rsidRPr="00B57019" w:rsidRDefault="00584088" w:rsidP="00584088">
            <w:pPr>
              <w:pStyle w:val="ListParagraph"/>
              <w:spacing w:after="0" w:line="240" w:lineRule="auto"/>
              <w:ind w:left="0"/>
              <w:jc w:val="both"/>
              <w:rPr>
                <w:rFonts w:ascii="Times New Roman" w:hAnsi="Times New Roman"/>
                <w:sz w:val="24"/>
                <w:szCs w:val="24"/>
                <w:lang w:val="lv-LV"/>
              </w:rPr>
            </w:pPr>
            <w:r w:rsidRPr="00B57019">
              <w:rPr>
                <w:rFonts w:ascii="Times New Roman" w:hAnsi="Times New Roman"/>
                <w:sz w:val="24"/>
                <w:szCs w:val="24"/>
                <w:lang w:val="lv-LV"/>
              </w:rPr>
              <w:t>“</w:t>
            </w:r>
            <w:r w:rsidRPr="00B57019">
              <w:rPr>
                <w:rFonts w:ascii="Times New Roman" w:hAnsi="Times New Roman"/>
                <w:sz w:val="24"/>
                <w:szCs w:val="24"/>
              </w:rPr>
              <w:t xml:space="preserve">Aprēķinātais </w:t>
            </w:r>
            <w:r w:rsidRPr="00B57019">
              <w:rPr>
                <w:rFonts w:ascii="Times New Roman" w:hAnsi="Times New Roman"/>
                <w:sz w:val="24"/>
                <w:szCs w:val="24"/>
                <w:lang w:val="lv-LV"/>
              </w:rPr>
              <w:t>ietaupījums rodas attiecībā uz atbalsta funkciju nodrošināšanu saistīto personālu (lietvežu, iepirkum</w:t>
            </w:r>
            <w:r w:rsidRPr="00B57019">
              <w:rPr>
                <w:rFonts w:ascii="Times New Roman" w:hAnsi="Times New Roman"/>
                <w:sz w:val="24"/>
                <w:szCs w:val="24"/>
              </w:rPr>
              <w:t xml:space="preserve">a speciālistu, juristu u.tml.), </w:t>
            </w:r>
            <w:r w:rsidRPr="00B57019">
              <w:rPr>
                <w:rFonts w:ascii="Times New Roman" w:hAnsi="Times New Roman"/>
                <w:sz w:val="24"/>
                <w:szCs w:val="24"/>
                <w:lang w:val="lv-LV"/>
              </w:rPr>
              <w:t xml:space="preserve">nevis attiecībā uz </w:t>
            </w:r>
            <w:r w:rsidRPr="00B57019">
              <w:rPr>
                <w:rFonts w:ascii="Times New Roman" w:hAnsi="Times New Roman"/>
                <w:sz w:val="24"/>
                <w:szCs w:val="24"/>
              </w:rPr>
              <w:t>informācijas tehnoloģiju personālu.</w:t>
            </w:r>
            <w:r w:rsidRPr="00B57019">
              <w:rPr>
                <w:rFonts w:ascii="Times New Roman" w:hAnsi="Times New Roman"/>
                <w:sz w:val="24"/>
                <w:szCs w:val="24"/>
                <w:lang w:val="lv-LV"/>
              </w:rPr>
              <w:t xml:space="preserve">” </w:t>
            </w:r>
          </w:p>
          <w:p w14:paraId="6B212F86" w14:textId="77777777" w:rsidR="00584088" w:rsidRPr="00B57019" w:rsidRDefault="00584088" w:rsidP="00256F62">
            <w:pPr>
              <w:jc w:val="both"/>
            </w:pPr>
          </w:p>
        </w:tc>
      </w:tr>
      <w:tr w:rsidR="00B57019" w:rsidRPr="00B57019" w14:paraId="7C257710"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BEA650" w14:textId="4E7879C0" w:rsidR="004C1502" w:rsidRPr="00B57019" w:rsidRDefault="00F24651" w:rsidP="004C1502">
            <w:pPr>
              <w:pStyle w:val="naisc"/>
              <w:spacing w:before="0" w:after="0"/>
            </w:pPr>
            <w:r w:rsidRPr="00B57019">
              <w:lastRenderedPageBreak/>
              <w:t>6</w:t>
            </w:r>
            <w:r w:rsidR="00D2008E" w:rsidRPr="00B57019">
              <w:t>.</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FF3888" w14:textId="77777777" w:rsidR="004C1502" w:rsidRPr="00B57019" w:rsidRDefault="004C1502" w:rsidP="004C1502">
            <w:pPr>
              <w:pStyle w:val="naisc"/>
              <w:spacing w:before="0" w:after="0"/>
              <w:jc w:val="left"/>
            </w:pPr>
            <w:r w:rsidRPr="00B57019">
              <w:t xml:space="preserve">Informatīvā ziņojuma </w:t>
            </w:r>
            <w:r w:rsidR="005404C2" w:rsidRPr="00B57019">
              <w:t xml:space="preserve">un </w:t>
            </w:r>
            <w:r w:rsidRPr="00B57019">
              <w:t>protokollēmuma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28A1B6" w14:textId="77777777" w:rsidR="004C1502" w:rsidRPr="00B57019" w:rsidRDefault="004C1502" w:rsidP="00FE510F">
            <w:pPr>
              <w:pStyle w:val="NoSpacing"/>
              <w:spacing w:after="120"/>
              <w:jc w:val="both"/>
              <w:rPr>
                <w:rFonts w:ascii="Times New Roman" w:hAnsi="Times New Roman"/>
                <w:sz w:val="24"/>
                <w:szCs w:val="24"/>
                <w:lang w:val="lv-LV"/>
              </w:rPr>
            </w:pPr>
            <w:r w:rsidRPr="00B57019">
              <w:rPr>
                <w:rFonts w:ascii="Times New Roman" w:hAnsi="Times New Roman"/>
                <w:sz w:val="24"/>
                <w:szCs w:val="24"/>
                <w:lang w:val="lv-LV"/>
              </w:rPr>
              <w:t>Uzskatām, ka uz iekšlietu resoru nav attiecināma protokollēmuma projekta 3.1.5.apakšpunktā norādītā amata vietu un resora bāzes izdevumu samazināšana:</w:t>
            </w:r>
          </w:p>
          <w:p w14:paraId="0ED0709A" w14:textId="77777777" w:rsidR="004C1502" w:rsidRPr="00B57019" w:rsidRDefault="004C1502" w:rsidP="00FE510F">
            <w:pPr>
              <w:pStyle w:val="NoSpacing"/>
              <w:tabs>
                <w:tab w:val="left" w:pos="851"/>
              </w:tabs>
              <w:jc w:val="both"/>
              <w:rPr>
                <w:rFonts w:ascii="Times New Roman" w:hAnsi="Times New Roman"/>
                <w:sz w:val="24"/>
                <w:szCs w:val="24"/>
                <w:lang w:val="lv-LV"/>
              </w:rPr>
            </w:pPr>
            <w:r w:rsidRPr="00B57019">
              <w:rPr>
                <w:rFonts w:ascii="Times New Roman" w:hAnsi="Times New Roman"/>
                <w:sz w:val="24"/>
                <w:szCs w:val="24"/>
                <w:lang w:val="lv-LV"/>
              </w:rPr>
              <w:t xml:space="preserve">- Vēlamies norādīt, ka Iekšlietu ministrijas Informācijas centrs ir tieši iesaistīts vienotās tīmekļvietnes platformas projekta realizācijā kā viena no 12 pilotprojekta iestādēm un datu centrs, tāpēc Iekšlietu ministrijas ieskatā nav lietderīgi samazināt tā resursus, vēl jo vairāk, ņemot vērā apstākli, ka arī pārējās iekšlietu resora iestādes tiks iesaistītas vienotā tīmekļvietnes projektā un tām būs nepieciešami tie paši resursi, kas līdz šim, lai pielāgotu esošās tīmekļvietnes jaunai platformai, tajās esošā satura pārnešanai un jauna veidošanai, lai nodrošinātu Ministru kabineta 2018. gada 25. septembra noteikumu Nr.611 “Kārtība, kādā </w:t>
            </w:r>
            <w:r w:rsidRPr="00B57019">
              <w:rPr>
                <w:rFonts w:ascii="Times New Roman" w:hAnsi="Times New Roman"/>
                <w:sz w:val="24"/>
                <w:szCs w:val="24"/>
                <w:lang w:val="lv-LV"/>
              </w:rPr>
              <w:lastRenderedPageBreak/>
              <w:t xml:space="preserve">iestādes ievieto informāciju internetā” noteiktos pienākumus.  Tāpat ir jānorāda, ka Vienotās pieteikšanās moduļa sistēmas (turpmāk – VPM) ieviešanu izmanto Pilsonības un migrācijas lietu pārvaldes uzturētajos e-pakalpojumos, tomēr VPM šobrīd netiek izmantots nevienai no Pārvaldes uzturētajām sistēmām, to plānots darīt, sākot ar 2021. gadu (Ministru kabineta 2019. gada 2. aprīļa protokollēmums Nr.17 §32 (VSS-683), informatīvais ziņojums “Par informācijas aprites un piekļuves risinājumiem valsts pārvaldē”). </w:t>
            </w:r>
          </w:p>
          <w:p w14:paraId="6D7C813C" w14:textId="77777777" w:rsidR="004C1502" w:rsidRPr="00B57019" w:rsidRDefault="004C1502" w:rsidP="00FE510F">
            <w:pPr>
              <w:pStyle w:val="NoSpacing"/>
              <w:jc w:val="both"/>
              <w:rPr>
                <w:rFonts w:ascii="Times New Roman" w:hAnsi="Times New Roman"/>
                <w:sz w:val="24"/>
                <w:szCs w:val="24"/>
                <w:lang w:val="lv-LV"/>
              </w:rPr>
            </w:pPr>
            <w:r w:rsidRPr="00B57019">
              <w:rPr>
                <w:rFonts w:ascii="Times New Roman" w:hAnsi="Times New Roman"/>
                <w:sz w:val="24"/>
                <w:szCs w:val="24"/>
                <w:lang w:val="lv-LV"/>
              </w:rPr>
              <w:t xml:space="preserve">Valsts reģionālās attīstības aģentūra ir vairākkārt norādījusi, ka VPM galvenais ieguvums iestādei ir dažādu autentifikācijas metožu apkopojums vienā rīkā, kas integrējams iestādes sistēmā vienu reizi, tādejādi aizstājot nepieciešamību pēc vairāku autentifikācijas metožu atsevišķas integrācijas vienā sistēmā un samazinot </w:t>
            </w:r>
            <w:r w:rsidRPr="00B57019">
              <w:rPr>
                <w:rFonts w:ascii="Times New Roman" w:hAnsi="Times New Roman"/>
                <w:sz w:val="24"/>
                <w:szCs w:val="24"/>
                <w:lang w:val="lv-LV"/>
              </w:rPr>
              <w:lastRenderedPageBreak/>
              <w:t xml:space="preserve">izdevumus, kā arī VPM ir lētāks uzturēšanā, kā arī šī risinājuma uzturēšanai netiek izmantoti iestāžu cilvēkresursi. Iekšlietu resoram netika piešķirts finansējums un papildu cilvēkresursi VPM risinājuma administrēšanai Pilsonības un migrācijas lietu pārvaldes sniegto pakalpojumu uzturēšanai. </w:t>
            </w:r>
          </w:p>
          <w:p w14:paraId="5C76D677" w14:textId="77777777" w:rsidR="004C1502" w:rsidRPr="00B57019" w:rsidRDefault="004C1502" w:rsidP="00FE510F">
            <w:pPr>
              <w:pStyle w:val="NoSpacing"/>
              <w:tabs>
                <w:tab w:val="left" w:pos="851"/>
              </w:tabs>
              <w:jc w:val="both"/>
              <w:rPr>
                <w:rFonts w:ascii="Times New Roman" w:hAnsi="Times New Roman"/>
                <w:sz w:val="24"/>
                <w:szCs w:val="24"/>
                <w:lang w:val="lv-LV"/>
              </w:rPr>
            </w:pPr>
            <w:r w:rsidRPr="00B57019">
              <w:rPr>
                <w:rFonts w:ascii="Times New Roman" w:hAnsi="Times New Roman"/>
                <w:sz w:val="24"/>
                <w:szCs w:val="24"/>
                <w:lang w:val="lv-LV"/>
              </w:rPr>
              <w:t>- Iekšlietu ministrijas ieskatā ir nekorekti veikts potenciālais cilvēkresursu ieguldījums/ietaupījums (2.tabula) pieņemot, ka visām iestādēm, kas nodrošinātu autentifikācijas risinājumus, būtu nepieciešams izmantot visus 11 autentifikācijas pakalpojumu sniedzējus. Iekšlietu ministrija norāda, ka 11 autentifikācijas pakalpojumu sniedzējus katram resoram atsevišķi nodrošināt savās autentifikācijas sistēm</w:t>
            </w:r>
            <w:r w:rsidR="00E85A0E" w:rsidRPr="00B57019">
              <w:rPr>
                <w:rFonts w:ascii="Times New Roman" w:hAnsi="Times New Roman"/>
                <w:sz w:val="24"/>
                <w:szCs w:val="24"/>
                <w:lang w:val="lv-LV"/>
              </w:rPr>
              <w:t>ā</w:t>
            </w:r>
            <w:r w:rsidRPr="00B57019">
              <w:rPr>
                <w:rFonts w:ascii="Times New Roman" w:hAnsi="Times New Roman"/>
                <w:sz w:val="24"/>
                <w:szCs w:val="24"/>
                <w:lang w:val="lv-LV"/>
              </w:rPr>
              <w:t xml:space="preserve">s nebūtu pamatotas nepieciešamības. Papildus norādām, ka VPM pēc būtības nodrošinās lietotājam papildu iespējas, lai autentificētos </w:t>
            </w:r>
            <w:r w:rsidRPr="00B57019">
              <w:rPr>
                <w:rFonts w:ascii="Times New Roman" w:hAnsi="Times New Roman"/>
                <w:sz w:val="24"/>
                <w:szCs w:val="24"/>
                <w:lang w:val="lv-LV"/>
              </w:rPr>
              <w:lastRenderedPageBreak/>
              <w:t xml:space="preserve">sistēmā, tāpēc Iekšlietu ministrijas resorā neietaupīs nedz administratoru, nedz sistēmanalītiķu darba ieguldījumu, jo neskatoties uz VPM izmantošanu, visu sistēmu vienlaicīga pārslēgšanās uz VPM nav iespējama, būs jāturpina uzturēt resorā izveidotais autentifikācijas un autorizācijas risinājums, būs jāturpina to administrēt, būs jāpārvalda lietotāju tiesības un lomas u.tml. </w:t>
            </w:r>
          </w:p>
          <w:p w14:paraId="560E789C" w14:textId="77777777" w:rsidR="004C1502" w:rsidRPr="00B57019" w:rsidRDefault="004C1502" w:rsidP="00FE510F">
            <w:pPr>
              <w:pStyle w:val="NoSpacing"/>
              <w:tabs>
                <w:tab w:val="left" w:pos="1134"/>
              </w:tabs>
              <w:spacing w:after="120"/>
              <w:jc w:val="both"/>
              <w:rPr>
                <w:rFonts w:ascii="Times New Roman" w:hAnsi="Times New Roman"/>
                <w:sz w:val="24"/>
                <w:szCs w:val="24"/>
                <w:lang w:val="lv-LV"/>
              </w:rPr>
            </w:pPr>
            <w:r w:rsidRPr="00B57019">
              <w:rPr>
                <w:rFonts w:ascii="Times New Roman" w:hAnsi="Times New Roman"/>
                <w:sz w:val="24"/>
                <w:szCs w:val="24"/>
                <w:lang w:val="lv-LV" w:eastAsia="lv-LV"/>
              </w:rPr>
              <w:t xml:space="preserve">- Līdz ar oficiālās elektroniskās adreses ieviešanu iekšlietu resora iestādēs nav būtiski samazinājies administratīvais slogs, kas būtu ļāvis būtiski optimizēt iekšējos resursus, jo, mainoties saziņas kanālam, nav samazinājies darba apjoms saņemto dokumentu izvērtēšanā un atbilžu sagatavošanā, it īpaši, ņemot vērā apstākli, ka privātpersona elektronisko adresi var izveidot brīvprātīgā kārtā un saziņa ar personām, kurām tā nav izveidota, tiek nodrošināta, izmantojot citus </w:t>
            </w:r>
            <w:r w:rsidRPr="00B57019">
              <w:rPr>
                <w:rFonts w:ascii="Times New Roman" w:hAnsi="Times New Roman"/>
                <w:sz w:val="24"/>
                <w:szCs w:val="24"/>
                <w:lang w:val="lv-LV" w:eastAsia="lv-LV"/>
              </w:rPr>
              <w:lastRenderedPageBreak/>
              <w:t>kanālus.</w:t>
            </w:r>
          </w:p>
          <w:p w14:paraId="0435C94C" w14:textId="77777777" w:rsidR="004C1502" w:rsidRPr="00B57019" w:rsidRDefault="004C1502" w:rsidP="00FE510F">
            <w:pPr>
              <w:pStyle w:val="naisc"/>
              <w:spacing w:before="0" w:after="0"/>
              <w:ind w:firstLine="720"/>
              <w:jc w:val="both"/>
            </w:pPr>
            <w:r w:rsidRPr="00B57019">
              <w:t xml:space="preserve">- Neskatoties uz ziņojuma projektā norādīto pamatojumu, kura rezultātā tiek izdarīti secinājumi par iespējamo resursu ekonomiju, iekšlietu resora iestādes jau pašreiz veic lielu daļu no iekšlietu nozares iepirkumiem un šobrīd aktīvi izmanto Elektronisko iepirkumu sistēmu, tādēļ tiešs darbinieku skaita samazinājums tās izmantošanas rezultātā nav prognozējams. Vēlamies norādīt, ka sistēmas sadaļa “E-Konkursi” darba apjomu nesamazina, bet gan tieši pretēji, darba apjoms ir palielinājies. Ja iepirkums sastāv no vairākām daļām, tad tas tehniski prasa lielāku darba apjomu. Visa dokumentu pievienošana un sadalīšana ir sarežģītāka, katram dokumentam ir jāaizpilda līdz deviņām ailēm, kas tehniski prasa lielāku laika periodu. Tāpat Elektroniskajā iepirkumu sistēmā nav iespējams paredzēt pilnīgi visu nepieciešamo IKT programmatūras un aparatūras </w:t>
            </w:r>
            <w:r w:rsidRPr="00B57019">
              <w:lastRenderedPageBreak/>
              <w:t>klāstu, pēc kā iestādēm rodas nepieciešamība ikdienā vai realizējot specifiskus sarežģītus projektus. Piemēram, Elektroniskajā iepirkumu sistēmā nekad nebūs lietderīgi veikt iepirkumus par nepieciešamo radio releju līniju izbūvēm un projektēšanām, nebūs iespējams veikt ārkārtas dienestiem nepieciešamo radiosakaru sistēmu (TETRA, APCO, PS-LTE standartu, u.c.) projektēšanu, izbūvi un uzturēšanu. Palielinoties IKT risinājumu pielietojumam, arī šādu specifisku iepirkumu skaits pieaug, kā rezultātā faktiski slodze iepirkumu realizēšanā nemazinās.</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782D2C" w14:textId="77777777" w:rsidR="004C1502" w:rsidRPr="00B57019" w:rsidRDefault="004C1502" w:rsidP="004C1502">
            <w:pPr>
              <w:pStyle w:val="PlainText"/>
              <w:jc w:val="both"/>
              <w:rPr>
                <w:rFonts w:ascii="Times New Roman" w:hAnsi="Times New Roman"/>
                <w:b/>
                <w:sz w:val="24"/>
                <w:szCs w:val="24"/>
                <w:lang w:val="lv-LV"/>
              </w:rPr>
            </w:pPr>
            <w:r w:rsidRPr="00B57019">
              <w:rPr>
                <w:rFonts w:ascii="Times New Roman" w:hAnsi="Times New Roman"/>
                <w:b/>
                <w:sz w:val="24"/>
                <w:szCs w:val="24"/>
                <w:lang w:val="lv-LV"/>
              </w:rPr>
              <w:lastRenderedPageBreak/>
              <w:t>I</w:t>
            </w:r>
            <w:r w:rsidR="008A08DD" w:rsidRPr="00B57019">
              <w:rPr>
                <w:rFonts w:ascii="Times New Roman" w:hAnsi="Times New Roman"/>
                <w:b/>
                <w:sz w:val="24"/>
                <w:szCs w:val="24"/>
                <w:lang w:val="lv-LV"/>
              </w:rPr>
              <w:t xml:space="preserve">ebildums </w:t>
            </w:r>
            <w:r w:rsidR="00DD0936" w:rsidRPr="00B57019">
              <w:rPr>
                <w:rFonts w:ascii="Times New Roman" w:hAnsi="Times New Roman"/>
                <w:b/>
                <w:sz w:val="24"/>
                <w:szCs w:val="24"/>
                <w:lang w:val="lv-LV"/>
              </w:rPr>
              <w:t>daļēji</w:t>
            </w:r>
            <w:r w:rsidRPr="00B57019">
              <w:rPr>
                <w:rFonts w:ascii="Times New Roman" w:hAnsi="Times New Roman"/>
                <w:b/>
                <w:sz w:val="24"/>
                <w:szCs w:val="24"/>
                <w:lang w:val="lv-LV"/>
              </w:rPr>
              <w:t xml:space="preserve"> ņemts vērā.</w:t>
            </w:r>
          </w:p>
          <w:p w14:paraId="0369AC2F" w14:textId="77777777" w:rsidR="004C1502" w:rsidRPr="00B57019" w:rsidRDefault="004C1502" w:rsidP="004C1502">
            <w:pPr>
              <w:pStyle w:val="PlainText"/>
              <w:jc w:val="both"/>
              <w:rPr>
                <w:rFonts w:ascii="Times New Roman" w:hAnsi="Times New Roman"/>
                <w:b/>
                <w:sz w:val="24"/>
                <w:szCs w:val="24"/>
                <w:lang w:val="lv-LV"/>
              </w:rPr>
            </w:pPr>
          </w:p>
          <w:p w14:paraId="07FF2739" w14:textId="77777777" w:rsidR="00E85A0E" w:rsidRPr="00B57019" w:rsidRDefault="00E85A0E" w:rsidP="006623AA">
            <w:pPr>
              <w:pStyle w:val="PlainText"/>
              <w:jc w:val="both"/>
              <w:rPr>
                <w:rFonts w:ascii="Times New Roman" w:hAnsi="Times New Roman"/>
                <w:sz w:val="24"/>
                <w:szCs w:val="24"/>
                <w:u w:val="single"/>
                <w:lang w:val="lv-LV"/>
              </w:rPr>
            </w:pPr>
          </w:p>
          <w:p w14:paraId="62906642" w14:textId="77777777" w:rsidR="00E85A0E" w:rsidRPr="00B57019" w:rsidRDefault="00E85A0E" w:rsidP="006623AA">
            <w:pPr>
              <w:pStyle w:val="PlainText"/>
              <w:jc w:val="both"/>
              <w:rPr>
                <w:rFonts w:ascii="Times New Roman" w:hAnsi="Times New Roman"/>
                <w:sz w:val="24"/>
                <w:szCs w:val="24"/>
                <w:u w:val="single"/>
                <w:lang w:val="lv-LV"/>
              </w:rPr>
            </w:pPr>
          </w:p>
          <w:p w14:paraId="58AFE6CA" w14:textId="77777777" w:rsidR="00E85A0E" w:rsidRPr="00B57019" w:rsidRDefault="00E85A0E" w:rsidP="006623AA">
            <w:pPr>
              <w:pStyle w:val="PlainText"/>
              <w:jc w:val="both"/>
              <w:rPr>
                <w:rFonts w:ascii="Times New Roman" w:hAnsi="Times New Roman"/>
                <w:sz w:val="24"/>
                <w:szCs w:val="24"/>
                <w:u w:val="single"/>
                <w:lang w:val="lv-LV"/>
              </w:rPr>
            </w:pPr>
          </w:p>
          <w:p w14:paraId="6F35B40A" w14:textId="77777777" w:rsidR="00E85A0E" w:rsidRPr="00B57019" w:rsidRDefault="00E85A0E" w:rsidP="006623AA">
            <w:pPr>
              <w:pStyle w:val="PlainText"/>
              <w:jc w:val="both"/>
              <w:rPr>
                <w:rFonts w:ascii="Times New Roman" w:hAnsi="Times New Roman"/>
                <w:sz w:val="24"/>
                <w:szCs w:val="24"/>
                <w:u w:val="single"/>
                <w:lang w:val="lv-LV"/>
              </w:rPr>
            </w:pPr>
          </w:p>
          <w:p w14:paraId="7A48C99B" w14:textId="77777777" w:rsidR="00E85A0E" w:rsidRPr="00B57019" w:rsidRDefault="00E85A0E" w:rsidP="006623AA">
            <w:pPr>
              <w:pStyle w:val="PlainText"/>
              <w:jc w:val="both"/>
              <w:rPr>
                <w:rFonts w:ascii="Times New Roman" w:hAnsi="Times New Roman"/>
                <w:sz w:val="24"/>
                <w:szCs w:val="24"/>
                <w:u w:val="single"/>
                <w:lang w:val="lv-LV"/>
              </w:rPr>
            </w:pPr>
          </w:p>
          <w:p w14:paraId="556B47C1" w14:textId="77777777" w:rsidR="00E85A0E" w:rsidRPr="00B57019" w:rsidRDefault="00E85A0E" w:rsidP="006623AA">
            <w:pPr>
              <w:pStyle w:val="PlainText"/>
              <w:jc w:val="both"/>
              <w:rPr>
                <w:rFonts w:ascii="Times New Roman" w:hAnsi="Times New Roman"/>
                <w:sz w:val="24"/>
                <w:szCs w:val="24"/>
                <w:u w:val="single"/>
                <w:lang w:val="lv-LV"/>
              </w:rPr>
            </w:pPr>
          </w:p>
          <w:p w14:paraId="0FAC881D" w14:textId="77777777" w:rsidR="00E85A0E" w:rsidRPr="00B57019" w:rsidRDefault="00E85A0E" w:rsidP="006623AA">
            <w:pPr>
              <w:pStyle w:val="PlainText"/>
              <w:jc w:val="both"/>
              <w:rPr>
                <w:rFonts w:ascii="Times New Roman" w:hAnsi="Times New Roman"/>
                <w:sz w:val="24"/>
                <w:szCs w:val="24"/>
                <w:u w:val="single"/>
                <w:lang w:val="lv-LV"/>
              </w:rPr>
            </w:pPr>
          </w:p>
          <w:p w14:paraId="68EE8192" w14:textId="77777777" w:rsidR="00E85A0E" w:rsidRPr="00B57019" w:rsidRDefault="00E85A0E" w:rsidP="006623AA">
            <w:pPr>
              <w:pStyle w:val="PlainText"/>
              <w:jc w:val="both"/>
              <w:rPr>
                <w:rFonts w:ascii="Times New Roman" w:hAnsi="Times New Roman"/>
                <w:sz w:val="24"/>
                <w:szCs w:val="24"/>
                <w:u w:val="single"/>
                <w:lang w:val="lv-LV"/>
              </w:rPr>
            </w:pPr>
          </w:p>
          <w:p w14:paraId="20EDB15B" w14:textId="77777777" w:rsidR="00E85A0E" w:rsidRPr="00B57019" w:rsidRDefault="00E85A0E" w:rsidP="006623AA">
            <w:pPr>
              <w:pStyle w:val="PlainText"/>
              <w:jc w:val="both"/>
              <w:rPr>
                <w:rFonts w:ascii="Times New Roman" w:hAnsi="Times New Roman"/>
                <w:sz w:val="24"/>
                <w:szCs w:val="24"/>
                <w:u w:val="single"/>
                <w:lang w:val="lv-LV"/>
              </w:rPr>
            </w:pPr>
          </w:p>
          <w:p w14:paraId="59B9B870" w14:textId="77777777" w:rsidR="00E85A0E" w:rsidRPr="00B57019" w:rsidRDefault="00E85A0E" w:rsidP="006623AA">
            <w:pPr>
              <w:pStyle w:val="PlainText"/>
              <w:jc w:val="both"/>
              <w:rPr>
                <w:rFonts w:ascii="Times New Roman" w:hAnsi="Times New Roman"/>
                <w:sz w:val="24"/>
                <w:szCs w:val="24"/>
                <w:u w:val="single"/>
                <w:lang w:val="lv-LV"/>
              </w:rPr>
            </w:pPr>
          </w:p>
          <w:p w14:paraId="44E58C5C" w14:textId="77777777" w:rsidR="00E85A0E" w:rsidRPr="00B57019" w:rsidRDefault="00E85A0E" w:rsidP="006623AA">
            <w:pPr>
              <w:pStyle w:val="PlainText"/>
              <w:jc w:val="both"/>
              <w:rPr>
                <w:rFonts w:ascii="Times New Roman" w:hAnsi="Times New Roman"/>
                <w:sz w:val="24"/>
                <w:szCs w:val="24"/>
                <w:u w:val="single"/>
                <w:lang w:val="lv-LV"/>
              </w:rPr>
            </w:pPr>
          </w:p>
          <w:p w14:paraId="35467FF0" w14:textId="77777777" w:rsidR="00E85A0E" w:rsidRPr="00B57019" w:rsidRDefault="00E85A0E" w:rsidP="006623AA">
            <w:pPr>
              <w:pStyle w:val="PlainText"/>
              <w:jc w:val="both"/>
              <w:rPr>
                <w:rFonts w:ascii="Times New Roman" w:hAnsi="Times New Roman"/>
                <w:sz w:val="24"/>
                <w:szCs w:val="24"/>
                <w:u w:val="single"/>
                <w:lang w:val="lv-LV"/>
              </w:rPr>
            </w:pPr>
          </w:p>
          <w:p w14:paraId="6CA6DDD8" w14:textId="77777777" w:rsidR="00E85A0E" w:rsidRPr="00B57019" w:rsidRDefault="00E85A0E" w:rsidP="006623AA">
            <w:pPr>
              <w:pStyle w:val="PlainText"/>
              <w:jc w:val="both"/>
              <w:rPr>
                <w:rFonts w:ascii="Times New Roman" w:hAnsi="Times New Roman"/>
                <w:sz w:val="24"/>
                <w:szCs w:val="24"/>
                <w:u w:val="single"/>
                <w:lang w:val="lv-LV"/>
              </w:rPr>
            </w:pPr>
          </w:p>
          <w:p w14:paraId="5899A87E" w14:textId="77777777" w:rsidR="00E85A0E" w:rsidRPr="00B57019" w:rsidRDefault="00E85A0E" w:rsidP="006623AA">
            <w:pPr>
              <w:pStyle w:val="PlainText"/>
              <w:jc w:val="both"/>
              <w:rPr>
                <w:rFonts w:ascii="Times New Roman" w:hAnsi="Times New Roman"/>
                <w:sz w:val="24"/>
                <w:szCs w:val="24"/>
                <w:u w:val="single"/>
                <w:lang w:val="lv-LV"/>
              </w:rPr>
            </w:pPr>
          </w:p>
          <w:p w14:paraId="19E1E1E3" w14:textId="77777777" w:rsidR="00E85A0E" w:rsidRPr="00B57019" w:rsidRDefault="00E85A0E" w:rsidP="006623AA">
            <w:pPr>
              <w:pStyle w:val="PlainText"/>
              <w:jc w:val="both"/>
              <w:rPr>
                <w:rFonts w:ascii="Times New Roman" w:hAnsi="Times New Roman"/>
                <w:sz w:val="24"/>
                <w:szCs w:val="24"/>
                <w:u w:val="single"/>
                <w:lang w:val="lv-LV"/>
              </w:rPr>
            </w:pPr>
          </w:p>
          <w:p w14:paraId="09A37B77" w14:textId="77777777" w:rsidR="006C0267" w:rsidRPr="00B57019" w:rsidRDefault="006C0267" w:rsidP="006623AA">
            <w:pPr>
              <w:pStyle w:val="PlainText"/>
              <w:jc w:val="both"/>
              <w:rPr>
                <w:rFonts w:ascii="Times New Roman" w:hAnsi="Times New Roman"/>
                <w:sz w:val="24"/>
                <w:szCs w:val="24"/>
                <w:lang w:val="lv-LV"/>
              </w:rPr>
            </w:pPr>
          </w:p>
          <w:p w14:paraId="5FC427F8" w14:textId="77777777" w:rsidR="006C0267" w:rsidRPr="00B57019" w:rsidRDefault="006C0267" w:rsidP="006623AA">
            <w:pPr>
              <w:pStyle w:val="PlainText"/>
              <w:jc w:val="both"/>
              <w:rPr>
                <w:rFonts w:ascii="Times New Roman" w:hAnsi="Times New Roman"/>
                <w:sz w:val="24"/>
                <w:szCs w:val="24"/>
                <w:lang w:val="lv-LV"/>
              </w:rPr>
            </w:pPr>
          </w:p>
          <w:p w14:paraId="033E4797" w14:textId="77777777" w:rsidR="006C0267" w:rsidRPr="00B57019" w:rsidRDefault="006C0267" w:rsidP="006623AA">
            <w:pPr>
              <w:pStyle w:val="PlainText"/>
              <w:jc w:val="both"/>
              <w:rPr>
                <w:rFonts w:ascii="Times New Roman" w:hAnsi="Times New Roman"/>
                <w:sz w:val="24"/>
                <w:szCs w:val="24"/>
                <w:lang w:val="lv-LV"/>
              </w:rPr>
            </w:pPr>
          </w:p>
          <w:p w14:paraId="074D0DF4" w14:textId="77777777" w:rsidR="006C0267" w:rsidRPr="00B57019" w:rsidRDefault="006C0267" w:rsidP="006623AA">
            <w:pPr>
              <w:pStyle w:val="PlainText"/>
              <w:jc w:val="both"/>
              <w:rPr>
                <w:rFonts w:ascii="Times New Roman" w:hAnsi="Times New Roman"/>
                <w:sz w:val="24"/>
                <w:szCs w:val="24"/>
                <w:lang w:val="lv-LV"/>
              </w:rPr>
            </w:pPr>
          </w:p>
          <w:p w14:paraId="321CEF8F" w14:textId="77777777" w:rsidR="006C0267" w:rsidRPr="00B57019" w:rsidRDefault="006C0267" w:rsidP="006623AA">
            <w:pPr>
              <w:pStyle w:val="PlainText"/>
              <w:jc w:val="both"/>
              <w:rPr>
                <w:rFonts w:ascii="Times New Roman" w:hAnsi="Times New Roman"/>
                <w:sz w:val="24"/>
                <w:szCs w:val="24"/>
                <w:lang w:val="lv-LV"/>
              </w:rPr>
            </w:pPr>
          </w:p>
          <w:p w14:paraId="1B1F07F9" w14:textId="77777777" w:rsidR="006C0267" w:rsidRPr="00B57019" w:rsidRDefault="006C0267" w:rsidP="006623AA">
            <w:pPr>
              <w:pStyle w:val="PlainText"/>
              <w:jc w:val="both"/>
              <w:rPr>
                <w:rFonts w:ascii="Times New Roman" w:hAnsi="Times New Roman"/>
                <w:sz w:val="24"/>
                <w:szCs w:val="24"/>
                <w:lang w:val="lv-LV"/>
              </w:rPr>
            </w:pPr>
          </w:p>
          <w:p w14:paraId="1081AD8B" w14:textId="77777777" w:rsidR="006C0267" w:rsidRPr="00B57019" w:rsidRDefault="006C0267" w:rsidP="006623AA">
            <w:pPr>
              <w:pStyle w:val="PlainText"/>
              <w:jc w:val="both"/>
              <w:rPr>
                <w:rFonts w:ascii="Times New Roman" w:hAnsi="Times New Roman"/>
                <w:sz w:val="24"/>
                <w:szCs w:val="24"/>
                <w:lang w:val="lv-LV"/>
              </w:rPr>
            </w:pPr>
          </w:p>
          <w:p w14:paraId="59EB73AA" w14:textId="77777777" w:rsidR="006C0267" w:rsidRPr="00B57019" w:rsidRDefault="006C0267" w:rsidP="006623AA">
            <w:pPr>
              <w:pStyle w:val="PlainText"/>
              <w:jc w:val="both"/>
              <w:rPr>
                <w:rFonts w:ascii="Times New Roman" w:hAnsi="Times New Roman"/>
                <w:sz w:val="24"/>
                <w:szCs w:val="24"/>
                <w:lang w:val="lv-LV"/>
              </w:rPr>
            </w:pPr>
          </w:p>
          <w:p w14:paraId="38C131DD" w14:textId="77777777" w:rsidR="006C0267" w:rsidRPr="00B57019" w:rsidRDefault="006C0267" w:rsidP="006623AA">
            <w:pPr>
              <w:pStyle w:val="PlainText"/>
              <w:jc w:val="both"/>
              <w:rPr>
                <w:rFonts w:ascii="Times New Roman" w:hAnsi="Times New Roman"/>
                <w:sz w:val="24"/>
                <w:szCs w:val="24"/>
                <w:lang w:val="lv-LV"/>
              </w:rPr>
            </w:pPr>
          </w:p>
          <w:p w14:paraId="66A2B90F" w14:textId="77777777" w:rsidR="006C0267" w:rsidRPr="00B57019" w:rsidRDefault="006C0267" w:rsidP="006623AA">
            <w:pPr>
              <w:pStyle w:val="PlainText"/>
              <w:jc w:val="both"/>
              <w:rPr>
                <w:rFonts w:ascii="Times New Roman" w:hAnsi="Times New Roman"/>
                <w:sz w:val="24"/>
                <w:szCs w:val="24"/>
                <w:lang w:val="lv-LV"/>
              </w:rPr>
            </w:pPr>
          </w:p>
          <w:p w14:paraId="0BA2631F" w14:textId="77777777" w:rsidR="006C0267" w:rsidRPr="00B57019" w:rsidRDefault="006C0267" w:rsidP="006623AA">
            <w:pPr>
              <w:pStyle w:val="PlainText"/>
              <w:jc w:val="both"/>
              <w:rPr>
                <w:rFonts w:ascii="Times New Roman" w:hAnsi="Times New Roman"/>
                <w:sz w:val="24"/>
                <w:szCs w:val="24"/>
                <w:lang w:val="lv-LV"/>
              </w:rPr>
            </w:pPr>
          </w:p>
          <w:p w14:paraId="6FC15A99" w14:textId="77777777" w:rsidR="006C0267" w:rsidRPr="00B57019" w:rsidRDefault="006C0267" w:rsidP="006623AA">
            <w:pPr>
              <w:pStyle w:val="PlainText"/>
              <w:jc w:val="both"/>
              <w:rPr>
                <w:rFonts w:ascii="Times New Roman" w:hAnsi="Times New Roman"/>
                <w:sz w:val="24"/>
                <w:szCs w:val="24"/>
                <w:lang w:val="lv-LV"/>
              </w:rPr>
            </w:pPr>
          </w:p>
          <w:p w14:paraId="67BDA494" w14:textId="77777777" w:rsidR="006C0267" w:rsidRPr="00B57019" w:rsidRDefault="006C0267" w:rsidP="006623AA">
            <w:pPr>
              <w:pStyle w:val="PlainText"/>
              <w:jc w:val="both"/>
              <w:rPr>
                <w:rFonts w:ascii="Times New Roman" w:hAnsi="Times New Roman"/>
                <w:sz w:val="24"/>
                <w:szCs w:val="24"/>
                <w:lang w:val="lv-LV"/>
              </w:rPr>
            </w:pPr>
          </w:p>
          <w:p w14:paraId="715FAB7D" w14:textId="77777777" w:rsidR="006C0267" w:rsidRPr="00B57019" w:rsidRDefault="006C0267" w:rsidP="006623AA">
            <w:pPr>
              <w:pStyle w:val="PlainText"/>
              <w:jc w:val="both"/>
              <w:rPr>
                <w:rFonts w:ascii="Times New Roman" w:hAnsi="Times New Roman"/>
                <w:sz w:val="24"/>
                <w:szCs w:val="24"/>
                <w:lang w:val="lv-LV"/>
              </w:rPr>
            </w:pPr>
          </w:p>
          <w:p w14:paraId="12C9A8D8" w14:textId="77777777" w:rsidR="00B05C77" w:rsidRPr="00B57019" w:rsidRDefault="00B05C77" w:rsidP="006623AA">
            <w:pPr>
              <w:pStyle w:val="PlainText"/>
              <w:jc w:val="both"/>
              <w:rPr>
                <w:rFonts w:ascii="Times New Roman" w:hAnsi="Times New Roman"/>
                <w:sz w:val="24"/>
                <w:szCs w:val="24"/>
                <w:lang w:val="lv-LV"/>
              </w:rPr>
            </w:pPr>
          </w:p>
          <w:p w14:paraId="7E42BF8F" w14:textId="77777777" w:rsidR="006623AA" w:rsidRPr="00B57019" w:rsidRDefault="00515F3D" w:rsidP="006623AA">
            <w:pPr>
              <w:pStyle w:val="PlainText"/>
              <w:jc w:val="both"/>
              <w:rPr>
                <w:rFonts w:ascii="Times New Roman" w:hAnsi="Times New Roman"/>
                <w:sz w:val="24"/>
                <w:szCs w:val="24"/>
                <w:lang w:val="lv-LV"/>
              </w:rPr>
            </w:pPr>
            <w:r w:rsidRPr="00B57019">
              <w:rPr>
                <w:rFonts w:ascii="Times New Roman" w:hAnsi="Times New Roman"/>
                <w:sz w:val="24"/>
                <w:szCs w:val="24"/>
                <w:lang w:val="lv-LV"/>
              </w:rPr>
              <w:t>Vienotās pieteikšanās modulis (VPM)</w:t>
            </w:r>
            <w:r w:rsidR="006623AA" w:rsidRPr="00B57019">
              <w:rPr>
                <w:rFonts w:ascii="Times New Roman" w:hAnsi="Times New Roman"/>
                <w:sz w:val="24"/>
                <w:szCs w:val="24"/>
                <w:lang w:val="lv-LV"/>
              </w:rPr>
              <w:t xml:space="preserve"> nodrošina un arvien vairāk nodrošinās (proporcionāli tā izmantošanas apjomam) cilvēkresursu ekonomiju valsts pārvaldē kopumā. Informatīvā ziņojuma 3.pielikums ataino daļu no ietaupījuma. Lūdzam Iekšlietu ministriju definēt, kuru no autentifikācijas veidiem tā neizmantos savās informācijas sistēmās.</w:t>
            </w:r>
          </w:p>
          <w:p w14:paraId="61BBD98B" w14:textId="77777777" w:rsidR="004C1502" w:rsidRPr="00B57019" w:rsidRDefault="004C1502" w:rsidP="004C1502">
            <w:pPr>
              <w:pStyle w:val="PlainText"/>
              <w:jc w:val="both"/>
              <w:rPr>
                <w:rFonts w:ascii="Times New Roman" w:hAnsi="Times New Roman"/>
                <w:b/>
                <w:sz w:val="24"/>
                <w:szCs w:val="24"/>
                <w:lang w:val="lv-LV"/>
              </w:rPr>
            </w:pPr>
          </w:p>
          <w:p w14:paraId="7E95886D" w14:textId="77777777" w:rsidR="004C1502" w:rsidRPr="00B57019" w:rsidRDefault="004C1502" w:rsidP="004C1502">
            <w:pPr>
              <w:pStyle w:val="PlainText"/>
              <w:jc w:val="both"/>
              <w:rPr>
                <w:rFonts w:ascii="Times New Roman" w:hAnsi="Times New Roman"/>
                <w:b/>
                <w:sz w:val="24"/>
                <w:szCs w:val="24"/>
                <w:lang w:val="lv-LV"/>
              </w:rPr>
            </w:pPr>
          </w:p>
          <w:p w14:paraId="499FC31F" w14:textId="77777777" w:rsidR="004C1502" w:rsidRPr="00B57019" w:rsidRDefault="004C1502" w:rsidP="004C1502">
            <w:pPr>
              <w:pStyle w:val="PlainText"/>
              <w:jc w:val="both"/>
              <w:rPr>
                <w:rFonts w:ascii="Times New Roman" w:hAnsi="Times New Roman"/>
                <w:b/>
                <w:sz w:val="24"/>
                <w:szCs w:val="24"/>
                <w:lang w:val="lv-LV"/>
              </w:rPr>
            </w:pPr>
          </w:p>
          <w:p w14:paraId="110D4A1E" w14:textId="77777777" w:rsidR="00E85A0E" w:rsidRPr="00B57019" w:rsidRDefault="00E85A0E" w:rsidP="004C1502">
            <w:pPr>
              <w:pStyle w:val="PlainText"/>
              <w:jc w:val="both"/>
              <w:rPr>
                <w:rFonts w:ascii="Times New Roman" w:hAnsi="Times New Roman"/>
                <w:sz w:val="24"/>
                <w:szCs w:val="24"/>
                <w:lang w:val="lv-LV"/>
              </w:rPr>
            </w:pPr>
          </w:p>
          <w:p w14:paraId="45E109CF" w14:textId="77777777" w:rsidR="00E85A0E" w:rsidRPr="00B57019" w:rsidRDefault="00E85A0E" w:rsidP="004C1502">
            <w:pPr>
              <w:pStyle w:val="PlainText"/>
              <w:jc w:val="both"/>
              <w:rPr>
                <w:rFonts w:ascii="Times New Roman" w:hAnsi="Times New Roman"/>
                <w:sz w:val="24"/>
                <w:szCs w:val="24"/>
                <w:lang w:val="lv-LV"/>
              </w:rPr>
            </w:pPr>
          </w:p>
          <w:p w14:paraId="65422AC8" w14:textId="77777777" w:rsidR="00E85A0E" w:rsidRPr="00B57019" w:rsidRDefault="00E85A0E" w:rsidP="004C1502">
            <w:pPr>
              <w:pStyle w:val="PlainText"/>
              <w:jc w:val="both"/>
              <w:rPr>
                <w:rFonts w:ascii="Times New Roman" w:hAnsi="Times New Roman"/>
                <w:sz w:val="24"/>
                <w:szCs w:val="24"/>
                <w:lang w:val="lv-LV"/>
              </w:rPr>
            </w:pPr>
          </w:p>
          <w:p w14:paraId="367019AB" w14:textId="77777777" w:rsidR="00E85A0E" w:rsidRPr="00B57019" w:rsidRDefault="00E85A0E" w:rsidP="004C1502">
            <w:pPr>
              <w:pStyle w:val="PlainText"/>
              <w:jc w:val="both"/>
              <w:rPr>
                <w:rFonts w:ascii="Times New Roman" w:hAnsi="Times New Roman"/>
                <w:sz w:val="24"/>
                <w:szCs w:val="24"/>
                <w:lang w:val="lv-LV"/>
              </w:rPr>
            </w:pPr>
          </w:p>
          <w:p w14:paraId="059574E4" w14:textId="77777777" w:rsidR="00E85A0E" w:rsidRPr="00B57019" w:rsidRDefault="00E85A0E" w:rsidP="004C1502">
            <w:pPr>
              <w:pStyle w:val="PlainText"/>
              <w:jc w:val="both"/>
              <w:rPr>
                <w:rFonts w:ascii="Times New Roman" w:hAnsi="Times New Roman"/>
                <w:sz w:val="24"/>
                <w:szCs w:val="24"/>
                <w:lang w:val="lv-LV"/>
              </w:rPr>
            </w:pPr>
          </w:p>
          <w:p w14:paraId="51B1F20B" w14:textId="77777777" w:rsidR="00E85A0E" w:rsidRPr="00B57019" w:rsidRDefault="00E85A0E" w:rsidP="004C1502">
            <w:pPr>
              <w:pStyle w:val="PlainText"/>
              <w:jc w:val="both"/>
              <w:rPr>
                <w:rFonts w:ascii="Times New Roman" w:hAnsi="Times New Roman"/>
                <w:sz w:val="24"/>
                <w:szCs w:val="24"/>
                <w:lang w:val="lv-LV"/>
              </w:rPr>
            </w:pPr>
          </w:p>
          <w:p w14:paraId="329F7813" w14:textId="77777777" w:rsidR="00E85A0E" w:rsidRPr="00B57019" w:rsidRDefault="00E85A0E" w:rsidP="004C1502">
            <w:pPr>
              <w:pStyle w:val="PlainText"/>
              <w:jc w:val="both"/>
              <w:rPr>
                <w:rFonts w:ascii="Times New Roman" w:hAnsi="Times New Roman"/>
                <w:sz w:val="24"/>
                <w:szCs w:val="24"/>
                <w:lang w:val="lv-LV"/>
              </w:rPr>
            </w:pPr>
          </w:p>
          <w:p w14:paraId="2ACE2FD8" w14:textId="77777777" w:rsidR="00E85A0E" w:rsidRPr="00B57019" w:rsidRDefault="00E85A0E" w:rsidP="004C1502">
            <w:pPr>
              <w:pStyle w:val="PlainText"/>
              <w:jc w:val="both"/>
              <w:rPr>
                <w:rFonts w:ascii="Times New Roman" w:hAnsi="Times New Roman"/>
                <w:sz w:val="24"/>
                <w:szCs w:val="24"/>
                <w:lang w:val="lv-LV"/>
              </w:rPr>
            </w:pPr>
          </w:p>
          <w:p w14:paraId="430E3B20" w14:textId="77777777" w:rsidR="00E85A0E" w:rsidRPr="00B57019" w:rsidRDefault="00E85A0E" w:rsidP="004C1502">
            <w:pPr>
              <w:pStyle w:val="PlainText"/>
              <w:jc w:val="both"/>
              <w:rPr>
                <w:rFonts w:ascii="Times New Roman" w:hAnsi="Times New Roman"/>
                <w:sz w:val="24"/>
                <w:szCs w:val="24"/>
                <w:lang w:val="lv-LV"/>
              </w:rPr>
            </w:pPr>
          </w:p>
          <w:p w14:paraId="13FF034F" w14:textId="77777777" w:rsidR="00E85A0E" w:rsidRPr="00B57019" w:rsidRDefault="00E85A0E" w:rsidP="004C1502">
            <w:pPr>
              <w:pStyle w:val="PlainText"/>
              <w:jc w:val="both"/>
              <w:rPr>
                <w:rFonts w:ascii="Times New Roman" w:hAnsi="Times New Roman"/>
                <w:sz w:val="24"/>
                <w:szCs w:val="24"/>
                <w:lang w:val="lv-LV"/>
              </w:rPr>
            </w:pPr>
          </w:p>
          <w:p w14:paraId="392EA885" w14:textId="77777777" w:rsidR="00E85A0E" w:rsidRPr="00B57019" w:rsidRDefault="00E85A0E" w:rsidP="004C1502">
            <w:pPr>
              <w:pStyle w:val="PlainText"/>
              <w:jc w:val="both"/>
              <w:rPr>
                <w:rFonts w:ascii="Times New Roman" w:hAnsi="Times New Roman"/>
                <w:sz w:val="24"/>
                <w:szCs w:val="24"/>
                <w:lang w:val="lv-LV"/>
              </w:rPr>
            </w:pPr>
          </w:p>
          <w:p w14:paraId="4E03C058" w14:textId="77777777" w:rsidR="00E85A0E" w:rsidRPr="00B57019" w:rsidRDefault="00E85A0E" w:rsidP="004C1502">
            <w:pPr>
              <w:pStyle w:val="PlainText"/>
              <w:jc w:val="both"/>
              <w:rPr>
                <w:rFonts w:ascii="Times New Roman" w:hAnsi="Times New Roman"/>
                <w:sz w:val="24"/>
                <w:szCs w:val="24"/>
                <w:lang w:val="lv-LV"/>
              </w:rPr>
            </w:pPr>
          </w:p>
          <w:p w14:paraId="00F6DB7F" w14:textId="77777777" w:rsidR="00E85A0E" w:rsidRPr="00B57019" w:rsidRDefault="00E85A0E" w:rsidP="004C1502">
            <w:pPr>
              <w:pStyle w:val="PlainText"/>
              <w:jc w:val="both"/>
              <w:rPr>
                <w:rFonts w:ascii="Times New Roman" w:hAnsi="Times New Roman"/>
                <w:sz w:val="24"/>
                <w:szCs w:val="24"/>
                <w:lang w:val="lv-LV"/>
              </w:rPr>
            </w:pPr>
          </w:p>
          <w:p w14:paraId="194F3D5A" w14:textId="77777777" w:rsidR="00E85A0E" w:rsidRPr="00B57019" w:rsidRDefault="00E85A0E" w:rsidP="004C1502">
            <w:pPr>
              <w:pStyle w:val="PlainText"/>
              <w:jc w:val="both"/>
              <w:rPr>
                <w:rFonts w:ascii="Times New Roman" w:hAnsi="Times New Roman"/>
                <w:sz w:val="24"/>
                <w:szCs w:val="24"/>
                <w:lang w:val="lv-LV"/>
              </w:rPr>
            </w:pPr>
          </w:p>
          <w:p w14:paraId="0FF1719A" w14:textId="77777777" w:rsidR="00E85A0E" w:rsidRPr="00B57019" w:rsidRDefault="00E85A0E" w:rsidP="004C1502">
            <w:pPr>
              <w:pStyle w:val="PlainText"/>
              <w:jc w:val="both"/>
              <w:rPr>
                <w:rFonts w:ascii="Times New Roman" w:hAnsi="Times New Roman"/>
                <w:sz w:val="24"/>
                <w:szCs w:val="24"/>
                <w:lang w:val="lv-LV"/>
              </w:rPr>
            </w:pPr>
          </w:p>
          <w:p w14:paraId="3C9FDFFF" w14:textId="77777777" w:rsidR="00E85A0E" w:rsidRPr="00B57019" w:rsidRDefault="00E85A0E" w:rsidP="004C1502">
            <w:pPr>
              <w:pStyle w:val="PlainText"/>
              <w:jc w:val="both"/>
              <w:rPr>
                <w:rFonts w:ascii="Times New Roman" w:hAnsi="Times New Roman"/>
                <w:sz w:val="24"/>
                <w:szCs w:val="24"/>
                <w:lang w:val="lv-LV"/>
              </w:rPr>
            </w:pPr>
          </w:p>
          <w:p w14:paraId="5C6120ED" w14:textId="77777777" w:rsidR="00E85A0E" w:rsidRPr="00B57019" w:rsidRDefault="00E85A0E" w:rsidP="004C1502">
            <w:pPr>
              <w:pStyle w:val="PlainText"/>
              <w:jc w:val="both"/>
              <w:rPr>
                <w:rFonts w:ascii="Times New Roman" w:hAnsi="Times New Roman"/>
                <w:sz w:val="24"/>
                <w:szCs w:val="24"/>
                <w:lang w:val="lv-LV"/>
              </w:rPr>
            </w:pPr>
          </w:p>
          <w:p w14:paraId="1538F9D2" w14:textId="77777777" w:rsidR="00E85A0E" w:rsidRPr="00B57019" w:rsidRDefault="00E85A0E" w:rsidP="004C1502">
            <w:pPr>
              <w:pStyle w:val="PlainText"/>
              <w:jc w:val="both"/>
              <w:rPr>
                <w:rFonts w:ascii="Times New Roman" w:hAnsi="Times New Roman"/>
                <w:sz w:val="24"/>
                <w:szCs w:val="24"/>
                <w:lang w:val="lv-LV"/>
              </w:rPr>
            </w:pPr>
          </w:p>
          <w:p w14:paraId="45D498F9" w14:textId="77777777" w:rsidR="00E85A0E" w:rsidRPr="00B57019" w:rsidRDefault="00E85A0E" w:rsidP="004C1502">
            <w:pPr>
              <w:pStyle w:val="PlainText"/>
              <w:jc w:val="both"/>
              <w:rPr>
                <w:rFonts w:ascii="Times New Roman" w:hAnsi="Times New Roman"/>
                <w:sz w:val="24"/>
                <w:szCs w:val="24"/>
                <w:lang w:val="lv-LV"/>
              </w:rPr>
            </w:pPr>
          </w:p>
          <w:p w14:paraId="07FD5E54" w14:textId="77777777" w:rsidR="00E85A0E" w:rsidRPr="00B57019" w:rsidRDefault="00E85A0E" w:rsidP="004C1502">
            <w:pPr>
              <w:pStyle w:val="PlainText"/>
              <w:jc w:val="both"/>
              <w:rPr>
                <w:rFonts w:ascii="Times New Roman" w:hAnsi="Times New Roman"/>
                <w:sz w:val="24"/>
                <w:szCs w:val="24"/>
                <w:lang w:val="lv-LV"/>
              </w:rPr>
            </w:pPr>
          </w:p>
          <w:p w14:paraId="1E187623" w14:textId="77777777" w:rsidR="00E85A0E" w:rsidRPr="00B57019" w:rsidRDefault="00E85A0E" w:rsidP="004C1502">
            <w:pPr>
              <w:pStyle w:val="PlainText"/>
              <w:jc w:val="both"/>
              <w:rPr>
                <w:rFonts w:ascii="Times New Roman" w:hAnsi="Times New Roman"/>
                <w:sz w:val="24"/>
                <w:szCs w:val="24"/>
                <w:lang w:val="lv-LV"/>
              </w:rPr>
            </w:pPr>
          </w:p>
          <w:p w14:paraId="2B78EA58" w14:textId="77777777" w:rsidR="00E85A0E" w:rsidRPr="00B57019" w:rsidRDefault="00E85A0E" w:rsidP="004C1502">
            <w:pPr>
              <w:pStyle w:val="PlainText"/>
              <w:jc w:val="both"/>
              <w:rPr>
                <w:rFonts w:ascii="Times New Roman" w:hAnsi="Times New Roman"/>
                <w:sz w:val="24"/>
                <w:szCs w:val="24"/>
                <w:lang w:val="lv-LV"/>
              </w:rPr>
            </w:pPr>
          </w:p>
          <w:p w14:paraId="58C2EC56" w14:textId="77777777" w:rsidR="00E85A0E" w:rsidRPr="00B57019" w:rsidRDefault="00E85A0E" w:rsidP="004C1502">
            <w:pPr>
              <w:pStyle w:val="PlainText"/>
              <w:jc w:val="both"/>
              <w:rPr>
                <w:rFonts w:ascii="Times New Roman" w:hAnsi="Times New Roman"/>
                <w:sz w:val="24"/>
                <w:szCs w:val="24"/>
                <w:lang w:val="lv-LV"/>
              </w:rPr>
            </w:pPr>
          </w:p>
          <w:p w14:paraId="48F18C30" w14:textId="77777777" w:rsidR="00E85A0E" w:rsidRPr="00B57019" w:rsidRDefault="00E85A0E" w:rsidP="004C1502">
            <w:pPr>
              <w:pStyle w:val="PlainText"/>
              <w:jc w:val="both"/>
              <w:rPr>
                <w:rFonts w:ascii="Times New Roman" w:hAnsi="Times New Roman"/>
                <w:sz w:val="24"/>
                <w:szCs w:val="24"/>
                <w:lang w:val="lv-LV"/>
              </w:rPr>
            </w:pPr>
          </w:p>
          <w:p w14:paraId="759BEB52" w14:textId="77777777" w:rsidR="00E85A0E" w:rsidRPr="00B57019" w:rsidRDefault="00E85A0E" w:rsidP="004C1502">
            <w:pPr>
              <w:pStyle w:val="PlainText"/>
              <w:jc w:val="both"/>
              <w:rPr>
                <w:rFonts w:ascii="Times New Roman" w:hAnsi="Times New Roman"/>
                <w:sz w:val="24"/>
                <w:szCs w:val="24"/>
                <w:lang w:val="lv-LV"/>
              </w:rPr>
            </w:pPr>
          </w:p>
          <w:p w14:paraId="799F997A" w14:textId="77777777" w:rsidR="00E85A0E" w:rsidRPr="00B57019" w:rsidRDefault="00E85A0E" w:rsidP="004C1502">
            <w:pPr>
              <w:pStyle w:val="PlainText"/>
              <w:jc w:val="both"/>
              <w:rPr>
                <w:rFonts w:ascii="Times New Roman" w:hAnsi="Times New Roman"/>
                <w:sz w:val="24"/>
                <w:szCs w:val="24"/>
                <w:lang w:val="lv-LV"/>
              </w:rPr>
            </w:pPr>
          </w:p>
          <w:p w14:paraId="7ACFE4B6" w14:textId="77777777" w:rsidR="00E85A0E" w:rsidRPr="00B57019" w:rsidRDefault="00E85A0E" w:rsidP="004C1502">
            <w:pPr>
              <w:pStyle w:val="PlainText"/>
              <w:jc w:val="both"/>
              <w:rPr>
                <w:rFonts w:ascii="Times New Roman" w:hAnsi="Times New Roman"/>
                <w:sz w:val="24"/>
                <w:szCs w:val="24"/>
                <w:lang w:val="lv-LV"/>
              </w:rPr>
            </w:pPr>
          </w:p>
          <w:p w14:paraId="14862304" w14:textId="77777777" w:rsidR="00E85A0E" w:rsidRPr="00B57019" w:rsidRDefault="00E85A0E" w:rsidP="004C1502">
            <w:pPr>
              <w:pStyle w:val="PlainText"/>
              <w:jc w:val="both"/>
              <w:rPr>
                <w:rFonts w:ascii="Times New Roman" w:hAnsi="Times New Roman"/>
                <w:sz w:val="24"/>
                <w:szCs w:val="24"/>
                <w:lang w:val="lv-LV"/>
              </w:rPr>
            </w:pPr>
          </w:p>
          <w:p w14:paraId="78F9FE88" w14:textId="77777777" w:rsidR="00E85A0E" w:rsidRPr="00B57019" w:rsidRDefault="00E85A0E" w:rsidP="004C1502">
            <w:pPr>
              <w:pStyle w:val="PlainText"/>
              <w:jc w:val="both"/>
              <w:rPr>
                <w:rFonts w:ascii="Times New Roman" w:hAnsi="Times New Roman"/>
                <w:sz w:val="24"/>
                <w:szCs w:val="24"/>
                <w:lang w:val="lv-LV"/>
              </w:rPr>
            </w:pPr>
          </w:p>
          <w:p w14:paraId="29A69C72" w14:textId="77777777" w:rsidR="00E85A0E" w:rsidRPr="00B57019" w:rsidRDefault="00E85A0E" w:rsidP="004C1502">
            <w:pPr>
              <w:pStyle w:val="PlainText"/>
              <w:jc w:val="both"/>
              <w:rPr>
                <w:rFonts w:ascii="Times New Roman" w:hAnsi="Times New Roman"/>
                <w:sz w:val="24"/>
                <w:szCs w:val="24"/>
                <w:lang w:val="lv-LV"/>
              </w:rPr>
            </w:pPr>
          </w:p>
          <w:p w14:paraId="77CC90C3" w14:textId="77777777" w:rsidR="00E85A0E" w:rsidRPr="00B57019" w:rsidRDefault="00E85A0E" w:rsidP="004C1502">
            <w:pPr>
              <w:pStyle w:val="PlainText"/>
              <w:jc w:val="both"/>
              <w:rPr>
                <w:rFonts w:ascii="Times New Roman" w:hAnsi="Times New Roman"/>
                <w:sz w:val="24"/>
                <w:szCs w:val="24"/>
                <w:lang w:val="lv-LV"/>
              </w:rPr>
            </w:pPr>
          </w:p>
          <w:p w14:paraId="7DDA7063" w14:textId="77777777" w:rsidR="004C1502" w:rsidRPr="00B57019" w:rsidRDefault="004C1502" w:rsidP="004C1502">
            <w:pPr>
              <w:pStyle w:val="PlainText"/>
              <w:jc w:val="both"/>
              <w:rPr>
                <w:rFonts w:ascii="Times New Roman" w:hAnsi="Times New Roman"/>
                <w:sz w:val="24"/>
                <w:szCs w:val="24"/>
                <w:lang w:val="lv-LV"/>
              </w:rPr>
            </w:pPr>
          </w:p>
          <w:p w14:paraId="4016875E" w14:textId="77777777" w:rsidR="004C1502" w:rsidRPr="00B57019" w:rsidRDefault="004C1502" w:rsidP="004C1502">
            <w:pPr>
              <w:pStyle w:val="PlainText"/>
              <w:jc w:val="both"/>
              <w:rPr>
                <w:rFonts w:ascii="Times New Roman" w:hAnsi="Times New Roman"/>
                <w:b/>
                <w:sz w:val="24"/>
                <w:szCs w:val="24"/>
                <w:lang w:val="lv-LV"/>
              </w:rPr>
            </w:pPr>
          </w:p>
          <w:p w14:paraId="3B53EF4D" w14:textId="77777777" w:rsidR="004C1502" w:rsidRPr="00B57019" w:rsidRDefault="004C1502" w:rsidP="004C1502">
            <w:pPr>
              <w:pStyle w:val="naisc"/>
              <w:spacing w:before="0" w:after="0"/>
              <w:ind w:firstLine="720"/>
            </w:pPr>
          </w:p>
          <w:p w14:paraId="1E1021C2" w14:textId="77777777" w:rsidR="00E85A0E" w:rsidRPr="00B57019" w:rsidRDefault="00E85A0E" w:rsidP="004C1502">
            <w:pPr>
              <w:pStyle w:val="naisc"/>
              <w:spacing w:before="0" w:after="0"/>
              <w:ind w:firstLine="720"/>
            </w:pPr>
          </w:p>
          <w:p w14:paraId="6BEBDF93" w14:textId="77777777" w:rsidR="00E85A0E" w:rsidRPr="00B57019" w:rsidRDefault="00E85A0E" w:rsidP="004C1502">
            <w:pPr>
              <w:pStyle w:val="naisc"/>
              <w:spacing w:before="0" w:after="0"/>
              <w:ind w:firstLine="720"/>
            </w:pPr>
          </w:p>
          <w:p w14:paraId="52ECEAE9" w14:textId="77777777" w:rsidR="00E85A0E" w:rsidRPr="00B57019" w:rsidRDefault="00E85A0E" w:rsidP="004C1502">
            <w:pPr>
              <w:pStyle w:val="naisc"/>
              <w:spacing w:before="0" w:after="0"/>
              <w:ind w:firstLine="720"/>
            </w:pPr>
          </w:p>
          <w:p w14:paraId="65FCC4AF" w14:textId="77777777" w:rsidR="00E85A0E" w:rsidRPr="00B57019" w:rsidRDefault="00E85A0E" w:rsidP="004C1502">
            <w:pPr>
              <w:pStyle w:val="naisc"/>
              <w:spacing w:before="0" w:after="0"/>
              <w:ind w:firstLine="720"/>
            </w:pPr>
          </w:p>
          <w:p w14:paraId="2D1257D3" w14:textId="77777777" w:rsidR="00E85A0E" w:rsidRPr="00B57019" w:rsidRDefault="00E85A0E" w:rsidP="004C1502">
            <w:pPr>
              <w:pStyle w:val="naisc"/>
              <w:spacing w:before="0" w:after="0"/>
              <w:ind w:firstLine="720"/>
            </w:pPr>
          </w:p>
          <w:p w14:paraId="33C002DC" w14:textId="77777777" w:rsidR="00E85A0E" w:rsidRPr="00B57019" w:rsidRDefault="00E85A0E" w:rsidP="004C1502">
            <w:pPr>
              <w:pStyle w:val="naisc"/>
              <w:spacing w:before="0" w:after="0"/>
              <w:ind w:firstLine="720"/>
            </w:pPr>
          </w:p>
          <w:p w14:paraId="683A7727" w14:textId="77777777" w:rsidR="00E85A0E" w:rsidRPr="00B57019" w:rsidRDefault="00E85A0E" w:rsidP="004C1502">
            <w:pPr>
              <w:pStyle w:val="naisc"/>
              <w:spacing w:before="0" w:after="0"/>
              <w:ind w:firstLine="720"/>
            </w:pPr>
          </w:p>
          <w:p w14:paraId="25FA0D14" w14:textId="77777777" w:rsidR="00E85A0E" w:rsidRPr="00B57019" w:rsidRDefault="00E85A0E" w:rsidP="00E85A0E">
            <w:pPr>
              <w:pStyle w:val="PlainText"/>
              <w:jc w:val="both"/>
              <w:rPr>
                <w:rFonts w:ascii="Times New Roman" w:hAnsi="Times New Roman"/>
                <w:sz w:val="24"/>
                <w:szCs w:val="24"/>
                <w:lang w:val="lv-LV"/>
              </w:rPr>
            </w:pPr>
          </w:p>
          <w:p w14:paraId="04D4800D" w14:textId="77777777" w:rsidR="00E85A0E" w:rsidRPr="00B57019" w:rsidRDefault="00E85A0E" w:rsidP="00E85A0E">
            <w:pPr>
              <w:pStyle w:val="PlainText"/>
              <w:jc w:val="both"/>
              <w:rPr>
                <w:rFonts w:ascii="Times New Roman" w:hAnsi="Times New Roman"/>
                <w:sz w:val="24"/>
                <w:szCs w:val="24"/>
                <w:lang w:val="lv-LV"/>
              </w:rPr>
            </w:pPr>
          </w:p>
          <w:p w14:paraId="674126A5" w14:textId="77777777" w:rsidR="00E85A0E" w:rsidRPr="00B57019" w:rsidRDefault="00E85A0E" w:rsidP="00E85A0E">
            <w:pPr>
              <w:pStyle w:val="PlainText"/>
              <w:jc w:val="both"/>
              <w:rPr>
                <w:rFonts w:ascii="Times New Roman" w:hAnsi="Times New Roman"/>
                <w:sz w:val="24"/>
                <w:szCs w:val="24"/>
                <w:lang w:val="lv-LV"/>
              </w:rPr>
            </w:pPr>
          </w:p>
          <w:p w14:paraId="4974836C" w14:textId="77777777" w:rsidR="00E85A0E" w:rsidRPr="00B57019" w:rsidRDefault="00E85A0E" w:rsidP="00E85A0E">
            <w:pPr>
              <w:pStyle w:val="PlainText"/>
              <w:jc w:val="both"/>
              <w:rPr>
                <w:rFonts w:ascii="Times New Roman" w:hAnsi="Times New Roman"/>
                <w:sz w:val="24"/>
                <w:szCs w:val="24"/>
                <w:lang w:val="lv-LV"/>
              </w:rPr>
            </w:pPr>
          </w:p>
          <w:p w14:paraId="15E2AD43" w14:textId="77777777" w:rsidR="00E85A0E" w:rsidRPr="00B57019" w:rsidRDefault="00E85A0E" w:rsidP="00E85A0E">
            <w:pPr>
              <w:pStyle w:val="PlainText"/>
              <w:jc w:val="both"/>
              <w:rPr>
                <w:rFonts w:ascii="Times New Roman" w:hAnsi="Times New Roman"/>
                <w:sz w:val="24"/>
                <w:szCs w:val="24"/>
                <w:lang w:val="lv-LV"/>
              </w:rPr>
            </w:pPr>
          </w:p>
          <w:p w14:paraId="341DB3D0" w14:textId="77777777" w:rsidR="00E85A0E" w:rsidRPr="00B57019" w:rsidRDefault="00E85A0E" w:rsidP="00E85A0E">
            <w:pPr>
              <w:pStyle w:val="PlainText"/>
              <w:jc w:val="both"/>
              <w:rPr>
                <w:rFonts w:ascii="Times New Roman" w:hAnsi="Times New Roman"/>
                <w:sz w:val="24"/>
                <w:szCs w:val="24"/>
                <w:lang w:val="lv-LV"/>
              </w:rPr>
            </w:pPr>
          </w:p>
          <w:p w14:paraId="72880F8C" w14:textId="77777777" w:rsidR="00E85A0E" w:rsidRPr="00B57019" w:rsidRDefault="00E85A0E" w:rsidP="00E85A0E">
            <w:pPr>
              <w:pStyle w:val="PlainText"/>
              <w:jc w:val="both"/>
              <w:rPr>
                <w:rFonts w:ascii="Times New Roman" w:hAnsi="Times New Roman"/>
                <w:sz w:val="24"/>
                <w:szCs w:val="24"/>
                <w:lang w:val="lv-LV"/>
              </w:rPr>
            </w:pPr>
          </w:p>
          <w:p w14:paraId="68C957A8" w14:textId="77777777" w:rsidR="00E85A0E" w:rsidRPr="00B57019" w:rsidRDefault="00E85A0E" w:rsidP="00E85A0E">
            <w:pPr>
              <w:pStyle w:val="PlainText"/>
              <w:jc w:val="both"/>
              <w:rPr>
                <w:rFonts w:ascii="Times New Roman" w:hAnsi="Times New Roman"/>
                <w:sz w:val="24"/>
                <w:szCs w:val="24"/>
                <w:lang w:val="lv-LV"/>
              </w:rPr>
            </w:pPr>
          </w:p>
          <w:p w14:paraId="0F34B428" w14:textId="77777777" w:rsidR="00E85A0E" w:rsidRPr="00B57019" w:rsidRDefault="00E85A0E" w:rsidP="00E85A0E">
            <w:pPr>
              <w:pStyle w:val="PlainText"/>
              <w:jc w:val="both"/>
              <w:rPr>
                <w:rFonts w:ascii="Times New Roman" w:hAnsi="Times New Roman"/>
                <w:sz w:val="24"/>
                <w:szCs w:val="24"/>
                <w:lang w:val="lv-LV"/>
              </w:rPr>
            </w:pPr>
          </w:p>
          <w:p w14:paraId="73F01A20" w14:textId="77777777" w:rsidR="00E85A0E" w:rsidRPr="00B57019" w:rsidRDefault="00E85A0E" w:rsidP="00E85A0E">
            <w:pPr>
              <w:pStyle w:val="PlainText"/>
              <w:jc w:val="both"/>
              <w:rPr>
                <w:rFonts w:ascii="Times New Roman" w:hAnsi="Times New Roman"/>
                <w:sz w:val="24"/>
                <w:szCs w:val="24"/>
                <w:lang w:val="lv-LV"/>
              </w:rPr>
            </w:pPr>
          </w:p>
          <w:p w14:paraId="5D273549" w14:textId="77777777" w:rsidR="00E85A0E" w:rsidRPr="00B57019" w:rsidRDefault="00E85A0E" w:rsidP="00E85A0E">
            <w:pPr>
              <w:pStyle w:val="PlainText"/>
              <w:jc w:val="both"/>
              <w:rPr>
                <w:rFonts w:ascii="Times New Roman" w:hAnsi="Times New Roman"/>
                <w:sz w:val="24"/>
                <w:szCs w:val="24"/>
                <w:lang w:val="lv-LV"/>
              </w:rPr>
            </w:pPr>
          </w:p>
          <w:p w14:paraId="44340E81" w14:textId="77777777" w:rsidR="00E85A0E" w:rsidRPr="00B57019" w:rsidRDefault="00E85A0E" w:rsidP="00E85A0E">
            <w:pPr>
              <w:pStyle w:val="PlainText"/>
              <w:jc w:val="both"/>
              <w:rPr>
                <w:rFonts w:ascii="Times New Roman" w:hAnsi="Times New Roman"/>
                <w:sz w:val="24"/>
                <w:szCs w:val="24"/>
                <w:lang w:val="lv-LV"/>
              </w:rPr>
            </w:pPr>
          </w:p>
          <w:p w14:paraId="1C1D54AA" w14:textId="77777777" w:rsidR="00E85A0E" w:rsidRPr="00B57019" w:rsidRDefault="00E85A0E" w:rsidP="00E85A0E">
            <w:pPr>
              <w:pStyle w:val="PlainText"/>
              <w:jc w:val="both"/>
              <w:rPr>
                <w:rFonts w:ascii="Times New Roman" w:hAnsi="Times New Roman"/>
                <w:sz w:val="24"/>
                <w:szCs w:val="24"/>
                <w:lang w:val="lv-LV"/>
              </w:rPr>
            </w:pPr>
          </w:p>
          <w:p w14:paraId="2C45C385" w14:textId="77777777" w:rsidR="00E85A0E" w:rsidRPr="00B57019" w:rsidRDefault="00E85A0E" w:rsidP="00E85A0E">
            <w:pPr>
              <w:pStyle w:val="PlainText"/>
              <w:jc w:val="both"/>
              <w:rPr>
                <w:rFonts w:ascii="Times New Roman" w:hAnsi="Times New Roman"/>
                <w:sz w:val="24"/>
                <w:szCs w:val="24"/>
                <w:lang w:val="lv-LV"/>
              </w:rPr>
            </w:pPr>
          </w:p>
          <w:p w14:paraId="0B6A7CEB" w14:textId="77777777" w:rsidR="00E85A0E" w:rsidRPr="00B57019" w:rsidRDefault="00E85A0E" w:rsidP="00E85A0E">
            <w:pPr>
              <w:pStyle w:val="PlainText"/>
              <w:jc w:val="both"/>
              <w:rPr>
                <w:rFonts w:ascii="Times New Roman" w:hAnsi="Times New Roman"/>
                <w:sz w:val="24"/>
                <w:szCs w:val="24"/>
                <w:lang w:val="lv-LV"/>
              </w:rPr>
            </w:pPr>
          </w:p>
          <w:p w14:paraId="0F46EE4F" w14:textId="77777777" w:rsidR="00E85A0E" w:rsidRPr="00B57019" w:rsidRDefault="00E85A0E" w:rsidP="00E85A0E">
            <w:pPr>
              <w:pStyle w:val="PlainText"/>
              <w:jc w:val="both"/>
              <w:rPr>
                <w:rFonts w:ascii="Times New Roman" w:hAnsi="Times New Roman"/>
                <w:sz w:val="24"/>
                <w:szCs w:val="24"/>
                <w:lang w:val="lv-LV"/>
              </w:rPr>
            </w:pPr>
          </w:p>
          <w:p w14:paraId="2F310340" w14:textId="77777777" w:rsidR="00E85A0E" w:rsidRPr="00B57019" w:rsidRDefault="00E85A0E" w:rsidP="00E85A0E">
            <w:pPr>
              <w:pStyle w:val="PlainText"/>
              <w:jc w:val="both"/>
              <w:rPr>
                <w:rFonts w:ascii="Times New Roman" w:hAnsi="Times New Roman"/>
                <w:sz w:val="24"/>
                <w:szCs w:val="24"/>
                <w:lang w:val="lv-LV"/>
              </w:rPr>
            </w:pPr>
          </w:p>
          <w:p w14:paraId="06566AB9" w14:textId="77777777" w:rsidR="00E85A0E" w:rsidRPr="00B57019" w:rsidRDefault="00E85A0E" w:rsidP="00E85A0E">
            <w:pPr>
              <w:pStyle w:val="PlainText"/>
              <w:jc w:val="both"/>
              <w:rPr>
                <w:rFonts w:ascii="Times New Roman" w:hAnsi="Times New Roman"/>
                <w:sz w:val="24"/>
                <w:szCs w:val="24"/>
                <w:lang w:val="lv-LV"/>
              </w:rPr>
            </w:pPr>
          </w:p>
          <w:p w14:paraId="3C48DEB9" w14:textId="77777777" w:rsidR="00E85A0E" w:rsidRPr="00B57019" w:rsidRDefault="00E85A0E" w:rsidP="00E85A0E">
            <w:pPr>
              <w:pStyle w:val="PlainText"/>
              <w:jc w:val="both"/>
              <w:rPr>
                <w:rFonts w:ascii="Times New Roman" w:hAnsi="Times New Roman"/>
                <w:sz w:val="24"/>
                <w:szCs w:val="24"/>
                <w:lang w:val="lv-LV"/>
              </w:rPr>
            </w:pPr>
          </w:p>
          <w:p w14:paraId="52953CCB" w14:textId="77777777" w:rsidR="00E85A0E" w:rsidRPr="00B57019" w:rsidRDefault="00E85A0E" w:rsidP="00E85A0E">
            <w:pPr>
              <w:pStyle w:val="PlainText"/>
              <w:jc w:val="both"/>
              <w:rPr>
                <w:rFonts w:ascii="Times New Roman" w:hAnsi="Times New Roman"/>
                <w:sz w:val="24"/>
                <w:szCs w:val="24"/>
                <w:lang w:val="lv-LV"/>
              </w:rPr>
            </w:pPr>
          </w:p>
          <w:p w14:paraId="424A0C91" w14:textId="77777777" w:rsidR="00E85A0E" w:rsidRPr="00B57019" w:rsidRDefault="00E85A0E" w:rsidP="00E85A0E">
            <w:pPr>
              <w:pStyle w:val="PlainText"/>
              <w:jc w:val="both"/>
              <w:rPr>
                <w:rFonts w:ascii="Times New Roman" w:hAnsi="Times New Roman"/>
                <w:sz w:val="24"/>
                <w:szCs w:val="24"/>
                <w:lang w:val="lv-LV"/>
              </w:rPr>
            </w:pPr>
          </w:p>
          <w:p w14:paraId="2DD0E1D5" w14:textId="77777777" w:rsidR="00E85A0E" w:rsidRPr="00B57019" w:rsidRDefault="00E85A0E" w:rsidP="00E85A0E">
            <w:pPr>
              <w:pStyle w:val="PlainText"/>
              <w:jc w:val="both"/>
              <w:rPr>
                <w:rFonts w:ascii="Times New Roman" w:hAnsi="Times New Roman"/>
                <w:sz w:val="24"/>
                <w:szCs w:val="24"/>
                <w:lang w:val="lv-LV"/>
              </w:rPr>
            </w:pPr>
            <w:r w:rsidRPr="00B57019">
              <w:rPr>
                <w:rFonts w:ascii="Times New Roman" w:hAnsi="Times New Roman"/>
                <w:sz w:val="24"/>
                <w:szCs w:val="24"/>
                <w:lang w:val="lv-LV"/>
              </w:rPr>
              <w:t>Vēstule vai jebkāds cits dokuments, kas ir sūtīts pa pastu, ir jāieskenē, jāpārsūta uz e-pastu, jāreģistrē DVS un jānodod izpildei, taču, izmantojot e-adresi, dokuments jau ir elektroniski nosūtīts uz DVS un to atliek tikai nodot izpildei. E-adrese netika ieviesta, lai tiktu samazināts dokumentu izvērtēšanas process vai atbilžu sagatavošana, tā tika ieviesta, lai droši un ātri notiktu dokumentu aprite starp iestādēm un privātpersonām.</w:t>
            </w:r>
          </w:p>
          <w:p w14:paraId="417462F9" w14:textId="77777777" w:rsidR="00E85A0E" w:rsidRPr="00B57019" w:rsidRDefault="00E85A0E" w:rsidP="004C1502">
            <w:pPr>
              <w:pStyle w:val="naisc"/>
              <w:spacing w:before="0" w:after="0"/>
              <w:ind w:firstLine="720"/>
            </w:pPr>
          </w:p>
          <w:p w14:paraId="2905C5F2" w14:textId="77777777" w:rsidR="00C54A7F" w:rsidRPr="00B57019" w:rsidRDefault="00C54A7F" w:rsidP="00E85A0E">
            <w:pPr>
              <w:pStyle w:val="PlainText"/>
              <w:jc w:val="both"/>
              <w:rPr>
                <w:rFonts w:ascii="Times New Roman" w:hAnsi="Times New Roman"/>
                <w:sz w:val="24"/>
                <w:szCs w:val="24"/>
                <w:lang w:val="lv-LV"/>
              </w:rPr>
            </w:pPr>
          </w:p>
          <w:p w14:paraId="5D87A66F" w14:textId="77777777" w:rsidR="00E85A0E" w:rsidRPr="00B57019" w:rsidRDefault="00E85A0E" w:rsidP="00E85A0E">
            <w:pPr>
              <w:pStyle w:val="PlainText"/>
              <w:jc w:val="both"/>
              <w:rPr>
                <w:rFonts w:ascii="Times New Roman" w:hAnsi="Times New Roman"/>
                <w:sz w:val="24"/>
                <w:szCs w:val="24"/>
                <w:lang w:val="lv-LV"/>
              </w:rPr>
            </w:pPr>
            <w:r w:rsidRPr="00B57019">
              <w:rPr>
                <w:rFonts w:ascii="Times New Roman" w:hAnsi="Times New Roman"/>
                <w:sz w:val="24"/>
                <w:szCs w:val="24"/>
                <w:lang w:val="lv-LV"/>
              </w:rPr>
              <w:t xml:space="preserve">Vēršam uzmanību, ka ziņojumā netiek prasīti resursi EIS e-konkursu apakšsistēmas uzturēšanai. Attiecībā uz daļās sadalīto iepirkumu paskaidrojam, ka sistēmā ir paredzēta iespēja attiecināt prasības uz vairākām daļām, tādējādi, nodrošinot arī vienkāršotu vērtēšanu. Vēršam uzmanību, ka visa veida dokumentu (izņemot līgumus) pievienošanai ir tikai viens obligāti aizpildāmais lauks – Nosaukums. Jāņem vērā, ka ziņojumā tiek uzskaitīti jau pašlaik saņemtie ietaupījumi no EIS izmantošanas, kurus iepriekš varēja novirzīt citu funkciju īstenošanai.  </w:t>
            </w:r>
          </w:p>
          <w:p w14:paraId="3808E224" w14:textId="77777777" w:rsidR="00E85A0E" w:rsidRPr="00B57019" w:rsidRDefault="00E85A0E" w:rsidP="004C1502">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47D8558C" w14:textId="4F97FBB1" w:rsidR="004C1502" w:rsidRPr="00B57019" w:rsidRDefault="00076067" w:rsidP="00E55888">
            <w:pPr>
              <w:jc w:val="both"/>
            </w:pPr>
            <w:r w:rsidRPr="00B57019">
              <w:lastRenderedPageBreak/>
              <w:t>Iebildums tiek uzturēts</w:t>
            </w:r>
            <w:r w:rsidR="00E55888" w:rsidRPr="00B57019">
              <w:t>.</w:t>
            </w:r>
          </w:p>
        </w:tc>
        <w:tc>
          <w:tcPr>
            <w:tcW w:w="2503" w:type="dxa"/>
            <w:tcBorders>
              <w:top w:val="single" w:sz="4" w:space="0" w:color="auto"/>
              <w:left w:val="single" w:sz="4" w:space="0" w:color="auto"/>
              <w:bottom w:val="single" w:sz="4" w:space="0" w:color="auto"/>
            </w:tcBorders>
            <w:shd w:val="clear" w:color="auto" w:fill="auto"/>
          </w:tcPr>
          <w:p w14:paraId="5156A6DD" w14:textId="77777777" w:rsidR="00256F62" w:rsidRPr="00B57019" w:rsidRDefault="00515F3D" w:rsidP="00256F62">
            <w:pPr>
              <w:jc w:val="both"/>
            </w:pPr>
            <w:r w:rsidRPr="00B57019">
              <w:t>Informatīvā</w:t>
            </w:r>
            <w:r w:rsidR="00256F62" w:rsidRPr="00B57019">
              <w:t xml:space="preserve"> ziņojum</w:t>
            </w:r>
            <w:r w:rsidR="000F7714" w:rsidRPr="00B57019">
              <w:t xml:space="preserve">a projekta 2.punkts </w:t>
            </w:r>
            <w:r w:rsidR="00256F62" w:rsidRPr="00B57019">
              <w:t xml:space="preserve"> papildināts ar tekstu šādā redakcijā: </w:t>
            </w:r>
          </w:p>
          <w:p w14:paraId="044C3F4F" w14:textId="77777777" w:rsidR="004C1502" w:rsidRPr="00B57019" w:rsidRDefault="00256F62" w:rsidP="00256F62">
            <w:pPr>
              <w:jc w:val="both"/>
            </w:pPr>
            <w:r w:rsidRPr="00B57019">
              <w:t>“Aprēķinātais ietaupījums rodas attiecībā uz atbalsta funkciju nodrošināšanu saistīto personālu (lietvežu, iepirkuma speciālistu, juristu u.tml.), nevis attiecībā uz informācijas tehnoloģiju personālu.”</w:t>
            </w:r>
          </w:p>
        </w:tc>
      </w:tr>
      <w:tr w:rsidR="00B57019" w:rsidRPr="00B57019" w14:paraId="5C16A411"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40950F" w14:textId="7EE38826" w:rsidR="00584088" w:rsidRPr="00B57019" w:rsidRDefault="00F24651" w:rsidP="004C1502">
            <w:pPr>
              <w:pStyle w:val="naisc"/>
              <w:spacing w:before="0" w:after="0"/>
            </w:pPr>
            <w:r w:rsidRPr="00B57019">
              <w:lastRenderedPageBreak/>
              <w:t>7.</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A32AA1" w14:textId="056B3324" w:rsidR="00584088" w:rsidRPr="00B57019" w:rsidRDefault="00584088" w:rsidP="00006DEF">
            <w:pPr>
              <w:pStyle w:val="naisc"/>
              <w:spacing w:before="0" w:after="0"/>
              <w:jc w:val="left"/>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A73596" w14:textId="7CA2995A" w:rsidR="00584088" w:rsidRPr="00B57019" w:rsidRDefault="00584088" w:rsidP="004C1502">
            <w:pPr>
              <w:pStyle w:val="ListParagraph"/>
              <w:widowControl w:val="0"/>
              <w:spacing w:after="0" w:line="240" w:lineRule="auto"/>
              <w:ind w:left="0"/>
              <w:jc w:val="both"/>
              <w:rPr>
                <w:rFonts w:ascii="Times New Roman" w:hAnsi="Times New Roman"/>
                <w:sz w:val="24"/>
                <w:szCs w:val="24"/>
                <w:lang w:val="lv-LV"/>
              </w:rPr>
            </w:pPr>
            <w:r w:rsidRPr="00B57019">
              <w:rPr>
                <w:rFonts w:ascii="Times New Roman" w:eastAsia="Calibri" w:hAnsi="Times New Roman"/>
                <w:sz w:val="24"/>
                <w:szCs w:val="24"/>
                <w:lang w:val="lv-LV"/>
              </w:rPr>
              <w:t>Ziņojuma projektā nav atspoguļota informācija un kritēriji, kas pamato no resoriem (katra resora atsevišķi) pārdalāmo amata vietu skaitu Valsts reģionālās attīstības aģentūrai, lai nodrošinātu informācijas un komunikācijas tehnoloģiju koplietošanas platformu uzturēšanu.</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948C42" w14:textId="5FE86BE4" w:rsidR="00584088" w:rsidRPr="00B57019" w:rsidRDefault="00584088" w:rsidP="00584088">
            <w:pPr>
              <w:pStyle w:val="PlainText"/>
              <w:jc w:val="both"/>
              <w:rPr>
                <w:rFonts w:ascii="Times New Roman" w:hAnsi="Times New Roman"/>
                <w:b/>
                <w:sz w:val="24"/>
                <w:szCs w:val="24"/>
                <w:lang w:val="lv-LV"/>
              </w:rPr>
            </w:pPr>
            <w:r w:rsidRPr="00B57019">
              <w:rPr>
                <w:rFonts w:ascii="Times New Roman" w:hAnsi="Times New Roman"/>
                <w:b/>
                <w:sz w:val="24"/>
                <w:szCs w:val="24"/>
                <w:lang w:val="lv-LV"/>
              </w:rPr>
              <w:t>Iebildums nav ņemts vērā.</w:t>
            </w:r>
          </w:p>
          <w:p w14:paraId="5D5F2B07" w14:textId="77777777" w:rsidR="00B05C77" w:rsidRPr="00B57019" w:rsidRDefault="00B05C77" w:rsidP="00B05C77">
            <w:pPr>
              <w:jc w:val="both"/>
            </w:pPr>
            <w:r w:rsidRPr="00B57019">
              <w:t>Skatīt informatīvā ziņojuma 6. pielikumu.</w:t>
            </w:r>
          </w:p>
          <w:p w14:paraId="4BBF7FD4" w14:textId="77777777" w:rsidR="00584088" w:rsidRPr="00B57019" w:rsidRDefault="00584088" w:rsidP="004C1502">
            <w:pPr>
              <w:pStyle w:val="PlainText"/>
              <w:jc w:val="both"/>
              <w:rPr>
                <w:rFonts w:ascii="Times New Roman" w:hAnsi="Times New Roman"/>
                <w:b/>
                <w:sz w:val="24"/>
                <w:szCs w:val="24"/>
                <w:lang w:val="lv-LV"/>
              </w:rPr>
            </w:pP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0C97B4AC" w14:textId="74D5275F" w:rsidR="00584088" w:rsidRPr="00B57019" w:rsidRDefault="00076067" w:rsidP="00076067">
            <w:pPr>
              <w:jc w:val="both"/>
            </w:pPr>
            <w:r w:rsidRPr="00B57019">
              <w:t>Iebildums tiek uzturēts.</w:t>
            </w:r>
          </w:p>
        </w:tc>
        <w:tc>
          <w:tcPr>
            <w:tcW w:w="2503" w:type="dxa"/>
            <w:tcBorders>
              <w:top w:val="single" w:sz="4" w:space="0" w:color="auto"/>
              <w:left w:val="single" w:sz="4" w:space="0" w:color="auto"/>
              <w:bottom w:val="single" w:sz="4" w:space="0" w:color="auto"/>
            </w:tcBorders>
            <w:shd w:val="clear" w:color="auto" w:fill="auto"/>
          </w:tcPr>
          <w:p w14:paraId="1DCE30C2" w14:textId="727FE29E" w:rsidR="00584088" w:rsidRPr="00B57019" w:rsidRDefault="00584088" w:rsidP="00584088">
            <w:pPr>
              <w:jc w:val="both"/>
            </w:pPr>
            <w:r w:rsidRPr="00B57019">
              <w:t>Informatīvā ziņojuma 3. punkts papildināts ar tekstu šādā redakcijā:</w:t>
            </w:r>
          </w:p>
          <w:p w14:paraId="0A31405F" w14:textId="77777777" w:rsidR="00584088" w:rsidRPr="00B57019" w:rsidRDefault="00584088" w:rsidP="00584088">
            <w:pPr>
              <w:jc w:val="both"/>
            </w:pPr>
            <w:r w:rsidRPr="00B57019">
              <w:t xml:space="preserve">“Ietaupītā darba laika apjoms ir aprēķināts, sadalot saskaņā ar Ziņojuma pielikumos Nr. 1. – Nr. 5. aprakstītajām metodēm aprēķināto summāro ietaupījumu proporcionāli pa nozaru </w:t>
            </w:r>
            <w:r w:rsidRPr="00B57019">
              <w:lastRenderedPageBreak/>
              <w:t>ministrijām, atbilstoši ministriju un padotības iestāžu kopējam nodarbināto skaitam pēc Valsts kancelejas datiem.”</w:t>
            </w:r>
          </w:p>
          <w:p w14:paraId="561821AF" w14:textId="77777777" w:rsidR="00435348" w:rsidRPr="00B57019" w:rsidRDefault="00435348" w:rsidP="00584088">
            <w:pPr>
              <w:jc w:val="both"/>
            </w:pPr>
          </w:p>
          <w:p w14:paraId="32FAD6FE" w14:textId="76D11F9F" w:rsidR="00584088" w:rsidRPr="00B57019" w:rsidRDefault="00435348" w:rsidP="00435348">
            <w:r w:rsidRPr="00B57019">
              <w:t>Informatīvais ziņojums papildināts ar 6. pielikumu.</w:t>
            </w:r>
          </w:p>
        </w:tc>
      </w:tr>
      <w:tr w:rsidR="00B57019" w:rsidRPr="00B57019" w14:paraId="006A78BB"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45597F3" w14:textId="49380895" w:rsidR="004C1502" w:rsidRPr="00B57019" w:rsidRDefault="00F24651" w:rsidP="004C1502">
            <w:pPr>
              <w:pStyle w:val="naisc"/>
              <w:spacing w:before="0" w:after="0"/>
            </w:pPr>
            <w:r w:rsidRPr="00B57019">
              <w:lastRenderedPageBreak/>
              <w:t>8</w:t>
            </w:r>
            <w:r w:rsidR="00D2008E" w:rsidRPr="00B57019">
              <w:t>.</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B317ED" w14:textId="77777777" w:rsidR="004C1502" w:rsidRPr="00B57019" w:rsidRDefault="00E52A15" w:rsidP="00006DEF">
            <w:pPr>
              <w:pStyle w:val="naisc"/>
              <w:spacing w:before="0" w:after="0"/>
              <w:jc w:val="left"/>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A99FFC" w14:textId="77777777" w:rsidR="004C1502" w:rsidRPr="00B57019" w:rsidRDefault="004C1502" w:rsidP="004C1502">
            <w:pPr>
              <w:pStyle w:val="ListParagraph"/>
              <w:widowControl w:val="0"/>
              <w:spacing w:after="0" w:line="240" w:lineRule="auto"/>
              <w:ind w:left="0"/>
              <w:jc w:val="both"/>
              <w:rPr>
                <w:rFonts w:ascii="Times New Roman" w:hAnsi="Times New Roman"/>
                <w:sz w:val="24"/>
                <w:szCs w:val="24"/>
                <w:lang w:val="lv-LV"/>
              </w:rPr>
            </w:pPr>
            <w:r w:rsidRPr="00B57019">
              <w:rPr>
                <w:rFonts w:ascii="Times New Roman" w:hAnsi="Times New Roman"/>
                <w:sz w:val="24"/>
                <w:szCs w:val="24"/>
                <w:lang w:val="lv-LV"/>
              </w:rPr>
              <w:t xml:space="preserve">Ziņojuma projektā nav iekļauti detalizēti aprēķini, kas pamato tajā norādīto izdevumu apjomu atlīdzībai, darbavietu izveidei un darbavietu uzturēšanai. Piemēram, informatīvā ziņojuma 2. un 5. pielikumos ir aprakstīts, ka oficiālās e-adreses un e-rēķinu risinājumu uzturēšanai </w:t>
            </w:r>
            <w:r w:rsidRPr="00B57019">
              <w:rPr>
                <w:rFonts w:ascii="Times New Roman" w:hAnsi="Times New Roman"/>
                <w:sz w:val="24"/>
                <w:szCs w:val="24"/>
                <w:lang w:val="lv-LV" w:eastAsia="lv-LV"/>
              </w:rPr>
              <w:t xml:space="preserve">Valsts reģionālās attīstības aģentūrai </w:t>
            </w:r>
            <w:r w:rsidRPr="00B57019">
              <w:rPr>
                <w:rFonts w:ascii="Times New Roman" w:hAnsi="Times New Roman"/>
                <w:sz w:val="24"/>
                <w:szCs w:val="24"/>
                <w:lang w:val="lv-LV"/>
              </w:rPr>
              <w:t xml:space="preserve">nepieciešami sistēmanalītiķi un sistēmu administratori, bet nosacītais ietaupījums izrēķināts lietvežu un juristu amata vietās. Pielikums būtu jāpapildina ar informāciju, ka oficiālās e-adreses un e-rēķinu platformas ieviešana resoros nesamazina sistēmu administratoru un sistēmanalītiķu noslodzi, bet </w:t>
            </w:r>
            <w:r w:rsidRPr="00B57019">
              <w:rPr>
                <w:rFonts w:ascii="Times New Roman" w:hAnsi="Times New Roman"/>
                <w:sz w:val="24"/>
                <w:szCs w:val="24"/>
                <w:lang w:val="lv-LV"/>
              </w:rPr>
              <w:lastRenderedPageBreak/>
              <w:t xml:space="preserve">gan rada gluži pretēju efektu: sākot apstrādāt dokumentu un rēķinus elektroniskā veidā un atsakoties no to daļējas aprites papīra veidā, tiek radīti papildu jauni tehniskie risinājumi papildu slodze sistēmu administratoriem un sistēmanalītiķiem, jo jāplāno un jāorganizē lietvedības un rēķinu apstrādes sistēmas integrācija ar oficiālo e-adresi un e-rēķinu risinājumu, integrācijas risinājums jāuztur un jāatkļūdo, jāiegādājas papildu infrastruktūra un standarta programmatūra, jāslēdz līgumi ar resorā izmantojamo lietvedības un rēķinu apstrādes sistēmu izstrādātājiem, lai šos integrācijas risinājumus darbinātu. </w:t>
            </w:r>
          </w:p>
          <w:p w14:paraId="456B6BED" w14:textId="77777777" w:rsidR="004C1502" w:rsidRPr="00B57019" w:rsidRDefault="004C1502" w:rsidP="003278E7">
            <w:pPr>
              <w:pStyle w:val="naisc"/>
              <w:spacing w:before="0" w:after="0"/>
              <w:ind w:firstLine="720"/>
              <w:jc w:val="both"/>
            </w:pPr>
            <w:r w:rsidRPr="00B57019">
              <w:t xml:space="preserve">Bez tam, plānojot izdevumus, lieto veselus </w:t>
            </w:r>
            <w:r w:rsidRPr="00B57019">
              <w:rPr>
                <w:i/>
              </w:rPr>
              <w:t>euro</w:t>
            </w:r>
            <w:r w:rsidRPr="00B57019">
              <w:t xml:space="preserve"> bez centiem.</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1833B8" w14:textId="77777777" w:rsidR="004C1502" w:rsidRPr="00B57019" w:rsidRDefault="008A08DD" w:rsidP="004C1502">
            <w:pPr>
              <w:pStyle w:val="PlainText"/>
              <w:jc w:val="both"/>
              <w:rPr>
                <w:rFonts w:ascii="Times New Roman" w:hAnsi="Times New Roman"/>
                <w:b/>
                <w:sz w:val="24"/>
                <w:szCs w:val="24"/>
                <w:lang w:val="lv-LV"/>
              </w:rPr>
            </w:pPr>
            <w:r w:rsidRPr="00B57019">
              <w:rPr>
                <w:rFonts w:ascii="Times New Roman" w:hAnsi="Times New Roman"/>
                <w:b/>
                <w:sz w:val="24"/>
                <w:szCs w:val="24"/>
                <w:lang w:val="lv-LV"/>
              </w:rPr>
              <w:lastRenderedPageBreak/>
              <w:t xml:space="preserve">Iebildums </w:t>
            </w:r>
            <w:r w:rsidR="0077579A" w:rsidRPr="00B57019">
              <w:rPr>
                <w:rFonts w:ascii="Times New Roman" w:hAnsi="Times New Roman"/>
                <w:b/>
                <w:sz w:val="24"/>
                <w:szCs w:val="24"/>
                <w:lang w:val="lv-LV"/>
              </w:rPr>
              <w:t>daļēji</w:t>
            </w:r>
            <w:r w:rsidR="004C1502" w:rsidRPr="00B57019">
              <w:rPr>
                <w:rFonts w:ascii="Times New Roman" w:hAnsi="Times New Roman"/>
                <w:b/>
                <w:sz w:val="24"/>
                <w:szCs w:val="24"/>
                <w:lang w:val="lv-LV"/>
              </w:rPr>
              <w:t xml:space="preserve"> ņemts vērā</w:t>
            </w:r>
            <w:r w:rsidR="00455FCF" w:rsidRPr="00B57019">
              <w:rPr>
                <w:rFonts w:ascii="Times New Roman" w:hAnsi="Times New Roman"/>
                <w:b/>
                <w:sz w:val="24"/>
                <w:szCs w:val="24"/>
                <w:lang w:val="lv-LV"/>
              </w:rPr>
              <w:t>.</w:t>
            </w:r>
          </w:p>
          <w:p w14:paraId="4C8504C4" w14:textId="77777777" w:rsidR="004C1502" w:rsidRPr="00B57019" w:rsidRDefault="00BC54D5" w:rsidP="00420A58">
            <w:pPr>
              <w:pStyle w:val="PlainText"/>
              <w:jc w:val="both"/>
              <w:rPr>
                <w:rFonts w:ascii="Times New Roman" w:hAnsi="Times New Roman"/>
                <w:sz w:val="24"/>
                <w:szCs w:val="24"/>
                <w:lang w:val="lv-LV"/>
              </w:rPr>
            </w:pPr>
            <w:r w:rsidRPr="00B57019">
              <w:rPr>
                <w:rFonts w:ascii="Times New Roman" w:hAnsi="Times New Roman"/>
                <w:sz w:val="24"/>
                <w:szCs w:val="24"/>
                <w:lang w:val="lv-LV"/>
              </w:rPr>
              <w:t>Informējam, ka e</w:t>
            </w:r>
            <w:r w:rsidR="004C1502" w:rsidRPr="00B57019">
              <w:rPr>
                <w:rFonts w:ascii="Times New Roman" w:hAnsi="Times New Roman"/>
                <w:sz w:val="24"/>
                <w:szCs w:val="24"/>
                <w:lang w:val="lv-LV"/>
              </w:rPr>
              <w:t xml:space="preserve">-adresi izstrādāja un ieviesa VRAA, tāpat e-rēķinus izstrādās un ieviesīs VRAA, tas nozīmē, ka viena iestāde izstrādā risinājumus, kurus izmanto citas iestādes. </w:t>
            </w:r>
            <w:r w:rsidR="00006C2B" w:rsidRPr="00B57019">
              <w:rPr>
                <w:rFonts w:ascii="Times New Roman" w:hAnsi="Times New Roman"/>
                <w:sz w:val="24"/>
                <w:szCs w:val="24"/>
                <w:lang w:val="lv-LV"/>
              </w:rPr>
              <w:t>Attiecībā</w:t>
            </w:r>
            <w:r w:rsidR="004C1502" w:rsidRPr="00B57019">
              <w:rPr>
                <w:rFonts w:ascii="Times New Roman" w:hAnsi="Times New Roman"/>
                <w:sz w:val="24"/>
                <w:szCs w:val="24"/>
                <w:lang w:val="lv-LV"/>
              </w:rPr>
              <w:t xml:space="preserve"> uz pieslēgšanos e-adresei</w:t>
            </w:r>
            <w:r w:rsidR="00006C2B" w:rsidRPr="00B57019">
              <w:rPr>
                <w:rFonts w:ascii="Times New Roman" w:hAnsi="Times New Roman"/>
                <w:sz w:val="24"/>
                <w:szCs w:val="24"/>
                <w:lang w:val="lv-LV"/>
              </w:rPr>
              <w:t xml:space="preserve"> informējam</w:t>
            </w:r>
            <w:r w:rsidR="004C1502" w:rsidRPr="00B57019">
              <w:rPr>
                <w:rFonts w:ascii="Times New Roman" w:hAnsi="Times New Roman"/>
                <w:sz w:val="24"/>
                <w:szCs w:val="24"/>
                <w:lang w:val="lv-LV"/>
              </w:rPr>
              <w:t xml:space="preserve">, </w:t>
            </w:r>
            <w:r w:rsidR="00006C2B" w:rsidRPr="00B57019">
              <w:rPr>
                <w:rFonts w:ascii="Times New Roman" w:hAnsi="Times New Roman"/>
                <w:sz w:val="24"/>
                <w:szCs w:val="24"/>
                <w:lang w:val="lv-LV"/>
              </w:rPr>
              <w:t>ka iestādēm</w:t>
            </w:r>
            <w:r w:rsidR="004C1502" w:rsidRPr="00B57019">
              <w:rPr>
                <w:rFonts w:ascii="Times New Roman" w:hAnsi="Times New Roman"/>
                <w:sz w:val="24"/>
                <w:szCs w:val="24"/>
                <w:lang w:val="lv-LV"/>
              </w:rPr>
              <w:t xml:space="preserve"> </w:t>
            </w:r>
            <w:r w:rsidR="00006C2B" w:rsidRPr="00B57019">
              <w:rPr>
                <w:rFonts w:ascii="Times New Roman" w:hAnsi="Times New Roman"/>
                <w:sz w:val="24"/>
                <w:szCs w:val="24"/>
                <w:lang w:val="lv-LV"/>
              </w:rPr>
              <w:t>tas</w:t>
            </w:r>
            <w:r w:rsidR="004C1502" w:rsidRPr="00B57019">
              <w:rPr>
                <w:rFonts w:ascii="Times New Roman" w:hAnsi="Times New Roman"/>
                <w:sz w:val="24"/>
                <w:szCs w:val="24"/>
                <w:lang w:val="lv-LV"/>
              </w:rPr>
              <w:t xml:space="preserve"> ir vienreizējs pasākums</w:t>
            </w:r>
            <w:r w:rsidRPr="00B57019">
              <w:rPr>
                <w:rFonts w:ascii="Times New Roman" w:hAnsi="Times New Roman"/>
                <w:sz w:val="24"/>
                <w:szCs w:val="24"/>
                <w:lang w:val="lv-LV"/>
              </w:rPr>
              <w:t>,</w:t>
            </w:r>
            <w:r w:rsidR="004C1502" w:rsidRPr="00B57019">
              <w:rPr>
                <w:rFonts w:ascii="Times New Roman" w:hAnsi="Times New Roman"/>
                <w:sz w:val="24"/>
                <w:szCs w:val="24"/>
                <w:lang w:val="lv-LV"/>
              </w:rPr>
              <w:t xml:space="preserve"> kam nav nepieciešama regulāra risinājuma monitorēšana. </w:t>
            </w:r>
            <w:r w:rsidR="00006C2B" w:rsidRPr="00B57019">
              <w:rPr>
                <w:rFonts w:ascii="Times New Roman" w:hAnsi="Times New Roman"/>
                <w:sz w:val="24"/>
                <w:szCs w:val="24"/>
                <w:lang w:val="lv-LV"/>
              </w:rPr>
              <w:t>Turklāt</w:t>
            </w:r>
            <w:r w:rsidR="004C1502" w:rsidRPr="00B57019">
              <w:rPr>
                <w:rFonts w:ascii="Times New Roman" w:hAnsi="Times New Roman"/>
                <w:sz w:val="24"/>
                <w:szCs w:val="24"/>
                <w:lang w:val="lv-LV"/>
              </w:rPr>
              <w:t xml:space="preserve"> e-adreses darbības monitoringu veic VRAA.</w:t>
            </w:r>
          </w:p>
          <w:p w14:paraId="2614B4C3" w14:textId="77777777" w:rsidR="00004DA5" w:rsidRPr="00B57019" w:rsidRDefault="00004DA5" w:rsidP="00004DA5">
            <w:pPr>
              <w:pStyle w:val="naisc"/>
              <w:spacing w:before="0" w:after="0"/>
              <w:jc w:val="both"/>
            </w:pPr>
          </w:p>
          <w:p w14:paraId="0367635A" w14:textId="77777777" w:rsidR="00881210" w:rsidRPr="00B57019" w:rsidRDefault="00881210" w:rsidP="00881210">
            <w:pPr>
              <w:jc w:val="both"/>
            </w:pPr>
            <w:r w:rsidRPr="00B57019">
              <w:t>Vienlaikus informējam, ka</w:t>
            </w:r>
            <w:r w:rsidR="00C54A7F" w:rsidRPr="00B57019">
              <w:t xml:space="preserve"> a</w:t>
            </w:r>
            <w:r w:rsidRPr="00B57019">
              <w:t xml:space="preserve">prēķinātais ietaupījums rodas attiecībā uz atbalsta funkciju nodrošināšanu saistīto personālu (lietvežu, iepirkuma speciālistu, juristu </w:t>
            </w:r>
            <w:r w:rsidRPr="00B57019">
              <w:lastRenderedPageBreak/>
              <w:t>u.tml.), nevis attiecībā uz informācijas tehnoloģiju personālu.”</w:t>
            </w:r>
          </w:p>
          <w:p w14:paraId="350448B7" w14:textId="77777777" w:rsidR="00BA6CE7" w:rsidRPr="00B57019" w:rsidRDefault="00BA6CE7" w:rsidP="00BA6CE7">
            <w:pPr>
              <w:jc w:val="both"/>
            </w:pPr>
            <w:r w:rsidRPr="00B57019">
              <w:t>Skatīt informatīvā ziņojuma 6. pielikumu.</w:t>
            </w:r>
          </w:p>
          <w:p w14:paraId="338A79B3" w14:textId="77777777" w:rsidR="00432637" w:rsidRPr="00B57019" w:rsidRDefault="00432637" w:rsidP="00420A58">
            <w:pPr>
              <w:pStyle w:val="naisc"/>
              <w:spacing w:before="0" w:after="0"/>
              <w:ind w:firstLine="720"/>
              <w:jc w:val="both"/>
            </w:pPr>
          </w:p>
          <w:p w14:paraId="626BA8AF" w14:textId="77777777" w:rsidR="00432637" w:rsidRPr="00B57019" w:rsidRDefault="00432637" w:rsidP="00420A58">
            <w:pPr>
              <w:pStyle w:val="naisc"/>
              <w:spacing w:before="0" w:after="0"/>
              <w:ind w:firstLine="720"/>
              <w:jc w:val="both"/>
            </w:pPr>
          </w:p>
          <w:p w14:paraId="5733278D" w14:textId="77777777" w:rsidR="00432637" w:rsidRPr="00B57019" w:rsidRDefault="00432637" w:rsidP="00420A58">
            <w:pPr>
              <w:pStyle w:val="naisc"/>
              <w:spacing w:before="0" w:after="0"/>
              <w:ind w:firstLine="720"/>
              <w:jc w:val="both"/>
            </w:pPr>
          </w:p>
          <w:p w14:paraId="60812E3A" w14:textId="77777777" w:rsidR="00432637" w:rsidRPr="00B57019" w:rsidRDefault="00432637" w:rsidP="00420A58">
            <w:pPr>
              <w:pStyle w:val="naisc"/>
              <w:spacing w:before="0" w:after="0"/>
              <w:ind w:firstLine="720"/>
              <w:jc w:val="both"/>
            </w:pPr>
          </w:p>
          <w:p w14:paraId="56D75763" w14:textId="77777777" w:rsidR="00432637" w:rsidRPr="00B57019" w:rsidRDefault="00432637" w:rsidP="00420A58">
            <w:pPr>
              <w:pStyle w:val="naisc"/>
              <w:spacing w:before="0" w:after="0"/>
              <w:ind w:firstLine="720"/>
              <w:jc w:val="both"/>
            </w:pPr>
          </w:p>
          <w:p w14:paraId="1E405585" w14:textId="77777777" w:rsidR="00432637" w:rsidRPr="00B57019" w:rsidRDefault="00432637" w:rsidP="00420A58">
            <w:pPr>
              <w:pStyle w:val="naisc"/>
              <w:spacing w:before="0" w:after="0"/>
              <w:ind w:firstLine="720"/>
              <w:jc w:val="both"/>
            </w:pPr>
          </w:p>
          <w:p w14:paraId="251DA004" w14:textId="77777777" w:rsidR="00432637" w:rsidRPr="00B57019" w:rsidRDefault="00432637" w:rsidP="00420A58">
            <w:pPr>
              <w:pStyle w:val="naisc"/>
              <w:spacing w:before="0" w:after="0"/>
              <w:ind w:firstLine="720"/>
              <w:jc w:val="both"/>
            </w:pPr>
          </w:p>
          <w:p w14:paraId="7C9084FA" w14:textId="77777777" w:rsidR="00432637" w:rsidRPr="00B57019" w:rsidRDefault="00432637" w:rsidP="00420A58">
            <w:pPr>
              <w:pStyle w:val="naisc"/>
              <w:spacing w:before="0" w:after="0"/>
              <w:ind w:firstLine="720"/>
              <w:jc w:val="both"/>
            </w:pPr>
          </w:p>
          <w:p w14:paraId="4F4A6E9E" w14:textId="77777777" w:rsidR="00432637" w:rsidRPr="00B57019" w:rsidRDefault="00432637" w:rsidP="00420A58">
            <w:pPr>
              <w:pStyle w:val="naisc"/>
              <w:spacing w:before="0" w:after="0"/>
              <w:ind w:firstLine="720"/>
              <w:jc w:val="both"/>
            </w:pPr>
          </w:p>
          <w:p w14:paraId="758290B7" w14:textId="77777777" w:rsidR="00432637" w:rsidRPr="00B57019" w:rsidRDefault="00432637" w:rsidP="00420A58">
            <w:pPr>
              <w:pStyle w:val="naisc"/>
              <w:spacing w:before="0" w:after="0"/>
              <w:ind w:firstLine="720"/>
              <w:jc w:val="both"/>
            </w:pPr>
          </w:p>
          <w:p w14:paraId="2CF6BD35" w14:textId="77777777" w:rsidR="00432637" w:rsidRPr="00B57019" w:rsidRDefault="00432637" w:rsidP="00420A58">
            <w:pPr>
              <w:pStyle w:val="naisc"/>
              <w:spacing w:before="0" w:after="0"/>
              <w:ind w:firstLine="720"/>
              <w:jc w:val="both"/>
            </w:pPr>
          </w:p>
          <w:p w14:paraId="10C5767E" w14:textId="77777777" w:rsidR="00432637" w:rsidRPr="00B57019" w:rsidRDefault="00432637" w:rsidP="00420A58">
            <w:pPr>
              <w:pStyle w:val="naisc"/>
              <w:spacing w:before="0" w:after="0"/>
              <w:ind w:firstLine="720"/>
              <w:jc w:val="both"/>
            </w:pPr>
          </w:p>
          <w:p w14:paraId="025F8A42" w14:textId="77777777" w:rsidR="00432637" w:rsidRPr="00B57019" w:rsidRDefault="00432637" w:rsidP="00420A58">
            <w:pPr>
              <w:pStyle w:val="naisc"/>
              <w:spacing w:before="0" w:after="0"/>
              <w:ind w:firstLine="720"/>
              <w:jc w:val="both"/>
            </w:pPr>
          </w:p>
          <w:p w14:paraId="2647A838" w14:textId="77777777" w:rsidR="00432637" w:rsidRPr="00B57019" w:rsidRDefault="00432637" w:rsidP="00420A58">
            <w:pPr>
              <w:pStyle w:val="naisc"/>
              <w:spacing w:before="0" w:after="0"/>
              <w:ind w:firstLine="720"/>
              <w:jc w:val="both"/>
            </w:pPr>
          </w:p>
          <w:p w14:paraId="260D4690" w14:textId="77777777" w:rsidR="00432637" w:rsidRPr="00B57019" w:rsidRDefault="00432637" w:rsidP="00420A58">
            <w:pPr>
              <w:pStyle w:val="naisc"/>
              <w:spacing w:before="0" w:after="0"/>
              <w:ind w:firstLine="720"/>
              <w:jc w:val="both"/>
            </w:pPr>
          </w:p>
          <w:p w14:paraId="6658C11A" w14:textId="77777777" w:rsidR="00432637" w:rsidRPr="00B57019" w:rsidRDefault="00432637" w:rsidP="00420A58">
            <w:pPr>
              <w:pStyle w:val="naisc"/>
              <w:spacing w:before="0" w:after="0"/>
              <w:ind w:firstLine="720"/>
              <w:jc w:val="both"/>
            </w:pPr>
          </w:p>
          <w:p w14:paraId="75F4E486" w14:textId="77777777" w:rsidR="00432637" w:rsidRPr="00B57019" w:rsidRDefault="00432637" w:rsidP="00420A58">
            <w:pPr>
              <w:pStyle w:val="naisc"/>
              <w:spacing w:before="0" w:after="0"/>
              <w:ind w:firstLine="720"/>
              <w:jc w:val="both"/>
            </w:pPr>
          </w:p>
          <w:p w14:paraId="4EEFDFF7" w14:textId="77777777" w:rsidR="00E05D54" w:rsidRPr="00B57019" w:rsidRDefault="00E05D54" w:rsidP="00432637">
            <w:pPr>
              <w:pStyle w:val="naisc"/>
              <w:spacing w:before="0" w:after="0"/>
              <w:jc w:val="both"/>
            </w:pPr>
          </w:p>
          <w:p w14:paraId="57040754" w14:textId="57109EDD" w:rsidR="00432637" w:rsidRPr="00B57019" w:rsidRDefault="00292836" w:rsidP="00292836">
            <w:pPr>
              <w:pStyle w:val="naisc"/>
              <w:spacing w:before="0" w:after="0"/>
              <w:jc w:val="both"/>
            </w:pPr>
            <w:r w:rsidRPr="00B57019">
              <w:t>Informatīvā ziņojuma projekts</w:t>
            </w:r>
            <w:r w:rsidR="00E05D54" w:rsidRPr="00B57019">
              <w:t xml:space="preserve"> un pielikumi</w:t>
            </w:r>
            <w:r w:rsidR="00A67D01" w:rsidRPr="00B57019">
              <w:t xml:space="preserve"> precizēt</w:t>
            </w:r>
            <w:r w:rsidR="00E05D54" w:rsidRPr="00B57019">
              <w:t>i</w:t>
            </w:r>
            <w:r w:rsidR="00A67D01" w:rsidRPr="00B57019">
              <w:t xml:space="preserve">, lietojot veselus </w:t>
            </w:r>
            <w:r w:rsidR="00A67D01" w:rsidRPr="00B57019">
              <w:rPr>
                <w:i/>
              </w:rPr>
              <w:t>euro.</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509A0FE2" w14:textId="30546159" w:rsidR="004C1502" w:rsidRPr="00B57019" w:rsidRDefault="00076067" w:rsidP="00076067">
            <w:pPr>
              <w:jc w:val="both"/>
            </w:pPr>
            <w:r w:rsidRPr="00B57019">
              <w:lastRenderedPageBreak/>
              <w:t>Iebildums tiek uzturēts.</w:t>
            </w:r>
          </w:p>
        </w:tc>
        <w:tc>
          <w:tcPr>
            <w:tcW w:w="2503" w:type="dxa"/>
            <w:tcBorders>
              <w:top w:val="single" w:sz="4" w:space="0" w:color="auto"/>
              <w:left w:val="single" w:sz="4" w:space="0" w:color="auto"/>
              <w:bottom w:val="single" w:sz="4" w:space="0" w:color="auto"/>
            </w:tcBorders>
            <w:shd w:val="clear" w:color="auto" w:fill="auto"/>
          </w:tcPr>
          <w:p w14:paraId="248F6C5E" w14:textId="370FF9E9" w:rsidR="00E05D54" w:rsidRPr="00B57019" w:rsidRDefault="00435348" w:rsidP="00435348">
            <w:r w:rsidRPr="00B57019">
              <w:t>Informatīvais ziņojums papildināts ar 6. pielikumu.</w:t>
            </w:r>
          </w:p>
          <w:p w14:paraId="2D3D13F0" w14:textId="77777777" w:rsidR="00E05D54" w:rsidRPr="00B57019" w:rsidRDefault="00E05D54" w:rsidP="004C1502">
            <w:pPr>
              <w:jc w:val="center"/>
            </w:pPr>
          </w:p>
          <w:p w14:paraId="1B32A419" w14:textId="77777777" w:rsidR="00E05D54" w:rsidRPr="00B57019" w:rsidRDefault="00E05D54" w:rsidP="009534E8">
            <w:pPr>
              <w:jc w:val="both"/>
            </w:pPr>
          </w:p>
          <w:p w14:paraId="00CE189F" w14:textId="77777777" w:rsidR="00E05D54" w:rsidRPr="00B57019" w:rsidRDefault="00E05D54" w:rsidP="004C1502">
            <w:pPr>
              <w:jc w:val="center"/>
            </w:pPr>
          </w:p>
          <w:p w14:paraId="7D932E73" w14:textId="77777777" w:rsidR="00E05D54" w:rsidRPr="00B57019" w:rsidRDefault="00E05D54" w:rsidP="004C1502">
            <w:pPr>
              <w:jc w:val="center"/>
            </w:pPr>
          </w:p>
          <w:p w14:paraId="1269F5CE" w14:textId="77777777" w:rsidR="00E05D54" w:rsidRPr="00B57019" w:rsidRDefault="00E05D54" w:rsidP="004C1502">
            <w:pPr>
              <w:jc w:val="center"/>
            </w:pPr>
          </w:p>
          <w:p w14:paraId="0607A0CD" w14:textId="77777777" w:rsidR="00E05D54" w:rsidRPr="00B57019" w:rsidRDefault="00E05D54" w:rsidP="004C1502">
            <w:pPr>
              <w:jc w:val="center"/>
            </w:pPr>
          </w:p>
          <w:p w14:paraId="6DB09E74" w14:textId="77777777" w:rsidR="00E05D54" w:rsidRPr="00B57019" w:rsidRDefault="00E05D54" w:rsidP="004C1502">
            <w:pPr>
              <w:jc w:val="center"/>
            </w:pPr>
          </w:p>
          <w:p w14:paraId="2BBBBB02" w14:textId="77777777" w:rsidR="00E05D54" w:rsidRPr="00B57019" w:rsidRDefault="00E05D54" w:rsidP="004C1502">
            <w:pPr>
              <w:jc w:val="center"/>
            </w:pPr>
          </w:p>
          <w:p w14:paraId="5C0200BC" w14:textId="77777777" w:rsidR="00E05D54" w:rsidRPr="00B57019" w:rsidRDefault="00E05D54" w:rsidP="004C1502">
            <w:pPr>
              <w:jc w:val="center"/>
            </w:pPr>
          </w:p>
          <w:p w14:paraId="53E3114D" w14:textId="77777777" w:rsidR="00E05D54" w:rsidRPr="00B57019" w:rsidRDefault="00E05D54" w:rsidP="004C1502">
            <w:pPr>
              <w:jc w:val="center"/>
            </w:pPr>
          </w:p>
          <w:p w14:paraId="491B8B1E" w14:textId="77777777" w:rsidR="00E05D54" w:rsidRPr="00B57019" w:rsidRDefault="00E05D54" w:rsidP="004C1502">
            <w:pPr>
              <w:jc w:val="center"/>
            </w:pPr>
          </w:p>
          <w:p w14:paraId="40B4D710" w14:textId="77777777" w:rsidR="00E05D54" w:rsidRPr="00B57019" w:rsidRDefault="00E05D54" w:rsidP="004C1502">
            <w:pPr>
              <w:jc w:val="center"/>
            </w:pPr>
          </w:p>
          <w:p w14:paraId="74AB607E" w14:textId="77777777" w:rsidR="00E05D54" w:rsidRPr="00B57019" w:rsidRDefault="00E05D54" w:rsidP="004C1502">
            <w:pPr>
              <w:jc w:val="center"/>
            </w:pPr>
          </w:p>
          <w:p w14:paraId="6DA1C040" w14:textId="77777777" w:rsidR="00E05D54" w:rsidRPr="00B57019" w:rsidRDefault="00E05D54" w:rsidP="004C1502">
            <w:pPr>
              <w:jc w:val="center"/>
            </w:pPr>
          </w:p>
          <w:p w14:paraId="71594877" w14:textId="77777777" w:rsidR="00E05D54" w:rsidRPr="00B57019" w:rsidRDefault="00E05D54" w:rsidP="004C1502">
            <w:pPr>
              <w:jc w:val="center"/>
            </w:pPr>
          </w:p>
          <w:p w14:paraId="093DE8C2" w14:textId="77777777" w:rsidR="00E05D54" w:rsidRPr="00B57019" w:rsidRDefault="00E05D54" w:rsidP="004C1502">
            <w:pPr>
              <w:jc w:val="center"/>
            </w:pPr>
          </w:p>
          <w:p w14:paraId="271700C4" w14:textId="77777777" w:rsidR="00E05D54" w:rsidRPr="00B57019" w:rsidRDefault="00E05D54" w:rsidP="004C1502">
            <w:pPr>
              <w:jc w:val="center"/>
            </w:pPr>
          </w:p>
          <w:p w14:paraId="38853213" w14:textId="77777777" w:rsidR="00E05D54" w:rsidRPr="00B57019" w:rsidRDefault="00E05D54" w:rsidP="004C1502">
            <w:pPr>
              <w:jc w:val="center"/>
            </w:pPr>
          </w:p>
          <w:p w14:paraId="68DED8B1" w14:textId="77777777" w:rsidR="00E05D54" w:rsidRPr="00B57019" w:rsidRDefault="00E05D54" w:rsidP="004C1502">
            <w:pPr>
              <w:jc w:val="center"/>
            </w:pPr>
          </w:p>
          <w:p w14:paraId="482BFDAE" w14:textId="77777777" w:rsidR="00E05D54" w:rsidRPr="00B57019" w:rsidRDefault="00E05D54" w:rsidP="004C1502">
            <w:pPr>
              <w:jc w:val="center"/>
            </w:pPr>
          </w:p>
          <w:p w14:paraId="5AAFCDF5" w14:textId="77777777" w:rsidR="00E05D54" w:rsidRPr="00B57019" w:rsidRDefault="00E05D54" w:rsidP="004C1502">
            <w:pPr>
              <w:jc w:val="center"/>
            </w:pPr>
          </w:p>
          <w:p w14:paraId="257D105D" w14:textId="77777777" w:rsidR="00E05D54" w:rsidRPr="00B57019" w:rsidRDefault="00E05D54" w:rsidP="004C1502">
            <w:pPr>
              <w:jc w:val="center"/>
            </w:pPr>
          </w:p>
          <w:p w14:paraId="49E989E4" w14:textId="77777777" w:rsidR="00E05D54" w:rsidRPr="00B57019" w:rsidRDefault="00E05D54" w:rsidP="004C1502">
            <w:pPr>
              <w:jc w:val="center"/>
            </w:pPr>
          </w:p>
          <w:p w14:paraId="1F5BBBF5" w14:textId="77777777" w:rsidR="00E05D54" w:rsidRPr="00B57019" w:rsidRDefault="00E05D54" w:rsidP="004C1502">
            <w:pPr>
              <w:jc w:val="center"/>
            </w:pPr>
          </w:p>
          <w:p w14:paraId="1D466E76" w14:textId="77777777" w:rsidR="00E05D54" w:rsidRPr="00B57019" w:rsidRDefault="00E05D54" w:rsidP="004C1502">
            <w:pPr>
              <w:jc w:val="center"/>
            </w:pPr>
          </w:p>
          <w:p w14:paraId="32087125" w14:textId="77777777" w:rsidR="00E05D54" w:rsidRPr="00B57019" w:rsidRDefault="00E05D54" w:rsidP="004C1502">
            <w:pPr>
              <w:jc w:val="center"/>
            </w:pPr>
          </w:p>
          <w:p w14:paraId="08E96ED6" w14:textId="77777777" w:rsidR="00E05D54" w:rsidRPr="00B57019" w:rsidRDefault="00E05D54" w:rsidP="004C1502">
            <w:pPr>
              <w:jc w:val="center"/>
            </w:pPr>
          </w:p>
          <w:p w14:paraId="7E4DCBC6" w14:textId="77777777" w:rsidR="00E05D54" w:rsidRPr="00B57019" w:rsidRDefault="00E05D54" w:rsidP="004C1502">
            <w:pPr>
              <w:jc w:val="center"/>
            </w:pPr>
          </w:p>
          <w:p w14:paraId="098F6870" w14:textId="77777777" w:rsidR="00E05D54" w:rsidRPr="00B57019" w:rsidRDefault="00E05D54" w:rsidP="004C1502">
            <w:pPr>
              <w:jc w:val="center"/>
            </w:pPr>
          </w:p>
          <w:p w14:paraId="5DA64DC1" w14:textId="77777777" w:rsidR="00E05D54" w:rsidRPr="00B57019" w:rsidRDefault="00E05D54" w:rsidP="004C1502">
            <w:pPr>
              <w:jc w:val="center"/>
            </w:pPr>
          </w:p>
          <w:p w14:paraId="5001C060" w14:textId="77777777" w:rsidR="00E05D54" w:rsidRPr="00B57019" w:rsidRDefault="00E05D54" w:rsidP="004C1502">
            <w:pPr>
              <w:jc w:val="center"/>
            </w:pPr>
          </w:p>
          <w:p w14:paraId="6E3E05DA" w14:textId="77777777" w:rsidR="00E05D54" w:rsidRPr="00B57019" w:rsidRDefault="00E05D54" w:rsidP="004C1502">
            <w:pPr>
              <w:jc w:val="center"/>
            </w:pPr>
          </w:p>
          <w:p w14:paraId="5C737A60" w14:textId="77777777" w:rsidR="00E05D54" w:rsidRPr="00B57019" w:rsidRDefault="00E05D54" w:rsidP="004C1502">
            <w:pPr>
              <w:jc w:val="center"/>
            </w:pPr>
          </w:p>
          <w:p w14:paraId="552A8A38" w14:textId="77777777" w:rsidR="00E05D54" w:rsidRPr="00B57019" w:rsidRDefault="00E05D54" w:rsidP="004C1502">
            <w:pPr>
              <w:jc w:val="center"/>
            </w:pPr>
          </w:p>
          <w:p w14:paraId="5C055BE9" w14:textId="77777777" w:rsidR="00E05D54" w:rsidRPr="00B57019" w:rsidRDefault="00E05D54" w:rsidP="004C1502">
            <w:pPr>
              <w:jc w:val="center"/>
            </w:pPr>
          </w:p>
          <w:p w14:paraId="54A3E41E" w14:textId="77777777" w:rsidR="00E05D54" w:rsidRPr="00B57019" w:rsidRDefault="00E05D54" w:rsidP="004C1502">
            <w:pPr>
              <w:jc w:val="center"/>
            </w:pPr>
          </w:p>
          <w:p w14:paraId="2E733103" w14:textId="77777777" w:rsidR="00E05D54" w:rsidRPr="00B57019" w:rsidRDefault="00E05D54" w:rsidP="004C1502">
            <w:pPr>
              <w:jc w:val="center"/>
            </w:pPr>
          </w:p>
          <w:p w14:paraId="142BF8F7" w14:textId="77777777" w:rsidR="00E05D54" w:rsidRPr="00B57019" w:rsidRDefault="00E05D54" w:rsidP="004C1502">
            <w:pPr>
              <w:jc w:val="center"/>
            </w:pPr>
          </w:p>
          <w:p w14:paraId="75FACA08" w14:textId="77777777" w:rsidR="00E05D54" w:rsidRPr="00B57019" w:rsidRDefault="00E05D54" w:rsidP="004C1502">
            <w:pPr>
              <w:jc w:val="center"/>
            </w:pPr>
          </w:p>
          <w:p w14:paraId="31259EDA" w14:textId="77777777" w:rsidR="00E05D54" w:rsidRPr="00B57019" w:rsidRDefault="00E05D54" w:rsidP="004C1502">
            <w:pPr>
              <w:jc w:val="center"/>
            </w:pPr>
          </w:p>
          <w:p w14:paraId="0B4BD41C" w14:textId="77777777" w:rsidR="00E05D54" w:rsidRPr="00B57019" w:rsidRDefault="00E05D54" w:rsidP="004C1502">
            <w:pPr>
              <w:jc w:val="center"/>
            </w:pPr>
          </w:p>
          <w:p w14:paraId="7714F183" w14:textId="77777777" w:rsidR="00E05D54" w:rsidRPr="00B57019" w:rsidRDefault="00E05D54" w:rsidP="004C1502">
            <w:pPr>
              <w:jc w:val="center"/>
            </w:pPr>
          </w:p>
          <w:p w14:paraId="79822965" w14:textId="77777777" w:rsidR="00E05D54" w:rsidRPr="00B57019" w:rsidRDefault="00E05D54" w:rsidP="004C1502">
            <w:pPr>
              <w:jc w:val="center"/>
            </w:pPr>
          </w:p>
          <w:p w14:paraId="117AFCCF" w14:textId="77777777" w:rsidR="00E05D54" w:rsidRPr="00B57019" w:rsidRDefault="00E05D54" w:rsidP="004C1502">
            <w:pPr>
              <w:jc w:val="center"/>
            </w:pPr>
          </w:p>
          <w:p w14:paraId="36414114" w14:textId="77777777" w:rsidR="00E05D54" w:rsidRPr="00B57019" w:rsidRDefault="00584EBE" w:rsidP="00E05D54">
            <w:pPr>
              <w:jc w:val="both"/>
            </w:pPr>
            <w:r w:rsidRPr="00B57019">
              <w:t>Precizēts informatīvais ziņojums un tā pielikumi.</w:t>
            </w:r>
          </w:p>
        </w:tc>
      </w:tr>
      <w:tr w:rsidR="00B57019" w:rsidRPr="00B57019" w14:paraId="7B62B13E" w14:textId="77777777" w:rsidTr="6EC0B0DB">
        <w:tc>
          <w:tcPr>
            <w:tcW w:w="14567" w:type="dxa"/>
            <w:gridSpan w:val="6"/>
            <w:tcBorders>
              <w:top w:val="single" w:sz="6" w:space="0" w:color="000000" w:themeColor="text1"/>
              <w:left w:val="single" w:sz="6" w:space="0" w:color="000000" w:themeColor="text1"/>
              <w:bottom w:val="single" w:sz="6" w:space="0" w:color="000000" w:themeColor="text1"/>
            </w:tcBorders>
            <w:shd w:val="clear" w:color="auto" w:fill="auto"/>
          </w:tcPr>
          <w:p w14:paraId="0FA656F5" w14:textId="77777777" w:rsidR="003E77FD" w:rsidRPr="00B57019" w:rsidRDefault="003E77FD" w:rsidP="008A36C9">
            <w:pPr>
              <w:jc w:val="center"/>
            </w:pPr>
            <w:r w:rsidRPr="00B57019">
              <w:rPr>
                <w:b/>
              </w:rPr>
              <w:lastRenderedPageBreak/>
              <w:t>Izglītības un zinātnes ministrija</w:t>
            </w:r>
          </w:p>
        </w:tc>
      </w:tr>
      <w:tr w:rsidR="00B57019" w:rsidRPr="00B57019" w14:paraId="2D9C61B6"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36A4BB" w14:textId="03009799" w:rsidR="003E77FD" w:rsidRPr="00B57019" w:rsidRDefault="00F24651" w:rsidP="003E77FD">
            <w:pPr>
              <w:pStyle w:val="naisc"/>
              <w:spacing w:before="0" w:after="0"/>
            </w:pPr>
            <w:r w:rsidRPr="00B57019">
              <w:t>9</w:t>
            </w:r>
            <w:r w:rsidR="00D2008E" w:rsidRPr="00B57019">
              <w:t>.</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5A45EB" w14:textId="77777777" w:rsidR="003E77FD" w:rsidRPr="00B57019" w:rsidRDefault="000014D8" w:rsidP="000014D8">
            <w:pPr>
              <w:pStyle w:val="naisc"/>
              <w:spacing w:before="0" w:after="0"/>
              <w:jc w:val="both"/>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3913C0" w14:textId="77777777" w:rsidR="003E77FD" w:rsidRPr="00B57019" w:rsidRDefault="003E77FD" w:rsidP="009E79FC">
            <w:pPr>
              <w:pStyle w:val="naisc"/>
              <w:spacing w:before="0" w:after="0"/>
              <w:ind w:firstLine="720"/>
              <w:jc w:val="both"/>
            </w:pPr>
            <w:r w:rsidRPr="00B57019">
              <w:t>Lūdzam Ziņojumu papildināt ar analīzi par koplietošanas pakalpojumu izmantošanu katrā resorā. IZM uzskata, ka</w:t>
            </w:r>
            <w:r w:rsidR="0024152E" w:rsidRPr="00B57019">
              <w:t>,</w:t>
            </w:r>
            <w:r w:rsidRPr="00B57019">
              <w:t xml:space="preserve"> veicot </w:t>
            </w:r>
            <w:r w:rsidRPr="00B57019">
              <w:lastRenderedPageBreak/>
              <w:t xml:space="preserve">analīzi par amata vietu un finansiālo resursu ekonomiju, bija jāveic katras iestādes individuālais koplietošanas platformas un pakalpojuma izmantošanas biežuma un intensitātes izvērtējams, atbilstoši tam nosakot bāzes izdevumu un amata vietu samazinājumu pa ministrijām. Piemēram, kā Oficiālās elektroniskās adreses informācijas sistēmas (turpmāk – E-adrese) ieguvums, pēc kura ir veikti aprēķini par administratīvo resursu ietaupījumu, ir nosaukts laiks, kas tiek aizņemts vēstuļu sagatavošanai un nosūtīšanai pa pastu, taču IZM jau no 2010. gada strādā dokumentu vadības sistēmā izmantojot pilnu elektronisko dokumentu apriti, pamatā vēstules nosūtot elektroniski. Līdz ar to no apraksta secināms, ka resursu ekonomija 8,37 lietvežu amatu vietām valsts pārvaldē ir ietaupāmas no iestādēm, kuras līdz E-adreses risinājuma ieviešanai vēstules </w:t>
            </w:r>
            <w:r w:rsidRPr="00B57019">
              <w:lastRenderedPageBreak/>
              <w:t>sagatavojuši pamatā to nosūtīšanai pa pastu</w:t>
            </w:r>
            <w:r w:rsidRPr="00B57019">
              <w:rPr>
                <w:shd w:val="clear" w:color="auto" w:fill="FFFFFF"/>
              </w:rPr>
              <w:t>.</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B77C40" w14:textId="77777777" w:rsidR="003E77FD" w:rsidRPr="00B57019" w:rsidRDefault="003E77FD" w:rsidP="009E79FC">
            <w:pPr>
              <w:pStyle w:val="PlainText"/>
              <w:jc w:val="both"/>
              <w:rPr>
                <w:rFonts w:ascii="Times New Roman" w:hAnsi="Times New Roman"/>
                <w:b/>
                <w:sz w:val="24"/>
                <w:szCs w:val="24"/>
                <w:lang w:val="lv-LV"/>
              </w:rPr>
            </w:pPr>
            <w:r w:rsidRPr="00B57019">
              <w:rPr>
                <w:rFonts w:ascii="Times New Roman" w:hAnsi="Times New Roman"/>
                <w:b/>
                <w:sz w:val="24"/>
                <w:szCs w:val="24"/>
                <w:lang w:val="lv-LV"/>
              </w:rPr>
              <w:lastRenderedPageBreak/>
              <w:t>Iebildums n</w:t>
            </w:r>
            <w:r w:rsidR="008A08DD" w:rsidRPr="00B57019">
              <w:rPr>
                <w:rFonts w:ascii="Times New Roman" w:hAnsi="Times New Roman"/>
                <w:b/>
                <w:sz w:val="24"/>
                <w:szCs w:val="24"/>
                <w:lang w:val="lv-LV"/>
              </w:rPr>
              <w:t>av</w:t>
            </w:r>
            <w:r w:rsidRPr="00B57019">
              <w:rPr>
                <w:rFonts w:ascii="Times New Roman" w:hAnsi="Times New Roman"/>
                <w:b/>
                <w:sz w:val="24"/>
                <w:szCs w:val="24"/>
                <w:lang w:val="lv-LV"/>
              </w:rPr>
              <w:t xml:space="preserve"> ņemts vērā</w:t>
            </w:r>
            <w:r w:rsidR="00A90F1F" w:rsidRPr="00B57019">
              <w:rPr>
                <w:rFonts w:ascii="Times New Roman" w:hAnsi="Times New Roman"/>
                <w:b/>
                <w:sz w:val="24"/>
                <w:szCs w:val="24"/>
                <w:lang w:val="lv-LV"/>
              </w:rPr>
              <w:t>.</w:t>
            </w:r>
          </w:p>
          <w:p w14:paraId="1F267260" w14:textId="77777777" w:rsidR="003E77FD" w:rsidRPr="00B57019" w:rsidRDefault="003E77FD" w:rsidP="009E79FC">
            <w:pPr>
              <w:pStyle w:val="PlainText"/>
              <w:jc w:val="both"/>
              <w:rPr>
                <w:rFonts w:ascii="Times New Roman" w:hAnsi="Times New Roman"/>
                <w:sz w:val="24"/>
                <w:szCs w:val="24"/>
                <w:lang w:val="lv-LV"/>
              </w:rPr>
            </w:pPr>
            <w:r w:rsidRPr="00B57019">
              <w:rPr>
                <w:rFonts w:ascii="Times New Roman" w:hAnsi="Times New Roman"/>
                <w:sz w:val="24"/>
                <w:szCs w:val="24"/>
                <w:lang w:val="lv-LV"/>
              </w:rPr>
              <w:t xml:space="preserve">Koplietošanas pakalpojumu izmantošana sniedz ieguvumu valsts pārvaldei kopumā. </w:t>
            </w:r>
          </w:p>
          <w:p w14:paraId="3BDCF734" w14:textId="77777777" w:rsidR="003E77FD" w:rsidRPr="00B57019" w:rsidRDefault="00A43039" w:rsidP="00A43039">
            <w:pPr>
              <w:pStyle w:val="naisc"/>
              <w:spacing w:before="0" w:after="0"/>
              <w:jc w:val="both"/>
            </w:pPr>
            <w:r w:rsidRPr="00B57019">
              <w:lastRenderedPageBreak/>
              <w:t>E</w:t>
            </w:r>
            <w:r w:rsidR="003E77FD" w:rsidRPr="00B57019">
              <w:t xml:space="preserve">-adreses </w:t>
            </w:r>
            <w:r w:rsidRPr="00B57019">
              <w:t>p</w:t>
            </w:r>
            <w:r w:rsidR="003E77FD" w:rsidRPr="00B57019">
              <w:t>amatprincips ir nodrošināt drošu ierakstītu vēstuļu nosūtīšanu elektroniski, ko līdz šim elektroniski nebija iespējams nodrošināt (dokumentu sūtīšana caur e-pastu neatbilst drošas nosūtīšanas principiem), līdz ar to arī IZM e-adreses lietošana ir nodrošinājusi resursu ekonomiju, jo netiek patērēts laiks, sagatavojot ierakstītas vēstules nosūtīšanai pa pastu.</w:t>
            </w:r>
          </w:p>
          <w:p w14:paraId="270466B3" w14:textId="77777777" w:rsidR="00524086" w:rsidRPr="00B57019" w:rsidRDefault="00524086" w:rsidP="00A43039">
            <w:pPr>
              <w:pStyle w:val="naisc"/>
              <w:spacing w:before="0" w:after="0"/>
              <w:jc w:val="both"/>
            </w:pPr>
          </w:p>
          <w:p w14:paraId="0B5A277B" w14:textId="77777777" w:rsidR="00EB4876" w:rsidRPr="00B57019" w:rsidRDefault="00EB4876" w:rsidP="00EB4876">
            <w:pPr>
              <w:jc w:val="both"/>
            </w:pPr>
            <w:r w:rsidRPr="00B57019">
              <w:t>Skatīt informatīvā ziņojuma 6. pielikumu.</w:t>
            </w:r>
          </w:p>
          <w:p w14:paraId="20FE9F86" w14:textId="77777777" w:rsidR="00524086" w:rsidRPr="00B57019" w:rsidRDefault="00524086" w:rsidP="00A43039">
            <w:pPr>
              <w:pStyle w:val="naisc"/>
              <w:spacing w:before="0" w:after="0"/>
              <w:jc w:val="both"/>
            </w:pP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633A9891" w14:textId="440814D8" w:rsidR="003E77FD" w:rsidRPr="00B57019" w:rsidRDefault="00076067" w:rsidP="002A721B">
            <w:pPr>
              <w:jc w:val="both"/>
            </w:pPr>
            <w:r w:rsidRPr="00B57019">
              <w:lastRenderedPageBreak/>
              <w:t>Iebildums tiek uzturēts</w:t>
            </w:r>
            <w:r w:rsidR="002A721B" w:rsidRPr="00B57019">
              <w:t>.</w:t>
            </w:r>
          </w:p>
        </w:tc>
        <w:tc>
          <w:tcPr>
            <w:tcW w:w="2503" w:type="dxa"/>
            <w:tcBorders>
              <w:top w:val="single" w:sz="4" w:space="0" w:color="auto"/>
              <w:left w:val="single" w:sz="4" w:space="0" w:color="auto"/>
              <w:bottom w:val="single" w:sz="4" w:space="0" w:color="auto"/>
            </w:tcBorders>
            <w:shd w:val="clear" w:color="auto" w:fill="auto"/>
          </w:tcPr>
          <w:p w14:paraId="63655D59" w14:textId="77777777" w:rsidR="00F920AE" w:rsidRPr="00B57019" w:rsidRDefault="00F920AE" w:rsidP="00F920AE">
            <w:r w:rsidRPr="00B57019">
              <w:t>Informatīvais ziņojums papildināts ar 6. pielikumu.</w:t>
            </w:r>
          </w:p>
          <w:p w14:paraId="59FBD80D" w14:textId="77777777" w:rsidR="003E77FD" w:rsidRPr="00B57019" w:rsidRDefault="003E77FD" w:rsidP="003E77FD">
            <w:pPr>
              <w:jc w:val="center"/>
            </w:pPr>
          </w:p>
        </w:tc>
      </w:tr>
      <w:tr w:rsidR="00B57019" w:rsidRPr="00B57019" w14:paraId="1D6FAC60"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5D47AD" w14:textId="1A2F9F03" w:rsidR="000014D8" w:rsidRPr="00B57019" w:rsidRDefault="00777328" w:rsidP="003E77FD">
            <w:pPr>
              <w:pStyle w:val="naisc"/>
              <w:spacing w:before="0" w:after="0"/>
            </w:pPr>
            <w:r w:rsidRPr="00B57019">
              <w:lastRenderedPageBreak/>
              <w:t>10</w:t>
            </w:r>
            <w:r w:rsidR="002A7713" w:rsidRPr="00B57019">
              <w:t>.</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939968" w14:textId="77777777" w:rsidR="000014D8" w:rsidRPr="00B57019" w:rsidRDefault="000014D8" w:rsidP="000014D8">
            <w:pPr>
              <w:pStyle w:val="naisc"/>
              <w:spacing w:before="0" w:after="0"/>
              <w:jc w:val="left"/>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70F14B" w14:textId="77777777" w:rsidR="000014D8" w:rsidRPr="00B57019" w:rsidRDefault="000014D8" w:rsidP="000014D8">
            <w:pPr>
              <w:pStyle w:val="ListParagraph"/>
              <w:spacing w:after="0" w:line="240" w:lineRule="auto"/>
              <w:ind w:left="0"/>
              <w:contextualSpacing w:val="0"/>
              <w:jc w:val="both"/>
              <w:rPr>
                <w:rFonts w:ascii="Times New Roman" w:hAnsi="Times New Roman"/>
                <w:sz w:val="24"/>
                <w:szCs w:val="24"/>
              </w:rPr>
            </w:pPr>
            <w:r w:rsidRPr="00B57019">
              <w:rPr>
                <w:rFonts w:ascii="Times New Roman" w:hAnsi="Times New Roman"/>
                <w:sz w:val="24"/>
                <w:szCs w:val="24"/>
              </w:rPr>
              <w:t>Papildus iepriekš minētajam, IZM ieskatā VARAM veiktie aprēķini par resoru bāzes izdevumu samazinājumu attiecībā uz IZM ir kļūdaini šādu apsvērumu dēļ. Atbilstoši Ministru kabineta 2010.gada 30.novembra noteikumu Nr. 1075 “Valsts un pašvaldību institūciju amatu katalogs” prasībām VARAM sagatavotajos dokumentos norādītā lietvežu un sistēmas administratoru amatu klasifikācija neatbilst amatu klasificēšanas principiem:</w:t>
            </w:r>
          </w:p>
          <w:p w14:paraId="28E57ACD" w14:textId="77777777" w:rsidR="000014D8" w:rsidRPr="00B57019" w:rsidRDefault="000014D8" w:rsidP="000014D8">
            <w:pPr>
              <w:pStyle w:val="ListParagraph"/>
              <w:spacing w:after="0" w:line="256" w:lineRule="auto"/>
              <w:ind w:left="0"/>
              <w:jc w:val="both"/>
              <w:rPr>
                <w:rFonts w:ascii="Times New Roman" w:hAnsi="Times New Roman"/>
                <w:sz w:val="24"/>
                <w:szCs w:val="24"/>
              </w:rPr>
            </w:pPr>
            <w:r w:rsidRPr="00B57019">
              <w:rPr>
                <w:rFonts w:ascii="Times New Roman" w:hAnsi="Times New Roman"/>
                <w:sz w:val="24"/>
                <w:szCs w:val="24"/>
                <w:lang w:val="lv-LV"/>
              </w:rPr>
              <w:t xml:space="preserve">- </w:t>
            </w:r>
            <w:r w:rsidRPr="00B57019">
              <w:rPr>
                <w:rFonts w:ascii="Times New Roman" w:hAnsi="Times New Roman"/>
                <w:sz w:val="24"/>
                <w:szCs w:val="24"/>
              </w:rPr>
              <w:t>Ziņojuma 2.pielikuma otrajā sadaļā “</w:t>
            </w:r>
            <w:r w:rsidRPr="00B57019">
              <w:rPr>
                <w:rFonts w:ascii="Times New Roman" w:hAnsi="Times New Roman"/>
                <w:i/>
                <w:iCs/>
                <w:sz w:val="24"/>
                <w:szCs w:val="24"/>
              </w:rPr>
              <w:t>Administratīvo resursu ietaupījums, kas veidojas no sistēmas lietošanas</w:t>
            </w:r>
            <w:r w:rsidRPr="00B57019">
              <w:rPr>
                <w:rFonts w:ascii="Times New Roman" w:hAnsi="Times New Roman"/>
                <w:sz w:val="24"/>
                <w:szCs w:val="24"/>
              </w:rPr>
              <w:t>” norādīts “</w:t>
            </w:r>
            <w:r w:rsidRPr="00B57019">
              <w:rPr>
                <w:rFonts w:ascii="Times New Roman" w:hAnsi="Times New Roman"/>
                <w:i/>
                <w:iCs/>
                <w:sz w:val="24"/>
                <w:szCs w:val="24"/>
              </w:rPr>
              <w:t>lietveža amatam ir 11.mēnešalgu grupa</w:t>
            </w:r>
            <w:r w:rsidRPr="00B57019">
              <w:rPr>
                <w:rFonts w:ascii="Times New Roman" w:hAnsi="Times New Roman"/>
                <w:sz w:val="24"/>
                <w:szCs w:val="24"/>
              </w:rPr>
              <w:t xml:space="preserve">”. Vēršam uzmanību, ka IZM lietveža amats klasificēts 18.3.saimes II līmenī (7.mēnešalgas grupā). Saskaņā ar Ministru kabineta 2013.gada 29.janvāra noteikumu Nr.66 “Noteikumi </w:t>
            </w:r>
            <w:r w:rsidRPr="00B57019">
              <w:rPr>
                <w:rFonts w:ascii="Times New Roman" w:hAnsi="Times New Roman"/>
                <w:sz w:val="24"/>
                <w:szCs w:val="24"/>
              </w:rPr>
              <w:lastRenderedPageBreak/>
              <w:t>par valsts un pašvaldību institūciju amatpersonu un darbinieku darba samaksu un tās noteikšanas kārtību” 2.pielikumu 7.mēnešalgu grupas maksimālais  mēnešalgas apmērs ir 996 </w:t>
            </w:r>
            <w:r w:rsidRPr="00B57019">
              <w:rPr>
                <w:rFonts w:ascii="Times New Roman" w:hAnsi="Times New Roman"/>
                <w:i/>
                <w:iCs/>
                <w:sz w:val="24"/>
                <w:szCs w:val="24"/>
              </w:rPr>
              <w:t>euro</w:t>
            </w:r>
            <w:r w:rsidRPr="00B57019">
              <w:rPr>
                <w:rFonts w:ascii="Times New Roman" w:hAnsi="Times New Roman"/>
                <w:sz w:val="24"/>
                <w:szCs w:val="24"/>
              </w:rPr>
              <w:t>.</w:t>
            </w:r>
          </w:p>
          <w:p w14:paraId="06A4D8ED" w14:textId="77777777" w:rsidR="000014D8" w:rsidRPr="00B57019" w:rsidRDefault="000014D8" w:rsidP="000014D8">
            <w:pPr>
              <w:pStyle w:val="naisc"/>
              <w:spacing w:before="0" w:after="0"/>
              <w:ind w:firstLine="720"/>
              <w:jc w:val="both"/>
            </w:pPr>
            <w:r w:rsidRPr="00B57019">
              <w:t>- Ziņojuma 2.pielikuma ceturtajā sadaļā “</w:t>
            </w:r>
            <w:r w:rsidRPr="00B57019">
              <w:rPr>
                <w:i/>
                <w:iCs/>
              </w:rPr>
              <w:t>Papildus nepieciešamie cilvēkresursi risinājuma uzturēšanai</w:t>
            </w:r>
            <w:r w:rsidRPr="00B57019">
              <w:t>” norādīts “</w:t>
            </w:r>
            <w:r w:rsidRPr="00B57019">
              <w:rPr>
                <w:i/>
                <w:iCs/>
              </w:rPr>
              <w:t>sistēmas administratora</w:t>
            </w:r>
            <w:r w:rsidRPr="00B57019">
              <w:t> </w:t>
            </w:r>
            <w:r w:rsidRPr="00B57019">
              <w:rPr>
                <w:i/>
                <w:iCs/>
              </w:rPr>
              <w:t>amatam ir 12.mēnešalgu grupa</w:t>
            </w:r>
            <w:r w:rsidRPr="00B57019">
              <w:t>”. Vēršam uzmanību, ka IZM sistēmu administratora (</w:t>
            </w:r>
            <w:r w:rsidRPr="00B57019">
              <w:rPr>
                <w:i/>
              </w:rPr>
              <w:t>Horizon</w:t>
            </w:r>
            <w:r w:rsidRPr="00B57019">
              <w:t xml:space="preserve"> u.c. sistēmas) amats klasificēts 19.5.saimes III līmenī (10.mēnešalgas grupā) un informācijas sistēmu administratora</w:t>
            </w:r>
            <w:r w:rsidRPr="00B57019">
              <w:rPr>
                <w:i/>
                <w:iCs/>
              </w:rPr>
              <w:t> </w:t>
            </w:r>
            <w:r w:rsidRPr="00B57019">
              <w:t xml:space="preserve">amats klasificēts 19.5.saimes IIB līmenī (9.mēnešalgas grupā). Saskaņā ar Ministru kabineta 2013.gada 29.janvāra noteikumu Nr.66 “Noteikumi par valsts un pašvaldību institūciju amatpersonu un darbinieku darba samaksu un tās noteikšanas kārtību” 2.pielikumu 9.mēnešalgu </w:t>
            </w:r>
            <w:r w:rsidRPr="00B57019">
              <w:lastRenderedPageBreak/>
              <w:t>grupas maksimālais mēnešalgas apmērs ir 1190 </w:t>
            </w:r>
            <w:r w:rsidRPr="00B57019">
              <w:rPr>
                <w:i/>
                <w:iCs/>
              </w:rPr>
              <w:t>euro</w:t>
            </w:r>
            <w:r w:rsidRPr="00B57019">
              <w:t> un 10.mēnešalgu grupai – 1287 </w:t>
            </w:r>
            <w:r w:rsidRPr="00B57019">
              <w:rPr>
                <w:i/>
                <w:iCs/>
              </w:rPr>
              <w:t>euro</w:t>
            </w:r>
            <w:r w:rsidRPr="00B57019">
              <w:t>. Turklāt informācijas sistēmu administratora amatam IZM ir plānojusi mēnešalgu 1100 </w:t>
            </w:r>
            <w:r w:rsidRPr="00B57019">
              <w:rPr>
                <w:i/>
                <w:iCs/>
              </w:rPr>
              <w:t>euro</w:t>
            </w:r>
            <w:r w:rsidRPr="00B57019">
              <w:t> apmērā.</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22B663" w14:textId="77777777" w:rsidR="000014D8" w:rsidRPr="00B57019" w:rsidRDefault="000014D8" w:rsidP="000014D8">
            <w:pPr>
              <w:pStyle w:val="PlainText"/>
              <w:jc w:val="both"/>
              <w:rPr>
                <w:rFonts w:ascii="Times New Roman" w:hAnsi="Times New Roman"/>
                <w:b/>
                <w:sz w:val="24"/>
                <w:szCs w:val="24"/>
                <w:lang w:val="lv-LV"/>
              </w:rPr>
            </w:pPr>
            <w:r w:rsidRPr="00B57019">
              <w:rPr>
                <w:rFonts w:ascii="Times New Roman" w:hAnsi="Times New Roman"/>
                <w:b/>
                <w:sz w:val="24"/>
                <w:szCs w:val="24"/>
                <w:lang w:val="lv-LV"/>
              </w:rPr>
              <w:lastRenderedPageBreak/>
              <w:t>Iebildums nav ņemts vērā.</w:t>
            </w:r>
          </w:p>
          <w:p w14:paraId="2E62C6A0" w14:textId="77777777" w:rsidR="00D826F6" w:rsidRPr="00B57019" w:rsidRDefault="00D826F6" w:rsidP="00D826F6">
            <w:pPr>
              <w:jc w:val="both"/>
            </w:pPr>
            <w:r w:rsidRPr="00B57019">
              <w:t>Skatīt informatīvā ziņojuma 6. pielikumu.</w:t>
            </w:r>
          </w:p>
          <w:p w14:paraId="643A5F31" w14:textId="77777777" w:rsidR="00D826F6" w:rsidRPr="00B57019" w:rsidRDefault="00D826F6" w:rsidP="000014D8">
            <w:pPr>
              <w:pStyle w:val="PlainText"/>
              <w:jc w:val="both"/>
              <w:rPr>
                <w:rFonts w:ascii="Times New Roman" w:hAnsi="Times New Roman"/>
                <w:b/>
                <w:sz w:val="24"/>
                <w:szCs w:val="24"/>
                <w:lang w:val="lv-LV"/>
              </w:rPr>
            </w:pPr>
          </w:p>
          <w:p w14:paraId="4264926B" w14:textId="77777777" w:rsidR="000014D8" w:rsidRPr="00B57019" w:rsidRDefault="000014D8" w:rsidP="000014D8">
            <w:pPr>
              <w:pStyle w:val="PlainText"/>
              <w:jc w:val="both"/>
              <w:rPr>
                <w:rFonts w:ascii="Times New Roman" w:hAnsi="Times New Roman"/>
                <w:sz w:val="24"/>
                <w:szCs w:val="24"/>
                <w:lang w:val="lv-LV"/>
              </w:rPr>
            </w:pPr>
            <w:r w:rsidRPr="00B57019">
              <w:rPr>
                <w:rFonts w:ascii="Times New Roman" w:hAnsi="Times New Roman"/>
                <w:sz w:val="24"/>
                <w:szCs w:val="24"/>
                <w:lang w:val="lv-LV"/>
              </w:rPr>
              <w:t xml:space="preserve">E-adreses tehnoloģiskais risinājums rada lietvežu resursu ietaupījumu valsts pārvaldē kopumā. Lai turpinātu šī tehnoloģiskā resursa uzturēšanu un attīstību, tiek pieprasīti mazāki cilvēku resursi par tiem, kas tiek ietaupīti valsts pārvaldē kopumā izmantojot e-adresi. </w:t>
            </w:r>
          </w:p>
          <w:p w14:paraId="2751E3CC" w14:textId="77777777" w:rsidR="000014D8" w:rsidRPr="00B57019" w:rsidRDefault="000014D8" w:rsidP="000014D8">
            <w:pPr>
              <w:pStyle w:val="PlainText"/>
              <w:jc w:val="both"/>
              <w:rPr>
                <w:rFonts w:ascii="Times New Roman" w:hAnsi="Times New Roman"/>
                <w:sz w:val="24"/>
                <w:szCs w:val="24"/>
                <w:lang w:val="lv-LV"/>
              </w:rPr>
            </w:pPr>
            <w:r w:rsidRPr="00B57019">
              <w:rPr>
                <w:rFonts w:ascii="Times New Roman" w:hAnsi="Times New Roman"/>
                <w:sz w:val="24"/>
                <w:szCs w:val="24"/>
                <w:lang w:val="lv-LV"/>
              </w:rPr>
              <w:t>VARAM ir gatava izskatīt un precizēt protokollēmumā pārdalāmo finanšu apmēru atbilstoši IZM iebildumam, ja par to tiks panākta attiecīga vienošanās.</w:t>
            </w:r>
          </w:p>
          <w:p w14:paraId="1AD2D7E5" w14:textId="77777777" w:rsidR="000014D8" w:rsidRPr="00B57019" w:rsidRDefault="000014D8" w:rsidP="009E79FC">
            <w:pPr>
              <w:pStyle w:val="PlainText"/>
              <w:jc w:val="both"/>
              <w:rPr>
                <w:rFonts w:ascii="Times New Roman" w:hAnsi="Times New Roman"/>
                <w:b/>
                <w:sz w:val="24"/>
                <w:szCs w:val="24"/>
                <w:lang w:val="lv-LV"/>
              </w:rPr>
            </w:pPr>
          </w:p>
          <w:p w14:paraId="0B9CC32F" w14:textId="77777777" w:rsidR="004E22C8" w:rsidRPr="00B57019" w:rsidRDefault="004E22C8" w:rsidP="00D826F6">
            <w:pPr>
              <w:jc w:val="both"/>
              <w:rPr>
                <w:b/>
              </w:rPr>
            </w:pP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17F88CC9" w14:textId="05146F20" w:rsidR="000014D8" w:rsidRPr="00B57019" w:rsidRDefault="00076067" w:rsidP="002A721B">
            <w:pPr>
              <w:jc w:val="both"/>
            </w:pPr>
            <w:r w:rsidRPr="00B57019">
              <w:t>Iebildums tiek uzturēts</w:t>
            </w:r>
            <w:r w:rsidR="002A721B" w:rsidRPr="00B57019">
              <w:t>.</w:t>
            </w:r>
          </w:p>
        </w:tc>
        <w:tc>
          <w:tcPr>
            <w:tcW w:w="2503" w:type="dxa"/>
            <w:tcBorders>
              <w:top w:val="single" w:sz="4" w:space="0" w:color="auto"/>
              <w:left w:val="single" w:sz="4" w:space="0" w:color="auto"/>
              <w:bottom w:val="single" w:sz="4" w:space="0" w:color="auto"/>
            </w:tcBorders>
            <w:shd w:val="clear" w:color="auto" w:fill="auto"/>
          </w:tcPr>
          <w:p w14:paraId="42BAF952" w14:textId="77777777" w:rsidR="00F920AE" w:rsidRPr="00B57019" w:rsidRDefault="00F920AE" w:rsidP="00F920AE">
            <w:r w:rsidRPr="00B57019">
              <w:t>Informatīvais ziņojums papildināts ar 6. pielikumu.</w:t>
            </w:r>
          </w:p>
          <w:p w14:paraId="353DC307" w14:textId="77777777" w:rsidR="000014D8" w:rsidRPr="00B57019" w:rsidRDefault="000014D8" w:rsidP="004E22C8">
            <w:pPr>
              <w:jc w:val="both"/>
            </w:pPr>
          </w:p>
        </w:tc>
      </w:tr>
      <w:tr w:rsidR="00B57019" w:rsidRPr="00B57019" w14:paraId="274F88F2" w14:textId="77777777" w:rsidTr="6EC0B0DB">
        <w:tc>
          <w:tcPr>
            <w:tcW w:w="14567" w:type="dxa"/>
            <w:gridSpan w:val="6"/>
            <w:tcBorders>
              <w:top w:val="single" w:sz="6" w:space="0" w:color="000000" w:themeColor="text1"/>
              <w:left w:val="single" w:sz="6" w:space="0" w:color="000000" w:themeColor="text1"/>
              <w:bottom w:val="single" w:sz="6" w:space="0" w:color="000000" w:themeColor="text1"/>
            </w:tcBorders>
            <w:shd w:val="clear" w:color="auto" w:fill="auto"/>
          </w:tcPr>
          <w:p w14:paraId="70BD4010" w14:textId="634770C9" w:rsidR="008C7C7E" w:rsidRPr="00B57019" w:rsidRDefault="008C7C7E" w:rsidP="008C7C7E">
            <w:pPr>
              <w:jc w:val="center"/>
              <w:rPr>
                <w:b/>
              </w:rPr>
            </w:pPr>
            <w:r w:rsidRPr="00B57019">
              <w:rPr>
                <w:b/>
              </w:rPr>
              <w:lastRenderedPageBreak/>
              <w:t>Kultūras ministrija</w:t>
            </w:r>
          </w:p>
        </w:tc>
      </w:tr>
      <w:tr w:rsidR="00B57019" w:rsidRPr="00B57019" w14:paraId="7EC9A0E7"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06B1BA" w14:textId="3AE41664" w:rsidR="008C7C7E" w:rsidRPr="00B57019" w:rsidRDefault="00777328" w:rsidP="003E77FD">
            <w:pPr>
              <w:pStyle w:val="naisc"/>
              <w:spacing w:before="0" w:after="0"/>
            </w:pPr>
            <w:r w:rsidRPr="00B57019">
              <w:t>11</w:t>
            </w:r>
            <w:r w:rsidR="002A7713" w:rsidRPr="00B57019">
              <w:t>.</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DCF04E" w14:textId="71F117FD" w:rsidR="008C7C7E" w:rsidRPr="00B57019" w:rsidRDefault="007940CE" w:rsidP="00E97D34">
            <w:pPr>
              <w:pStyle w:val="naisc"/>
              <w:spacing w:before="0" w:after="0"/>
              <w:jc w:val="left"/>
            </w:pPr>
            <w:r w:rsidRPr="00B57019">
              <w:t>Informatīvā ziņojuma projekts un protokolēmuma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FBC1F7" w14:textId="6BD6697D" w:rsidR="008C7C7E" w:rsidRPr="00B57019" w:rsidRDefault="007940CE" w:rsidP="000014D8">
            <w:pPr>
              <w:pStyle w:val="ListParagraph"/>
              <w:spacing w:after="0" w:line="240" w:lineRule="auto"/>
              <w:ind w:left="0"/>
              <w:contextualSpacing w:val="0"/>
              <w:jc w:val="both"/>
              <w:rPr>
                <w:rFonts w:ascii="Times New Roman" w:hAnsi="Times New Roman"/>
                <w:sz w:val="24"/>
                <w:szCs w:val="24"/>
              </w:rPr>
            </w:pPr>
            <w:r w:rsidRPr="00B57019">
              <w:rPr>
                <w:rFonts w:ascii="Times New Roman" w:hAnsi="Times New Roman"/>
                <w:sz w:val="24"/>
                <w:szCs w:val="24"/>
              </w:rPr>
              <w:t xml:space="preserve">Neatbalstām protollēmuma 3.1.7.punkta iekļaušanu tā projektā. Kultūras ministrijas ieskatā šobrīd svarīgāk par visu būtu tieši stiprināt Kultūras ministrijas resora IKT jomas kapacitāti piesaistot papildus speciālistus un palielinot esošā personāla algas, lai nodrošinātu daudzo IKT uzdevumu izpildi un uzturamo IKT resursu attīstību. Kā daļu no Kultūras ministrijas IKT personāla uzdevumiem varam minēt nodrošināt ministrijas serveru un tīklu centralizētas infrastruktūras veidošanu un administrēšanu, tās nepārtrauktu darbību, modernizāciju un attīstību atbilstoši nozares vajadzībām. Resora vienotās grāmatvedības sistēmas </w:t>
            </w:r>
            <w:r w:rsidRPr="00B57019">
              <w:rPr>
                <w:rFonts w:ascii="Times New Roman" w:hAnsi="Times New Roman"/>
                <w:sz w:val="24"/>
                <w:szCs w:val="24"/>
              </w:rPr>
              <w:lastRenderedPageBreak/>
              <w:t>uzturēšanu, lietvedības, pasta, kopējās aktīvas direktorijas veidošanu un uzturēšanu. Datortehnikas, programmatūras, sakaru tehnikas, drukas iekārtu un biroja tehnikas iegādi un uzturēšanu - sagatavošanu darbam, apkopi, rezerves daļu, tonera un citu materiālu sagādi, veikt to izlietojuma plānošanu un uzskaiti. Tāpat plānot IKT infrastruktūras attīstības un pilnveidošanas projektus nozarē, un plānot nepieciešamo finansējumu ministrijas realizētajiem IKT projektiem. Tāpat IKT darbinieki uztur un nodrošina centralizētu nozares datortehnikas pārvaldību sistēmu uzturēšanu, centralizētu lietojamās programmatūras instalēšanu un uzskaiti, izstrādāt politikas plānošanas dokumentus un tiesību aktu projektus par IKT personāla kompetencē esošajiem jautājumiem.</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46B601" w14:textId="79556784" w:rsidR="007940CE" w:rsidRPr="00B57019" w:rsidRDefault="007940CE" w:rsidP="007940CE">
            <w:pPr>
              <w:jc w:val="both"/>
              <w:rPr>
                <w:b/>
              </w:rPr>
            </w:pPr>
            <w:r w:rsidRPr="00B57019">
              <w:rPr>
                <w:b/>
              </w:rPr>
              <w:lastRenderedPageBreak/>
              <w:t>Iebildums daļēji ņemts vērā.</w:t>
            </w:r>
          </w:p>
          <w:p w14:paraId="521A7F93" w14:textId="77777777" w:rsidR="00E116BC" w:rsidRPr="00B57019" w:rsidRDefault="00E116BC" w:rsidP="00E116BC">
            <w:pPr>
              <w:jc w:val="both"/>
            </w:pPr>
            <w:r w:rsidRPr="00B57019">
              <w:t>Skatīt informatīvā ziņojuma 6. pielikumu.</w:t>
            </w:r>
          </w:p>
          <w:p w14:paraId="3F4D14A5" w14:textId="5C569060" w:rsidR="008C7C7E" w:rsidRPr="00B57019" w:rsidRDefault="008C7C7E" w:rsidP="007940CE">
            <w:pPr>
              <w:pStyle w:val="PlainText"/>
              <w:jc w:val="both"/>
              <w:rPr>
                <w:rFonts w:ascii="Times New Roman" w:hAnsi="Times New Roman"/>
                <w:b/>
                <w:sz w:val="24"/>
                <w:szCs w:val="24"/>
                <w:lang w:val="lv-LV"/>
              </w:rPr>
            </w:pP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7BF7CB21" w14:textId="7EC8803B" w:rsidR="002A721B" w:rsidRPr="00B57019" w:rsidRDefault="002A721B" w:rsidP="002A721B">
            <w:pPr>
              <w:jc w:val="both"/>
            </w:pPr>
            <w:r w:rsidRPr="00B57019">
              <w:t>Iebildums tiek uzturēts.</w:t>
            </w:r>
          </w:p>
          <w:p w14:paraId="0B1DD7C9" w14:textId="77777777" w:rsidR="008C7C7E" w:rsidRPr="00B57019" w:rsidRDefault="008C7C7E" w:rsidP="003E77FD">
            <w:pPr>
              <w:jc w:val="center"/>
            </w:pPr>
          </w:p>
        </w:tc>
        <w:tc>
          <w:tcPr>
            <w:tcW w:w="2503" w:type="dxa"/>
            <w:tcBorders>
              <w:top w:val="single" w:sz="4" w:space="0" w:color="auto"/>
              <w:left w:val="single" w:sz="4" w:space="0" w:color="auto"/>
              <w:bottom w:val="single" w:sz="4" w:space="0" w:color="auto"/>
            </w:tcBorders>
            <w:shd w:val="clear" w:color="auto" w:fill="auto"/>
          </w:tcPr>
          <w:p w14:paraId="7FED8DAF" w14:textId="77777777" w:rsidR="00577648" w:rsidRPr="00B57019" w:rsidRDefault="00577648" w:rsidP="00577648">
            <w:pPr>
              <w:jc w:val="both"/>
            </w:pPr>
            <w:r w:rsidRPr="00B57019">
              <w:t xml:space="preserve">Informatīvā ziņojuma projekta 2.punkts papildināts ar tekstu šādā redakcijā: </w:t>
            </w:r>
          </w:p>
          <w:p w14:paraId="19FB9E66" w14:textId="77777777" w:rsidR="008C7C7E" w:rsidRPr="00B57019" w:rsidRDefault="00577648" w:rsidP="00577648">
            <w:pPr>
              <w:pStyle w:val="ListParagraph"/>
              <w:spacing w:after="0" w:line="240" w:lineRule="auto"/>
              <w:ind w:left="0"/>
              <w:jc w:val="both"/>
              <w:rPr>
                <w:rFonts w:ascii="Times New Roman" w:hAnsi="Times New Roman"/>
                <w:sz w:val="24"/>
                <w:szCs w:val="24"/>
              </w:rPr>
            </w:pPr>
            <w:r w:rsidRPr="00B57019">
              <w:rPr>
                <w:rFonts w:ascii="Times New Roman" w:hAnsi="Times New Roman"/>
                <w:sz w:val="24"/>
                <w:szCs w:val="24"/>
              </w:rPr>
              <w:t>“Aprēķinātais ietaupījums rodas attiecībā uz atbalsta funkciju nodrošināšanu saistīto personālu (lietvežu, iepirkuma speciālistu, juristu u.tml.), nevis attiecībā uz informācijas tehnoloģiju personālu.”</w:t>
            </w:r>
          </w:p>
          <w:p w14:paraId="64F88033" w14:textId="77777777" w:rsidR="00F920AE" w:rsidRPr="00B57019" w:rsidRDefault="00F920AE" w:rsidP="00577648">
            <w:pPr>
              <w:pStyle w:val="ListParagraph"/>
              <w:spacing w:after="0" w:line="240" w:lineRule="auto"/>
              <w:ind w:left="0"/>
              <w:jc w:val="both"/>
              <w:rPr>
                <w:rFonts w:ascii="Times New Roman" w:hAnsi="Times New Roman"/>
                <w:sz w:val="24"/>
                <w:szCs w:val="24"/>
              </w:rPr>
            </w:pPr>
          </w:p>
          <w:p w14:paraId="2C5B19DE" w14:textId="77777777" w:rsidR="00F920AE" w:rsidRPr="00B57019" w:rsidRDefault="00F920AE" w:rsidP="00F920AE">
            <w:r w:rsidRPr="00B57019">
              <w:t>Informatīvais ziņojums papildināts ar 6. pielikumu.</w:t>
            </w:r>
          </w:p>
          <w:p w14:paraId="12EBE555" w14:textId="57617878" w:rsidR="00F920AE" w:rsidRPr="00B57019" w:rsidRDefault="00F920AE" w:rsidP="00577648">
            <w:pPr>
              <w:pStyle w:val="ListParagraph"/>
              <w:spacing w:after="0" w:line="240" w:lineRule="auto"/>
              <w:ind w:left="0"/>
              <w:jc w:val="both"/>
            </w:pPr>
          </w:p>
        </w:tc>
      </w:tr>
      <w:tr w:rsidR="00B57019" w:rsidRPr="00B57019" w14:paraId="6A205BA4"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B00B1E" w14:textId="224CDB87" w:rsidR="000E6D1A" w:rsidRPr="00B57019" w:rsidRDefault="00777328" w:rsidP="003E77FD">
            <w:pPr>
              <w:pStyle w:val="naisc"/>
              <w:spacing w:before="0" w:after="0"/>
            </w:pPr>
            <w:r w:rsidRPr="00B57019">
              <w:t>12</w:t>
            </w:r>
            <w:r w:rsidR="002A7713" w:rsidRPr="00B57019">
              <w:t>.</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A738DE" w14:textId="539B6581" w:rsidR="000E6D1A" w:rsidRPr="00B57019" w:rsidRDefault="00CA2CCF" w:rsidP="000014D8">
            <w:pPr>
              <w:pStyle w:val="naisc"/>
              <w:spacing w:before="0" w:after="0"/>
              <w:jc w:val="left"/>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3D749E" w14:textId="4EC836F4" w:rsidR="000E6D1A" w:rsidRPr="00B57019" w:rsidRDefault="00E97D34" w:rsidP="000014D8">
            <w:pPr>
              <w:pStyle w:val="ListParagraph"/>
              <w:spacing w:after="0" w:line="240" w:lineRule="auto"/>
              <w:ind w:left="0"/>
              <w:contextualSpacing w:val="0"/>
              <w:jc w:val="both"/>
              <w:rPr>
                <w:rFonts w:ascii="Times New Roman" w:hAnsi="Times New Roman"/>
                <w:sz w:val="24"/>
                <w:szCs w:val="24"/>
              </w:rPr>
            </w:pPr>
            <w:r w:rsidRPr="00B57019">
              <w:rPr>
                <w:rFonts w:ascii="Times New Roman" w:hAnsi="Times New Roman"/>
                <w:sz w:val="24"/>
                <w:szCs w:val="24"/>
              </w:rPr>
              <w:t xml:space="preserve">Šobrīd VRAA izveidoto un uzturēto koplietojuma sistēmu uzturēšana pilnībā nav saistīta ar Kultūras ministrijas resora </w:t>
            </w:r>
            <w:r w:rsidRPr="00B57019">
              <w:rPr>
                <w:rFonts w:ascii="Times New Roman" w:hAnsi="Times New Roman"/>
                <w:sz w:val="24"/>
                <w:szCs w:val="24"/>
              </w:rPr>
              <w:lastRenderedPageBreak/>
              <w:t>IKT personāla veicamajām funkcijām un uzdevumiem. VRAA izveidotās un uzturētās sistēmas  nekādā mērā nesamazina Kultūras ministrijas resora IKT darbinieku veicamo darbu apjomu. Atsevišķos gadījumos  ir novērojama tieši pretēja tendence, proti, tādas sistēmas kā  Oficiālās elektroniskās adreses informācijas sistēmas ieviešana radījusi  ļoti lielu papildus darbu apjomu tieši Kultūras ministrijas resora IKT darbiniekiem, kuriem jāturpina uzturēt esošās lietvedības sistēmas, bet papildus tam bija jāplāno un jāveic  esošo sistēmu salāgošanu ar VARAM izveidoto Oficiālās elektroniskās adreses informācijas sistēmu. Bez tam arī šobrīd šo sistēmu salāgošana un ikdienas problēmu risināšana rada lielu papildus slodzi Kultūras ministrijas darbiniekiem.</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973292" w14:textId="77777777" w:rsidR="00CA2CCF" w:rsidRPr="00B57019" w:rsidRDefault="00CA2CCF" w:rsidP="00CA2CCF">
            <w:pPr>
              <w:jc w:val="both"/>
              <w:rPr>
                <w:b/>
              </w:rPr>
            </w:pPr>
            <w:r w:rsidRPr="00B57019">
              <w:rPr>
                <w:b/>
              </w:rPr>
              <w:lastRenderedPageBreak/>
              <w:t>Iebildums daļēji ņemts vērā.</w:t>
            </w:r>
          </w:p>
          <w:p w14:paraId="78AFA551" w14:textId="0B7D546A" w:rsidR="000E6D1A" w:rsidRPr="00B57019" w:rsidRDefault="000E6D1A" w:rsidP="00CA2CCF">
            <w:pPr>
              <w:jc w:val="both"/>
              <w:rPr>
                <w:b/>
              </w:rPr>
            </w:pP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43916707" w14:textId="77777777" w:rsidR="002A721B" w:rsidRPr="00B57019" w:rsidRDefault="002A721B" w:rsidP="002A721B">
            <w:pPr>
              <w:jc w:val="both"/>
            </w:pPr>
            <w:r w:rsidRPr="00B57019">
              <w:t>Iebildums tiek uzturēts.</w:t>
            </w:r>
          </w:p>
          <w:p w14:paraId="0565FF0D" w14:textId="77777777" w:rsidR="000E6D1A" w:rsidRPr="00B57019" w:rsidRDefault="000E6D1A" w:rsidP="003E77FD">
            <w:pPr>
              <w:jc w:val="center"/>
            </w:pPr>
          </w:p>
        </w:tc>
        <w:tc>
          <w:tcPr>
            <w:tcW w:w="2503" w:type="dxa"/>
            <w:tcBorders>
              <w:top w:val="single" w:sz="4" w:space="0" w:color="auto"/>
              <w:left w:val="single" w:sz="4" w:space="0" w:color="auto"/>
              <w:bottom w:val="single" w:sz="4" w:space="0" w:color="auto"/>
            </w:tcBorders>
            <w:shd w:val="clear" w:color="auto" w:fill="auto"/>
          </w:tcPr>
          <w:p w14:paraId="621C0F7E" w14:textId="77777777" w:rsidR="00577648" w:rsidRPr="00B57019" w:rsidRDefault="00577648" w:rsidP="00577648">
            <w:pPr>
              <w:jc w:val="both"/>
            </w:pPr>
            <w:r w:rsidRPr="00B57019">
              <w:t xml:space="preserve">Informatīvā ziņojuma projekta 2.punkts papildināts ar tekstu šādā redakcijā: </w:t>
            </w:r>
          </w:p>
          <w:p w14:paraId="34F65B7B" w14:textId="698B3C52" w:rsidR="000E6D1A" w:rsidRPr="00B57019" w:rsidRDefault="00577648" w:rsidP="00577648">
            <w:pPr>
              <w:pStyle w:val="ListParagraph"/>
              <w:spacing w:after="0" w:line="240" w:lineRule="auto"/>
              <w:ind w:left="0"/>
              <w:jc w:val="both"/>
            </w:pPr>
            <w:r w:rsidRPr="00B57019">
              <w:rPr>
                <w:rFonts w:ascii="Times New Roman" w:hAnsi="Times New Roman"/>
                <w:sz w:val="24"/>
                <w:szCs w:val="24"/>
              </w:rPr>
              <w:lastRenderedPageBreak/>
              <w:t>“Aprēķinātais ietaupījums rodas attiecībā uz atbalsta funkciju nodrošināšanu saistīto personālu (lietvežu, iepirkuma speciālistu, juristu u.tml.), nevis attiecībā uz informācijas tehnoloģiju personālu.”</w:t>
            </w:r>
          </w:p>
        </w:tc>
      </w:tr>
      <w:tr w:rsidR="00B57019" w:rsidRPr="00B57019" w14:paraId="49C57CCB"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FABC1D" w14:textId="2C966175" w:rsidR="000E6D1A" w:rsidRPr="00B57019" w:rsidRDefault="00777328" w:rsidP="003E77FD">
            <w:pPr>
              <w:pStyle w:val="naisc"/>
              <w:spacing w:before="0" w:after="0"/>
            </w:pPr>
            <w:r w:rsidRPr="00B57019">
              <w:lastRenderedPageBreak/>
              <w:t>13</w:t>
            </w:r>
            <w:r w:rsidR="002A7713" w:rsidRPr="00B57019">
              <w:t>.</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0F8858" w14:textId="77777777" w:rsidR="000E6D1A" w:rsidRPr="00B57019" w:rsidRDefault="000E6D1A" w:rsidP="000014D8">
            <w:pPr>
              <w:pStyle w:val="naisc"/>
              <w:spacing w:before="0" w:after="0"/>
              <w:jc w:val="left"/>
            </w:pP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EE605A" w14:textId="3C1517CA" w:rsidR="000E6D1A" w:rsidRPr="00B57019" w:rsidRDefault="00C071F0" w:rsidP="000014D8">
            <w:pPr>
              <w:pStyle w:val="ListParagraph"/>
              <w:spacing w:after="0" w:line="240" w:lineRule="auto"/>
              <w:ind w:left="0"/>
              <w:contextualSpacing w:val="0"/>
              <w:jc w:val="both"/>
              <w:rPr>
                <w:rFonts w:ascii="Times New Roman" w:hAnsi="Times New Roman"/>
                <w:sz w:val="24"/>
                <w:szCs w:val="24"/>
              </w:rPr>
            </w:pPr>
            <w:r w:rsidRPr="00B57019">
              <w:rPr>
                <w:rFonts w:ascii="Times New Roman" w:hAnsi="Times New Roman"/>
                <w:sz w:val="24"/>
                <w:szCs w:val="24"/>
              </w:rPr>
              <w:t xml:space="preserve">Ziņojuma 2.punktā analizētie ieguvumi no VRAA nodrošinātiem </w:t>
            </w:r>
            <w:r w:rsidRPr="00B57019">
              <w:rPr>
                <w:rFonts w:ascii="Times New Roman" w:hAnsi="Times New Roman"/>
                <w:sz w:val="24"/>
                <w:szCs w:val="24"/>
              </w:rPr>
              <w:lastRenderedPageBreak/>
              <w:t>pakalpojumiem: Elektronisko iepirkumu sistēma, Oficiālās elektroniskās adreses informācijas sistēma, Vienotās pieteikšanās modulis, Valsts un pašvaldību iestāžu, E-rēķinu aprites risinājums tīmekļvietņu vienotā platforma lietošanas nav pamatoti, tie ir teorētiski un praksē nesamazina nedz ministriju, nedz iestāžu nepieciešamo IKT darbiniekus kaitu, ne arī IKT darbinieku veicamo darbu apjomu. Iespējams, ka ilgtermiņā šo platformu lietošana var samazināt iestādēs nepieciešamo dokumentu pārvaldības vai juridiskā personāla skaitu, bet šo sistēmu lietojums nekādā mērā nav saistīts ar iestādes IKT pakalpojumus nodrošinošiem cilvēkresursiem.</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8ECAC8" w14:textId="77777777" w:rsidR="00C071F0" w:rsidRPr="00B57019" w:rsidRDefault="00C071F0" w:rsidP="00C071F0">
            <w:pPr>
              <w:jc w:val="both"/>
              <w:rPr>
                <w:b/>
              </w:rPr>
            </w:pPr>
            <w:r w:rsidRPr="00B57019">
              <w:rPr>
                <w:b/>
              </w:rPr>
              <w:lastRenderedPageBreak/>
              <w:t>Iebildums daļēji ņemts vērā.</w:t>
            </w:r>
          </w:p>
          <w:p w14:paraId="1279B868" w14:textId="77777777" w:rsidR="00E116BC" w:rsidRPr="00B57019" w:rsidRDefault="00E116BC" w:rsidP="00E116BC">
            <w:pPr>
              <w:jc w:val="both"/>
            </w:pPr>
            <w:r w:rsidRPr="00B57019">
              <w:lastRenderedPageBreak/>
              <w:t>Skatīt informatīvā ziņojuma 6. pielikumu.</w:t>
            </w:r>
          </w:p>
          <w:p w14:paraId="51F32201" w14:textId="1B27ED82" w:rsidR="000E6D1A" w:rsidRPr="00B57019" w:rsidRDefault="000E6D1A" w:rsidP="00C071F0">
            <w:pPr>
              <w:jc w:val="both"/>
              <w:rPr>
                <w:b/>
              </w:rPr>
            </w:pP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3C2A4099" w14:textId="77777777" w:rsidR="002A721B" w:rsidRPr="00B57019" w:rsidRDefault="002A721B" w:rsidP="002A721B">
            <w:pPr>
              <w:jc w:val="both"/>
            </w:pPr>
            <w:r w:rsidRPr="00B57019">
              <w:lastRenderedPageBreak/>
              <w:t>Iebildums tiek uzturēts.</w:t>
            </w:r>
          </w:p>
          <w:p w14:paraId="776C5AE0" w14:textId="77777777" w:rsidR="000E6D1A" w:rsidRPr="00B57019" w:rsidRDefault="000E6D1A" w:rsidP="003E77FD">
            <w:pPr>
              <w:jc w:val="center"/>
            </w:pPr>
          </w:p>
        </w:tc>
        <w:tc>
          <w:tcPr>
            <w:tcW w:w="2503" w:type="dxa"/>
            <w:tcBorders>
              <w:top w:val="single" w:sz="4" w:space="0" w:color="auto"/>
              <w:left w:val="single" w:sz="4" w:space="0" w:color="auto"/>
              <w:bottom w:val="single" w:sz="4" w:space="0" w:color="auto"/>
            </w:tcBorders>
            <w:shd w:val="clear" w:color="auto" w:fill="auto"/>
          </w:tcPr>
          <w:p w14:paraId="65CF4275" w14:textId="77777777" w:rsidR="00577648" w:rsidRPr="00B57019" w:rsidRDefault="00577648" w:rsidP="00577648">
            <w:pPr>
              <w:jc w:val="both"/>
              <w:rPr>
                <w:lang w:val="x-none" w:eastAsia="en-US"/>
              </w:rPr>
            </w:pPr>
            <w:r w:rsidRPr="00B57019">
              <w:t xml:space="preserve">Informatīvā ziņojuma projekta 2.punkts  </w:t>
            </w:r>
            <w:r w:rsidRPr="00B57019">
              <w:lastRenderedPageBreak/>
              <w:t xml:space="preserve">papildināts ar tekstu </w:t>
            </w:r>
            <w:r w:rsidRPr="00B57019">
              <w:rPr>
                <w:lang w:val="x-none" w:eastAsia="en-US"/>
              </w:rPr>
              <w:t xml:space="preserve">šādā redakcijā: </w:t>
            </w:r>
          </w:p>
          <w:p w14:paraId="3DFC1E5C" w14:textId="77777777" w:rsidR="000E6D1A" w:rsidRPr="00B57019" w:rsidRDefault="00577648" w:rsidP="00577648">
            <w:pPr>
              <w:pStyle w:val="ListParagraph"/>
              <w:spacing w:after="0" w:line="240" w:lineRule="auto"/>
              <w:ind w:left="0"/>
              <w:jc w:val="both"/>
              <w:rPr>
                <w:rFonts w:ascii="Times New Roman" w:hAnsi="Times New Roman"/>
                <w:sz w:val="24"/>
                <w:szCs w:val="24"/>
              </w:rPr>
            </w:pPr>
            <w:r w:rsidRPr="00B57019">
              <w:rPr>
                <w:rFonts w:ascii="Times New Roman" w:hAnsi="Times New Roman"/>
                <w:sz w:val="24"/>
                <w:szCs w:val="24"/>
              </w:rPr>
              <w:t>“Aprēķinātais ietaupījums rodas attiecībā uz atbalsta funkciju nodrošināšanu saistīto personālu (lietvežu, iepirkuma speciālistu, juristu u.tml.), nevis attiecībā uz informācijas tehnoloģiju personālu.”</w:t>
            </w:r>
          </w:p>
          <w:p w14:paraId="0C25788E" w14:textId="77777777" w:rsidR="00F920AE" w:rsidRPr="00B57019" w:rsidRDefault="00F920AE" w:rsidP="00577648">
            <w:pPr>
              <w:pStyle w:val="ListParagraph"/>
              <w:spacing w:after="0" w:line="240" w:lineRule="auto"/>
              <w:ind w:left="0"/>
              <w:jc w:val="both"/>
              <w:rPr>
                <w:rFonts w:ascii="Times New Roman" w:hAnsi="Times New Roman"/>
                <w:sz w:val="24"/>
                <w:szCs w:val="24"/>
              </w:rPr>
            </w:pPr>
          </w:p>
          <w:p w14:paraId="148E9DDB" w14:textId="77777777" w:rsidR="00F920AE" w:rsidRPr="00B57019" w:rsidRDefault="00F920AE" w:rsidP="00F920AE">
            <w:r w:rsidRPr="00B57019">
              <w:t>Informatīvais ziņojums papildināts ar 6. pielikumu.</w:t>
            </w:r>
          </w:p>
          <w:p w14:paraId="12E72D67" w14:textId="5B355F1D" w:rsidR="00F920AE" w:rsidRPr="00B57019" w:rsidRDefault="00F920AE" w:rsidP="00577648">
            <w:pPr>
              <w:pStyle w:val="ListParagraph"/>
              <w:spacing w:after="0" w:line="240" w:lineRule="auto"/>
              <w:ind w:left="0"/>
              <w:jc w:val="both"/>
            </w:pPr>
          </w:p>
        </w:tc>
      </w:tr>
      <w:tr w:rsidR="00B57019" w:rsidRPr="00B57019" w14:paraId="088B5750"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C9B1D57" w14:textId="5E0E4843" w:rsidR="000E6D1A" w:rsidRPr="00B57019" w:rsidRDefault="00777328" w:rsidP="003E77FD">
            <w:pPr>
              <w:pStyle w:val="naisc"/>
              <w:spacing w:before="0" w:after="0"/>
            </w:pPr>
            <w:r w:rsidRPr="00B57019">
              <w:lastRenderedPageBreak/>
              <w:t>14</w:t>
            </w:r>
            <w:r w:rsidR="002A7713" w:rsidRPr="00B57019">
              <w:t>.</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5C18CF6" w14:textId="35907107" w:rsidR="000E6D1A" w:rsidRPr="00B57019" w:rsidRDefault="00C071F0" w:rsidP="000014D8">
            <w:pPr>
              <w:pStyle w:val="naisc"/>
              <w:spacing w:before="0" w:after="0"/>
              <w:jc w:val="left"/>
            </w:pPr>
            <w:r w:rsidRPr="00B57019">
              <w:t>Informatīvā ziņojuma projekts un protokollē-muma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49AB08" w14:textId="1E6AAA37" w:rsidR="000E6D1A" w:rsidRPr="00B57019" w:rsidRDefault="00C071F0" w:rsidP="000014D8">
            <w:pPr>
              <w:pStyle w:val="ListParagraph"/>
              <w:spacing w:after="0" w:line="240" w:lineRule="auto"/>
              <w:ind w:left="0"/>
              <w:contextualSpacing w:val="0"/>
              <w:jc w:val="both"/>
              <w:rPr>
                <w:rFonts w:ascii="Times New Roman" w:hAnsi="Times New Roman"/>
                <w:sz w:val="24"/>
                <w:szCs w:val="24"/>
                <w:lang w:val="lv-LV"/>
              </w:rPr>
            </w:pPr>
            <w:r w:rsidRPr="00B57019">
              <w:rPr>
                <w:rFonts w:ascii="Times New Roman" w:hAnsi="Times New Roman"/>
                <w:sz w:val="24"/>
                <w:szCs w:val="24"/>
              </w:rPr>
              <w:t xml:space="preserve">Ziņojuma projektā un tā protokollēmuma projektā nav korekts bāzes izdevumu samazinājums pa resoriem, jo nav pilnīgi izvērtēts resorā kopā strādājošo darbinieku skaits, kā arī vērtēts pa </w:t>
            </w:r>
            <w:r w:rsidRPr="00B57019">
              <w:rPr>
                <w:rFonts w:ascii="Times New Roman" w:hAnsi="Times New Roman"/>
                <w:sz w:val="24"/>
                <w:szCs w:val="24"/>
              </w:rPr>
              <w:lastRenderedPageBreak/>
              <w:t>resoriem to darbinieku loks, kas lietos un izmantos ziņojumā uzskaitītās VRAA platformas. Sadalījumā pa piedāvātiem izdevumu samazinājumiem par resoriem secināms, ka nav izvērtēts kādas platformas un kādā apjomā katrs resors lietos</w:t>
            </w:r>
            <w:r w:rsidR="00D826F6" w:rsidRPr="00B57019">
              <w:rPr>
                <w:rFonts w:ascii="Times New Roman" w:hAnsi="Times New Roman"/>
                <w:sz w:val="24"/>
                <w:szCs w:val="24"/>
                <w:lang w:val="lv-LV"/>
              </w:rPr>
              <w:t>.</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680524" w14:textId="77777777" w:rsidR="00C071F0" w:rsidRPr="00B57019" w:rsidRDefault="00C071F0" w:rsidP="00C071F0">
            <w:pPr>
              <w:jc w:val="both"/>
              <w:rPr>
                <w:b/>
              </w:rPr>
            </w:pPr>
            <w:r w:rsidRPr="00B57019">
              <w:rPr>
                <w:b/>
              </w:rPr>
              <w:lastRenderedPageBreak/>
              <w:t>Iebildums daļēji ņemts vērā.</w:t>
            </w:r>
          </w:p>
          <w:p w14:paraId="1E3340CD" w14:textId="5EB7B93C" w:rsidR="000E6D1A" w:rsidRPr="00B57019" w:rsidRDefault="000E6D1A" w:rsidP="00C071F0">
            <w:pPr>
              <w:jc w:val="both"/>
              <w:rPr>
                <w:b/>
              </w:rPr>
            </w:pP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3BFD0B3E" w14:textId="77777777" w:rsidR="002A721B" w:rsidRPr="00B57019" w:rsidRDefault="002A721B" w:rsidP="002A721B">
            <w:pPr>
              <w:jc w:val="both"/>
            </w:pPr>
            <w:r w:rsidRPr="00B57019">
              <w:t>Iebildums tiek uzturēts.</w:t>
            </w:r>
          </w:p>
          <w:p w14:paraId="2F49CBB8" w14:textId="77777777" w:rsidR="000E6D1A" w:rsidRPr="00B57019" w:rsidRDefault="000E6D1A" w:rsidP="003E77FD">
            <w:pPr>
              <w:jc w:val="center"/>
            </w:pPr>
          </w:p>
        </w:tc>
        <w:tc>
          <w:tcPr>
            <w:tcW w:w="2503" w:type="dxa"/>
            <w:tcBorders>
              <w:top w:val="single" w:sz="4" w:space="0" w:color="auto"/>
              <w:left w:val="single" w:sz="4" w:space="0" w:color="auto"/>
              <w:bottom w:val="single" w:sz="4" w:space="0" w:color="auto"/>
            </w:tcBorders>
            <w:shd w:val="clear" w:color="auto" w:fill="auto"/>
          </w:tcPr>
          <w:p w14:paraId="494A24EA" w14:textId="77777777" w:rsidR="002A52C7" w:rsidRPr="00B57019" w:rsidRDefault="002A52C7" w:rsidP="002A52C7">
            <w:pPr>
              <w:jc w:val="both"/>
              <w:rPr>
                <w:lang w:val="x-none" w:eastAsia="en-US"/>
              </w:rPr>
            </w:pPr>
            <w:r w:rsidRPr="00B57019">
              <w:t xml:space="preserve">Informatīvā ziņojuma 3. punkts papildināts ar </w:t>
            </w:r>
            <w:r w:rsidRPr="00B57019">
              <w:rPr>
                <w:lang w:val="x-none" w:eastAsia="en-US"/>
              </w:rPr>
              <w:t>tekstu šādā redakcijā:</w:t>
            </w:r>
          </w:p>
          <w:p w14:paraId="3D19241E" w14:textId="3C76F0FC" w:rsidR="000E6D1A" w:rsidRPr="00B57019" w:rsidRDefault="002A52C7" w:rsidP="002A52C7">
            <w:pPr>
              <w:pStyle w:val="ListParagraph"/>
              <w:spacing w:after="0" w:line="240" w:lineRule="auto"/>
              <w:ind w:left="0"/>
              <w:jc w:val="both"/>
            </w:pPr>
            <w:r w:rsidRPr="00B57019">
              <w:rPr>
                <w:rFonts w:ascii="Times New Roman" w:hAnsi="Times New Roman"/>
                <w:sz w:val="24"/>
                <w:szCs w:val="24"/>
              </w:rPr>
              <w:t xml:space="preserve">“Ietaupītā darba laika apjoms ir aprēķināts, sadalot saskaņā ar Ziņojuma pielikumos </w:t>
            </w:r>
            <w:r w:rsidRPr="00B57019">
              <w:rPr>
                <w:rFonts w:ascii="Times New Roman" w:hAnsi="Times New Roman"/>
                <w:sz w:val="24"/>
                <w:szCs w:val="24"/>
              </w:rPr>
              <w:lastRenderedPageBreak/>
              <w:t>Nr. 1. – Nr. 5. aprakstītajām metodēm aprēķināto summāro ietaupījumu proporcionāli pa nozaru ministrijām, atbilstoši ministriju un padotības iestāžu kopējam nodarbināto skaitam pēc Valsts kancelejas datiem.”</w:t>
            </w:r>
          </w:p>
        </w:tc>
      </w:tr>
      <w:tr w:rsidR="00B57019" w:rsidRPr="00B57019" w14:paraId="143B4EAB"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EB3BE7" w14:textId="749552A3" w:rsidR="000E6D1A" w:rsidRPr="00B57019" w:rsidRDefault="00777328" w:rsidP="003E77FD">
            <w:pPr>
              <w:pStyle w:val="naisc"/>
              <w:spacing w:before="0" w:after="0"/>
            </w:pPr>
            <w:r w:rsidRPr="00B57019">
              <w:lastRenderedPageBreak/>
              <w:t>15</w:t>
            </w:r>
            <w:r w:rsidR="002A7713" w:rsidRPr="00B57019">
              <w:t>.</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65E51B" w14:textId="73908F22" w:rsidR="000E6D1A" w:rsidRPr="00B57019" w:rsidRDefault="0031398F" w:rsidP="0031398F">
            <w:pPr>
              <w:pStyle w:val="naisc"/>
              <w:spacing w:before="0" w:after="0"/>
              <w:jc w:val="left"/>
            </w:pPr>
            <w:r w:rsidRPr="00B57019">
              <w:t>Informatīvā ziņojuma projekta 1.pielikums.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3EC933" w14:textId="77777777" w:rsidR="00C071F0" w:rsidRPr="00B57019" w:rsidRDefault="00C071F0" w:rsidP="00C071F0">
            <w:pPr>
              <w:pStyle w:val="ListParagraph"/>
              <w:spacing w:after="120" w:line="240" w:lineRule="auto"/>
              <w:ind w:left="0"/>
              <w:jc w:val="both"/>
              <w:outlineLvl w:val="0"/>
              <w:rPr>
                <w:rFonts w:ascii="Times New Roman" w:hAnsi="Times New Roman"/>
                <w:sz w:val="24"/>
                <w:szCs w:val="24"/>
              </w:rPr>
            </w:pPr>
            <w:r w:rsidRPr="00B57019">
              <w:rPr>
                <w:rFonts w:ascii="Times New Roman" w:hAnsi="Times New Roman"/>
                <w:sz w:val="24"/>
                <w:szCs w:val="24"/>
              </w:rPr>
              <w:t xml:space="preserve">Ziņojuma projekta 2.punkta 1.pielikumā nav korekts piedāvātais nepieciešamais cilvēkresursu palielinājums, jo Kultūras ministrijas resorā nav neviena IT speciālista ar uzskaitītām atalgojuma un darba vietas uzturēšanas izmaksām. Tāpat nav veikts korekts finansējuma samazinājums Kultūras ministrijai protokollēmuma 3.1.7.punktā, jo no ministrijas nevar atņemt 2 štata vietas ar lielāku atalgojumu un to uzturēšanas izdevumiem kā ministrijai štatu sarakstos un budžeta izdevumos ir plānots (Kultūras ministrijas budžetā IT speciālista atalgojumam gadā plānots no 15 638 </w:t>
            </w:r>
            <w:r w:rsidRPr="00B57019">
              <w:rPr>
                <w:rFonts w:ascii="Times New Roman" w:hAnsi="Times New Roman"/>
                <w:i/>
                <w:sz w:val="24"/>
                <w:szCs w:val="24"/>
              </w:rPr>
              <w:t>euro</w:t>
            </w:r>
            <w:r w:rsidRPr="00B57019">
              <w:rPr>
                <w:rFonts w:ascii="Times New Roman" w:hAnsi="Times New Roman"/>
                <w:sz w:val="24"/>
                <w:szCs w:val="24"/>
              </w:rPr>
              <w:t xml:space="preserve"> līdz 17 835 </w:t>
            </w:r>
            <w:r w:rsidRPr="00B57019">
              <w:rPr>
                <w:rFonts w:ascii="Times New Roman" w:hAnsi="Times New Roman"/>
                <w:i/>
                <w:sz w:val="24"/>
                <w:szCs w:val="24"/>
              </w:rPr>
              <w:t>euro</w:t>
            </w:r>
            <w:r w:rsidRPr="00B57019">
              <w:rPr>
                <w:rFonts w:ascii="Times New Roman" w:hAnsi="Times New Roman"/>
                <w:sz w:val="24"/>
                <w:szCs w:val="24"/>
              </w:rPr>
              <w:t>).</w:t>
            </w:r>
          </w:p>
          <w:p w14:paraId="426E2929" w14:textId="77777777" w:rsidR="000E6D1A" w:rsidRPr="00B57019" w:rsidRDefault="00C071F0" w:rsidP="00C071F0">
            <w:pPr>
              <w:pStyle w:val="ListParagraph"/>
              <w:spacing w:after="0" w:line="240" w:lineRule="auto"/>
              <w:ind w:left="0"/>
              <w:contextualSpacing w:val="0"/>
              <w:jc w:val="both"/>
              <w:rPr>
                <w:rFonts w:ascii="Times New Roman" w:hAnsi="Times New Roman"/>
                <w:sz w:val="24"/>
                <w:szCs w:val="24"/>
              </w:rPr>
            </w:pPr>
            <w:r w:rsidRPr="00B57019">
              <w:rPr>
                <w:rFonts w:ascii="Times New Roman" w:hAnsi="Times New Roman"/>
                <w:sz w:val="24"/>
                <w:szCs w:val="24"/>
              </w:rPr>
              <w:lastRenderedPageBreak/>
              <w:t>Uzsveram, ka Kultūras ministrijas resora IKT personāla uzdevumi ir veidot, uzturēt un attīstīt ministrijas funkciju izpildei un Kultūras ministrijas padotībā esošo iestāžu pārvaldībai nepieciešamās informācijas sistēmas. Izstrādāt Kultūras ministrijas un padotības iestāžu informācijas tehnoloģiju attīstības politiku, sagatavot politikas plānošanas dokumentus, normatīvos aktus. Tādējādi nav pieļaujams jau šobrīd tik ļoti ierobežotā Kultūras ministrijas IKT cilvēkresursu samazināšana, jo pretējā gadījumā būs apdraudēta resora IKT funkciju izpilde kopumā.</w:t>
            </w:r>
          </w:p>
          <w:p w14:paraId="172DD580" w14:textId="77777777" w:rsidR="007B5E66" w:rsidRPr="00B57019" w:rsidRDefault="007B5E66" w:rsidP="00C071F0">
            <w:pPr>
              <w:pStyle w:val="ListParagraph"/>
              <w:spacing w:after="0" w:line="240" w:lineRule="auto"/>
              <w:ind w:left="0"/>
              <w:contextualSpacing w:val="0"/>
              <w:jc w:val="both"/>
              <w:rPr>
                <w:rFonts w:ascii="Times New Roman" w:hAnsi="Times New Roman"/>
                <w:sz w:val="24"/>
                <w:szCs w:val="24"/>
              </w:rPr>
            </w:pPr>
          </w:p>
          <w:p w14:paraId="621334FE" w14:textId="2EB95EBA" w:rsidR="007B5E66" w:rsidRPr="00B57019" w:rsidRDefault="007B5E66" w:rsidP="00C071F0">
            <w:pPr>
              <w:pStyle w:val="ListParagraph"/>
              <w:spacing w:after="0" w:line="240" w:lineRule="auto"/>
              <w:ind w:left="0"/>
              <w:contextualSpacing w:val="0"/>
              <w:jc w:val="both"/>
              <w:rPr>
                <w:rFonts w:ascii="Times New Roman" w:hAnsi="Times New Roman"/>
                <w:sz w:val="24"/>
                <w:szCs w:val="24"/>
              </w:rPr>
            </w:pP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C8BF67" w14:textId="493BF8FB" w:rsidR="00C071F0" w:rsidRPr="00B57019" w:rsidRDefault="00C071F0" w:rsidP="00C071F0">
            <w:pPr>
              <w:pStyle w:val="naisc"/>
              <w:spacing w:before="0" w:after="0"/>
              <w:jc w:val="both"/>
              <w:rPr>
                <w:b/>
              </w:rPr>
            </w:pPr>
            <w:r w:rsidRPr="00B57019">
              <w:rPr>
                <w:b/>
              </w:rPr>
              <w:lastRenderedPageBreak/>
              <w:t>Iebildums daļēji ņemts vērā.</w:t>
            </w:r>
          </w:p>
          <w:p w14:paraId="3F63B519" w14:textId="77777777" w:rsidR="00C071F0" w:rsidRPr="00B57019" w:rsidRDefault="00C071F0" w:rsidP="00C071F0">
            <w:pPr>
              <w:pStyle w:val="naisc"/>
              <w:spacing w:before="0" w:after="0"/>
              <w:jc w:val="both"/>
            </w:pPr>
            <w:r w:rsidRPr="00B57019">
              <w:t>Visos informatīvā ziņojuma pielikumos ir norādītas amatu saimes, mēnešalgu grupas un līmeņi, sākot no 7. amatu saimes līdz 12. amatu saimei.</w:t>
            </w:r>
          </w:p>
          <w:p w14:paraId="6F276263" w14:textId="77777777" w:rsidR="00C071F0" w:rsidRPr="00B57019" w:rsidRDefault="00C071F0" w:rsidP="00C071F0">
            <w:pPr>
              <w:pStyle w:val="naisc"/>
              <w:spacing w:before="0" w:after="0"/>
              <w:ind w:firstLine="720"/>
              <w:jc w:val="both"/>
            </w:pPr>
          </w:p>
          <w:p w14:paraId="54F655CB" w14:textId="77777777" w:rsidR="00C071F0" w:rsidRPr="00B57019" w:rsidRDefault="00C071F0" w:rsidP="00C071F0">
            <w:pPr>
              <w:pStyle w:val="naisc"/>
              <w:spacing w:before="0" w:after="0"/>
              <w:jc w:val="both"/>
            </w:pPr>
            <w:r w:rsidRPr="00B57019">
              <w:t>Lūdzam Kultūras ministriju nodefinēt centralizējamo cilvēkresursu klasifikāciju.</w:t>
            </w:r>
          </w:p>
          <w:p w14:paraId="75973A49" w14:textId="77777777" w:rsidR="000E6D1A" w:rsidRPr="00B57019" w:rsidRDefault="00C071F0" w:rsidP="00C071F0">
            <w:pPr>
              <w:jc w:val="both"/>
            </w:pPr>
            <w:r w:rsidRPr="00B57019">
              <w:t>Vienlaikus informējam, ka aprēķinātais ietaupījums rodas attiecībā uz atbalsta funkciju nodrošināšanu saistīto personālu (lietvežu, iepirkuma speciālistu, juristu u.tml.), nevis attiecībā uz informācijas tehnoloģiju personālu.</w:t>
            </w:r>
          </w:p>
          <w:p w14:paraId="45A40246" w14:textId="77777777" w:rsidR="00C071F0" w:rsidRPr="00B57019" w:rsidRDefault="00C071F0" w:rsidP="00C071F0">
            <w:pPr>
              <w:jc w:val="both"/>
            </w:pPr>
          </w:p>
          <w:p w14:paraId="15E4DB9A" w14:textId="23405EDD" w:rsidR="00C071F0" w:rsidRPr="00B57019" w:rsidRDefault="00C071F0" w:rsidP="00C071F0">
            <w:pPr>
              <w:jc w:val="both"/>
              <w:rPr>
                <w:b/>
              </w:rPr>
            </w:pP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75A5254F" w14:textId="77777777" w:rsidR="002A721B" w:rsidRPr="00B57019" w:rsidRDefault="002A721B" w:rsidP="002A721B">
            <w:pPr>
              <w:jc w:val="both"/>
            </w:pPr>
            <w:r w:rsidRPr="00B57019">
              <w:lastRenderedPageBreak/>
              <w:t>Iebildums tiek uzturēts.</w:t>
            </w:r>
          </w:p>
          <w:p w14:paraId="07C968EF" w14:textId="77777777" w:rsidR="000E6D1A" w:rsidRPr="00B57019" w:rsidRDefault="000E6D1A" w:rsidP="003E77FD">
            <w:pPr>
              <w:jc w:val="center"/>
            </w:pPr>
          </w:p>
        </w:tc>
        <w:tc>
          <w:tcPr>
            <w:tcW w:w="2503" w:type="dxa"/>
            <w:tcBorders>
              <w:top w:val="single" w:sz="4" w:space="0" w:color="auto"/>
              <w:left w:val="single" w:sz="4" w:space="0" w:color="auto"/>
              <w:bottom w:val="single" w:sz="4" w:space="0" w:color="auto"/>
            </w:tcBorders>
            <w:shd w:val="clear" w:color="auto" w:fill="auto"/>
          </w:tcPr>
          <w:p w14:paraId="7784156E" w14:textId="77777777" w:rsidR="002A52C7" w:rsidRPr="00B57019" w:rsidRDefault="002A52C7" w:rsidP="002A52C7">
            <w:pPr>
              <w:jc w:val="both"/>
            </w:pPr>
            <w:r w:rsidRPr="00B57019">
              <w:t xml:space="preserve">Informatīvā ziņojuma projekta 2.punkts papildināts ar tekstu šādā redakcijā: </w:t>
            </w:r>
          </w:p>
          <w:p w14:paraId="54CB3EF6" w14:textId="2137124D" w:rsidR="000E6D1A" w:rsidRPr="00B57019" w:rsidRDefault="002A52C7" w:rsidP="002A52C7">
            <w:pPr>
              <w:pStyle w:val="ListParagraph"/>
              <w:spacing w:after="0" w:line="240" w:lineRule="auto"/>
              <w:ind w:left="0"/>
              <w:jc w:val="both"/>
            </w:pPr>
            <w:r w:rsidRPr="00B57019">
              <w:rPr>
                <w:rFonts w:ascii="Times New Roman" w:hAnsi="Times New Roman"/>
                <w:sz w:val="24"/>
                <w:szCs w:val="24"/>
                <w:lang w:val="lv-LV" w:eastAsia="lv-LV"/>
              </w:rPr>
              <w:t>“Aprēķinātais ietaupījums rodas attiecībā uz atbalsta funkciju nodrošināšanu saistīto personālu (lietvežu, iepirkuma speciālistu, juristu u.tml.), nevis attiecībā uz informācijas tehnoloģiju personālu.”</w:t>
            </w:r>
          </w:p>
        </w:tc>
      </w:tr>
      <w:tr w:rsidR="00B57019" w:rsidRPr="00B57019" w14:paraId="5F0FB3A3" w14:textId="77777777" w:rsidTr="6EC0B0DB">
        <w:tc>
          <w:tcPr>
            <w:tcW w:w="14567" w:type="dxa"/>
            <w:gridSpan w:val="6"/>
            <w:tcBorders>
              <w:top w:val="single" w:sz="6" w:space="0" w:color="000000" w:themeColor="text1"/>
              <w:left w:val="single" w:sz="6" w:space="0" w:color="000000" w:themeColor="text1"/>
              <w:bottom w:val="single" w:sz="6" w:space="0" w:color="000000" w:themeColor="text1"/>
            </w:tcBorders>
            <w:shd w:val="clear" w:color="auto" w:fill="auto"/>
          </w:tcPr>
          <w:p w14:paraId="6034A7A1" w14:textId="77777777" w:rsidR="008A08DD" w:rsidRPr="00B57019" w:rsidRDefault="008A08DD" w:rsidP="008A36C9">
            <w:pPr>
              <w:jc w:val="center"/>
            </w:pPr>
            <w:r w:rsidRPr="00B57019">
              <w:rPr>
                <w:b/>
              </w:rPr>
              <w:t>Labklājības ministrija</w:t>
            </w:r>
          </w:p>
        </w:tc>
      </w:tr>
      <w:tr w:rsidR="00B57019" w:rsidRPr="00B57019" w14:paraId="30DB47D9"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6B607C" w14:textId="7BD5C82A" w:rsidR="008A08DD" w:rsidRPr="00B57019" w:rsidRDefault="00777328" w:rsidP="0031398F">
            <w:pPr>
              <w:pStyle w:val="naisc"/>
              <w:spacing w:before="0" w:after="0"/>
            </w:pPr>
            <w:r w:rsidRPr="00B57019">
              <w:t>16</w:t>
            </w:r>
            <w:r w:rsidR="0031398F" w:rsidRPr="00B57019">
              <w:t>.</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6160F1" w14:textId="77777777" w:rsidR="008A08DD" w:rsidRPr="00B57019" w:rsidRDefault="008A08DD" w:rsidP="008A08DD">
            <w:pPr>
              <w:pStyle w:val="naisc"/>
              <w:spacing w:before="0" w:after="0"/>
              <w:ind w:firstLine="720"/>
              <w:jc w:val="left"/>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D0ECF9" w14:textId="77777777" w:rsidR="008A08DD" w:rsidRPr="00B57019" w:rsidRDefault="008A08DD" w:rsidP="001E3623">
            <w:pPr>
              <w:jc w:val="both"/>
            </w:pPr>
            <w:r w:rsidRPr="00B57019">
              <w:t xml:space="preserve">Ar Valsts pārvaldes reformu plāna 2020 (apstiprināts ar Ministru kabineta 2017. gada 24. novembra rīkojumu Nr. 701 (prot. Nr. 57 54. §)) sadaļas “Pasākumi mērķu sasniegšanai” 4.4. apakšpunktu VARAM, </w:t>
            </w:r>
            <w:r w:rsidRPr="00B57019">
              <w:lastRenderedPageBreak/>
              <w:t xml:space="preserve">sadarbībā ar Valsts reģionālās attīstības aģentūru (turpmāk – VRAA) tika uzdots izvērtēt iepirkumu funkcijas konsolidācijas un iepirkumu atbalsta funkcijas centralizācijas potenciālu un piedāvāt iespējamos centralizācijas risinājumus. </w:t>
            </w:r>
          </w:p>
          <w:p w14:paraId="2E1FC3C1" w14:textId="77777777" w:rsidR="008A08DD" w:rsidRPr="00B57019" w:rsidRDefault="008A08DD" w:rsidP="008A08DD">
            <w:pPr>
              <w:ind w:firstLine="720"/>
              <w:jc w:val="both"/>
            </w:pPr>
            <w:r w:rsidRPr="00B57019">
              <w:t xml:space="preserve">Ministru kabinetā (turpmāk – MK) 2019. gada 9. aprīlī (prot. Nr.18 41.§) pieņemts zināšanai VARAM iesniegtais informatīvais ziņojums "Par Valsts pārvaldes reformu plāna 2020 sadaļas "Pasākumi mērķu sasniegšanai" 4.4.apakšpunktā dotā uzdevuma izpildi" TA-154, protokollēmuma 3. punktā nosakot sekojošo - ievērojot, ka atbilstoši Valsts pārvaldes reformu plāna 2020 sadaļas "Pasākumi mērķu sasniegšanai" 4.1.apakšpunktā un Valsts sekretāru 2018. gada 13. decembra sanāksmes protokollēmumā (prot. Nr.49 36.§) "Valsts pārvaldes cilvēkresursu politikas aktualitātes un atbalsta </w:t>
            </w:r>
            <w:r w:rsidRPr="00B57019">
              <w:lastRenderedPageBreak/>
              <w:t xml:space="preserve">funkciju centralizācija" noteiktajiem uzdevumiem paredzēts realizēt vairākus centralizētu iepirkumu </w:t>
            </w:r>
            <w:r w:rsidRPr="00B57019">
              <w:rPr>
                <w:u w:val="single"/>
              </w:rPr>
              <w:t>izmēģinājuma projektus</w:t>
            </w:r>
            <w:r w:rsidRPr="00B57019">
              <w:t xml:space="preserve"> tiešās pārvaldes iestāžu vajadzībām, Iepirkumu uzraudzības birojam (turpmāk – IUB) sadarbībā ar ministrijām un VRAA pēc minēto izmēģinājuma projektu pabeigšanas veikt rezultātu apkopojumu un iesniegt diskusijai Valsts sekretāru sanāksmē. </w:t>
            </w:r>
          </w:p>
          <w:p w14:paraId="13A59EE7" w14:textId="77777777" w:rsidR="008A08DD" w:rsidRPr="00B57019" w:rsidRDefault="008A08DD" w:rsidP="008A08DD">
            <w:pPr>
              <w:ind w:firstLine="720"/>
              <w:jc w:val="both"/>
            </w:pPr>
            <w:r w:rsidRPr="00B57019">
              <w:t>Minētajā informatīvajā ziņojumā izklāstīta esošā situācija un identificētas problēmas preču un pakalpojumu iegādē VRAA pārziņā esošajā Elektronisko iepirkumu sistēmā (turpmāk – EIS).</w:t>
            </w:r>
          </w:p>
          <w:p w14:paraId="53CDCAF3" w14:textId="77777777" w:rsidR="008A08DD" w:rsidRPr="00B57019" w:rsidRDefault="008A08DD" w:rsidP="0019042F">
            <w:pPr>
              <w:ind w:firstLine="720"/>
              <w:jc w:val="both"/>
            </w:pPr>
            <w:r w:rsidRPr="00B57019">
              <w:t xml:space="preserve"> VARAM informatīvajā ziņojumā norāda, ka, lai izvērtētu iepirkumu centralizācijas iespējas, 2018. gada 22. novembrī Valsts sekretāru sanāksmē tika izskatīta Finanšu ministrijas sagatavotā prezentācija “Resoru iepirkumu portfelis 2017”, </w:t>
            </w:r>
            <w:r w:rsidRPr="00B57019">
              <w:lastRenderedPageBreak/>
              <w:t xml:space="preserve">kurā cita starpā, pamatojoties uz IUB </w:t>
            </w:r>
            <w:r w:rsidRPr="00B57019">
              <w:rPr>
                <w:rFonts w:eastAsia="Calibri"/>
                <w:lang w:eastAsia="en-US"/>
              </w:rPr>
              <w:t>sniegto informāciju un analīzi, tika sniegti priekšlikumi iepirkumu funkciju konsolidācijai un centralizācijai. Ņemot vērā šos priekšlikumus,</w:t>
            </w:r>
            <w:r w:rsidRPr="00B57019">
              <w:t xml:space="preserve"> 2018. gada 13. decembra Valsts sekretāru sanāksmes protokola Nr. 49 36. § “Valsts pārvaldes cilvēkresursu politikas aktualitātes un atbalsta funkciju centralizācija” 7. punktā, paredzot konkrētu atbildības sadalījumu, ir noteikta šādu iepirkumu centralizēšana un atbildīgās institūcijas:</w:t>
            </w:r>
          </w:p>
          <w:p w14:paraId="18EFAD9D" w14:textId="77777777" w:rsidR="008A08DD" w:rsidRPr="00B57019" w:rsidRDefault="008A08DD" w:rsidP="0019042F">
            <w:pPr>
              <w:ind w:firstLine="720"/>
              <w:jc w:val="both"/>
            </w:pPr>
            <w:r w:rsidRPr="00B57019">
              <w:t>-</w:t>
            </w:r>
            <w:r w:rsidRPr="00B57019">
              <w:tab/>
              <w:t>degvielas (atbildīgās institūcijas: Aizsardzības ministrija, Valsts aizsardzības militāro objektu un iepirkumu centrs);</w:t>
            </w:r>
          </w:p>
          <w:p w14:paraId="3DE411A3" w14:textId="77777777" w:rsidR="008A08DD" w:rsidRPr="00B57019" w:rsidRDefault="008A08DD" w:rsidP="0019042F">
            <w:pPr>
              <w:ind w:firstLine="720"/>
              <w:jc w:val="both"/>
            </w:pPr>
            <w:r w:rsidRPr="00B57019">
              <w:t>-</w:t>
            </w:r>
            <w:r w:rsidRPr="00B57019">
              <w:tab/>
              <w:t>laboratorijas materiālu, reaģentu un ķimikāliju (atbildīgās institūcijas: Izglītības un zinātnes ministrija, Veselības ministrija, Zemkopības ministrija, augstskolas, zinātniskie institūti);</w:t>
            </w:r>
          </w:p>
          <w:p w14:paraId="71857D7E" w14:textId="77777777" w:rsidR="008A08DD" w:rsidRPr="00B57019" w:rsidRDefault="008A08DD" w:rsidP="0019042F">
            <w:pPr>
              <w:ind w:firstLine="720"/>
              <w:jc w:val="both"/>
            </w:pPr>
            <w:r w:rsidRPr="00B57019">
              <w:t>-</w:t>
            </w:r>
            <w:r w:rsidR="0019042F" w:rsidRPr="00B57019">
              <w:t xml:space="preserve"> </w:t>
            </w:r>
            <w:r w:rsidRPr="00B57019">
              <w:t xml:space="preserve">elektroenerģijas (atbildīgās institūcijas: </w:t>
            </w:r>
            <w:r w:rsidRPr="00B57019">
              <w:lastRenderedPageBreak/>
              <w:t>Ekonomikas ministrija, Iepirkumu uzraudzības birojs, VRAA).</w:t>
            </w:r>
          </w:p>
          <w:p w14:paraId="292C3E77" w14:textId="77777777" w:rsidR="008A08DD" w:rsidRPr="00B57019" w:rsidRDefault="008A08DD" w:rsidP="0019042F">
            <w:pPr>
              <w:ind w:firstLine="720"/>
              <w:jc w:val="both"/>
            </w:pPr>
            <w:r w:rsidRPr="00B57019">
              <w:t>Papildus ministrijām tika uzdots izvērtēt iespēju 2019. gadā iesaistīties iepriekšminētajos centralizētajos iepirkumos, kuros viens resors ir iepirkuma veicējs, bet citi resori pievienojas iepirkumam, ja šāds iepirkums ir viņiem nepieciešams, tādejādi veicinot sadarbību un resursu ekonomiju.</w:t>
            </w:r>
          </w:p>
          <w:p w14:paraId="21652017" w14:textId="77777777" w:rsidR="008A08DD" w:rsidRPr="00B57019" w:rsidRDefault="008A08DD" w:rsidP="008A08DD">
            <w:pPr>
              <w:ind w:firstLine="720"/>
              <w:jc w:val="both"/>
            </w:pPr>
            <w:r w:rsidRPr="00B57019">
              <w:t xml:space="preserve">Informatīvajā ziņojumā minēts, ka kopumā ministrijas atbalsta EIS attīstību un saredz iespēju līdzekļu ietaupījumam, izmantojot šo sistēmu. EIS piedāvāto pakalpojumu groza paplašināšana radītu cilvēkresursu ietaupījumu valsts pārvaldes iestādēs (mazāks iepirkuma procedūru skaits katrā iestādē, līdz ar to administratīvo resursu ietaupījums, kā arī iespējamas apjoma atlaides). Izvērtējot pozitīvo pieredzi centralizēto iepirkumu veikšanā, efektīvāk un racionālāk ir veikt </w:t>
            </w:r>
            <w:r w:rsidRPr="00B57019">
              <w:lastRenderedPageBreak/>
              <w:t xml:space="preserve">iepirkumus, kuriem ir vienāds iepirkuma priekšmets, teritoriālais izvietojums un maksimāli līdzīgs piegādes termiņš nepieciešamajai precei/pakalpojumam. </w:t>
            </w:r>
          </w:p>
          <w:p w14:paraId="3F8CE96C" w14:textId="77777777" w:rsidR="008A08DD" w:rsidRPr="00B57019" w:rsidRDefault="008A08DD" w:rsidP="008A08DD">
            <w:pPr>
              <w:ind w:firstLine="720"/>
              <w:jc w:val="both"/>
            </w:pPr>
            <w:r w:rsidRPr="00B57019">
              <w:t>Tomēr, neskatoties uz to, ministrijas ir norādījušas, ka pastāv gadījumi, kad ārpus EIS veiktais iepirkums ir finansiāli izdevīgāks vai par to pašu cenu, par kādu ir iespējams iegādāties preces vai pakalpojumus EIS, ir iespēja iegūt augstākas kvalitātes preci vai pakalpojumu. Vienlaikus jāatzīmē, ka ne visos centralizētajos iepirkumos sagaidāma līdzekļu ekonomija, jo ir arī objektīvi apstākļi tirgū un ekonomikā kopumā, kuri ietekmē cenu samazinājumu iepirkuma rezultātā, kaut arī tiek iepirkts palielināts preču/pakalpojumu apjoms.</w:t>
            </w:r>
          </w:p>
          <w:p w14:paraId="1BE3B0A0" w14:textId="77777777" w:rsidR="008A08DD" w:rsidRPr="00B57019" w:rsidRDefault="008A08DD" w:rsidP="008A08DD">
            <w:pPr>
              <w:ind w:firstLine="720"/>
              <w:jc w:val="both"/>
            </w:pPr>
            <w:r w:rsidRPr="00B57019">
              <w:t xml:space="preserve">Ministrijas pieredze EIS izmantošanā liek secināt, ka EIS atvieglo sērijveida produktu iepirkumus, bet neatvieglo pielāgojamo </w:t>
            </w:r>
            <w:r w:rsidRPr="00B57019">
              <w:lastRenderedPageBreak/>
              <w:t>produktu iegādi, kā arī ierobežo piegādātāju loku.</w:t>
            </w:r>
          </w:p>
          <w:p w14:paraId="08FB9C2E" w14:textId="77777777" w:rsidR="008A08DD" w:rsidRPr="00B57019" w:rsidRDefault="008A08DD" w:rsidP="008A08DD">
            <w:pPr>
              <w:ind w:firstLine="720"/>
              <w:jc w:val="both"/>
            </w:pPr>
            <w:r w:rsidRPr="00B57019">
              <w:t xml:space="preserve">IUB 2019. gada 1. februārī Ministrijai adresētajā vēstulē Nr. 1-3.2/166 “Par centralizēta degvielas un elektroenerģijas iepirkuma organizēšanu” informēja, ka saskaņā ar (protokols Nr.49) 2018. gada 13. decembra Valsts sekretāru sanāksmē nolemto attiecībā uz starpresoru centralizāciju tiek plānots veikt centralizētu degvielas un centralizētu elektroenerģijas iepirkumu tiešās valsts pārvaldes iestāžu vajadzībām, un lūdza apkopot ministriju un to padotības iestāžu vajadzības attiecībā uz minētajiem iepirkuma priekšmetiem. Vienlaikus IUB paskaidroja, ka centralizētajā iepirkumā ir plānots iekļaut vienkāršotas, standartizētas vajadzības un </w:t>
            </w:r>
            <w:r w:rsidRPr="00B57019">
              <w:rPr>
                <w:u w:val="single"/>
              </w:rPr>
              <w:t>specifisko vajadzību nodrošināšanai pasūtītājam būtu jārīko atsevišķi iepirkumi</w:t>
            </w:r>
            <w:r w:rsidRPr="00B57019">
              <w:t>. Līdz ar to prasītā informācija sagatavojama, ņemot vērā minēto apsvērumu.</w:t>
            </w:r>
          </w:p>
          <w:p w14:paraId="37A35113" w14:textId="77777777" w:rsidR="008A08DD" w:rsidRPr="00B57019" w:rsidRDefault="008A08DD" w:rsidP="008A08DD">
            <w:pPr>
              <w:ind w:firstLine="720"/>
              <w:jc w:val="both"/>
            </w:pPr>
            <w:r w:rsidRPr="00B57019">
              <w:lastRenderedPageBreak/>
              <w:t xml:space="preserve">Ministrija 2019. gada 15. februārī, nosūtot prasīto informācijas apkopojumu (vēstule Nr. 28-3-01/311), vienlaikus informēja IUB par degvielas un elektroenerģijas iepirkumu organizēšanas kārtību labklājības nozarē, pamatojot viedokli, ka 2019. gadā plānotie degvielas un elektroenerģijas iepirkumi labklājības nozares iestāžu un kapitālsabiedrības vajadzībām veicami resora ietvaros atbilstoši esošajai nozares iepirkumu kārtībai. Ministrija skaidroja IUB, ka kopš 2014. gada labklājības nozares iestāžu vajadzībām centralizētās iepirkumu institūcijas funkciju pilda Valsts sabiedrība ar ierobežotu atbildību “Šampētera nams” (turpmāk – VSIA “Šampētera nams”) un, ievērojot Ministrijas padotībā esošo iestāžu reģionālo struktūrvienību ģeogrāfisko izvietojumu, pakalpojumu ir nepieciešams nodrošināt visos Latvijas reģionos. Ministrija vērsa IUB uzmanību uz faktu, ka Valsts sociālās aprūpes </w:t>
            </w:r>
            <w:r w:rsidRPr="00B57019">
              <w:lastRenderedPageBreak/>
              <w:t>centru filiāles ir izvietotas administratīvajās teritorijās, kuru saprātīgā tuvumā nereti nav pieejamas “lielo” degvielas mazumtirgotāju tīklu degvielas uzpildes stacijas, savukārt “mazie” degvielas mazumtirgotāji neizrāda interesi par piedalīšanos publiskajos iepirkumos. Rezultātā katrā konkrētajā gadījumā nepieciešams rīkot sarunu procedūras, lai konkrētām iestādēm pakalpojums būtu pieejams vismaz 20 – 30 km rādiusā no to atrašanās vietas.</w:t>
            </w:r>
          </w:p>
          <w:p w14:paraId="0F6A20DE" w14:textId="77777777" w:rsidR="008A08DD" w:rsidRPr="00B57019" w:rsidRDefault="008A08DD" w:rsidP="008A08DD">
            <w:pPr>
              <w:spacing w:after="120"/>
              <w:ind w:firstLine="720"/>
              <w:jc w:val="both"/>
            </w:pPr>
            <w:r w:rsidRPr="00B57019">
              <w:t xml:space="preserve">Tā, kā Ministrijas padotības iestādēm līgumi par elektroenerģijas piegādi ir spēkā līdz 2019. gada 30. aprīlim, ņemot vērā īso termiņu iepirkuma veikšanai un VSIA “Šampētera nams” uzsākto darbu pie iepirkuma dokumentācijas izstrādes, Ministrija izteica IUB viedokli elektroenerģijas piegādes iepirkumu 2019. gadā nenodot starpresoru centralizētajai iepirkumu iestādei. Tomēr kopumā priekšlikums par starpresoru </w:t>
            </w:r>
            <w:r w:rsidRPr="00B57019">
              <w:lastRenderedPageBreak/>
              <w:t xml:space="preserve">centralizētu iepirkumu veikšanu Ministrijas ieskatā būtu daļēji atbalstāms, izvērtējot elektroenerģijas piegādes iepirkuma tālāku centralizāciju. </w:t>
            </w:r>
          </w:p>
          <w:p w14:paraId="757BABC1" w14:textId="77777777" w:rsidR="008A08DD" w:rsidRPr="00B57019" w:rsidRDefault="008A08DD" w:rsidP="003E7277">
            <w:pPr>
              <w:spacing w:after="120"/>
              <w:ind w:firstLine="720"/>
              <w:jc w:val="both"/>
            </w:pPr>
            <w:r w:rsidRPr="00B57019">
              <w:t xml:space="preserve">Ņemot vērā, ka EIS pagaidām nav papildināta ar jaunām centralizēti iepērkamo preču un pakalpojumu grupām, kas šobrīd liedz Ministrijai iespēju pārliecināties par atsevišķu preču un pakalpojumu centralizēta iepirkuma priekšrocībām, kā arī iepriekš atzinumā izklāstītais apliecina, ka iepirkumu centralizēšana atsevišķās preču un pakalpojumu grupās negarantēs finanšu līdzekļu ietaupījumu, un pastāv iespēja, ka EIS piedāvātie pakalpojumi nenodrošinās specifisku, kvalitatīvu un pieejamu servisu Ministrijas padotībā esošo iestāžu funkciju izpildes nodrošināšanai, kā rezultātā attiecīgās preces un pakalpojumi būs iepērkami ārpus EIS, Ministrija uzskata, ka </w:t>
            </w:r>
            <w:r w:rsidRPr="00B57019">
              <w:rPr>
                <w:b/>
              </w:rPr>
              <w:t xml:space="preserve">jebkāda izdevumu, </w:t>
            </w:r>
            <w:r w:rsidRPr="00B57019">
              <w:rPr>
                <w:b/>
              </w:rPr>
              <w:lastRenderedPageBreak/>
              <w:t>administratīvā sloga samazināšanas un resursu pārdales prognoze ir pāragra un nepamatota</w:t>
            </w:r>
            <w:r w:rsidRPr="00B57019">
              <w:t>. Ministrijas ieskatā šo jautājumu objektīvi varēs izvērtēt tikai pēc tam, kad IUB sadarbībā ar ministrijām un VRAA būs pabeidzis centralizēto iepirkumu izmēģinājuma projektus, veicis to rezultātu apkopojumu, būs notikusi diskusija Valsts sekretāru sanāksmē, kā arī Ministrijai būs reāla iespēja iepirkt konkrētas preces un pakalpojumus EIS.</w:t>
            </w:r>
          </w:p>
          <w:p w14:paraId="2478F36A" w14:textId="77777777" w:rsidR="008A08DD" w:rsidRPr="00B57019" w:rsidRDefault="008A08DD" w:rsidP="0070711B">
            <w:pPr>
              <w:pStyle w:val="naisc"/>
              <w:spacing w:before="0" w:after="0"/>
              <w:ind w:firstLine="720"/>
              <w:jc w:val="both"/>
            </w:pPr>
            <w:r w:rsidRPr="00B57019">
              <w:t>Tas pats iebildums attiecināms arī uz E-rēķinu aprites risinājumu – tas šobrīd nav ieviests, tāpēc nav iespējams objektīvi prognozēt iespējamos Ministrijas resursu ietaupījumus.</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1EFD5A" w14:textId="77777777" w:rsidR="002B6824" w:rsidRPr="00B57019" w:rsidRDefault="002B6824" w:rsidP="00E44AA3">
            <w:pPr>
              <w:jc w:val="center"/>
              <w:rPr>
                <w:b/>
              </w:rPr>
            </w:pPr>
            <w:r w:rsidRPr="00B57019">
              <w:rPr>
                <w:b/>
              </w:rPr>
              <w:lastRenderedPageBreak/>
              <w:t>Iebildums nav ņemts vērā.</w:t>
            </w:r>
          </w:p>
          <w:p w14:paraId="72EA4959" w14:textId="77777777" w:rsidR="008A08DD" w:rsidRPr="00B57019" w:rsidRDefault="008A08DD" w:rsidP="008A08DD">
            <w:pPr>
              <w:pStyle w:val="PlainText"/>
              <w:jc w:val="both"/>
              <w:rPr>
                <w:rFonts w:ascii="Times New Roman" w:hAnsi="Times New Roman"/>
                <w:sz w:val="24"/>
                <w:szCs w:val="24"/>
                <w:lang w:val="lv-LV"/>
              </w:rPr>
            </w:pPr>
            <w:r w:rsidRPr="00B57019">
              <w:rPr>
                <w:rFonts w:ascii="Times New Roman" w:hAnsi="Times New Roman"/>
                <w:sz w:val="24"/>
                <w:szCs w:val="24"/>
                <w:lang w:val="lv-LV"/>
              </w:rPr>
              <w:t xml:space="preserve">Vēršam uzmanību, ka Labklājības ministrijas argumentācija ir attiecināma uz potenciālu EIS turpmāku attīstību, savukārt administratīvo resursu pārdale ir saistīta ar līdz šim </w:t>
            </w:r>
            <w:r w:rsidRPr="00B57019">
              <w:rPr>
                <w:rFonts w:ascii="Times New Roman" w:hAnsi="Times New Roman"/>
                <w:sz w:val="24"/>
                <w:szCs w:val="24"/>
                <w:lang w:val="lv-LV"/>
              </w:rPr>
              <w:lastRenderedPageBreak/>
              <w:t>saņemto (jau esošo) administratīvo resursu ietaupījumu, kuru nodrošina EIS e-pasūtījumu apakšsistēma.</w:t>
            </w:r>
          </w:p>
          <w:p w14:paraId="210CCB80" w14:textId="77777777" w:rsidR="008A08DD" w:rsidRPr="00B57019" w:rsidRDefault="008A08DD" w:rsidP="008A08DD">
            <w:pPr>
              <w:pStyle w:val="PlainText"/>
              <w:jc w:val="both"/>
              <w:rPr>
                <w:rFonts w:ascii="Times New Roman" w:hAnsi="Times New Roman"/>
                <w:sz w:val="24"/>
                <w:szCs w:val="24"/>
                <w:lang w:val="lv-LV"/>
              </w:rPr>
            </w:pPr>
          </w:p>
          <w:p w14:paraId="02E7C432" w14:textId="77777777" w:rsidR="008A08DD" w:rsidRPr="00B57019" w:rsidRDefault="003F0DD8" w:rsidP="008A08DD">
            <w:pPr>
              <w:pStyle w:val="PlainText"/>
              <w:jc w:val="both"/>
              <w:rPr>
                <w:rFonts w:ascii="Times New Roman" w:hAnsi="Times New Roman"/>
                <w:sz w:val="24"/>
                <w:szCs w:val="24"/>
                <w:lang w:val="lv-LV"/>
              </w:rPr>
            </w:pPr>
            <w:r w:rsidRPr="00B57019">
              <w:rPr>
                <w:rFonts w:ascii="Times New Roman" w:hAnsi="Times New Roman"/>
                <w:sz w:val="24"/>
                <w:szCs w:val="24"/>
              </w:rPr>
              <w:t>Eiropas Parlamenta un Padomes 2014. gada 16.aprīļa direktīva</w:t>
            </w:r>
            <w:r w:rsidRPr="00B57019">
              <w:rPr>
                <w:rFonts w:ascii="Times New Roman" w:hAnsi="Times New Roman"/>
                <w:b/>
                <w:bCs/>
                <w:sz w:val="24"/>
                <w:szCs w:val="24"/>
                <w:shd w:val="clear" w:color="auto" w:fill="FFFFFF"/>
              </w:rPr>
              <w:t xml:space="preserve"> </w:t>
            </w:r>
            <w:r w:rsidRPr="00B57019">
              <w:rPr>
                <w:rFonts w:ascii="Times New Roman" w:hAnsi="Times New Roman"/>
                <w:bCs/>
                <w:sz w:val="24"/>
                <w:szCs w:val="24"/>
              </w:rPr>
              <w:t>2014/55/ES</w:t>
            </w:r>
            <w:r w:rsidRPr="00B57019">
              <w:rPr>
                <w:rFonts w:ascii="Times New Roman" w:hAnsi="Times New Roman"/>
                <w:sz w:val="24"/>
                <w:szCs w:val="24"/>
              </w:rPr>
              <w:t xml:space="preserve"> par elektroniskajiem rēķiniem publiskā iepirkuma procedūrās</w:t>
            </w:r>
            <w:r w:rsidRPr="00B57019">
              <w:rPr>
                <w:rFonts w:ascii="Times New Roman" w:hAnsi="Times New Roman"/>
                <w:sz w:val="24"/>
                <w:szCs w:val="24"/>
                <w:lang w:val="lv-LV"/>
              </w:rPr>
              <w:t xml:space="preserve"> (</w:t>
            </w:r>
            <w:r w:rsidR="008A08DD" w:rsidRPr="00B57019">
              <w:rPr>
                <w:rFonts w:ascii="Times New Roman" w:hAnsi="Times New Roman"/>
                <w:sz w:val="24"/>
                <w:szCs w:val="24"/>
                <w:lang w:val="lv-LV"/>
              </w:rPr>
              <w:t>e-rēķinu aprites regula</w:t>
            </w:r>
            <w:r w:rsidRPr="00B57019">
              <w:rPr>
                <w:rFonts w:ascii="Times New Roman" w:hAnsi="Times New Roman"/>
                <w:sz w:val="24"/>
                <w:szCs w:val="24"/>
                <w:lang w:val="lv-LV"/>
              </w:rPr>
              <w:t>)</w:t>
            </w:r>
            <w:r w:rsidR="008A08DD" w:rsidRPr="00B57019">
              <w:rPr>
                <w:rFonts w:ascii="Times New Roman" w:hAnsi="Times New Roman"/>
                <w:sz w:val="24"/>
                <w:szCs w:val="24"/>
                <w:lang w:val="lv-LV"/>
              </w:rPr>
              <w:t xml:space="preserve"> prasa nodrošināt e-rēķinu apriti elektroniski, līdz ar to VRAA ir uzņēm</w:t>
            </w:r>
            <w:r w:rsidRPr="00B57019">
              <w:rPr>
                <w:rFonts w:ascii="Times New Roman" w:hAnsi="Times New Roman"/>
                <w:sz w:val="24"/>
                <w:szCs w:val="24"/>
                <w:lang w:val="lv-LV"/>
              </w:rPr>
              <w:t>us</w:t>
            </w:r>
            <w:r w:rsidR="008A08DD" w:rsidRPr="00B57019">
              <w:rPr>
                <w:rFonts w:ascii="Times New Roman" w:hAnsi="Times New Roman"/>
                <w:sz w:val="24"/>
                <w:szCs w:val="24"/>
                <w:lang w:val="lv-LV"/>
              </w:rPr>
              <w:t>ies realizēt centralizētu, drošu un vienotu sistēmu, kas nodrošinās e-rēķinu aprites iespēju gan Latvijā, gan ārvalstīs. Rezultātā VRAA piedāvā iespēju ie</w:t>
            </w:r>
            <w:r w:rsidR="00C24796" w:rsidRPr="00B57019">
              <w:rPr>
                <w:rFonts w:ascii="Times New Roman" w:hAnsi="Times New Roman"/>
                <w:sz w:val="24"/>
                <w:szCs w:val="24"/>
                <w:lang w:val="lv-LV"/>
              </w:rPr>
              <w:t>stādēm ietaupīt savus resursus</w:t>
            </w:r>
            <w:r w:rsidR="008A08DD" w:rsidRPr="00B57019">
              <w:rPr>
                <w:rFonts w:ascii="Times New Roman" w:hAnsi="Times New Roman"/>
                <w:sz w:val="24"/>
                <w:szCs w:val="24"/>
                <w:lang w:val="lv-LV"/>
              </w:rPr>
              <w:t>, kas būtu nepieciešami</w:t>
            </w:r>
            <w:r w:rsidRPr="00B57019">
              <w:rPr>
                <w:rFonts w:ascii="Times New Roman" w:hAnsi="Times New Roman"/>
                <w:sz w:val="24"/>
                <w:szCs w:val="24"/>
                <w:lang w:val="lv-LV"/>
              </w:rPr>
              <w:t>,</w:t>
            </w:r>
            <w:r w:rsidR="008A08DD" w:rsidRPr="00B57019">
              <w:rPr>
                <w:rFonts w:ascii="Times New Roman" w:hAnsi="Times New Roman"/>
                <w:sz w:val="24"/>
                <w:szCs w:val="24"/>
                <w:lang w:val="lv-LV"/>
              </w:rPr>
              <w:t xml:space="preserve"> realizējot katrai iestādei savu e-rēķinu aprites risinājumu (integrējoties ar PEPPOL mezgla punktu vai izmantojot to kā pakalpojumu). Papildus resursi tiek prasīti šobrīd, jo, lai VRAA varētu efektīvi </w:t>
            </w:r>
            <w:r w:rsidR="008A08DD" w:rsidRPr="00B57019">
              <w:rPr>
                <w:rFonts w:ascii="Times New Roman" w:hAnsi="Times New Roman"/>
                <w:sz w:val="24"/>
                <w:szCs w:val="24"/>
                <w:lang w:val="lv-LV"/>
              </w:rPr>
              <w:lastRenderedPageBreak/>
              <w:t xml:space="preserve">ietaupīt iestāžu resursus nākotnē, izmantojot e-rēķinu aprites risinājumu un atvieglojot darbu e-rēķinu sūtīšanai, ir nepieciešams veikt kvalitatīvu risinājuma izstrādi, tam paredzot papildus resursus izstrādes procesā. Šobrīd darbs pie risinājuma izstrādes jau ir sācies. </w:t>
            </w:r>
          </w:p>
          <w:p w14:paraId="105E6BB6" w14:textId="77777777" w:rsidR="008A08DD" w:rsidRPr="00B57019" w:rsidRDefault="008A08DD" w:rsidP="008A08DD">
            <w:pPr>
              <w:pStyle w:val="PlainText"/>
              <w:jc w:val="both"/>
              <w:rPr>
                <w:rFonts w:ascii="Times New Roman" w:hAnsi="Times New Roman"/>
                <w:sz w:val="24"/>
                <w:szCs w:val="24"/>
                <w:lang w:val="lv-LV"/>
              </w:rPr>
            </w:pPr>
          </w:p>
          <w:p w14:paraId="1156EBC8" w14:textId="77777777" w:rsidR="00150F9C" w:rsidRPr="00B57019" w:rsidRDefault="00150F9C" w:rsidP="008A08DD">
            <w:pPr>
              <w:pStyle w:val="PlainText"/>
              <w:jc w:val="both"/>
              <w:rPr>
                <w:rFonts w:ascii="Times New Roman" w:hAnsi="Times New Roman"/>
                <w:sz w:val="24"/>
                <w:szCs w:val="24"/>
                <w:lang w:val="lv-LV"/>
              </w:rPr>
            </w:pPr>
          </w:p>
          <w:p w14:paraId="4EA006C9" w14:textId="77777777" w:rsidR="00150F9C" w:rsidRPr="00B57019" w:rsidRDefault="00150F9C" w:rsidP="008A08DD">
            <w:pPr>
              <w:pStyle w:val="PlainText"/>
              <w:jc w:val="both"/>
              <w:rPr>
                <w:rFonts w:ascii="Times New Roman" w:hAnsi="Times New Roman"/>
                <w:sz w:val="24"/>
                <w:szCs w:val="24"/>
                <w:lang w:val="lv-LV"/>
              </w:rPr>
            </w:pPr>
          </w:p>
          <w:p w14:paraId="6C313086" w14:textId="77777777" w:rsidR="008A08DD" w:rsidRPr="00B57019" w:rsidRDefault="008A08DD" w:rsidP="008A08DD">
            <w:pPr>
              <w:pStyle w:val="PlainText"/>
              <w:jc w:val="both"/>
              <w:rPr>
                <w:rFonts w:ascii="Times New Roman" w:hAnsi="Times New Roman"/>
                <w:sz w:val="24"/>
                <w:szCs w:val="24"/>
                <w:lang w:val="lv-LV"/>
              </w:rPr>
            </w:pPr>
            <w:r w:rsidRPr="00B57019">
              <w:rPr>
                <w:rFonts w:ascii="Times New Roman" w:hAnsi="Times New Roman"/>
                <w:sz w:val="24"/>
                <w:szCs w:val="24"/>
                <w:lang w:val="lv-LV"/>
              </w:rPr>
              <w:t xml:space="preserve">Attiecībā </w:t>
            </w:r>
            <w:r w:rsidR="002B6824" w:rsidRPr="00B57019">
              <w:rPr>
                <w:rFonts w:ascii="Times New Roman" w:hAnsi="Times New Roman"/>
                <w:sz w:val="24"/>
                <w:szCs w:val="24"/>
                <w:lang w:val="lv-LV"/>
              </w:rPr>
              <w:t xml:space="preserve">uz </w:t>
            </w:r>
            <w:r w:rsidRPr="00B57019">
              <w:rPr>
                <w:rFonts w:ascii="Times New Roman" w:hAnsi="Times New Roman"/>
                <w:sz w:val="24"/>
                <w:szCs w:val="24"/>
                <w:lang w:val="lv-LV"/>
              </w:rPr>
              <w:t xml:space="preserve">EIS </w:t>
            </w:r>
            <w:r w:rsidR="002B6824" w:rsidRPr="00B57019">
              <w:rPr>
                <w:rFonts w:ascii="Times New Roman" w:hAnsi="Times New Roman"/>
                <w:sz w:val="24"/>
                <w:szCs w:val="24"/>
                <w:lang w:val="lv-LV"/>
              </w:rPr>
              <w:t xml:space="preserve">var </w:t>
            </w:r>
            <w:r w:rsidRPr="00B57019">
              <w:rPr>
                <w:rFonts w:ascii="Times New Roman" w:hAnsi="Times New Roman"/>
                <w:sz w:val="24"/>
                <w:szCs w:val="24"/>
                <w:lang w:val="lv-LV"/>
              </w:rPr>
              <w:t>piekri</w:t>
            </w:r>
            <w:r w:rsidR="002B6824" w:rsidRPr="00B57019">
              <w:rPr>
                <w:rFonts w:ascii="Times New Roman" w:hAnsi="Times New Roman"/>
                <w:sz w:val="24"/>
                <w:szCs w:val="24"/>
                <w:lang w:val="lv-LV"/>
              </w:rPr>
              <w:t xml:space="preserve">st </w:t>
            </w:r>
            <w:r w:rsidRPr="00B57019">
              <w:rPr>
                <w:rFonts w:ascii="Times New Roman" w:hAnsi="Times New Roman"/>
                <w:sz w:val="24"/>
                <w:szCs w:val="24"/>
                <w:lang w:val="lv-LV"/>
              </w:rPr>
              <w:t>apgalvojumam, ka</w:t>
            </w:r>
            <w:r w:rsidR="002B6824" w:rsidRPr="00B57019">
              <w:rPr>
                <w:rFonts w:ascii="Times New Roman" w:hAnsi="Times New Roman"/>
                <w:sz w:val="24"/>
                <w:szCs w:val="24"/>
                <w:lang w:val="lv-LV"/>
              </w:rPr>
              <w:t>,</w:t>
            </w:r>
            <w:r w:rsidRPr="00B57019">
              <w:rPr>
                <w:rFonts w:ascii="Times New Roman" w:hAnsi="Times New Roman"/>
                <w:sz w:val="24"/>
                <w:szCs w:val="24"/>
                <w:lang w:val="lv-LV"/>
              </w:rPr>
              <w:t xml:space="preserve"> pirmkārt</w:t>
            </w:r>
            <w:r w:rsidR="002B6824" w:rsidRPr="00B57019">
              <w:rPr>
                <w:rFonts w:ascii="Times New Roman" w:hAnsi="Times New Roman"/>
                <w:sz w:val="24"/>
                <w:szCs w:val="24"/>
                <w:lang w:val="lv-LV"/>
              </w:rPr>
              <w:t>,</w:t>
            </w:r>
            <w:r w:rsidRPr="00B57019">
              <w:rPr>
                <w:rFonts w:ascii="Times New Roman" w:hAnsi="Times New Roman"/>
                <w:sz w:val="24"/>
                <w:szCs w:val="24"/>
                <w:lang w:val="lv-LV"/>
              </w:rPr>
              <w:t xml:space="preserve"> centralizācijai būtu pakļaujami sērijveida produkti, kurus izmanto maksimālais pasūtītāju skaits. </w:t>
            </w:r>
          </w:p>
          <w:p w14:paraId="361F66E9" w14:textId="77777777" w:rsidR="008A08DD" w:rsidRPr="00B57019" w:rsidRDefault="008A08DD" w:rsidP="008A08DD">
            <w:pPr>
              <w:pStyle w:val="PlainText"/>
              <w:jc w:val="both"/>
              <w:rPr>
                <w:rFonts w:ascii="Times New Roman" w:hAnsi="Times New Roman"/>
                <w:sz w:val="24"/>
                <w:szCs w:val="24"/>
                <w:lang w:val="lv-LV"/>
              </w:rPr>
            </w:pPr>
            <w:r w:rsidRPr="00B57019">
              <w:rPr>
                <w:rFonts w:ascii="Times New Roman" w:hAnsi="Times New Roman"/>
                <w:sz w:val="24"/>
                <w:szCs w:val="24"/>
                <w:lang w:val="lv-LV"/>
              </w:rPr>
              <w:t>Vēršam uzmanību, ka gadījumos, ja pasūtītājs konstatē, ka</w:t>
            </w:r>
            <w:r w:rsidR="0019042F" w:rsidRPr="00B57019">
              <w:rPr>
                <w:rFonts w:ascii="Times New Roman" w:hAnsi="Times New Roman"/>
                <w:sz w:val="24"/>
                <w:szCs w:val="24"/>
                <w:lang w:val="lv-LV"/>
              </w:rPr>
              <w:t>,</w:t>
            </w:r>
            <w:r w:rsidRPr="00B57019">
              <w:rPr>
                <w:rFonts w:ascii="Times New Roman" w:hAnsi="Times New Roman"/>
                <w:sz w:val="24"/>
                <w:szCs w:val="24"/>
                <w:lang w:val="lv-LV"/>
              </w:rPr>
              <w:t xml:space="preserve"> iegādājoties preces vai pakalpojumus ārpus EIS</w:t>
            </w:r>
            <w:r w:rsidR="0019042F" w:rsidRPr="00B57019">
              <w:rPr>
                <w:rFonts w:ascii="Times New Roman" w:hAnsi="Times New Roman"/>
                <w:sz w:val="24"/>
                <w:szCs w:val="24"/>
                <w:lang w:val="lv-LV"/>
              </w:rPr>
              <w:t>,</w:t>
            </w:r>
            <w:r w:rsidRPr="00B57019">
              <w:rPr>
                <w:rFonts w:ascii="Times New Roman" w:hAnsi="Times New Roman"/>
                <w:sz w:val="24"/>
                <w:szCs w:val="24"/>
                <w:lang w:val="lv-LV"/>
              </w:rPr>
              <w:t xml:space="preserve"> var sagaidīt papildus finanšu ekonomiju vai iegādāties preces, kas vairāk atbilstu pasūtītāju vajadzībām, atbilstoši spēkā esošajam regulējumam pasūtītā</w:t>
            </w:r>
            <w:r w:rsidR="002D2579" w:rsidRPr="00B57019">
              <w:rPr>
                <w:rFonts w:ascii="Times New Roman" w:hAnsi="Times New Roman"/>
                <w:sz w:val="24"/>
                <w:szCs w:val="24"/>
                <w:lang w:val="lv-LV"/>
              </w:rPr>
              <w:t>js organizē savu iepirkumu, tādē</w:t>
            </w:r>
            <w:r w:rsidRPr="00B57019">
              <w:rPr>
                <w:rFonts w:ascii="Times New Roman" w:hAnsi="Times New Roman"/>
                <w:sz w:val="24"/>
                <w:szCs w:val="24"/>
                <w:lang w:val="lv-LV"/>
              </w:rPr>
              <w:t xml:space="preserve">jādi šādi </w:t>
            </w:r>
            <w:r w:rsidRPr="00B57019">
              <w:rPr>
                <w:rFonts w:ascii="Times New Roman" w:hAnsi="Times New Roman"/>
                <w:sz w:val="24"/>
                <w:szCs w:val="24"/>
                <w:lang w:val="lv-LV"/>
              </w:rPr>
              <w:lastRenderedPageBreak/>
              <w:t>gadījumi nav iekļauti statistikas datos, kas pamato administratīva resursa ekonomiju.</w:t>
            </w:r>
          </w:p>
          <w:p w14:paraId="6DBBD794" w14:textId="77777777" w:rsidR="008A08DD" w:rsidRPr="00B57019" w:rsidRDefault="008A08DD" w:rsidP="008A08DD">
            <w:pPr>
              <w:pStyle w:val="PlainText"/>
              <w:jc w:val="both"/>
              <w:rPr>
                <w:rFonts w:ascii="Times New Roman" w:hAnsi="Times New Roman"/>
                <w:sz w:val="24"/>
                <w:szCs w:val="24"/>
                <w:lang w:val="lv-LV"/>
              </w:rPr>
            </w:pPr>
            <w:r w:rsidRPr="00B57019">
              <w:rPr>
                <w:rFonts w:ascii="Times New Roman" w:hAnsi="Times New Roman"/>
                <w:sz w:val="24"/>
                <w:szCs w:val="24"/>
                <w:lang w:val="lv-LV"/>
              </w:rPr>
              <w:t xml:space="preserve">Paskaidrojam, ka atsauce uz Valsts sekretāru sanāksmē nolemto attiecībā uz starpresoru centralizāciju ir iekļauta tikai kā informācija </w:t>
            </w:r>
            <w:r w:rsidR="002D2579" w:rsidRPr="00B57019">
              <w:rPr>
                <w:rFonts w:ascii="Times New Roman" w:hAnsi="Times New Roman"/>
                <w:sz w:val="24"/>
                <w:szCs w:val="24"/>
                <w:lang w:val="lv-LV"/>
              </w:rPr>
              <w:t xml:space="preserve">par </w:t>
            </w:r>
            <w:r w:rsidRPr="00B57019">
              <w:rPr>
                <w:rFonts w:ascii="Times New Roman" w:hAnsi="Times New Roman"/>
                <w:sz w:val="24"/>
                <w:szCs w:val="24"/>
                <w:lang w:val="lv-LV"/>
              </w:rPr>
              <w:t>potenciālo turpmāko centralizācijas procesu, bet netika izmantota pašlaik n</w:t>
            </w:r>
            <w:r w:rsidR="002D2579" w:rsidRPr="00B57019">
              <w:rPr>
                <w:rFonts w:ascii="Times New Roman" w:hAnsi="Times New Roman"/>
                <w:sz w:val="24"/>
                <w:szCs w:val="24"/>
                <w:lang w:val="lv-LV"/>
              </w:rPr>
              <w:t xml:space="preserve">epieciešamo darbinieku, kā arī </w:t>
            </w:r>
            <w:r w:rsidRPr="00B57019">
              <w:rPr>
                <w:rFonts w:ascii="Times New Roman" w:hAnsi="Times New Roman"/>
                <w:sz w:val="24"/>
                <w:szCs w:val="24"/>
                <w:lang w:val="lv-LV"/>
              </w:rPr>
              <w:t>administra</w:t>
            </w:r>
            <w:r w:rsidR="002D2579" w:rsidRPr="00B57019">
              <w:rPr>
                <w:rFonts w:ascii="Times New Roman" w:hAnsi="Times New Roman"/>
                <w:sz w:val="24"/>
                <w:szCs w:val="24"/>
                <w:lang w:val="lv-LV"/>
              </w:rPr>
              <w:t>tīvā</w:t>
            </w:r>
            <w:r w:rsidRPr="00B57019">
              <w:rPr>
                <w:rFonts w:ascii="Times New Roman" w:hAnsi="Times New Roman"/>
                <w:sz w:val="24"/>
                <w:szCs w:val="24"/>
                <w:lang w:val="lv-LV"/>
              </w:rPr>
              <w:t xml:space="preserve"> resursa ekonomijas aprēķinos.</w:t>
            </w:r>
          </w:p>
          <w:p w14:paraId="5A4A27EC" w14:textId="77777777" w:rsidR="002D2579" w:rsidRPr="00B57019" w:rsidRDefault="002D2579" w:rsidP="008A08DD">
            <w:pPr>
              <w:pStyle w:val="naisc"/>
              <w:spacing w:before="0" w:after="0"/>
              <w:ind w:firstLine="720"/>
            </w:pPr>
          </w:p>
          <w:p w14:paraId="69EA7CF2" w14:textId="77777777" w:rsidR="008A08DD" w:rsidRPr="00B57019" w:rsidRDefault="00492BA0" w:rsidP="00492BA0">
            <w:pPr>
              <w:pStyle w:val="naisc"/>
              <w:spacing w:before="0" w:after="0"/>
              <w:jc w:val="both"/>
            </w:pPr>
            <w:r w:rsidRPr="00B57019">
              <w:t>Tāpat kā ir minēts iepriekš, VARAM ieskatā koplietošanas risinājumu darbības nodrošināšanā jāpiedalās proporcionāli un  risinājuma koncepts ir jābalsta principā - pārstrukturizējot kompetences un resursus rodot publiskas pārvaldes iekšienē.</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5B953518" w14:textId="77777777" w:rsidR="002A721B" w:rsidRPr="00B57019" w:rsidRDefault="002A721B" w:rsidP="002A721B">
            <w:pPr>
              <w:jc w:val="both"/>
            </w:pPr>
            <w:r w:rsidRPr="00B57019">
              <w:lastRenderedPageBreak/>
              <w:t>Iebildums tiek uzturēts.</w:t>
            </w:r>
          </w:p>
          <w:p w14:paraId="63C8458D" w14:textId="77777777" w:rsidR="008A08DD" w:rsidRPr="00B57019" w:rsidRDefault="008A08DD" w:rsidP="008A08DD">
            <w:pPr>
              <w:jc w:val="center"/>
            </w:pPr>
          </w:p>
        </w:tc>
        <w:tc>
          <w:tcPr>
            <w:tcW w:w="2503" w:type="dxa"/>
            <w:tcBorders>
              <w:top w:val="single" w:sz="4" w:space="0" w:color="auto"/>
              <w:left w:val="single" w:sz="4" w:space="0" w:color="auto"/>
              <w:bottom w:val="single" w:sz="4" w:space="0" w:color="auto"/>
            </w:tcBorders>
            <w:shd w:val="clear" w:color="auto" w:fill="auto"/>
          </w:tcPr>
          <w:p w14:paraId="152112CF" w14:textId="77777777" w:rsidR="008A08DD" w:rsidRPr="00B57019" w:rsidRDefault="008A08DD" w:rsidP="008A08DD">
            <w:pPr>
              <w:jc w:val="center"/>
            </w:pPr>
          </w:p>
        </w:tc>
      </w:tr>
      <w:tr w:rsidR="00B57019" w:rsidRPr="00B57019" w14:paraId="1514BE23"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7600F98" w14:textId="15C1E7D2" w:rsidR="008A08DD" w:rsidRPr="00B57019" w:rsidRDefault="00777328" w:rsidP="008A08DD">
            <w:pPr>
              <w:pStyle w:val="naisc"/>
              <w:spacing w:before="0" w:after="0"/>
            </w:pPr>
            <w:r w:rsidRPr="00B57019">
              <w:lastRenderedPageBreak/>
              <w:t>17</w:t>
            </w:r>
            <w:r w:rsidR="00AB62C9" w:rsidRPr="00B57019">
              <w:t>.</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B432A29" w14:textId="77777777" w:rsidR="008A08DD" w:rsidRPr="00B57019" w:rsidRDefault="008A08DD" w:rsidP="00F45FB6">
            <w:pPr>
              <w:pStyle w:val="naisc"/>
              <w:spacing w:before="0" w:after="0"/>
              <w:jc w:val="left"/>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B54EF9" w14:textId="77777777" w:rsidR="008A08DD" w:rsidRPr="00B57019" w:rsidRDefault="008A08DD" w:rsidP="008A08DD">
            <w:pPr>
              <w:ind w:firstLine="720"/>
              <w:jc w:val="both"/>
            </w:pPr>
            <w:r w:rsidRPr="00B57019">
              <w:t xml:space="preserve">Ministrija un tās padotībā esošās iestādes preču un pakalpojumu iepirkumus organizē pēc iespējas centralizēti jau ilgu laiku, gan veicot iepirkumus EIS, gan organizējot vairāku pasūtītāju kopīgus iepirkumus, gan </w:t>
            </w:r>
            <w:r w:rsidRPr="00B57019">
              <w:lastRenderedPageBreak/>
              <w:t xml:space="preserve">uzticot atsevišķu preču un pakalpojumu grupu centralizētu iepirkšanu VSIA “Šampētera nams”, pamatojoties uz labklājības ministra 2014. gada 16. decembra rīkojuma Nr.108 “Par atsevišķu iepirkumu centralizēšanu”. </w:t>
            </w:r>
          </w:p>
          <w:p w14:paraId="68A36578" w14:textId="77777777" w:rsidR="008A08DD" w:rsidRPr="00B57019" w:rsidRDefault="008A08DD" w:rsidP="008A08DD">
            <w:pPr>
              <w:ind w:firstLine="720"/>
              <w:jc w:val="both"/>
            </w:pPr>
            <w:r w:rsidRPr="00B57019">
              <w:t>VSIA “Šampētera nams” centralizēti iepērk preces un pakalpojumus, kas saistīti ar nekustamo īpašumu pārvaldīšanas un apsaimniekošanas darbībām, kā arī iepērk atsevišķus saimnieciskos pakalpojumus (tostarp, elektroenerģiju, dabas gāzi, degvielu, telpu un teritoriju uzkopšanu, atkritumu savākšanu un izvešanu ēku, telpu, teritorijas fiziskās apsardzes pakalpojums, tehnisko apsardzi, nekustamā īpašuma apdrošināšanu, būvuzraudzību, būvprojektēšanu un autoruzraudzību, telpu remontdarbus, inženierkomunikāciju sistēmu un elektrotīklu izbūvi, apkopi un remontu u.c.).</w:t>
            </w:r>
          </w:p>
          <w:p w14:paraId="5F78A394" w14:textId="77777777" w:rsidR="008A08DD" w:rsidRPr="00B57019" w:rsidRDefault="008A08DD" w:rsidP="008A08DD">
            <w:pPr>
              <w:ind w:firstLine="720"/>
              <w:jc w:val="both"/>
            </w:pPr>
            <w:r w:rsidRPr="00B57019">
              <w:lastRenderedPageBreak/>
              <w:t>Atsevišķu preču un pakalpojumu iepirkumus organizē Ministrija kā viens no pasūtītājiem kopīga iepirkuma ietvaros. Piemēram, 2018. gadā Ministrija organizēja darbinieku veselības apdrošināšanas iepirkumu Ministrijas un tās padotībā esošo iestāžu un kapitālsabiedrības vajadzībām.</w:t>
            </w:r>
          </w:p>
          <w:p w14:paraId="32284FB1" w14:textId="77777777" w:rsidR="008A08DD" w:rsidRPr="00B57019" w:rsidRDefault="008A08DD" w:rsidP="008A08DD">
            <w:pPr>
              <w:ind w:firstLine="720"/>
              <w:jc w:val="both"/>
            </w:pPr>
            <w:r w:rsidRPr="00B57019">
              <w:t xml:space="preserve">Gan Ministrijas, gan tās padotībā esošo iestāžu un kapitālsabiedrības personālresursi jau uz šo brīdi ir pielāgoti esošajai noslodzei, proti, publisko iepirkumu organizēšanā iesaistītā personāla amata pienākumi un noslodzes ir atbilstošas iestāžu iepirkumu apjomam EIS un ārpus EIS. </w:t>
            </w:r>
          </w:p>
          <w:p w14:paraId="4F85F47E" w14:textId="77777777" w:rsidR="008A08DD" w:rsidRPr="00B57019" w:rsidRDefault="008A08DD" w:rsidP="008A08DD">
            <w:pPr>
              <w:ind w:firstLine="720"/>
              <w:jc w:val="both"/>
            </w:pPr>
            <w:r w:rsidRPr="00B57019">
              <w:t xml:space="preserve">Ministrijas 2019. gada iepirkumu plānā kopā paredzēti 109 iepirkumi, no tiem 33, izmantojot EIS. Iepirkumu procesa tehnisku organizēšanu nodrošina Ministrijas Juridiskā departamenta divi iepirkumu speciālisti, taču iepirkumu </w:t>
            </w:r>
            <w:r w:rsidRPr="00B57019">
              <w:lastRenderedPageBreak/>
              <w:t xml:space="preserve">sākotnējās dokumentācijas (tehniskās specifikācijas, darba uzdevumu, tirgus izpētes) sagatavošanu, iepirkumu līgumu noslēgšanu un noslēgto iepirkumu līgumu izpildes kontroli nodrošina par iepirkumu atbildīgās amatpersonas (Ministrijas politikas departamenta vai projekta vadības grupas eksperti) atkarībā no iepērkamo preču vai pakalpojuma specifikas. Minētie eksperti Ministrijā ir nodarbināti katrs savā specifiskā amatā un iepirkumu dokumentācijas izstrāde ir tikai neliela daļa no šo amatpersonu amata pienākumiem. Tādēļ nav iespējams veikt jebkādu šo ekspertu amata vietu samazinājumu EIS preču un pakalpojumu kataloga klāsta palielināšanas dēļ. Arī iepirkumu speciālistu amata vietu skaits ir minimāls, nodrošinot Ministrijas iepirkumu plānošanas, organizēšanas, padotības iestāžu iepirkumu plānošanas uzraudzības un ar iepirkumu </w:t>
            </w:r>
            <w:r w:rsidRPr="00B57019">
              <w:lastRenderedPageBreak/>
              <w:t>jomu saistīto tiesību aktu izstrādes un atzinumu sniegšanas funkciju, kā arī savstarpēju nodarbināto aizvietojamību. Iepirkumu speciālistu un šajā jomā specializētu juristu pakalpojumus Ministrija iepērk arī ārpakalpojuma veidā, uz laiku palielinot personāla kapacitāti atsevišķu no Eiropas Savienības struktūrfondiem finansētu projektu iepirkumu īstenošanā, atlīdzību iepirktajai amata vietai nodrošinot no konkrētā projekta finanšu resursiem. Šie resursi paredzēti konkrēta projekta īstenošanai un nav pakļauti pārdalei.</w:t>
            </w:r>
          </w:p>
          <w:p w14:paraId="610172A4" w14:textId="77777777" w:rsidR="008A08DD" w:rsidRPr="00B57019" w:rsidRDefault="008A08DD" w:rsidP="008A08DD">
            <w:pPr>
              <w:ind w:firstLine="720"/>
              <w:jc w:val="both"/>
            </w:pPr>
            <w:r w:rsidRPr="00B57019">
              <w:t xml:space="preserve">Nevar piekrist Ziņojuma 2. punkta tabulas 1. punktā norādītajam apgalvojumam, ka preču vai pakalpojumu iegādei EIS e-pasūtījumu apakšsistēmā jebkuram darījumam vidēji tiek patērētas tikai 2 cilvēkdienas, kas dod ietaupījumu uz vienu preču grupu (katalogu) 25 cilvēkdienas. Gadījumos, kad </w:t>
            </w:r>
            <w:r w:rsidRPr="00B57019">
              <w:lastRenderedPageBreak/>
              <w:t xml:space="preserve">EIS tiek iepirkti pakalpojumi, Ministrijai ir jāsagatavo detalizēts darba uzdevums un vienošanās par šī uzdevuma izpildi (līgums), pirms iepirkuma veikšanas rūpīgi izpētot VRAA noslēgtās vispārīgās vienošanās nosacījumus (īpaši to atbilstību no ES struktūrfondiem finansēto projektu reglamentējošo normatīvo aktu prasībām). Šāda iepirkuma organizēšanai tiek patērēts vairāk par 2 cilvēkdienām, kas nozīmē, ka VARAM aprēķinātais resursu ietaupījums nav korekts. </w:t>
            </w:r>
          </w:p>
          <w:p w14:paraId="0F97FADD" w14:textId="77777777" w:rsidR="008A08DD" w:rsidRPr="00B57019" w:rsidRDefault="008A08DD" w:rsidP="008A08DD">
            <w:pPr>
              <w:ind w:firstLine="720"/>
              <w:jc w:val="both"/>
            </w:pPr>
            <w:r w:rsidRPr="00B57019">
              <w:t>Nav pamata uzskatīt, ka VRAA spēs nodrošināt EIS tādu preču un pakalpojumu piedāvājumu, kas apmierinās vairumu Ministrijas un tās padotības iestāžu vajadzības, nodrošinot specifiskus nozares pakalpojumus, tāpēc labklājības nozarē personālresursu samazinājums šādi nav pamatojams.</w:t>
            </w:r>
          </w:p>
          <w:p w14:paraId="547F985F" w14:textId="77777777" w:rsidR="008A08DD" w:rsidRPr="00B57019" w:rsidRDefault="00710D10" w:rsidP="00710D10">
            <w:pPr>
              <w:jc w:val="both"/>
            </w:pPr>
            <w:r w:rsidRPr="00B57019">
              <w:t xml:space="preserve">           </w:t>
            </w:r>
            <w:r w:rsidR="008A08DD" w:rsidRPr="00B57019">
              <w:t xml:space="preserve">Ministrijā nav struktūrvienības, kuras pārziņā ir administratīvās </w:t>
            </w:r>
            <w:r w:rsidR="008A08DD" w:rsidRPr="00B57019">
              <w:lastRenderedPageBreak/>
              <w:t>funkcijas, tādēļ attiecīgie uzdevumi ir sadalīti visām Ministrijas struktūrvienībām. Tādi pienākumi, kā sarakstes dokumentu sagatavošana, tostarp aktuālo kontaktu noskaidrošana un sarakstes dokumentu ievietošana lietvedības sistēmā, uzticēti sarakstes autoriem un šo darbu neveic lietveži. Tādēļ Ministrijai sakarā ar oficiālās elektroniskās adreses informācijas sistēmas ieviešanu nerodas lietvežu amata vietu ietaupījums. E-adreses saslēguma nodrošināšanai tika piesaistīts ārpakalpojums, šobrīd atsevišķs resurss netiek nodrošināts.</w:t>
            </w:r>
          </w:p>
          <w:p w14:paraId="3E05552B" w14:textId="77777777" w:rsidR="008A08DD" w:rsidRPr="00B57019" w:rsidRDefault="008A08DD" w:rsidP="008A08DD">
            <w:pPr>
              <w:ind w:firstLine="720"/>
              <w:jc w:val="both"/>
            </w:pPr>
            <w:r w:rsidRPr="00B57019">
              <w:t xml:space="preserve">Ministrijas Informācijas tehnoloģiju departamentā nav nodarbināts neviens pilna laika darbinieks, kurš atbild par Ziņojuma pielikumos minētājiem darbiem. Ministrijas mājaslapas saturu un uzturēšanu nodrošina divi darbinieki, kuriem tas ir papildus pienākums, kas sastāda 10% no darba laika, </w:t>
            </w:r>
            <w:r w:rsidRPr="00B57019">
              <w:lastRenderedPageBreak/>
              <w:t xml:space="preserve">savukārt tehnisko uzturēšanu veic Valsts sociālas apdrošināšanas aģentūras darbinieki, kuri nodrošina tehnisko uzturēšanu visā resorā. </w:t>
            </w:r>
          </w:p>
          <w:p w14:paraId="6DA13899" w14:textId="77777777" w:rsidR="008A08DD" w:rsidRPr="00B57019" w:rsidRDefault="008A08DD" w:rsidP="008A08DD">
            <w:pPr>
              <w:ind w:firstLine="720"/>
              <w:jc w:val="both"/>
            </w:pPr>
            <w:r w:rsidRPr="00B57019">
              <w:t>E-rēķinu aprites nodrošināšanai Ministrijā netiek plānots piesaistīt iekšējos resursus. Uz Ministriju nav attiecināms arī Ziņojuma 5.pielikuma 2. punktā ietvertais administratīvo resursu ietaupījuma pamatojums, jo ministrijā iepirkumu realizāciju un līgumu sagatavošanu e-rēķinu aprites nodrošināšanai neveic jurists.</w:t>
            </w:r>
          </w:p>
          <w:p w14:paraId="5D052796" w14:textId="77777777" w:rsidR="008A08DD" w:rsidRPr="00B57019" w:rsidRDefault="008A08DD" w:rsidP="008A08DD">
            <w:pPr>
              <w:ind w:firstLine="720"/>
              <w:jc w:val="both"/>
            </w:pPr>
            <w:r w:rsidRPr="00B57019">
              <w:t>Vienotās pieteikšanās modulis nekādi nesamazina Ministrijas nodarbināto slodzi, jo šis modulis darbojas tikai privātpersonām, juridisko personu identifikācijai tas nedarbojas un līgumi ir jāslēdz atsevišķi.</w:t>
            </w:r>
          </w:p>
          <w:p w14:paraId="29CC95D0" w14:textId="77777777" w:rsidR="008A08DD" w:rsidRPr="00B57019" w:rsidRDefault="008A08DD" w:rsidP="008A08DD">
            <w:pPr>
              <w:ind w:firstLine="720"/>
              <w:jc w:val="both"/>
            </w:pPr>
            <w:r w:rsidRPr="00B57019">
              <w:t xml:space="preserve">Ministrijas un tās padotībā esošo iestāžu personāla vadība ir nepārtraukts attīstībā esošs process. Nodarbinātajiem, kuru darba apjoms objektīvu </w:t>
            </w:r>
            <w:r w:rsidRPr="00B57019">
              <w:lastRenderedPageBreak/>
              <w:t xml:space="preserve">iemeslu dēļ samazinās, tiek uzdoti jauni pienākumi, kas rodas sakarā ar papildus funkciju uzlikšanu Ministrijai un iestādēm (piemēram, sakarā ar fizisko personu datu aizsardzības un trauksmes cēlēju ziņojumu iesniegšanas un izskatīšanas regulējumu palielinās slodze juristiem). </w:t>
            </w:r>
          </w:p>
          <w:p w14:paraId="05555ED1" w14:textId="21498149" w:rsidR="008A08DD" w:rsidRPr="00B57019" w:rsidRDefault="008A08DD" w:rsidP="00BE2A7A">
            <w:pPr>
              <w:ind w:firstLine="720"/>
              <w:jc w:val="both"/>
            </w:pPr>
            <w:r w:rsidRPr="00B57019">
              <w:t>Ministrija nepiekrīt Ziņojumā izteiktajam apgalvojumam, ka VRAA uzturētās IKT platformas nodrošina iestāžu resursu ekonomiju, un Ministrijai būtu radušās vakances un brīvi finanšu līdzekļi, lai tos varētu novirzīt VRAA kapacitātes stiprināšanai, samazinot resora amata vietas un bāzes izdevumus.</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231D17" w14:textId="77777777" w:rsidR="003E7277" w:rsidRPr="00B57019" w:rsidRDefault="003E7277" w:rsidP="003E7277">
            <w:pPr>
              <w:pStyle w:val="naisc"/>
              <w:spacing w:before="0" w:after="0"/>
              <w:jc w:val="both"/>
              <w:rPr>
                <w:b/>
              </w:rPr>
            </w:pPr>
            <w:r w:rsidRPr="00B57019">
              <w:rPr>
                <w:b/>
              </w:rPr>
              <w:lastRenderedPageBreak/>
              <w:t>Iebildums nav ņemts vērā.</w:t>
            </w:r>
          </w:p>
          <w:p w14:paraId="591FD8CA" w14:textId="77777777" w:rsidR="008A08DD" w:rsidRPr="00B57019" w:rsidRDefault="008A08DD" w:rsidP="008A08DD">
            <w:pPr>
              <w:pStyle w:val="PlainText"/>
              <w:jc w:val="both"/>
              <w:rPr>
                <w:rFonts w:ascii="Times New Roman" w:hAnsi="Times New Roman"/>
                <w:sz w:val="24"/>
                <w:szCs w:val="24"/>
                <w:lang w:val="lv-LV"/>
              </w:rPr>
            </w:pPr>
            <w:r w:rsidRPr="00B57019">
              <w:rPr>
                <w:rFonts w:ascii="Times New Roman" w:hAnsi="Times New Roman"/>
                <w:sz w:val="24"/>
                <w:szCs w:val="24"/>
                <w:lang w:val="lv-LV"/>
              </w:rPr>
              <w:t xml:space="preserve">Vēršam uzmanību, ka informatīvajā ziņojumā pamatota un attiecīgajā protokollēmumā paredzēta līdzekļu pārdale ir saistīta ar līdz šīm saņemto administratīvo resursu </w:t>
            </w:r>
            <w:r w:rsidRPr="00B57019">
              <w:rPr>
                <w:rFonts w:ascii="Times New Roman" w:hAnsi="Times New Roman"/>
                <w:sz w:val="24"/>
                <w:szCs w:val="24"/>
                <w:lang w:val="lv-LV"/>
              </w:rPr>
              <w:lastRenderedPageBreak/>
              <w:t>ekonomiju, kas jau pašlaik iespējams tiek izmantots citu Labklājības ministrijas funkciju veikšanai. EIS nozīmīgumu pamato fakts, ka 33 no 109 plānotajiem iepirkumi tiks veikti EIS</w:t>
            </w:r>
            <w:r w:rsidR="001F0C4C" w:rsidRPr="00B57019">
              <w:rPr>
                <w:rFonts w:ascii="Times New Roman" w:hAnsi="Times New Roman"/>
                <w:sz w:val="24"/>
                <w:szCs w:val="24"/>
                <w:lang w:val="lv-LV"/>
              </w:rPr>
              <w:t xml:space="preserve">, tādējādi </w:t>
            </w:r>
            <w:r w:rsidR="006E752F" w:rsidRPr="00B57019">
              <w:rPr>
                <w:rFonts w:ascii="Times New Roman" w:hAnsi="Times New Roman"/>
                <w:sz w:val="24"/>
                <w:szCs w:val="24"/>
                <w:lang w:val="lv-LV"/>
              </w:rPr>
              <w:t xml:space="preserve">jau </w:t>
            </w:r>
            <w:r w:rsidR="001635B8" w:rsidRPr="00B57019">
              <w:rPr>
                <w:rFonts w:ascii="Times New Roman" w:hAnsi="Times New Roman"/>
                <w:sz w:val="24"/>
                <w:szCs w:val="24"/>
                <w:lang w:val="lv-LV"/>
              </w:rPr>
              <w:t xml:space="preserve">ilgstoši veidojas </w:t>
            </w:r>
            <w:r w:rsidR="00F87727" w:rsidRPr="00B57019">
              <w:rPr>
                <w:rFonts w:ascii="Times New Roman" w:hAnsi="Times New Roman"/>
                <w:sz w:val="24"/>
                <w:szCs w:val="24"/>
                <w:lang w:val="lv-LV"/>
              </w:rPr>
              <w:t>ziņojumā aprēķinātais ietaupījums</w:t>
            </w:r>
            <w:r w:rsidRPr="00B57019">
              <w:rPr>
                <w:rFonts w:ascii="Times New Roman" w:hAnsi="Times New Roman"/>
                <w:sz w:val="24"/>
                <w:szCs w:val="24"/>
                <w:lang w:val="lv-LV"/>
              </w:rPr>
              <w:t>.</w:t>
            </w:r>
            <w:r w:rsidR="007C34AC" w:rsidRPr="00B57019">
              <w:rPr>
                <w:rFonts w:ascii="Times New Roman" w:hAnsi="Times New Roman"/>
                <w:sz w:val="24"/>
                <w:szCs w:val="24"/>
                <w:lang w:val="lv-LV"/>
              </w:rPr>
              <w:t xml:space="preserve"> </w:t>
            </w:r>
          </w:p>
          <w:p w14:paraId="35CCAAA1" w14:textId="77777777" w:rsidR="00AC07DC" w:rsidRPr="00B57019" w:rsidRDefault="00AC07DC" w:rsidP="008A08DD">
            <w:pPr>
              <w:pStyle w:val="PlainText"/>
              <w:jc w:val="both"/>
              <w:rPr>
                <w:rFonts w:ascii="Times New Roman" w:hAnsi="Times New Roman"/>
                <w:sz w:val="24"/>
                <w:szCs w:val="24"/>
                <w:lang w:val="lv-LV"/>
              </w:rPr>
            </w:pPr>
            <w:r w:rsidRPr="00B57019">
              <w:rPr>
                <w:rFonts w:ascii="Times New Roman" w:hAnsi="Times New Roman"/>
                <w:sz w:val="24"/>
                <w:szCs w:val="24"/>
                <w:lang w:val="lv-LV"/>
              </w:rPr>
              <w:t xml:space="preserve">Gadījumā, ja visi iepirkumi </w:t>
            </w:r>
            <w:r w:rsidR="00B5385E" w:rsidRPr="00B57019">
              <w:rPr>
                <w:rFonts w:ascii="Times New Roman" w:hAnsi="Times New Roman"/>
                <w:sz w:val="24"/>
                <w:szCs w:val="24"/>
                <w:lang w:val="lv-LV"/>
              </w:rPr>
              <w:t>tiek veikti</w:t>
            </w:r>
            <w:r w:rsidR="00FC5015" w:rsidRPr="00B57019">
              <w:rPr>
                <w:rFonts w:ascii="Times New Roman" w:hAnsi="Times New Roman"/>
                <w:sz w:val="24"/>
                <w:szCs w:val="24"/>
                <w:lang w:val="lv-LV"/>
              </w:rPr>
              <w:t xml:space="preserve"> tikai uz projektu rēķina, tad iespējams, ka Labklājības ministrijas gadījumā </w:t>
            </w:r>
            <w:r w:rsidR="00B5385E" w:rsidRPr="00B57019">
              <w:rPr>
                <w:rFonts w:ascii="Times New Roman" w:hAnsi="Times New Roman"/>
                <w:sz w:val="24"/>
                <w:szCs w:val="24"/>
                <w:lang w:val="lv-LV"/>
              </w:rPr>
              <w:t>jautājumu pa</w:t>
            </w:r>
            <w:r w:rsidR="00466D1A" w:rsidRPr="00B57019">
              <w:rPr>
                <w:rFonts w:ascii="Times New Roman" w:hAnsi="Times New Roman"/>
                <w:sz w:val="24"/>
                <w:szCs w:val="24"/>
                <w:lang w:val="lv-LV"/>
              </w:rPr>
              <w:t>r pārdali</w:t>
            </w:r>
            <w:r w:rsidR="008645C4" w:rsidRPr="00B57019">
              <w:rPr>
                <w:rFonts w:ascii="Times New Roman" w:hAnsi="Times New Roman"/>
                <w:sz w:val="24"/>
                <w:szCs w:val="24"/>
                <w:lang w:val="lv-LV"/>
              </w:rPr>
              <w:t>, iespējams</w:t>
            </w:r>
            <w:r w:rsidR="00B5385E" w:rsidRPr="00B57019">
              <w:rPr>
                <w:rFonts w:ascii="Times New Roman" w:hAnsi="Times New Roman"/>
                <w:sz w:val="24"/>
                <w:szCs w:val="24"/>
                <w:lang w:val="lv-LV"/>
              </w:rPr>
              <w:t>,</w:t>
            </w:r>
            <w:r w:rsidR="008645C4" w:rsidRPr="00B57019">
              <w:rPr>
                <w:rFonts w:ascii="Times New Roman" w:hAnsi="Times New Roman"/>
                <w:sz w:val="24"/>
                <w:szCs w:val="24"/>
                <w:lang w:val="lv-LV"/>
              </w:rPr>
              <w:t xml:space="preserve"> būtu jāizskata </w:t>
            </w:r>
            <w:r w:rsidR="00B5385E" w:rsidRPr="00B57019">
              <w:rPr>
                <w:rFonts w:ascii="Times New Roman" w:hAnsi="Times New Roman"/>
                <w:sz w:val="24"/>
                <w:szCs w:val="24"/>
                <w:lang w:val="lv-LV"/>
              </w:rPr>
              <w:t>saistībā</w:t>
            </w:r>
            <w:r w:rsidR="00FC04A0" w:rsidRPr="00B57019">
              <w:rPr>
                <w:rFonts w:ascii="Times New Roman" w:hAnsi="Times New Roman"/>
                <w:sz w:val="24"/>
                <w:szCs w:val="24"/>
                <w:lang w:val="lv-LV"/>
              </w:rPr>
              <w:t xml:space="preserve"> ar</w:t>
            </w:r>
            <w:r w:rsidR="00466D1A" w:rsidRPr="00B57019">
              <w:rPr>
                <w:rFonts w:ascii="Times New Roman" w:hAnsi="Times New Roman"/>
                <w:sz w:val="24"/>
                <w:szCs w:val="24"/>
                <w:lang w:val="lv-LV"/>
              </w:rPr>
              <w:t xml:space="preserve"> tehnisko palīdzību</w:t>
            </w:r>
            <w:r w:rsidR="00A27237" w:rsidRPr="00B57019">
              <w:rPr>
                <w:rFonts w:ascii="Times New Roman" w:hAnsi="Times New Roman"/>
                <w:sz w:val="24"/>
                <w:szCs w:val="24"/>
                <w:lang w:val="lv-LV"/>
              </w:rPr>
              <w:t>.</w:t>
            </w:r>
          </w:p>
          <w:p w14:paraId="07BAB5E3" w14:textId="77777777" w:rsidR="008A08DD" w:rsidRPr="00B57019" w:rsidRDefault="008A08DD" w:rsidP="008A08DD">
            <w:pPr>
              <w:pStyle w:val="PlainText"/>
              <w:jc w:val="both"/>
              <w:rPr>
                <w:rFonts w:ascii="Times New Roman" w:hAnsi="Times New Roman"/>
                <w:sz w:val="24"/>
                <w:szCs w:val="24"/>
                <w:lang w:val="lv-LV"/>
              </w:rPr>
            </w:pPr>
            <w:r w:rsidRPr="00B57019">
              <w:rPr>
                <w:rFonts w:ascii="Times New Roman" w:hAnsi="Times New Roman"/>
                <w:sz w:val="24"/>
                <w:szCs w:val="24"/>
                <w:lang w:val="lv-LV"/>
              </w:rPr>
              <w:t xml:space="preserve">Vēršam uzmanību, ka EIS e-pasūtījumu apakšsistēmas katalogu veidošanai izmantoto standartizēto atklāto konkursu dokumentāciju periodiski  (pirmspārbaudes ietvaros) pārbauda Iepirkumu uzraudzības birojs, t.sk. ar mērķi nodrošināt  atbilstību fondu apguves nosacījumiem, tādējādi ir konstatējams, ka Labklājības ministrija nelietderīgi izmanto administratīvo </w:t>
            </w:r>
            <w:r w:rsidRPr="00B57019">
              <w:rPr>
                <w:rFonts w:ascii="Times New Roman" w:hAnsi="Times New Roman"/>
                <w:sz w:val="24"/>
                <w:szCs w:val="24"/>
                <w:lang w:val="lv-LV"/>
              </w:rPr>
              <w:lastRenderedPageBreak/>
              <w:t xml:space="preserve">resursu šīs funkcijas atkārtotai veikšanai. </w:t>
            </w:r>
          </w:p>
          <w:p w14:paraId="20E07F50" w14:textId="77777777" w:rsidR="008A08DD" w:rsidRPr="00B57019" w:rsidRDefault="008A08DD" w:rsidP="008A08DD">
            <w:pPr>
              <w:pStyle w:val="PlainText"/>
              <w:jc w:val="both"/>
              <w:rPr>
                <w:rFonts w:ascii="Times New Roman" w:hAnsi="Times New Roman"/>
                <w:sz w:val="24"/>
                <w:szCs w:val="24"/>
                <w:lang w:val="lv-LV"/>
              </w:rPr>
            </w:pPr>
          </w:p>
          <w:p w14:paraId="5F80DC3A" w14:textId="77777777" w:rsidR="008A08DD" w:rsidRPr="00B57019" w:rsidRDefault="008A08DD" w:rsidP="008A08DD">
            <w:pPr>
              <w:pStyle w:val="PlainText"/>
              <w:jc w:val="both"/>
              <w:rPr>
                <w:rFonts w:ascii="Times New Roman" w:hAnsi="Times New Roman"/>
                <w:b/>
                <w:sz w:val="24"/>
                <w:szCs w:val="24"/>
                <w:lang w:val="lv-LV"/>
              </w:rPr>
            </w:pPr>
          </w:p>
          <w:p w14:paraId="6D8D97CD" w14:textId="77777777" w:rsidR="008A08DD" w:rsidRPr="00B57019" w:rsidRDefault="008A08DD" w:rsidP="008A08DD">
            <w:pPr>
              <w:pStyle w:val="PlainText"/>
              <w:jc w:val="both"/>
              <w:rPr>
                <w:rFonts w:ascii="Times New Roman" w:hAnsi="Times New Roman"/>
                <w:b/>
                <w:sz w:val="24"/>
                <w:szCs w:val="24"/>
                <w:lang w:val="lv-LV"/>
              </w:rPr>
            </w:pPr>
          </w:p>
          <w:p w14:paraId="6C05818A" w14:textId="77777777" w:rsidR="008A08DD" w:rsidRPr="00B57019" w:rsidRDefault="008A08DD" w:rsidP="008A08DD">
            <w:pPr>
              <w:pStyle w:val="PlainText"/>
              <w:jc w:val="both"/>
              <w:rPr>
                <w:rFonts w:ascii="Times New Roman" w:hAnsi="Times New Roman"/>
                <w:b/>
                <w:sz w:val="24"/>
                <w:szCs w:val="24"/>
                <w:lang w:val="lv-LV"/>
              </w:rPr>
            </w:pPr>
          </w:p>
          <w:p w14:paraId="2A4784E5" w14:textId="77777777" w:rsidR="008A08DD" w:rsidRPr="00B57019" w:rsidRDefault="008A08DD" w:rsidP="008A08DD">
            <w:pPr>
              <w:pStyle w:val="PlainText"/>
              <w:jc w:val="both"/>
              <w:rPr>
                <w:rFonts w:ascii="Times New Roman" w:hAnsi="Times New Roman"/>
                <w:b/>
                <w:sz w:val="24"/>
                <w:szCs w:val="24"/>
                <w:lang w:val="lv-LV"/>
              </w:rPr>
            </w:pPr>
          </w:p>
          <w:p w14:paraId="14C1FF1D" w14:textId="77777777" w:rsidR="008A08DD" w:rsidRPr="00B57019" w:rsidRDefault="008A08DD" w:rsidP="008A08DD">
            <w:pPr>
              <w:pStyle w:val="PlainText"/>
              <w:jc w:val="both"/>
              <w:rPr>
                <w:rFonts w:ascii="Times New Roman" w:hAnsi="Times New Roman"/>
                <w:b/>
                <w:sz w:val="24"/>
                <w:szCs w:val="24"/>
                <w:lang w:val="lv-LV"/>
              </w:rPr>
            </w:pPr>
          </w:p>
          <w:p w14:paraId="7164BEAB" w14:textId="77777777" w:rsidR="008A08DD" w:rsidRPr="00B57019" w:rsidRDefault="008A08DD" w:rsidP="008A08DD">
            <w:pPr>
              <w:pStyle w:val="PlainText"/>
              <w:jc w:val="both"/>
              <w:rPr>
                <w:rFonts w:ascii="Times New Roman" w:hAnsi="Times New Roman"/>
                <w:b/>
                <w:sz w:val="24"/>
                <w:szCs w:val="24"/>
                <w:lang w:val="lv-LV"/>
              </w:rPr>
            </w:pPr>
          </w:p>
          <w:p w14:paraId="40F39CBC" w14:textId="77777777" w:rsidR="008A08DD" w:rsidRPr="00B57019" w:rsidRDefault="008A08DD" w:rsidP="008A08DD">
            <w:pPr>
              <w:pStyle w:val="PlainText"/>
              <w:jc w:val="both"/>
              <w:rPr>
                <w:rFonts w:ascii="Times New Roman" w:hAnsi="Times New Roman"/>
                <w:b/>
                <w:sz w:val="24"/>
                <w:szCs w:val="24"/>
                <w:lang w:val="lv-LV"/>
              </w:rPr>
            </w:pPr>
          </w:p>
          <w:p w14:paraId="5CD0A074" w14:textId="77777777" w:rsidR="008A08DD" w:rsidRPr="00B57019" w:rsidRDefault="008A08DD" w:rsidP="008A08DD">
            <w:pPr>
              <w:pStyle w:val="PlainText"/>
              <w:jc w:val="both"/>
              <w:rPr>
                <w:rFonts w:ascii="Times New Roman" w:hAnsi="Times New Roman"/>
                <w:b/>
                <w:sz w:val="24"/>
                <w:szCs w:val="24"/>
                <w:lang w:val="lv-LV"/>
              </w:rPr>
            </w:pPr>
          </w:p>
          <w:p w14:paraId="4AA858E8" w14:textId="77777777" w:rsidR="008A08DD" w:rsidRPr="00B57019" w:rsidRDefault="008A08DD" w:rsidP="008A08DD">
            <w:pPr>
              <w:pStyle w:val="PlainText"/>
              <w:jc w:val="both"/>
              <w:rPr>
                <w:rFonts w:ascii="Times New Roman" w:hAnsi="Times New Roman"/>
                <w:b/>
                <w:sz w:val="24"/>
                <w:szCs w:val="24"/>
                <w:lang w:val="lv-LV"/>
              </w:rPr>
            </w:pPr>
          </w:p>
          <w:p w14:paraId="3767A329" w14:textId="77777777" w:rsidR="008A08DD" w:rsidRPr="00B57019" w:rsidRDefault="008A08DD" w:rsidP="008A08DD">
            <w:pPr>
              <w:pStyle w:val="PlainText"/>
              <w:jc w:val="both"/>
              <w:rPr>
                <w:rFonts w:ascii="Times New Roman" w:hAnsi="Times New Roman"/>
                <w:b/>
                <w:sz w:val="24"/>
                <w:szCs w:val="24"/>
                <w:lang w:val="lv-LV"/>
              </w:rPr>
            </w:pPr>
          </w:p>
          <w:p w14:paraId="1DEB1E6F" w14:textId="77777777" w:rsidR="008A08DD" w:rsidRPr="00B57019" w:rsidRDefault="008A08DD" w:rsidP="008A08DD">
            <w:pPr>
              <w:pStyle w:val="PlainText"/>
              <w:jc w:val="both"/>
              <w:rPr>
                <w:rFonts w:ascii="Times New Roman" w:hAnsi="Times New Roman"/>
                <w:b/>
                <w:sz w:val="24"/>
                <w:szCs w:val="24"/>
                <w:lang w:val="lv-LV"/>
              </w:rPr>
            </w:pPr>
          </w:p>
          <w:p w14:paraId="5FFB4730" w14:textId="77777777" w:rsidR="008A08DD" w:rsidRPr="00B57019" w:rsidRDefault="008A08DD" w:rsidP="008A08DD">
            <w:pPr>
              <w:pStyle w:val="PlainText"/>
              <w:jc w:val="both"/>
              <w:rPr>
                <w:rFonts w:ascii="Times New Roman" w:hAnsi="Times New Roman"/>
                <w:b/>
                <w:sz w:val="24"/>
                <w:szCs w:val="24"/>
                <w:lang w:val="lv-LV"/>
              </w:rPr>
            </w:pPr>
          </w:p>
          <w:p w14:paraId="45E6E57D" w14:textId="77777777" w:rsidR="008A08DD" w:rsidRPr="00B57019" w:rsidRDefault="008A08DD" w:rsidP="008A08DD">
            <w:pPr>
              <w:pStyle w:val="PlainText"/>
              <w:jc w:val="both"/>
              <w:rPr>
                <w:rFonts w:ascii="Times New Roman" w:hAnsi="Times New Roman"/>
                <w:b/>
                <w:sz w:val="24"/>
                <w:szCs w:val="24"/>
                <w:lang w:val="lv-LV"/>
              </w:rPr>
            </w:pPr>
          </w:p>
          <w:p w14:paraId="45FEB936" w14:textId="77777777" w:rsidR="008A08DD" w:rsidRPr="00B57019" w:rsidRDefault="008A08DD" w:rsidP="008A08DD">
            <w:pPr>
              <w:pStyle w:val="PlainText"/>
              <w:jc w:val="both"/>
              <w:rPr>
                <w:rFonts w:ascii="Times New Roman" w:hAnsi="Times New Roman"/>
                <w:b/>
                <w:sz w:val="24"/>
                <w:szCs w:val="24"/>
                <w:lang w:val="lv-LV"/>
              </w:rPr>
            </w:pPr>
          </w:p>
          <w:p w14:paraId="58142D6C" w14:textId="77777777" w:rsidR="008A08DD" w:rsidRPr="00B57019" w:rsidRDefault="008A08DD" w:rsidP="008A08DD">
            <w:pPr>
              <w:pStyle w:val="PlainText"/>
              <w:jc w:val="both"/>
              <w:rPr>
                <w:rFonts w:ascii="Times New Roman" w:hAnsi="Times New Roman"/>
                <w:b/>
                <w:sz w:val="24"/>
                <w:szCs w:val="24"/>
                <w:lang w:val="lv-LV"/>
              </w:rPr>
            </w:pPr>
          </w:p>
          <w:p w14:paraId="191F7C27" w14:textId="77777777" w:rsidR="008A08DD" w:rsidRPr="00B57019" w:rsidRDefault="008A08DD" w:rsidP="008A08DD">
            <w:pPr>
              <w:pStyle w:val="PlainText"/>
              <w:jc w:val="both"/>
              <w:rPr>
                <w:rFonts w:ascii="Times New Roman" w:hAnsi="Times New Roman"/>
                <w:b/>
                <w:sz w:val="24"/>
                <w:szCs w:val="24"/>
                <w:lang w:val="lv-LV"/>
              </w:rPr>
            </w:pPr>
          </w:p>
          <w:p w14:paraId="67EA9791" w14:textId="77777777" w:rsidR="008A08DD" w:rsidRPr="00B57019" w:rsidRDefault="008A08DD" w:rsidP="008A08DD">
            <w:pPr>
              <w:pStyle w:val="PlainText"/>
              <w:jc w:val="both"/>
              <w:rPr>
                <w:rFonts w:ascii="Times New Roman" w:hAnsi="Times New Roman"/>
                <w:b/>
                <w:sz w:val="24"/>
                <w:szCs w:val="24"/>
                <w:lang w:val="lv-LV"/>
              </w:rPr>
            </w:pPr>
          </w:p>
          <w:p w14:paraId="2DC586BE" w14:textId="77777777" w:rsidR="008A08DD" w:rsidRPr="00B57019" w:rsidRDefault="008A08DD" w:rsidP="008A08DD">
            <w:pPr>
              <w:pStyle w:val="PlainText"/>
              <w:jc w:val="both"/>
              <w:rPr>
                <w:rFonts w:ascii="Times New Roman" w:hAnsi="Times New Roman"/>
                <w:b/>
                <w:sz w:val="24"/>
                <w:szCs w:val="24"/>
                <w:lang w:val="lv-LV"/>
              </w:rPr>
            </w:pPr>
          </w:p>
          <w:p w14:paraId="0DCF048A" w14:textId="77777777" w:rsidR="008A08DD" w:rsidRPr="00B57019" w:rsidRDefault="008A08DD" w:rsidP="008A08DD">
            <w:pPr>
              <w:pStyle w:val="PlainText"/>
              <w:jc w:val="both"/>
              <w:rPr>
                <w:rFonts w:ascii="Times New Roman" w:hAnsi="Times New Roman"/>
                <w:b/>
                <w:sz w:val="24"/>
                <w:szCs w:val="24"/>
                <w:lang w:val="lv-LV"/>
              </w:rPr>
            </w:pPr>
          </w:p>
          <w:p w14:paraId="59EDC99E" w14:textId="77777777" w:rsidR="008A08DD" w:rsidRPr="00B57019" w:rsidRDefault="008A08DD" w:rsidP="008A08DD">
            <w:pPr>
              <w:pStyle w:val="PlainText"/>
              <w:jc w:val="both"/>
              <w:rPr>
                <w:rFonts w:ascii="Times New Roman" w:hAnsi="Times New Roman"/>
                <w:b/>
                <w:sz w:val="24"/>
                <w:szCs w:val="24"/>
                <w:lang w:val="lv-LV"/>
              </w:rPr>
            </w:pPr>
          </w:p>
          <w:p w14:paraId="125CA80A" w14:textId="77777777" w:rsidR="008A08DD" w:rsidRPr="00B57019" w:rsidRDefault="008A08DD" w:rsidP="008A08DD">
            <w:pPr>
              <w:pStyle w:val="PlainText"/>
              <w:jc w:val="both"/>
              <w:rPr>
                <w:rFonts w:ascii="Times New Roman" w:hAnsi="Times New Roman"/>
                <w:b/>
                <w:sz w:val="24"/>
                <w:szCs w:val="24"/>
                <w:lang w:val="lv-LV"/>
              </w:rPr>
            </w:pPr>
          </w:p>
          <w:p w14:paraId="07A741DB" w14:textId="77777777" w:rsidR="008A08DD" w:rsidRPr="00B57019" w:rsidRDefault="008A08DD" w:rsidP="008A08DD">
            <w:pPr>
              <w:pStyle w:val="PlainText"/>
              <w:jc w:val="both"/>
              <w:rPr>
                <w:rFonts w:ascii="Times New Roman" w:hAnsi="Times New Roman"/>
                <w:b/>
                <w:sz w:val="24"/>
                <w:szCs w:val="24"/>
                <w:lang w:val="lv-LV"/>
              </w:rPr>
            </w:pPr>
          </w:p>
          <w:p w14:paraId="36962735" w14:textId="77777777" w:rsidR="008A08DD" w:rsidRPr="00B57019" w:rsidRDefault="008A08DD" w:rsidP="008A08DD">
            <w:pPr>
              <w:pStyle w:val="PlainText"/>
              <w:jc w:val="both"/>
              <w:rPr>
                <w:rFonts w:ascii="Times New Roman" w:hAnsi="Times New Roman"/>
                <w:b/>
                <w:sz w:val="24"/>
                <w:szCs w:val="24"/>
                <w:lang w:val="lv-LV"/>
              </w:rPr>
            </w:pPr>
          </w:p>
          <w:p w14:paraId="396ADC05" w14:textId="77777777" w:rsidR="008A08DD" w:rsidRPr="00B57019" w:rsidRDefault="008A08DD" w:rsidP="008A08DD">
            <w:pPr>
              <w:pStyle w:val="PlainText"/>
              <w:jc w:val="both"/>
              <w:rPr>
                <w:rFonts w:ascii="Times New Roman" w:hAnsi="Times New Roman"/>
                <w:b/>
                <w:sz w:val="24"/>
                <w:szCs w:val="24"/>
                <w:lang w:val="lv-LV"/>
              </w:rPr>
            </w:pPr>
          </w:p>
          <w:p w14:paraId="53877565" w14:textId="77777777" w:rsidR="008A08DD" w:rsidRPr="00B57019" w:rsidRDefault="008A08DD" w:rsidP="008A08DD">
            <w:pPr>
              <w:pStyle w:val="PlainText"/>
              <w:jc w:val="both"/>
              <w:rPr>
                <w:rFonts w:ascii="Times New Roman" w:hAnsi="Times New Roman"/>
                <w:b/>
                <w:sz w:val="24"/>
                <w:szCs w:val="24"/>
                <w:lang w:val="lv-LV"/>
              </w:rPr>
            </w:pPr>
          </w:p>
          <w:p w14:paraId="0EAF8BC5" w14:textId="77777777" w:rsidR="008A08DD" w:rsidRPr="00B57019" w:rsidRDefault="008A08DD" w:rsidP="008A08DD">
            <w:pPr>
              <w:pStyle w:val="PlainText"/>
              <w:jc w:val="both"/>
              <w:rPr>
                <w:rFonts w:ascii="Times New Roman" w:hAnsi="Times New Roman"/>
                <w:b/>
                <w:sz w:val="24"/>
                <w:szCs w:val="24"/>
                <w:lang w:val="lv-LV"/>
              </w:rPr>
            </w:pPr>
          </w:p>
          <w:p w14:paraId="7F91C381" w14:textId="77777777" w:rsidR="008A08DD" w:rsidRPr="00B57019" w:rsidRDefault="008A08DD" w:rsidP="008A08DD">
            <w:pPr>
              <w:pStyle w:val="PlainText"/>
              <w:jc w:val="both"/>
              <w:rPr>
                <w:rFonts w:ascii="Times New Roman" w:hAnsi="Times New Roman"/>
                <w:b/>
                <w:sz w:val="24"/>
                <w:szCs w:val="24"/>
                <w:lang w:val="lv-LV"/>
              </w:rPr>
            </w:pPr>
          </w:p>
          <w:p w14:paraId="16061BE2" w14:textId="77777777" w:rsidR="008A08DD" w:rsidRPr="00B57019" w:rsidRDefault="008A08DD" w:rsidP="008A08DD">
            <w:pPr>
              <w:pStyle w:val="PlainText"/>
              <w:jc w:val="both"/>
              <w:rPr>
                <w:rFonts w:ascii="Times New Roman" w:hAnsi="Times New Roman"/>
                <w:b/>
                <w:sz w:val="24"/>
                <w:szCs w:val="24"/>
                <w:lang w:val="lv-LV"/>
              </w:rPr>
            </w:pPr>
          </w:p>
          <w:p w14:paraId="036875DC" w14:textId="77777777" w:rsidR="008A08DD" w:rsidRPr="00B57019" w:rsidRDefault="008A08DD" w:rsidP="008A08DD">
            <w:pPr>
              <w:pStyle w:val="PlainText"/>
              <w:jc w:val="both"/>
              <w:rPr>
                <w:rFonts w:ascii="Times New Roman" w:hAnsi="Times New Roman"/>
                <w:b/>
                <w:sz w:val="24"/>
                <w:szCs w:val="24"/>
                <w:lang w:val="lv-LV"/>
              </w:rPr>
            </w:pPr>
          </w:p>
          <w:p w14:paraId="597E3AB5" w14:textId="77777777" w:rsidR="008A08DD" w:rsidRPr="00B57019" w:rsidRDefault="008A08DD" w:rsidP="008A08DD">
            <w:pPr>
              <w:pStyle w:val="PlainText"/>
              <w:jc w:val="both"/>
              <w:rPr>
                <w:rFonts w:ascii="Times New Roman" w:hAnsi="Times New Roman"/>
                <w:b/>
                <w:sz w:val="24"/>
                <w:szCs w:val="24"/>
                <w:lang w:val="lv-LV"/>
              </w:rPr>
            </w:pPr>
          </w:p>
          <w:p w14:paraId="5A9F1E06" w14:textId="77777777" w:rsidR="008A08DD" w:rsidRPr="00B57019" w:rsidRDefault="008A08DD" w:rsidP="008A08DD">
            <w:pPr>
              <w:pStyle w:val="PlainText"/>
              <w:jc w:val="both"/>
              <w:rPr>
                <w:rFonts w:ascii="Times New Roman" w:hAnsi="Times New Roman"/>
                <w:b/>
                <w:sz w:val="24"/>
                <w:szCs w:val="24"/>
                <w:lang w:val="lv-LV"/>
              </w:rPr>
            </w:pPr>
          </w:p>
          <w:p w14:paraId="254FB814" w14:textId="77777777" w:rsidR="008A08DD" w:rsidRPr="00B57019" w:rsidRDefault="008A08DD" w:rsidP="008A08DD">
            <w:pPr>
              <w:pStyle w:val="PlainText"/>
              <w:jc w:val="both"/>
              <w:rPr>
                <w:rFonts w:ascii="Times New Roman" w:hAnsi="Times New Roman"/>
                <w:b/>
                <w:sz w:val="24"/>
                <w:szCs w:val="24"/>
                <w:lang w:val="lv-LV"/>
              </w:rPr>
            </w:pPr>
          </w:p>
          <w:p w14:paraId="7E55A051" w14:textId="77777777" w:rsidR="008A08DD" w:rsidRPr="00B57019" w:rsidRDefault="008A08DD" w:rsidP="008A08DD">
            <w:pPr>
              <w:pStyle w:val="PlainText"/>
              <w:jc w:val="both"/>
              <w:rPr>
                <w:rFonts w:ascii="Times New Roman" w:hAnsi="Times New Roman"/>
                <w:b/>
                <w:sz w:val="24"/>
                <w:szCs w:val="24"/>
                <w:lang w:val="lv-LV"/>
              </w:rPr>
            </w:pPr>
          </w:p>
          <w:p w14:paraId="35F44773" w14:textId="77777777" w:rsidR="008A08DD" w:rsidRPr="00B57019" w:rsidRDefault="008A08DD" w:rsidP="008A08DD">
            <w:pPr>
              <w:pStyle w:val="PlainText"/>
              <w:jc w:val="both"/>
              <w:rPr>
                <w:rFonts w:ascii="Times New Roman" w:hAnsi="Times New Roman"/>
                <w:b/>
                <w:sz w:val="24"/>
                <w:szCs w:val="24"/>
                <w:lang w:val="lv-LV"/>
              </w:rPr>
            </w:pPr>
          </w:p>
          <w:p w14:paraId="7765E2B6" w14:textId="77777777" w:rsidR="008A08DD" w:rsidRPr="00B57019" w:rsidRDefault="008A08DD" w:rsidP="008A08DD">
            <w:pPr>
              <w:pStyle w:val="PlainText"/>
              <w:jc w:val="both"/>
              <w:rPr>
                <w:rFonts w:ascii="Times New Roman" w:hAnsi="Times New Roman"/>
                <w:b/>
                <w:sz w:val="24"/>
                <w:szCs w:val="24"/>
                <w:lang w:val="lv-LV"/>
              </w:rPr>
            </w:pPr>
          </w:p>
          <w:p w14:paraId="1AB75B74" w14:textId="77777777" w:rsidR="008A08DD" w:rsidRPr="00B57019" w:rsidRDefault="008A08DD" w:rsidP="008A08DD">
            <w:pPr>
              <w:pStyle w:val="PlainText"/>
              <w:jc w:val="both"/>
              <w:rPr>
                <w:rFonts w:ascii="Times New Roman" w:hAnsi="Times New Roman"/>
                <w:b/>
                <w:sz w:val="24"/>
                <w:szCs w:val="24"/>
                <w:lang w:val="lv-LV"/>
              </w:rPr>
            </w:pPr>
          </w:p>
          <w:p w14:paraId="073C2405" w14:textId="77777777" w:rsidR="008A08DD" w:rsidRPr="00B57019" w:rsidRDefault="008A08DD" w:rsidP="008A08DD">
            <w:pPr>
              <w:pStyle w:val="PlainText"/>
              <w:jc w:val="both"/>
              <w:rPr>
                <w:rFonts w:ascii="Times New Roman" w:hAnsi="Times New Roman"/>
                <w:b/>
                <w:sz w:val="24"/>
                <w:szCs w:val="24"/>
                <w:lang w:val="lv-LV"/>
              </w:rPr>
            </w:pPr>
          </w:p>
          <w:p w14:paraId="293E941B" w14:textId="77777777" w:rsidR="008A08DD" w:rsidRPr="00B57019" w:rsidRDefault="008A08DD" w:rsidP="008A08DD">
            <w:pPr>
              <w:pStyle w:val="PlainText"/>
              <w:jc w:val="both"/>
              <w:rPr>
                <w:rFonts w:ascii="Times New Roman" w:hAnsi="Times New Roman"/>
                <w:b/>
                <w:sz w:val="24"/>
                <w:szCs w:val="24"/>
                <w:lang w:val="lv-LV"/>
              </w:rPr>
            </w:pPr>
          </w:p>
          <w:p w14:paraId="60C4A3CD" w14:textId="77777777" w:rsidR="008A08DD" w:rsidRPr="00B57019" w:rsidRDefault="008A08DD" w:rsidP="008A08DD">
            <w:pPr>
              <w:pStyle w:val="PlainText"/>
              <w:jc w:val="both"/>
              <w:rPr>
                <w:rFonts w:ascii="Times New Roman" w:hAnsi="Times New Roman"/>
                <w:b/>
                <w:sz w:val="24"/>
                <w:szCs w:val="24"/>
                <w:lang w:val="lv-LV"/>
              </w:rPr>
            </w:pPr>
          </w:p>
          <w:p w14:paraId="72CCE110" w14:textId="77777777" w:rsidR="008A08DD" w:rsidRPr="00B57019" w:rsidRDefault="008A08DD" w:rsidP="008A08DD">
            <w:pPr>
              <w:pStyle w:val="PlainText"/>
              <w:jc w:val="both"/>
              <w:rPr>
                <w:rFonts w:ascii="Times New Roman" w:hAnsi="Times New Roman"/>
                <w:b/>
                <w:sz w:val="24"/>
                <w:szCs w:val="24"/>
                <w:lang w:val="lv-LV"/>
              </w:rPr>
            </w:pPr>
          </w:p>
          <w:p w14:paraId="38E30ABD" w14:textId="77777777" w:rsidR="008A08DD" w:rsidRPr="00B57019" w:rsidRDefault="008A08DD" w:rsidP="008A08DD">
            <w:pPr>
              <w:pStyle w:val="PlainText"/>
              <w:jc w:val="both"/>
              <w:rPr>
                <w:rFonts w:ascii="Times New Roman" w:hAnsi="Times New Roman"/>
                <w:b/>
                <w:sz w:val="24"/>
                <w:szCs w:val="24"/>
                <w:lang w:val="lv-LV"/>
              </w:rPr>
            </w:pPr>
          </w:p>
          <w:p w14:paraId="791FCC19" w14:textId="77777777" w:rsidR="008A08DD" w:rsidRPr="00B57019" w:rsidRDefault="008A08DD" w:rsidP="008A08DD">
            <w:pPr>
              <w:pStyle w:val="PlainText"/>
              <w:jc w:val="both"/>
              <w:rPr>
                <w:rFonts w:ascii="Times New Roman" w:hAnsi="Times New Roman"/>
                <w:b/>
                <w:sz w:val="24"/>
                <w:szCs w:val="24"/>
                <w:lang w:val="lv-LV"/>
              </w:rPr>
            </w:pPr>
          </w:p>
          <w:p w14:paraId="53E5DA4F" w14:textId="77777777" w:rsidR="008A08DD" w:rsidRPr="00B57019" w:rsidRDefault="008A08DD" w:rsidP="008A08DD">
            <w:pPr>
              <w:pStyle w:val="PlainText"/>
              <w:jc w:val="both"/>
              <w:rPr>
                <w:rFonts w:ascii="Times New Roman" w:hAnsi="Times New Roman"/>
                <w:b/>
                <w:sz w:val="24"/>
                <w:szCs w:val="24"/>
                <w:lang w:val="lv-LV"/>
              </w:rPr>
            </w:pPr>
          </w:p>
          <w:p w14:paraId="33F4F306" w14:textId="77777777" w:rsidR="008A08DD" w:rsidRPr="00B57019" w:rsidRDefault="008A08DD" w:rsidP="008A08DD">
            <w:pPr>
              <w:pStyle w:val="PlainText"/>
              <w:jc w:val="both"/>
              <w:rPr>
                <w:rFonts w:ascii="Times New Roman" w:hAnsi="Times New Roman"/>
                <w:b/>
                <w:sz w:val="24"/>
                <w:szCs w:val="24"/>
                <w:lang w:val="lv-LV"/>
              </w:rPr>
            </w:pPr>
          </w:p>
          <w:p w14:paraId="571BFD5A" w14:textId="77777777" w:rsidR="008A08DD" w:rsidRPr="00B57019" w:rsidRDefault="008A08DD" w:rsidP="008A08DD">
            <w:pPr>
              <w:pStyle w:val="PlainText"/>
              <w:jc w:val="both"/>
              <w:rPr>
                <w:rFonts w:ascii="Times New Roman" w:hAnsi="Times New Roman"/>
                <w:b/>
                <w:sz w:val="24"/>
                <w:szCs w:val="24"/>
                <w:lang w:val="lv-LV"/>
              </w:rPr>
            </w:pPr>
          </w:p>
          <w:p w14:paraId="67D34D2B" w14:textId="77777777" w:rsidR="008A08DD" w:rsidRPr="00B57019" w:rsidRDefault="008A08DD" w:rsidP="008A08DD">
            <w:pPr>
              <w:pStyle w:val="PlainText"/>
              <w:jc w:val="both"/>
              <w:rPr>
                <w:rFonts w:ascii="Times New Roman" w:hAnsi="Times New Roman"/>
                <w:b/>
                <w:sz w:val="24"/>
                <w:szCs w:val="24"/>
                <w:lang w:val="lv-LV"/>
              </w:rPr>
            </w:pPr>
          </w:p>
          <w:p w14:paraId="304464E8" w14:textId="77777777" w:rsidR="008A08DD" w:rsidRPr="00B57019" w:rsidRDefault="008A08DD" w:rsidP="008A08DD">
            <w:pPr>
              <w:pStyle w:val="PlainText"/>
              <w:jc w:val="both"/>
              <w:rPr>
                <w:rFonts w:ascii="Times New Roman" w:hAnsi="Times New Roman"/>
                <w:b/>
                <w:sz w:val="24"/>
                <w:szCs w:val="24"/>
                <w:lang w:val="lv-LV"/>
              </w:rPr>
            </w:pPr>
          </w:p>
          <w:p w14:paraId="4ADFDC8A" w14:textId="77777777" w:rsidR="008A08DD" w:rsidRPr="00B57019" w:rsidRDefault="008A08DD" w:rsidP="008A08DD">
            <w:pPr>
              <w:pStyle w:val="PlainText"/>
              <w:jc w:val="both"/>
              <w:rPr>
                <w:rFonts w:ascii="Times New Roman" w:hAnsi="Times New Roman"/>
                <w:b/>
                <w:sz w:val="24"/>
                <w:szCs w:val="24"/>
                <w:lang w:val="lv-LV"/>
              </w:rPr>
            </w:pPr>
          </w:p>
          <w:p w14:paraId="091C862F" w14:textId="77777777" w:rsidR="008A08DD" w:rsidRPr="00B57019" w:rsidRDefault="008A08DD" w:rsidP="008A08DD">
            <w:pPr>
              <w:pStyle w:val="PlainText"/>
              <w:jc w:val="both"/>
              <w:rPr>
                <w:rFonts w:ascii="Times New Roman" w:hAnsi="Times New Roman"/>
                <w:b/>
                <w:sz w:val="24"/>
                <w:szCs w:val="24"/>
                <w:lang w:val="lv-LV"/>
              </w:rPr>
            </w:pPr>
          </w:p>
          <w:p w14:paraId="265469B4" w14:textId="77777777" w:rsidR="008A08DD" w:rsidRPr="00B57019" w:rsidRDefault="008A08DD" w:rsidP="008A08DD">
            <w:pPr>
              <w:pStyle w:val="PlainText"/>
              <w:jc w:val="both"/>
              <w:rPr>
                <w:rFonts w:ascii="Times New Roman" w:hAnsi="Times New Roman"/>
                <w:b/>
                <w:sz w:val="24"/>
                <w:szCs w:val="24"/>
                <w:lang w:val="lv-LV"/>
              </w:rPr>
            </w:pPr>
          </w:p>
          <w:p w14:paraId="0F67F3D0" w14:textId="77777777" w:rsidR="008A08DD" w:rsidRPr="00B57019" w:rsidRDefault="008A08DD" w:rsidP="008A08DD">
            <w:pPr>
              <w:pStyle w:val="PlainText"/>
              <w:jc w:val="both"/>
              <w:rPr>
                <w:rFonts w:ascii="Times New Roman" w:hAnsi="Times New Roman"/>
                <w:b/>
                <w:sz w:val="24"/>
                <w:szCs w:val="24"/>
                <w:lang w:val="lv-LV"/>
              </w:rPr>
            </w:pPr>
          </w:p>
          <w:p w14:paraId="220128BD" w14:textId="77777777" w:rsidR="008A08DD" w:rsidRPr="00B57019" w:rsidRDefault="008A08DD" w:rsidP="008A08DD">
            <w:pPr>
              <w:pStyle w:val="PlainText"/>
              <w:jc w:val="both"/>
              <w:rPr>
                <w:rFonts w:ascii="Times New Roman" w:hAnsi="Times New Roman"/>
                <w:b/>
                <w:sz w:val="24"/>
                <w:szCs w:val="24"/>
                <w:lang w:val="lv-LV"/>
              </w:rPr>
            </w:pPr>
          </w:p>
          <w:p w14:paraId="21849AA7" w14:textId="77777777" w:rsidR="008A08DD" w:rsidRPr="00B57019" w:rsidRDefault="008A08DD" w:rsidP="008A08DD">
            <w:pPr>
              <w:pStyle w:val="PlainText"/>
              <w:jc w:val="both"/>
              <w:rPr>
                <w:rFonts w:ascii="Times New Roman" w:hAnsi="Times New Roman"/>
                <w:b/>
                <w:sz w:val="24"/>
                <w:szCs w:val="24"/>
                <w:lang w:val="lv-LV"/>
              </w:rPr>
            </w:pPr>
          </w:p>
          <w:p w14:paraId="772DB0C9" w14:textId="77777777" w:rsidR="008A08DD" w:rsidRPr="00B57019" w:rsidRDefault="008A08DD" w:rsidP="003E7277">
            <w:pPr>
              <w:pStyle w:val="PlainText"/>
              <w:jc w:val="both"/>
              <w:rPr>
                <w:rFonts w:ascii="Times New Roman" w:hAnsi="Times New Roman"/>
                <w:b/>
                <w:sz w:val="24"/>
                <w:szCs w:val="24"/>
                <w:lang w:val="lv-LV"/>
              </w:rPr>
            </w:pPr>
          </w:p>
          <w:p w14:paraId="2EE41119" w14:textId="77777777" w:rsidR="008A08DD" w:rsidRPr="00B57019" w:rsidRDefault="008A08DD" w:rsidP="003E7277">
            <w:pPr>
              <w:pStyle w:val="PlainText"/>
              <w:jc w:val="both"/>
              <w:rPr>
                <w:rFonts w:ascii="Times New Roman" w:hAnsi="Times New Roman"/>
                <w:b/>
                <w:sz w:val="24"/>
                <w:szCs w:val="24"/>
                <w:lang w:val="lv-LV"/>
              </w:rPr>
            </w:pPr>
          </w:p>
          <w:p w14:paraId="7E70AC24" w14:textId="77777777" w:rsidR="008A08DD" w:rsidRPr="00B57019" w:rsidRDefault="008A08DD" w:rsidP="003E7277">
            <w:pPr>
              <w:pStyle w:val="PlainText"/>
              <w:jc w:val="both"/>
              <w:rPr>
                <w:rFonts w:ascii="Times New Roman" w:hAnsi="Times New Roman"/>
                <w:b/>
                <w:sz w:val="24"/>
                <w:szCs w:val="24"/>
                <w:lang w:val="lv-LV"/>
              </w:rPr>
            </w:pPr>
          </w:p>
          <w:p w14:paraId="4388ECE5" w14:textId="77777777" w:rsidR="008A08DD" w:rsidRPr="00B57019" w:rsidRDefault="008A08DD" w:rsidP="003E7277">
            <w:pPr>
              <w:pStyle w:val="PlainText"/>
              <w:jc w:val="both"/>
              <w:rPr>
                <w:rFonts w:ascii="Times New Roman" w:hAnsi="Times New Roman"/>
                <w:b/>
                <w:sz w:val="24"/>
                <w:szCs w:val="24"/>
                <w:lang w:val="lv-LV"/>
              </w:rPr>
            </w:pPr>
          </w:p>
          <w:p w14:paraId="76F4E4EE" w14:textId="77777777" w:rsidR="006A3156" w:rsidRPr="00B57019" w:rsidRDefault="006A3156" w:rsidP="007A7A59">
            <w:pPr>
              <w:pStyle w:val="naisc"/>
              <w:spacing w:before="0" w:after="0"/>
              <w:jc w:val="both"/>
            </w:pPr>
          </w:p>
          <w:p w14:paraId="2BFF7333" w14:textId="77777777" w:rsidR="006A3156" w:rsidRPr="00B57019" w:rsidRDefault="006A3156" w:rsidP="007A7A59">
            <w:pPr>
              <w:pStyle w:val="naisc"/>
              <w:spacing w:before="0" w:after="0"/>
              <w:jc w:val="both"/>
            </w:pPr>
          </w:p>
          <w:p w14:paraId="01F3455F" w14:textId="77777777" w:rsidR="006A3156" w:rsidRPr="00B57019" w:rsidRDefault="006A3156" w:rsidP="007A7A59">
            <w:pPr>
              <w:pStyle w:val="naisc"/>
              <w:spacing w:before="0" w:after="0"/>
              <w:jc w:val="both"/>
            </w:pPr>
          </w:p>
          <w:p w14:paraId="6CB8F8D1" w14:textId="77777777" w:rsidR="006A3156" w:rsidRPr="00B57019" w:rsidRDefault="006A3156" w:rsidP="007A7A59">
            <w:pPr>
              <w:pStyle w:val="naisc"/>
              <w:spacing w:before="0" w:after="0"/>
              <w:jc w:val="both"/>
            </w:pPr>
          </w:p>
          <w:p w14:paraId="0F2E69AF" w14:textId="77777777" w:rsidR="006A3156" w:rsidRPr="00B57019" w:rsidRDefault="006A3156" w:rsidP="007A7A59">
            <w:pPr>
              <w:pStyle w:val="naisc"/>
              <w:spacing w:before="0" w:after="0"/>
              <w:jc w:val="both"/>
            </w:pPr>
          </w:p>
          <w:p w14:paraId="02991D71" w14:textId="77777777" w:rsidR="006A3156" w:rsidRPr="00B57019" w:rsidRDefault="006A3156" w:rsidP="007A7A59">
            <w:pPr>
              <w:pStyle w:val="naisc"/>
              <w:spacing w:before="0" w:after="0"/>
              <w:jc w:val="both"/>
            </w:pPr>
          </w:p>
          <w:p w14:paraId="470B3ABD" w14:textId="77777777" w:rsidR="006A3156" w:rsidRPr="00B57019" w:rsidRDefault="006A3156" w:rsidP="007A7A59">
            <w:pPr>
              <w:pStyle w:val="naisc"/>
              <w:spacing w:before="0" w:after="0"/>
              <w:jc w:val="both"/>
            </w:pPr>
          </w:p>
          <w:p w14:paraId="14D93178" w14:textId="77777777" w:rsidR="006A3156" w:rsidRPr="00B57019" w:rsidRDefault="006A3156" w:rsidP="007A7A59">
            <w:pPr>
              <w:pStyle w:val="naisc"/>
              <w:spacing w:before="0" w:after="0"/>
              <w:jc w:val="both"/>
            </w:pPr>
          </w:p>
          <w:p w14:paraId="6B4B73AD" w14:textId="77777777" w:rsidR="006A3156" w:rsidRPr="00B57019" w:rsidRDefault="006A3156" w:rsidP="007A7A59">
            <w:pPr>
              <w:pStyle w:val="naisc"/>
              <w:spacing w:before="0" w:after="0"/>
              <w:jc w:val="both"/>
            </w:pPr>
          </w:p>
          <w:p w14:paraId="48A19EB2" w14:textId="77777777" w:rsidR="006A3156" w:rsidRPr="00B57019" w:rsidRDefault="006A3156" w:rsidP="007A7A59">
            <w:pPr>
              <w:pStyle w:val="naisc"/>
              <w:spacing w:before="0" w:after="0"/>
              <w:jc w:val="both"/>
            </w:pPr>
          </w:p>
          <w:p w14:paraId="7B51ED66" w14:textId="77777777" w:rsidR="006A3156" w:rsidRPr="00B57019" w:rsidRDefault="006A3156" w:rsidP="007A7A59">
            <w:pPr>
              <w:pStyle w:val="naisc"/>
              <w:spacing w:before="0" w:after="0"/>
              <w:jc w:val="both"/>
            </w:pPr>
          </w:p>
          <w:p w14:paraId="110D60FD" w14:textId="77777777" w:rsidR="006A3156" w:rsidRPr="00B57019" w:rsidRDefault="006A3156" w:rsidP="007A7A59">
            <w:pPr>
              <w:pStyle w:val="naisc"/>
              <w:spacing w:before="0" w:after="0"/>
              <w:jc w:val="both"/>
            </w:pPr>
          </w:p>
          <w:p w14:paraId="494E71FF" w14:textId="77777777" w:rsidR="006A3156" w:rsidRPr="00B57019" w:rsidRDefault="006A3156" w:rsidP="007A7A59">
            <w:pPr>
              <w:pStyle w:val="naisc"/>
              <w:spacing w:before="0" w:after="0"/>
              <w:jc w:val="both"/>
            </w:pPr>
          </w:p>
          <w:p w14:paraId="6178244B" w14:textId="77777777" w:rsidR="006A3156" w:rsidRPr="00B57019" w:rsidRDefault="006A3156" w:rsidP="007A7A59">
            <w:pPr>
              <w:pStyle w:val="naisc"/>
              <w:spacing w:before="0" w:after="0"/>
              <w:jc w:val="both"/>
            </w:pPr>
          </w:p>
          <w:p w14:paraId="59153739" w14:textId="77777777" w:rsidR="006A3156" w:rsidRPr="00B57019" w:rsidRDefault="006A3156" w:rsidP="007A7A59">
            <w:pPr>
              <w:pStyle w:val="naisc"/>
              <w:spacing w:before="0" w:after="0"/>
              <w:jc w:val="both"/>
            </w:pPr>
          </w:p>
          <w:p w14:paraId="1DF467B7" w14:textId="77777777" w:rsidR="006A3156" w:rsidRPr="00B57019" w:rsidRDefault="006A3156" w:rsidP="007A7A59">
            <w:pPr>
              <w:pStyle w:val="naisc"/>
              <w:spacing w:before="0" w:after="0"/>
              <w:jc w:val="both"/>
            </w:pPr>
          </w:p>
          <w:p w14:paraId="443BA16F" w14:textId="77777777" w:rsidR="006A3156" w:rsidRPr="00B57019" w:rsidRDefault="006A3156" w:rsidP="007A7A59">
            <w:pPr>
              <w:pStyle w:val="naisc"/>
              <w:spacing w:before="0" w:after="0"/>
              <w:jc w:val="both"/>
            </w:pPr>
          </w:p>
          <w:p w14:paraId="3EAD03E1" w14:textId="77777777" w:rsidR="006A3156" w:rsidRPr="00B57019" w:rsidRDefault="006A3156" w:rsidP="007A7A59">
            <w:pPr>
              <w:pStyle w:val="naisc"/>
              <w:spacing w:before="0" w:after="0"/>
              <w:jc w:val="both"/>
            </w:pPr>
          </w:p>
          <w:p w14:paraId="0E7A9F70" w14:textId="77777777" w:rsidR="006A3156" w:rsidRPr="00B57019" w:rsidRDefault="006A3156" w:rsidP="007A7A59">
            <w:pPr>
              <w:pStyle w:val="naisc"/>
              <w:spacing w:before="0" w:after="0"/>
              <w:jc w:val="both"/>
            </w:pPr>
          </w:p>
          <w:p w14:paraId="11435738" w14:textId="77777777" w:rsidR="006A3156" w:rsidRPr="00B57019" w:rsidRDefault="006A3156" w:rsidP="007A7A59">
            <w:pPr>
              <w:pStyle w:val="naisc"/>
              <w:spacing w:before="0" w:after="0"/>
              <w:jc w:val="both"/>
            </w:pPr>
          </w:p>
          <w:p w14:paraId="5F75B66A" w14:textId="77777777" w:rsidR="006A3156" w:rsidRPr="00B57019" w:rsidRDefault="006A3156" w:rsidP="007A7A59">
            <w:pPr>
              <w:pStyle w:val="naisc"/>
              <w:spacing w:before="0" w:after="0"/>
              <w:jc w:val="both"/>
            </w:pPr>
          </w:p>
          <w:p w14:paraId="41E3EDC1" w14:textId="77777777" w:rsidR="006A3156" w:rsidRPr="00B57019" w:rsidRDefault="006A3156" w:rsidP="007A7A59">
            <w:pPr>
              <w:pStyle w:val="naisc"/>
              <w:spacing w:before="0" w:after="0"/>
              <w:jc w:val="both"/>
            </w:pPr>
          </w:p>
          <w:p w14:paraId="6024D882" w14:textId="77777777" w:rsidR="006A3156" w:rsidRPr="00B57019" w:rsidRDefault="006A3156" w:rsidP="007A7A59">
            <w:pPr>
              <w:pStyle w:val="naisc"/>
              <w:spacing w:before="0" w:after="0"/>
              <w:jc w:val="both"/>
            </w:pPr>
          </w:p>
          <w:p w14:paraId="0092D370" w14:textId="77777777" w:rsidR="006A3156" w:rsidRPr="00B57019" w:rsidRDefault="006A3156" w:rsidP="007A7A59">
            <w:pPr>
              <w:pStyle w:val="naisc"/>
              <w:spacing w:before="0" w:after="0"/>
              <w:jc w:val="both"/>
            </w:pPr>
          </w:p>
          <w:p w14:paraId="1BC62BDC" w14:textId="77777777" w:rsidR="006A3156" w:rsidRPr="00B57019" w:rsidRDefault="006A3156" w:rsidP="007A7A59">
            <w:pPr>
              <w:pStyle w:val="naisc"/>
              <w:spacing w:before="0" w:after="0"/>
              <w:jc w:val="both"/>
            </w:pPr>
          </w:p>
          <w:p w14:paraId="1C8D44EE" w14:textId="77777777" w:rsidR="006A3156" w:rsidRPr="00B57019" w:rsidRDefault="006A3156" w:rsidP="007A7A59">
            <w:pPr>
              <w:pStyle w:val="naisc"/>
              <w:spacing w:before="0" w:after="0"/>
              <w:jc w:val="both"/>
            </w:pPr>
          </w:p>
          <w:p w14:paraId="729A31AB" w14:textId="77777777" w:rsidR="006A3156" w:rsidRPr="00B57019" w:rsidRDefault="006A3156" w:rsidP="007A7A59">
            <w:pPr>
              <w:pStyle w:val="naisc"/>
              <w:spacing w:before="0" w:after="0"/>
              <w:jc w:val="both"/>
            </w:pPr>
          </w:p>
          <w:p w14:paraId="4FD45EE6" w14:textId="77777777" w:rsidR="00BE2A7A" w:rsidRPr="00B57019" w:rsidRDefault="00BE2A7A" w:rsidP="007A7A59">
            <w:pPr>
              <w:pStyle w:val="naisc"/>
              <w:spacing w:before="0" w:after="0"/>
              <w:jc w:val="both"/>
            </w:pPr>
          </w:p>
          <w:p w14:paraId="20704F18" w14:textId="77777777" w:rsidR="006A3156" w:rsidRPr="00B57019" w:rsidRDefault="00EB5DF5" w:rsidP="007A7A59">
            <w:pPr>
              <w:pStyle w:val="naisc"/>
              <w:spacing w:before="0" w:after="0"/>
              <w:jc w:val="both"/>
            </w:pPr>
            <w:r w:rsidRPr="00B57019">
              <w:t xml:space="preserve">Vēršam uzmanību, ka EIS noslēgto vienošanos atbilstību </w:t>
            </w:r>
            <w:r w:rsidR="00C63EB0" w:rsidRPr="00B57019">
              <w:t xml:space="preserve">ES struktūrfondiem finansēto projektu reglamentējošo normatīvo aktu prasībām veic </w:t>
            </w:r>
            <w:r w:rsidR="00C63EB0" w:rsidRPr="00B57019">
              <w:rPr>
                <w:i/>
              </w:rPr>
              <w:t>ex-ante</w:t>
            </w:r>
            <w:r w:rsidR="00C63EB0" w:rsidRPr="00B57019">
              <w:t xml:space="preserve"> ietvaros</w:t>
            </w:r>
            <w:r w:rsidR="00ED7D00" w:rsidRPr="00B57019">
              <w:t>, atklāto konkursu laikā, tāpēc tam nav nepieciešams nelietderīgi tērēt administratīvo</w:t>
            </w:r>
            <w:r w:rsidR="00844E24" w:rsidRPr="00B57019">
              <w:t>s</w:t>
            </w:r>
            <w:r w:rsidR="00ED7D00" w:rsidRPr="00B57019">
              <w:t xml:space="preserve"> resursu</w:t>
            </w:r>
            <w:r w:rsidR="00844E24" w:rsidRPr="00B57019">
              <w:t>s</w:t>
            </w:r>
            <w:r w:rsidR="00ED7D00" w:rsidRPr="00B57019">
              <w:t>.</w:t>
            </w:r>
            <w:r w:rsidR="000C265C" w:rsidRPr="00B57019">
              <w:t xml:space="preserve"> </w:t>
            </w:r>
          </w:p>
          <w:p w14:paraId="0F96FF0C" w14:textId="77777777" w:rsidR="000C265C" w:rsidRPr="00B57019" w:rsidRDefault="000C265C" w:rsidP="007A7A59">
            <w:pPr>
              <w:pStyle w:val="naisc"/>
              <w:spacing w:before="0" w:after="0"/>
              <w:jc w:val="both"/>
            </w:pPr>
            <w:r w:rsidRPr="00B57019">
              <w:lastRenderedPageBreak/>
              <w:t>Darba uzdevumus nav jāsagatavo lielākai daļai katalog</w:t>
            </w:r>
            <w:r w:rsidR="00844E24" w:rsidRPr="00B57019">
              <w:t>u</w:t>
            </w:r>
            <w:r w:rsidRPr="00B57019">
              <w:t xml:space="preserve">, tāpēc </w:t>
            </w:r>
            <w:r w:rsidR="00844E24" w:rsidRPr="00B57019">
              <w:t xml:space="preserve">uzskatām, ka </w:t>
            </w:r>
            <w:r w:rsidRPr="00B57019">
              <w:t>vidēj</w:t>
            </w:r>
            <w:r w:rsidR="008C746A" w:rsidRPr="00B57019">
              <w:t xml:space="preserve">ais aprēķins ir korekts, turklāt darba uzdevuma sagatavošana ir nepieciešama gan EIS e-pasūtījumiem, gan </w:t>
            </w:r>
            <w:r w:rsidR="00E371E8" w:rsidRPr="00B57019">
              <w:t>atklātajiem konkursiem ārpus EIS.</w:t>
            </w:r>
            <w:r w:rsidR="0071524F" w:rsidRPr="00B57019">
              <w:t xml:space="preserve"> Savukārt EIS nodrošina resursu ietaupījumu uz iepirkumu pro</w:t>
            </w:r>
            <w:r w:rsidR="00676879" w:rsidRPr="00B57019">
              <w:t>c</w:t>
            </w:r>
            <w:r w:rsidR="0071524F" w:rsidRPr="00B57019">
              <w:t>e</w:t>
            </w:r>
            <w:r w:rsidR="00676879" w:rsidRPr="00B57019">
              <w:t>d</w:t>
            </w:r>
            <w:r w:rsidR="0071524F" w:rsidRPr="00B57019">
              <w:t xml:space="preserve">ūras </w:t>
            </w:r>
            <w:r w:rsidR="00676879" w:rsidRPr="00B57019">
              <w:t>organizēšanas</w:t>
            </w:r>
            <w:r w:rsidR="000B2B88" w:rsidRPr="00B57019">
              <w:t xml:space="preserve"> rēķina</w:t>
            </w:r>
            <w:r w:rsidR="006324FD" w:rsidRPr="00B57019">
              <w:t xml:space="preserve"> (</w:t>
            </w:r>
            <w:r w:rsidR="00480E9C" w:rsidRPr="00B57019">
              <w:t>galvenokārt</w:t>
            </w:r>
            <w:r w:rsidR="006324FD" w:rsidRPr="00B57019">
              <w:t xml:space="preserve"> laiks, kas tiek patērēts, strādājot </w:t>
            </w:r>
            <w:r w:rsidR="00D644F0" w:rsidRPr="00B57019">
              <w:t xml:space="preserve">iepirkumu </w:t>
            </w:r>
            <w:r w:rsidR="006324FD" w:rsidRPr="00B57019">
              <w:t>komisijās),</w:t>
            </w:r>
            <w:r w:rsidR="00676879" w:rsidRPr="00B57019">
              <w:t xml:space="preserve"> nevis sagatavošanas laiku</w:t>
            </w:r>
            <w:r w:rsidR="000B2B88" w:rsidRPr="00B57019">
              <w:t xml:space="preserve"> (darba uzdevuma </w:t>
            </w:r>
            <w:r w:rsidR="006324FD" w:rsidRPr="00B57019">
              <w:t>sagatavošana</w:t>
            </w:r>
            <w:r w:rsidR="00034195" w:rsidRPr="00B57019">
              <w:t>, ja nav skaidrības ar vajadzību</w:t>
            </w:r>
            <w:r w:rsidR="00676879" w:rsidRPr="00B57019">
              <w:t>)</w:t>
            </w:r>
            <w:r w:rsidR="000B2B88" w:rsidRPr="00B57019">
              <w:t>.</w:t>
            </w:r>
            <w:r w:rsidR="0071524F" w:rsidRPr="00B57019">
              <w:t xml:space="preserve"> </w:t>
            </w:r>
          </w:p>
          <w:p w14:paraId="2EC33319" w14:textId="77777777" w:rsidR="006A3156" w:rsidRPr="00B57019" w:rsidRDefault="006A3156" w:rsidP="007A7A59">
            <w:pPr>
              <w:pStyle w:val="naisc"/>
              <w:spacing w:before="0" w:after="0"/>
              <w:jc w:val="both"/>
            </w:pPr>
          </w:p>
          <w:p w14:paraId="118C015A" w14:textId="77777777" w:rsidR="006A3156" w:rsidRPr="00B57019" w:rsidRDefault="006A3156" w:rsidP="007A7A59">
            <w:pPr>
              <w:pStyle w:val="naisc"/>
              <w:spacing w:before="0" w:after="0"/>
              <w:jc w:val="both"/>
            </w:pPr>
          </w:p>
          <w:p w14:paraId="431CA72C" w14:textId="77777777" w:rsidR="006A3156" w:rsidRPr="00B57019" w:rsidRDefault="006A3156" w:rsidP="007A7A59">
            <w:pPr>
              <w:pStyle w:val="naisc"/>
              <w:spacing w:before="0" w:after="0"/>
              <w:jc w:val="both"/>
            </w:pPr>
          </w:p>
          <w:p w14:paraId="3D4615C8" w14:textId="77777777" w:rsidR="006A3156" w:rsidRPr="00B57019" w:rsidRDefault="006A3156" w:rsidP="007A7A59">
            <w:pPr>
              <w:pStyle w:val="naisc"/>
              <w:spacing w:before="0" w:after="0"/>
              <w:jc w:val="both"/>
            </w:pPr>
          </w:p>
          <w:p w14:paraId="44BE687B" w14:textId="77777777" w:rsidR="006A3156" w:rsidRPr="00B57019" w:rsidRDefault="006A3156" w:rsidP="007A7A59">
            <w:pPr>
              <w:pStyle w:val="naisc"/>
              <w:spacing w:before="0" w:after="0"/>
              <w:jc w:val="both"/>
            </w:pPr>
          </w:p>
          <w:p w14:paraId="57BB13D1" w14:textId="77777777" w:rsidR="006A3156" w:rsidRPr="00B57019" w:rsidRDefault="006A3156" w:rsidP="007A7A59">
            <w:pPr>
              <w:pStyle w:val="naisc"/>
              <w:spacing w:before="0" w:after="0"/>
              <w:jc w:val="both"/>
            </w:pPr>
          </w:p>
          <w:p w14:paraId="3EF430A9" w14:textId="77777777" w:rsidR="006A3156" w:rsidRPr="00B57019" w:rsidRDefault="006A3156" w:rsidP="007A7A59">
            <w:pPr>
              <w:pStyle w:val="naisc"/>
              <w:spacing w:before="0" w:after="0"/>
              <w:jc w:val="both"/>
            </w:pPr>
          </w:p>
          <w:p w14:paraId="38FBA746" w14:textId="77777777" w:rsidR="006A3156" w:rsidRPr="00B57019" w:rsidRDefault="006A3156" w:rsidP="007A7A59">
            <w:pPr>
              <w:pStyle w:val="naisc"/>
              <w:spacing w:before="0" w:after="0"/>
              <w:jc w:val="both"/>
            </w:pPr>
          </w:p>
          <w:p w14:paraId="294D0724" w14:textId="77777777" w:rsidR="006A3156" w:rsidRPr="00B57019" w:rsidRDefault="006A3156" w:rsidP="007A7A59">
            <w:pPr>
              <w:pStyle w:val="naisc"/>
              <w:spacing w:before="0" w:after="0"/>
              <w:jc w:val="both"/>
            </w:pPr>
          </w:p>
          <w:p w14:paraId="0B17BA56" w14:textId="77777777" w:rsidR="006A3156" w:rsidRPr="00B57019" w:rsidRDefault="006A3156" w:rsidP="007A7A59">
            <w:pPr>
              <w:pStyle w:val="naisc"/>
              <w:spacing w:before="0" w:after="0"/>
              <w:jc w:val="both"/>
            </w:pPr>
          </w:p>
          <w:p w14:paraId="285428F2" w14:textId="77777777" w:rsidR="006A3156" w:rsidRPr="00B57019" w:rsidRDefault="006A3156" w:rsidP="007A7A59">
            <w:pPr>
              <w:pStyle w:val="naisc"/>
              <w:spacing w:before="0" w:after="0"/>
              <w:jc w:val="both"/>
            </w:pPr>
          </w:p>
          <w:p w14:paraId="3FB38C21" w14:textId="77777777" w:rsidR="006142F2" w:rsidRPr="00B57019" w:rsidRDefault="006142F2" w:rsidP="007A7A59">
            <w:pPr>
              <w:pStyle w:val="naisc"/>
              <w:spacing w:before="0" w:after="0"/>
              <w:jc w:val="both"/>
              <w:rPr>
                <w:b/>
                <w:highlight w:val="yellow"/>
              </w:rPr>
            </w:pPr>
          </w:p>
          <w:p w14:paraId="66139B03" w14:textId="77777777" w:rsidR="006142F2" w:rsidRPr="00B57019" w:rsidRDefault="006142F2" w:rsidP="007A7A59">
            <w:pPr>
              <w:pStyle w:val="naisc"/>
              <w:spacing w:before="0" w:after="0"/>
              <w:jc w:val="both"/>
              <w:rPr>
                <w:b/>
                <w:highlight w:val="yellow"/>
              </w:rPr>
            </w:pPr>
          </w:p>
          <w:p w14:paraId="192EB7CE" w14:textId="77777777" w:rsidR="006142F2" w:rsidRPr="00B57019" w:rsidRDefault="006142F2" w:rsidP="007A7A59">
            <w:pPr>
              <w:pStyle w:val="naisc"/>
              <w:spacing w:before="0" w:after="0"/>
              <w:jc w:val="both"/>
              <w:rPr>
                <w:b/>
                <w:highlight w:val="yellow"/>
              </w:rPr>
            </w:pPr>
          </w:p>
          <w:p w14:paraId="304E1B06" w14:textId="77777777" w:rsidR="006142F2" w:rsidRPr="00B57019" w:rsidRDefault="006142F2" w:rsidP="007A7A59">
            <w:pPr>
              <w:pStyle w:val="naisc"/>
              <w:spacing w:before="0" w:after="0"/>
              <w:jc w:val="both"/>
              <w:rPr>
                <w:b/>
                <w:highlight w:val="yellow"/>
              </w:rPr>
            </w:pPr>
          </w:p>
          <w:p w14:paraId="3F6F9011" w14:textId="77777777" w:rsidR="006142F2" w:rsidRPr="00B57019" w:rsidRDefault="006142F2" w:rsidP="007A7A59">
            <w:pPr>
              <w:pStyle w:val="naisc"/>
              <w:spacing w:before="0" w:after="0"/>
              <w:jc w:val="both"/>
              <w:rPr>
                <w:b/>
                <w:highlight w:val="yellow"/>
              </w:rPr>
            </w:pPr>
          </w:p>
          <w:p w14:paraId="35F6C2AE" w14:textId="77777777" w:rsidR="006142F2" w:rsidRPr="00B57019" w:rsidRDefault="006142F2" w:rsidP="007A7A59">
            <w:pPr>
              <w:pStyle w:val="naisc"/>
              <w:spacing w:before="0" w:after="0"/>
              <w:jc w:val="both"/>
              <w:rPr>
                <w:b/>
                <w:highlight w:val="yellow"/>
              </w:rPr>
            </w:pPr>
          </w:p>
          <w:p w14:paraId="56975345" w14:textId="77777777" w:rsidR="006A3156" w:rsidRPr="00B57019" w:rsidRDefault="006A3156" w:rsidP="007A7A59">
            <w:pPr>
              <w:pStyle w:val="naisc"/>
              <w:spacing w:before="0" w:after="0"/>
              <w:jc w:val="both"/>
            </w:pPr>
          </w:p>
          <w:p w14:paraId="0662518A" w14:textId="77777777" w:rsidR="006A3156" w:rsidRPr="00B57019" w:rsidRDefault="006A3156" w:rsidP="007A7A59">
            <w:pPr>
              <w:pStyle w:val="naisc"/>
              <w:spacing w:before="0" w:after="0"/>
              <w:jc w:val="both"/>
            </w:pPr>
          </w:p>
          <w:p w14:paraId="04DEDBF3" w14:textId="77777777" w:rsidR="006A3156" w:rsidRPr="00B57019" w:rsidRDefault="006A3156" w:rsidP="007A7A59">
            <w:pPr>
              <w:pStyle w:val="naisc"/>
              <w:spacing w:before="0" w:after="0"/>
              <w:jc w:val="both"/>
            </w:pPr>
          </w:p>
          <w:p w14:paraId="74A8B152" w14:textId="77777777" w:rsidR="006A3156" w:rsidRPr="00B57019" w:rsidRDefault="006A3156" w:rsidP="007A7A59">
            <w:pPr>
              <w:pStyle w:val="naisc"/>
              <w:spacing w:before="0" w:after="0"/>
              <w:jc w:val="both"/>
            </w:pPr>
          </w:p>
          <w:p w14:paraId="06A791E6" w14:textId="77777777" w:rsidR="006A3156" w:rsidRPr="00B57019" w:rsidRDefault="006A3156" w:rsidP="007A7A59">
            <w:pPr>
              <w:pStyle w:val="naisc"/>
              <w:spacing w:before="0" w:after="0"/>
              <w:jc w:val="both"/>
            </w:pPr>
          </w:p>
          <w:p w14:paraId="6594E8D0" w14:textId="77777777" w:rsidR="006A3156" w:rsidRPr="00B57019" w:rsidRDefault="006A3156" w:rsidP="007A7A59">
            <w:pPr>
              <w:pStyle w:val="naisc"/>
              <w:spacing w:before="0" w:after="0"/>
              <w:jc w:val="both"/>
            </w:pPr>
          </w:p>
          <w:p w14:paraId="1CB45F9D" w14:textId="77777777" w:rsidR="006A3156" w:rsidRPr="00B57019" w:rsidRDefault="006A3156" w:rsidP="007A7A59">
            <w:pPr>
              <w:pStyle w:val="naisc"/>
              <w:spacing w:before="0" w:after="0"/>
              <w:jc w:val="both"/>
            </w:pPr>
          </w:p>
          <w:p w14:paraId="4EC4BAAA" w14:textId="77777777" w:rsidR="006A3156" w:rsidRPr="00B57019" w:rsidRDefault="006A3156" w:rsidP="007A7A59">
            <w:pPr>
              <w:pStyle w:val="naisc"/>
              <w:spacing w:before="0" w:after="0"/>
              <w:jc w:val="both"/>
            </w:pPr>
          </w:p>
          <w:p w14:paraId="6C39E12C" w14:textId="77777777" w:rsidR="006A3156" w:rsidRPr="00B57019" w:rsidRDefault="006A3156" w:rsidP="007A7A59">
            <w:pPr>
              <w:pStyle w:val="naisc"/>
              <w:spacing w:before="0" w:after="0"/>
              <w:jc w:val="both"/>
            </w:pPr>
          </w:p>
          <w:p w14:paraId="038057E3" w14:textId="77777777" w:rsidR="006A3156" w:rsidRPr="00B57019" w:rsidRDefault="006A3156" w:rsidP="007A7A59">
            <w:pPr>
              <w:pStyle w:val="naisc"/>
              <w:spacing w:before="0" w:after="0"/>
              <w:jc w:val="both"/>
            </w:pPr>
          </w:p>
          <w:p w14:paraId="6DB85F87" w14:textId="77777777" w:rsidR="006A3156" w:rsidRPr="00B57019" w:rsidRDefault="006A3156" w:rsidP="007A7A59">
            <w:pPr>
              <w:pStyle w:val="naisc"/>
              <w:spacing w:before="0" w:after="0"/>
              <w:jc w:val="both"/>
            </w:pPr>
          </w:p>
          <w:p w14:paraId="5535A37F" w14:textId="77777777" w:rsidR="006A3156" w:rsidRPr="00B57019" w:rsidRDefault="006A3156" w:rsidP="007A7A59">
            <w:pPr>
              <w:pStyle w:val="naisc"/>
              <w:spacing w:before="0" w:after="0"/>
              <w:jc w:val="both"/>
            </w:pPr>
          </w:p>
          <w:p w14:paraId="05CE16E2" w14:textId="77777777" w:rsidR="006A3156" w:rsidRPr="00B57019" w:rsidRDefault="006A3156" w:rsidP="007A7A59">
            <w:pPr>
              <w:pStyle w:val="naisc"/>
              <w:spacing w:before="0" w:after="0"/>
              <w:jc w:val="both"/>
            </w:pPr>
          </w:p>
          <w:p w14:paraId="4E50841D" w14:textId="77777777" w:rsidR="006A3156" w:rsidRPr="00B57019" w:rsidRDefault="006A3156" w:rsidP="007A7A59">
            <w:pPr>
              <w:pStyle w:val="naisc"/>
              <w:spacing w:before="0" w:after="0"/>
              <w:jc w:val="both"/>
            </w:pPr>
          </w:p>
          <w:p w14:paraId="01E9263A" w14:textId="77777777" w:rsidR="006A3156" w:rsidRPr="00B57019" w:rsidRDefault="006A3156" w:rsidP="007A7A59">
            <w:pPr>
              <w:pStyle w:val="naisc"/>
              <w:spacing w:before="0" w:after="0"/>
              <w:jc w:val="both"/>
            </w:pPr>
          </w:p>
          <w:p w14:paraId="686C42CE" w14:textId="77777777" w:rsidR="006A3156" w:rsidRPr="00B57019" w:rsidRDefault="006A3156" w:rsidP="007A7A59">
            <w:pPr>
              <w:pStyle w:val="naisc"/>
              <w:spacing w:before="0" w:after="0"/>
              <w:jc w:val="both"/>
            </w:pPr>
          </w:p>
          <w:p w14:paraId="1C4BBA79" w14:textId="77777777" w:rsidR="006A3156" w:rsidRPr="00B57019" w:rsidRDefault="006A3156" w:rsidP="007A7A59">
            <w:pPr>
              <w:pStyle w:val="naisc"/>
              <w:spacing w:before="0" w:after="0"/>
              <w:jc w:val="both"/>
            </w:pPr>
          </w:p>
          <w:p w14:paraId="203D7213" w14:textId="77777777" w:rsidR="006A3156" w:rsidRPr="00B57019" w:rsidRDefault="006A3156" w:rsidP="007A7A59">
            <w:pPr>
              <w:pStyle w:val="naisc"/>
              <w:spacing w:before="0" w:after="0"/>
              <w:jc w:val="both"/>
            </w:pPr>
          </w:p>
          <w:p w14:paraId="704E0CA1" w14:textId="77777777" w:rsidR="006A3156" w:rsidRPr="00B57019" w:rsidRDefault="006A3156" w:rsidP="007A7A59">
            <w:pPr>
              <w:pStyle w:val="naisc"/>
              <w:spacing w:before="0" w:after="0"/>
              <w:jc w:val="both"/>
            </w:pPr>
          </w:p>
          <w:p w14:paraId="7D47727F" w14:textId="77777777" w:rsidR="006A3156" w:rsidRPr="00B57019" w:rsidRDefault="006A3156" w:rsidP="007A7A59">
            <w:pPr>
              <w:pStyle w:val="naisc"/>
              <w:spacing w:before="0" w:after="0"/>
              <w:jc w:val="both"/>
            </w:pPr>
          </w:p>
          <w:p w14:paraId="390075A3" w14:textId="77777777" w:rsidR="006A3156" w:rsidRPr="00B57019" w:rsidRDefault="006A3156" w:rsidP="007A7A59">
            <w:pPr>
              <w:pStyle w:val="naisc"/>
              <w:spacing w:before="0" w:after="0"/>
              <w:jc w:val="both"/>
            </w:pPr>
          </w:p>
          <w:p w14:paraId="61ADBFA9" w14:textId="77777777" w:rsidR="006A3156" w:rsidRPr="00B57019" w:rsidRDefault="006A3156" w:rsidP="007A7A59">
            <w:pPr>
              <w:pStyle w:val="naisc"/>
              <w:spacing w:before="0" w:after="0"/>
              <w:jc w:val="both"/>
            </w:pPr>
          </w:p>
          <w:p w14:paraId="619EA13E" w14:textId="77777777" w:rsidR="006A3156" w:rsidRPr="00B57019" w:rsidRDefault="006A3156" w:rsidP="007A7A59">
            <w:pPr>
              <w:pStyle w:val="naisc"/>
              <w:spacing w:before="0" w:after="0"/>
              <w:jc w:val="both"/>
            </w:pPr>
          </w:p>
          <w:p w14:paraId="1D9CA21D" w14:textId="77777777" w:rsidR="006A3156" w:rsidRPr="00B57019" w:rsidRDefault="006A3156" w:rsidP="007A7A59">
            <w:pPr>
              <w:pStyle w:val="naisc"/>
              <w:spacing w:before="0" w:after="0"/>
              <w:jc w:val="both"/>
            </w:pPr>
          </w:p>
          <w:p w14:paraId="1D03FD2B" w14:textId="77777777" w:rsidR="006A3156" w:rsidRPr="00B57019" w:rsidRDefault="006A3156" w:rsidP="007A7A59">
            <w:pPr>
              <w:pStyle w:val="naisc"/>
              <w:spacing w:before="0" w:after="0"/>
              <w:jc w:val="both"/>
            </w:pPr>
          </w:p>
          <w:p w14:paraId="3D140ACD" w14:textId="77777777" w:rsidR="006A3156" w:rsidRPr="00B57019" w:rsidRDefault="006A3156" w:rsidP="007A7A59">
            <w:pPr>
              <w:pStyle w:val="naisc"/>
              <w:spacing w:before="0" w:after="0"/>
              <w:jc w:val="both"/>
            </w:pPr>
          </w:p>
          <w:p w14:paraId="44EF2C72" w14:textId="77777777" w:rsidR="006A3156" w:rsidRPr="00B57019" w:rsidRDefault="006A3156" w:rsidP="007A7A59">
            <w:pPr>
              <w:pStyle w:val="naisc"/>
              <w:spacing w:before="0" w:after="0"/>
              <w:jc w:val="both"/>
            </w:pPr>
          </w:p>
          <w:p w14:paraId="2688E051" w14:textId="77777777" w:rsidR="006A3156" w:rsidRPr="00B57019" w:rsidRDefault="006A3156" w:rsidP="007A7A59">
            <w:pPr>
              <w:pStyle w:val="naisc"/>
              <w:spacing w:before="0" w:after="0"/>
              <w:jc w:val="both"/>
            </w:pPr>
          </w:p>
          <w:p w14:paraId="6C12412A" w14:textId="77777777" w:rsidR="006A3156" w:rsidRPr="00B57019" w:rsidRDefault="006A3156" w:rsidP="007A7A59">
            <w:pPr>
              <w:pStyle w:val="naisc"/>
              <w:spacing w:before="0" w:after="0"/>
              <w:jc w:val="both"/>
            </w:pPr>
          </w:p>
          <w:p w14:paraId="135ADBE0" w14:textId="77777777" w:rsidR="006A3156" w:rsidRPr="00B57019" w:rsidRDefault="006A3156" w:rsidP="007A7A59">
            <w:pPr>
              <w:pStyle w:val="naisc"/>
              <w:spacing w:before="0" w:after="0"/>
              <w:jc w:val="both"/>
            </w:pPr>
          </w:p>
          <w:p w14:paraId="1FB1DE58" w14:textId="77777777" w:rsidR="006A3156" w:rsidRPr="00B57019" w:rsidRDefault="006A3156" w:rsidP="007A7A59">
            <w:pPr>
              <w:pStyle w:val="naisc"/>
              <w:spacing w:before="0" w:after="0"/>
              <w:jc w:val="both"/>
            </w:pPr>
          </w:p>
          <w:p w14:paraId="05AB91C4" w14:textId="77777777" w:rsidR="006A3156" w:rsidRPr="00B57019" w:rsidRDefault="006A3156" w:rsidP="007A7A59">
            <w:pPr>
              <w:pStyle w:val="naisc"/>
              <w:spacing w:before="0" w:after="0"/>
              <w:jc w:val="both"/>
            </w:pPr>
          </w:p>
          <w:p w14:paraId="2203BDBC" w14:textId="77777777" w:rsidR="006A3156" w:rsidRPr="00B57019" w:rsidRDefault="006A3156" w:rsidP="007A7A59">
            <w:pPr>
              <w:pStyle w:val="naisc"/>
              <w:spacing w:before="0" w:after="0"/>
              <w:jc w:val="both"/>
            </w:pPr>
          </w:p>
          <w:p w14:paraId="04928B40" w14:textId="77777777" w:rsidR="006A3156" w:rsidRPr="00B57019" w:rsidRDefault="006A3156" w:rsidP="007A7A59">
            <w:pPr>
              <w:pStyle w:val="naisc"/>
              <w:spacing w:before="0" w:after="0"/>
              <w:jc w:val="both"/>
            </w:pPr>
          </w:p>
          <w:p w14:paraId="04F4C156" w14:textId="77777777" w:rsidR="006A3156" w:rsidRPr="00B57019" w:rsidRDefault="006A3156" w:rsidP="007A7A59">
            <w:pPr>
              <w:pStyle w:val="naisc"/>
              <w:spacing w:before="0" w:after="0"/>
              <w:jc w:val="both"/>
            </w:pPr>
          </w:p>
          <w:p w14:paraId="3CA9C4BA" w14:textId="77777777" w:rsidR="006A3156" w:rsidRPr="00B57019" w:rsidRDefault="006A3156" w:rsidP="007A7A59">
            <w:pPr>
              <w:pStyle w:val="naisc"/>
              <w:spacing w:before="0" w:after="0"/>
              <w:jc w:val="both"/>
            </w:pPr>
          </w:p>
          <w:p w14:paraId="57ECEE28" w14:textId="77777777" w:rsidR="006A3156" w:rsidRPr="00B57019" w:rsidRDefault="006A3156" w:rsidP="007A7A59">
            <w:pPr>
              <w:pStyle w:val="naisc"/>
              <w:spacing w:before="0" w:after="0"/>
              <w:jc w:val="both"/>
            </w:pPr>
          </w:p>
          <w:p w14:paraId="37796586" w14:textId="77777777" w:rsidR="006A3156" w:rsidRPr="00B57019" w:rsidRDefault="006A3156" w:rsidP="007A7A59">
            <w:pPr>
              <w:pStyle w:val="naisc"/>
              <w:spacing w:before="0" w:after="0"/>
              <w:jc w:val="both"/>
            </w:pPr>
          </w:p>
          <w:p w14:paraId="47389C39" w14:textId="77777777" w:rsidR="006A3156" w:rsidRPr="00B57019" w:rsidRDefault="006A3156" w:rsidP="007A7A59">
            <w:pPr>
              <w:pStyle w:val="naisc"/>
              <w:spacing w:before="0" w:after="0"/>
              <w:jc w:val="both"/>
            </w:pPr>
          </w:p>
          <w:p w14:paraId="61CE08AD" w14:textId="77777777" w:rsidR="006A3156" w:rsidRPr="00B57019" w:rsidRDefault="006A3156" w:rsidP="007A7A59">
            <w:pPr>
              <w:pStyle w:val="naisc"/>
              <w:spacing w:before="0" w:after="0"/>
              <w:jc w:val="both"/>
            </w:pPr>
          </w:p>
          <w:p w14:paraId="382FCA1C" w14:textId="77777777" w:rsidR="006A3156" w:rsidRPr="00B57019" w:rsidRDefault="006A3156" w:rsidP="007A7A59">
            <w:pPr>
              <w:pStyle w:val="naisc"/>
              <w:spacing w:before="0" w:after="0"/>
              <w:jc w:val="both"/>
            </w:pPr>
          </w:p>
          <w:p w14:paraId="1C697847" w14:textId="77777777" w:rsidR="006A3156" w:rsidRPr="00B57019" w:rsidRDefault="006A3156" w:rsidP="007A7A59">
            <w:pPr>
              <w:pStyle w:val="naisc"/>
              <w:spacing w:before="0" w:after="0"/>
              <w:jc w:val="both"/>
            </w:pPr>
          </w:p>
          <w:p w14:paraId="1538090C" w14:textId="77777777" w:rsidR="006A3156" w:rsidRPr="00B57019" w:rsidRDefault="006A3156" w:rsidP="007A7A59">
            <w:pPr>
              <w:pStyle w:val="naisc"/>
              <w:spacing w:before="0" w:after="0"/>
              <w:jc w:val="both"/>
            </w:pPr>
          </w:p>
          <w:p w14:paraId="21BFCF41" w14:textId="77777777" w:rsidR="006A3156" w:rsidRPr="00B57019" w:rsidRDefault="006A3156" w:rsidP="007A7A59">
            <w:pPr>
              <w:pStyle w:val="naisc"/>
              <w:spacing w:before="0" w:after="0"/>
              <w:jc w:val="both"/>
            </w:pPr>
          </w:p>
          <w:p w14:paraId="567EA570" w14:textId="77777777" w:rsidR="006A3156" w:rsidRPr="00B57019" w:rsidRDefault="006A3156" w:rsidP="007A7A59">
            <w:pPr>
              <w:pStyle w:val="naisc"/>
              <w:spacing w:before="0" w:after="0"/>
              <w:jc w:val="both"/>
            </w:pPr>
          </w:p>
          <w:p w14:paraId="539D95B3" w14:textId="77777777" w:rsidR="006A3156" w:rsidRPr="00B57019" w:rsidRDefault="006A3156" w:rsidP="007A7A59">
            <w:pPr>
              <w:pStyle w:val="naisc"/>
              <w:spacing w:before="0" w:after="0"/>
              <w:jc w:val="both"/>
            </w:pPr>
          </w:p>
          <w:p w14:paraId="5F84CFF6" w14:textId="77777777" w:rsidR="006A3156" w:rsidRPr="00B57019" w:rsidRDefault="006A3156" w:rsidP="007A7A59">
            <w:pPr>
              <w:pStyle w:val="naisc"/>
              <w:spacing w:before="0" w:after="0"/>
              <w:jc w:val="both"/>
            </w:pPr>
          </w:p>
          <w:p w14:paraId="052B0BB4" w14:textId="77777777" w:rsidR="006A3156" w:rsidRPr="00B57019" w:rsidRDefault="006A3156" w:rsidP="007A7A59">
            <w:pPr>
              <w:pStyle w:val="naisc"/>
              <w:spacing w:before="0" w:after="0"/>
              <w:jc w:val="both"/>
            </w:pPr>
          </w:p>
          <w:p w14:paraId="5F6CAB1E" w14:textId="77777777" w:rsidR="006A3156" w:rsidRPr="00B57019" w:rsidRDefault="006A3156" w:rsidP="007A7A59">
            <w:pPr>
              <w:pStyle w:val="naisc"/>
              <w:spacing w:before="0" w:after="0"/>
              <w:jc w:val="both"/>
            </w:pPr>
          </w:p>
          <w:p w14:paraId="66ED769D" w14:textId="77777777" w:rsidR="006A3156" w:rsidRPr="00B57019" w:rsidRDefault="006A3156" w:rsidP="007A7A59">
            <w:pPr>
              <w:pStyle w:val="naisc"/>
              <w:spacing w:before="0" w:after="0"/>
              <w:jc w:val="both"/>
            </w:pPr>
          </w:p>
          <w:p w14:paraId="3EEC4146" w14:textId="77777777" w:rsidR="006A3156" w:rsidRPr="00B57019" w:rsidRDefault="006A3156" w:rsidP="006A3156">
            <w:pPr>
              <w:pStyle w:val="PlainText"/>
              <w:jc w:val="both"/>
              <w:rPr>
                <w:rFonts w:ascii="Times New Roman" w:hAnsi="Times New Roman"/>
                <w:sz w:val="24"/>
                <w:szCs w:val="24"/>
                <w:lang w:val="lv-LV"/>
              </w:rPr>
            </w:pPr>
            <w:r w:rsidRPr="00B57019">
              <w:rPr>
                <w:rFonts w:ascii="Times New Roman" w:hAnsi="Times New Roman"/>
                <w:sz w:val="24"/>
                <w:szCs w:val="24"/>
                <w:lang w:val="lv-LV"/>
              </w:rPr>
              <w:t>Vēršam uzmanību, ka Vienotās pieteikšanās modulis nodrošina gan fizisku, gan juridisku personu autentifikāciju.</w:t>
            </w:r>
          </w:p>
          <w:p w14:paraId="0890E4EA" w14:textId="77777777" w:rsidR="006A3156" w:rsidRPr="00B57019" w:rsidRDefault="006A3156" w:rsidP="007A7A59">
            <w:pPr>
              <w:pStyle w:val="naisc"/>
              <w:spacing w:before="0" w:after="0"/>
              <w:jc w:val="both"/>
            </w:pPr>
          </w:p>
          <w:p w14:paraId="39AA8740" w14:textId="77777777" w:rsidR="006A3156" w:rsidRPr="00B57019" w:rsidRDefault="006A3156" w:rsidP="007A7A59">
            <w:pPr>
              <w:pStyle w:val="naisc"/>
              <w:spacing w:before="0" w:after="0"/>
              <w:jc w:val="both"/>
            </w:pPr>
          </w:p>
          <w:p w14:paraId="5E137C76" w14:textId="77777777" w:rsidR="006A3156" w:rsidRPr="00B57019" w:rsidRDefault="006A3156" w:rsidP="007A7A59">
            <w:pPr>
              <w:pStyle w:val="naisc"/>
              <w:spacing w:before="0" w:after="0"/>
              <w:jc w:val="both"/>
            </w:pPr>
          </w:p>
          <w:p w14:paraId="2C9AAF62" w14:textId="77777777" w:rsidR="006A3156" w:rsidRPr="00B57019" w:rsidRDefault="006A3156" w:rsidP="007A7A59">
            <w:pPr>
              <w:pStyle w:val="naisc"/>
              <w:spacing w:before="0" w:after="0"/>
              <w:jc w:val="both"/>
            </w:pPr>
          </w:p>
          <w:p w14:paraId="45470763" w14:textId="77777777" w:rsidR="006A3156" w:rsidRPr="00B57019" w:rsidRDefault="006A3156" w:rsidP="007A7A59">
            <w:pPr>
              <w:pStyle w:val="naisc"/>
              <w:spacing w:before="0" w:after="0"/>
              <w:jc w:val="both"/>
            </w:pPr>
          </w:p>
          <w:p w14:paraId="50F33110" w14:textId="77777777" w:rsidR="006A3156" w:rsidRPr="00B57019" w:rsidRDefault="006A3156" w:rsidP="007A7A59">
            <w:pPr>
              <w:pStyle w:val="naisc"/>
              <w:spacing w:before="0" w:after="0"/>
              <w:jc w:val="both"/>
            </w:pPr>
          </w:p>
          <w:p w14:paraId="1CAE1353" w14:textId="77777777" w:rsidR="006A3156" w:rsidRPr="00B57019" w:rsidRDefault="006A3156" w:rsidP="007A7A59">
            <w:pPr>
              <w:pStyle w:val="naisc"/>
              <w:spacing w:before="0" w:after="0"/>
              <w:jc w:val="both"/>
            </w:pPr>
          </w:p>
          <w:p w14:paraId="5D2808D4" w14:textId="77777777" w:rsidR="006A3156" w:rsidRPr="00B57019" w:rsidRDefault="006A3156" w:rsidP="007A7A59">
            <w:pPr>
              <w:pStyle w:val="naisc"/>
              <w:spacing w:before="0" w:after="0"/>
              <w:jc w:val="both"/>
            </w:pPr>
          </w:p>
          <w:p w14:paraId="63E79743" w14:textId="77777777" w:rsidR="006A3156" w:rsidRPr="00B57019" w:rsidRDefault="006A3156" w:rsidP="007A7A59">
            <w:pPr>
              <w:pStyle w:val="naisc"/>
              <w:spacing w:before="0" w:after="0"/>
              <w:jc w:val="both"/>
            </w:pPr>
          </w:p>
          <w:p w14:paraId="46A2D4E8" w14:textId="77777777" w:rsidR="006A3156" w:rsidRPr="00B57019" w:rsidRDefault="006A3156" w:rsidP="007A7A59">
            <w:pPr>
              <w:pStyle w:val="naisc"/>
              <w:spacing w:before="0" w:after="0"/>
              <w:jc w:val="both"/>
            </w:pPr>
          </w:p>
          <w:p w14:paraId="6FCEB3E0" w14:textId="77777777" w:rsidR="006A3156" w:rsidRPr="00B57019" w:rsidRDefault="006A3156" w:rsidP="007A7A59">
            <w:pPr>
              <w:pStyle w:val="naisc"/>
              <w:spacing w:before="0" w:after="0"/>
              <w:jc w:val="both"/>
            </w:pP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0622BB0E" w14:textId="77777777" w:rsidR="002A721B" w:rsidRPr="00B57019" w:rsidRDefault="002A721B" w:rsidP="002A721B">
            <w:pPr>
              <w:jc w:val="both"/>
            </w:pPr>
            <w:r w:rsidRPr="00B57019">
              <w:lastRenderedPageBreak/>
              <w:t>Iebildums tiek uzturēts.</w:t>
            </w:r>
          </w:p>
          <w:p w14:paraId="67D79248" w14:textId="77777777" w:rsidR="008A08DD" w:rsidRPr="00B57019" w:rsidRDefault="008A08DD" w:rsidP="008A08DD">
            <w:pPr>
              <w:jc w:val="center"/>
            </w:pPr>
          </w:p>
        </w:tc>
        <w:tc>
          <w:tcPr>
            <w:tcW w:w="2503" w:type="dxa"/>
            <w:tcBorders>
              <w:top w:val="single" w:sz="4" w:space="0" w:color="auto"/>
              <w:left w:val="single" w:sz="4" w:space="0" w:color="auto"/>
              <w:bottom w:val="single" w:sz="4" w:space="0" w:color="auto"/>
            </w:tcBorders>
            <w:shd w:val="clear" w:color="auto" w:fill="auto"/>
          </w:tcPr>
          <w:p w14:paraId="5413C260" w14:textId="77777777" w:rsidR="008A08DD" w:rsidRPr="00B57019" w:rsidRDefault="008A08DD" w:rsidP="008A08DD">
            <w:pPr>
              <w:jc w:val="center"/>
            </w:pPr>
          </w:p>
        </w:tc>
      </w:tr>
      <w:tr w:rsidR="00B57019" w:rsidRPr="00B57019" w14:paraId="780F1313"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4DBD99" w14:textId="4AE7285F" w:rsidR="006C31A4" w:rsidRPr="00B57019" w:rsidRDefault="00777328" w:rsidP="008A08DD">
            <w:pPr>
              <w:pStyle w:val="naisc"/>
              <w:spacing w:before="0" w:after="0"/>
            </w:pPr>
            <w:r w:rsidRPr="00B57019">
              <w:lastRenderedPageBreak/>
              <w:t>18.</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6F7537" w14:textId="6D49A968" w:rsidR="006C31A4" w:rsidRPr="00B57019" w:rsidRDefault="001007F7" w:rsidP="00F45FB6">
            <w:pPr>
              <w:pStyle w:val="naisc"/>
              <w:spacing w:before="0" w:after="0"/>
              <w:jc w:val="left"/>
            </w:pPr>
            <w:r w:rsidRPr="00B57019">
              <w:t>Informatīvā ziņojuma projekts un protokolēmuma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86D6295" w14:textId="77777777" w:rsidR="000B4FB5" w:rsidRPr="00B57019" w:rsidRDefault="000B4FB5" w:rsidP="000B4FB5">
            <w:pPr>
              <w:ind w:firstLine="720"/>
              <w:jc w:val="both"/>
            </w:pPr>
            <w:r w:rsidRPr="00B57019">
              <w:t xml:space="preserve">Ziņojumā nav skaidrots MK protokollēmuma projekta 3.punktā minēto resoru bāzes izdevumu samazinājuma pamatojums un izmantotā aprēķina metodika. </w:t>
            </w:r>
          </w:p>
          <w:p w14:paraId="076BC952" w14:textId="77777777" w:rsidR="000B4FB5" w:rsidRPr="00B57019" w:rsidRDefault="000B4FB5" w:rsidP="000B4FB5">
            <w:pPr>
              <w:ind w:firstLine="720"/>
              <w:jc w:val="both"/>
            </w:pPr>
            <w:r w:rsidRPr="00B57019">
              <w:t xml:space="preserve">Ņemot vērā, ka Ziņojuma tekstā sniegts pamatojums horizontālam risinājumam, nav saprotams, </w:t>
            </w:r>
            <w:r w:rsidRPr="00B57019">
              <w:lastRenderedPageBreak/>
              <w:t>kā noteikts amata vietu samazinājuma sadalījums pa ministrijām, nosakot Ministrijai ar vidēji 180 nodarbinātajiem tādu pašu samazinājumu, kā Finanšu ministrijai ar vairāk, kā 400 nodarinātajiem, un lielāku, kā VARAM ar apmēram 300 nodarbinātajiem. Tāpat lūdzam skaidrot, kāpēc protokollēmuma projekta 3. punktā nav iekļauta Valsts kanceleja.</w:t>
            </w:r>
          </w:p>
          <w:p w14:paraId="5CF0A8A1" w14:textId="4D170470" w:rsidR="006C31A4" w:rsidRPr="00B57019" w:rsidRDefault="000B4FB5" w:rsidP="000B4FB5">
            <w:pPr>
              <w:ind w:firstLine="720"/>
              <w:jc w:val="both"/>
            </w:pPr>
            <w:r w:rsidRPr="00B57019">
              <w:t xml:space="preserve">Kopumā nepiekrītam Ziņojuma protokollēmuma 3.1.8. apakšpunktā norādītajam izdevumu un amata vietu samazinājumam, jo VARAM Ziņojumā nav atšifrēts plānoto izdevumu samazinājums, kā arī VARAM Ziņojumā iekļautajos aprēķinos par pamatu ir ņemtas augstākas mēnešalgas ar augstākām mēnešalgu grupām, bet izvērtējot amatu sarakstus labklājības nozarē, secinām, ka nav tādu amata vietu, kuras spētu nodrošināt segumu un kuras klasificējas VARAM Ziņojumā iekļauto </w:t>
            </w:r>
            <w:r w:rsidRPr="00B57019">
              <w:lastRenderedPageBreak/>
              <w:t xml:space="preserve">informācijas un komunikācijas tehnoloģiju koplietošanas platformu uzturēšanas un attīstības amata vietu izveidošanai un kuru finansējuma apjoms gadā sasniegtu VARAM Ziņojuma protokollēmumā norādītos līdzekļu apjomus (divu amata vietu un finansējuma samazinājums 2020. gadā 48 468 euro, 2021. gadā 63 578 un 2022.gadā un turpmāk 62 853 euro apmērā), piemēram, Ministrijā iepirkumu speciālista (amatu saime 2, IIIB, 9 mēnešalgu grupa un 3 kategorija) mēnešalga veido vidēji 1 034 euro apmērā mēnesī (15 397.09 euro gadā, t.sk. 12 408 euro mēnešalga un 2989.09 euro  darba devēja valsts sociālās apdrošināšanas iemaksas),  informācijas sistēmu uzturētāja (amatu saime 19.5, IIIA, 10 mēnešalgu grupa un 3 kategorija) mēnešalga veido vidēji 1 174 euro apmērā mēnesī (17 481.80 euro gadā, t.sk. 14 088 euro mēnešalga un 3 393.80 euro  darba devēja valsts sociālās apdrošināšanas </w:t>
            </w:r>
            <w:r w:rsidRPr="00B57019">
              <w:lastRenderedPageBreak/>
              <w:t xml:space="preserve">iemaksas),  lietvedības pārziņa (amatu saime 18.3, III, 8 mēnešalgu grupa un 3 kategorija) mēnešalga veido vidēji 950 euro apmērā mēnesī (14 146.26 euro gadā, t.sk. 11 400 euro mēnešalga un 2 746.26 euro  darba devēja valsts sociālās apdrošināšanas iemaksas). Lai nodrošinātu VARAM Ziņojuma protokollēmuma 3.1.8. apakšpunktā norādīto finansējuma samazinājumu, Ministrijai būtu </w:t>
            </w:r>
            <w:r w:rsidRPr="00B57019">
              <w:rPr>
                <w:b/>
              </w:rPr>
              <w:t>jāsamazina 2020. gadā vismaz 3 amata vietas</w:t>
            </w:r>
            <w:r w:rsidRPr="00B57019">
              <w:t xml:space="preserve"> un </w:t>
            </w:r>
            <w:r w:rsidRPr="00B57019">
              <w:rPr>
                <w:b/>
              </w:rPr>
              <w:t>2021. gadā vēl vismaz 1 amata vietu.</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3FD8AF" w14:textId="77777777" w:rsidR="000B4FB5" w:rsidRPr="00B57019" w:rsidRDefault="000B4FB5" w:rsidP="000B4FB5">
            <w:pPr>
              <w:pStyle w:val="PlainText"/>
              <w:jc w:val="both"/>
              <w:rPr>
                <w:rFonts w:ascii="Times New Roman" w:hAnsi="Times New Roman"/>
                <w:b/>
                <w:sz w:val="24"/>
                <w:szCs w:val="24"/>
                <w:lang w:val="lv-LV"/>
              </w:rPr>
            </w:pPr>
            <w:r w:rsidRPr="00B57019">
              <w:rPr>
                <w:rFonts w:ascii="Times New Roman" w:hAnsi="Times New Roman"/>
                <w:b/>
                <w:sz w:val="24"/>
                <w:szCs w:val="24"/>
                <w:lang w:val="lv-LV"/>
              </w:rPr>
              <w:lastRenderedPageBreak/>
              <w:t xml:space="preserve">Iebildums nav ņemts vērā. </w:t>
            </w:r>
          </w:p>
          <w:p w14:paraId="1B969954" w14:textId="77777777" w:rsidR="000B4FB5" w:rsidRPr="00B57019" w:rsidRDefault="000B4FB5" w:rsidP="000B4FB5">
            <w:pPr>
              <w:pStyle w:val="PlainText"/>
              <w:jc w:val="both"/>
              <w:rPr>
                <w:rFonts w:ascii="Times New Roman" w:hAnsi="Times New Roman"/>
                <w:sz w:val="24"/>
                <w:szCs w:val="24"/>
                <w:lang w:val="lv-LV"/>
              </w:rPr>
            </w:pPr>
            <w:r w:rsidRPr="00B57019">
              <w:rPr>
                <w:rFonts w:ascii="Times New Roman" w:hAnsi="Times New Roman"/>
                <w:sz w:val="24"/>
                <w:szCs w:val="24"/>
                <w:lang w:val="lv-LV"/>
              </w:rPr>
              <w:t>VARAM informē, ka, ņemot vērā nelielo amata vietu skaitu Valsts kancelejā, nav resursu, ko pārdalīt.</w:t>
            </w:r>
          </w:p>
          <w:p w14:paraId="7B84F9AA" w14:textId="77777777" w:rsidR="000B4FB5" w:rsidRPr="00B57019" w:rsidRDefault="000B4FB5" w:rsidP="000B4FB5">
            <w:pPr>
              <w:pStyle w:val="PlainText"/>
              <w:jc w:val="both"/>
              <w:rPr>
                <w:rFonts w:ascii="Times New Roman" w:hAnsi="Times New Roman"/>
                <w:b/>
                <w:sz w:val="24"/>
                <w:szCs w:val="24"/>
                <w:lang w:val="lv-LV"/>
              </w:rPr>
            </w:pPr>
          </w:p>
          <w:p w14:paraId="376AD9E8" w14:textId="77777777" w:rsidR="000B4FB5" w:rsidRPr="00B57019" w:rsidRDefault="000B4FB5" w:rsidP="000B4FB5">
            <w:pPr>
              <w:pStyle w:val="naisc"/>
              <w:spacing w:before="0" w:after="0"/>
              <w:jc w:val="both"/>
            </w:pPr>
            <w:r w:rsidRPr="00B57019">
              <w:t xml:space="preserve">Visos informatīvā ziņojuma pielikumos ir norādītas amatu saimes, mēnešalgu grupas un līmeņi, sākot no 7. </w:t>
            </w:r>
            <w:r w:rsidRPr="00B57019">
              <w:lastRenderedPageBreak/>
              <w:t>amatu saimes līdz 12. amatu saimei.</w:t>
            </w:r>
          </w:p>
          <w:p w14:paraId="19366988" w14:textId="77777777" w:rsidR="000B4FB5" w:rsidRPr="00B57019" w:rsidRDefault="000B4FB5" w:rsidP="000B4FB5">
            <w:pPr>
              <w:pStyle w:val="naisc"/>
              <w:spacing w:before="0" w:after="0"/>
              <w:jc w:val="both"/>
            </w:pPr>
            <w:r w:rsidRPr="00B57019">
              <w:t>Lūdzam Labklājības ministriju nodefinēt centralizējamo cilvēkresursu klasifikāciju.</w:t>
            </w:r>
          </w:p>
          <w:p w14:paraId="0BB52179" w14:textId="77777777" w:rsidR="006C31A4" w:rsidRPr="00B57019" w:rsidRDefault="000B4FB5" w:rsidP="000B4FB5">
            <w:pPr>
              <w:pStyle w:val="naisc"/>
              <w:spacing w:before="0" w:after="0"/>
              <w:jc w:val="both"/>
            </w:pPr>
            <w:r w:rsidRPr="00B57019">
              <w:t>Vienlaikus informējam, ka aprēķinātais ietaupījums rodas attiecībā uz atbalsta funkciju nodrošināšanu saistīto personālu (lietvežu, iepirkuma speciālistu, juristu u.tml.), nevis attiecībā uz informācijas tehnoloģiju personālu.</w:t>
            </w:r>
          </w:p>
          <w:p w14:paraId="3ED1D428" w14:textId="77777777" w:rsidR="009534E8" w:rsidRPr="00B57019" w:rsidRDefault="009534E8" w:rsidP="000B4FB5">
            <w:pPr>
              <w:pStyle w:val="naisc"/>
              <w:spacing w:before="0" w:after="0"/>
              <w:jc w:val="both"/>
            </w:pPr>
          </w:p>
          <w:p w14:paraId="3DF44F6A" w14:textId="77777777" w:rsidR="00177F13" w:rsidRPr="00B57019" w:rsidRDefault="00177F13" w:rsidP="00177F13">
            <w:pPr>
              <w:jc w:val="both"/>
            </w:pPr>
            <w:r w:rsidRPr="00B57019">
              <w:t>Skatīt informatīvā ziņojuma 6. pielikumu.</w:t>
            </w:r>
          </w:p>
          <w:p w14:paraId="178206AD" w14:textId="577B4E7C" w:rsidR="009534E8" w:rsidRPr="00B57019" w:rsidRDefault="009534E8" w:rsidP="000B4FB5">
            <w:pPr>
              <w:pStyle w:val="naisc"/>
              <w:spacing w:before="0" w:after="0"/>
              <w:jc w:val="both"/>
              <w:rPr>
                <w:b/>
              </w:rPr>
            </w:pP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7D6EB9AF" w14:textId="77777777" w:rsidR="002A721B" w:rsidRPr="00B57019" w:rsidRDefault="002A721B" w:rsidP="002A721B">
            <w:pPr>
              <w:jc w:val="both"/>
            </w:pPr>
            <w:r w:rsidRPr="00B57019">
              <w:lastRenderedPageBreak/>
              <w:t>Iebildums tiek uzturēts.</w:t>
            </w:r>
          </w:p>
          <w:p w14:paraId="7246DAAF" w14:textId="77777777" w:rsidR="006C31A4" w:rsidRPr="00B57019" w:rsidRDefault="006C31A4" w:rsidP="008A08DD">
            <w:pPr>
              <w:jc w:val="center"/>
            </w:pPr>
          </w:p>
        </w:tc>
        <w:tc>
          <w:tcPr>
            <w:tcW w:w="2503" w:type="dxa"/>
            <w:tcBorders>
              <w:top w:val="single" w:sz="4" w:space="0" w:color="auto"/>
              <w:left w:val="single" w:sz="4" w:space="0" w:color="auto"/>
              <w:bottom w:val="single" w:sz="4" w:space="0" w:color="auto"/>
            </w:tcBorders>
            <w:shd w:val="clear" w:color="auto" w:fill="auto"/>
          </w:tcPr>
          <w:p w14:paraId="231EF144" w14:textId="09A3B256" w:rsidR="000B4FB5" w:rsidRPr="00B57019" w:rsidRDefault="000B4FB5" w:rsidP="000B4FB5">
            <w:pPr>
              <w:jc w:val="both"/>
            </w:pPr>
            <w:r w:rsidRPr="00B57019">
              <w:t>Informatīvā ziņojuma 3. punkts papildināts ar tekstu šādā redakcijā:</w:t>
            </w:r>
          </w:p>
          <w:p w14:paraId="751A8315" w14:textId="77777777" w:rsidR="000B4FB5" w:rsidRPr="00B57019" w:rsidRDefault="000B4FB5" w:rsidP="000B4FB5">
            <w:pPr>
              <w:pStyle w:val="ListParagraph"/>
              <w:spacing w:after="0" w:line="240" w:lineRule="auto"/>
              <w:ind w:left="0"/>
              <w:jc w:val="both"/>
              <w:rPr>
                <w:rFonts w:ascii="Times New Roman" w:hAnsi="Times New Roman"/>
                <w:sz w:val="24"/>
                <w:szCs w:val="24"/>
              </w:rPr>
            </w:pPr>
            <w:r w:rsidRPr="00B57019">
              <w:rPr>
                <w:rFonts w:ascii="Times New Roman" w:hAnsi="Times New Roman"/>
                <w:sz w:val="24"/>
                <w:szCs w:val="24"/>
              </w:rPr>
              <w:t xml:space="preserve">“Ietaupītā darba laika apjoms ir aprēķināts, sadalot saskaņā ar Ziņojuma pielikumos Nr. 1. – Nr. 5. aprakstītajām metodēm aprēķināto summāro ietaupījumu </w:t>
            </w:r>
            <w:r w:rsidRPr="00B57019">
              <w:rPr>
                <w:rFonts w:ascii="Times New Roman" w:hAnsi="Times New Roman"/>
                <w:sz w:val="24"/>
                <w:szCs w:val="24"/>
              </w:rPr>
              <w:lastRenderedPageBreak/>
              <w:t>proporcionāli pa nozaru ministrijām, atbilstoši ministriju un padotības iestāžu kopējam nodarbināto skaitam pēc Valsts kancelejas datiem.”</w:t>
            </w:r>
          </w:p>
          <w:p w14:paraId="1523C47A" w14:textId="77777777" w:rsidR="000B4FB5" w:rsidRPr="00B57019" w:rsidRDefault="000B4FB5" w:rsidP="000B4FB5">
            <w:pPr>
              <w:pStyle w:val="ListParagraph"/>
              <w:spacing w:after="0" w:line="240" w:lineRule="auto"/>
              <w:ind w:left="0"/>
              <w:jc w:val="both"/>
              <w:rPr>
                <w:rFonts w:ascii="Times New Roman" w:hAnsi="Times New Roman"/>
                <w:sz w:val="24"/>
                <w:szCs w:val="24"/>
              </w:rPr>
            </w:pPr>
          </w:p>
          <w:p w14:paraId="18353BF0" w14:textId="77777777" w:rsidR="000B4FB5" w:rsidRPr="00B57019" w:rsidRDefault="000B4FB5" w:rsidP="000B4FB5">
            <w:pPr>
              <w:jc w:val="both"/>
            </w:pPr>
            <w:r w:rsidRPr="00B57019">
              <w:t>Informatīvā ziņojuma 2. punkts papildināts ar tekstu šādā redakcijā:</w:t>
            </w:r>
          </w:p>
          <w:p w14:paraId="3E4A8BDD" w14:textId="77777777" w:rsidR="006C31A4" w:rsidRPr="00B57019" w:rsidRDefault="000B4FB5" w:rsidP="000B4FB5">
            <w:pPr>
              <w:jc w:val="both"/>
            </w:pPr>
            <w:r w:rsidRPr="00B57019">
              <w:t>“Aprēķinātais ietaupījums rodas attiecībā uz atbalsta funkciju nodrošināšanu saistīto personālu (lietvežu, iepirkuma speciālistu, juristu u.tml.), nevis attiecībā uz informācijas tehnoloģiju personālu.”</w:t>
            </w:r>
          </w:p>
          <w:p w14:paraId="4CE464B1" w14:textId="77777777" w:rsidR="00F920AE" w:rsidRPr="00B57019" w:rsidRDefault="00F920AE" w:rsidP="000B4FB5">
            <w:pPr>
              <w:jc w:val="both"/>
            </w:pPr>
          </w:p>
          <w:p w14:paraId="70F7B81C" w14:textId="77777777" w:rsidR="00F920AE" w:rsidRPr="00B57019" w:rsidRDefault="00F920AE" w:rsidP="00F920AE">
            <w:r w:rsidRPr="00B57019">
              <w:t>Informatīvais ziņojums papildināts ar 6. pielikumu.</w:t>
            </w:r>
          </w:p>
          <w:p w14:paraId="2340627D" w14:textId="4D4921D4" w:rsidR="00F920AE" w:rsidRPr="00B57019" w:rsidRDefault="00F920AE" w:rsidP="000B4FB5">
            <w:pPr>
              <w:jc w:val="both"/>
            </w:pPr>
          </w:p>
        </w:tc>
      </w:tr>
      <w:tr w:rsidR="00B57019" w:rsidRPr="00B57019" w14:paraId="70783169"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2B2FC1" w14:textId="2104B07C" w:rsidR="006C31A4" w:rsidRPr="00B57019" w:rsidRDefault="00777328" w:rsidP="008A08DD">
            <w:pPr>
              <w:pStyle w:val="naisc"/>
              <w:spacing w:before="0" w:after="0"/>
            </w:pPr>
            <w:r w:rsidRPr="00B57019">
              <w:lastRenderedPageBreak/>
              <w:t>19.</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D3BAE7" w14:textId="049393DB" w:rsidR="006C31A4" w:rsidRPr="00B57019" w:rsidRDefault="001007F7" w:rsidP="00F45FB6">
            <w:pPr>
              <w:pStyle w:val="naisc"/>
              <w:spacing w:before="0" w:after="0"/>
              <w:jc w:val="left"/>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B62E2B" w14:textId="3970303D" w:rsidR="006C31A4" w:rsidRPr="00B57019" w:rsidRDefault="001007F7" w:rsidP="008A08DD">
            <w:pPr>
              <w:ind w:firstLine="720"/>
              <w:jc w:val="both"/>
            </w:pPr>
            <w:r w:rsidRPr="00B57019">
              <w:t>Lūdzam visu Ziņojuma tekstu papildināt ar informāciju/analīzi par VARAM un VRAA esošajām funkcijām un veiktajiem centralizācijas un efektivizācijas pasākumiem. Kā arī šo darbību rezultātā panāktajiem resursu ietaupījumiem.</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162A4C" w14:textId="7CF11DB1" w:rsidR="006C31A4" w:rsidRPr="00B57019" w:rsidRDefault="002A721B" w:rsidP="003E7277">
            <w:pPr>
              <w:pStyle w:val="naisc"/>
              <w:spacing w:before="0" w:after="0"/>
              <w:jc w:val="both"/>
              <w:rPr>
                <w:b/>
              </w:rPr>
            </w:pPr>
            <w:r w:rsidRPr="00B57019">
              <w:t>Skatīt informatīvā ziņojuma projekta 6. pielikumu.</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1BD67838" w14:textId="77777777" w:rsidR="002A721B" w:rsidRPr="00B57019" w:rsidRDefault="002A721B" w:rsidP="002A721B">
            <w:pPr>
              <w:jc w:val="both"/>
            </w:pPr>
            <w:r w:rsidRPr="00B57019">
              <w:t>Iebildums tiek uzturēts.</w:t>
            </w:r>
          </w:p>
          <w:p w14:paraId="5C61770E" w14:textId="77777777" w:rsidR="006C31A4" w:rsidRPr="00B57019" w:rsidRDefault="006C31A4" w:rsidP="008A08DD">
            <w:pPr>
              <w:jc w:val="center"/>
            </w:pPr>
          </w:p>
        </w:tc>
        <w:tc>
          <w:tcPr>
            <w:tcW w:w="2503" w:type="dxa"/>
            <w:tcBorders>
              <w:top w:val="single" w:sz="4" w:space="0" w:color="auto"/>
              <w:left w:val="single" w:sz="4" w:space="0" w:color="auto"/>
              <w:bottom w:val="single" w:sz="4" w:space="0" w:color="auto"/>
            </w:tcBorders>
            <w:shd w:val="clear" w:color="auto" w:fill="auto"/>
          </w:tcPr>
          <w:p w14:paraId="51DA5705" w14:textId="77777777" w:rsidR="001007F7" w:rsidRPr="00B57019" w:rsidRDefault="001007F7" w:rsidP="001007F7">
            <w:pPr>
              <w:jc w:val="both"/>
            </w:pPr>
            <w:r w:rsidRPr="00B57019">
              <w:t>Informatīvā ziņojuma projekta 3.punkts  papildināts ar šādu tekstu:</w:t>
            </w:r>
          </w:p>
          <w:p w14:paraId="6A5EF3E5" w14:textId="77777777" w:rsidR="006C31A4" w:rsidRPr="00B57019" w:rsidRDefault="001007F7" w:rsidP="001007F7">
            <w:pPr>
              <w:jc w:val="both"/>
            </w:pPr>
            <w:r w:rsidRPr="00B57019">
              <w:t xml:space="preserve">“Vides aizsardzības un reģionālās attīstības ministrijā (turpmāk – VARAM) un padotības iestādēs ir veikta IKT un atbalsta funkciju centralizācija, IKT atbalsta un IKT drošības pārvaldības funkcijas centralizēti nodrošinot VRAA. Tā, </w:t>
            </w:r>
            <w:r w:rsidRPr="00B57019">
              <w:lastRenderedPageBreak/>
              <w:t>piemēram, IKT drošības pārvaldības funkcijas 7 VARAM padotības iestādēm centralizēti nodrošina 2 VRAA speciālisti. Kopumā, centralizējot uz VRAA IKT atbalsta funkcijas uz VRAA no VARAM un padotības iestādēm tika pārcelti 9 amatu vietas. Ņemot vērā koplietošanas platformu darbības nodrošināšanas augsto prioritāti, daļa no konsolidētajām kompetencēm (vismaz 2 no 9) faktiski tiek izmantoti koplietošanas platformu attīstībai un darbības nodrošināšanai”.</w:t>
            </w:r>
          </w:p>
          <w:p w14:paraId="57BF7D6B" w14:textId="77777777" w:rsidR="00F920AE" w:rsidRPr="00B57019" w:rsidRDefault="00F920AE" w:rsidP="001007F7">
            <w:pPr>
              <w:jc w:val="both"/>
            </w:pPr>
          </w:p>
          <w:p w14:paraId="22213EF0" w14:textId="481BDC89" w:rsidR="00F920AE" w:rsidRPr="00B57019" w:rsidRDefault="00F920AE" w:rsidP="00F920AE">
            <w:r w:rsidRPr="00B57019">
              <w:t>Informatīvais ziņojums papildināts ar 6. pielikumu.</w:t>
            </w:r>
          </w:p>
        </w:tc>
      </w:tr>
      <w:tr w:rsidR="00B57019" w:rsidRPr="00B57019" w14:paraId="24130E92"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CEEF59" w14:textId="1D1B6379" w:rsidR="008A08DD" w:rsidRPr="00B57019" w:rsidRDefault="00777328" w:rsidP="00750015">
            <w:pPr>
              <w:pStyle w:val="naisc"/>
              <w:spacing w:before="0" w:after="0"/>
            </w:pPr>
            <w:r w:rsidRPr="00B57019">
              <w:lastRenderedPageBreak/>
              <w:t>20.</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C110BC" w14:textId="77777777" w:rsidR="008A08DD" w:rsidRPr="00B57019" w:rsidRDefault="008A08DD" w:rsidP="005A6AA1">
            <w:pPr>
              <w:pStyle w:val="naisc"/>
              <w:spacing w:before="0" w:after="0"/>
              <w:jc w:val="both"/>
            </w:pPr>
            <w:r w:rsidRPr="00B57019">
              <w:t xml:space="preserve">Informatīvā ziņojuma projekts un </w:t>
            </w:r>
            <w:r w:rsidR="005A6AA1" w:rsidRPr="00B57019">
              <w:t>p</w:t>
            </w:r>
            <w:r w:rsidRPr="00B57019">
              <w:t>otokollēmuma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ABC93F" w14:textId="77777777" w:rsidR="008A08DD" w:rsidRPr="00B57019" w:rsidRDefault="008A08DD" w:rsidP="008A08DD">
            <w:pPr>
              <w:ind w:firstLine="720"/>
              <w:jc w:val="both"/>
            </w:pPr>
            <w:r w:rsidRPr="00B57019">
              <w:t>Lūdzam papildināt Ziņojumu ar šādu informāciju:</w:t>
            </w:r>
          </w:p>
          <w:p w14:paraId="165464A2" w14:textId="77777777" w:rsidR="008A08DD" w:rsidRPr="00B57019" w:rsidRDefault="008A08DD" w:rsidP="008A08DD">
            <w:pPr>
              <w:ind w:firstLine="720"/>
              <w:jc w:val="both"/>
            </w:pPr>
            <w:r w:rsidRPr="00B57019">
              <w:t xml:space="preserve">Lūdzu skaidrot Ziņojuma 1.tabulā iekļautā aprēķina pamatojumu EIS nodrošinātajam kopējam </w:t>
            </w:r>
            <w:r w:rsidRPr="00B57019">
              <w:lastRenderedPageBreak/>
              <w:t>ietaupījumam 34,04 amata vietas.</w:t>
            </w:r>
          </w:p>
          <w:p w14:paraId="3EA56029" w14:textId="77777777" w:rsidR="008A08DD" w:rsidRPr="00B57019" w:rsidRDefault="008A08DD" w:rsidP="008A08DD">
            <w:pPr>
              <w:ind w:firstLine="720"/>
              <w:jc w:val="both"/>
            </w:pPr>
            <w:r w:rsidRPr="00B57019">
              <w:t>Lūdzu skaidrot Ziņojuma 1.pielikuma 2.tabulā iekļautā aprēķina pamatojumu.</w:t>
            </w:r>
          </w:p>
          <w:p w14:paraId="6966DF68" w14:textId="77777777" w:rsidR="008A08DD" w:rsidRPr="00B57019" w:rsidRDefault="008A08DD" w:rsidP="008A08DD">
            <w:pPr>
              <w:ind w:firstLine="720"/>
              <w:jc w:val="both"/>
            </w:pPr>
            <w:r w:rsidRPr="00B57019">
              <w:t>Lūdzam skaidrot Ziņojuma 1.pielikuma 6. atsaucē izmantoto aprēķina pamatojumu;</w:t>
            </w:r>
          </w:p>
          <w:p w14:paraId="2A9582CE" w14:textId="77777777" w:rsidR="008A08DD" w:rsidRPr="00B57019" w:rsidRDefault="008A08DD" w:rsidP="008A08DD">
            <w:pPr>
              <w:ind w:firstLine="720"/>
              <w:jc w:val="both"/>
            </w:pPr>
            <w:r w:rsidRPr="00B57019">
              <w:t>Lūdzam skaidrot, kā pamatota Ziņojuma 1.pielikuma 4.punktā norādītā VRAA papildus nepieciešamo cilvēkresursu - 13 darbinieku nepieciešamība.</w:t>
            </w:r>
          </w:p>
          <w:p w14:paraId="44C7F380" w14:textId="77777777" w:rsidR="008A08DD" w:rsidRPr="00B57019" w:rsidRDefault="008A08DD" w:rsidP="008A08DD">
            <w:pPr>
              <w:ind w:firstLine="720"/>
              <w:jc w:val="both"/>
            </w:pPr>
            <w:r w:rsidRPr="00B57019">
              <w:t>Lūdzam pamatot Ziņojuma 1.pielikuma 5. lpp. norādīto papildus cilvēkresursu - 8 amata vietas nepieciešamību.</w:t>
            </w:r>
          </w:p>
          <w:p w14:paraId="45D54719" w14:textId="77777777" w:rsidR="008A08DD" w:rsidRPr="00B57019" w:rsidRDefault="008A08DD" w:rsidP="008A08DD">
            <w:pPr>
              <w:ind w:firstLine="720"/>
              <w:jc w:val="both"/>
            </w:pPr>
            <w:r w:rsidRPr="00B57019">
              <w:t>Lūdzam skaidrot Ziņojuma 1.pielikuma 6.lpp. norādītās VRAA papildus nepieciešamās 1,2 amata slodzes.</w:t>
            </w:r>
          </w:p>
          <w:p w14:paraId="22155C81" w14:textId="77777777" w:rsidR="008A08DD" w:rsidRPr="00B57019" w:rsidRDefault="008A08DD" w:rsidP="008A08DD">
            <w:pPr>
              <w:ind w:firstLine="720"/>
              <w:jc w:val="both"/>
            </w:pPr>
            <w:r w:rsidRPr="00B57019">
              <w:t xml:space="preserve">Lūdzam sniegt detalizētus Ziņojuma 2.pielikuma 1.tabulā iekļautos aprēķinus, lai būtu iespējams izsekot, kā e-adreses gada ietaupījums veido 8,37 cilvēkslodzes, ņemot vērā, ka </w:t>
            </w:r>
            <w:r w:rsidRPr="00B57019">
              <w:lastRenderedPageBreak/>
              <w:t>aprēķini veikti izmantojot pieņēmumu, kuram nav sniegts datos balstīts pamatojums.</w:t>
            </w:r>
          </w:p>
          <w:p w14:paraId="288A9336" w14:textId="77777777" w:rsidR="008A08DD" w:rsidRPr="00B57019" w:rsidRDefault="008A08DD" w:rsidP="008A08DD">
            <w:pPr>
              <w:ind w:firstLine="720"/>
              <w:jc w:val="both"/>
            </w:pPr>
            <w:r w:rsidRPr="00B57019">
              <w:t xml:space="preserve"> Lūdzam sniegt Ziņojuma 3.pielikuma 3.lpp iekļautās informācijas par 2,26 jurista amata vietu ietaupījumu pamatojumu, kā arī paskaidrojumus aprēķina metodikai. Vēršam uzmanību, ka Ministrijas juriskonsulta amata vieta ir klasificēta 9.mēnešalgu grupā.</w:t>
            </w:r>
          </w:p>
          <w:p w14:paraId="673E49FE" w14:textId="77777777" w:rsidR="008A08DD" w:rsidRPr="00B57019" w:rsidRDefault="008A08DD" w:rsidP="008A08DD">
            <w:pPr>
              <w:ind w:firstLine="720"/>
              <w:jc w:val="both"/>
            </w:pPr>
            <w:r w:rsidRPr="00B57019">
              <w:t xml:space="preserve"> Lūdzam sniegt Ziņojuma 4.pielikuma 3.lpp 4.punktā “Papildus nepieciešamie cilvēkresursi risinājuma uzturēšanai” iekļautās informācijas par četrām amata vietām aprēķina pamatojumu.</w:t>
            </w:r>
          </w:p>
          <w:p w14:paraId="5BA98B22" w14:textId="77777777" w:rsidR="008A08DD" w:rsidRPr="00B57019" w:rsidRDefault="008A08DD" w:rsidP="008A08DD">
            <w:pPr>
              <w:spacing w:after="120"/>
              <w:ind w:firstLine="720"/>
              <w:jc w:val="both"/>
            </w:pPr>
            <w:r w:rsidRPr="00B57019">
              <w:t xml:space="preserve"> Lūdzam sniegt aprēķina pamatojumu Ziņojuma 5.pielikuma 2.lpp iekļautai informācijai par to, ka e-rēķinu aprites risinājums ļauj ietaupīt 4,15 juristu amata vietas. Tāpat lūdzam sniegt pamatojumu, kā minētais risinājums ļauj ietaupīt lietvežu amata vietas. Vēršam uzmanību, ka Ministrijas </w:t>
            </w:r>
            <w:r w:rsidRPr="00B57019">
              <w:lastRenderedPageBreak/>
              <w:t>lietveži ir klasificēti 18.3. amatu saimē un 8.mēnešalgu grupā.</w:t>
            </w:r>
          </w:p>
          <w:p w14:paraId="124B8CD8" w14:textId="77777777" w:rsidR="008A08DD" w:rsidRPr="00B57019" w:rsidRDefault="008A08DD" w:rsidP="00C027FC">
            <w:pPr>
              <w:pStyle w:val="naisc"/>
              <w:spacing w:before="0" w:after="0"/>
              <w:ind w:firstLine="720"/>
              <w:jc w:val="both"/>
            </w:pPr>
            <w:r w:rsidRPr="00B57019">
              <w:t>Vienlaikus katrā no centralizēti plānotajiem procesiem lūdzam ļoti konkrēti un detalizēti norādīt, kāda veida funkcijas nozaru ministrijas veiks mazāk, jo, piemēram, attiecībā uz tīmekļvietnēm nav viennozīmīgi skaidrs, kas nodrošinās ikdienas tīmekļvietņu darbību un informācijas ievietošanu. Vienlaikus minētais ir attiecināms arī uz e-rēķinu ieviešanas risinājumiem, jo izmaksas būs nepieciešams ne tikai centralizētā risinājuma pusē, bet arī nozarēm savu iekšējo sistēmu saslēgšanai, lai procesu pilnībā elektronizētu.</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66E6C0" w14:textId="77777777" w:rsidR="008A08DD" w:rsidRPr="00B57019" w:rsidRDefault="008A08DD" w:rsidP="008A08DD">
            <w:pPr>
              <w:pStyle w:val="PlainText"/>
              <w:jc w:val="both"/>
              <w:rPr>
                <w:rFonts w:ascii="Times New Roman" w:hAnsi="Times New Roman"/>
                <w:b/>
                <w:sz w:val="24"/>
                <w:szCs w:val="24"/>
                <w:lang w:val="lv-LV"/>
              </w:rPr>
            </w:pPr>
            <w:r w:rsidRPr="00B57019">
              <w:rPr>
                <w:rFonts w:ascii="Times New Roman" w:hAnsi="Times New Roman"/>
                <w:b/>
                <w:sz w:val="24"/>
                <w:szCs w:val="24"/>
                <w:lang w:val="lv-LV"/>
              </w:rPr>
              <w:lastRenderedPageBreak/>
              <w:t>Iebildums n</w:t>
            </w:r>
            <w:r w:rsidR="001D5A7F" w:rsidRPr="00B57019">
              <w:rPr>
                <w:rFonts w:ascii="Times New Roman" w:hAnsi="Times New Roman"/>
                <w:b/>
                <w:sz w:val="24"/>
                <w:szCs w:val="24"/>
                <w:lang w:val="lv-LV"/>
              </w:rPr>
              <w:t>av</w:t>
            </w:r>
            <w:r w:rsidRPr="00B57019">
              <w:rPr>
                <w:rFonts w:ascii="Times New Roman" w:hAnsi="Times New Roman"/>
                <w:b/>
                <w:sz w:val="24"/>
                <w:szCs w:val="24"/>
                <w:lang w:val="lv-LV"/>
              </w:rPr>
              <w:t xml:space="preserve"> ņemts vērā. </w:t>
            </w:r>
          </w:p>
          <w:p w14:paraId="41AF3B00" w14:textId="77777777" w:rsidR="008A08DD" w:rsidRPr="00B57019" w:rsidRDefault="008A08DD" w:rsidP="008A08DD">
            <w:pPr>
              <w:pStyle w:val="PlainText"/>
              <w:jc w:val="both"/>
              <w:rPr>
                <w:rFonts w:ascii="Times New Roman" w:hAnsi="Times New Roman"/>
                <w:b/>
                <w:sz w:val="24"/>
                <w:szCs w:val="24"/>
                <w:lang w:val="lv-LV"/>
              </w:rPr>
            </w:pPr>
            <w:r w:rsidRPr="00B57019">
              <w:rPr>
                <w:rFonts w:ascii="Times New Roman" w:hAnsi="Times New Roman"/>
                <w:sz w:val="24"/>
                <w:szCs w:val="24"/>
                <w:lang w:val="lv-LV"/>
              </w:rPr>
              <w:t>Uzskatām, ka aprēķini sniedz pilnu informāciju, kā arī ir sniegtas atsauces un skaidrojumi</w:t>
            </w:r>
            <w:r w:rsidR="00557FFC" w:rsidRPr="00B57019">
              <w:rPr>
                <w:rFonts w:ascii="Times New Roman" w:hAnsi="Times New Roman"/>
                <w:sz w:val="24"/>
                <w:szCs w:val="24"/>
                <w:lang w:val="lv-LV"/>
              </w:rPr>
              <w:t>,</w:t>
            </w:r>
            <w:r w:rsidRPr="00B57019">
              <w:rPr>
                <w:rFonts w:ascii="Times New Roman" w:hAnsi="Times New Roman"/>
                <w:sz w:val="24"/>
                <w:szCs w:val="24"/>
                <w:lang w:val="lv-LV"/>
              </w:rPr>
              <w:t xml:space="preserve"> kā aprēķini </w:t>
            </w:r>
            <w:r w:rsidRPr="00B57019">
              <w:rPr>
                <w:rFonts w:ascii="Times New Roman" w:hAnsi="Times New Roman"/>
                <w:sz w:val="24"/>
                <w:szCs w:val="24"/>
                <w:lang w:val="lv-LV"/>
              </w:rPr>
              <w:lastRenderedPageBreak/>
              <w:t>veidoti. Lūdzam norādīt konkrētas neskaidrības.</w:t>
            </w:r>
          </w:p>
          <w:p w14:paraId="7A775486" w14:textId="77777777" w:rsidR="008A08DD" w:rsidRPr="00B57019" w:rsidRDefault="008A08DD" w:rsidP="008A08DD">
            <w:pPr>
              <w:pStyle w:val="PlainText"/>
              <w:jc w:val="both"/>
              <w:rPr>
                <w:rFonts w:ascii="Times New Roman" w:hAnsi="Times New Roman"/>
                <w:b/>
                <w:sz w:val="24"/>
                <w:szCs w:val="24"/>
                <w:lang w:val="lv-LV"/>
              </w:rPr>
            </w:pPr>
          </w:p>
          <w:p w14:paraId="25133C83" w14:textId="3F5C38F4" w:rsidR="009534E8" w:rsidRPr="00B57019" w:rsidRDefault="009534E8" w:rsidP="009534E8">
            <w:pPr>
              <w:jc w:val="both"/>
            </w:pPr>
            <w:r w:rsidRPr="00B57019">
              <w:t xml:space="preserve">Skatīt </w:t>
            </w:r>
            <w:r w:rsidR="008108A7" w:rsidRPr="00B57019">
              <w:t xml:space="preserve">informatīvā ziņojuma projekta </w:t>
            </w:r>
            <w:r w:rsidRPr="00B57019">
              <w:t>6. pielikumu.</w:t>
            </w:r>
          </w:p>
          <w:p w14:paraId="4EF29D9A" w14:textId="77777777" w:rsidR="00641BD7" w:rsidRPr="00B57019" w:rsidRDefault="00641BD7" w:rsidP="008A08DD">
            <w:pPr>
              <w:pStyle w:val="PlainText"/>
              <w:jc w:val="both"/>
              <w:rPr>
                <w:rFonts w:ascii="Times New Roman" w:hAnsi="Times New Roman"/>
                <w:sz w:val="24"/>
                <w:szCs w:val="24"/>
                <w:lang w:val="lv-LV"/>
              </w:rPr>
            </w:pPr>
          </w:p>
          <w:p w14:paraId="4C94FFC6" w14:textId="77777777" w:rsidR="00641BD7" w:rsidRPr="00B57019" w:rsidRDefault="00641BD7" w:rsidP="008A08DD">
            <w:pPr>
              <w:pStyle w:val="PlainText"/>
              <w:jc w:val="both"/>
              <w:rPr>
                <w:rFonts w:ascii="Times New Roman" w:hAnsi="Times New Roman"/>
                <w:sz w:val="24"/>
                <w:szCs w:val="24"/>
                <w:lang w:val="lv-LV"/>
              </w:rPr>
            </w:pPr>
          </w:p>
          <w:p w14:paraId="0B253F2D" w14:textId="77777777" w:rsidR="00641BD7" w:rsidRPr="00B57019" w:rsidRDefault="00641BD7" w:rsidP="008A08DD">
            <w:pPr>
              <w:pStyle w:val="PlainText"/>
              <w:jc w:val="both"/>
              <w:rPr>
                <w:rFonts w:ascii="Times New Roman" w:hAnsi="Times New Roman"/>
                <w:sz w:val="24"/>
                <w:szCs w:val="24"/>
                <w:lang w:val="lv-LV"/>
              </w:rPr>
            </w:pPr>
          </w:p>
          <w:p w14:paraId="2EF55892" w14:textId="77777777" w:rsidR="00641BD7" w:rsidRPr="00B57019" w:rsidRDefault="00641BD7" w:rsidP="008A08DD">
            <w:pPr>
              <w:pStyle w:val="PlainText"/>
              <w:jc w:val="both"/>
              <w:rPr>
                <w:rFonts w:ascii="Times New Roman" w:hAnsi="Times New Roman"/>
                <w:sz w:val="24"/>
                <w:szCs w:val="24"/>
                <w:lang w:val="lv-LV"/>
              </w:rPr>
            </w:pPr>
          </w:p>
          <w:p w14:paraId="1553ADDC" w14:textId="77777777" w:rsidR="00641BD7" w:rsidRPr="00B57019" w:rsidRDefault="00641BD7" w:rsidP="008A08DD">
            <w:pPr>
              <w:pStyle w:val="PlainText"/>
              <w:jc w:val="both"/>
              <w:rPr>
                <w:rFonts w:ascii="Times New Roman" w:hAnsi="Times New Roman"/>
                <w:sz w:val="24"/>
                <w:szCs w:val="24"/>
                <w:lang w:val="lv-LV"/>
              </w:rPr>
            </w:pPr>
          </w:p>
          <w:p w14:paraId="46419C13" w14:textId="77777777" w:rsidR="00641BD7" w:rsidRPr="00B57019" w:rsidRDefault="00641BD7" w:rsidP="008A08DD">
            <w:pPr>
              <w:pStyle w:val="PlainText"/>
              <w:jc w:val="both"/>
              <w:rPr>
                <w:rFonts w:ascii="Times New Roman" w:hAnsi="Times New Roman"/>
                <w:sz w:val="24"/>
                <w:szCs w:val="24"/>
                <w:lang w:val="lv-LV"/>
              </w:rPr>
            </w:pPr>
          </w:p>
          <w:p w14:paraId="5E0D65DC" w14:textId="77777777" w:rsidR="00641BD7" w:rsidRPr="00B57019" w:rsidRDefault="00641BD7" w:rsidP="008A08DD">
            <w:pPr>
              <w:pStyle w:val="PlainText"/>
              <w:jc w:val="both"/>
              <w:rPr>
                <w:rFonts w:ascii="Times New Roman" w:hAnsi="Times New Roman"/>
                <w:sz w:val="24"/>
                <w:szCs w:val="24"/>
                <w:lang w:val="lv-LV"/>
              </w:rPr>
            </w:pPr>
          </w:p>
          <w:p w14:paraId="43098469" w14:textId="77777777" w:rsidR="00641BD7" w:rsidRPr="00B57019" w:rsidRDefault="00641BD7" w:rsidP="008A08DD">
            <w:pPr>
              <w:pStyle w:val="PlainText"/>
              <w:jc w:val="both"/>
              <w:rPr>
                <w:rFonts w:ascii="Times New Roman" w:hAnsi="Times New Roman"/>
                <w:sz w:val="24"/>
                <w:szCs w:val="24"/>
                <w:lang w:val="lv-LV"/>
              </w:rPr>
            </w:pPr>
          </w:p>
          <w:p w14:paraId="5F2981AA" w14:textId="77777777" w:rsidR="00641BD7" w:rsidRPr="00B57019" w:rsidRDefault="00641BD7" w:rsidP="008A08DD">
            <w:pPr>
              <w:pStyle w:val="PlainText"/>
              <w:jc w:val="both"/>
              <w:rPr>
                <w:rFonts w:ascii="Times New Roman" w:hAnsi="Times New Roman"/>
                <w:sz w:val="24"/>
                <w:szCs w:val="24"/>
                <w:lang w:val="lv-LV"/>
              </w:rPr>
            </w:pPr>
          </w:p>
          <w:p w14:paraId="56604893" w14:textId="77777777" w:rsidR="00641BD7" w:rsidRPr="00B57019" w:rsidRDefault="00641BD7" w:rsidP="008A08DD">
            <w:pPr>
              <w:pStyle w:val="PlainText"/>
              <w:jc w:val="both"/>
              <w:rPr>
                <w:rFonts w:ascii="Times New Roman" w:hAnsi="Times New Roman"/>
                <w:sz w:val="24"/>
                <w:szCs w:val="24"/>
                <w:lang w:val="lv-LV"/>
              </w:rPr>
            </w:pPr>
          </w:p>
          <w:p w14:paraId="46CD05DF" w14:textId="77777777" w:rsidR="00641BD7" w:rsidRPr="00B57019" w:rsidRDefault="00641BD7" w:rsidP="008A08DD">
            <w:pPr>
              <w:pStyle w:val="PlainText"/>
              <w:jc w:val="both"/>
              <w:rPr>
                <w:rFonts w:ascii="Times New Roman" w:hAnsi="Times New Roman"/>
                <w:sz w:val="24"/>
                <w:szCs w:val="24"/>
                <w:lang w:val="lv-LV"/>
              </w:rPr>
            </w:pPr>
          </w:p>
          <w:p w14:paraId="42670704" w14:textId="77777777" w:rsidR="00641BD7" w:rsidRPr="00B57019" w:rsidRDefault="00641BD7" w:rsidP="008A08DD">
            <w:pPr>
              <w:pStyle w:val="PlainText"/>
              <w:jc w:val="both"/>
              <w:rPr>
                <w:rFonts w:ascii="Times New Roman" w:hAnsi="Times New Roman"/>
                <w:sz w:val="24"/>
                <w:szCs w:val="24"/>
                <w:lang w:val="lv-LV"/>
              </w:rPr>
            </w:pPr>
          </w:p>
          <w:p w14:paraId="0584F77A" w14:textId="77777777" w:rsidR="00641BD7" w:rsidRPr="00B57019" w:rsidRDefault="00641BD7" w:rsidP="008A08DD">
            <w:pPr>
              <w:pStyle w:val="PlainText"/>
              <w:jc w:val="both"/>
              <w:rPr>
                <w:rFonts w:ascii="Times New Roman" w:hAnsi="Times New Roman"/>
                <w:sz w:val="24"/>
                <w:szCs w:val="24"/>
                <w:lang w:val="lv-LV"/>
              </w:rPr>
            </w:pPr>
          </w:p>
          <w:p w14:paraId="5916C0AF" w14:textId="77777777" w:rsidR="00641BD7" w:rsidRPr="00B57019" w:rsidRDefault="00641BD7" w:rsidP="008A08DD">
            <w:pPr>
              <w:pStyle w:val="PlainText"/>
              <w:jc w:val="both"/>
              <w:rPr>
                <w:rFonts w:ascii="Times New Roman" w:hAnsi="Times New Roman"/>
                <w:sz w:val="24"/>
                <w:szCs w:val="24"/>
                <w:lang w:val="lv-LV"/>
              </w:rPr>
            </w:pPr>
          </w:p>
          <w:p w14:paraId="58EAF0B6" w14:textId="77777777" w:rsidR="00641BD7" w:rsidRPr="00B57019" w:rsidRDefault="00641BD7" w:rsidP="008A08DD">
            <w:pPr>
              <w:pStyle w:val="PlainText"/>
              <w:jc w:val="both"/>
              <w:rPr>
                <w:rFonts w:ascii="Times New Roman" w:hAnsi="Times New Roman"/>
                <w:sz w:val="24"/>
                <w:szCs w:val="24"/>
                <w:lang w:val="lv-LV"/>
              </w:rPr>
            </w:pPr>
          </w:p>
          <w:p w14:paraId="4821489D" w14:textId="77777777" w:rsidR="00641BD7" w:rsidRPr="00B57019" w:rsidRDefault="00641BD7" w:rsidP="008A08DD">
            <w:pPr>
              <w:pStyle w:val="PlainText"/>
              <w:jc w:val="both"/>
              <w:rPr>
                <w:rFonts w:ascii="Times New Roman" w:hAnsi="Times New Roman"/>
                <w:sz w:val="24"/>
                <w:szCs w:val="24"/>
                <w:lang w:val="lv-LV"/>
              </w:rPr>
            </w:pPr>
          </w:p>
          <w:p w14:paraId="3FEB885A" w14:textId="77777777" w:rsidR="00641BD7" w:rsidRPr="00B57019" w:rsidRDefault="00641BD7" w:rsidP="008A08DD">
            <w:pPr>
              <w:pStyle w:val="PlainText"/>
              <w:jc w:val="both"/>
              <w:rPr>
                <w:rFonts w:ascii="Times New Roman" w:hAnsi="Times New Roman"/>
                <w:sz w:val="24"/>
                <w:szCs w:val="24"/>
                <w:lang w:val="lv-LV"/>
              </w:rPr>
            </w:pPr>
          </w:p>
          <w:p w14:paraId="49DAABF4" w14:textId="77777777" w:rsidR="00641BD7" w:rsidRPr="00B57019" w:rsidRDefault="00641BD7" w:rsidP="008A08DD">
            <w:pPr>
              <w:pStyle w:val="PlainText"/>
              <w:jc w:val="both"/>
              <w:rPr>
                <w:rFonts w:ascii="Times New Roman" w:hAnsi="Times New Roman"/>
                <w:sz w:val="24"/>
                <w:szCs w:val="24"/>
                <w:lang w:val="lv-LV"/>
              </w:rPr>
            </w:pPr>
          </w:p>
          <w:p w14:paraId="65037F83" w14:textId="77777777" w:rsidR="00641BD7" w:rsidRPr="00B57019" w:rsidRDefault="00641BD7" w:rsidP="008A08DD">
            <w:pPr>
              <w:pStyle w:val="PlainText"/>
              <w:jc w:val="both"/>
              <w:rPr>
                <w:rFonts w:ascii="Times New Roman" w:hAnsi="Times New Roman"/>
                <w:sz w:val="24"/>
                <w:szCs w:val="24"/>
                <w:lang w:val="lv-LV"/>
              </w:rPr>
            </w:pPr>
          </w:p>
          <w:p w14:paraId="523FB68E" w14:textId="77777777" w:rsidR="00641BD7" w:rsidRPr="00B57019" w:rsidRDefault="00641BD7" w:rsidP="008A08DD">
            <w:pPr>
              <w:pStyle w:val="PlainText"/>
              <w:jc w:val="both"/>
              <w:rPr>
                <w:rFonts w:ascii="Times New Roman" w:hAnsi="Times New Roman"/>
                <w:sz w:val="24"/>
                <w:szCs w:val="24"/>
                <w:lang w:val="lv-LV"/>
              </w:rPr>
            </w:pPr>
          </w:p>
          <w:p w14:paraId="714B49FD" w14:textId="77777777" w:rsidR="00641BD7" w:rsidRPr="00B57019" w:rsidRDefault="00641BD7" w:rsidP="008A08DD">
            <w:pPr>
              <w:pStyle w:val="PlainText"/>
              <w:jc w:val="both"/>
              <w:rPr>
                <w:rFonts w:ascii="Times New Roman" w:hAnsi="Times New Roman"/>
                <w:sz w:val="24"/>
                <w:szCs w:val="24"/>
                <w:lang w:val="lv-LV"/>
              </w:rPr>
            </w:pPr>
          </w:p>
          <w:p w14:paraId="70625808" w14:textId="77777777" w:rsidR="00641BD7" w:rsidRPr="00B57019" w:rsidRDefault="00641BD7" w:rsidP="008A08DD">
            <w:pPr>
              <w:pStyle w:val="PlainText"/>
              <w:jc w:val="both"/>
              <w:rPr>
                <w:rFonts w:ascii="Times New Roman" w:hAnsi="Times New Roman"/>
                <w:sz w:val="24"/>
                <w:szCs w:val="24"/>
                <w:lang w:val="lv-LV"/>
              </w:rPr>
            </w:pPr>
          </w:p>
          <w:p w14:paraId="07D8251E" w14:textId="77777777" w:rsidR="00641BD7" w:rsidRPr="00B57019" w:rsidRDefault="00641BD7" w:rsidP="008A08DD">
            <w:pPr>
              <w:pStyle w:val="PlainText"/>
              <w:jc w:val="both"/>
              <w:rPr>
                <w:rFonts w:ascii="Times New Roman" w:hAnsi="Times New Roman"/>
                <w:sz w:val="24"/>
                <w:szCs w:val="24"/>
                <w:lang w:val="lv-LV"/>
              </w:rPr>
            </w:pPr>
          </w:p>
          <w:p w14:paraId="0A14AD45" w14:textId="77777777" w:rsidR="00641BD7" w:rsidRPr="00B57019" w:rsidRDefault="00641BD7" w:rsidP="008A08DD">
            <w:pPr>
              <w:pStyle w:val="PlainText"/>
              <w:jc w:val="both"/>
              <w:rPr>
                <w:rFonts w:ascii="Times New Roman" w:hAnsi="Times New Roman"/>
                <w:sz w:val="24"/>
                <w:szCs w:val="24"/>
                <w:lang w:val="lv-LV"/>
              </w:rPr>
            </w:pPr>
          </w:p>
          <w:p w14:paraId="5647DA7A" w14:textId="77777777" w:rsidR="00641BD7" w:rsidRPr="00B57019" w:rsidRDefault="00641BD7" w:rsidP="008A08DD">
            <w:pPr>
              <w:pStyle w:val="PlainText"/>
              <w:jc w:val="both"/>
              <w:rPr>
                <w:rFonts w:ascii="Times New Roman" w:hAnsi="Times New Roman"/>
                <w:sz w:val="24"/>
                <w:szCs w:val="24"/>
                <w:lang w:val="lv-LV"/>
              </w:rPr>
            </w:pPr>
          </w:p>
          <w:p w14:paraId="1D954CD2" w14:textId="77777777" w:rsidR="00641BD7" w:rsidRPr="00B57019" w:rsidRDefault="00641BD7" w:rsidP="008A08DD">
            <w:pPr>
              <w:pStyle w:val="PlainText"/>
              <w:jc w:val="both"/>
              <w:rPr>
                <w:rFonts w:ascii="Times New Roman" w:hAnsi="Times New Roman"/>
                <w:sz w:val="24"/>
                <w:szCs w:val="24"/>
                <w:lang w:val="lv-LV"/>
              </w:rPr>
            </w:pPr>
          </w:p>
          <w:p w14:paraId="03B0C73F" w14:textId="77777777" w:rsidR="00641BD7" w:rsidRPr="00B57019" w:rsidRDefault="00641BD7" w:rsidP="008A08DD">
            <w:pPr>
              <w:pStyle w:val="PlainText"/>
              <w:jc w:val="both"/>
              <w:rPr>
                <w:rFonts w:ascii="Times New Roman" w:hAnsi="Times New Roman"/>
                <w:sz w:val="24"/>
                <w:szCs w:val="24"/>
                <w:lang w:val="lv-LV"/>
              </w:rPr>
            </w:pPr>
          </w:p>
          <w:p w14:paraId="2FD85CC8" w14:textId="77777777" w:rsidR="00641BD7" w:rsidRPr="00B57019" w:rsidRDefault="00641BD7" w:rsidP="008A08DD">
            <w:pPr>
              <w:pStyle w:val="PlainText"/>
              <w:jc w:val="both"/>
              <w:rPr>
                <w:rFonts w:ascii="Times New Roman" w:hAnsi="Times New Roman"/>
                <w:sz w:val="24"/>
                <w:szCs w:val="24"/>
                <w:lang w:val="lv-LV"/>
              </w:rPr>
            </w:pPr>
          </w:p>
          <w:p w14:paraId="1A6C3488" w14:textId="77777777" w:rsidR="00641BD7" w:rsidRPr="00B57019" w:rsidRDefault="00641BD7" w:rsidP="008A08DD">
            <w:pPr>
              <w:pStyle w:val="PlainText"/>
              <w:jc w:val="both"/>
              <w:rPr>
                <w:rFonts w:ascii="Times New Roman" w:hAnsi="Times New Roman"/>
                <w:sz w:val="24"/>
                <w:szCs w:val="24"/>
                <w:lang w:val="lv-LV"/>
              </w:rPr>
            </w:pPr>
          </w:p>
          <w:p w14:paraId="44281102" w14:textId="77777777" w:rsidR="00641BD7" w:rsidRPr="00B57019" w:rsidRDefault="00641BD7" w:rsidP="008A08DD">
            <w:pPr>
              <w:pStyle w:val="PlainText"/>
              <w:jc w:val="both"/>
              <w:rPr>
                <w:rFonts w:ascii="Times New Roman" w:hAnsi="Times New Roman"/>
                <w:sz w:val="24"/>
                <w:szCs w:val="24"/>
                <w:lang w:val="lv-LV"/>
              </w:rPr>
            </w:pPr>
          </w:p>
          <w:p w14:paraId="50215E21" w14:textId="77777777" w:rsidR="00641BD7" w:rsidRPr="00B57019" w:rsidRDefault="00641BD7" w:rsidP="008A08DD">
            <w:pPr>
              <w:pStyle w:val="PlainText"/>
              <w:jc w:val="both"/>
              <w:rPr>
                <w:rFonts w:ascii="Times New Roman" w:hAnsi="Times New Roman"/>
                <w:sz w:val="24"/>
                <w:szCs w:val="24"/>
                <w:lang w:val="lv-LV"/>
              </w:rPr>
            </w:pPr>
          </w:p>
          <w:p w14:paraId="2B25011D" w14:textId="77777777" w:rsidR="00641BD7" w:rsidRPr="00B57019" w:rsidRDefault="00641BD7" w:rsidP="008A08DD">
            <w:pPr>
              <w:pStyle w:val="PlainText"/>
              <w:jc w:val="both"/>
              <w:rPr>
                <w:rFonts w:ascii="Times New Roman" w:hAnsi="Times New Roman"/>
                <w:sz w:val="24"/>
                <w:szCs w:val="24"/>
                <w:lang w:val="lv-LV"/>
              </w:rPr>
            </w:pPr>
          </w:p>
          <w:p w14:paraId="45A8894E" w14:textId="77777777" w:rsidR="00641BD7" w:rsidRPr="00B57019" w:rsidRDefault="00641BD7" w:rsidP="008A08DD">
            <w:pPr>
              <w:pStyle w:val="PlainText"/>
              <w:jc w:val="both"/>
              <w:rPr>
                <w:rFonts w:ascii="Times New Roman" w:hAnsi="Times New Roman"/>
                <w:sz w:val="24"/>
                <w:szCs w:val="24"/>
                <w:lang w:val="lv-LV"/>
              </w:rPr>
            </w:pPr>
          </w:p>
          <w:p w14:paraId="6DA85205" w14:textId="77777777" w:rsidR="00641BD7" w:rsidRPr="00B57019" w:rsidRDefault="00641BD7" w:rsidP="008A08DD">
            <w:pPr>
              <w:pStyle w:val="PlainText"/>
              <w:jc w:val="both"/>
              <w:rPr>
                <w:rFonts w:ascii="Times New Roman" w:hAnsi="Times New Roman"/>
                <w:sz w:val="24"/>
                <w:szCs w:val="24"/>
                <w:lang w:val="lv-LV"/>
              </w:rPr>
            </w:pPr>
          </w:p>
          <w:p w14:paraId="6D5F7E1A" w14:textId="77777777" w:rsidR="00641BD7" w:rsidRPr="00B57019" w:rsidRDefault="00641BD7" w:rsidP="008A08DD">
            <w:pPr>
              <w:pStyle w:val="PlainText"/>
              <w:jc w:val="both"/>
              <w:rPr>
                <w:rFonts w:ascii="Times New Roman" w:hAnsi="Times New Roman"/>
                <w:sz w:val="24"/>
                <w:szCs w:val="24"/>
                <w:lang w:val="lv-LV"/>
              </w:rPr>
            </w:pPr>
          </w:p>
          <w:p w14:paraId="0375A80E" w14:textId="77777777" w:rsidR="00641BD7" w:rsidRPr="00B57019" w:rsidRDefault="00641BD7" w:rsidP="008A08DD">
            <w:pPr>
              <w:pStyle w:val="PlainText"/>
              <w:jc w:val="both"/>
              <w:rPr>
                <w:rFonts w:ascii="Times New Roman" w:hAnsi="Times New Roman"/>
                <w:sz w:val="24"/>
                <w:szCs w:val="24"/>
                <w:lang w:val="lv-LV"/>
              </w:rPr>
            </w:pPr>
          </w:p>
          <w:p w14:paraId="53BCD742" w14:textId="77777777" w:rsidR="00641BD7" w:rsidRPr="00B57019" w:rsidRDefault="00641BD7" w:rsidP="008A08DD">
            <w:pPr>
              <w:pStyle w:val="PlainText"/>
              <w:jc w:val="both"/>
              <w:rPr>
                <w:rFonts w:ascii="Times New Roman" w:hAnsi="Times New Roman"/>
                <w:sz w:val="24"/>
                <w:szCs w:val="24"/>
                <w:lang w:val="lv-LV"/>
              </w:rPr>
            </w:pPr>
          </w:p>
          <w:p w14:paraId="0E9AE555" w14:textId="77777777" w:rsidR="00641BD7" w:rsidRPr="00B57019" w:rsidRDefault="00641BD7" w:rsidP="008A08DD">
            <w:pPr>
              <w:pStyle w:val="PlainText"/>
              <w:jc w:val="both"/>
              <w:rPr>
                <w:rFonts w:ascii="Times New Roman" w:hAnsi="Times New Roman"/>
                <w:sz w:val="24"/>
                <w:szCs w:val="24"/>
                <w:lang w:val="lv-LV"/>
              </w:rPr>
            </w:pPr>
          </w:p>
          <w:p w14:paraId="675CA600" w14:textId="77777777" w:rsidR="00641BD7" w:rsidRPr="00B57019" w:rsidRDefault="00641BD7" w:rsidP="008A08DD">
            <w:pPr>
              <w:pStyle w:val="PlainText"/>
              <w:jc w:val="both"/>
              <w:rPr>
                <w:rFonts w:ascii="Times New Roman" w:hAnsi="Times New Roman"/>
                <w:sz w:val="24"/>
                <w:szCs w:val="24"/>
                <w:lang w:val="lv-LV"/>
              </w:rPr>
            </w:pPr>
          </w:p>
          <w:p w14:paraId="685929B6" w14:textId="77777777" w:rsidR="00641BD7" w:rsidRPr="00B57019" w:rsidRDefault="00641BD7" w:rsidP="008A08DD">
            <w:pPr>
              <w:pStyle w:val="PlainText"/>
              <w:jc w:val="both"/>
              <w:rPr>
                <w:rFonts w:ascii="Times New Roman" w:hAnsi="Times New Roman"/>
                <w:sz w:val="24"/>
                <w:szCs w:val="24"/>
                <w:lang w:val="lv-LV"/>
              </w:rPr>
            </w:pPr>
          </w:p>
          <w:p w14:paraId="3FA2118B" w14:textId="77777777" w:rsidR="00641BD7" w:rsidRPr="00B57019" w:rsidRDefault="00641BD7" w:rsidP="008A08DD">
            <w:pPr>
              <w:pStyle w:val="PlainText"/>
              <w:jc w:val="both"/>
              <w:rPr>
                <w:rFonts w:ascii="Times New Roman" w:hAnsi="Times New Roman"/>
                <w:sz w:val="24"/>
                <w:szCs w:val="24"/>
                <w:lang w:val="lv-LV"/>
              </w:rPr>
            </w:pPr>
          </w:p>
          <w:p w14:paraId="4787E6F3" w14:textId="77777777" w:rsidR="00641BD7" w:rsidRPr="00B57019" w:rsidRDefault="00641BD7" w:rsidP="008A08DD">
            <w:pPr>
              <w:pStyle w:val="PlainText"/>
              <w:jc w:val="both"/>
              <w:rPr>
                <w:rFonts w:ascii="Times New Roman" w:hAnsi="Times New Roman"/>
                <w:sz w:val="24"/>
                <w:szCs w:val="24"/>
                <w:lang w:val="lv-LV"/>
              </w:rPr>
            </w:pPr>
          </w:p>
          <w:p w14:paraId="43B3CFDE" w14:textId="77777777" w:rsidR="00641BD7" w:rsidRPr="00B57019" w:rsidRDefault="00641BD7" w:rsidP="008A08DD">
            <w:pPr>
              <w:pStyle w:val="PlainText"/>
              <w:jc w:val="both"/>
              <w:rPr>
                <w:rFonts w:ascii="Times New Roman" w:hAnsi="Times New Roman"/>
                <w:sz w:val="24"/>
                <w:szCs w:val="24"/>
                <w:lang w:val="lv-LV"/>
              </w:rPr>
            </w:pPr>
          </w:p>
          <w:p w14:paraId="643A5E73" w14:textId="77777777" w:rsidR="00641BD7" w:rsidRPr="00B57019" w:rsidRDefault="00641BD7" w:rsidP="008A08DD">
            <w:pPr>
              <w:pStyle w:val="PlainText"/>
              <w:jc w:val="both"/>
              <w:rPr>
                <w:rFonts w:ascii="Times New Roman" w:hAnsi="Times New Roman"/>
                <w:sz w:val="24"/>
                <w:szCs w:val="24"/>
                <w:lang w:val="lv-LV"/>
              </w:rPr>
            </w:pPr>
          </w:p>
          <w:p w14:paraId="2E4643B6" w14:textId="77777777" w:rsidR="00641BD7" w:rsidRPr="00B57019" w:rsidRDefault="00641BD7" w:rsidP="008A08DD">
            <w:pPr>
              <w:pStyle w:val="PlainText"/>
              <w:jc w:val="both"/>
              <w:rPr>
                <w:rFonts w:ascii="Times New Roman" w:hAnsi="Times New Roman"/>
                <w:sz w:val="24"/>
                <w:szCs w:val="24"/>
                <w:lang w:val="lv-LV"/>
              </w:rPr>
            </w:pPr>
          </w:p>
          <w:p w14:paraId="58A0601A" w14:textId="77777777" w:rsidR="00641BD7" w:rsidRPr="00B57019" w:rsidRDefault="00641BD7" w:rsidP="008A08DD">
            <w:pPr>
              <w:pStyle w:val="PlainText"/>
              <w:jc w:val="both"/>
              <w:rPr>
                <w:rFonts w:ascii="Times New Roman" w:hAnsi="Times New Roman"/>
                <w:sz w:val="24"/>
                <w:szCs w:val="24"/>
                <w:lang w:val="lv-LV"/>
              </w:rPr>
            </w:pPr>
          </w:p>
          <w:p w14:paraId="1B93AE1F" w14:textId="77777777" w:rsidR="00641BD7" w:rsidRPr="00B57019" w:rsidRDefault="00641BD7" w:rsidP="008A08DD">
            <w:pPr>
              <w:pStyle w:val="PlainText"/>
              <w:jc w:val="both"/>
              <w:rPr>
                <w:rFonts w:ascii="Times New Roman" w:hAnsi="Times New Roman"/>
                <w:sz w:val="24"/>
                <w:szCs w:val="24"/>
                <w:lang w:val="lv-LV"/>
              </w:rPr>
            </w:pPr>
          </w:p>
          <w:p w14:paraId="0B8BAB97" w14:textId="77777777" w:rsidR="00641BD7" w:rsidRPr="00B57019" w:rsidRDefault="00641BD7" w:rsidP="008A08DD">
            <w:pPr>
              <w:pStyle w:val="PlainText"/>
              <w:jc w:val="both"/>
              <w:rPr>
                <w:rFonts w:ascii="Times New Roman" w:hAnsi="Times New Roman"/>
                <w:sz w:val="24"/>
                <w:szCs w:val="24"/>
                <w:lang w:val="lv-LV"/>
              </w:rPr>
            </w:pPr>
          </w:p>
          <w:p w14:paraId="0842688C" w14:textId="77777777" w:rsidR="00641BD7" w:rsidRPr="00B57019" w:rsidRDefault="00641BD7" w:rsidP="008A08DD">
            <w:pPr>
              <w:pStyle w:val="PlainText"/>
              <w:jc w:val="both"/>
              <w:rPr>
                <w:rFonts w:ascii="Times New Roman" w:hAnsi="Times New Roman"/>
                <w:sz w:val="24"/>
                <w:szCs w:val="24"/>
                <w:lang w:val="lv-LV"/>
              </w:rPr>
            </w:pPr>
          </w:p>
          <w:p w14:paraId="76B1682C" w14:textId="77777777" w:rsidR="00641BD7" w:rsidRPr="00B57019" w:rsidRDefault="00641BD7" w:rsidP="008A08DD">
            <w:pPr>
              <w:pStyle w:val="PlainText"/>
              <w:jc w:val="both"/>
              <w:rPr>
                <w:rFonts w:ascii="Times New Roman" w:hAnsi="Times New Roman"/>
                <w:sz w:val="24"/>
                <w:szCs w:val="24"/>
                <w:lang w:val="lv-LV"/>
              </w:rPr>
            </w:pPr>
          </w:p>
          <w:p w14:paraId="0EF64B5C" w14:textId="77777777" w:rsidR="00641BD7" w:rsidRPr="00B57019" w:rsidRDefault="00641BD7" w:rsidP="008A08DD">
            <w:pPr>
              <w:pStyle w:val="PlainText"/>
              <w:jc w:val="both"/>
              <w:rPr>
                <w:rFonts w:ascii="Times New Roman" w:hAnsi="Times New Roman"/>
                <w:sz w:val="24"/>
                <w:szCs w:val="24"/>
                <w:lang w:val="lv-LV"/>
              </w:rPr>
            </w:pPr>
          </w:p>
          <w:p w14:paraId="7D19EE0E" w14:textId="77777777" w:rsidR="008A08DD" w:rsidRPr="00B57019" w:rsidRDefault="00C027FC" w:rsidP="008A08DD">
            <w:pPr>
              <w:pStyle w:val="PlainText"/>
              <w:jc w:val="both"/>
              <w:rPr>
                <w:rFonts w:ascii="Times New Roman" w:hAnsi="Times New Roman"/>
                <w:sz w:val="24"/>
                <w:szCs w:val="24"/>
                <w:lang w:val="lv-LV"/>
              </w:rPr>
            </w:pPr>
            <w:r w:rsidRPr="00B57019">
              <w:rPr>
                <w:rFonts w:ascii="Times New Roman" w:hAnsi="Times New Roman"/>
                <w:sz w:val="24"/>
                <w:szCs w:val="24"/>
                <w:lang w:val="lv-LV"/>
              </w:rPr>
              <w:t>E</w:t>
            </w:r>
            <w:r w:rsidR="008A08DD" w:rsidRPr="00B57019">
              <w:rPr>
                <w:rFonts w:ascii="Times New Roman" w:hAnsi="Times New Roman"/>
                <w:sz w:val="24"/>
                <w:szCs w:val="24"/>
                <w:lang w:val="lv-LV"/>
              </w:rPr>
              <w:t>-rēķinu risinājumu izstrādās, uzturēs un attīstīs VRAA. Vienīgais</w:t>
            </w:r>
            <w:r w:rsidR="00557FFC" w:rsidRPr="00B57019">
              <w:rPr>
                <w:rFonts w:ascii="Times New Roman" w:hAnsi="Times New Roman"/>
                <w:sz w:val="24"/>
                <w:szCs w:val="24"/>
                <w:lang w:val="lv-LV"/>
              </w:rPr>
              <w:t>,</w:t>
            </w:r>
            <w:r w:rsidR="008A08DD" w:rsidRPr="00B57019">
              <w:rPr>
                <w:rFonts w:ascii="Times New Roman" w:hAnsi="Times New Roman"/>
                <w:sz w:val="24"/>
                <w:szCs w:val="24"/>
                <w:lang w:val="lv-LV"/>
              </w:rPr>
              <w:t xml:space="preserve"> kas būs jāveic iestādēm – jāpieslēdzas pie e-rēķinu risinājuma, kas ir vienreizējs pasākums.</w:t>
            </w:r>
          </w:p>
          <w:p w14:paraId="66CE9595" w14:textId="77777777" w:rsidR="008A08DD" w:rsidRPr="00B57019" w:rsidRDefault="008A08DD" w:rsidP="008A08DD">
            <w:pPr>
              <w:pStyle w:val="PlainText"/>
              <w:jc w:val="both"/>
              <w:rPr>
                <w:rFonts w:ascii="Times New Roman" w:hAnsi="Times New Roman"/>
                <w:sz w:val="24"/>
                <w:szCs w:val="24"/>
                <w:lang w:val="lv-LV"/>
              </w:rPr>
            </w:pPr>
            <w:r w:rsidRPr="00B57019">
              <w:rPr>
                <w:rFonts w:ascii="Times New Roman" w:hAnsi="Times New Roman"/>
                <w:sz w:val="24"/>
                <w:szCs w:val="24"/>
                <w:lang w:val="lv-LV"/>
              </w:rPr>
              <w:t>Lūdzam definēt</w:t>
            </w:r>
            <w:r w:rsidR="00087F36" w:rsidRPr="00B57019">
              <w:rPr>
                <w:rFonts w:ascii="Times New Roman" w:hAnsi="Times New Roman"/>
                <w:sz w:val="24"/>
                <w:szCs w:val="24"/>
                <w:lang w:val="lv-LV"/>
              </w:rPr>
              <w:t>,</w:t>
            </w:r>
            <w:r w:rsidRPr="00B57019">
              <w:rPr>
                <w:rFonts w:ascii="Times New Roman" w:hAnsi="Times New Roman"/>
                <w:sz w:val="24"/>
                <w:szCs w:val="24"/>
                <w:lang w:val="lv-LV"/>
              </w:rPr>
              <w:t xml:space="preserve"> kādas izmaksas un resursi </w:t>
            </w:r>
            <w:r w:rsidRPr="00B57019">
              <w:rPr>
                <w:rFonts w:ascii="Times New Roman" w:hAnsi="Times New Roman"/>
                <w:sz w:val="24"/>
                <w:szCs w:val="24"/>
                <w:lang w:val="lv-LV"/>
              </w:rPr>
              <w:lastRenderedPageBreak/>
              <w:t>nepieciešami iekšējo sistēmu saslēgšanai.</w:t>
            </w:r>
          </w:p>
          <w:p w14:paraId="1E4D50C5" w14:textId="77777777" w:rsidR="008A08DD" w:rsidRPr="00B57019" w:rsidRDefault="008A08DD" w:rsidP="008A08DD">
            <w:pPr>
              <w:pStyle w:val="PlainText"/>
              <w:jc w:val="both"/>
              <w:rPr>
                <w:rFonts w:ascii="Times New Roman" w:hAnsi="Times New Roman"/>
                <w:sz w:val="24"/>
                <w:szCs w:val="24"/>
                <w:lang w:val="lv-LV"/>
              </w:rPr>
            </w:pPr>
            <w:r w:rsidRPr="00B57019">
              <w:rPr>
                <w:rFonts w:ascii="Times New Roman" w:hAnsi="Times New Roman"/>
                <w:sz w:val="24"/>
                <w:szCs w:val="24"/>
                <w:lang w:val="lv-LV"/>
              </w:rPr>
              <w:t xml:space="preserve">Valsts iestādēm e-adreses izmantošana jau ir obligāta </w:t>
            </w:r>
            <w:r w:rsidR="00641BD7" w:rsidRPr="00B57019">
              <w:rPr>
                <w:rFonts w:ascii="Times New Roman" w:hAnsi="Times New Roman"/>
                <w:sz w:val="24"/>
                <w:szCs w:val="24"/>
                <w:lang w:val="lv-LV"/>
              </w:rPr>
              <w:t>un tā kā</w:t>
            </w:r>
            <w:r w:rsidRPr="00B57019">
              <w:rPr>
                <w:rFonts w:ascii="Times New Roman" w:hAnsi="Times New Roman"/>
                <w:sz w:val="24"/>
                <w:szCs w:val="24"/>
                <w:lang w:val="lv-LV"/>
              </w:rPr>
              <w:t xml:space="preserve"> e-rēķinu aprite tiks nodrošināta caur e-adresi, ieviešot jaunu dokumentu tipu (“e-rēķins”), tad nekādi papildus pielāgojumi nebūs nepieciešami. Informācijas sistēmās būs nepieciešams veikt pielāgojumus to izstrādātājiem. Šo sistēmu lietotāji (valsts iestādes) saņems jau lietošanai gatavu produktu ar iestrādāto e-rēķinu funkcionalitāti. </w:t>
            </w:r>
          </w:p>
          <w:p w14:paraId="17204EAA" w14:textId="77777777" w:rsidR="008A08DD" w:rsidRPr="00B57019" w:rsidRDefault="008A08DD" w:rsidP="008A08DD">
            <w:pPr>
              <w:pStyle w:val="PlainText"/>
              <w:jc w:val="both"/>
              <w:rPr>
                <w:rFonts w:ascii="Times New Roman" w:hAnsi="Times New Roman"/>
                <w:b/>
                <w:sz w:val="24"/>
                <w:szCs w:val="24"/>
                <w:lang w:val="lv-LV"/>
              </w:rPr>
            </w:pPr>
          </w:p>
          <w:p w14:paraId="4D7692F8" w14:textId="77777777" w:rsidR="008A08DD" w:rsidRPr="00B57019" w:rsidRDefault="008A08DD" w:rsidP="008A08DD">
            <w:pPr>
              <w:pStyle w:val="PlainText"/>
              <w:jc w:val="both"/>
              <w:rPr>
                <w:rFonts w:ascii="Times New Roman" w:hAnsi="Times New Roman"/>
                <w:b/>
                <w:sz w:val="24"/>
                <w:szCs w:val="24"/>
                <w:lang w:val="lv-LV"/>
              </w:rPr>
            </w:pPr>
          </w:p>
          <w:p w14:paraId="58F10B4F" w14:textId="77777777" w:rsidR="008A08DD" w:rsidRPr="00B57019" w:rsidRDefault="008A08DD" w:rsidP="008A08DD">
            <w:pPr>
              <w:pStyle w:val="PlainText"/>
              <w:jc w:val="both"/>
              <w:rPr>
                <w:rFonts w:ascii="Times New Roman" w:hAnsi="Times New Roman"/>
                <w:b/>
                <w:sz w:val="24"/>
                <w:szCs w:val="24"/>
                <w:lang w:val="lv-LV"/>
              </w:rPr>
            </w:pPr>
          </w:p>
          <w:p w14:paraId="324BC006" w14:textId="77777777" w:rsidR="008A08DD" w:rsidRPr="00B57019" w:rsidRDefault="008A08DD" w:rsidP="008A08DD">
            <w:pPr>
              <w:pStyle w:val="PlainText"/>
              <w:jc w:val="both"/>
              <w:rPr>
                <w:rFonts w:ascii="Times New Roman" w:hAnsi="Times New Roman"/>
                <w:b/>
                <w:sz w:val="24"/>
                <w:szCs w:val="24"/>
                <w:lang w:val="lv-LV"/>
              </w:rPr>
            </w:pPr>
          </w:p>
          <w:p w14:paraId="1F12765B" w14:textId="77777777" w:rsidR="008A08DD" w:rsidRPr="00B57019" w:rsidRDefault="008A08DD" w:rsidP="008A08DD">
            <w:pPr>
              <w:pStyle w:val="PlainText"/>
              <w:jc w:val="both"/>
              <w:rPr>
                <w:rFonts w:ascii="Times New Roman" w:hAnsi="Times New Roman"/>
                <w:b/>
                <w:sz w:val="24"/>
                <w:szCs w:val="24"/>
                <w:lang w:val="lv-LV"/>
              </w:rPr>
            </w:pPr>
          </w:p>
          <w:p w14:paraId="2253422C" w14:textId="77777777" w:rsidR="008A08DD" w:rsidRPr="00B57019" w:rsidRDefault="008A08DD" w:rsidP="008A08DD">
            <w:pPr>
              <w:pStyle w:val="PlainText"/>
              <w:jc w:val="both"/>
              <w:rPr>
                <w:rFonts w:ascii="Times New Roman" w:hAnsi="Times New Roman"/>
                <w:b/>
                <w:sz w:val="24"/>
                <w:szCs w:val="24"/>
                <w:lang w:val="lv-LV"/>
              </w:rPr>
            </w:pPr>
          </w:p>
          <w:p w14:paraId="6F1E65E7" w14:textId="77777777" w:rsidR="008A08DD" w:rsidRPr="00B57019" w:rsidRDefault="008A08DD" w:rsidP="008A08DD">
            <w:pPr>
              <w:pStyle w:val="PlainText"/>
              <w:jc w:val="both"/>
              <w:rPr>
                <w:rFonts w:ascii="Times New Roman" w:hAnsi="Times New Roman"/>
                <w:b/>
                <w:sz w:val="24"/>
                <w:szCs w:val="24"/>
                <w:lang w:val="lv-LV"/>
              </w:rPr>
            </w:pPr>
          </w:p>
          <w:p w14:paraId="7C38398A" w14:textId="77777777" w:rsidR="008A08DD" w:rsidRPr="00B57019" w:rsidRDefault="008A08DD" w:rsidP="008A08DD">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0DE717BC" w14:textId="77777777" w:rsidR="008108A7" w:rsidRPr="00B57019" w:rsidRDefault="008108A7" w:rsidP="008108A7">
            <w:pPr>
              <w:jc w:val="both"/>
            </w:pPr>
            <w:r w:rsidRPr="00B57019">
              <w:lastRenderedPageBreak/>
              <w:t>Iebildums tiek uzturēts.</w:t>
            </w:r>
          </w:p>
          <w:p w14:paraId="14044F42" w14:textId="77777777" w:rsidR="008A08DD" w:rsidRPr="00B57019" w:rsidRDefault="008A08DD" w:rsidP="008A08DD">
            <w:pPr>
              <w:jc w:val="center"/>
            </w:pPr>
          </w:p>
        </w:tc>
        <w:tc>
          <w:tcPr>
            <w:tcW w:w="2503" w:type="dxa"/>
            <w:tcBorders>
              <w:top w:val="single" w:sz="4" w:space="0" w:color="auto"/>
              <w:left w:val="single" w:sz="4" w:space="0" w:color="auto"/>
              <w:bottom w:val="single" w:sz="4" w:space="0" w:color="auto"/>
            </w:tcBorders>
            <w:shd w:val="clear" w:color="auto" w:fill="auto"/>
          </w:tcPr>
          <w:p w14:paraId="6FE85493" w14:textId="77777777" w:rsidR="00F920AE" w:rsidRPr="00B57019" w:rsidRDefault="00F920AE" w:rsidP="00F920AE">
            <w:r w:rsidRPr="00B57019">
              <w:t>Informatīvais ziņojums papildināts ar 6. pielikumu.</w:t>
            </w:r>
          </w:p>
          <w:p w14:paraId="04614EA7" w14:textId="77777777" w:rsidR="008A08DD" w:rsidRPr="00B57019" w:rsidRDefault="008A08DD" w:rsidP="009534E8">
            <w:pPr>
              <w:jc w:val="both"/>
            </w:pPr>
          </w:p>
        </w:tc>
      </w:tr>
      <w:tr w:rsidR="00B57019" w:rsidRPr="00B57019" w14:paraId="748BDB38" w14:textId="77777777" w:rsidTr="6EC0B0DB">
        <w:tc>
          <w:tcPr>
            <w:tcW w:w="14567" w:type="dxa"/>
            <w:gridSpan w:val="6"/>
            <w:tcBorders>
              <w:top w:val="single" w:sz="6" w:space="0" w:color="000000" w:themeColor="text1"/>
              <w:left w:val="single" w:sz="6" w:space="0" w:color="000000" w:themeColor="text1"/>
              <w:bottom w:val="single" w:sz="6" w:space="0" w:color="000000" w:themeColor="text1"/>
            </w:tcBorders>
            <w:shd w:val="clear" w:color="auto" w:fill="auto"/>
          </w:tcPr>
          <w:p w14:paraId="0A22CFD5" w14:textId="77777777" w:rsidR="00283F97" w:rsidRPr="00B57019" w:rsidRDefault="00283F97" w:rsidP="008A36C9">
            <w:pPr>
              <w:jc w:val="center"/>
              <w:rPr>
                <w:b/>
              </w:rPr>
            </w:pPr>
            <w:r w:rsidRPr="00B57019">
              <w:rPr>
                <w:b/>
              </w:rPr>
              <w:lastRenderedPageBreak/>
              <w:t>Satiksmes ministrija</w:t>
            </w:r>
          </w:p>
        </w:tc>
      </w:tr>
      <w:tr w:rsidR="00B57019" w:rsidRPr="00B57019" w14:paraId="45A97A19"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65E011" w14:textId="7C522448" w:rsidR="00283F97" w:rsidRPr="00B57019" w:rsidRDefault="00777328" w:rsidP="00283F97">
            <w:pPr>
              <w:pStyle w:val="naisc"/>
              <w:spacing w:before="0" w:after="0"/>
            </w:pPr>
            <w:r w:rsidRPr="00B57019">
              <w:t>21</w:t>
            </w:r>
            <w:r w:rsidR="00BB59B3" w:rsidRPr="00B57019">
              <w:t>.</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351B53B" w14:textId="77777777" w:rsidR="00283F97" w:rsidRPr="00B57019" w:rsidRDefault="00BE6DC3" w:rsidP="005A6AA1">
            <w:pPr>
              <w:pStyle w:val="naisc"/>
              <w:spacing w:before="0" w:after="0"/>
              <w:jc w:val="left"/>
            </w:pPr>
            <w:r w:rsidRPr="00B57019">
              <w:t xml:space="preserve">Protokollēmuma </w:t>
            </w:r>
            <w:r w:rsidR="00283F97" w:rsidRPr="00B57019">
              <w:t>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A27618" w14:textId="77777777" w:rsidR="00283F97" w:rsidRPr="00B57019" w:rsidRDefault="00283F97" w:rsidP="00430A8E">
            <w:pPr>
              <w:jc w:val="both"/>
            </w:pPr>
            <w:r w:rsidRPr="00B57019">
              <w:t xml:space="preserve">Satiksmes ministrija nesaņem valsts budžeta dotāciju visu centrālā aparāta izdevumu segšanai un izdevumi, tostarp atlīdzība nodarbinātajiem, daļēji tiek finansēti no maksas pakalpojumiem un citiem </w:t>
            </w:r>
            <w:r w:rsidRPr="00B57019">
              <w:lastRenderedPageBreak/>
              <w:t>pašu ieņēmumiem. Līdz ar to Ministru kabineta protokollēmuma projekta 3.1.9.apakšpunktā norādītā naudas pārdale nav pieļaujama.</w:t>
            </w:r>
          </w:p>
          <w:p w14:paraId="63995281" w14:textId="77777777" w:rsidR="00283F97" w:rsidRPr="00B57019" w:rsidRDefault="00283F97" w:rsidP="00283F97">
            <w:pPr>
              <w:pStyle w:val="naisc"/>
              <w:spacing w:before="0" w:after="0"/>
              <w:ind w:firstLine="720"/>
              <w:jc w:val="both"/>
            </w:pPr>
            <w:r w:rsidRPr="00B57019">
              <w:t>Ņemot vērā minēto, lūdzam svītrot Ministru kabineta protokollēmuma projekta 3.1.9.apakšpunktu.</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FF0C43" w14:textId="77777777" w:rsidR="00430A8E" w:rsidRPr="00B57019" w:rsidRDefault="00430A8E" w:rsidP="00430A8E">
            <w:pPr>
              <w:pStyle w:val="naisc"/>
              <w:spacing w:before="0" w:after="0"/>
              <w:jc w:val="left"/>
              <w:rPr>
                <w:b/>
              </w:rPr>
            </w:pPr>
            <w:r w:rsidRPr="00B57019">
              <w:rPr>
                <w:b/>
              </w:rPr>
              <w:lastRenderedPageBreak/>
              <w:t>Iebildums n</w:t>
            </w:r>
            <w:r w:rsidR="004E2394" w:rsidRPr="00B57019">
              <w:rPr>
                <w:b/>
              </w:rPr>
              <w:t xml:space="preserve">av </w:t>
            </w:r>
            <w:r w:rsidRPr="00B57019">
              <w:rPr>
                <w:b/>
              </w:rPr>
              <w:t>ņemts vērā.</w:t>
            </w:r>
          </w:p>
          <w:p w14:paraId="5286214F" w14:textId="77777777" w:rsidR="00595494" w:rsidRPr="00B57019" w:rsidRDefault="00595494" w:rsidP="00790A6E">
            <w:pPr>
              <w:pStyle w:val="naisc"/>
              <w:spacing w:before="0" w:after="0"/>
              <w:jc w:val="both"/>
            </w:pPr>
            <w:r w:rsidRPr="00B57019">
              <w:t xml:space="preserve">Informatīvais ziņojums informē par to, ka jau šobrīd VRAA ir resursu iztrūkums ziņojumā minēto koplietošanas pakalpojumu nodrošināšanai. Līdz ar to </w:t>
            </w:r>
            <w:r w:rsidRPr="00B57019">
              <w:lastRenderedPageBreak/>
              <w:t>jautājumu nepieciešams risināt steidzami.</w:t>
            </w:r>
          </w:p>
          <w:p w14:paraId="7EB8ABA9" w14:textId="77777777" w:rsidR="00BC3E94" w:rsidRPr="00B57019" w:rsidRDefault="00595494" w:rsidP="002B7D7C">
            <w:pPr>
              <w:pStyle w:val="naisc"/>
              <w:spacing w:before="0" w:after="0"/>
              <w:jc w:val="both"/>
            </w:pPr>
            <w:r w:rsidRPr="00B57019">
              <w:t>Vienlaikus VARAM ieskatā koplietošanas risinājumu darbības nodrošināšanā jāpiedalās proporcionāli un  risinājuma koncepts ir jābalsta principā - pārstrukturizējot kompetences, un resursus rodot publiskas pārvaldes iekšienē.</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1F2F1B81" w14:textId="77777777" w:rsidR="00B10BE2" w:rsidRPr="00B57019" w:rsidRDefault="00B10BE2" w:rsidP="00B10BE2">
            <w:pPr>
              <w:jc w:val="both"/>
            </w:pPr>
            <w:r w:rsidRPr="00B57019">
              <w:lastRenderedPageBreak/>
              <w:t>Iebildums tiek uzturēts.</w:t>
            </w:r>
          </w:p>
          <w:p w14:paraId="0D9E7C0B" w14:textId="77777777" w:rsidR="0036575E" w:rsidRPr="00B57019" w:rsidRDefault="0036575E" w:rsidP="0068470F">
            <w:pPr>
              <w:jc w:val="both"/>
            </w:pPr>
          </w:p>
        </w:tc>
        <w:tc>
          <w:tcPr>
            <w:tcW w:w="2503" w:type="dxa"/>
            <w:tcBorders>
              <w:top w:val="single" w:sz="4" w:space="0" w:color="auto"/>
              <w:left w:val="single" w:sz="4" w:space="0" w:color="auto"/>
              <w:bottom w:val="single" w:sz="4" w:space="0" w:color="auto"/>
            </w:tcBorders>
            <w:shd w:val="clear" w:color="auto" w:fill="auto"/>
          </w:tcPr>
          <w:p w14:paraId="14095909" w14:textId="77777777" w:rsidR="00283F97" w:rsidRPr="00B57019" w:rsidRDefault="00283F97" w:rsidP="00283F97">
            <w:pPr>
              <w:jc w:val="center"/>
            </w:pPr>
          </w:p>
        </w:tc>
      </w:tr>
      <w:tr w:rsidR="00B57019" w:rsidRPr="00B57019" w14:paraId="3CE1BD4E" w14:textId="77777777" w:rsidTr="6EC0B0DB">
        <w:tc>
          <w:tcPr>
            <w:tcW w:w="14567" w:type="dxa"/>
            <w:gridSpan w:val="6"/>
            <w:tcBorders>
              <w:top w:val="single" w:sz="6" w:space="0" w:color="000000" w:themeColor="text1"/>
              <w:left w:val="single" w:sz="6" w:space="0" w:color="000000" w:themeColor="text1"/>
              <w:bottom w:val="single" w:sz="6" w:space="0" w:color="000000" w:themeColor="text1"/>
            </w:tcBorders>
            <w:shd w:val="clear" w:color="auto" w:fill="auto"/>
          </w:tcPr>
          <w:p w14:paraId="11BDE408" w14:textId="77777777" w:rsidR="004777D0" w:rsidRPr="00B57019" w:rsidRDefault="004777D0" w:rsidP="008A36C9">
            <w:pPr>
              <w:jc w:val="center"/>
              <w:rPr>
                <w:b/>
              </w:rPr>
            </w:pPr>
            <w:r w:rsidRPr="00B57019">
              <w:rPr>
                <w:b/>
              </w:rPr>
              <w:t>Tieslietu ministrija</w:t>
            </w:r>
          </w:p>
        </w:tc>
      </w:tr>
      <w:tr w:rsidR="00B57019" w:rsidRPr="00B57019" w14:paraId="24A3C56F"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282E3B" w14:textId="15F5D662" w:rsidR="004777D0" w:rsidRPr="00B57019" w:rsidRDefault="00777328" w:rsidP="004777D0">
            <w:pPr>
              <w:pStyle w:val="naisc"/>
              <w:spacing w:before="0" w:after="0"/>
            </w:pPr>
            <w:r w:rsidRPr="00B57019">
              <w:t>22</w:t>
            </w:r>
            <w:r w:rsidR="00BB59B3" w:rsidRPr="00B57019">
              <w:t>.</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825F8F" w14:textId="77777777" w:rsidR="004777D0" w:rsidRPr="00B57019" w:rsidRDefault="008D301A" w:rsidP="008D301A">
            <w:pPr>
              <w:pStyle w:val="naisc"/>
              <w:spacing w:before="0" w:after="0"/>
              <w:jc w:val="both"/>
            </w:pPr>
            <w:r w:rsidRPr="00B57019">
              <w:t>Protokolē</w:t>
            </w:r>
            <w:r w:rsidR="004777D0" w:rsidRPr="00B57019">
              <w:t>muma projekts.</w:t>
            </w:r>
          </w:p>
          <w:p w14:paraId="1798A76D" w14:textId="77777777" w:rsidR="00983C38" w:rsidRPr="00B57019" w:rsidRDefault="00983C38" w:rsidP="008D301A">
            <w:pPr>
              <w:pStyle w:val="naisc"/>
              <w:spacing w:before="0" w:after="0"/>
              <w:jc w:val="both"/>
            </w:pPr>
          </w:p>
          <w:p w14:paraId="565BB618" w14:textId="77777777" w:rsidR="00983C38" w:rsidRPr="00B57019" w:rsidRDefault="00983C38" w:rsidP="008D301A">
            <w:pPr>
              <w:pStyle w:val="naisc"/>
              <w:spacing w:before="0" w:after="0"/>
              <w:jc w:val="both"/>
            </w:pP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65AB16" w14:textId="77777777" w:rsidR="004777D0" w:rsidRPr="00B57019" w:rsidRDefault="004777D0" w:rsidP="004777D0">
            <w:pPr>
              <w:ind w:firstLine="720"/>
              <w:jc w:val="both"/>
            </w:pPr>
            <w:r w:rsidRPr="00B57019">
              <w:t xml:space="preserve">Norādām, ka ir nepieciešams dzēst protokollēmuma 3.1.10. punktu, kas attiecas uz amata vietu un finansējuma pārdali no Tieslietu ministrijas un attiecīgi precizēt 2. un 3.1. punktā norādīto kopējo no resoriem pārdalāmo amata vietu skaitu un finansējuma apmēru. Tieslietu ministrija norāda, ka Informatīvajā ziņojumā iekļautie indikatīvie aprēķini no Elektronisko iepirkumu sistēmas, Oficiālās elektroniskās adreses informācijas sistēmas, Vienotās pieteikšanās moduļa, Valsts un pašvaldību iestāžu tīmekļvietņu vienotā </w:t>
            </w:r>
            <w:r w:rsidRPr="00B57019">
              <w:lastRenderedPageBreak/>
              <w:t xml:space="preserve">platformas, E-rēķinu aprites risinājuma, balstīti uz indikatīviem (hipotētiskiem) pieņēmumiem, nevis katra resora reālo struktūru, organizāciju, iekšējās procedūras un iesaistīto darbinieku skaitu, lai noteiktu objektīvu ietaupījumu.  Papildus tam, Valsts un pašvaldību iestāžu tīmekļvietņu vienotā platforma un E-rēķinu aprites risinājums vēl nav iesviesti, attiecīgi aprēķins ir vēl indikatīvāks. Norādām, ka, lai būtu iespējams aprēķināt iespējamos ietaupījumus, sistēmai ir jābūt pabeigtai, darboties spējīgai un savu efektivitāti pierādījušai. Uzskatām, ka šādu izvērtējumu un attiecīgi arī iespējamos ieguvumus (ietaupījumus) var aprēķināt ne ātrāk kā gadu pēc sistēmas pilnvērtīgas funkcionēšanas, iesaistot visas ministrijas un izzinot tajā notiekošos procesus šādas funkcionalitātes nodrošināšanai. </w:t>
            </w:r>
          </w:p>
          <w:p w14:paraId="326121D7" w14:textId="77777777" w:rsidR="004777D0" w:rsidRPr="00B57019" w:rsidRDefault="004777D0" w:rsidP="004777D0">
            <w:pPr>
              <w:pStyle w:val="naisc"/>
              <w:spacing w:before="0" w:after="0"/>
              <w:ind w:firstLine="720"/>
              <w:jc w:val="both"/>
            </w:pPr>
            <w:r w:rsidRPr="00B57019">
              <w:lastRenderedPageBreak/>
              <w:t>Šāda veida pārdales nav iespējamas arī tādēļ, ka protokollēmumā iekļautais pārdalāmais finansējums attiecas uz kopējo resoru. Norādām, ka nav iespējams pārdalīt divas amata vietas no resora, jo nevienā iestādē potenciālie ieguvumi neļauj samazināt vismaz vienu amata vietu, ko būtu iespējams pārdalīt kopā ar tai paredzēto finansējumu. Pat indikatīvi aprēķinātie ietaupījumi nevienā no resora iestādēm neveido kaut cik būtisku un vērā ņemamu ietaupījumu, kas varētu rosināt amata pienākumu pārdali un izmaiņas, lai būtu iespējams finansējumu novirzīt citur. Jautājums par amata vietu palielināšanu VARAM noteikti ir skatāms arī kontekstā ar valsts pārvaldes reformu plānā 2020 ietvertajiem principiem samazināt amata vietu skaitu valsts pārvaldē.</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5C0D72" w14:textId="77777777" w:rsidR="00C4552E" w:rsidRPr="00B57019" w:rsidRDefault="00C4552E" w:rsidP="00C4552E">
            <w:pPr>
              <w:pStyle w:val="PlainText"/>
              <w:jc w:val="both"/>
              <w:rPr>
                <w:rFonts w:ascii="Times New Roman" w:hAnsi="Times New Roman"/>
                <w:b/>
                <w:sz w:val="24"/>
                <w:szCs w:val="24"/>
                <w:lang w:val="lv-LV"/>
              </w:rPr>
            </w:pPr>
            <w:r w:rsidRPr="00B57019">
              <w:rPr>
                <w:rFonts w:ascii="Times New Roman" w:hAnsi="Times New Roman"/>
                <w:b/>
                <w:sz w:val="24"/>
                <w:szCs w:val="24"/>
                <w:lang w:val="lv-LV"/>
              </w:rPr>
              <w:lastRenderedPageBreak/>
              <w:t xml:space="preserve">Iebildums nav ņemts vērā. </w:t>
            </w:r>
          </w:p>
          <w:p w14:paraId="0D7CAE2D" w14:textId="77777777" w:rsidR="004777D0" w:rsidRPr="00B57019" w:rsidRDefault="008D301A" w:rsidP="001D2707">
            <w:pPr>
              <w:pStyle w:val="naisc"/>
              <w:spacing w:before="0" w:after="0"/>
              <w:jc w:val="both"/>
            </w:pPr>
            <w:r w:rsidRPr="00B57019">
              <w:t xml:space="preserve">Vēršam uzmanību, ka ar Ministru kabineta </w:t>
            </w:r>
            <w:r w:rsidR="00BE6DC3" w:rsidRPr="00B57019">
              <w:t xml:space="preserve">2017. gada 24. novembra </w:t>
            </w:r>
            <w:r w:rsidRPr="00B57019">
              <w:t>rīkojumu Nr. 701 apstiprinātajā Valsts pārvaldes reformu plāna 2020 4. punktā “Centralizēt atbalsta funkcijas, izvērtējot radniecisko funkciju apvienošanas iespējas, kā arī mazo iestāžu darbības lietderību” cita starpā ir atrunāta arī iepirkumu funkcijas centralizācijas nepieciešamība, tāpēc Tieslietu ministrijas gadījumā pārdale ir veicama uz par iepirkumu funkci</w:t>
            </w:r>
            <w:r w:rsidR="00350314" w:rsidRPr="00B57019">
              <w:t xml:space="preserve">ju atbildīgās institūcijas rēķina </w:t>
            </w:r>
            <w:r w:rsidR="00350314" w:rsidRPr="00B57019">
              <w:lastRenderedPageBreak/>
              <w:t>(t.sk</w:t>
            </w:r>
            <w:r w:rsidR="00D93B59" w:rsidRPr="00B57019">
              <w:t>.</w:t>
            </w:r>
            <w:r w:rsidRPr="00B57019">
              <w:t xml:space="preserve"> </w:t>
            </w:r>
            <w:r w:rsidR="00D93B59" w:rsidRPr="00B57019">
              <w:t>centralizētas institūcijas )</w:t>
            </w:r>
            <w:r w:rsidRPr="00B57019">
              <w:t>.</w:t>
            </w:r>
          </w:p>
          <w:p w14:paraId="0332AD13" w14:textId="77777777" w:rsidR="00DE00DB" w:rsidRPr="00B57019" w:rsidRDefault="00DE00DB" w:rsidP="00BC3E94">
            <w:pPr>
              <w:pStyle w:val="naisc"/>
              <w:spacing w:before="0" w:after="0"/>
              <w:jc w:val="both"/>
              <w:rPr>
                <w:i/>
              </w:rPr>
            </w:pPr>
          </w:p>
          <w:p w14:paraId="4A265245" w14:textId="77777777" w:rsidR="00D419CA" w:rsidRPr="00B57019" w:rsidRDefault="00D419CA" w:rsidP="00D419CA">
            <w:pPr>
              <w:pStyle w:val="naisc"/>
              <w:spacing w:before="0" w:after="0"/>
              <w:jc w:val="both"/>
            </w:pPr>
            <w:r w:rsidRPr="00B57019">
              <w:t>VARAM ieskatā koplietošanas risinājumu darbības nodrošināšanā jāpiedalās proporcionāli un  risinājuma koncepts ir jābalsta principā - pārstrukturizējot kompetences, un resursus rodot publiskas pārvaldes iekšienē.</w:t>
            </w:r>
          </w:p>
          <w:p w14:paraId="3B2F0CE4" w14:textId="77777777" w:rsidR="00133EE6" w:rsidRPr="00B57019" w:rsidRDefault="00133EE6" w:rsidP="00BC3E94">
            <w:pPr>
              <w:pStyle w:val="naisc"/>
              <w:spacing w:before="0" w:after="0"/>
              <w:jc w:val="both"/>
              <w:rPr>
                <w:i/>
              </w:rPr>
            </w:pPr>
          </w:p>
          <w:p w14:paraId="170E5FEC" w14:textId="77777777" w:rsidR="00133EE6" w:rsidRPr="00B57019" w:rsidRDefault="00133EE6" w:rsidP="004814B7"/>
          <w:p w14:paraId="1D829317" w14:textId="77777777" w:rsidR="00133EE6" w:rsidRPr="00B57019" w:rsidRDefault="00133EE6" w:rsidP="004814B7"/>
          <w:p w14:paraId="35518F3B" w14:textId="14D22E2B" w:rsidR="00133EE6" w:rsidRPr="00B57019" w:rsidRDefault="000A647E" w:rsidP="004814B7">
            <w:pPr>
              <w:jc w:val="both"/>
            </w:pPr>
            <w:r w:rsidRPr="00B57019">
              <w:t xml:space="preserve">Ņemot vērā to, ka jebkura projekta ieviešanā ir nepieciešami gan resursi, gan nepieciešams jau pirms projekta rēķināt ieguvumu no projekta realizācijas, tad jau pirms konkrēta risinājuma pilnīgas ieviešanas, ir nepieciešams aprēķināt ietaupījumus, ieguvumus un atbilstoši tiem veikt resursu pārdales. </w:t>
            </w:r>
          </w:p>
          <w:p w14:paraId="5E41F71E" w14:textId="77777777" w:rsidR="00BD596B" w:rsidRPr="00B57019" w:rsidRDefault="00BD596B" w:rsidP="004814B7">
            <w:pPr>
              <w:jc w:val="both"/>
            </w:pPr>
          </w:p>
          <w:p w14:paraId="23B22F63" w14:textId="77777777" w:rsidR="00BD596B" w:rsidRPr="00B57019" w:rsidRDefault="00BD596B" w:rsidP="004814B7">
            <w:pPr>
              <w:jc w:val="both"/>
            </w:pPr>
          </w:p>
          <w:p w14:paraId="05D0BB9D" w14:textId="77777777" w:rsidR="00BD596B" w:rsidRPr="00B57019" w:rsidRDefault="00BD596B" w:rsidP="004814B7">
            <w:pPr>
              <w:jc w:val="both"/>
            </w:pPr>
          </w:p>
          <w:p w14:paraId="33BA36ED" w14:textId="77777777" w:rsidR="00BD596B" w:rsidRPr="00B57019" w:rsidRDefault="00BD596B" w:rsidP="004814B7">
            <w:pPr>
              <w:jc w:val="both"/>
            </w:pPr>
          </w:p>
          <w:p w14:paraId="09D9E11E" w14:textId="77777777" w:rsidR="00BD596B" w:rsidRPr="00B57019" w:rsidRDefault="00BD596B" w:rsidP="004814B7">
            <w:pPr>
              <w:jc w:val="both"/>
            </w:pPr>
          </w:p>
          <w:p w14:paraId="1DE3AC9E" w14:textId="74492486" w:rsidR="005A10BB" w:rsidRPr="00B57019" w:rsidRDefault="005A10BB" w:rsidP="00C11227">
            <w:pPr>
              <w:jc w:val="both"/>
            </w:pPr>
            <w:r w:rsidRPr="00B57019">
              <w:lastRenderedPageBreak/>
              <w:t xml:space="preserve">Tā ir resora brīva izvēle, kā organizēt pārdali, jo, piemēram, amata vietas tikt pārdalītas no vienas vai vairākām resora iestādēm, vai dalītas slodzēs. Tāpat arī </w:t>
            </w:r>
            <w:r w:rsidR="003177D0" w:rsidRPr="00B57019">
              <w:t xml:space="preserve">attiecībā uz </w:t>
            </w:r>
            <w:r w:rsidRPr="00B57019">
              <w:t xml:space="preserve">atlīdzību, to arī iespējams dažādi pārdalīt - no vienas iestādes vai no visām resora iestādēm.  </w:t>
            </w:r>
          </w:p>
          <w:p w14:paraId="4A8A0A8C" w14:textId="77777777" w:rsidR="00D419CA" w:rsidRPr="00B57019" w:rsidRDefault="00D419CA" w:rsidP="004814B7">
            <w:pPr>
              <w:jc w:val="both"/>
            </w:pPr>
          </w:p>
          <w:p w14:paraId="2CC37C52" w14:textId="77777777" w:rsidR="008B4A15" w:rsidRPr="00B57019" w:rsidRDefault="008B4A15" w:rsidP="004814B7">
            <w:pPr>
              <w:jc w:val="both"/>
            </w:pPr>
          </w:p>
          <w:p w14:paraId="271CEC38" w14:textId="1EB0A59A" w:rsidR="008B4A15" w:rsidRPr="00B57019" w:rsidRDefault="008B4A15" w:rsidP="008B4A15">
            <w:pPr>
              <w:jc w:val="both"/>
            </w:pPr>
            <w:r w:rsidRPr="00B57019">
              <w:t xml:space="preserve">Skatīt </w:t>
            </w:r>
            <w:r w:rsidR="00B731A3" w:rsidRPr="00B57019">
              <w:t xml:space="preserve">informatīvā ziņojuma projekta </w:t>
            </w:r>
            <w:r w:rsidRPr="00B57019">
              <w:t>6. pielikumu.</w:t>
            </w:r>
          </w:p>
          <w:p w14:paraId="591D9C5B" w14:textId="0B38D22D" w:rsidR="008B4A15" w:rsidRPr="00B57019" w:rsidRDefault="008B4A15" w:rsidP="004814B7">
            <w:pPr>
              <w:jc w:val="both"/>
            </w:pP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6D3EE845" w14:textId="77777777" w:rsidR="00B10BE2" w:rsidRPr="00B57019" w:rsidRDefault="00B10BE2" w:rsidP="00B10BE2">
            <w:pPr>
              <w:jc w:val="both"/>
            </w:pPr>
            <w:r w:rsidRPr="00B57019">
              <w:lastRenderedPageBreak/>
              <w:t>Iebildums tiek uzturēts.</w:t>
            </w:r>
          </w:p>
          <w:p w14:paraId="1B7687A9" w14:textId="77777777" w:rsidR="00983C38" w:rsidRPr="00B57019" w:rsidRDefault="00983C38" w:rsidP="00D419CA">
            <w:pPr>
              <w:jc w:val="both"/>
              <w:rPr>
                <w:b/>
              </w:rPr>
            </w:pPr>
          </w:p>
          <w:p w14:paraId="2D3F135F" w14:textId="77777777" w:rsidR="00B741D5" w:rsidRPr="00B57019" w:rsidRDefault="00B741D5" w:rsidP="00D419CA">
            <w:pPr>
              <w:jc w:val="both"/>
            </w:pPr>
          </w:p>
          <w:p w14:paraId="67D6E718" w14:textId="77777777" w:rsidR="00B741D5" w:rsidRPr="00B57019" w:rsidRDefault="00B741D5" w:rsidP="00D419CA">
            <w:pPr>
              <w:jc w:val="both"/>
            </w:pPr>
          </w:p>
          <w:p w14:paraId="3A6C7DC7" w14:textId="77777777" w:rsidR="00B741D5" w:rsidRPr="00B57019" w:rsidRDefault="00B741D5" w:rsidP="00D419CA">
            <w:pPr>
              <w:jc w:val="both"/>
            </w:pPr>
          </w:p>
          <w:p w14:paraId="6F221102" w14:textId="77777777" w:rsidR="00B741D5" w:rsidRPr="00B57019" w:rsidRDefault="00B741D5" w:rsidP="00D419CA">
            <w:pPr>
              <w:jc w:val="both"/>
            </w:pPr>
          </w:p>
          <w:p w14:paraId="08F37224" w14:textId="77777777" w:rsidR="00B741D5" w:rsidRPr="00B57019" w:rsidRDefault="00B741D5" w:rsidP="00D419CA">
            <w:pPr>
              <w:jc w:val="both"/>
            </w:pPr>
          </w:p>
          <w:p w14:paraId="7E6E7EA7" w14:textId="77777777" w:rsidR="00B741D5" w:rsidRPr="00B57019" w:rsidRDefault="00B741D5" w:rsidP="00D419CA">
            <w:pPr>
              <w:jc w:val="both"/>
            </w:pPr>
          </w:p>
          <w:p w14:paraId="6FFDD9FB" w14:textId="77777777" w:rsidR="00B741D5" w:rsidRPr="00B57019" w:rsidRDefault="00B741D5" w:rsidP="00D419CA">
            <w:pPr>
              <w:jc w:val="both"/>
            </w:pPr>
          </w:p>
          <w:p w14:paraId="78A06233" w14:textId="77777777" w:rsidR="00B741D5" w:rsidRPr="00B57019" w:rsidRDefault="00B741D5" w:rsidP="00D419CA">
            <w:pPr>
              <w:jc w:val="both"/>
            </w:pPr>
          </w:p>
          <w:p w14:paraId="3BE42DA6" w14:textId="77777777" w:rsidR="00B741D5" w:rsidRPr="00B57019" w:rsidRDefault="00B741D5" w:rsidP="00D419CA">
            <w:pPr>
              <w:jc w:val="both"/>
            </w:pPr>
          </w:p>
          <w:p w14:paraId="3BB7FB2B" w14:textId="77777777" w:rsidR="00B741D5" w:rsidRPr="00B57019" w:rsidRDefault="00B741D5" w:rsidP="00D419CA">
            <w:pPr>
              <w:jc w:val="both"/>
            </w:pPr>
          </w:p>
          <w:p w14:paraId="1C2B6D80" w14:textId="77777777" w:rsidR="00B741D5" w:rsidRPr="00B57019" w:rsidRDefault="00B741D5" w:rsidP="00D419CA">
            <w:pPr>
              <w:jc w:val="both"/>
            </w:pPr>
          </w:p>
          <w:p w14:paraId="491488EA" w14:textId="77777777" w:rsidR="00B741D5" w:rsidRPr="00B57019" w:rsidRDefault="00B741D5" w:rsidP="00D419CA">
            <w:pPr>
              <w:jc w:val="both"/>
            </w:pPr>
          </w:p>
          <w:p w14:paraId="17629CD4" w14:textId="77777777" w:rsidR="00B741D5" w:rsidRPr="00B57019" w:rsidRDefault="00B741D5" w:rsidP="00B10BE2">
            <w:pPr>
              <w:jc w:val="both"/>
            </w:pPr>
          </w:p>
        </w:tc>
        <w:tc>
          <w:tcPr>
            <w:tcW w:w="2503" w:type="dxa"/>
            <w:tcBorders>
              <w:top w:val="single" w:sz="4" w:space="0" w:color="auto"/>
              <w:left w:val="single" w:sz="4" w:space="0" w:color="auto"/>
              <w:bottom w:val="single" w:sz="4" w:space="0" w:color="auto"/>
            </w:tcBorders>
            <w:shd w:val="clear" w:color="auto" w:fill="auto"/>
          </w:tcPr>
          <w:p w14:paraId="3CE4FD01" w14:textId="77777777" w:rsidR="00A76C69" w:rsidRPr="00B57019" w:rsidRDefault="00A76C69" w:rsidP="00A76C69">
            <w:r w:rsidRPr="00B57019">
              <w:t>Informatīvais ziņojums papildināts ar 6. pielikumu.</w:t>
            </w:r>
          </w:p>
          <w:p w14:paraId="3D273833" w14:textId="77777777" w:rsidR="004777D0" w:rsidRPr="00B57019" w:rsidRDefault="004777D0" w:rsidP="004777D0">
            <w:pPr>
              <w:jc w:val="center"/>
            </w:pPr>
          </w:p>
        </w:tc>
      </w:tr>
      <w:tr w:rsidR="00B57019" w:rsidRPr="00B57019" w14:paraId="0A3B9A86"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DA030C" w14:textId="6A815BE7" w:rsidR="004777D0" w:rsidRPr="00B57019" w:rsidRDefault="00777328" w:rsidP="004777D0">
            <w:pPr>
              <w:pStyle w:val="naisc"/>
              <w:spacing w:before="0" w:after="0"/>
            </w:pPr>
            <w:r w:rsidRPr="00B57019">
              <w:lastRenderedPageBreak/>
              <w:t>23</w:t>
            </w:r>
            <w:r w:rsidR="00BB59B3" w:rsidRPr="00B57019">
              <w:t>.</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B3C763" w14:textId="77777777" w:rsidR="004777D0" w:rsidRPr="00B57019" w:rsidRDefault="004777D0" w:rsidP="003346BF">
            <w:pPr>
              <w:pStyle w:val="naisc"/>
              <w:spacing w:before="0" w:after="0"/>
              <w:jc w:val="both"/>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F50D9D" w14:textId="77777777" w:rsidR="00D826AD" w:rsidRPr="00B57019" w:rsidRDefault="004777D0" w:rsidP="00D826AD">
            <w:pPr>
              <w:jc w:val="both"/>
            </w:pPr>
            <w:r w:rsidRPr="00B57019">
              <w:t xml:space="preserve">Informatīvajā ziņojumā nekur netiek atspoguļots princips, pēc kura rēķināts pārdalāmo amata vietu skaits un </w:t>
            </w:r>
            <w:r w:rsidRPr="00B57019">
              <w:lastRenderedPageBreak/>
              <w:t xml:space="preserve">pārdalāmais finansējums. Turklāt informatīvā ziņojumā atspoguļotie indikatīvie ieguvumi cilvēkdienās un cilvēkstundās no katras informācijas tehnoloģiju platformas būtu izvērtējami individuāli, jo ne visi resori strādā ar visām piecām IKT platformām. Informatīvajā ziņojumā izteikta atsauce uz Eiropas Komisijas novērtējuma ziņojumā “Impact and Effectiveness of EU Public Procurement Legislation” (turpmāk - EK Ziņojums) izmantotie dati ir par 2008., un 2009. gadu, kad spēkā bija Eiropas Parlamenta un Padomes Direktīva 2004/17/EK (2004. gada 31. marts), ar ko koordinē iepirkuma procedūras, kuras piemēro subjekti, kas darbojas ūdensapgādes, enerģētikas, transporta un pasta pakalpojumu nozarēs un Eiropas Parlamenta un Padomes Direktīva 2004/18/EK (2004. gada 31. marts) par to, kā koordinēt būvdarbu valsts līgumu, piegādes valsts līgumu un </w:t>
            </w:r>
            <w:r w:rsidRPr="00B57019">
              <w:lastRenderedPageBreak/>
              <w:t xml:space="preserve">pakalpojumu valsts līgumu slēgšanas tiesību piešķiršanas procedūru. Patreiz iepirkumos tiek piemērota Eiropas Parlamenta un Padomes Direktīva 2014/25/ES (2014. gada 26. februāris) par iepirkumu, ko īsteno subjekti, kuri darbojas ūdensapgādes, enerģētikas, transporta un pasta pakalpojumu nozarēs, un ar ko atceļ Direktīvu 2004/17/EK un Eiropas Parlamenta un Padomes Direktīva 2014/24/ES (2014. gada 26. februāris) par publisko iepirkumu un ar ko atceļ Direktīvu 2004/18/EK. Ņemot vērā to, ka ir manījies normatīvais regulējums, un to, ka EK Ziņojuma veidošanā ir izmantoti dati par 2008. un 2009. gadu, nav korekti norādīt, ka Latvijā vidējais cilvēkdienu skaits, ko pasūtītājs patērē vienam iepirkumam, ir 27 cilvēkdienas. Iepirkuma procedūrām Latvijā darbietilpīgi posmi nav mainījušies, tomēr ir mainījies laiks, kas tiek patērēts katra darbietilpīgā posma </w:t>
            </w:r>
            <w:r w:rsidRPr="00B57019">
              <w:lastRenderedPageBreak/>
              <w:t>nodrošināšanai, ņemot vērā izmaiņas normatīvajā regulējumā. Pasūtītājiem ir jāievēro vairāki papildus nosacījumi, kuri nebija noteikti 2009. gadā, kad tika ņemti izejas dati EK Ziņojuma cilvēkdienu aprēķinam, piemēram, zaļā iepirkuma noteikšana iepirkumos. Lai paredzamais cilvēkdienu skaits būtu objektīvs, nepieciešams balstīties uz 2018. vai vismaz 2017. gada datiem.</w:t>
            </w:r>
          </w:p>
          <w:p w14:paraId="66180232" w14:textId="77777777" w:rsidR="004777D0" w:rsidRPr="00B57019" w:rsidRDefault="004777D0" w:rsidP="00D826AD">
            <w:pPr>
              <w:jc w:val="both"/>
            </w:pPr>
            <w:r w:rsidRPr="00B57019">
              <w:t xml:space="preserve">Tāpat informatīvajā ziņojumā nav uzrādīts pamatojums cilvēkdienu aprēķinam preču vai pakalpojumu iegādei EIS e-pasūtījumu apakšsistēmā jebkuram darījumam vidēji patērēto laiku (cilvēkdienās). Nav izskaidrots, kāda metodika piemērota aprēķina veikšanai, vai Informatīvā ziņojumā norādītais skaits “2 cilvēkdienas” ietver laiku, ko pasūtītājs patērē, izpētot un salīdzinot EIS katalogus vai salīdzinot kataloga iespējas ar tirgus situāciju. Papildus jānorāda, ka daudzu EIS katalogos veikto pasūtījumu gadījumos starp pasūtītāju un izpildītāju ir nepieciešams noslēgt arī darba uzdevumus, pašreiz nav izprotams, vai šī darbietilpība ir iekļauta aprēķinos. </w:t>
            </w:r>
          </w:p>
          <w:p w14:paraId="421920EA" w14:textId="77777777" w:rsidR="004777D0" w:rsidRPr="00B57019" w:rsidRDefault="004777D0" w:rsidP="004777D0">
            <w:pPr>
              <w:ind w:firstLine="720"/>
              <w:jc w:val="both"/>
            </w:pPr>
            <w:r w:rsidRPr="00B57019">
              <w:t xml:space="preserve">Informatīvajā ziņojumā norādītie dati EIS e-pasūtījumu apakšsistēmas lietošanas intensitātes datos kopējos apjomos ir iekļautas arī pašvaldību institūciju un kapitālsabiedrību darījumus summas. Savukārt uzrādot aprēķinus, kas veikti, ņemot vērā EIS darījumus, kur visu darījumu kopsumma pārskata periodā (2018. gadā) attiecīgās preču vai pakalpojumu grupas ietvaros uz katru konkrēto pasūtītāju pašvaldību institūciju un kapitālsabiedrību darījumi nav ņemti vērā. Kopējais EIS apjoms neatspoguļo tieši ministriju (no kurām pieprasa Informatīvajā ziņojumā resursus) izmantotos apjomus. Informatīvā ziņojuma aprēķinos un EIS e-pasūtījumu apakšsistēmas lietošanas intensitātes datos ir piemērojama vienota pieeja, kas sniegtu precīzu priekšstatu par EIS e-pasūtījumu apakšsistēmas izmantošanu. Šajā brīdī dati nav salīdzināmi. </w:t>
            </w:r>
          </w:p>
          <w:p w14:paraId="5910884C" w14:textId="77777777" w:rsidR="004777D0" w:rsidRPr="00B57019" w:rsidRDefault="004777D0" w:rsidP="002E6940">
            <w:pPr>
              <w:pStyle w:val="naisc"/>
              <w:spacing w:before="0" w:after="0"/>
              <w:ind w:firstLine="720"/>
              <w:jc w:val="both"/>
            </w:pPr>
            <w:r w:rsidRPr="00B57019">
              <w:t>Informatīvajā ziņojumā noteiktajos aprēķinos par nepieciešamiem resursiem Valsts reģionālās attīstības aģentūras (turpmāk – VRAA) vajadzībām ir ņemti vērā arī kapitālsabiedrību darījumi EIS (skaits) un norādīts, ka: “tādējādi EIS e-pasūtījumu apakšsistēmas nodrošinātais kopējais ietaupījums pārskata periodā (2018. gadā) ir vismaz 34,04 amata vietas, no kurām 20 iepirkumu speciālistu vietas (2.amatu saime, 8. mēnešalgu grupa, III A līmenis), kas veido 325 513 euro ietaupījumu, 10 iepirkumu ekspertu vietas (2.amatu saime, 9. mēnešalgu grupa, III B līmenis), kas veido 177 201 euro ietaupījumu, 4,04 iepirkumu juristu vietas (21.amatu saime, 10. mēnešalgu grupa, III B līmenis), kas veido 77 424 euro ietaupījumu, kā arī darba vietu uzturēšanas izmaksas 106 579 euro, kopumā 686 717 euro ietaupījums”, jāatzīmē, ka šeit tiek ieskaitīti arī kapitālsabiedrību resursi, kuri tiek ietaupīti. Savukārt protokollēmumā ir noteikts sadalījums pa ministrijām bez kapitālsabiedrībām</w:t>
            </w:r>
            <w:r w:rsidR="002E6940" w:rsidRPr="00B57019">
              <w:t>,</w:t>
            </w:r>
            <w:r w:rsidRPr="00B57019">
              <w:t xml:space="preserve"> kurām būtu jānovirza gan amata vietu skaits, gan bāzes izdevumi. Šāds sadalījums nav godīgi veidots, jo ietaupījums veidojas arī kapitālsabiedrībās, bet resursus prasa tikai no ministrijām. Informatīvajā ziņojumā nav izvērtējuma par nepieciešamo vakanču skaitu no katras konkrētās ministrijas, nav uzrādīts aprēķins par protokollēmumā iekļauto bāzes izdevumu apjomu un vakanču skaitu katrai ministrijai par 2020., 2021. un 2022. gadu un turpmāk, proti, nav izskaidrots, pēc kāda principa tika noteikts, cik katrai ministrijai ir jādod bāzes izdevumi vai amata vietu skaits. Papildus nav pamatojums bāzes izdevumu paaugstinājumam no 2021. gada un turpmāk. </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49BCE6" w14:textId="77777777" w:rsidR="002E6940" w:rsidRPr="00B57019" w:rsidRDefault="002E6940" w:rsidP="00C4552E">
            <w:pPr>
              <w:pStyle w:val="PlainText"/>
              <w:jc w:val="both"/>
              <w:rPr>
                <w:rFonts w:ascii="Times New Roman" w:hAnsi="Times New Roman"/>
                <w:b/>
                <w:sz w:val="24"/>
                <w:szCs w:val="24"/>
                <w:lang w:val="lv-LV"/>
              </w:rPr>
            </w:pPr>
            <w:r w:rsidRPr="00B57019">
              <w:rPr>
                <w:rFonts w:ascii="Times New Roman" w:hAnsi="Times New Roman"/>
                <w:b/>
                <w:sz w:val="24"/>
                <w:szCs w:val="24"/>
                <w:lang w:val="lv-LV"/>
              </w:rPr>
              <w:lastRenderedPageBreak/>
              <w:t xml:space="preserve">Iebildums </w:t>
            </w:r>
            <w:r w:rsidR="004F39C3" w:rsidRPr="00B57019">
              <w:rPr>
                <w:rFonts w:ascii="Times New Roman" w:hAnsi="Times New Roman"/>
                <w:b/>
                <w:sz w:val="24"/>
                <w:szCs w:val="24"/>
                <w:lang w:val="lv-LV"/>
              </w:rPr>
              <w:t>daļēji</w:t>
            </w:r>
            <w:r w:rsidRPr="00B57019">
              <w:rPr>
                <w:rFonts w:ascii="Times New Roman" w:hAnsi="Times New Roman"/>
                <w:b/>
                <w:sz w:val="24"/>
                <w:szCs w:val="24"/>
                <w:lang w:val="lv-LV"/>
              </w:rPr>
              <w:t xml:space="preserve"> ņemts vērā.</w:t>
            </w:r>
          </w:p>
          <w:p w14:paraId="29E0B5F9" w14:textId="77777777" w:rsidR="002E6940" w:rsidRPr="00B57019" w:rsidRDefault="00CC6896" w:rsidP="00C4552E">
            <w:pPr>
              <w:pStyle w:val="PlainText"/>
              <w:jc w:val="both"/>
              <w:rPr>
                <w:rFonts w:ascii="Times New Roman" w:hAnsi="Times New Roman"/>
                <w:b/>
                <w:sz w:val="24"/>
                <w:szCs w:val="24"/>
                <w:lang w:val="lv-LV"/>
              </w:rPr>
            </w:pPr>
            <w:r w:rsidRPr="00B57019">
              <w:rPr>
                <w:rFonts w:ascii="Times New Roman" w:hAnsi="Times New Roman"/>
                <w:sz w:val="24"/>
                <w:szCs w:val="24"/>
              </w:rPr>
              <w:t xml:space="preserve">Ietaupītā darba laika apjoms ir aprēķināts, sadalot saskaņā </w:t>
            </w:r>
            <w:r w:rsidRPr="00B57019">
              <w:rPr>
                <w:rFonts w:ascii="Times New Roman" w:hAnsi="Times New Roman"/>
                <w:sz w:val="24"/>
                <w:szCs w:val="24"/>
              </w:rPr>
              <w:lastRenderedPageBreak/>
              <w:t>ar Ziņojuma pielikumos Nr. 1. – Nr. 5. aprakstītajām metodēm aprēķināto summāro ietaupījumu proporcionāli pa nozaru ministrijām, atbilstoši ministriju un padotības iestāžu kopējam nodarbināto skaitam pēc Valsts kancelejas datiem.</w:t>
            </w:r>
          </w:p>
          <w:p w14:paraId="2CB1D2F2" w14:textId="77777777" w:rsidR="00C4552E" w:rsidRPr="00B57019" w:rsidRDefault="00C4552E" w:rsidP="00C4552E">
            <w:pPr>
              <w:pStyle w:val="PlainText"/>
              <w:jc w:val="both"/>
              <w:rPr>
                <w:rFonts w:ascii="Times New Roman" w:hAnsi="Times New Roman"/>
                <w:sz w:val="24"/>
                <w:szCs w:val="24"/>
                <w:lang w:val="lv-LV"/>
              </w:rPr>
            </w:pPr>
            <w:r w:rsidRPr="00B57019">
              <w:rPr>
                <w:rFonts w:ascii="Times New Roman" w:hAnsi="Times New Roman"/>
                <w:sz w:val="24"/>
                <w:szCs w:val="24"/>
                <w:lang w:val="lv-LV"/>
              </w:rPr>
              <w:t>Vēršam uzmanību, ka  aprēķini tika veidoti</w:t>
            </w:r>
            <w:r w:rsidR="00F84990" w:rsidRPr="00B57019">
              <w:rPr>
                <w:rFonts w:ascii="Times New Roman" w:hAnsi="Times New Roman"/>
                <w:sz w:val="24"/>
                <w:szCs w:val="24"/>
                <w:lang w:val="lv-LV"/>
              </w:rPr>
              <w:t>,</w:t>
            </w:r>
            <w:r w:rsidRPr="00B57019">
              <w:rPr>
                <w:rFonts w:ascii="Times New Roman" w:hAnsi="Times New Roman"/>
                <w:sz w:val="24"/>
                <w:szCs w:val="24"/>
                <w:lang w:val="lv-LV"/>
              </w:rPr>
              <w:t xml:space="preserve"> vadoties no maksimāli </w:t>
            </w:r>
            <w:r w:rsidR="00983C38" w:rsidRPr="00B57019">
              <w:rPr>
                <w:rFonts w:ascii="Times New Roman" w:hAnsi="Times New Roman"/>
                <w:sz w:val="24"/>
                <w:szCs w:val="24"/>
                <w:lang w:val="lv-LV"/>
              </w:rPr>
              <w:t>piesardzīgu ietaupījuma aprēķin</w:t>
            </w:r>
            <w:r w:rsidRPr="00B57019">
              <w:rPr>
                <w:rFonts w:ascii="Times New Roman" w:hAnsi="Times New Roman"/>
                <w:sz w:val="24"/>
                <w:szCs w:val="24"/>
                <w:lang w:val="lv-LV"/>
              </w:rPr>
              <w:t xml:space="preserve">u veikšanas, iekļaujot tikai maksimāli uzticamus datus. Piekrītam, ka faktiskais ietaupījums ir vēl lielāks, jo kopš aprēķinu veikšanas (kas balstās uz iepriekšējām iepirkumu direktīvām) ir pieaudzis gan iepirkumu procesu regulējošo tiesību aktu skaits, gan arī ir nākuši klāt jauni iepirkuma komisijas pienākumi, piemēram, publicēt iepirkumu plānus, piemērot sarežģītu Sankciju likumu, piemērot jaunus izslēgšanas nosacījumus, ievadīt datus līgumu reģistrā, kā arī pašā EIS e-konkursu </w:t>
            </w:r>
            <w:r w:rsidRPr="00B57019">
              <w:rPr>
                <w:rFonts w:ascii="Times New Roman" w:hAnsi="Times New Roman"/>
                <w:sz w:val="24"/>
                <w:szCs w:val="24"/>
                <w:lang w:val="lv-LV"/>
              </w:rPr>
              <w:lastRenderedPageBreak/>
              <w:t xml:space="preserve">sistēmā. Visi šie jaunie pienākumi vēl vairāk palielina nepieciešamo administratīvo resursu starpību starp pasūtījumiem EIS e-katalogos un iepirkuma organizēšanu.  </w:t>
            </w:r>
          </w:p>
          <w:p w14:paraId="3CF65E50" w14:textId="77777777" w:rsidR="007F7AB8" w:rsidRPr="00B57019" w:rsidRDefault="00C4552E" w:rsidP="00C4552E">
            <w:pPr>
              <w:pStyle w:val="PlainText"/>
              <w:jc w:val="both"/>
              <w:rPr>
                <w:rFonts w:ascii="Times New Roman" w:hAnsi="Times New Roman"/>
                <w:sz w:val="24"/>
                <w:szCs w:val="24"/>
                <w:lang w:val="lv-LV"/>
              </w:rPr>
            </w:pPr>
            <w:r w:rsidRPr="00B57019">
              <w:rPr>
                <w:rFonts w:ascii="Times New Roman" w:hAnsi="Times New Roman"/>
                <w:sz w:val="24"/>
                <w:szCs w:val="24"/>
                <w:lang w:val="lv-LV"/>
              </w:rPr>
              <w:t>Vēršam uzmanību, ka aprēķinos nav iekļauti pašvaldību, to iestāžu un kapitālsabiedrību iepirkumi. Tomēr ministriju padotībā esošo kapitālsabiedrību iepirkumi ir iekļauti aprēķinos. Jautājums par resursu pārdali resora ietvaros netiek skarts protokollēmumā un paliek katras ministrijas kompetencē. Vēršam Jūsu uzmanību, ka EIS e-pasūtījumu dati ir publiski pieejami gan EIS statistikas atskaitēs pašā sistēmā, gan Latvijas atvērto datu portālā.</w:t>
            </w:r>
            <w:r w:rsidR="007F7AB8" w:rsidRPr="00B57019">
              <w:rPr>
                <w:rFonts w:ascii="Times New Roman" w:hAnsi="Times New Roman"/>
                <w:sz w:val="24"/>
                <w:szCs w:val="24"/>
                <w:lang w:val="lv-LV"/>
              </w:rPr>
              <w:t xml:space="preserve"> </w:t>
            </w:r>
          </w:p>
          <w:p w14:paraId="528CF914" w14:textId="77777777" w:rsidR="00C4552E" w:rsidRPr="00B57019" w:rsidRDefault="00C4552E" w:rsidP="00C4552E">
            <w:pPr>
              <w:pStyle w:val="PlainText"/>
              <w:jc w:val="both"/>
              <w:rPr>
                <w:rFonts w:ascii="Times New Roman" w:hAnsi="Times New Roman"/>
                <w:sz w:val="24"/>
                <w:szCs w:val="24"/>
                <w:lang w:val="lv-LV"/>
              </w:rPr>
            </w:pPr>
            <w:r w:rsidRPr="00B57019">
              <w:rPr>
                <w:rFonts w:ascii="Times New Roman" w:hAnsi="Times New Roman"/>
                <w:sz w:val="24"/>
                <w:szCs w:val="24"/>
                <w:lang w:val="lv-LV"/>
              </w:rPr>
              <w:t xml:space="preserve">  </w:t>
            </w:r>
          </w:p>
          <w:p w14:paraId="1B9EE44E" w14:textId="77777777" w:rsidR="008B4A15" w:rsidRPr="00B57019" w:rsidRDefault="002E6940" w:rsidP="00875605">
            <w:pPr>
              <w:jc w:val="both"/>
            </w:pPr>
            <w:r w:rsidRPr="00B57019">
              <w:br/>
            </w:r>
            <w:r w:rsidRPr="00B57019">
              <w:br/>
            </w:r>
            <w:r w:rsidRPr="00B57019">
              <w:br/>
            </w:r>
            <w:r w:rsidRPr="00B57019">
              <w:br/>
            </w:r>
            <w:r w:rsidRPr="00B57019">
              <w:br/>
            </w:r>
            <w:r w:rsidRPr="00B57019">
              <w:br/>
            </w:r>
            <w:r w:rsidRPr="00B57019">
              <w:br/>
            </w:r>
            <w:r w:rsidRPr="00B57019">
              <w:lastRenderedPageBreak/>
              <w:br/>
            </w:r>
            <w:r w:rsidRPr="00B57019">
              <w:br/>
            </w:r>
            <w:r w:rsidRPr="00B57019">
              <w:br/>
            </w:r>
            <w:r w:rsidRPr="00B57019">
              <w:br/>
            </w:r>
            <w:r w:rsidRPr="00B57019">
              <w:br/>
            </w:r>
            <w:r w:rsidRPr="00B57019">
              <w:br/>
            </w:r>
            <w:r w:rsidRPr="00B57019">
              <w:br/>
            </w:r>
            <w:r w:rsidRPr="00B57019">
              <w:br/>
            </w:r>
            <w:r w:rsidRPr="00B57019">
              <w:br/>
            </w:r>
            <w:r w:rsidRPr="00B57019">
              <w:br/>
            </w:r>
            <w:r w:rsidRPr="00B57019">
              <w:br/>
            </w:r>
            <w:r w:rsidRPr="00B57019">
              <w:br/>
            </w:r>
            <w:r w:rsidRPr="00B57019">
              <w:br/>
            </w:r>
            <w:r w:rsidRPr="00B57019">
              <w:br/>
            </w:r>
            <w:r w:rsidRPr="00B57019">
              <w:br/>
            </w:r>
          </w:p>
          <w:p w14:paraId="301BE6B4" w14:textId="77777777" w:rsidR="008B4A15" w:rsidRPr="00B57019" w:rsidRDefault="008B4A15" w:rsidP="00875605">
            <w:pPr>
              <w:jc w:val="both"/>
            </w:pPr>
          </w:p>
          <w:p w14:paraId="396E5B50" w14:textId="77777777" w:rsidR="008B4A15" w:rsidRPr="00B57019" w:rsidRDefault="008B4A15" w:rsidP="00875605">
            <w:pPr>
              <w:jc w:val="both"/>
            </w:pPr>
          </w:p>
          <w:p w14:paraId="36BDE072" w14:textId="76A93296" w:rsidR="00EC6834" w:rsidRPr="00B57019" w:rsidRDefault="002E6940" w:rsidP="00EC6834">
            <w:pPr>
              <w:jc w:val="both"/>
            </w:pPr>
            <w:r w:rsidRPr="00B57019">
              <w:br/>
            </w:r>
            <w:r w:rsidRPr="00B57019">
              <w:br/>
            </w:r>
            <w:r w:rsidRPr="00B57019">
              <w:br/>
            </w:r>
            <w:r w:rsidRPr="00B57019">
              <w:br/>
            </w:r>
            <w:r w:rsidRPr="00B57019">
              <w:br/>
            </w:r>
            <w:r w:rsidRPr="00B57019">
              <w:br/>
            </w:r>
            <w:r w:rsidRPr="00B57019">
              <w:br/>
            </w:r>
            <w:r w:rsidRPr="00B57019">
              <w:br/>
            </w:r>
            <w:r w:rsidRPr="00B57019">
              <w:br/>
            </w:r>
            <w:r w:rsidRPr="00B57019">
              <w:br/>
            </w:r>
            <w:r w:rsidRPr="00B57019">
              <w:br/>
            </w:r>
            <w:r w:rsidRPr="00B57019">
              <w:br/>
            </w:r>
            <w:r w:rsidRPr="00B57019">
              <w:br/>
            </w:r>
            <w:r w:rsidRPr="00B57019">
              <w:br/>
            </w:r>
            <w:r w:rsidRPr="00B57019">
              <w:br/>
            </w:r>
            <w:r w:rsidRPr="00B57019">
              <w:br/>
            </w:r>
            <w:r w:rsidRPr="00B57019">
              <w:br/>
            </w:r>
            <w:r w:rsidRPr="00B57019">
              <w:br/>
            </w:r>
            <w:r w:rsidRPr="00B57019">
              <w:br/>
            </w:r>
            <w:r w:rsidRPr="00B57019">
              <w:br/>
            </w:r>
            <w:r w:rsidRPr="00B57019">
              <w:br/>
            </w:r>
            <w:r w:rsidR="00EC6834" w:rsidRPr="00B57019">
              <w:t>Skatīt informatīvā ziņojuma projekta 6. pielikumu.</w:t>
            </w:r>
          </w:p>
          <w:p w14:paraId="053C6230" w14:textId="7D530DB7" w:rsidR="004777D0" w:rsidRPr="00B57019" w:rsidRDefault="002E6940" w:rsidP="00875605">
            <w:pPr>
              <w:jc w:val="both"/>
            </w:pPr>
            <w:r w:rsidRPr="00B57019">
              <w:br/>
            </w:r>
            <w:r w:rsidR="008A5C22" w:rsidRPr="00B57019">
              <w:rPr>
                <w:highlight w:val="green"/>
              </w:rPr>
              <w:t xml:space="preserve"> </w:t>
            </w:r>
            <w:r w:rsidRPr="00B57019">
              <w:br/>
            </w:r>
            <w:r w:rsidRPr="00B57019">
              <w:br/>
            </w:r>
            <w:r w:rsidRPr="00B57019">
              <w:br/>
            </w:r>
            <w:r w:rsidRPr="00B57019">
              <w:br/>
            </w:r>
            <w:r w:rsidRPr="00B57019">
              <w:br/>
            </w:r>
            <w:r w:rsidRPr="00B57019">
              <w:br/>
            </w:r>
            <w:r w:rsidRPr="00B57019">
              <w:br/>
            </w:r>
            <w:r w:rsidRPr="00B57019">
              <w:br/>
            </w:r>
            <w:r w:rsidRPr="00B57019">
              <w:br/>
            </w:r>
            <w:r w:rsidRPr="00B57019">
              <w:br/>
            </w:r>
            <w:r w:rsidRPr="00B57019">
              <w:br/>
            </w:r>
            <w:r w:rsidRPr="00B57019">
              <w:br/>
            </w:r>
            <w:r w:rsidRPr="00B57019">
              <w:br/>
            </w:r>
            <w:r w:rsidRPr="00B57019">
              <w:br/>
            </w:r>
            <w:r w:rsidRPr="00B57019">
              <w:br/>
            </w:r>
            <w:r w:rsidRPr="00B57019">
              <w:br/>
            </w:r>
            <w:r w:rsidRPr="00B57019">
              <w:br/>
            </w:r>
            <w:r w:rsidRPr="00B57019">
              <w:br/>
            </w:r>
            <w:r w:rsidRPr="00B57019">
              <w:br/>
            </w:r>
            <w:r w:rsidRPr="00B57019">
              <w:br/>
            </w:r>
            <w:r w:rsidRPr="00B57019">
              <w:br/>
            </w:r>
            <w:r w:rsidRPr="00B57019">
              <w:br/>
            </w:r>
          </w:p>
          <w:p w14:paraId="788F90D1" w14:textId="77777777" w:rsidR="00875605" w:rsidRPr="00B57019" w:rsidRDefault="00875605" w:rsidP="00875605">
            <w:pPr>
              <w:jc w:val="both"/>
            </w:pPr>
          </w:p>
          <w:p w14:paraId="36B3A9C6" w14:textId="77777777" w:rsidR="00875605" w:rsidRPr="00B57019" w:rsidRDefault="00875605" w:rsidP="00875605">
            <w:pPr>
              <w:jc w:val="both"/>
            </w:pPr>
          </w:p>
          <w:p w14:paraId="2584D08C" w14:textId="77777777" w:rsidR="00875605" w:rsidRPr="00B57019" w:rsidRDefault="00875605" w:rsidP="00875605">
            <w:pPr>
              <w:jc w:val="both"/>
            </w:pPr>
          </w:p>
          <w:p w14:paraId="73414680" w14:textId="77777777" w:rsidR="00875605" w:rsidRPr="00B57019" w:rsidRDefault="00875605" w:rsidP="00875605">
            <w:pPr>
              <w:jc w:val="both"/>
            </w:pPr>
          </w:p>
          <w:p w14:paraId="2A3A8CD2" w14:textId="77777777" w:rsidR="00875605" w:rsidRPr="00B57019" w:rsidRDefault="00875605" w:rsidP="00875605">
            <w:pPr>
              <w:jc w:val="both"/>
            </w:pPr>
          </w:p>
          <w:p w14:paraId="2339128E" w14:textId="77777777" w:rsidR="00875605" w:rsidRPr="00B57019" w:rsidRDefault="00875605" w:rsidP="00875605">
            <w:pPr>
              <w:jc w:val="both"/>
            </w:pPr>
          </w:p>
          <w:p w14:paraId="5F89A940" w14:textId="77777777" w:rsidR="00875605" w:rsidRPr="00B57019" w:rsidRDefault="00875605" w:rsidP="00875605">
            <w:pPr>
              <w:jc w:val="both"/>
            </w:pPr>
          </w:p>
          <w:p w14:paraId="3F2EEA05" w14:textId="77777777" w:rsidR="00875605" w:rsidRPr="00B57019" w:rsidRDefault="00875605" w:rsidP="00875605">
            <w:pPr>
              <w:jc w:val="both"/>
            </w:pPr>
          </w:p>
          <w:p w14:paraId="05D49FA1" w14:textId="77777777" w:rsidR="00875605" w:rsidRPr="00B57019" w:rsidRDefault="00875605" w:rsidP="00875605">
            <w:pPr>
              <w:jc w:val="both"/>
            </w:pPr>
          </w:p>
          <w:p w14:paraId="48FCA6D9" w14:textId="77777777" w:rsidR="00875605" w:rsidRPr="00B57019" w:rsidRDefault="00875605" w:rsidP="00875605">
            <w:pPr>
              <w:jc w:val="both"/>
            </w:pPr>
          </w:p>
          <w:p w14:paraId="1F99B7FD" w14:textId="77777777" w:rsidR="00875605" w:rsidRPr="00B57019" w:rsidRDefault="00875605" w:rsidP="00875605">
            <w:pPr>
              <w:jc w:val="both"/>
            </w:pPr>
          </w:p>
          <w:p w14:paraId="673420A0" w14:textId="77777777" w:rsidR="00875605" w:rsidRPr="00B57019" w:rsidRDefault="00875605" w:rsidP="00875605">
            <w:pPr>
              <w:jc w:val="both"/>
            </w:pPr>
          </w:p>
          <w:p w14:paraId="55D49169" w14:textId="77777777" w:rsidR="00875605" w:rsidRPr="00B57019" w:rsidRDefault="00875605" w:rsidP="00875605">
            <w:pPr>
              <w:jc w:val="both"/>
            </w:pPr>
          </w:p>
          <w:p w14:paraId="56DB4994" w14:textId="77777777" w:rsidR="00875605" w:rsidRPr="00B57019" w:rsidRDefault="00875605" w:rsidP="00875605">
            <w:pPr>
              <w:jc w:val="both"/>
            </w:pPr>
          </w:p>
          <w:p w14:paraId="35A283D7" w14:textId="77777777" w:rsidR="00875605" w:rsidRPr="00B57019" w:rsidRDefault="00875605" w:rsidP="00875605">
            <w:pPr>
              <w:jc w:val="both"/>
            </w:pPr>
          </w:p>
          <w:p w14:paraId="36A8971D" w14:textId="77777777" w:rsidR="00875605" w:rsidRPr="00B57019" w:rsidRDefault="00875605" w:rsidP="00875605">
            <w:pPr>
              <w:jc w:val="both"/>
            </w:pPr>
          </w:p>
          <w:p w14:paraId="7CB9FC5D" w14:textId="77777777" w:rsidR="00875605" w:rsidRPr="00B57019" w:rsidRDefault="00875605" w:rsidP="00875605">
            <w:pPr>
              <w:jc w:val="both"/>
            </w:pPr>
          </w:p>
          <w:p w14:paraId="06136AE8" w14:textId="77777777" w:rsidR="00875605" w:rsidRPr="00B57019" w:rsidRDefault="00875605" w:rsidP="00875605">
            <w:pPr>
              <w:jc w:val="both"/>
            </w:pPr>
          </w:p>
          <w:p w14:paraId="31F90825" w14:textId="77777777" w:rsidR="00875605" w:rsidRPr="00B57019" w:rsidRDefault="00875605" w:rsidP="00875605">
            <w:pPr>
              <w:jc w:val="both"/>
            </w:pPr>
          </w:p>
          <w:p w14:paraId="39BA4052" w14:textId="77777777" w:rsidR="00875605" w:rsidRPr="00B57019" w:rsidRDefault="00875605" w:rsidP="00875605">
            <w:pPr>
              <w:jc w:val="both"/>
            </w:pPr>
          </w:p>
          <w:p w14:paraId="39424B34" w14:textId="77777777" w:rsidR="00875605" w:rsidRPr="00B57019" w:rsidRDefault="00875605" w:rsidP="00875605">
            <w:pPr>
              <w:jc w:val="both"/>
            </w:pPr>
          </w:p>
          <w:p w14:paraId="3F4BD352" w14:textId="77777777" w:rsidR="00875605" w:rsidRPr="00B57019" w:rsidRDefault="00875605" w:rsidP="00875605">
            <w:pPr>
              <w:jc w:val="both"/>
            </w:pPr>
          </w:p>
          <w:p w14:paraId="5AF6CAED" w14:textId="77777777" w:rsidR="00875605" w:rsidRPr="00B57019" w:rsidRDefault="00875605" w:rsidP="00875605">
            <w:pPr>
              <w:jc w:val="both"/>
            </w:pPr>
          </w:p>
          <w:p w14:paraId="48D3D3A5" w14:textId="77777777" w:rsidR="00875605" w:rsidRPr="00B57019" w:rsidRDefault="00875605" w:rsidP="00875605">
            <w:pPr>
              <w:jc w:val="both"/>
            </w:pPr>
          </w:p>
          <w:p w14:paraId="016B29DA" w14:textId="77777777" w:rsidR="00875605" w:rsidRPr="00B57019" w:rsidRDefault="00875605" w:rsidP="00875605">
            <w:pPr>
              <w:jc w:val="both"/>
            </w:pPr>
          </w:p>
          <w:p w14:paraId="0731398F" w14:textId="77777777" w:rsidR="00875605" w:rsidRPr="00B57019" w:rsidRDefault="00875605" w:rsidP="00875605">
            <w:pPr>
              <w:jc w:val="both"/>
            </w:pPr>
          </w:p>
          <w:p w14:paraId="0679E09F" w14:textId="77777777" w:rsidR="00875605" w:rsidRPr="00B57019" w:rsidRDefault="00875605" w:rsidP="00875605">
            <w:pPr>
              <w:jc w:val="both"/>
            </w:pPr>
          </w:p>
          <w:p w14:paraId="0CAADF30" w14:textId="77777777" w:rsidR="00875605" w:rsidRPr="00B57019" w:rsidRDefault="00875605" w:rsidP="00875605">
            <w:pPr>
              <w:jc w:val="both"/>
            </w:pPr>
          </w:p>
          <w:p w14:paraId="1240DEBD" w14:textId="77777777" w:rsidR="00875605" w:rsidRPr="00B57019" w:rsidRDefault="00875605" w:rsidP="00875605">
            <w:pPr>
              <w:jc w:val="both"/>
            </w:pPr>
          </w:p>
          <w:p w14:paraId="5DADAD85" w14:textId="77777777" w:rsidR="00875605" w:rsidRPr="00B57019" w:rsidRDefault="00875605" w:rsidP="00875605">
            <w:pPr>
              <w:jc w:val="both"/>
            </w:pPr>
          </w:p>
          <w:p w14:paraId="6AE6B9FE" w14:textId="77777777" w:rsidR="00875605" w:rsidRPr="00B57019" w:rsidRDefault="00875605" w:rsidP="00875605">
            <w:pPr>
              <w:jc w:val="both"/>
            </w:pPr>
          </w:p>
          <w:p w14:paraId="307A325F" w14:textId="77777777" w:rsidR="00875605" w:rsidRPr="00B57019" w:rsidRDefault="00875605" w:rsidP="00875605">
            <w:pPr>
              <w:jc w:val="both"/>
            </w:pPr>
          </w:p>
          <w:p w14:paraId="5AEB2BF8" w14:textId="77777777" w:rsidR="00875605" w:rsidRPr="00B57019" w:rsidRDefault="00875605" w:rsidP="00875605">
            <w:pPr>
              <w:jc w:val="both"/>
            </w:pPr>
          </w:p>
          <w:p w14:paraId="0B02B18C" w14:textId="77777777" w:rsidR="00875605" w:rsidRPr="00B57019" w:rsidRDefault="00875605" w:rsidP="00875605">
            <w:pPr>
              <w:jc w:val="both"/>
            </w:pPr>
          </w:p>
          <w:p w14:paraId="01620348" w14:textId="77777777" w:rsidR="00875605" w:rsidRPr="00B57019" w:rsidRDefault="00875605" w:rsidP="00875605">
            <w:pPr>
              <w:jc w:val="both"/>
            </w:pPr>
          </w:p>
          <w:p w14:paraId="28249635" w14:textId="77777777" w:rsidR="00875605" w:rsidRPr="00B57019" w:rsidRDefault="00875605" w:rsidP="00875605">
            <w:pPr>
              <w:jc w:val="both"/>
            </w:pPr>
          </w:p>
          <w:p w14:paraId="1EA339D0" w14:textId="77777777" w:rsidR="00875605" w:rsidRPr="00B57019" w:rsidRDefault="00875605" w:rsidP="00875605">
            <w:pPr>
              <w:jc w:val="both"/>
            </w:pPr>
          </w:p>
          <w:p w14:paraId="085B2287" w14:textId="77777777" w:rsidR="00875605" w:rsidRPr="00B57019" w:rsidRDefault="00875605" w:rsidP="00875605">
            <w:pPr>
              <w:jc w:val="both"/>
            </w:pPr>
            <w:r w:rsidRPr="00B57019">
              <w:t>Ministrij</w:t>
            </w:r>
            <w:r w:rsidR="000B0A39" w:rsidRPr="00B57019">
              <w:t>ām</w:t>
            </w:r>
            <w:r w:rsidRPr="00B57019">
              <w:t xml:space="preserve"> ar kapitālsabiedrībām </w:t>
            </w:r>
            <w:r w:rsidR="000B0A39" w:rsidRPr="00B57019">
              <w:t>ir iespēja diskutēt</w:t>
            </w:r>
            <w:r w:rsidR="00A0277B" w:rsidRPr="00B57019">
              <w:t xml:space="preserve"> par to</w:t>
            </w:r>
            <w:r w:rsidRPr="00B57019">
              <w:t xml:space="preserve">, vai valsts (VRAA) sniegtā pakalpojumu rezultātā valsts </w:t>
            </w:r>
            <w:r w:rsidR="008019E9" w:rsidRPr="00B57019">
              <w:t>deleģēto</w:t>
            </w:r>
            <w:r w:rsidRPr="00B57019">
              <w:t xml:space="preserve"> funkciju izpilde kļūst lētāka, </w:t>
            </w:r>
            <w:r w:rsidR="00A0277B" w:rsidRPr="00B57019">
              <w:t>tādējādi radot</w:t>
            </w:r>
            <w:r w:rsidRPr="00B57019">
              <w:t xml:space="preserve"> pamatu dotācijas samazināšanai, ko nozares ministrija </w:t>
            </w:r>
            <w:r w:rsidR="00A0277B" w:rsidRPr="00B57019">
              <w:t>piešķir</w:t>
            </w:r>
            <w:r w:rsidRPr="00B57019">
              <w:t xml:space="preserve"> savai kapitālsabiedrībai.</w:t>
            </w:r>
          </w:p>
          <w:p w14:paraId="2B4842D3" w14:textId="77777777" w:rsidR="00875605" w:rsidRPr="00B57019" w:rsidRDefault="00875605" w:rsidP="00875605">
            <w:pPr>
              <w:jc w:val="both"/>
            </w:pPr>
            <w:r w:rsidRPr="00B57019">
              <w:t xml:space="preserve"> </w:t>
            </w:r>
            <w:r w:rsidRPr="00B57019">
              <w:br/>
            </w:r>
          </w:p>
          <w:p w14:paraId="0E3871D2" w14:textId="77777777" w:rsidR="00875605" w:rsidRPr="00B57019" w:rsidRDefault="00875605" w:rsidP="00875605">
            <w:pPr>
              <w:jc w:val="both"/>
            </w:pPr>
          </w:p>
          <w:p w14:paraId="26733E9C" w14:textId="77777777" w:rsidR="00875605" w:rsidRPr="00B57019" w:rsidRDefault="00875605" w:rsidP="00875605">
            <w:pPr>
              <w:jc w:val="both"/>
            </w:pPr>
          </w:p>
          <w:p w14:paraId="2E35BECA" w14:textId="77777777" w:rsidR="00875605" w:rsidRPr="00B57019" w:rsidRDefault="00875605" w:rsidP="00875605">
            <w:pPr>
              <w:jc w:val="both"/>
            </w:pP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05164568" w14:textId="77777777" w:rsidR="00B731A3" w:rsidRPr="00B57019" w:rsidRDefault="00B731A3" w:rsidP="00B731A3">
            <w:pPr>
              <w:jc w:val="both"/>
            </w:pPr>
            <w:r w:rsidRPr="00B57019">
              <w:lastRenderedPageBreak/>
              <w:t>Iebildums tiek uzturēts.</w:t>
            </w:r>
          </w:p>
          <w:p w14:paraId="5EE5163C" w14:textId="77777777" w:rsidR="004777D0" w:rsidRPr="00B57019" w:rsidRDefault="004777D0" w:rsidP="004777D0">
            <w:pPr>
              <w:jc w:val="center"/>
            </w:pPr>
          </w:p>
        </w:tc>
        <w:tc>
          <w:tcPr>
            <w:tcW w:w="2503" w:type="dxa"/>
            <w:tcBorders>
              <w:top w:val="single" w:sz="4" w:space="0" w:color="auto"/>
              <w:left w:val="single" w:sz="4" w:space="0" w:color="auto"/>
              <w:bottom w:val="single" w:sz="4" w:space="0" w:color="auto"/>
            </w:tcBorders>
            <w:shd w:val="clear" w:color="auto" w:fill="auto"/>
          </w:tcPr>
          <w:p w14:paraId="1592E73F" w14:textId="77777777" w:rsidR="00A26360" w:rsidRPr="00B57019" w:rsidRDefault="00A26360" w:rsidP="00A26360">
            <w:pPr>
              <w:jc w:val="both"/>
            </w:pPr>
            <w:r w:rsidRPr="00B57019">
              <w:t>Informatīvā ziņojuma projekta 3. punkts papildināts ar tekstu šādā redakcijā:</w:t>
            </w:r>
          </w:p>
          <w:p w14:paraId="3FBE217F" w14:textId="77777777" w:rsidR="008A5C22" w:rsidRPr="00B57019" w:rsidRDefault="00A26360" w:rsidP="003C60C1">
            <w:pPr>
              <w:jc w:val="both"/>
            </w:pPr>
            <w:r w:rsidRPr="00B57019">
              <w:lastRenderedPageBreak/>
              <w:t>“Ietaupītā darba laika apjoms ir aprēķināts, sadalot saskaņā ar Ziņojuma pielikumos Nr. 1. – Nr. 5. aprakstītajām metodēm aprēķināto summāro ietaupījumu proporcionāli pa nozaru ministrijām, atbilstoši ministriju un padotības iestāžu kopējam nodarbināto skaitam pēc Valsts kancelejas datiem.”</w:t>
            </w:r>
          </w:p>
          <w:p w14:paraId="7C17D528" w14:textId="77777777" w:rsidR="008A5C22" w:rsidRPr="00B57019" w:rsidRDefault="008A5C22" w:rsidP="003C60C1">
            <w:pPr>
              <w:jc w:val="both"/>
            </w:pPr>
          </w:p>
          <w:p w14:paraId="39595F6F" w14:textId="77777777" w:rsidR="008A5C22" w:rsidRPr="00B57019" w:rsidRDefault="008A5C22" w:rsidP="003C60C1">
            <w:pPr>
              <w:jc w:val="both"/>
            </w:pPr>
          </w:p>
          <w:p w14:paraId="34AF0190" w14:textId="77777777" w:rsidR="008A5C22" w:rsidRPr="00B57019" w:rsidRDefault="008A5C22" w:rsidP="003C60C1">
            <w:pPr>
              <w:jc w:val="both"/>
            </w:pPr>
          </w:p>
          <w:p w14:paraId="38DBBBCB" w14:textId="77777777" w:rsidR="008A5C22" w:rsidRPr="00B57019" w:rsidRDefault="008A5C22" w:rsidP="003C60C1">
            <w:pPr>
              <w:jc w:val="both"/>
            </w:pPr>
          </w:p>
          <w:p w14:paraId="60C0235A" w14:textId="77777777" w:rsidR="008A5C22" w:rsidRPr="00B57019" w:rsidRDefault="008A5C22" w:rsidP="003C60C1">
            <w:pPr>
              <w:jc w:val="both"/>
            </w:pPr>
          </w:p>
          <w:p w14:paraId="46190DE9" w14:textId="77777777" w:rsidR="008A5C22" w:rsidRPr="00B57019" w:rsidRDefault="008A5C22" w:rsidP="003C60C1">
            <w:pPr>
              <w:jc w:val="both"/>
            </w:pPr>
          </w:p>
          <w:p w14:paraId="4A3771CB" w14:textId="77777777" w:rsidR="008A5C22" w:rsidRPr="00B57019" w:rsidRDefault="008A5C22" w:rsidP="003C60C1">
            <w:pPr>
              <w:jc w:val="both"/>
            </w:pPr>
          </w:p>
          <w:p w14:paraId="4C1563E5" w14:textId="77777777" w:rsidR="008A5C22" w:rsidRPr="00B57019" w:rsidRDefault="008A5C22" w:rsidP="003C60C1">
            <w:pPr>
              <w:jc w:val="both"/>
            </w:pPr>
          </w:p>
          <w:p w14:paraId="6BA6184A" w14:textId="77777777" w:rsidR="008A5C22" w:rsidRPr="00B57019" w:rsidRDefault="008A5C22" w:rsidP="003C60C1">
            <w:pPr>
              <w:jc w:val="both"/>
            </w:pPr>
          </w:p>
          <w:p w14:paraId="5DFEAF64" w14:textId="77777777" w:rsidR="008A5C22" w:rsidRPr="00B57019" w:rsidRDefault="008A5C22" w:rsidP="003C60C1">
            <w:pPr>
              <w:jc w:val="both"/>
            </w:pPr>
          </w:p>
          <w:p w14:paraId="0E9B675F" w14:textId="77777777" w:rsidR="008A5C22" w:rsidRPr="00B57019" w:rsidRDefault="008A5C22" w:rsidP="003C60C1">
            <w:pPr>
              <w:jc w:val="both"/>
            </w:pPr>
          </w:p>
          <w:p w14:paraId="7AD96B65" w14:textId="77777777" w:rsidR="008A5C22" w:rsidRPr="00B57019" w:rsidRDefault="008A5C22" w:rsidP="003C60C1">
            <w:pPr>
              <w:jc w:val="both"/>
            </w:pPr>
          </w:p>
          <w:p w14:paraId="01F9F144" w14:textId="77777777" w:rsidR="008A5C22" w:rsidRPr="00B57019" w:rsidRDefault="008A5C22" w:rsidP="003C60C1">
            <w:pPr>
              <w:jc w:val="both"/>
            </w:pPr>
          </w:p>
          <w:p w14:paraId="6CA95CA5" w14:textId="77777777" w:rsidR="008A5C22" w:rsidRPr="00B57019" w:rsidRDefault="008A5C22" w:rsidP="003C60C1">
            <w:pPr>
              <w:jc w:val="both"/>
            </w:pPr>
          </w:p>
          <w:p w14:paraId="385426D2" w14:textId="77777777" w:rsidR="008A5C22" w:rsidRPr="00B57019" w:rsidRDefault="008A5C22" w:rsidP="003C60C1">
            <w:pPr>
              <w:jc w:val="both"/>
            </w:pPr>
          </w:p>
          <w:p w14:paraId="0F622108" w14:textId="77777777" w:rsidR="008A5C22" w:rsidRPr="00B57019" w:rsidRDefault="008A5C22" w:rsidP="003C60C1">
            <w:pPr>
              <w:jc w:val="both"/>
            </w:pPr>
          </w:p>
          <w:p w14:paraId="4299E21C" w14:textId="77777777" w:rsidR="008A5C22" w:rsidRPr="00B57019" w:rsidRDefault="008A5C22" w:rsidP="003C60C1">
            <w:pPr>
              <w:jc w:val="both"/>
            </w:pPr>
          </w:p>
          <w:p w14:paraId="24841A79" w14:textId="77777777" w:rsidR="008A5C22" w:rsidRPr="00B57019" w:rsidRDefault="008A5C22" w:rsidP="003C60C1">
            <w:pPr>
              <w:jc w:val="both"/>
            </w:pPr>
          </w:p>
          <w:p w14:paraId="7AF866AD" w14:textId="77777777" w:rsidR="008A5C22" w:rsidRPr="00B57019" w:rsidRDefault="008A5C22" w:rsidP="003C60C1">
            <w:pPr>
              <w:jc w:val="both"/>
            </w:pPr>
          </w:p>
          <w:p w14:paraId="2687E912" w14:textId="77777777" w:rsidR="008A5C22" w:rsidRPr="00B57019" w:rsidRDefault="008A5C22" w:rsidP="003C60C1">
            <w:pPr>
              <w:jc w:val="both"/>
            </w:pPr>
          </w:p>
          <w:p w14:paraId="47051282" w14:textId="77777777" w:rsidR="008A5C22" w:rsidRPr="00B57019" w:rsidRDefault="008A5C22" w:rsidP="003C60C1">
            <w:pPr>
              <w:jc w:val="both"/>
            </w:pPr>
          </w:p>
          <w:p w14:paraId="28A3DD32" w14:textId="77777777" w:rsidR="008A5C22" w:rsidRPr="00B57019" w:rsidRDefault="008A5C22" w:rsidP="003C60C1">
            <w:pPr>
              <w:jc w:val="both"/>
            </w:pPr>
          </w:p>
          <w:p w14:paraId="31698415" w14:textId="77777777" w:rsidR="008A5C22" w:rsidRPr="00B57019" w:rsidRDefault="008A5C22" w:rsidP="003C60C1">
            <w:pPr>
              <w:jc w:val="both"/>
            </w:pPr>
          </w:p>
          <w:p w14:paraId="37FCE6F5" w14:textId="77777777" w:rsidR="008A5C22" w:rsidRPr="00B57019" w:rsidRDefault="008A5C22" w:rsidP="003C60C1">
            <w:pPr>
              <w:jc w:val="both"/>
            </w:pPr>
          </w:p>
          <w:p w14:paraId="7C3509DC" w14:textId="77777777" w:rsidR="008A5C22" w:rsidRPr="00B57019" w:rsidRDefault="008A5C22" w:rsidP="003C60C1">
            <w:pPr>
              <w:jc w:val="both"/>
            </w:pPr>
          </w:p>
          <w:p w14:paraId="19C83A5B" w14:textId="77777777" w:rsidR="008A5C22" w:rsidRPr="00B57019" w:rsidRDefault="008A5C22" w:rsidP="003C60C1">
            <w:pPr>
              <w:jc w:val="both"/>
            </w:pPr>
          </w:p>
          <w:p w14:paraId="31736B3C" w14:textId="77777777" w:rsidR="008A5C22" w:rsidRPr="00B57019" w:rsidRDefault="008A5C22" w:rsidP="003C60C1">
            <w:pPr>
              <w:jc w:val="both"/>
            </w:pPr>
          </w:p>
          <w:p w14:paraId="33E59CC9" w14:textId="77777777" w:rsidR="008A5C22" w:rsidRPr="00B57019" w:rsidRDefault="008A5C22" w:rsidP="003C60C1">
            <w:pPr>
              <w:jc w:val="both"/>
            </w:pPr>
          </w:p>
          <w:p w14:paraId="0ABCA982" w14:textId="77777777" w:rsidR="008A5C22" w:rsidRPr="00B57019" w:rsidRDefault="008A5C22" w:rsidP="003C60C1">
            <w:pPr>
              <w:jc w:val="both"/>
            </w:pPr>
          </w:p>
          <w:p w14:paraId="02BF9594" w14:textId="77777777" w:rsidR="008A5C22" w:rsidRPr="00B57019" w:rsidRDefault="008A5C22" w:rsidP="003C60C1">
            <w:pPr>
              <w:jc w:val="both"/>
            </w:pPr>
          </w:p>
          <w:p w14:paraId="0ADA0ED5" w14:textId="77777777" w:rsidR="008A5C22" w:rsidRPr="00B57019" w:rsidRDefault="008A5C22" w:rsidP="003C60C1">
            <w:pPr>
              <w:jc w:val="both"/>
            </w:pPr>
          </w:p>
          <w:p w14:paraId="6A77C078" w14:textId="77777777" w:rsidR="008A5C22" w:rsidRPr="00B57019" w:rsidRDefault="008A5C22" w:rsidP="003C60C1">
            <w:pPr>
              <w:jc w:val="both"/>
            </w:pPr>
          </w:p>
          <w:p w14:paraId="0F1FAA2F" w14:textId="77777777" w:rsidR="008A5C22" w:rsidRPr="00B57019" w:rsidRDefault="008A5C22" w:rsidP="003C60C1">
            <w:pPr>
              <w:jc w:val="both"/>
            </w:pPr>
          </w:p>
          <w:p w14:paraId="4CD07529" w14:textId="77777777" w:rsidR="008A5C22" w:rsidRPr="00B57019" w:rsidRDefault="008A5C22" w:rsidP="003C60C1">
            <w:pPr>
              <w:jc w:val="both"/>
            </w:pPr>
          </w:p>
          <w:p w14:paraId="742B868D" w14:textId="77777777" w:rsidR="008A5C22" w:rsidRPr="00B57019" w:rsidRDefault="008A5C22" w:rsidP="003C60C1">
            <w:pPr>
              <w:jc w:val="both"/>
            </w:pPr>
          </w:p>
          <w:p w14:paraId="44D5B533" w14:textId="77777777" w:rsidR="008A5C22" w:rsidRPr="00B57019" w:rsidRDefault="008A5C22" w:rsidP="003C60C1">
            <w:pPr>
              <w:jc w:val="both"/>
            </w:pPr>
          </w:p>
          <w:p w14:paraId="5595479C" w14:textId="77777777" w:rsidR="008A5C22" w:rsidRPr="00B57019" w:rsidRDefault="008A5C22" w:rsidP="003C60C1">
            <w:pPr>
              <w:jc w:val="both"/>
            </w:pPr>
          </w:p>
          <w:p w14:paraId="5AE8FC98" w14:textId="77777777" w:rsidR="008A5C22" w:rsidRPr="00B57019" w:rsidRDefault="008A5C22" w:rsidP="003C60C1">
            <w:pPr>
              <w:jc w:val="both"/>
            </w:pPr>
          </w:p>
          <w:p w14:paraId="372F33A7" w14:textId="77777777" w:rsidR="008A5C22" w:rsidRPr="00B57019" w:rsidRDefault="008A5C22" w:rsidP="003C60C1">
            <w:pPr>
              <w:jc w:val="both"/>
            </w:pPr>
          </w:p>
          <w:p w14:paraId="28DD5EBE" w14:textId="77777777" w:rsidR="008A5C22" w:rsidRPr="00B57019" w:rsidRDefault="008A5C22" w:rsidP="003C60C1">
            <w:pPr>
              <w:jc w:val="both"/>
            </w:pPr>
          </w:p>
          <w:p w14:paraId="4F886707" w14:textId="77777777" w:rsidR="008A5C22" w:rsidRPr="00B57019" w:rsidRDefault="008A5C22" w:rsidP="003C60C1">
            <w:pPr>
              <w:jc w:val="both"/>
            </w:pPr>
          </w:p>
          <w:p w14:paraId="3EE566BD" w14:textId="77777777" w:rsidR="008A5C22" w:rsidRPr="00B57019" w:rsidRDefault="008A5C22" w:rsidP="003C60C1">
            <w:pPr>
              <w:jc w:val="both"/>
            </w:pPr>
          </w:p>
          <w:p w14:paraId="01A3296B" w14:textId="77777777" w:rsidR="008A5C22" w:rsidRPr="00B57019" w:rsidRDefault="008A5C22" w:rsidP="003C60C1">
            <w:pPr>
              <w:jc w:val="both"/>
            </w:pPr>
          </w:p>
          <w:p w14:paraId="6B78AFA8" w14:textId="77777777" w:rsidR="008A5C22" w:rsidRPr="00B57019" w:rsidRDefault="008A5C22" w:rsidP="003C60C1">
            <w:pPr>
              <w:jc w:val="both"/>
            </w:pPr>
          </w:p>
          <w:p w14:paraId="0FF7AC4F" w14:textId="77777777" w:rsidR="008A5C22" w:rsidRPr="00B57019" w:rsidRDefault="008A5C22" w:rsidP="003C60C1">
            <w:pPr>
              <w:jc w:val="both"/>
            </w:pPr>
          </w:p>
          <w:p w14:paraId="2B99FD7C" w14:textId="77777777" w:rsidR="008A5C22" w:rsidRPr="00B57019" w:rsidRDefault="008A5C22" w:rsidP="003C60C1">
            <w:pPr>
              <w:jc w:val="both"/>
            </w:pPr>
          </w:p>
          <w:p w14:paraId="4D9E4D05" w14:textId="77777777" w:rsidR="008A5C22" w:rsidRPr="00B57019" w:rsidRDefault="008A5C22" w:rsidP="003C60C1">
            <w:pPr>
              <w:jc w:val="both"/>
            </w:pPr>
          </w:p>
          <w:p w14:paraId="4CFDA3E3" w14:textId="77777777" w:rsidR="008A5C22" w:rsidRPr="00B57019" w:rsidRDefault="008A5C22" w:rsidP="003C60C1">
            <w:pPr>
              <w:jc w:val="both"/>
            </w:pPr>
          </w:p>
          <w:p w14:paraId="39852AF5" w14:textId="77777777" w:rsidR="008A5C22" w:rsidRPr="00B57019" w:rsidRDefault="008A5C22" w:rsidP="003C60C1">
            <w:pPr>
              <w:jc w:val="both"/>
            </w:pPr>
          </w:p>
          <w:p w14:paraId="44CDDDA2" w14:textId="77777777" w:rsidR="008A5C22" w:rsidRPr="00B57019" w:rsidRDefault="008A5C22" w:rsidP="003C60C1">
            <w:pPr>
              <w:jc w:val="both"/>
            </w:pPr>
          </w:p>
          <w:p w14:paraId="28BC6785" w14:textId="77777777" w:rsidR="008A5C22" w:rsidRPr="00B57019" w:rsidRDefault="008A5C22" w:rsidP="003C60C1">
            <w:pPr>
              <w:jc w:val="both"/>
            </w:pPr>
          </w:p>
          <w:p w14:paraId="5EDC20B9" w14:textId="77777777" w:rsidR="008A5C22" w:rsidRPr="00B57019" w:rsidRDefault="008A5C22" w:rsidP="003C60C1">
            <w:pPr>
              <w:jc w:val="both"/>
            </w:pPr>
          </w:p>
          <w:p w14:paraId="3DE03705" w14:textId="77777777" w:rsidR="008A5C22" w:rsidRPr="00B57019" w:rsidRDefault="008A5C22" w:rsidP="003C60C1">
            <w:pPr>
              <w:jc w:val="both"/>
            </w:pPr>
          </w:p>
          <w:p w14:paraId="5DAB7E2D" w14:textId="77777777" w:rsidR="008A5C22" w:rsidRPr="00B57019" w:rsidRDefault="008A5C22" w:rsidP="003C60C1">
            <w:pPr>
              <w:jc w:val="both"/>
            </w:pPr>
          </w:p>
          <w:p w14:paraId="17146981" w14:textId="77777777" w:rsidR="008A5C22" w:rsidRPr="00B57019" w:rsidRDefault="008A5C22" w:rsidP="003C60C1">
            <w:pPr>
              <w:jc w:val="both"/>
            </w:pPr>
          </w:p>
          <w:p w14:paraId="05203596" w14:textId="77777777" w:rsidR="008A5C22" w:rsidRPr="00B57019" w:rsidRDefault="008A5C22" w:rsidP="003C60C1">
            <w:pPr>
              <w:jc w:val="both"/>
            </w:pPr>
          </w:p>
          <w:p w14:paraId="3FB4660D" w14:textId="77777777" w:rsidR="008A5C22" w:rsidRPr="00B57019" w:rsidRDefault="008A5C22" w:rsidP="003C60C1">
            <w:pPr>
              <w:jc w:val="both"/>
            </w:pPr>
          </w:p>
          <w:p w14:paraId="06BBE129" w14:textId="77777777" w:rsidR="008A5C22" w:rsidRPr="00B57019" w:rsidRDefault="008A5C22" w:rsidP="003C60C1">
            <w:pPr>
              <w:jc w:val="both"/>
            </w:pPr>
          </w:p>
          <w:p w14:paraId="70B98C9A" w14:textId="77777777" w:rsidR="008A5C22" w:rsidRPr="00B57019" w:rsidRDefault="008A5C22" w:rsidP="003C60C1">
            <w:pPr>
              <w:jc w:val="both"/>
            </w:pPr>
          </w:p>
          <w:p w14:paraId="1953DE51" w14:textId="77777777" w:rsidR="008A5C22" w:rsidRPr="00B57019" w:rsidRDefault="008A5C22" w:rsidP="003C60C1">
            <w:pPr>
              <w:jc w:val="both"/>
            </w:pPr>
          </w:p>
          <w:p w14:paraId="41849255" w14:textId="77777777" w:rsidR="008A5C22" w:rsidRPr="00B57019" w:rsidRDefault="008A5C22" w:rsidP="003C60C1">
            <w:pPr>
              <w:jc w:val="both"/>
            </w:pPr>
          </w:p>
          <w:p w14:paraId="15EE969B" w14:textId="77777777" w:rsidR="008A5C22" w:rsidRPr="00B57019" w:rsidRDefault="008A5C22" w:rsidP="003C60C1">
            <w:pPr>
              <w:jc w:val="both"/>
            </w:pPr>
          </w:p>
          <w:p w14:paraId="7D1475F9" w14:textId="77777777" w:rsidR="008A5C22" w:rsidRPr="00B57019" w:rsidRDefault="008A5C22" w:rsidP="003C60C1">
            <w:pPr>
              <w:jc w:val="both"/>
            </w:pPr>
          </w:p>
          <w:p w14:paraId="14FEBE1B" w14:textId="77777777" w:rsidR="008A5C22" w:rsidRPr="00B57019" w:rsidRDefault="008A5C22" w:rsidP="003C60C1">
            <w:pPr>
              <w:jc w:val="both"/>
            </w:pPr>
          </w:p>
          <w:p w14:paraId="0BCFD3F9" w14:textId="77777777" w:rsidR="00613D8F" w:rsidRPr="00B57019" w:rsidRDefault="00613D8F" w:rsidP="00A26360">
            <w:pPr>
              <w:jc w:val="both"/>
            </w:pPr>
          </w:p>
          <w:p w14:paraId="3F03B9D8" w14:textId="77777777" w:rsidR="00613D8F" w:rsidRPr="00B57019" w:rsidRDefault="00613D8F" w:rsidP="00A26360">
            <w:pPr>
              <w:jc w:val="both"/>
            </w:pPr>
          </w:p>
          <w:p w14:paraId="0CFD6AC3" w14:textId="77777777" w:rsidR="008A5C22" w:rsidRPr="00B57019" w:rsidRDefault="008A5C22" w:rsidP="00A26360">
            <w:pPr>
              <w:jc w:val="both"/>
            </w:pPr>
            <w:r w:rsidRPr="00B57019">
              <w:t>Ziņojum</w:t>
            </w:r>
            <w:r w:rsidR="004216E4" w:rsidRPr="00B57019">
              <w:t>a projekta 1.</w:t>
            </w:r>
            <w:r w:rsidRPr="00B57019">
              <w:t xml:space="preserve"> pielikum</w:t>
            </w:r>
            <w:r w:rsidR="000E6C68" w:rsidRPr="00B57019">
              <w:t>a 2.punkts</w:t>
            </w:r>
            <w:r w:rsidRPr="00B57019">
              <w:t xml:space="preserve"> papildināts ar </w:t>
            </w:r>
            <w:r w:rsidR="000E6C68" w:rsidRPr="00B57019">
              <w:t>3.</w:t>
            </w:r>
            <w:r w:rsidRPr="00B57019">
              <w:t>atsauci šādā redakcijā:</w:t>
            </w:r>
          </w:p>
          <w:p w14:paraId="70F585C4" w14:textId="77777777" w:rsidR="008A5C22" w:rsidRPr="00B57019" w:rsidRDefault="008A5C22" w:rsidP="00CE05C6">
            <w:pPr>
              <w:jc w:val="both"/>
            </w:pPr>
            <w:r w:rsidRPr="00B57019">
              <w:t>“</w:t>
            </w:r>
            <w:r w:rsidR="00F51891" w:rsidRPr="00B57019">
              <w:t>Vidējā</w:t>
            </w:r>
            <w:r w:rsidRPr="00B57019">
              <w:t>s 2 cilvē</w:t>
            </w:r>
            <w:r w:rsidR="00F51891" w:rsidRPr="00B57019">
              <w:t>kdienu slodzes aprēķinā ir ņemts</w:t>
            </w:r>
            <w:r w:rsidRPr="00B57019">
              <w:t xml:space="preserve"> vērā šādu darbu veikšanai nepieciešamais laiks: EIS tehniskās specifikācijas izvēle un nepieciešamības gadījumā tās salīdzināšana ar piedāvājumiem ārpus EIS, darījumu elektroniskā apstiprināšana, preču saņemšana, saņemto preču kvalitātes pārbaude, iegrāmatošana un apmaksa, kā arī darba uzdevuma sagatavošana (tikai gadījumos, kad tas ir nepieciešams, jo lielākai pasūtījumu daļai to nevajag).”</w:t>
            </w:r>
          </w:p>
          <w:p w14:paraId="1619A29F" w14:textId="77777777" w:rsidR="008A5C22" w:rsidRPr="00B57019" w:rsidRDefault="008A5C22" w:rsidP="003C60C1">
            <w:pPr>
              <w:jc w:val="both"/>
            </w:pPr>
          </w:p>
          <w:p w14:paraId="70806F52" w14:textId="77777777" w:rsidR="008A5C22" w:rsidRPr="00B57019" w:rsidRDefault="008A5C22" w:rsidP="003C60C1">
            <w:pPr>
              <w:jc w:val="both"/>
            </w:pPr>
          </w:p>
        </w:tc>
      </w:tr>
      <w:tr w:rsidR="00B57019" w:rsidRPr="00B57019" w14:paraId="41FE6FA7" w14:textId="77777777" w:rsidTr="6EC0B0DB">
        <w:tc>
          <w:tcPr>
            <w:tcW w:w="14567" w:type="dxa"/>
            <w:gridSpan w:val="6"/>
            <w:tcBorders>
              <w:top w:val="single" w:sz="6" w:space="0" w:color="000000" w:themeColor="text1"/>
              <w:left w:val="single" w:sz="6" w:space="0" w:color="000000" w:themeColor="text1"/>
              <w:bottom w:val="single" w:sz="6" w:space="0" w:color="000000" w:themeColor="text1"/>
            </w:tcBorders>
            <w:shd w:val="clear" w:color="auto" w:fill="auto"/>
          </w:tcPr>
          <w:p w14:paraId="2BA3B25D" w14:textId="77777777" w:rsidR="003346BF" w:rsidRPr="00B57019" w:rsidRDefault="003346BF" w:rsidP="008A36C9">
            <w:pPr>
              <w:jc w:val="center"/>
              <w:rPr>
                <w:b/>
              </w:rPr>
            </w:pPr>
            <w:r w:rsidRPr="00B57019">
              <w:rPr>
                <w:b/>
              </w:rPr>
              <w:lastRenderedPageBreak/>
              <w:t>Veselības ministrija</w:t>
            </w:r>
          </w:p>
        </w:tc>
      </w:tr>
      <w:tr w:rsidR="00B57019" w:rsidRPr="00B57019" w14:paraId="3DE5EF5D"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0E39A6" w14:textId="0F35AB18" w:rsidR="003346BF" w:rsidRPr="00B57019" w:rsidRDefault="00777328" w:rsidP="003346BF">
            <w:pPr>
              <w:pStyle w:val="naisc"/>
              <w:spacing w:before="0" w:after="0"/>
            </w:pPr>
            <w:r w:rsidRPr="00B57019">
              <w:t>24</w:t>
            </w:r>
            <w:r w:rsidR="00BB59B3" w:rsidRPr="00B57019">
              <w:t>.</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C6894C" w14:textId="77777777" w:rsidR="003346BF" w:rsidRPr="00B57019" w:rsidRDefault="003346BF" w:rsidP="003C60C1">
            <w:pPr>
              <w:pStyle w:val="naisc"/>
              <w:spacing w:before="0" w:after="0"/>
              <w:jc w:val="both"/>
            </w:pPr>
            <w:r w:rsidRPr="00B57019">
              <w:t>Informatīvā ziņojuma projekts</w:t>
            </w:r>
            <w:r w:rsidR="00892B81" w:rsidRPr="00B57019">
              <w:t xml:space="preserve"> un protokolēmuma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8DE2FB" w14:textId="77777777" w:rsidR="003346BF" w:rsidRPr="00B57019" w:rsidRDefault="003346BF" w:rsidP="003346BF">
            <w:pPr>
              <w:pStyle w:val="ListParagraph"/>
              <w:widowControl w:val="0"/>
              <w:spacing w:after="0" w:line="240" w:lineRule="auto"/>
              <w:ind w:left="0"/>
              <w:jc w:val="both"/>
              <w:rPr>
                <w:rFonts w:ascii="Times New Roman" w:hAnsi="Times New Roman"/>
                <w:sz w:val="24"/>
                <w:szCs w:val="24"/>
              </w:rPr>
            </w:pPr>
            <w:r w:rsidRPr="00B57019">
              <w:rPr>
                <w:rFonts w:ascii="Times New Roman" w:hAnsi="Times New Roman"/>
                <w:sz w:val="24"/>
                <w:szCs w:val="24"/>
                <w:lang w:val="lv-LV"/>
              </w:rPr>
              <w:t>E</w:t>
            </w:r>
            <w:r w:rsidRPr="00B57019">
              <w:rPr>
                <w:rFonts w:ascii="Times New Roman" w:hAnsi="Times New Roman"/>
                <w:sz w:val="24"/>
                <w:szCs w:val="24"/>
              </w:rPr>
              <w:t>lektroniskās iepirkumu sistēmas katalogus veselības nozares iestādes izmanto regulāri jau vairākus gadus</w:t>
            </w:r>
            <w:r w:rsidRPr="00B57019">
              <w:rPr>
                <w:rFonts w:ascii="Times New Roman" w:hAnsi="Times New Roman"/>
                <w:sz w:val="24"/>
                <w:szCs w:val="24"/>
                <w:lang w:val="lv-LV"/>
              </w:rPr>
              <w:t xml:space="preserve"> </w:t>
            </w:r>
            <w:r w:rsidRPr="00B57019">
              <w:rPr>
                <w:rFonts w:ascii="Times New Roman" w:hAnsi="Times New Roman"/>
                <w:sz w:val="24"/>
                <w:szCs w:val="24"/>
              </w:rPr>
              <w:t>un esošās amatu slodzes jau ir pielāgotas, rēķinoties ar šīs sistēmas izmantošanu.</w:t>
            </w:r>
          </w:p>
          <w:p w14:paraId="46497DC4" w14:textId="77777777" w:rsidR="003346BF" w:rsidRPr="00B57019" w:rsidRDefault="003346BF" w:rsidP="003346BF">
            <w:pPr>
              <w:pStyle w:val="ListParagraph"/>
              <w:spacing w:after="0" w:line="240" w:lineRule="auto"/>
              <w:ind w:left="0"/>
              <w:jc w:val="both"/>
              <w:rPr>
                <w:rFonts w:ascii="Times New Roman" w:hAnsi="Times New Roman"/>
                <w:sz w:val="24"/>
                <w:szCs w:val="24"/>
              </w:rPr>
            </w:pPr>
            <w:r w:rsidRPr="00B57019">
              <w:rPr>
                <w:rFonts w:ascii="Times New Roman" w:hAnsi="Times New Roman"/>
                <w:sz w:val="24"/>
                <w:szCs w:val="24"/>
              </w:rPr>
              <w:t>Savukārt, funkcija, kas paredz visu Publisko iepirkumu likuma kārtībā veicamo iepirkumu izsludināšanu, izmantojot Elektroniskās informācijas sistēmas platformu, galvenokārt ir vērsta uz pretendentu ērtībām, informācijas plašāku pieejamību un informācijas atrašanos vienā vietnē, kas vērtējams pozitīvi no atklātības un vienlīdzīgas attieksmes principu viedokļa. Tomēr tas nekādā veidā nemazina iestādes administratīvo slogu, jo izstrādājamās iepirkumu dokumentācijas apjoms nav mainījies, bet sistēmas uzbūves, darbības īpatnību un  papildus sniedzamās informācijas dēļ iepirkumu norises formālais process ir kļuvis tehniski sarežģītāks.</w:t>
            </w:r>
          </w:p>
          <w:p w14:paraId="0C6AA617" w14:textId="77777777" w:rsidR="003346BF" w:rsidRPr="00B57019" w:rsidRDefault="003346BF" w:rsidP="003346BF">
            <w:pPr>
              <w:pStyle w:val="ListParagraph"/>
              <w:spacing w:after="0" w:line="240" w:lineRule="auto"/>
              <w:ind w:left="0"/>
              <w:jc w:val="both"/>
              <w:rPr>
                <w:rFonts w:ascii="Times New Roman" w:hAnsi="Times New Roman"/>
                <w:sz w:val="24"/>
                <w:szCs w:val="24"/>
              </w:rPr>
            </w:pPr>
            <w:r w:rsidRPr="00B57019">
              <w:rPr>
                <w:rFonts w:ascii="Times New Roman" w:hAnsi="Times New Roman"/>
                <w:sz w:val="24"/>
                <w:szCs w:val="24"/>
              </w:rPr>
              <w:t>Tāpat saskaņā ar 2017. gada 28. februāra Ministru kabineta noteikumu Nr. 108 “Publisko elektronisko iepirkumu noteikumi” 1.pielikumu Nacionālais veselības dienests veic medikamenti un medicīnas preču katalogu iepirkumu  un turpmāk nodrošinās minēto katalogu uzturēšanu, kas prasa papildus resursus.</w:t>
            </w:r>
          </w:p>
          <w:p w14:paraId="72728AAE" w14:textId="77777777" w:rsidR="003346BF" w:rsidRPr="00B57019" w:rsidRDefault="003346BF" w:rsidP="003346BF">
            <w:pPr>
              <w:pStyle w:val="naisc"/>
              <w:spacing w:before="0" w:after="0"/>
              <w:ind w:firstLine="720"/>
              <w:jc w:val="both"/>
            </w:pPr>
            <w:r w:rsidRPr="00B57019">
              <w:t>Ņemot vērā minēto, VM šajā pozīcijā pašreiz neredz iespēju atbrīvot amata vietas un veikt bāzes izdevumu pārdali.</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3F3C9C" w14:textId="77777777" w:rsidR="003346BF" w:rsidRPr="00B57019" w:rsidRDefault="003346BF" w:rsidP="003346BF">
            <w:pPr>
              <w:pStyle w:val="PlainText"/>
              <w:jc w:val="both"/>
              <w:rPr>
                <w:rFonts w:ascii="Times New Roman" w:hAnsi="Times New Roman"/>
                <w:b/>
                <w:sz w:val="24"/>
                <w:szCs w:val="24"/>
                <w:lang w:val="lv-LV"/>
              </w:rPr>
            </w:pPr>
            <w:r w:rsidRPr="00B57019">
              <w:rPr>
                <w:rFonts w:ascii="Times New Roman" w:hAnsi="Times New Roman"/>
                <w:b/>
                <w:sz w:val="24"/>
                <w:szCs w:val="24"/>
                <w:lang w:val="lv-LV"/>
              </w:rPr>
              <w:t xml:space="preserve">Iebildums </w:t>
            </w:r>
            <w:r w:rsidR="000D5FA3" w:rsidRPr="00B57019">
              <w:rPr>
                <w:rFonts w:ascii="Times New Roman" w:hAnsi="Times New Roman"/>
                <w:b/>
                <w:sz w:val="24"/>
                <w:szCs w:val="24"/>
                <w:lang w:val="lv-LV"/>
              </w:rPr>
              <w:t>nav</w:t>
            </w:r>
            <w:r w:rsidRPr="00B57019">
              <w:rPr>
                <w:rFonts w:ascii="Times New Roman" w:hAnsi="Times New Roman"/>
                <w:b/>
                <w:sz w:val="24"/>
                <w:szCs w:val="24"/>
                <w:lang w:val="lv-LV"/>
              </w:rPr>
              <w:t xml:space="preserve"> ņemts vērā.</w:t>
            </w:r>
          </w:p>
          <w:p w14:paraId="2804E8D7" w14:textId="77777777" w:rsidR="003346BF" w:rsidRPr="00B57019" w:rsidRDefault="007D2E3D" w:rsidP="007D2E3D">
            <w:pPr>
              <w:pStyle w:val="naisc"/>
              <w:spacing w:before="0" w:after="0"/>
              <w:ind w:firstLine="720"/>
              <w:jc w:val="both"/>
            </w:pPr>
            <w:r w:rsidRPr="00B57019">
              <w:t>Līdz ši</w:t>
            </w:r>
            <w:r w:rsidR="003346BF" w:rsidRPr="00B57019">
              <w:t>m</w:t>
            </w:r>
            <w:r w:rsidRPr="00B57019">
              <w:t>,</w:t>
            </w:r>
            <w:r w:rsidR="003346BF" w:rsidRPr="00B57019">
              <w:t xml:space="preserve"> pateicoties inovatīvu risinājumu izmantošanai</w:t>
            </w:r>
            <w:r w:rsidRPr="00B57019">
              <w:t>,</w:t>
            </w:r>
            <w:r w:rsidR="003346BF" w:rsidRPr="00B57019">
              <w:t xml:space="preserve"> bija iespējams nodrošināt EIS e-pasūtījumu apakšsistēmas darbību un varēja nenovirzīt ietaupījuma daļu sistēmas uzturēšanai, tomēr tuvākajā laikā šādas iespējas vairs nebūs, turklāt ir nepieciešama papildus kontrole, kuru nav iespējams nodrošināt esošo resursu ietvaros.</w:t>
            </w:r>
          </w:p>
          <w:p w14:paraId="5F655479" w14:textId="77777777" w:rsidR="00D25733" w:rsidRPr="00B57019" w:rsidRDefault="00D25733" w:rsidP="00D25733">
            <w:pPr>
              <w:pStyle w:val="naisc"/>
              <w:spacing w:before="0" w:after="0"/>
              <w:jc w:val="both"/>
            </w:pPr>
          </w:p>
          <w:p w14:paraId="4D669407" w14:textId="77777777" w:rsidR="00D25733" w:rsidRPr="00B57019" w:rsidRDefault="00D25733" w:rsidP="00D25733">
            <w:pPr>
              <w:pStyle w:val="naisc"/>
              <w:spacing w:before="0" w:after="0"/>
              <w:jc w:val="both"/>
            </w:pPr>
            <w:r w:rsidRPr="00B57019">
              <w:t>VARAM ieskatā koplietošanas risinājumu darbības nodrošināšanā jāpiedalās proporcionāli un  risinājuma koncepts ir jābalsta principā - pārstrukturizējot kompetences, un resursus rodot publiskas pārvaldes iekšienē.</w:t>
            </w:r>
          </w:p>
          <w:p w14:paraId="7349A3DC" w14:textId="77777777" w:rsidR="00D25733" w:rsidRPr="00B57019" w:rsidRDefault="00D25733" w:rsidP="007D2E3D">
            <w:pPr>
              <w:pStyle w:val="naisc"/>
              <w:spacing w:before="0" w:after="0"/>
              <w:ind w:firstLine="720"/>
              <w:jc w:val="both"/>
            </w:pP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3F9F9512" w14:textId="77777777" w:rsidR="009851F7" w:rsidRPr="00B57019" w:rsidRDefault="009851F7" w:rsidP="009851F7">
            <w:pPr>
              <w:jc w:val="both"/>
            </w:pPr>
            <w:r w:rsidRPr="00B57019">
              <w:t>Iebildums tiek uzturēts.</w:t>
            </w:r>
          </w:p>
          <w:p w14:paraId="6B202E86" w14:textId="77777777" w:rsidR="003346BF" w:rsidRPr="00B57019" w:rsidRDefault="003346BF" w:rsidP="003346BF">
            <w:pPr>
              <w:jc w:val="center"/>
            </w:pPr>
          </w:p>
          <w:p w14:paraId="4CA5B168" w14:textId="77777777" w:rsidR="000D5FA3" w:rsidRPr="00B57019" w:rsidRDefault="000D5FA3" w:rsidP="003346BF">
            <w:pPr>
              <w:jc w:val="center"/>
            </w:pPr>
          </w:p>
        </w:tc>
        <w:tc>
          <w:tcPr>
            <w:tcW w:w="2503" w:type="dxa"/>
            <w:tcBorders>
              <w:top w:val="single" w:sz="4" w:space="0" w:color="auto"/>
              <w:left w:val="single" w:sz="4" w:space="0" w:color="auto"/>
              <w:bottom w:val="single" w:sz="4" w:space="0" w:color="auto"/>
            </w:tcBorders>
            <w:shd w:val="clear" w:color="auto" w:fill="auto"/>
          </w:tcPr>
          <w:p w14:paraId="0B93BDD3" w14:textId="77777777" w:rsidR="003346BF" w:rsidRPr="00B57019" w:rsidRDefault="003346BF" w:rsidP="003346BF">
            <w:pPr>
              <w:jc w:val="center"/>
            </w:pPr>
          </w:p>
        </w:tc>
      </w:tr>
      <w:tr w:rsidR="00B57019" w:rsidRPr="00B57019" w14:paraId="35720869"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1CA6F7" w14:textId="03CF0AA1" w:rsidR="003346BF" w:rsidRPr="00B57019" w:rsidRDefault="00777328" w:rsidP="003346BF">
            <w:pPr>
              <w:pStyle w:val="naisc"/>
              <w:spacing w:before="0" w:after="0"/>
            </w:pPr>
            <w:r w:rsidRPr="00B57019">
              <w:t>25</w:t>
            </w:r>
            <w:r w:rsidR="00BB59B3" w:rsidRPr="00B57019">
              <w:t>.</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3E25F4" w14:textId="77777777" w:rsidR="003346BF" w:rsidRPr="00B57019" w:rsidRDefault="003346BF" w:rsidP="003346BF">
            <w:pPr>
              <w:pStyle w:val="naisc"/>
              <w:spacing w:before="0" w:after="0"/>
              <w:jc w:val="both"/>
            </w:pPr>
            <w:r w:rsidRPr="00B57019">
              <w:t>Informatīvā ziņojuma projekts</w:t>
            </w:r>
            <w:r w:rsidR="00892B81" w:rsidRPr="00B57019">
              <w:t xml:space="preserve"> un protokolēmuma projekts</w:t>
            </w:r>
            <w:r w:rsidRPr="00B57019">
              <w:t>.</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42BB69" w14:textId="77777777" w:rsidR="003346BF" w:rsidRPr="00B57019" w:rsidRDefault="003346BF" w:rsidP="003346BF">
            <w:pPr>
              <w:pStyle w:val="naisc"/>
              <w:spacing w:before="0" w:after="0"/>
              <w:ind w:firstLine="720"/>
              <w:jc w:val="both"/>
            </w:pPr>
            <w:r w:rsidRPr="00B57019">
              <w:t>Oficiālās elektroniskās adreses informācijas sistēmas ieviešana nodrošina informācijas apmaiņu elektroniskā veidā, samazinot pasta un kurjerpakalpojumu izmantošanu. Veselības nozarē dokumenti tiek sagatavoti elektroniski un plaši tiek izmantots elektroniskais paraksts, tādējādi jau pirms e-adreses ieviešanas nodrošinot dokumentu elektronisku apmaiņu. Esošo amatu slodzes jau ir pielāgotas lietvedības sistēmu un elektroniskā paraksta izmantošanai. VM šajā pozīcijā pašreiz neredz iespēju atbrīvot amata vietas un veikt bāzes izdevumu pārdali.</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D1C86B5" w14:textId="77777777" w:rsidR="00B62074" w:rsidRPr="00B57019" w:rsidRDefault="00B62074" w:rsidP="00B62074">
            <w:pPr>
              <w:pStyle w:val="naisc"/>
              <w:spacing w:before="0" w:after="0"/>
              <w:jc w:val="both"/>
              <w:rPr>
                <w:b/>
              </w:rPr>
            </w:pPr>
            <w:r w:rsidRPr="00B57019">
              <w:rPr>
                <w:b/>
              </w:rPr>
              <w:t>Iebildums nav ņemts vērā.</w:t>
            </w:r>
          </w:p>
          <w:p w14:paraId="3A68A63F" w14:textId="77777777" w:rsidR="00B62074" w:rsidRPr="00B57019" w:rsidRDefault="00B62074" w:rsidP="00B62074">
            <w:pPr>
              <w:pStyle w:val="naisc"/>
              <w:spacing w:before="0" w:after="0"/>
              <w:jc w:val="both"/>
            </w:pPr>
            <w:r w:rsidRPr="00B57019">
              <w:t>VARAM ieskatā koplietošanas risinājumu darbības nodrošināšanā jāpiedalās proporcionāli un  risinājuma koncepts ir jābalsta principā - pārstrukturizējot kompetences, un resursus rodot publiskas pārvaldes iekšienē.</w:t>
            </w:r>
          </w:p>
          <w:p w14:paraId="5BBE8638" w14:textId="77777777" w:rsidR="001B2F8E" w:rsidRPr="00B57019" w:rsidRDefault="001B2F8E" w:rsidP="00C017DC">
            <w:pPr>
              <w:pStyle w:val="naisc"/>
              <w:spacing w:before="0" w:after="0"/>
              <w:jc w:val="left"/>
              <w:rPr>
                <w:b/>
              </w:rPr>
            </w:pPr>
          </w:p>
          <w:p w14:paraId="372FE930" w14:textId="77777777" w:rsidR="001B2F8E" w:rsidRPr="00B57019" w:rsidRDefault="001B2F8E" w:rsidP="00C017DC">
            <w:pPr>
              <w:pStyle w:val="naisc"/>
              <w:spacing w:before="0" w:after="0"/>
              <w:jc w:val="left"/>
            </w:pP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6826AC8D" w14:textId="77777777" w:rsidR="009851F7" w:rsidRPr="00B57019" w:rsidRDefault="009851F7" w:rsidP="009851F7">
            <w:pPr>
              <w:jc w:val="both"/>
            </w:pPr>
            <w:r w:rsidRPr="00B57019">
              <w:t>Iebildums tiek uzturēts.</w:t>
            </w:r>
          </w:p>
          <w:p w14:paraId="44119DEB" w14:textId="77777777" w:rsidR="003346BF" w:rsidRPr="00B57019" w:rsidRDefault="003346BF" w:rsidP="003346BF">
            <w:pPr>
              <w:jc w:val="center"/>
            </w:pPr>
          </w:p>
        </w:tc>
        <w:tc>
          <w:tcPr>
            <w:tcW w:w="2503" w:type="dxa"/>
            <w:tcBorders>
              <w:top w:val="single" w:sz="4" w:space="0" w:color="auto"/>
              <w:left w:val="single" w:sz="4" w:space="0" w:color="auto"/>
              <w:bottom w:val="single" w:sz="4" w:space="0" w:color="auto"/>
            </w:tcBorders>
            <w:shd w:val="clear" w:color="auto" w:fill="auto"/>
          </w:tcPr>
          <w:p w14:paraId="72E42526" w14:textId="77777777" w:rsidR="003346BF" w:rsidRPr="00B57019" w:rsidRDefault="003346BF" w:rsidP="003346BF">
            <w:pPr>
              <w:jc w:val="center"/>
            </w:pPr>
          </w:p>
        </w:tc>
      </w:tr>
      <w:tr w:rsidR="00B57019" w:rsidRPr="00B57019" w14:paraId="10A6B46A"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B9634E" w14:textId="3C511C5A" w:rsidR="003346BF" w:rsidRPr="00B57019" w:rsidRDefault="00777328" w:rsidP="003346BF">
            <w:pPr>
              <w:pStyle w:val="naisc"/>
              <w:spacing w:before="0" w:after="0"/>
            </w:pPr>
            <w:r w:rsidRPr="00B57019">
              <w:t>26</w:t>
            </w:r>
            <w:r w:rsidR="00BB59B3" w:rsidRPr="00B57019">
              <w:t>.</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23AC42" w14:textId="77777777" w:rsidR="003346BF" w:rsidRPr="00B57019" w:rsidRDefault="003346BF" w:rsidP="003346BF">
            <w:pPr>
              <w:pStyle w:val="naisc"/>
              <w:spacing w:before="0" w:after="0"/>
              <w:jc w:val="both"/>
            </w:pPr>
            <w:r w:rsidRPr="00B57019">
              <w:t>Informatīvā ziņojuma projekts</w:t>
            </w:r>
            <w:r w:rsidR="00892B81" w:rsidRPr="00B57019">
              <w:t xml:space="preserve"> un protokolēmuma projekts</w:t>
            </w:r>
            <w:r w:rsidRPr="00B57019">
              <w:t>.</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9442CE" w14:textId="1AC63F02" w:rsidR="003346BF" w:rsidRPr="00B57019" w:rsidRDefault="003346BF" w:rsidP="003346BF">
            <w:pPr>
              <w:pStyle w:val="naisc"/>
              <w:spacing w:before="0" w:after="0"/>
              <w:ind w:firstLine="720"/>
              <w:jc w:val="both"/>
            </w:pPr>
            <w:r w:rsidRPr="00B57019">
              <w:t>Vienotās pieteikšanās modulis kā lietotāju autentifikācijas rīks VM ieskatā nesamazina administratīvo slogu informācijas sistēmas turētājam – lietotāju tiesību pārvaldība, lietotāju pieteikumu apstrāde saglabājas iepriekšējā līmenī. VM šajā pozīcijā pašreiz nered</w:t>
            </w:r>
            <w:r w:rsidR="00151607" w:rsidRPr="00B57019">
              <w:t xml:space="preserve">z iespēju atbrīvot amata vietas </w:t>
            </w:r>
            <w:r w:rsidRPr="00B57019">
              <w:t>un veikt bāzes izdevumu pārdali.</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D3C915" w14:textId="77777777" w:rsidR="003346BF" w:rsidRPr="00B57019" w:rsidRDefault="003346BF" w:rsidP="003346BF">
            <w:pPr>
              <w:pStyle w:val="PlainText"/>
              <w:jc w:val="both"/>
              <w:rPr>
                <w:rFonts w:ascii="Times New Roman" w:hAnsi="Times New Roman"/>
                <w:b/>
                <w:sz w:val="24"/>
                <w:szCs w:val="24"/>
                <w:lang w:val="lv-LV"/>
              </w:rPr>
            </w:pPr>
            <w:r w:rsidRPr="00B57019">
              <w:rPr>
                <w:rFonts w:ascii="Times New Roman" w:hAnsi="Times New Roman"/>
                <w:b/>
                <w:sz w:val="24"/>
                <w:szCs w:val="24"/>
                <w:lang w:val="lv-LV"/>
              </w:rPr>
              <w:t xml:space="preserve">Iebildums nav ņemts vērā. </w:t>
            </w:r>
          </w:p>
          <w:p w14:paraId="6DD5E200" w14:textId="77777777" w:rsidR="003346BF" w:rsidRPr="00B57019" w:rsidRDefault="003346BF" w:rsidP="00DF1ED3">
            <w:pPr>
              <w:pStyle w:val="naisc"/>
              <w:spacing w:before="0" w:after="0"/>
              <w:jc w:val="both"/>
            </w:pPr>
            <w:r w:rsidRPr="00B57019">
              <w:t>Vienotās ieteikšanās modulis nav tieši saistīts ar lietotāju tiesību pārvaldību, lietotāju pieteikumu apstrādi, tādēļ arī ieguvuma aprēķins netika balstīts uz resursu ietaupījumu lietotāju tiesību pārvaldībā, lietotāju pieteikumu apstrādē.</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2EB69556" w14:textId="77777777" w:rsidR="009851F7" w:rsidRPr="00B57019" w:rsidRDefault="009851F7" w:rsidP="009851F7">
            <w:pPr>
              <w:jc w:val="both"/>
            </w:pPr>
            <w:r w:rsidRPr="00B57019">
              <w:t>Iebildums tiek uzturēts.</w:t>
            </w:r>
          </w:p>
          <w:p w14:paraId="414BFCC1" w14:textId="77777777" w:rsidR="003346BF" w:rsidRPr="00B57019" w:rsidRDefault="003346BF" w:rsidP="003346BF">
            <w:pPr>
              <w:jc w:val="center"/>
            </w:pPr>
          </w:p>
        </w:tc>
        <w:tc>
          <w:tcPr>
            <w:tcW w:w="2503" w:type="dxa"/>
            <w:tcBorders>
              <w:top w:val="single" w:sz="4" w:space="0" w:color="auto"/>
              <w:left w:val="single" w:sz="4" w:space="0" w:color="auto"/>
              <w:bottom w:val="single" w:sz="4" w:space="0" w:color="auto"/>
            </w:tcBorders>
            <w:shd w:val="clear" w:color="auto" w:fill="auto"/>
          </w:tcPr>
          <w:p w14:paraId="1B2C618A" w14:textId="77777777" w:rsidR="003346BF" w:rsidRPr="00B57019" w:rsidRDefault="003346BF" w:rsidP="003346BF">
            <w:pPr>
              <w:jc w:val="center"/>
            </w:pPr>
          </w:p>
        </w:tc>
      </w:tr>
      <w:tr w:rsidR="00B57019" w:rsidRPr="00B57019" w14:paraId="0233D532"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6412B5" w14:textId="7D6A1818" w:rsidR="003346BF" w:rsidRPr="00B57019" w:rsidRDefault="00777328" w:rsidP="003346BF">
            <w:pPr>
              <w:pStyle w:val="naisc"/>
              <w:spacing w:before="0" w:after="0"/>
            </w:pPr>
            <w:r w:rsidRPr="00B57019">
              <w:t>27</w:t>
            </w:r>
            <w:r w:rsidR="00BB59B3" w:rsidRPr="00B57019">
              <w:t>.</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82E9F8B" w14:textId="77777777" w:rsidR="003346BF" w:rsidRPr="00B57019" w:rsidRDefault="003346BF" w:rsidP="003346BF">
            <w:pPr>
              <w:pStyle w:val="naisc"/>
              <w:spacing w:before="0" w:after="0"/>
              <w:jc w:val="both"/>
              <w:rPr>
                <w:b/>
              </w:rPr>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AB5FA8" w14:textId="77777777" w:rsidR="003346BF" w:rsidRPr="00B57019" w:rsidRDefault="003346BF" w:rsidP="003346BF">
            <w:pPr>
              <w:pStyle w:val="ListParagraph"/>
              <w:widowControl w:val="0"/>
              <w:spacing w:after="0" w:line="240" w:lineRule="auto"/>
              <w:ind w:left="0"/>
              <w:jc w:val="both"/>
              <w:rPr>
                <w:rFonts w:ascii="Times New Roman" w:hAnsi="Times New Roman"/>
                <w:sz w:val="24"/>
                <w:szCs w:val="24"/>
              </w:rPr>
            </w:pPr>
            <w:r w:rsidRPr="00B57019">
              <w:rPr>
                <w:rFonts w:ascii="Times New Roman" w:hAnsi="Times New Roman"/>
                <w:sz w:val="24"/>
                <w:szCs w:val="24"/>
              </w:rPr>
              <w:t>Valsts un pašvaldību iestāžu tīmekļvietņu vienotā platforma</w:t>
            </w:r>
            <w:r w:rsidRPr="00B57019">
              <w:rPr>
                <w:rFonts w:ascii="Times New Roman" w:hAnsi="Times New Roman"/>
                <w:sz w:val="24"/>
                <w:szCs w:val="24"/>
              </w:rPr>
              <w:tab/>
              <w:t>un E-rēķinu aprites risinājums pašreiz nav nodotas ekspluatācijā un veselības nozarē netiek izmantotas, tādēļ nav iespējams izvērtēt iespējas atbrīvot amata vietas un samazināt funkciju nodrošināšanai nepieciešamo finanšu apjomu.</w:t>
            </w:r>
          </w:p>
          <w:p w14:paraId="0C816070" w14:textId="77777777" w:rsidR="003346BF" w:rsidRPr="00B57019" w:rsidRDefault="003346BF" w:rsidP="003346BF">
            <w:pPr>
              <w:pStyle w:val="naisc"/>
              <w:spacing w:before="0" w:after="0"/>
              <w:ind w:firstLine="720"/>
              <w:jc w:val="both"/>
            </w:pPr>
            <w:r w:rsidRPr="00B57019">
              <w:rPr>
                <w:i/>
              </w:rPr>
              <w:t>Papildus augstāk minētajam, informējam, ka atbilstoši 2018. gada 19. februāra vēstulei Nr. 01 - 12.1/756 "Par informācijas sniegšanu par paveikto un plānoto nodarbināto skaita samazināšanai resorā" VM ir iesniegusi Valsts kancelejai redzējumu par paveikto un plānoto nodarbināto skaita samazināšanai 2017. – 2020. gadam Valsts pārvaldes reformu plāna ietvaros.</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D6933" w14:textId="77777777" w:rsidR="00B82FBB" w:rsidRPr="00B57019" w:rsidRDefault="00B82FBB" w:rsidP="00B82FBB">
            <w:pPr>
              <w:jc w:val="both"/>
            </w:pPr>
            <w:r w:rsidRPr="00B57019">
              <w:rPr>
                <w:b/>
                <w:bCs/>
              </w:rPr>
              <w:t>Iebildums nav ņemts vērā</w:t>
            </w:r>
            <w:r w:rsidRPr="00B57019">
              <w:t xml:space="preserve">. Piekrītot vērtējumam, ka nākotnes darba apjoma ietaupījumu nevar novērtēt precīzi, </w:t>
            </w:r>
            <w:r w:rsidR="007432EE" w:rsidRPr="00B57019">
              <w:t xml:space="preserve">VARAM </w:t>
            </w:r>
            <w:r w:rsidRPr="00B57019">
              <w:t>norād</w:t>
            </w:r>
            <w:r w:rsidR="007432EE" w:rsidRPr="00B57019">
              <w:t>a</w:t>
            </w:r>
            <w:r w:rsidRPr="00B57019">
              <w:t>, ka, neskatoties uz to, ka sagaidāmie darba apjoma ietaupījumi ir vērtēti ļoti piezemēti, kopējais ietaupījuma novērtējums pārsniedz 60 slodzes (61,4). Turpretī koplietošanas pakalpojumu nodrošināšanai ir nepieciešamas tikai 19 papildus slodzes 2020. gadā un 23 slodzes 2021. un turpmākajos gados. Piezemētie ietaupījumu novērtējumi un lielā starpība līdz pārdalījumam pieprasītajam amatu vietu skaitam padara diskusiju par novērtējumu precizitāti un ietaupījumu efekta precīzo iestāšanās laiku mazāk būtisku.</w:t>
            </w:r>
          </w:p>
          <w:p w14:paraId="4C99B26D" w14:textId="7333F35A" w:rsidR="004D0D8B" w:rsidRPr="00B57019" w:rsidRDefault="00070828" w:rsidP="001C088B">
            <w:pPr>
              <w:pStyle w:val="naisc"/>
              <w:spacing w:before="0" w:after="0"/>
              <w:jc w:val="both"/>
            </w:pPr>
            <w:r w:rsidRPr="00B57019">
              <w:t>VARAM ieskatā koplietošanas risinājumu darbības nodrošināšanā jāpiedalās proporcionāli un  risinājuma koncepts ir jābalsta principā - pārstrukturizējot kompetences, un resursus rodot publiskas pārvaldes iekšienē.</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2D8BBE3D" w14:textId="77777777" w:rsidR="009851F7" w:rsidRPr="00B57019" w:rsidRDefault="009851F7" w:rsidP="009851F7">
            <w:pPr>
              <w:jc w:val="both"/>
            </w:pPr>
            <w:r w:rsidRPr="00B57019">
              <w:t>Iebildums tiek uzturēts.</w:t>
            </w:r>
          </w:p>
          <w:p w14:paraId="3F5EE4D3" w14:textId="77777777" w:rsidR="003346BF" w:rsidRPr="00B57019" w:rsidRDefault="003346BF" w:rsidP="003346BF">
            <w:pPr>
              <w:jc w:val="center"/>
            </w:pPr>
          </w:p>
        </w:tc>
        <w:tc>
          <w:tcPr>
            <w:tcW w:w="2503" w:type="dxa"/>
            <w:tcBorders>
              <w:top w:val="single" w:sz="4" w:space="0" w:color="auto"/>
              <w:left w:val="single" w:sz="4" w:space="0" w:color="auto"/>
              <w:bottom w:val="single" w:sz="4" w:space="0" w:color="auto"/>
            </w:tcBorders>
            <w:shd w:val="clear" w:color="auto" w:fill="auto"/>
          </w:tcPr>
          <w:p w14:paraId="367D5BB4" w14:textId="77777777" w:rsidR="003346BF" w:rsidRPr="00B57019" w:rsidRDefault="003346BF" w:rsidP="003346BF">
            <w:pPr>
              <w:jc w:val="center"/>
            </w:pPr>
          </w:p>
        </w:tc>
      </w:tr>
      <w:tr w:rsidR="00B57019" w:rsidRPr="00B57019" w14:paraId="5BBFC339" w14:textId="77777777" w:rsidTr="6EC0B0DB">
        <w:tc>
          <w:tcPr>
            <w:tcW w:w="14567" w:type="dxa"/>
            <w:gridSpan w:val="6"/>
            <w:tcBorders>
              <w:top w:val="single" w:sz="6" w:space="0" w:color="000000" w:themeColor="text1"/>
              <w:left w:val="single" w:sz="6" w:space="0" w:color="000000" w:themeColor="text1"/>
              <w:bottom w:val="single" w:sz="6" w:space="0" w:color="000000" w:themeColor="text1"/>
            </w:tcBorders>
            <w:shd w:val="clear" w:color="auto" w:fill="auto"/>
          </w:tcPr>
          <w:p w14:paraId="1986999C" w14:textId="77777777" w:rsidR="00C017DC" w:rsidRPr="00B57019" w:rsidRDefault="00C017DC" w:rsidP="008A36C9">
            <w:pPr>
              <w:jc w:val="center"/>
            </w:pPr>
            <w:r w:rsidRPr="00B57019">
              <w:rPr>
                <w:b/>
              </w:rPr>
              <w:t>Zemkopības ministrija</w:t>
            </w:r>
          </w:p>
        </w:tc>
      </w:tr>
      <w:tr w:rsidR="00B57019" w:rsidRPr="00B57019" w14:paraId="5476059B"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B15279" w14:textId="19F7890E" w:rsidR="00C017DC" w:rsidRPr="00B57019" w:rsidRDefault="00777328" w:rsidP="006F1754">
            <w:pPr>
              <w:pStyle w:val="naisc"/>
              <w:spacing w:before="0" w:after="0"/>
              <w:jc w:val="both"/>
            </w:pPr>
            <w:r w:rsidRPr="00B57019">
              <w:t>28</w:t>
            </w:r>
            <w:r w:rsidR="006F1754" w:rsidRPr="00B57019">
              <w:t>.</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B5D3F5" w14:textId="77777777" w:rsidR="00C017DC" w:rsidRPr="00B57019" w:rsidRDefault="00C017DC" w:rsidP="00C017DC">
            <w:pPr>
              <w:pStyle w:val="naisc"/>
              <w:spacing w:before="0" w:after="0"/>
              <w:jc w:val="both"/>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913C57" w14:textId="77777777" w:rsidR="00C017DC" w:rsidRPr="00B57019" w:rsidRDefault="00C017DC" w:rsidP="00C017DC">
            <w:pPr>
              <w:pStyle w:val="naisc"/>
              <w:spacing w:before="0" w:after="0"/>
              <w:ind w:firstLine="720"/>
              <w:jc w:val="both"/>
            </w:pPr>
            <w:r w:rsidRPr="00B57019">
              <w:t>Veiktie aprēķini par iespējamo slodžu ietaupījumu resoros ir ļoti vispārīgi, virspusīgi un to tiem nav tieši secināms, ka minētās darba slodzes būtu ietaupītas resoru ietvaros.</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C4A361" w14:textId="77777777" w:rsidR="005661AB" w:rsidRPr="00B57019" w:rsidRDefault="005D6B97" w:rsidP="005D6B97">
            <w:pPr>
              <w:pStyle w:val="naisc"/>
              <w:spacing w:before="0" w:after="0"/>
              <w:jc w:val="both"/>
            </w:pPr>
            <w:r w:rsidRPr="00B57019">
              <w:rPr>
                <w:b/>
                <w:bCs/>
              </w:rPr>
              <w:t xml:space="preserve">Iebildums </w:t>
            </w:r>
            <w:r w:rsidR="00BF281F" w:rsidRPr="00B57019">
              <w:rPr>
                <w:b/>
                <w:bCs/>
              </w:rPr>
              <w:t>nav</w:t>
            </w:r>
            <w:r w:rsidRPr="00B57019">
              <w:rPr>
                <w:b/>
                <w:bCs/>
              </w:rPr>
              <w:t xml:space="preserve"> ņemts vērā</w:t>
            </w:r>
            <w:r w:rsidRPr="00B57019">
              <w:t xml:space="preserve">. </w:t>
            </w:r>
          </w:p>
          <w:p w14:paraId="09BCAEE9" w14:textId="77777777" w:rsidR="009A0546" w:rsidRPr="00B57019" w:rsidRDefault="009A0546" w:rsidP="009A0546">
            <w:pPr>
              <w:pStyle w:val="naisc"/>
              <w:spacing w:before="0" w:after="0"/>
              <w:jc w:val="both"/>
            </w:pPr>
            <w:r w:rsidRPr="00B57019">
              <w:t>Uzskatām, ka aprēķini sniedz pilnu informāciju, kā arī ir sniegtas atsauces un skaidrojumi, kā aprēķini veidoti.</w:t>
            </w:r>
          </w:p>
          <w:p w14:paraId="1591C5D7" w14:textId="77777777" w:rsidR="008B4A15" w:rsidRPr="00B57019" w:rsidRDefault="008B4A15" w:rsidP="008B4A15">
            <w:pPr>
              <w:jc w:val="both"/>
            </w:pPr>
          </w:p>
          <w:p w14:paraId="268EDEFD" w14:textId="2D3FFEC0" w:rsidR="000F275B" w:rsidRPr="00B57019" w:rsidRDefault="00C2089F" w:rsidP="00C2089F">
            <w:pPr>
              <w:jc w:val="both"/>
            </w:pPr>
            <w:r w:rsidRPr="00B57019">
              <w:t>Skatīt informatīvā ziņojuma 6. pielikumu.</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650DF443" w14:textId="77777777" w:rsidR="009851F7" w:rsidRPr="00B57019" w:rsidRDefault="009851F7" w:rsidP="009851F7">
            <w:pPr>
              <w:jc w:val="both"/>
            </w:pPr>
            <w:r w:rsidRPr="00B57019">
              <w:t>Iebildums tiek uzturēts.</w:t>
            </w:r>
          </w:p>
          <w:p w14:paraId="520D482E" w14:textId="77777777" w:rsidR="00C017DC" w:rsidRPr="00B57019" w:rsidRDefault="00C017DC" w:rsidP="00C017DC">
            <w:pPr>
              <w:jc w:val="both"/>
            </w:pPr>
          </w:p>
        </w:tc>
        <w:tc>
          <w:tcPr>
            <w:tcW w:w="2503" w:type="dxa"/>
            <w:tcBorders>
              <w:top w:val="single" w:sz="4" w:space="0" w:color="auto"/>
              <w:left w:val="single" w:sz="4" w:space="0" w:color="auto"/>
              <w:bottom w:val="single" w:sz="4" w:space="0" w:color="auto"/>
            </w:tcBorders>
            <w:shd w:val="clear" w:color="auto" w:fill="auto"/>
          </w:tcPr>
          <w:p w14:paraId="27FCD4A7" w14:textId="77777777" w:rsidR="002A05B2" w:rsidRPr="00B57019" w:rsidRDefault="002A05B2" w:rsidP="002A05B2">
            <w:r w:rsidRPr="00B57019">
              <w:t>Informatīvais ziņojums papildināts ar 6. pielikumu.</w:t>
            </w:r>
          </w:p>
          <w:p w14:paraId="6296F65C" w14:textId="77777777" w:rsidR="00C017DC" w:rsidRPr="00B57019" w:rsidRDefault="00C017DC" w:rsidP="00C017DC">
            <w:pPr>
              <w:jc w:val="both"/>
            </w:pPr>
          </w:p>
        </w:tc>
      </w:tr>
      <w:tr w:rsidR="00B57019" w:rsidRPr="00B57019" w14:paraId="69EF8EC3"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C1F183" w14:textId="7CF96B18" w:rsidR="00C017DC" w:rsidRPr="00B57019" w:rsidRDefault="00777328" w:rsidP="00C017DC">
            <w:pPr>
              <w:pStyle w:val="naisc"/>
              <w:spacing w:before="0" w:after="0"/>
              <w:jc w:val="both"/>
            </w:pPr>
            <w:r w:rsidRPr="00B57019">
              <w:t>29</w:t>
            </w:r>
            <w:r w:rsidR="00BB59B3" w:rsidRPr="00B57019">
              <w:t>.</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5AFF24" w14:textId="77777777" w:rsidR="00C017DC" w:rsidRPr="00B57019" w:rsidRDefault="00C017DC" w:rsidP="00C017DC">
            <w:pPr>
              <w:pStyle w:val="naisc"/>
              <w:spacing w:before="0" w:after="0"/>
              <w:jc w:val="both"/>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FAC5AC" w14:textId="77777777" w:rsidR="00C017DC" w:rsidRPr="00B57019" w:rsidRDefault="00C017DC" w:rsidP="00C017DC">
            <w:pPr>
              <w:pStyle w:val="naisc"/>
              <w:spacing w:before="0" w:after="0"/>
              <w:ind w:firstLine="720"/>
              <w:jc w:val="both"/>
            </w:pPr>
            <w:r w:rsidRPr="00B57019">
              <w:t xml:space="preserve">Lai arī, no vienas puses, informatīvajā ziņojuma minētās informācijas sistēmas atvieglo un, iespējams, ļauj ietaupīt finansiālos un cilvēkresursus resora iestāžu atbalsta funkciju realizācijā (iepirkumi, lietvedība, grāmatvedība), tomēr, no otras puses, pieaug minēto sistēmu integrācijas pakalpju resoru informācijas sistēmās IKT uzturēšanas,  administrēšanas un atbalsta funkciju resursietilpība, lai nodrošinātu kvalitatīvu starpsistēmu integrāciju un lietojamību. </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7E16CD" w14:textId="77777777" w:rsidR="000F275B" w:rsidRPr="00B57019" w:rsidRDefault="000F275B" w:rsidP="000F275B">
            <w:pPr>
              <w:pStyle w:val="PlainText"/>
              <w:jc w:val="both"/>
              <w:rPr>
                <w:rFonts w:ascii="Times New Roman" w:hAnsi="Times New Roman"/>
                <w:b/>
                <w:sz w:val="24"/>
                <w:szCs w:val="24"/>
                <w:lang w:val="lv-LV"/>
              </w:rPr>
            </w:pPr>
            <w:r w:rsidRPr="00B57019">
              <w:rPr>
                <w:rFonts w:ascii="Times New Roman" w:hAnsi="Times New Roman"/>
                <w:b/>
                <w:sz w:val="24"/>
                <w:szCs w:val="24"/>
                <w:lang w:val="lv-LV"/>
              </w:rPr>
              <w:t xml:space="preserve">Iebildums nav ņemts vērā. </w:t>
            </w:r>
          </w:p>
          <w:p w14:paraId="7D3D881B" w14:textId="77777777" w:rsidR="00C017DC" w:rsidRPr="00B57019" w:rsidRDefault="00C017DC" w:rsidP="00C16CF3">
            <w:pPr>
              <w:pStyle w:val="naisc"/>
              <w:spacing w:before="0" w:after="0"/>
              <w:ind w:firstLine="720"/>
              <w:jc w:val="both"/>
            </w:pPr>
            <w:r w:rsidRPr="00B57019">
              <w:t xml:space="preserve">Minēto sistēmu integrācija pakalpju resoru informācijas sistēmās nav sarežģīta un neprasa lielus resursus, </w:t>
            </w:r>
            <w:r w:rsidR="00C16CF3" w:rsidRPr="00B57019">
              <w:t>jo</w:t>
            </w:r>
            <w:r w:rsidRPr="00B57019">
              <w:t xml:space="preserve"> koplietošanas pakalpojumi ir veidoti tā, lai lietotājam pēc iespējas atvieglotu integrācijas procesus. Konkrēta VRAA izstrādāta risinājuma integrācija neatšķiras atkarībā no tā lietotāja, tā visiem ir vienāda. VRAA koplietošanas risinājumi tiek izstrādāti tā, lai valstī iestādēm būtu vienota izpratne par sistēmās notiekošajiem procesiem. Būtiski ir ņemt vērā faktu, ka, ja nebūtu vienotu risinājumu, tad integrācijas process būtu jāveic ar katru pakalpojuma sniedzēju atsevišķi, tādejādi VRAA samazina arī iestāžu integrāciju skaitu.</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6360A0D4" w14:textId="77777777" w:rsidR="009851F7" w:rsidRPr="00B57019" w:rsidRDefault="009851F7" w:rsidP="009851F7">
            <w:pPr>
              <w:jc w:val="both"/>
            </w:pPr>
            <w:r w:rsidRPr="00B57019">
              <w:t>Iebildums tiek uzturēts.</w:t>
            </w:r>
          </w:p>
          <w:p w14:paraId="3C9B5CE5" w14:textId="77777777" w:rsidR="00C017DC" w:rsidRPr="00B57019" w:rsidRDefault="00C017DC" w:rsidP="00C017DC">
            <w:pPr>
              <w:jc w:val="both"/>
            </w:pPr>
          </w:p>
        </w:tc>
        <w:tc>
          <w:tcPr>
            <w:tcW w:w="2503" w:type="dxa"/>
            <w:tcBorders>
              <w:top w:val="single" w:sz="4" w:space="0" w:color="auto"/>
              <w:left w:val="single" w:sz="4" w:space="0" w:color="auto"/>
              <w:bottom w:val="single" w:sz="4" w:space="0" w:color="auto"/>
            </w:tcBorders>
            <w:shd w:val="clear" w:color="auto" w:fill="auto"/>
          </w:tcPr>
          <w:p w14:paraId="2F47A0C6" w14:textId="77777777" w:rsidR="00C017DC" w:rsidRPr="00B57019" w:rsidRDefault="00C017DC" w:rsidP="00C017DC">
            <w:pPr>
              <w:jc w:val="both"/>
            </w:pPr>
          </w:p>
        </w:tc>
      </w:tr>
      <w:tr w:rsidR="00B57019" w:rsidRPr="00B57019" w14:paraId="06B5A964"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44CFF1" w14:textId="7C5CAFEE" w:rsidR="00C017DC" w:rsidRPr="00B57019" w:rsidRDefault="00777328" w:rsidP="006F1754">
            <w:pPr>
              <w:pStyle w:val="naisc"/>
              <w:spacing w:before="0" w:after="0"/>
              <w:jc w:val="both"/>
            </w:pPr>
            <w:r w:rsidRPr="00B57019">
              <w:t>30</w:t>
            </w:r>
            <w:r w:rsidR="006F1754" w:rsidRPr="00B57019">
              <w:t>.</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EA291E" w14:textId="77777777" w:rsidR="00C017DC" w:rsidRPr="00B57019" w:rsidRDefault="00C017DC" w:rsidP="00C017DC">
            <w:pPr>
              <w:pStyle w:val="naisc"/>
              <w:spacing w:before="0" w:after="0"/>
              <w:jc w:val="both"/>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383234" w14:textId="77777777" w:rsidR="00C017DC" w:rsidRPr="00B57019" w:rsidRDefault="00C017DC" w:rsidP="00C017DC">
            <w:pPr>
              <w:pStyle w:val="naisc"/>
              <w:spacing w:before="0" w:after="0"/>
              <w:ind w:firstLine="720"/>
              <w:jc w:val="both"/>
            </w:pPr>
            <w:r w:rsidRPr="00B57019">
              <w:t>Valsts pārvaldes reformu plāns 2020 paredz visā valsts pārvaldē strādājošo skaita samazinājumu līdz 2020 par 6%, kas jau šobrīd uzliek ievērojamu slogu resoriem tiešo funkciju izpildes nodrošināšanai, un darba vietu pārdali par labu atbalsta funkciju izpildei nav iespējama.</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8EAA140" w14:textId="77777777" w:rsidR="005E1E77" w:rsidRPr="00B57019" w:rsidRDefault="005E1E77" w:rsidP="005E1E77">
            <w:pPr>
              <w:pStyle w:val="naisc"/>
              <w:spacing w:before="0" w:after="0"/>
              <w:jc w:val="both"/>
            </w:pPr>
            <w:r w:rsidRPr="00B57019">
              <w:rPr>
                <w:b/>
                <w:bCs/>
              </w:rPr>
              <w:t>Iebildums nav ņemts vērā</w:t>
            </w:r>
            <w:r w:rsidRPr="00B57019">
              <w:t xml:space="preserve">. </w:t>
            </w:r>
          </w:p>
          <w:p w14:paraId="4C38DC1B" w14:textId="77777777" w:rsidR="00C63706" w:rsidRPr="00B57019" w:rsidRDefault="005E1E77" w:rsidP="005E1E77">
            <w:pPr>
              <w:pStyle w:val="naisc"/>
              <w:spacing w:before="0" w:after="0"/>
              <w:jc w:val="both"/>
            </w:pPr>
            <w:r w:rsidRPr="00B57019">
              <w:t>VARAM ieskatā koplietošanas risinājumu darbības nodrošināšanā jāpiedalās proporcionāli un  risinājuma koncepts ir jābalsta principā - pārstrukturizējot kompetences, un resursus rodot publiskas pārvaldes iekšienē.</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0D06D3D7" w14:textId="77777777" w:rsidR="009851F7" w:rsidRPr="00B57019" w:rsidRDefault="009851F7" w:rsidP="009851F7">
            <w:pPr>
              <w:jc w:val="both"/>
            </w:pPr>
            <w:r w:rsidRPr="00B57019">
              <w:t>Iebildums tiek uzturēts.</w:t>
            </w:r>
          </w:p>
          <w:p w14:paraId="3C60D911" w14:textId="77777777" w:rsidR="00C017DC" w:rsidRPr="00B57019" w:rsidRDefault="00C017DC" w:rsidP="00C017DC">
            <w:pPr>
              <w:jc w:val="both"/>
            </w:pPr>
          </w:p>
        </w:tc>
        <w:tc>
          <w:tcPr>
            <w:tcW w:w="2503" w:type="dxa"/>
            <w:tcBorders>
              <w:top w:val="single" w:sz="4" w:space="0" w:color="auto"/>
              <w:left w:val="single" w:sz="4" w:space="0" w:color="auto"/>
              <w:bottom w:val="single" w:sz="4" w:space="0" w:color="auto"/>
            </w:tcBorders>
            <w:shd w:val="clear" w:color="auto" w:fill="auto"/>
          </w:tcPr>
          <w:p w14:paraId="6A74322C" w14:textId="77777777" w:rsidR="00C017DC" w:rsidRPr="00B57019" w:rsidRDefault="00C017DC" w:rsidP="00C017DC">
            <w:pPr>
              <w:jc w:val="both"/>
            </w:pPr>
          </w:p>
        </w:tc>
      </w:tr>
      <w:tr w:rsidR="00B57019" w:rsidRPr="00B57019" w14:paraId="060C4B18"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3007EC" w14:textId="54903C8A" w:rsidR="00C017DC" w:rsidRPr="00B57019" w:rsidRDefault="00777328" w:rsidP="00C017DC">
            <w:pPr>
              <w:pStyle w:val="naisc"/>
              <w:spacing w:before="0" w:after="0"/>
              <w:jc w:val="both"/>
            </w:pPr>
            <w:r w:rsidRPr="00B57019">
              <w:t>31</w:t>
            </w:r>
            <w:r w:rsidR="00BB59B3" w:rsidRPr="00B57019">
              <w:t>.</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AC8AC1" w14:textId="77777777" w:rsidR="00C017DC" w:rsidRPr="00B57019" w:rsidRDefault="00C017DC" w:rsidP="00C017DC">
            <w:pPr>
              <w:pStyle w:val="naisc"/>
              <w:spacing w:before="0" w:after="0"/>
              <w:jc w:val="both"/>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53D36E" w14:textId="77777777" w:rsidR="00C017DC" w:rsidRPr="00B57019" w:rsidRDefault="00C017DC" w:rsidP="00C017DC">
            <w:pPr>
              <w:pStyle w:val="naisc"/>
              <w:spacing w:before="0" w:after="0"/>
              <w:ind w:firstLine="720"/>
              <w:jc w:val="both"/>
            </w:pPr>
            <w:r w:rsidRPr="00B57019">
              <w:t>Ņemot vērā iespējamo bez vienošanās scenāriju starp Eiropas Savienību un Apvienoto karalisti BREXIT kontekstā, tuvākajos gados, iespējams, būs nepieciešamas atjaunot un ieviest jaunas resoram piekritīgas kontrolējošās funkcijas (pārtikas robežkontrole, veterināro zāļu reģistrācija u.c.), kas var prasīt ievērojamu cilvēkresursu nepieciešamību.</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E2C7BF" w14:textId="77777777" w:rsidR="00C017DC" w:rsidRPr="00B57019" w:rsidRDefault="00C017DC" w:rsidP="00C017DC">
            <w:pPr>
              <w:pStyle w:val="PlainText"/>
              <w:jc w:val="both"/>
              <w:rPr>
                <w:rFonts w:ascii="Times New Roman" w:hAnsi="Times New Roman"/>
                <w:b/>
                <w:sz w:val="24"/>
                <w:szCs w:val="24"/>
                <w:lang w:val="lv-LV"/>
              </w:rPr>
            </w:pPr>
            <w:r w:rsidRPr="00B57019">
              <w:rPr>
                <w:rFonts w:ascii="Times New Roman" w:hAnsi="Times New Roman"/>
                <w:b/>
                <w:sz w:val="24"/>
                <w:szCs w:val="24"/>
                <w:lang w:val="lv-LV"/>
              </w:rPr>
              <w:t>Iebildums nav ņemts vērā.</w:t>
            </w:r>
          </w:p>
          <w:p w14:paraId="221595BA" w14:textId="77777777" w:rsidR="00C017DC" w:rsidRPr="00B57019" w:rsidRDefault="00C017DC" w:rsidP="00C017DC">
            <w:pPr>
              <w:pStyle w:val="naisc"/>
              <w:spacing w:before="0" w:after="0"/>
              <w:ind w:firstLine="720"/>
              <w:jc w:val="both"/>
            </w:pPr>
            <w:r w:rsidRPr="00B57019">
              <w:t>Jaunu, ar informācijas tehnoloģijām nesaistītu funkciju piešķiršana un tam nepieciešamais cilvēkresurss nav šī informatīvā ziņojuma priekšmets.</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311DC682" w14:textId="77777777" w:rsidR="00C017DC" w:rsidRPr="00B57019" w:rsidRDefault="00C017DC" w:rsidP="00C017DC">
            <w:pPr>
              <w:jc w:val="both"/>
            </w:pPr>
          </w:p>
        </w:tc>
        <w:tc>
          <w:tcPr>
            <w:tcW w:w="2503" w:type="dxa"/>
            <w:tcBorders>
              <w:top w:val="single" w:sz="4" w:space="0" w:color="auto"/>
              <w:left w:val="single" w:sz="4" w:space="0" w:color="auto"/>
              <w:bottom w:val="single" w:sz="4" w:space="0" w:color="auto"/>
            </w:tcBorders>
            <w:shd w:val="clear" w:color="auto" w:fill="auto"/>
          </w:tcPr>
          <w:p w14:paraId="5E55362D" w14:textId="77777777" w:rsidR="00C017DC" w:rsidRPr="00B57019" w:rsidRDefault="00C017DC" w:rsidP="00C017DC">
            <w:pPr>
              <w:jc w:val="both"/>
            </w:pPr>
          </w:p>
        </w:tc>
      </w:tr>
      <w:tr w:rsidR="00B57019" w:rsidRPr="00B57019" w14:paraId="5C96D87C"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A99D08" w14:textId="4B50BE05" w:rsidR="00C017DC" w:rsidRPr="00B57019" w:rsidRDefault="00777328" w:rsidP="00C017DC">
            <w:pPr>
              <w:pStyle w:val="naisc"/>
              <w:spacing w:before="0" w:after="0"/>
              <w:jc w:val="both"/>
            </w:pPr>
            <w:r w:rsidRPr="00B57019">
              <w:t>32</w:t>
            </w:r>
            <w:r w:rsidR="00BB59B3" w:rsidRPr="00B57019">
              <w:t>.</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F9F00F" w14:textId="77777777" w:rsidR="00C017DC" w:rsidRPr="00B57019" w:rsidRDefault="00C017DC" w:rsidP="005A6AA1">
            <w:pPr>
              <w:pStyle w:val="naisc"/>
              <w:spacing w:before="0" w:after="0"/>
              <w:jc w:val="both"/>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7B331D" w14:textId="77777777" w:rsidR="00C017DC" w:rsidRPr="00B57019" w:rsidRDefault="00C017DC" w:rsidP="00C017DC">
            <w:pPr>
              <w:pStyle w:val="naisc"/>
              <w:spacing w:before="0" w:after="0"/>
              <w:ind w:firstLine="720"/>
              <w:jc w:val="both"/>
            </w:pPr>
            <w:r w:rsidRPr="00B57019">
              <w:t>Finanšu līdzekļu pieprasīšana informācijas sistēmu uzturēšanai, jeb uzturēšanas izdevumu, kas rodas no veiktajiem kapitālajiem ieguldījumiem pabeigtos projektos, kas ir nodoti ekspluatācijā un par kuriem tiks veikts galīgā norēķina maksājums tai skaitā no Eiropas Savienības politiku instrumentu un pārējo ārvalstu finanšu palīdzības līdzekļu ietvaros veiktajām investīcijām, ir veicama saskaņā ar 2012. gada ministru kabineta noteikumos Nr. 867 “Kārtība, kādā nosakāms maksimāli pieļaujamais valsts budžeta izdevumu kopapjoms un maksimāli pieļaujamais valsts budžeta izdevumu kopējais apjoms katrai ministrijai un citām centrālajām valsts iestādēm vidējam termiņam” noteikto kārtību nevis tieši pārdalāmi no resoru budžetiem.</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9C6841" w14:textId="77777777" w:rsidR="00033ECD" w:rsidRPr="00B57019" w:rsidRDefault="00647E92" w:rsidP="000123C4">
            <w:pPr>
              <w:pStyle w:val="naisc"/>
              <w:spacing w:before="0" w:after="0"/>
              <w:jc w:val="both"/>
            </w:pPr>
            <w:r w:rsidRPr="00B57019">
              <w:rPr>
                <w:b/>
                <w:bCs/>
              </w:rPr>
              <w:t>Iebildums nav ņemts vērā</w:t>
            </w:r>
            <w:r w:rsidRPr="00B57019">
              <w:t xml:space="preserve">. Norādām, ka </w:t>
            </w:r>
            <w:r w:rsidR="00892B81" w:rsidRPr="00B57019">
              <w:t xml:space="preserve">Ministru kabineta </w:t>
            </w:r>
            <w:r w:rsidRPr="00B57019">
              <w:t xml:space="preserve">2012. gada </w:t>
            </w:r>
            <w:r w:rsidR="00892B81" w:rsidRPr="00B57019">
              <w:t xml:space="preserve">11. decembra </w:t>
            </w:r>
            <w:r w:rsidRPr="00B57019">
              <w:t>noteikumu Nr. 867</w:t>
            </w:r>
            <w:r w:rsidR="003A58FD" w:rsidRPr="00B57019">
              <w:t xml:space="preserve">  “Kārtība, kādā nosakāms maksimāli pieļaujamais valsts budžeta izdevumu kopapjoms un maksimāli pieļaujamais valsts budžeta izdevumu kopējais apjoms katrai ministrijai un citām centrālajām valsts iestādēm vidējam termiņam” </w:t>
            </w:r>
            <w:r w:rsidRPr="00B57019">
              <w:t xml:space="preserve"> piemērošanas prakse attiecībā uz struktūrfondu projektu ietvaros izstrādātu risinājumu uzturēšanas izmaksām, paredz uzturēšanas izmaksu apjomu novērtēšanu un pieprasīšanu jau projektu saskaņošanas fāzē, nosakot plānoto uzturēšanas izmaksu saskaņojumu par nepieciešamu, ne pietiekamu nosacījumu papildus budžeta finansējuma piešķiršanai</w:t>
            </w:r>
            <w:r w:rsidR="003A58FD" w:rsidRPr="00B57019">
              <w:t xml:space="preserve"> (10.4. apakšpunkts)</w:t>
            </w:r>
            <w:r w:rsidRPr="00B57019">
              <w:t xml:space="preserve"> Nevienai no ziņojumā iekļautajām koplietošanas platformām papildus uzturēšanas budžeta līdzekļi un papildus amata vietas projekta saskaņošanas ietvaros plānotajā apjomā nav piešķirtas. </w:t>
            </w:r>
          </w:p>
          <w:p w14:paraId="2E588871" w14:textId="77777777" w:rsidR="004D0D8B" w:rsidRPr="00B57019" w:rsidRDefault="004D0D8B" w:rsidP="00C017DC">
            <w:pPr>
              <w:pStyle w:val="naisc"/>
              <w:spacing w:before="0" w:after="0"/>
              <w:ind w:firstLine="720"/>
              <w:jc w:val="both"/>
            </w:pPr>
          </w:p>
          <w:p w14:paraId="5A884A57" w14:textId="5109FA2D" w:rsidR="004D0D8B" w:rsidRPr="00B57019" w:rsidRDefault="004D0D8B" w:rsidP="00C017DC">
            <w:pPr>
              <w:pStyle w:val="naisc"/>
              <w:spacing w:before="0" w:after="0"/>
              <w:ind w:firstLine="720"/>
              <w:jc w:val="both"/>
              <w:rPr>
                <w:highlight w:val="yellow"/>
              </w:rPr>
            </w:pP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59F98505" w14:textId="77777777" w:rsidR="009851F7" w:rsidRPr="00B57019" w:rsidRDefault="009851F7" w:rsidP="009851F7">
            <w:pPr>
              <w:jc w:val="both"/>
            </w:pPr>
            <w:r w:rsidRPr="00B57019">
              <w:t>Iebildums tiek uzturēts.</w:t>
            </w:r>
          </w:p>
          <w:p w14:paraId="3998C987" w14:textId="77777777" w:rsidR="00C017DC" w:rsidRPr="00B57019" w:rsidRDefault="00C017DC" w:rsidP="00C017DC">
            <w:pPr>
              <w:jc w:val="both"/>
            </w:pPr>
          </w:p>
        </w:tc>
        <w:tc>
          <w:tcPr>
            <w:tcW w:w="2503" w:type="dxa"/>
            <w:tcBorders>
              <w:top w:val="single" w:sz="4" w:space="0" w:color="auto"/>
              <w:left w:val="single" w:sz="4" w:space="0" w:color="auto"/>
              <w:bottom w:val="single" w:sz="4" w:space="0" w:color="auto"/>
            </w:tcBorders>
            <w:shd w:val="clear" w:color="auto" w:fill="auto"/>
          </w:tcPr>
          <w:p w14:paraId="35782100" w14:textId="77777777" w:rsidR="00C017DC" w:rsidRPr="00B57019" w:rsidRDefault="00C017DC" w:rsidP="00C017DC">
            <w:pPr>
              <w:jc w:val="both"/>
            </w:pPr>
          </w:p>
        </w:tc>
      </w:tr>
      <w:tr w:rsidR="00B57019" w:rsidRPr="00B57019" w14:paraId="5C561047" w14:textId="77777777" w:rsidTr="6EC0B0DB">
        <w:tc>
          <w:tcPr>
            <w:tcW w:w="14567" w:type="dxa"/>
            <w:gridSpan w:val="6"/>
            <w:tcBorders>
              <w:top w:val="single" w:sz="6" w:space="0" w:color="000000" w:themeColor="text1"/>
              <w:left w:val="single" w:sz="6" w:space="0" w:color="000000" w:themeColor="text1"/>
              <w:bottom w:val="single" w:sz="6" w:space="0" w:color="000000" w:themeColor="text1"/>
            </w:tcBorders>
            <w:shd w:val="clear" w:color="auto" w:fill="auto"/>
          </w:tcPr>
          <w:p w14:paraId="21FC04EF" w14:textId="77777777" w:rsidR="00250EB5" w:rsidRPr="00B57019" w:rsidRDefault="00250EB5" w:rsidP="008A36C9">
            <w:pPr>
              <w:jc w:val="center"/>
              <w:rPr>
                <w:b/>
              </w:rPr>
            </w:pPr>
            <w:r w:rsidRPr="00B57019">
              <w:rPr>
                <w:b/>
              </w:rPr>
              <w:t>Finanšu ministrija</w:t>
            </w:r>
          </w:p>
        </w:tc>
      </w:tr>
      <w:tr w:rsidR="00B57019" w:rsidRPr="00B57019" w14:paraId="5A09DE83" w14:textId="77777777" w:rsidTr="6EC0B0DB">
        <w:trPr>
          <w:trHeight w:val="2815"/>
        </w:trPr>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BB4A42" w14:textId="4E52C151" w:rsidR="00250EB5" w:rsidRPr="00B57019" w:rsidRDefault="00777328" w:rsidP="006F1754">
            <w:pPr>
              <w:pStyle w:val="naisc"/>
              <w:spacing w:before="0" w:after="0"/>
            </w:pPr>
            <w:r w:rsidRPr="00B57019">
              <w:t>33</w:t>
            </w:r>
            <w:r w:rsidR="00BB59B3" w:rsidRPr="00B57019">
              <w:t>.</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1CB757" w14:textId="77777777" w:rsidR="00250EB5" w:rsidRPr="00B57019" w:rsidRDefault="00250EB5" w:rsidP="005B77B8">
            <w:pPr>
              <w:pStyle w:val="naisc"/>
              <w:spacing w:before="0" w:after="0"/>
              <w:jc w:val="left"/>
            </w:pPr>
            <w:r w:rsidRPr="00B57019">
              <w:t>Informatīvā ziņojuma projekts</w:t>
            </w:r>
            <w:r w:rsidR="009753A5" w:rsidRPr="00B57019">
              <w:t xml:space="preserve"> un protokollēmuma projekts</w:t>
            </w:r>
            <w:r w:rsidRPr="00B57019">
              <w:t>.</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B27E11" w14:textId="77777777" w:rsidR="00250EB5" w:rsidRPr="00B57019" w:rsidRDefault="00250EB5" w:rsidP="00250EB5">
            <w:pPr>
              <w:ind w:firstLine="720"/>
              <w:jc w:val="both"/>
            </w:pPr>
            <w:r w:rsidRPr="00B57019">
              <w:t>Ņemot vērā, ka Valsts reģionālās attīstības aģentūras (turpmāk – VRAA) nodrošinātie koplietošanas pakalpojumi ir ieviesti pirms ievērojama laika (piem., EIS sistēmu VRAA uztur no 01.06.2009.), informatīvā ziņojuma projektā norādīto pakalpojumu izmantošanas rezultātā ministriju gūtais resursu ietaupījums ir radies pakalpojumu lietošanas uzsākšanas sākumposmā. Finanšu ministrija nevar piekrist finansējuma un 2 amata vietu pārdalei no ministrijas uz VRAA tās kapacitātes celšanai, lai nodrošinātu informācijas un komunikācijas tehnoloģiju koplietošanas platformu uzturēšanu un attīstību un bāzes izdevumu samazināšanai ar 2020. gadu, jo:</w:t>
            </w:r>
          </w:p>
          <w:p w14:paraId="4A9B1683" w14:textId="77777777" w:rsidR="00250EB5" w:rsidRPr="00B57019" w:rsidRDefault="00250EB5" w:rsidP="00250EB5">
            <w:pPr>
              <w:pStyle w:val="ListParagraph"/>
              <w:numPr>
                <w:ilvl w:val="0"/>
                <w:numId w:val="6"/>
              </w:numPr>
              <w:tabs>
                <w:tab w:val="left" w:pos="1134"/>
              </w:tabs>
              <w:spacing w:after="0" w:line="240" w:lineRule="auto"/>
              <w:jc w:val="both"/>
              <w:rPr>
                <w:rFonts w:ascii="Times New Roman" w:hAnsi="Times New Roman"/>
                <w:sz w:val="24"/>
                <w:szCs w:val="24"/>
              </w:rPr>
            </w:pPr>
            <w:r w:rsidRPr="00B57019">
              <w:rPr>
                <w:rFonts w:ascii="Times New Roman" w:hAnsi="Times New Roman"/>
                <w:sz w:val="24"/>
                <w:szCs w:val="24"/>
              </w:rPr>
              <w:t>protokollēmuma projekta 3.punktā norādīts amata vietu un finansējuma samazinājums ministrijās, lai nodrošinātu protokollēmuma projekta 2.punktā minēto bāzes izdevumu palielināšanu VARAM (VRAA), tomēr no informatīvā ziņojuma projekta un tā pielikumiem nav skaidrs, kā aprēķināti katrai ministrijai samazināmie bāzes izdevumi un amata vietu skaits, kā arī šāda resursu iegūšanas mehānisma izvēles pamatojums;</w:t>
            </w:r>
          </w:p>
          <w:p w14:paraId="3ABB6C3E" w14:textId="77777777" w:rsidR="00250EB5" w:rsidRPr="00B57019" w:rsidRDefault="00250EB5" w:rsidP="00250EB5">
            <w:pPr>
              <w:pStyle w:val="ListParagraph"/>
              <w:numPr>
                <w:ilvl w:val="0"/>
                <w:numId w:val="6"/>
              </w:numPr>
              <w:spacing w:after="0" w:line="240" w:lineRule="auto"/>
              <w:jc w:val="both"/>
              <w:rPr>
                <w:rFonts w:ascii="Times New Roman" w:hAnsi="Times New Roman"/>
                <w:sz w:val="24"/>
                <w:szCs w:val="24"/>
              </w:rPr>
            </w:pPr>
            <w:r w:rsidRPr="00B57019">
              <w:rPr>
                <w:rFonts w:ascii="Times New Roman" w:hAnsi="Times New Roman"/>
                <w:sz w:val="24"/>
                <w:szCs w:val="24"/>
              </w:rPr>
              <w:t>kopš koplietošanas pakalpojumu nodrošināšanas 2009.gadā Finanšu ministrijai ir nodotas jaunas funkcijas un pienākumi, kas nodrošināmi līdzšinēji piešķirto budžeta līdzekļu ietvaros;</w:t>
            </w:r>
          </w:p>
          <w:p w14:paraId="43345965" w14:textId="77777777" w:rsidR="00250EB5" w:rsidRPr="00B57019" w:rsidRDefault="00250EB5" w:rsidP="00250EB5">
            <w:pPr>
              <w:pStyle w:val="ListParagraph"/>
              <w:numPr>
                <w:ilvl w:val="0"/>
                <w:numId w:val="6"/>
              </w:numPr>
              <w:spacing w:after="0" w:line="240" w:lineRule="auto"/>
              <w:jc w:val="both"/>
              <w:rPr>
                <w:rFonts w:ascii="Times New Roman" w:hAnsi="Times New Roman"/>
                <w:sz w:val="24"/>
                <w:szCs w:val="24"/>
              </w:rPr>
            </w:pPr>
            <w:r w:rsidRPr="00B57019">
              <w:rPr>
                <w:rFonts w:ascii="Times New Roman" w:hAnsi="Times New Roman"/>
                <w:sz w:val="24"/>
                <w:szCs w:val="24"/>
              </w:rPr>
              <w:t>Ministru kabinetā ir apstiprināts Valsts pārvaldes reformu plāns 2020, kas sākot ar 2018.gadu paredz trīs gadu laikā vidēji par 6% samazināt nodarbināto (amata slodžu) skaitu, ko Finanšu ministrijas resors jau ir izdarījis.</w:t>
            </w:r>
          </w:p>
          <w:p w14:paraId="4A564D7C" w14:textId="77777777" w:rsidR="00250EB5" w:rsidRPr="00B57019" w:rsidRDefault="00250EB5" w:rsidP="00250EB5">
            <w:pPr>
              <w:spacing w:after="120"/>
              <w:ind w:firstLine="720"/>
              <w:jc w:val="both"/>
            </w:pPr>
            <w:r w:rsidRPr="00B57019">
              <w:t xml:space="preserve"> Ņemot vērā minēto,</w:t>
            </w:r>
            <w:r w:rsidRPr="00B57019">
              <w:rPr>
                <w:b/>
              </w:rPr>
              <w:t xml:space="preserve"> </w:t>
            </w:r>
            <w:r w:rsidRPr="00B57019">
              <w:t xml:space="preserve">lūdzam papildināt informatīvā ziņojuma projektu un tā pielikumus ar skaidrojošo informāciju. </w:t>
            </w:r>
          </w:p>
          <w:p w14:paraId="6BE7670F" w14:textId="77777777" w:rsidR="00250EB5" w:rsidRPr="00B57019" w:rsidRDefault="00250EB5" w:rsidP="00250EB5">
            <w:pPr>
              <w:pStyle w:val="naisc"/>
              <w:spacing w:before="0" w:after="0"/>
              <w:ind w:firstLine="720"/>
              <w:jc w:val="both"/>
            </w:pPr>
            <w:r w:rsidRPr="00B57019">
              <w:t>Papildus lūdzam pārskatīt un precizēt protokollēmuma projekta 3.1. apakšpunktā norādītos resoru bāzes izdevumus, jo to kopsummas nesakrīt ar protokollēmuma projekta 2. punktā norādītajām kopsummām 2020. un 2021. gadā. Turklāt lūdzam precizēt protokollēmuma projekta 3.1.apakšpunktā norādītās amata vietas 2019. gadam, ņemot vērā informatīvā ziņojuma projekta 3.tabulā norādīto informāciju, ka 2020. gadā nepieciešamas 19 amata vietas saistībā ar 4.koplietošanas pakalpojuma ieviešanu no 2021. gada.</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69A290" w14:textId="77777777" w:rsidR="00250EB5" w:rsidRPr="00B57019" w:rsidRDefault="00A067F6" w:rsidP="00250EB5">
            <w:pPr>
              <w:pStyle w:val="PlainText"/>
              <w:jc w:val="both"/>
              <w:rPr>
                <w:rFonts w:ascii="Times New Roman" w:hAnsi="Times New Roman"/>
                <w:b/>
                <w:sz w:val="24"/>
                <w:szCs w:val="24"/>
                <w:lang w:val="lv-LV"/>
              </w:rPr>
            </w:pPr>
            <w:r w:rsidRPr="00B57019">
              <w:rPr>
                <w:rFonts w:ascii="Times New Roman" w:hAnsi="Times New Roman"/>
                <w:b/>
                <w:sz w:val="24"/>
                <w:szCs w:val="24"/>
                <w:lang w:val="lv-LV"/>
              </w:rPr>
              <w:t xml:space="preserve">Iebildums </w:t>
            </w:r>
            <w:r w:rsidR="00716FA2" w:rsidRPr="00B57019">
              <w:rPr>
                <w:rFonts w:ascii="Times New Roman" w:hAnsi="Times New Roman"/>
                <w:b/>
                <w:sz w:val="24"/>
                <w:szCs w:val="24"/>
                <w:lang w:val="lv-LV"/>
              </w:rPr>
              <w:t>daļē</w:t>
            </w:r>
            <w:r w:rsidR="00E925D9" w:rsidRPr="00B57019">
              <w:rPr>
                <w:rFonts w:ascii="Times New Roman" w:hAnsi="Times New Roman"/>
                <w:b/>
                <w:sz w:val="24"/>
                <w:szCs w:val="24"/>
                <w:lang w:val="lv-LV"/>
              </w:rPr>
              <w:t>ji</w:t>
            </w:r>
            <w:r w:rsidRPr="00B57019">
              <w:rPr>
                <w:rFonts w:ascii="Times New Roman" w:hAnsi="Times New Roman"/>
                <w:b/>
                <w:sz w:val="24"/>
                <w:szCs w:val="24"/>
                <w:lang w:val="lv-LV"/>
              </w:rPr>
              <w:t xml:space="preserve"> ņemts vērā.</w:t>
            </w:r>
          </w:p>
          <w:p w14:paraId="1A8E2862" w14:textId="77777777" w:rsidR="00250EB5" w:rsidRPr="00B57019" w:rsidRDefault="00250EB5" w:rsidP="00250EB5">
            <w:pPr>
              <w:pStyle w:val="PlainText"/>
              <w:jc w:val="both"/>
              <w:rPr>
                <w:rFonts w:ascii="Times New Roman" w:hAnsi="Times New Roman"/>
                <w:sz w:val="24"/>
                <w:szCs w:val="24"/>
                <w:lang w:val="lv-LV"/>
              </w:rPr>
            </w:pPr>
            <w:r w:rsidRPr="00B57019">
              <w:rPr>
                <w:rFonts w:ascii="Times New Roman" w:hAnsi="Times New Roman"/>
                <w:sz w:val="24"/>
                <w:szCs w:val="24"/>
                <w:lang w:val="lv-LV"/>
              </w:rPr>
              <w:t>Vēršam uzmanību, ka ietaupījums no sistēmas izmantošanas, kā arī izdevumi sistēmas uzturēšanai ir atkarīgi no sistēmas izmantošanas. Piemēram, EIS e-pasūtījumu apakšsistēmas gadījumā, uz kuru FM atsaucas kā uz piemēru, EIS 2009.</w:t>
            </w:r>
            <w:r w:rsidR="00A067F6" w:rsidRPr="00B57019">
              <w:rPr>
                <w:rFonts w:ascii="Times New Roman" w:hAnsi="Times New Roman"/>
                <w:sz w:val="24"/>
                <w:szCs w:val="24"/>
                <w:lang w:val="lv-LV"/>
              </w:rPr>
              <w:t xml:space="preserve"> </w:t>
            </w:r>
            <w:r w:rsidRPr="00B57019">
              <w:rPr>
                <w:rFonts w:ascii="Times New Roman" w:hAnsi="Times New Roman"/>
                <w:sz w:val="24"/>
                <w:szCs w:val="24"/>
                <w:lang w:val="lv-LV"/>
              </w:rPr>
              <w:t>gadā tika izmantota 13 119 reizes preču iegādei par 5,9 milj. EUR, savukārt pērn -</w:t>
            </w:r>
            <w:r w:rsidR="00A067F6" w:rsidRPr="00B57019">
              <w:rPr>
                <w:rFonts w:ascii="Times New Roman" w:hAnsi="Times New Roman"/>
                <w:sz w:val="24"/>
                <w:szCs w:val="24"/>
                <w:lang w:val="lv-LV"/>
              </w:rPr>
              <w:t xml:space="preserve"> </w:t>
            </w:r>
            <w:r w:rsidRPr="00B57019">
              <w:rPr>
                <w:rFonts w:ascii="Times New Roman" w:hAnsi="Times New Roman"/>
                <w:sz w:val="24"/>
                <w:szCs w:val="24"/>
                <w:lang w:val="lv-LV"/>
              </w:rPr>
              <w:t>vairāk kā 120 tūkst. reizes preču un pakalpojumu saņemšanai par 92 milj. EUR. Pieaugot pieprasījumam pēc sistēmas, pieaug arī slodze uz lietotāju atbalstu un sistēmas darbībai nepieciešamo infrastruktūru. Jāņem vērā, ka arī ietaupījums no sistēmas izmantošanas bija gandrīz    10 reizes mazāks. Tieši šādu apsvērumu dēļ šāds informatīvais ziņojums netika sagatavots līdz šim.</w:t>
            </w:r>
          </w:p>
          <w:p w14:paraId="5AB008AC" w14:textId="77777777" w:rsidR="00421409" w:rsidRPr="00B57019" w:rsidRDefault="00421409" w:rsidP="00250EB5">
            <w:pPr>
              <w:pStyle w:val="PlainText"/>
              <w:jc w:val="both"/>
              <w:rPr>
                <w:rFonts w:ascii="Times New Roman" w:hAnsi="Times New Roman"/>
                <w:sz w:val="24"/>
                <w:szCs w:val="24"/>
                <w:lang w:val="lv-LV"/>
              </w:rPr>
            </w:pPr>
          </w:p>
          <w:p w14:paraId="2E499CDB" w14:textId="77777777" w:rsidR="00421409" w:rsidRPr="00B57019" w:rsidRDefault="0014147A" w:rsidP="00250EB5">
            <w:pPr>
              <w:pStyle w:val="PlainText"/>
              <w:jc w:val="both"/>
              <w:rPr>
                <w:rFonts w:ascii="Times New Roman" w:hAnsi="Times New Roman"/>
                <w:sz w:val="24"/>
                <w:szCs w:val="24"/>
                <w:lang w:val="lv-LV"/>
              </w:rPr>
            </w:pPr>
            <w:r w:rsidRPr="00B57019">
              <w:rPr>
                <w:rFonts w:ascii="Times New Roman" w:hAnsi="Times New Roman"/>
                <w:sz w:val="24"/>
                <w:szCs w:val="24"/>
                <w:lang w:val="lv-LV"/>
              </w:rPr>
              <w:t>Vienlaikus j</w:t>
            </w:r>
            <w:r w:rsidR="00421409" w:rsidRPr="00B57019">
              <w:rPr>
                <w:rFonts w:ascii="Times New Roman" w:hAnsi="Times New Roman"/>
                <w:sz w:val="24"/>
                <w:szCs w:val="24"/>
                <w:lang w:val="lv-LV"/>
              </w:rPr>
              <w:t xml:space="preserve">āpiebilst, </w:t>
            </w:r>
            <w:r w:rsidR="008B3D70" w:rsidRPr="00B57019">
              <w:rPr>
                <w:rFonts w:ascii="Times New Roman" w:hAnsi="Times New Roman"/>
                <w:sz w:val="24"/>
                <w:szCs w:val="24"/>
                <w:lang w:val="lv-LV"/>
              </w:rPr>
              <w:t xml:space="preserve">ka ir novērojams nepārtraukts </w:t>
            </w:r>
            <w:r w:rsidRPr="00B57019">
              <w:rPr>
                <w:rFonts w:ascii="Times New Roman" w:hAnsi="Times New Roman"/>
                <w:sz w:val="24"/>
                <w:szCs w:val="24"/>
                <w:lang w:val="lv-LV"/>
              </w:rPr>
              <w:t>koplietošanas pakalpojumu</w:t>
            </w:r>
            <w:r w:rsidR="00C55778" w:rsidRPr="00B57019">
              <w:rPr>
                <w:rFonts w:ascii="Times New Roman" w:hAnsi="Times New Roman"/>
                <w:sz w:val="24"/>
                <w:szCs w:val="24"/>
                <w:lang w:val="lv-LV"/>
              </w:rPr>
              <w:t xml:space="preserve"> </w:t>
            </w:r>
            <w:r w:rsidRPr="00B57019">
              <w:rPr>
                <w:rFonts w:ascii="Times New Roman" w:hAnsi="Times New Roman"/>
                <w:sz w:val="24"/>
                <w:szCs w:val="24"/>
                <w:lang w:val="lv-LV"/>
              </w:rPr>
              <w:t>izmant</w:t>
            </w:r>
            <w:r w:rsidR="008B3D70" w:rsidRPr="00B57019">
              <w:rPr>
                <w:rFonts w:ascii="Times New Roman" w:hAnsi="Times New Roman"/>
                <w:sz w:val="24"/>
                <w:szCs w:val="24"/>
                <w:lang w:val="lv-LV"/>
              </w:rPr>
              <w:t xml:space="preserve">ošanas pieaugums, līdz ar to </w:t>
            </w:r>
            <w:r w:rsidR="0052739D" w:rsidRPr="00B57019">
              <w:rPr>
                <w:rFonts w:ascii="Times New Roman" w:hAnsi="Times New Roman"/>
                <w:sz w:val="24"/>
                <w:szCs w:val="24"/>
                <w:lang w:val="lv-LV"/>
              </w:rPr>
              <w:t xml:space="preserve">ministriju gūto resursu </w:t>
            </w:r>
            <w:r w:rsidR="008B3D70" w:rsidRPr="00B57019">
              <w:rPr>
                <w:rFonts w:ascii="Times New Roman" w:hAnsi="Times New Roman"/>
                <w:sz w:val="24"/>
                <w:szCs w:val="24"/>
                <w:lang w:val="lv-LV"/>
              </w:rPr>
              <w:t>ietaupījums</w:t>
            </w:r>
            <w:r w:rsidR="005F1DC1" w:rsidRPr="00B57019">
              <w:rPr>
                <w:rFonts w:ascii="Times New Roman" w:hAnsi="Times New Roman"/>
                <w:sz w:val="24"/>
                <w:szCs w:val="24"/>
                <w:lang w:val="lv-LV"/>
              </w:rPr>
              <w:t xml:space="preserve"> rodas pastāvīgi</w:t>
            </w:r>
            <w:r w:rsidR="00C55778" w:rsidRPr="00B57019">
              <w:rPr>
                <w:rFonts w:ascii="Times New Roman" w:hAnsi="Times New Roman"/>
                <w:sz w:val="24"/>
                <w:szCs w:val="24"/>
                <w:lang w:val="lv-LV"/>
              </w:rPr>
              <w:t>,</w:t>
            </w:r>
            <w:r w:rsidR="005F1DC1" w:rsidRPr="00B57019">
              <w:rPr>
                <w:rFonts w:ascii="Times New Roman" w:hAnsi="Times New Roman"/>
                <w:sz w:val="24"/>
                <w:szCs w:val="24"/>
                <w:lang w:val="lv-LV"/>
              </w:rPr>
              <w:t xml:space="preserve"> proporcionāli </w:t>
            </w:r>
            <w:r w:rsidR="0052739D" w:rsidRPr="00B57019">
              <w:rPr>
                <w:rFonts w:ascii="Times New Roman" w:hAnsi="Times New Roman"/>
                <w:sz w:val="24"/>
                <w:szCs w:val="24"/>
                <w:lang w:val="lv-LV"/>
              </w:rPr>
              <w:t xml:space="preserve">izmantošanas </w:t>
            </w:r>
            <w:r w:rsidR="005F1DC1" w:rsidRPr="00B57019">
              <w:rPr>
                <w:rFonts w:ascii="Times New Roman" w:hAnsi="Times New Roman"/>
                <w:sz w:val="24"/>
                <w:szCs w:val="24"/>
                <w:lang w:val="lv-LV"/>
              </w:rPr>
              <w:t>pieaugumam. Turklāt</w:t>
            </w:r>
            <w:r w:rsidR="00421409" w:rsidRPr="00B57019">
              <w:rPr>
                <w:rFonts w:ascii="Times New Roman" w:hAnsi="Times New Roman"/>
                <w:sz w:val="24"/>
                <w:szCs w:val="24"/>
                <w:lang w:val="lv-LV"/>
              </w:rPr>
              <w:t xml:space="preserve"> šobrīd ir sasniegta kritiskā robeža, kad iespējas nodrošināt sistēmas ekspluatāciju ar </w:t>
            </w:r>
            <w:r w:rsidR="0052739D" w:rsidRPr="00B57019">
              <w:rPr>
                <w:rFonts w:ascii="Times New Roman" w:hAnsi="Times New Roman"/>
                <w:sz w:val="24"/>
                <w:szCs w:val="24"/>
                <w:lang w:val="lv-LV"/>
              </w:rPr>
              <w:t>esošajiem</w:t>
            </w:r>
            <w:r w:rsidR="00421409" w:rsidRPr="00B57019">
              <w:rPr>
                <w:rFonts w:ascii="Times New Roman" w:hAnsi="Times New Roman"/>
                <w:sz w:val="24"/>
                <w:szCs w:val="24"/>
                <w:lang w:val="lv-LV"/>
              </w:rPr>
              <w:t xml:space="preserve"> parametriem nav iespējams.</w:t>
            </w:r>
          </w:p>
          <w:p w14:paraId="59134663" w14:textId="77777777" w:rsidR="00A22C70" w:rsidRPr="00B57019" w:rsidRDefault="00A22C70" w:rsidP="00250EB5">
            <w:pPr>
              <w:pStyle w:val="naisc"/>
              <w:spacing w:before="0" w:after="0"/>
              <w:ind w:firstLine="720"/>
            </w:pPr>
          </w:p>
          <w:p w14:paraId="53803315" w14:textId="77777777" w:rsidR="00ED1EEF" w:rsidRPr="00B57019" w:rsidRDefault="00114766" w:rsidP="00A22C70">
            <w:pPr>
              <w:pStyle w:val="naisc"/>
              <w:spacing w:before="0" w:after="0"/>
              <w:jc w:val="both"/>
            </w:pPr>
            <w:r w:rsidRPr="00B57019">
              <w:t>Ietaupītā darba laika apjoms ir aprēķināts, sadalot saskaņā ar Ziņojuma pielikumos Nr. 1. – Nr. 5. aprakstītajām metodēm aprēķināto summāro ietaupījumu proporcionāli pa nozaru ministrijām, atbilstoši ministriju un padotības iestāžu kopējam nodarbināto skaitam pēc Valsts kancelejas datiem.</w:t>
            </w:r>
          </w:p>
          <w:p w14:paraId="783494C7" w14:textId="77777777" w:rsidR="00ED1EEF" w:rsidRPr="00B57019" w:rsidRDefault="00ED1EEF" w:rsidP="00A22C70">
            <w:pPr>
              <w:pStyle w:val="naisc"/>
              <w:spacing w:before="0" w:after="0"/>
              <w:jc w:val="both"/>
            </w:pPr>
          </w:p>
          <w:p w14:paraId="143C8291" w14:textId="77777777" w:rsidR="00ED1EEF" w:rsidRPr="00B57019" w:rsidRDefault="00B761FF" w:rsidP="00A22C70">
            <w:pPr>
              <w:pStyle w:val="naisc"/>
              <w:spacing w:before="0" w:after="0"/>
              <w:jc w:val="both"/>
            </w:pPr>
            <w:r w:rsidRPr="00B57019">
              <w:t xml:space="preserve"> </w:t>
            </w:r>
          </w:p>
          <w:p w14:paraId="7069BA48" w14:textId="77777777" w:rsidR="00ED1EEF" w:rsidRPr="00B57019" w:rsidRDefault="00ED1EEF" w:rsidP="00A22C70">
            <w:pPr>
              <w:pStyle w:val="naisc"/>
              <w:spacing w:before="0" w:after="0"/>
              <w:jc w:val="both"/>
            </w:pPr>
          </w:p>
          <w:p w14:paraId="231C528C" w14:textId="77777777" w:rsidR="00ED1EEF" w:rsidRPr="00B57019" w:rsidRDefault="00ED1EEF" w:rsidP="00A22C70">
            <w:pPr>
              <w:pStyle w:val="naisc"/>
              <w:spacing w:before="0" w:after="0"/>
              <w:jc w:val="both"/>
            </w:pPr>
          </w:p>
          <w:p w14:paraId="1097780A" w14:textId="77777777" w:rsidR="00ED1EEF" w:rsidRPr="00B57019" w:rsidRDefault="00ED1EEF" w:rsidP="00A22C70">
            <w:pPr>
              <w:pStyle w:val="naisc"/>
              <w:spacing w:before="0" w:after="0"/>
              <w:jc w:val="both"/>
            </w:pPr>
          </w:p>
          <w:p w14:paraId="1DE4CD6F" w14:textId="77777777" w:rsidR="00ED1EEF" w:rsidRPr="00B57019" w:rsidRDefault="00ED1EEF" w:rsidP="00A22C70">
            <w:pPr>
              <w:pStyle w:val="naisc"/>
              <w:spacing w:before="0" w:after="0"/>
              <w:jc w:val="both"/>
            </w:pPr>
          </w:p>
          <w:p w14:paraId="6DA9DED5" w14:textId="77777777" w:rsidR="00ED1EEF" w:rsidRPr="00B57019" w:rsidRDefault="00ED1EEF" w:rsidP="00A22C70">
            <w:pPr>
              <w:pStyle w:val="naisc"/>
              <w:spacing w:before="0" w:after="0"/>
              <w:jc w:val="both"/>
            </w:pPr>
          </w:p>
          <w:p w14:paraId="28D68478" w14:textId="77777777" w:rsidR="00ED1EEF" w:rsidRPr="00B57019" w:rsidRDefault="00ED1EEF" w:rsidP="00A22C70">
            <w:pPr>
              <w:pStyle w:val="naisc"/>
              <w:spacing w:before="0" w:after="0"/>
              <w:jc w:val="both"/>
            </w:pPr>
          </w:p>
          <w:p w14:paraId="48A4C96F" w14:textId="77777777" w:rsidR="00ED1EEF" w:rsidRPr="00B57019" w:rsidRDefault="00ED1EEF" w:rsidP="00A22C70">
            <w:pPr>
              <w:pStyle w:val="naisc"/>
              <w:spacing w:before="0" w:after="0"/>
              <w:jc w:val="both"/>
            </w:pPr>
          </w:p>
          <w:p w14:paraId="74D078FE" w14:textId="77777777" w:rsidR="00ED1EEF" w:rsidRPr="00B57019" w:rsidRDefault="00ED1EEF" w:rsidP="00A22C70">
            <w:pPr>
              <w:pStyle w:val="naisc"/>
              <w:spacing w:before="0" w:after="0"/>
              <w:jc w:val="both"/>
            </w:pPr>
          </w:p>
          <w:p w14:paraId="7CBEA806" w14:textId="77777777" w:rsidR="00DB4E68" w:rsidRPr="00B57019" w:rsidRDefault="00DB4E68" w:rsidP="00ED1EEF">
            <w:pPr>
              <w:pStyle w:val="naisc"/>
              <w:spacing w:before="0" w:after="0"/>
              <w:jc w:val="both"/>
            </w:pPr>
          </w:p>
          <w:p w14:paraId="3940E2D8" w14:textId="77777777" w:rsidR="00DB4E68" w:rsidRPr="00B57019" w:rsidRDefault="00DB4E68" w:rsidP="00ED1EEF">
            <w:pPr>
              <w:pStyle w:val="naisc"/>
              <w:spacing w:before="0" w:after="0"/>
              <w:jc w:val="both"/>
            </w:pPr>
          </w:p>
          <w:p w14:paraId="094B4B45" w14:textId="77777777" w:rsidR="00DB4E68" w:rsidRPr="00B57019" w:rsidRDefault="00DB4E68" w:rsidP="00ED1EEF">
            <w:pPr>
              <w:pStyle w:val="naisc"/>
              <w:spacing w:before="0" w:after="0"/>
              <w:jc w:val="both"/>
            </w:pPr>
          </w:p>
          <w:p w14:paraId="33D29E2E" w14:textId="77777777" w:rsidR="00ED1EEF" w:rsidRPr="00B57019" w:rsidRDefault="00ED1EEF" w:rsidP="00ED1EEF">
            <w:pPr>
              <w:pStyle w:val="naisc"/>
              <w:spacing w:before="0" w:after="0"/>
              <w:jc w:val="both"/>
            </w:pPr>
            <w:r w:rsidRPr="00B57019">
              <w:t xml:space="preserve">Ņemot vērā, ka </w:t>
            </w:r>
            <w:r w:rsidR="006A3AB6" w:rsidRPr="00B57019">
              <w:t>koplietošanas pakalpojumu</w:t>
            </w:r>
            <w:r w:rsidRPr="00B57019">
              <w:t xml:space="preserve"> iestādes turpinās izmantot, </w:t>
            </w:r>
            <w:r w:rsidR="006A3AB6" w:rsidRPr="00B57019">
              <w:t xml:space="preserve">tās </w:t>
            </w:r>
            <w:r w:rsidRPr="00B57019">
              <w:t>jebkurā gadījumā būs nepieciešams uzturēt, tādēļ VARAM ieskatā koplietošanas risinājumu darbības nodrošināšanā jāpiedalās proporcionāli un  risinājuma koncepts ir jābalsta principā - pārstrukturizējot kompetences, un resursus rodot publiskas pārvaldes iekšienē.</w:t>
            </w:r>
          </w:p>
          <w:p w14:paraId="320B1C16" w14:textId="77777777" w:rsidR="00250EB5" w:rsidRPr="00B57019" w:rsidRDefault="00250EB5" w:rsidP="00A22C70">
            <w:pPr>
              <w:pStyle w:val="naisc"/>
              <w:spacing w:before="0" w:after="0"/>
              <w:jc w:val="both"/>
            </w:pPr>
            <w:r w:rsidRPr="00B57019">
              <w:t xml:space="preserve">  </w:t>
            </w:r>
          </w:p>
          <w:p w14:paraId="6F413581" w14:textId="77777777" w:rsidR="006A3AB6" w:rsidRPr="00B57019" w:rsidRDefault="006A3AB6" w:rsidP="00A22C70">
            <w:pPr>
              <w:pStyle w:val="naisc"/>
              <w:spacing w:before="0" w:after="0"/>
              <w:jc w:val="both"/>
            </w:pPr>
          </w:p>
          <w:p w14:paraId="33AE9AF0" w14:textId="77777777" w:rsidR="006A3AB6" w:rsidRPr="00B57019" w:rsidRDefault="006A3AB6" w:rsidP="00A22C70">
            <w:pPr>
              <w:pStyle w:val="naisc"/>
              <w:spacing w:before="0" w:after="0"/>
              <w:jc w:val="both"/>
            </w:pPr>
          </w:p>
          <w:p w14:paraId="4C7AB371" w14:textId="77777777" w:rsidR="00AD0D5B" w:rsidRPr="00B57019" w:rsidRDefault="00AD0D5B" w:rsidP="00A22C70">
            <w:pPr>
              <w:pStyle w:val="naisc"/>
              <w:spacing w:before="0" w:after="0"/>
              <w:jc w:val="both"/>
            </w:pP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5470E735" w14:textId="77777777" w:rsidR="009851F7" w:rsidRPr="00B57019" w:rsidRDefault="009851F7" w:rsidP="009851F7">
            <w:pPr>
              <w:jc w:val="both"/>
            </w:pPr>
            <w:r w:rsidRPr="00B57019">
              <w:t>Iebildums tiek uzturēts.</w:t>
            </w:r>
          </w:p>
          <w:p w14:paraId="1A42D01E" w14:textId="77777777" w:rsidR="00250EB5" w:rsidRPr="00B57019" w:rsidRDefault="00250EB5" w:rsidP="00250EB5">
            <w:pPr>
              <w:jc w:val="center"/>
            </w:pPr>
          </w:p>
        </w:tc>
        <w:tc>
          <w:tcPr>
            <w:tcW w:w="2503" w:type="dxa"/>
            <w:tcBorders>
              <w:top w:val="single" w:sz="4" w:space="0" w:color="auto"/>
              <w:left w:val="single" w:sz="4" w:space="0" w:color="auto"/>
              <w:bottom w:val="single" w:sz="4" w:space="0" w:color="auto"/>
            </w:tcBorders>
            <w:shd w:val="clear" w:color="auto" w:fill="auto"/>
          </w:tcPr>
          <w:p w14:paraId="1036CF1D" w14:textId="77777777" w:rsidR="00250EB5" w:rsidRPr="00B57019" w:rsidRDefault="00250EB5" w:rsidP="00250EB5">
            <w:pPr>
              <w:jc w:val="center"/>
            </w:pPr>
          </w:p>
          <w:p w14:paraId="21B45890" w14:textId="77777777" w:rsidR="006A3AB6" w:rsidRPr="00B57019" w:rsidRDefault="006A3AB6" w:rsidP="00250EB5">
            <w:pPr>
              <w:jc w:val="center"/>
            </w:pPr>
          </w:p>
          <w:p w14:paraId="1EB65BAA" w14:textId="77777777" w:rsidR="006A3AB6" w:rsidRPr="00B57019" w:rsidRDefault="006A3AB6" w:rsidP="00250EB5">
            <w:pPr>
              <w:jc w:val="center"/>
            </w:pPr>
          </w:p>
          <w:p w14:paraId="54E749F2" w14:textId="77777777" w:rsidR="006A3AB6" w:rsidRPr="00B57019" w:rsidRDefault="006A3AB6" w:rsidP="00250EB5">
            <w:pPr>
              <w:jc w:val="center"/>
            </w:pPr>
          </w:p>
          <w:p w14:paraId="480CA3CD" w14:textId="77777777" w:rsidR="006A3AB6" w:rsidRPr="00B57019" w:rsidRDefault="006A3AB6" w:rsidP="00250EB5">
            <w:pPr>
              <w:jc w:val="center"/>
            </w:pPr>
          </w:p>
          <w:p w14:paraId="27F4D5FA" w14:textId="77777777" w:rsidR="006A3AB6" w:rsidRPr="00B57019" w:rsidRDefault="006A3AB6" w:rsidP="00250EB5">
            <w:pPr>
              <w:jc w:val="center"/>
            </w:pPr>
          </w:p>
          <w:p w14:paraId="76C19DE0" w14:textId="77777777" w:rsidR="006A3AB6" w:rsidRPr="00B57019" w:rsidRDefault="006A3AB6" w:rsidP="00250EB5">
            <w:pPr>
              <w:jc w:val="center"/>
            </w:pPr>
          </w:p>
          <w:p w14:paraId="7CD29434" w14:textId="77777777" w:rsidR="006A3AB6" w:rsidRPr="00B57019" w:rsidRDefault="006A3AB6" w:rsidP="00250EB5">
            <w:pPr>
              <w:jc w:val="center"/>
            </w:pPr>
          </w:p>
          <w:p w14:paraId="358C9C95" w14:textId="77777777" w:rsidR="006A3AB6" w:rsidRPr="00B57019" w:rsidRDefault="006A3AB6" w:rsidP="00250EB5">
            <w:pPr>
              <w:jc w:val="center"/>
            </w:pPr>
          </w:p>
          <w:p w14:paraId="6E5FC62F" w14:textId="77777777" w:rsidR="006A3AB6" w:rsidRPr="00B57019" w:rsidRDefault="006A3AB6" w:rsidP="00250EB5">
            <w:pPr>
              <w:jc w:val="center"/>
            </w:pPr>
          </w:p>
          <w:p w14:paraId="6B42F2E8" w14:textId="77777777" w:rsidR="006A3AB6" w:rsidRPr="00B57019" w:rsidRDefault="006A3AB6" w:rsidP="00250EB5">
            <w:pPr>
              <w:jc w:val="center"/>
            </w:pPr>
          </w:p>
          <w:p w14:paraId="026D959D" w14:textId="77777777" w:rsidR="006A3AB6" w:rsidRPr="00B57019" w:rsidRDefault="006A3AB6" w:rsidP="00250EB5">
            <w:pPr>
              <w:jc w:val="center"/>
            </w:pPr>
          </w:p>
          <w:p w14:paraId="411147BB" w14:textId="77777777" w:rsidR="006A3AB6" w:rsidRPr="00B57019" w:rsidRDefault="006A3AB6" w:rsidP="00250EB5">
            <w:pPr>
              <w:jc w:val="center"/>
            </w:pPr>
          </w:p>
          <w:p w14:paraId="4EF9A468" w14:textId="77777777" w:rsidR="006A3AB6" w:rsidRPr="00B57019" w:rsidRDefault="006A3AB6" w:rsidP="00250EB5">
            <w:pPr>
              <w:jc w:val="center"/>
            </w:pPr>
          </w:p>
          <w:p w14:paraId="5A250199" w14:textId="77777777" w:rsidR="006A3AB6" w:rsidRPr="00B57019" w:rsidRDefault="006A3AB6" w:rsidP="00250EB5">
            <w:pPr>
              <w:jc w:val="center"/>
            </w:pPr>
          </w:p>
          <w:p w14:paraId="58BB1FED" w14:textId="77777777" w:rsidR="006A3AB6" w:rsidRPr="00B57019" w:rsidRDefault="006A3AB6" w:rsidP="00250EB5">
            <w:pPr>
              <w:jc w:val="center"/>
            </w:pPr>
          </w:p>
          <w:p w14:paraId="1DC49CAB" w14:textId="77777777" w:rsidR="006A3AB6" w:rsidRPr="00B57019" w:rsidRDefault="006A3AB6" w:rsidP="00250EB5">
            <w:pPr>
              <w:jc w:val="center"/>
            </w:pPr>
          </w:p>
          <w:p w14:paraId="1ABB103C" w14:textId="77777777" w:rsidR="006A3AB6" w:rsidRPr="00B57019" w:rsidRDefault="006A3AB6" w:rsidP="00250EB5">
            <w:pPr>
              <w:jc w:val="center"/>
            </w:pPr>
          </w:p>
          <w:p w14:paraId="156A858C" w14:textId="77777777" w:rsidR="006A3AB6" w:rsidRPr="00B57019" w:rsidRDefault="006A3AB6" w:rsidP="00250EB5">
            <w:pPr>
              <w:jc w:val="center"/>
            </w:pPr>
          </w:p>
          <w:p w14:paraId="329204BB" w14:textId="77777777" w:rsidR="006A3AB6" w:rsidRPr="00B57019" w:rsidRDefault="006A3AB6" w:rsidP="00250EB5">
            <w:pPr>
              <w:jc w:val="center"/>
            </w:pPr>
          </w:p>
          <w:p w14:paraId="26CC4E9B" w14:textId="77777777" w:rsidR="006A3AB6" w:rsidRPr="00B57019" w:rsidRDefault="006A3AB6" w:rsidP="00250EB5">
            <w:pPr>
              <w:jc w:val="center"/>
            </w:pPr>
          </w:p>
          <w:p w14:paraId="06F04D87" w14:textId="77777777" w:rsidR="006A3AB6" w:rsidRPr="00B57019" w:rsidRDefault="006A3AB6" w:rsidP="00250EB5">
            <w:pPr>
              <w:jc w:val="center"/>
            </w:pPr>
          </w:p>
          <w:p w14:paraId="4BDAF6E1" w14:textId="77777777" w:rsidR="006A3AB6" w:rsidRPr="00B57019" w:rsidRDefault="006A3AB6" w:rsidP="00250EB5">
            <w:pPr>
              <w:jc w:val="center"/>
            </w:pPr>
          </w:p>
          <w:p w14:paraId="2A3DF07A" w14:textId="77777777" w:rsidR="006A3AB6" w:rsidRPr="00B57019" w:rsidRDefault="006A3AB6" w:rsidP="00250EB5">
            <w:pPr>
              <w:jc w:val="center"/>
            </w:pPr>
          </w:p>
          <w:p w14:paraId="253F50E3" w14:textId="77777777" w:rsidR="006A3AB6" w:rsidRPr="00B57019" w:rsidRDefault="006A3AB6" w:rsidP="00250EB5">
            <w:pPr>
              <w:jc w:val="center"/>
            </w:pPr>
          </w:p>
          <w:p w14:paraId="090EE2C5" w14:textId="77777777" w:rsidR="006A3AB6" w:rsidRPr="00B57019" w:rsidRDefault="006A3AB6" w:rsidP="00250EB5">
            <w:pPr>
              <w:jc w:val="center"/>
            </w:pPr>
          </w:p>
          <w:p w14:paraId="1B1E4BED" w14:textId="77777777" w:rsidR="006A3AB6" w:rsidRPr="00B57019" w:rsidRDefault="006A3AB6" w:rsidP="00250EB5">
            <w:pPr>
              <w:jc w:val="center"/>
            </w:pPr>
          </w:p>
          <w:p w14:paraId="74538AF3" w14:textId="77777777" w:rsidR="006A3AB6" w:rsidRPr="00B57019" w:rsidRDefault="006A3AB6" w:rsidP="00250EB5">
            <w:pPr>
              <w:jc w:val="center"/>
            </w:pPr>
          </w:p>
          <w:p w14:paraId="440693E6" w14:textId="77777777" w:rsidR="006A3AB6" w:rsidRPr="00B57019" w:rsidRDefault="006A3AB6" w:rsidP="00250EB5">
            <w:pPr>
              <w:jc w:val="center"/>
            </w:pPr>
          </w:p>
          <w:p w14:paraId="4B64AFB4" w14:textId="77777777" w:rsidR="006A3AB6" w:rsidRPr="00B57019" w:rsidRDefault="006A3AB6" w:rsidP="00250EB5">
            <w:pPr>
              <w:jc w:val="center"/>
            </w:pPr>
          </w:p>
          <w:p w14:paraId="70B55B5D" w14:textId="77777777" w:rsidR="006A3AB6" w:rsidRPr="00B57019" w:rsidRDefault="006A3AB6" w:rsidP="00250EB5">
            <w:pPr>
              <w:jc w:val="center"/>
            </w:pPr>
          </w:p>
          <w:p w14:paraId="787EE9DB" w14:textId="77777777" w:rsidR="006A3AB6" w:rsidRPr="00B57019" w:rsidRDefault="006A3AB6" w:rsidP="00250EB5">
            <w:pPr>
              <w:jc w:val="center"/>
            </w:pPr>
          </w:p>
          <w:p w14:paraId="37DE6621" w14:textId="77777777" w:rsidR="006A3AB6" w:rsidRPr="00B57019" w:rsidRDefault="006A3AB6" w:rsidP="00250EB5">
            <w:pPr>
              <w:jc w:val="center"/>
            </w:pPr>
          </w:p>
          <w:p w14:paraId="6A00C54B" w14:textId="77777777" w:rsidR="006A3AB6" w:rsidRPr="00B57019" w:rsidRDefault="006A3AB6" w:rsidP="00250EB5">
            <w:pPr>
              <w:jc w:val="center"/>
            </w:pPr>
          </w:p>
          <w:p w14:paraId="3A9DCF20" w14:textId="77777777" w:rsidR="006A3AB6" w:rsidRPr="00B57019" w:rsidRDefault="006A3AB6" w:rsidP="00250EB5">
            <w:pPr>
              <w:jc w:val="center"/>
            </w:pPr>
          </w:p>
          <w:p w14:paraId="531FC249" w14:textId="77777777" w:rsidR="006A3AB6" w:rsidRPr="00B57019" w:rsidRDefault="006A3AB6" w:rsidP="00250EB5">
            <w:pPr>
              <w:jc w:val="center"/>
            </w:pPr>
          </w:p>
          <w:p w14:paraId="046D4530" w14:textId="77777777" w:rsidR="006A3AB6" w:rsidRPr="00B57019" w:rsidRDefault="006A3AB6" w:rsidP="00250EB5">
            <w:pPr>
              <w:jc w:val="center"/>
            </w:pPr>
          </w:p>
          <w:p w14:paraId="6F03EDAB" w14:textId="77777777" w:rsidR="006A3AB6" w:rsidRPr="00B57019" w:rsidRDefault="006A3AB6" w:rsidP="00250EB5">
            <w:pPr>
              <w:jc w:val="center"/>
            </w:pPr>
          </w:p>
          <w:p w14:paraId="04C1B1E9" w14:textId="77777777" w:rsidR="006A3AB6" w:rsidRPr="00B57019" w:rsidRDefault="006A3AB6" w:rsidP="00250EB5">
            <w:pPr>
              <w:jc w:val="center"/>
            </w:pPr>
          </w:p>
          <w:p w14:paraId="15D2E3A1" w14:textId="77777777" w:rsidR="006A3AB6" w:rsidRPr="00B57019" w:rsidRDefault="006A3AB6" w:rsidP="00250EB5">
            <w:pPr>
              <w:jc w:val="center"/>
            </w:pPr>
          </w:p>
          <w:p w14:paraId="567362DD" w14:textId="77777777" w:rsidR="006A3AB6" w:rsidRPr="00B57019" w:rsidRDefault="006A3AB6" w:rsidP="00250EB5">
            <w:pPr>
              <w:jc w:val="center"/>
            </w:pPr>
          </w:p>
          <w:p w14:paraId="23A4AE26" w14:textId="77777777" w:rsidR="006A3AB6" w:rsidRPr="00B57019" w:rsidRDefault="006A3AB6" w:rsidP="00250EB5">
            <w:pPr>
              <w:jc w:val="center"/>
            </w:pPr>
          </w:p>
          <w:p w14:paraId="7FB9B6ED" w14:textId="77777777" w:rsidR="006A3AB6" w:rsidRPr="00B57019" w:rsidRDefault="006A3AB6" w:rsidP="00250EB5">
            <w:pPr>
              <w:jc w:val="center"/>
            </w:pPr>
          </w:p>
          <w:p w14:paraId="12AB9B1C" w14:textId="77777777" w:rsidR="006A3AB6" w:rsidRPr="00B57019" w:rsidRDefault="006A3AB6" w:rsidP="00250EB5">
            <w:pPr>
              <w:jc w:val="center"/>
            </w:pPr>
          </w:p>
          <w:p w14:paraId="5C6A4222" w14:textId="77777777" w:rsidR="006A3AB6" w:rsidRPr="00B57019" w:rsidRDefault="006A3AB6" w:rsidP="00250EB5">
            <w:pPr>
              <w:jc w:val="center"/>
            </w:pPr>
          </w:p>
          <w:p w14:paraId="7377FEB2" w14:textId="77777777" w:rsidR="006A3AB6" w:rsidRPr="00B57019" w:rsidRDefault="006A3AB6" w:rsidP="00250EB5">
            <w:pPr>
              <w:jc w:val="center"/>
            </w:pPr>
          </w:p>
          <w:p w14:paraId="5D72E587" w14:textId="77777777" w:rsidR="006A3AB6" w:rsidRPr="00B57019" w:rsidRDefault="006A3AB6" w:rsidP="00250EB5">
            <w:pPr>
              <w:jc w:val="center"/>
            </w:pPr>
          </w:p>
          <w:p w14:paraId="1BDC576B" w14:textId="77777777" w:rsidR="006A3AB6" w:rsidRPr="00B57019" w:rsidRDefault="006A3AB6" w:rsidP="00250EB5">
            <w:pPr>
              <w:jc w:val="center"/>
            </w:pPr>
          </w:p>
          <w:p w14:paraId="6F126282" w14:textId="77777777" w:rsidR="006A3AB6" w:rsidRPr="00B57019" w:rsidRDefault="006A3AB6" w:rsidP="00250EB5">
            <w:pPr>
              <w:jc w:val="center"/>
            </w:pPr>
          </w:p>
          <w:p w14:paraId="2F5A0FBC" w14:textId="77777777" w:rsidR="006A3AB6" w:rsidRPr="00B57019" w:rsidRDefault="006A3AB6" w:rsidP="00250EB5">
            <w:pPr>
              <w:jc w:val="center"/>
            </w:pPr>
          </w:p>
          <w:p w14:paraId="2D1A788A" w14:textId="77777777" w:rsidR="006A3AB6" w:rsidRPr="00B57019" w:rsidRDefault="006A3AB6" w:rsidP="00250EB5">
            <w:pPr>
              <w:jc w:val="center"/>
            </w:pPr>
          </w:p>
          <w:p w14:paraId="6B8F066B" w14:textId="77777777" w:rsidR="006A3AB6" w:rsidRPr="00B57019" w:rsidRDefault="006A3AB6" w:rsidP="00250EB5">
            <w:pPr>
              <w:jc w:val="center"/>
            </w:pPr>
          </w:p>
          <w:p w14:paraId="68F6313A" w14:textId="77777777" w:rsidR="006A3AB6" w:rsidRPr="00B57019" w:rsidRDefault="006A3AB6" w:rsidP="00250EB5">
            <w:pPr>
              <w:jc w:val="center"/>
            </w:pPr>
          </w:p>
          <w:p w14:paraId="47CB6FBD" w14:textId="77777777" w:rsidR="006A3AB6" w:rsidRPr="00B57019" w:rsidRDefault="006A3AB6" w:rsidP="00250EB5">
            <w:pPr>
              <w:jc w:val="center"/>
            </w:pPr>
          </w:p>
          <w:p w14:paraId="628A6E30" w14:textId="77777777" w:rsidR="006A3AB6" w:rsidRPr="00B57019" w:rsidRDefault="006A3AB6" w:rsidP="00250EB5">
            <w:pPr>
              <w:jc w:val="center"/>
            </w:pPr>
          </w:p>
          <w:p w14:paraId="73B2210B" w14:textId="77777777" w:rsidR="006A3AB6" w:rsidRPr="00B57019" w:rsidRDefault="006A3AB6" w:rsidP="00250EB5">
            <w:pPr>
              <w:jc w:val="center"/>
            </w:pPr>
          </w:p>
          <w:p w14:paraId="13AA9BA2" w14:textId="77777777" w:rsidR="006A3AB6" w:rsidRPr="00B57019" w:rsidRDefault="006A3AB6" w:rsidP="00250EB5">
            <w:pPr>
              <w:jc w:val="center"/>
            </w:pPr>
          </w:p>
          <w:p w14:paraId="13215A6A" w14:textId="77777777" w:rsidR="006A3AB6" w:rsidRPr="00B57019" w:rsidRDefault="006A3AB6" w:rsidP="00250EB5">
            <w:pPr>
              <w:jc w:val="center"/>
            </w:pPr>
          </w:p>
          <w:p w14:paraId="01964FB5" w14:textId="77777777" w:rsidR="006A3AB6" w:rsidRPr="00B57019" w:rsidRDefault="006A3AB6" w:rsidP="00250EB5">
            <w:pPr>
              <w:jc w:val="center"/>
            </w:pPr>
          </w:p>
          <w:p w14:paraId="7E7C72E5" w14:textId="77777777" w:rsidR="006A3AB6" w:rsidRPr="00B57019" w:rsidRDefault="006A3AB6" w:rsidP="00250EB5">
            <w:pPr>
              <w:jc w:val="center"/>
            </w:pPr>
          </w:p>
          <w:p w14:paraId="0750B87A" w14:textId="77777777" w:rsidR="006A3AB6" w:rsidRPr="00B57019" w:rsidRDefault="006A3AB6" w:rsidP="00250EB5">
            <w:pPr>
              <w:jc w:val="center"/>
            </w:pPr>
          </w:p>
          <w:p w14:paraId="3EC1D3F2" w14:textId="77777777" w:rsidR="006A3AB6" w:rsidRPr="00B57019" w:rsidRDefault="006A3AB6" w:rsidP="00250EB5">
            <w:pPr>
              <w:jc w:val="center"/>
            </w:pPr>
          </w:p>
          <w:p w14:paraId="2CECCA86" w14:textId="77777777" w:rsidR="006A3AB6" w:rsidRPr="00B57019" w:rsidRDefault="006A3AB6" w:rsidP="00250EB5">
            <w:pPr>
              <w:jc w:val="center"/>
            </w:pPr>
          </w:p>
          <w:p w14:paraId="132247D5" w14:textId="77777777" w:rsidR="006A3AB6" w:rsidRPr="00B57019" w:rsidRDefault="006A3AB6" w:rsidP="00250EB5">
            <w:pPr>
              <w:jc w:val="center"/>
            </w:pPr>
          </w:p>
          <w:p w14:paraId="252A5EFE" w14:textId="77777777" w:rsidR="006A3AB6" w:rsidRPr="00B57019" w:rsidRDefault="006A3AB6" w:rsidP="00250EB5">
            <w:pPr>
              <w:jc w:val="center"/>
            </w:pPr>
          </w:p>
          <w:p w14:paraId="658AFAFB" w14:textId="77777777" w:rsidR="006A3AB6" w:rsidRPr="00B57019" w:rsidRDefault="006A3AB6" w:rsidP="00250EB5">
            <w:pPr>
              <w:jc w:val="center"/>
            </w:pPr>
          </w:p>
          <w:p w14:paraId="1FCB5EAE" w14:textId="77777777" w:rsidR="006A3AB6" w:rsidRPr="00B57019" w:rsidRDefault="006A3AB6" w:rsidP="00250EB5">
            <w:pPr>
              <w:jc w:val="center"/>
            </w:pPr>
          </w:p>
          <w:p w14:paraId="57FBF77A" w14:textId="77777777" w:rsidR="006A3AB6" w:rsidRPr="00B57019" w:rsidRDefault="006A3AB6" w:rsidP="00250EB5">
            <w:pPr>
              <w:jc w:val="center"/>
            </w:pPr>
          </w:p>
          <w:p w14:paraId="7851DAFC" w14:textId="77777777" w:rsidR="006A3AB6" w:rsidRPr="00B57019" w:rsidRDefault="006A3AB6" w:rsidP="00250EB5">
            <w:pPr>
              <w:jc w:val="center"/>
            </w:pPr>
          </w:p>
          <w:p w14:paraId="774AE350" w14:textId="77777777" w:rsidR="006A3AB6" w:rsidRPr="00B57019" w:rsidRDefault="006A3AB6" w:rsidP="00250EB5">
            <w:pPr>
              <w:jc w:val="center"/>
            </w:pPr>
          </w:p>
          <w:p w14:paraId="0EFF7850" w14:textId="77777777" w:rsidR="006A3AB6" w:rsidRPr="00B57019" w:rsidRDefault="006A3AB6" w:rsidP="00250EB5">
            <w:pPr>
              <w:jc w:val="center"/>
            </w:pPr>
          </w:p>
          <w:p w14:paraId="79B75F77" w14:textId="77777777" w:rsidR="006A3AB6" w:rsidRPr="00B57019" w:rsidRDefault="006A3AB6" w:rsidP="00250EB5">
            <w:pPr>
              <w:jc w:val="center"/>
            </w:pPr>
          </w:p>
          <w:p w14:paraId="0AD6403C" w14:textId="77777777" w:rsidR="006A3AB6" w:rsidRPr="00B57019" w:rsidRDefault="006A3AB6" w:rsidP="00250EB5">
            <w:pPr>
              <w:jc w:val="center"/>
            </w:pPr>
          </w:p>
          <w:p w14:paraId="586AF5C4" w14:textId="77777777" w:rsidR="006A3AB6" w:rsidRPr="00B57019" w:rsidRDefault="006A3AB6" w:rsidP="00250EB5">
            <w:pPr>
              <w:jc w:val="center"/>
            </w:pPr>
          </w:p>
          <w:p w14:paraId="1A635458" w14:textId="77777777" w:rsidR="006A3AB6" w:rsidRPr="00B57019" w:rsidRDefault="006A3AB6" w:rsidP="00250EB5">
            <w:pPr>
              <w:jc w:val="center"/>
            </w:pPr>
          </w:p>
          <w:p w14:paraId="6FA77C46" w14:textId="77777777" w:rsidR="006A3AB6" w:rsidRPr="00B57019" w:rsidRDefault="006A3AB6" w:rsidP="00250EB5">
            <w:pPr>
              <w:jc w:val="center"/>
            </w:pPr>
          </w:p>
          <w:p w14:paraId="07576E23" w14:textId="77777777" w:rsidR="006A3AB6" w:rsidRPr="00B57019" w:rsidRDefault="006A3AB6" w:rsidP="00250EB5">
            <w:pPr>
              <w:jc w:val="center"/>
            </w:pPr>
          </w:p>
          <w:p w14:paraId="4028ECFC" w14:textId="77777777" w:rsidR="006A3AB6" w:rsidRPr="00B57019" w:rsidRDefault="006A3AB6" w:rsidP="00250EB5">
            <w:pPr>
              <w:jc w:val="center"/>
            </w:pPr>
          </w:p>
          <w:p w14:paraId="7D186931" w14:textId="77777777" w:rsidR="006A3AB6" w:rsidRPr="00B57019" w:rsidRDefault="006A3AB6" w:rsidP="00250EB5">
            <w:pPr>
              <w:jc w:val="center"/>
            </w:pPr>
          </w:p>
          <w:p w14:paraId="2C88815A" w14:textId="77777777" w:rsidR="006A3AB6" w:rsidRPr="00B57019" w:rsidRDefault="006A3AB6" w:rsidP="00250EB5">
            <w:pPr>
              <w:jc w:val="center"/>
            </w:pPr>
          </w:p>
          <w:p w14:paraId="0BD7199D" w14:textId="77777777" w:rsidR="006A3AB6" w:rsidRPr="00B57019" w:rsidRDefault="006A3AB6" w:rsidP="00250EB5">
            <w:pPr>
              <w:jc w:val="center"/>
            </w:pPr>
          </w:p>
          <w:p w14:paraId="55FE4D30" w14:textId="77777777" w:rsidR="006A3AB6" w:rsidRPr="00B57019" w:rsidRDefault="006A3AB6" w:rsidP="00250EB5">
            <w:pPr>
              <w:jc w:val="center"/>
            </w:pPr>
          </w:p>
          <w:p w14:paraId="17E40A46" w14:textId="77777777" w:rsidR="006A3AB6" w:rsidRPr="00B57019" w:rsidRDefault="006A3AB6" w:rsidP="00250EB5">
            <w:pPr>
              <w:jc w:val="center"/>
            </w:pPr>
          </w:p>
          <w:p w14:paraId="226ADF1F" w14:textId="77777777" w:rsidR="006A3AB6" w:rsidRPr="00B57019" w:rsidRDefault="006A3AB6" w:rsidP="00250EB5">
            <w:pPr>
              <w:jc w:val="center"/>
            </w:pPr>
          </w:p>
          <w:p w14:paraId="78FE6ADF" w14:textId="77777777" w:rsidR="006A3AB6" w:rsidRPr="00B57019" w:rsidRDefault="006A3AB6" w:rsidP="00250EB5">
            <w:pPr>
              <w:jc w:val="center"/>
            </w:pPr>
          </w:p>
          <w:p w14:paraId="5356D935" w14:textId="77777777" w:rsidR="006A3AB6" w:rsidRPr="00B57019" w:rsidRDefault="006A3AB6" w:rsidP="00250EB5">
            <w:pPr>
              <w:jc w:val="center"/>
            </w:pPr>
          </w:p>
          <w:p w14:paraId="45D7AB2F" w14:textId="77777777" w:rsidR="006A3AB6" w:rsidRPr="00B57019" w:rsidRDefault="006A3AB6" w:rsidP="00250EB5">
            <w:pPr>
              <w:jc w:val="center"/>
            </w:pPr>
          </w:p>
          <w:p w14:paraId="7DCEF73F" w14:textId="77777777" w:rsidR="006A3AB6" w:rsidRPr="00B57019" w:rsidRDefault="006A3AB6" w:rsidP="00250EB5">
            <w:pPr>
              <w:jc w:val="center"/>
            </w:pPr>
          </w:p>
          <w:p w14:paraId="07F02F8A" w14:textId="77777777" w:rsidR="006A3AB6" w:rsidRPr="00B57019" w:rsidRDefault="006A3AB6" w:rsidP="00250EB5">
            <w:pPr>
              <w:jc w:val="center"/>
            </w:pPr>
          </w:p>
          <w:p w14:paraId="6EB8875C" w14:textId="3DA6B7A6" w:rsidR="006A3AB6" w:rsidRPr="00B57019" w:rsidRDefault="006A3AB6" w:rsidP="004D0D8B">
            <w:pPr>
              <w:jc w:val="both"/>
            </w:pPr>
            <w:r w:rsidRPr="00B57019">
              <w:t>Informatīv</w:t>
            </w:r>
            <w:r w:rsidR="00E80F33" w:rsidRPr="00B57019">
              <w:t>ā</w:t>
            </w:r>
            <w:r w:rsidRPr="00B57019">
              <w:t xml:space="preserve"> ziņojum</w:t>
            </w:r>
            <w:r w:rsidR="00E80F33" w:rsidRPr="00B57019">
              <w:t xml:space="preserve">a projekta 3.punkts ir </w:t>
            </w:r>
            <w:r w:rsidRPr="00B57019">
              <w:t xml:space="preserve"> papildināts ar tekstu šādā redakcijā:</w:t>
            </w:r>
            <w:r w:rsidR="008269F9" w:rsidRPr="00B57019">
              <w:t xml:space="preserve"> </w:t>
            </w:r>
            <w:r w:rsidR="00AD0D5B" w:rsidRPr="00B57019">
              <w:t>“Koplietošanas platformu uzturēšanai ir nepieciešamas 23 papildu amata vietas, savukārt VRAA no tām 2020. gadā tiek novirzītas 19 amata vietas ar tām paredzēto finansējumu”.</w:t>
            </w:r>
          </w:p>
          <w:p w14:paraId="382DD081" w14:textId="77777777" w:rsidR="006A3AB6" w:rsidRPr="00B57019" w:rsidRDefault="006A3AB6" w:rsidP="00250EB5">
            <w:pPr>
              <w:jc w:val="center"/>
            </w:pPr>
          </w:p>
          <w:p w14:paraId="50A4B6E9" w14:textId="77777777" w:rsidR="006A3AB6" w:rsidRPr="00B57019" w:rsidRDefault="006A3AB6" w:rsidP="00250EB5">
            <w:pPr>
              <w:jc w:val="center"/>
            </w:pPr>
          </w:p>
        </w:tc>
      </w:tr>
      <w:tr w:rsidR="00B57019" w:rsidRPr="00B57019" w14:paraId="318B55A3"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AA2793" w14:textId="3E0481D3" w:rsidR="00B03F98" w:rsidRPr="00B57019" w:rsidRDefault="00777328" w:rsidP="00B03F98">
            <w:pPr>
              <w:pStyle w:val="naisc"/>
              <w:spacing w:before="0" w:after="0"/>
            </w:pPr>
            <w:r w:rsidRPr="00B57019">
              <w:t>34</w:t>
            </w:r>
            <w:r w:rsidR="00BB59B3" w:rsidRPr="00B57019">
              <w:t>.</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5BD0007" w14:textId="77777777" w:rsidR="00B03F98" w:rsidRPr="00B57019" w:rsidRDefault="00B03F98" w:rsidP="00B03F98">
            <w:pPr>
              <w:pStyle w:val="naisc"/>
              <w:spacing w:before="0" w:after="0"/>
              <w:jc w:val="left"/>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B6ED47" w14:textId="5C296D73" w:rsidR="00B03F98" w:rsidRPr="00B57019" w:rsidRDefault="00B03F98" w:rsidP="00D37E01">
            <w:pPr>
              <w:pStyle w:val="naisc"/>
              <w:spacing w:before="0" w:after="0"/>
              <w:jc w:val="both"/>
            </w:pPr>
            <w:r w:rsidRPr="00B57019">
              <w:t>Norādām, ka šobrīd indikatīvi novērtētā resursu ekonomija informatīvā ziņojuma projekta 1.tabulā un tā pielikumos 5 koplietošanas pakalpojumiem ir vērtēta ar atšķirīgām pieejām, proti, atsevišķiem koplietošanas pakalpojumiem resursu ekonomija vērtēta attiecībā pret to, ja šāds pakalpojums nebūtu, nevis vērtējot pret šodienas situāciju, kurā pakalpojums reāli eksistē, attiecīgi norādītā resursu ekonomija šiem koplietošanas pakalpojumiem nav korekta un nav skaidrs, ko ministrijas papildus esošai situācijai turpmāk iegūs no koplietošanas pakalpojumiem, piekrītot finansiālo resursu un amata vietu pārdalei uz VRAA. Turklāt vēršam uzmanību, ka attiecībā uz sniegto informāciju par potenciālo resursu ekonomiju gan informatīvajā ziņojuma projektā, gan tā pielikumos nav saprotams, vai tā ir valsts budžeta resursu ekonomija, vai tomēr ir iesaistīti arī citi resursi (atvasināto publisko personu (piemēram, pašvaldību), valsts kapitālsabiedrību u.c.), kā arī uzskatām, ka resursu ekonomija ir novērtējama vidēja termiņa laika periodam sadalījumā pa gadiem, proti, 2020., 2021. un 2022.</w:t>
            </w:r>
            <w:r w:rsidR="0015163D" w:rsidRPr="00B57019">
              <w:t xml:space="preserve"> </w:t>
            </w:r>
            <w:r w:rsidRPr="00B57019">
              <w:t xml:space="preserve">gadam, līdz ar to lūdzam precizēt informatīvā ziņojuma projekta 1.tabulā sniegto informāciju. Papildus lūdzam informatīvā ziņojuma projektā iekļaut kopsavilkuma aprēķinu starpībai starp valsts budžeta resursu ekonomiju un valsts budžeta nepieciešamo finansējumu VRAA kapacitātes celšanai. </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B98360" w14:textId="77777777" w:rsidR="00B03F98" w:rsidRPr="00B57019" w:rsidRDefault="00B03F98" w:rsidP="00B03F98">
            <w:pPr>
              <w:pStyle w:val="PlainText"/>
              <w:jc w:val="both"/>
              <w:rPr>
                <w:rFonts w:ascii="Times New Roman" w:hAnsi="Times New Roman"/>
                <w:b/>
                <w:sz w:val="24"/>
                <w:szCs w:val="24"/>
                <w:lang w:val="lv-LV"/>
              </w:rPr>
            </w:pPr>
            <w:r w:rsidRPr="00B57019">
              <w:rPr>
                <w:rFonts w:ascii="Times New Roman" w:hAnsi="Times New Roman"/>
                <w:b/>
                <w:sz w:val="24"/>
                <w:szCs w:val="24"/>
                <w:lang w:val="lv-LV"/>
              </w:rPr>
              <w:t xml:space="preserve">Iebildums </w:t>
            </w:r>
            <w:r w:rsidR="00234357" w:rsidRPr="00B57019">
              <w:rPr>
                <w:rFonts w:ascii="Times New Roman" w:hAnsi="Times New Roman"/>
                <w:b/>
                <w:sz w:val="24"/>
                <w:szCs w:val="24"/>
                <w:lang w:val="lv-LV"/>
              </w:rPr>
              <w:t>daļēji</w:t>
            </w:r>
            <w:r w:rsidRPr="00B57019">
              <w:rPr>
                <w:rFonts w:ascii="Times New Roman" w:hAnsi="Times New Roman"/>
                <w:b/>
                <w:sz w:val="24"/>
                <w:szCs w:val="24"/>
                <w:lang w:val="lv-LV"/>
              </w:rPr>
              <w:t xml:space="preserve"> ņemts vērā.</w:t>
            </w:r>
          </w:p>
          <w:p w14:paraId="69F1D7C2" w14:textId="77777777" w:rsidR="00B03F98" w:rsidRPr="00B57019" w:rsidRDefault="00B03F98" w:rsidP="00B03F98">
            <w:pPr>
              <w:pStyle w:val="PlainText"/>
              <w:jc w:val="both"/>
              <w:rPr>
                <w:rFonts w:ascii="Times New Roman" w:hAnsi="Times New Roman"/>
                <w:sz w:val="24"/>
                <w:szCs w:val="24"/>
                <w:lang w:val="lv-LV"/>
              </w:rPr>
            </w:pPr>
            <w:r w:rsidRPr="00B57019">
              <w:rPr>
                <w:rFonts w:ascii="Times New Roman" w:hAnsi="Times New Roman"/>
                <w:sz w:val="24"/>
                <w:szCs w:val="24"/>
                <w:lang w:val="lv-LV"/>
              </w:rPr>
              <w:t>Vēršam uzmanību, ka informatīvā ziņojuma sagatavošanas iemesls ir saistīts ar potenciālu nespēju nodrošināt šos risinājumus turpmāk.</w:t>
            </w:r>
          </w:p>
          <w:p w14:paraId="7DEF1E2A" w14:textId="77777777" w:rsidR="00B03F98" w:rsidRPr="00B57019" w:rsidRDefault="00B03F98" w:rsidP="00B03F98">
            <w:pPr>
              <w:pStyle w:val="PlainText"/>
              <w:jc w:val="both"/>
              <w:rPr>
                <w:rFonts w:ascii="Times New Roman" w:hAnsi="Times New Roman"/>
                <w:sz w:val="24"/>
                <w:szCs w:val="24"/>
                <w:lang w:val="lv-LV"/>
              </w:rPr>
            </w:pPr>
          </w:p>
          <w:p w14:paraId="596538A7" w14:textId="77777777" w:rsidR="00B03F98" w:rsidRPr="00B57019" w:rsidRDefault="00B03F98" w:rsidP="00B03F98">
            <w:pPr>
              <w:pStyle w:val="PlainText"/>
              <w:jc w:val="both"/>
              <w:rPr>
                <w:rFonts w:ascii="Times New Roman" w:hAnsi="Times New Roman"/>
                <w:sz w:val="24"/>
                <w:szCs w:val="24"/>
                <w:lang w:val="lv-LV"/>
              </w:rPr>
            </w:pPr>
            <w:r w:rsidRPr="00B57019">
              <w:rPr>
                <w:rFonts w:ascii="Times New Roman" w:hAnsi="Times New Roman"/>
                <w:sz w:val="24"/>
                <w:szCs w:val="24"/>
                <w:lang w:val="lv-LV"/>
              </w:rPr>
              <w:t>Skaidrojam, ka aprēķinos izmantoti tikai valsts pārvaldes dati šādu iemeslu dēļ:</w:t>
            </w:r>
          </w:p>
          <w:p w14:paraId="1B3B4134" w14:textId="77777777" w:rsidR="0030626A" w:rsidRPr="00B57019" w:rsidRDefault="00B03F98" w:rsidP="0030626A">
            <w:pPr>
              <w:pStyle w:val="PlainText"/>
              <w:numPr>
                <w:ilvl w:val="0"/>
                <w:numId w:val="9"/>
              </w:numPr>
              <w:ind w:left="309"/>
              <w:jc w:val="both"/>
              <w:rPr>
                <w:rFonts w:ascii="Times New Roman" w:hAnsi="Times New Roman"/>
                <w:sz w:val="24"/>
                <w:szCs w:val="24"/>
              </w:rPr>
            </w:pPr>
            <w:r w:rsidRPr="00B57019">
              <w:rPr>
                <w:rFonts w:ascii="Times New Roman" w:hAnsi="Times New Roman"/>
                <w:sz w:val="24"/>
                <w:szCs w:val="24"/>
                <w:lang w:val="lv-LV"/>
              </w:rPr>
              <w:t>valsts pārvalde aktīvāk izmanto šīs koplietošanas sistēmas;</w:t>
            </w:r>
          </w:p>
          <w:p w14:paraId="4B4115E5" w14:textId="77777777" w:rsidR="00B03F98" w:rsidRPr="00B57019" w:rsidRDefault="00B03F98" w:rsidP="0030626A">
            <w:pPr>
              <w:pStyle w:val="PlainText"/>
              <w:numPr>
                <w:ilvl w:val="0"/>
                <w:numId w:val="9"/>
              </w:numPr>
              <w:ind w:left="309"/>
              <w:jc w:val="both"/>
              <w:rPr>
                <w:rFonts w:ascii="Times New Roman" w:hAnsi="Times New Roman"/>
                <w:sz w:val="24"/>
                <w:szCs w:val="24"/>
              </w:rPr>
            </w:pPr>
            <w:r w:rsidRPr="00B57019">
              <w:rPr>
                <w:rFonts w:ascii="Times New Roman" w:hAnsi="Times New Roman"/>
                <w:sz w:val="24"/>
                <w:szCs w:val="24"/>
                <w:lang w:val="lv-LV"/>
              </w:rPr>
              <w:t>pārdalē netika paredzēts iesaistīt atvasinātas publiskas personas, līdz ar to norādām, ka līdzekļu pārdale ir katra resora iekšējais jautājums.</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0A62C6A8" w14:textId="77777777" w:rsidR="009851F7" w:rsidRPr="00B57019" w:rsidRDefault="009851F7" w:rsidP="009851F7">
            <w:pPr>
              <w:jc w:val="both"/>
            </w:pPr>
            <w:r w:rsidRPr="00B57019">
              <w:t>Iebildums tiek uzturēts.</w:t>
            </w:r>
          </w:p>
          <w:p w14:paraId="1AF1E043" w14:textId="77777777" w:rsidR="00B03F98" w:rsidRPr="00B57019" w:rsidRDefault="00B03F98" w:rsidP="00B03F98">
            <w:pPr>
              <w:jc w:val="center"/>
            </w:pPr>
          </w:p>
        </w:tc>
        <w:tc>
          <w:tcPr>
            <w:tcW w:w="2503" w:type="dxa"/>
            <w:tcBorders>
              <w:top w:val="single" w:sz="4" w:space="0" w:color="auto"/>
              <w:left w:val="single" w:sz="4" w:space="0" w:color="auto"/>
              <w:bottom w:val="single" w:sz="4" w:space="0" w:color="auto"/>
            </w:tcBorders>
            <w:shd w:val="clear" w:color="auto" w:fill="auto"/>
          </w:tcPr>
          <w:p w14:paraId="4C353DA9" w14:textId="77777777" w:rsidR="00B03F98" w:rsidRPr="00B57019" w:rsidRDefault="00B03F98" w:rsidP="00B03F98">
            <w:pPr>
              <w:jc w:val="center"/>
            </w:pPr>
          </w:p>
        </w:tc>
      </w:tr>
      <w:tr w:rsidR="00B57019" w:rsidRPr="00B57019" w14:paraId="0B8016F4"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610E81" w14:textId="58C949D7" w:rsidR="00B03F98" w:rsidRPr="00B57019" w:rsidRDefault="00777328" w:rsidP="00B03F98">
            <w:pPr>
              <w:pStyle w:val="naisc"/>
              <w:spacing w:before="0" w:after="0"/>
            </w:pPr>
            <w:r w:rsidRPr="00B57019">
              <w:t>35</w:t>
            </w:r>
            <w:r w:rsidR="00BB59B3" w:rsidRPr="00B57019">
              <w:t>.</w:t>
            </w: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763EDC" w14:textId="77777777" w:rsidR="00B03F98" w:rsidRPr="00B57019" w:rsidRDefault="00D37E01" w:rsidP="00D37E01">
            <w:pPr>
              <w:pStyle w:val="naisc"/>
              <w:spacing w:before="0" w:after="0"/>
              <w:jc w:val="left"/>
            </w:pPr>
            <w:r w:rsidRPr="00B57019">
              <w:t>Informatīvā ziņojuma projekta 1. pielikuma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564926" w14:textId="77777777" w:rsidR="00B03F98" w:rsidRPr="00B57019" w:rsidRDefault="00B03F98" w:rsidP="00B03F98">
            <w:pPr>
              <w:ind w:firstLine="720"/>
              <w:jc w:val="both"/>
            </w:pPr>
            <w:r w:rsidRPr="00B57019">
              <w:t>Informatīvā ziņojuma projekta 1.pielikumā norādīts, ka iepirkuma veikšanai ārpus EIS nepieciešamas 27 cilvēkdienas, kā arī sniegta atsauce uz Eiropas Komisijas novērtējuma ziņojumu (2011), atzīmējot, ka astoņu gadu laikā izmaiņas iepirkumu procedūras norises kārtībā nav notikušas. Vēršam uzmanību, ka no 2014.gada ir jauna Direktīva (2014.gada 26.februāra Eiropas Parlamenta un Padomes Direktīva 2014/24/ES par publisko iepirkumu un ar ko atceļ Direktīvu 2004/18/EK), kas regulē iepirkumu veikšanas kārtību. Tāpat katru gadu tiek grozīti publiskos iepirkumus regulējošie normatīvie akti, piemēram, paplašinot izslēgšanas nosacījumu piemērošanas un pārbaudes mehānismu, kā arī pārejot uz iepirkumu veikšanu elektroniskajā vidē. Turklāt, kā minēts iepriekš, resursu ekonomija aprēķināta pie nosacījuma, ja EIS kā platforma neeksistētu, nevis vērtēta pret šodienas situāciju, kad EIS darbojas un tiek izmantota. Ņemot vērā minēto, lūdzam izvērtēt norādītās atsauces uz 2011.</w:t>
            </w:r>
            <w:r w:rsidR="00914A0B" w:rsidRPr="00B57019">
              <w:t xml:space="preserve"> </w:t>
            </w:r>
            <w:r w:rsidRPr="00B57019">
              <w:t>gada novērtējuma korektumu, kā arī novērtēt resursu ekonomiju šodienas situācijā, ja tiks stiprināta VRAA kapacitāte, un attiecīgi precizēt aprēķinus.</w:t>
            </w:r>
          </w:p>
          <w:p w14:paraId="73411EBA" w14:textId="77777777" w:rsidR="00B03F98" w:rsidRPr="00B57019" w:rsidRDefault="00B03F98" w:rsidP="00B03F98">
            <w:pPr>
              <w:ind w:firstLine="720"/>
              <w:jc w:val="both"/>
            </w:pPr>
            <w:r w:rsidRPr="00B57019">
              <w:t xml:space="preserve">Vienlaikus norādām, ka no informatīvā ziņojuma projekta 1.pielikumā sniegtās analīzes par papildu 8 amata vietu nepieciešamību EIS uzturēšanai nav skaidra katras pieprasītās amata vietas darbietilpība, piemēram, kādēļ nepieciešamas tieši 3 papildu amata vietas, lai atjaunotu EIS e-katalogu darījumu rezultātā piegādāto preču izlases kārtā veicamās kontroles (pārbaudes) uz vietas pie pasūtītājiem. Līdz ar to lūdzam precizēt 1.pielikumā sniegto analīzi un sniegt detalizētāku skaidrojumu par katras pieprasītās amata vietas darbietilpību. </w:t>
            </w:r>
          </w:p>
          <w:p w14:paraId="2444C360" w14:textId="77777777" w:rsidR="00B03F98" w:rsidRPr="00B57019" w:rsidRDefault="00B03F98" w:rsidP="00B03F98">
            <w:pPr>
              <w:pStyle w:val="naisc"/>
              <w:spacing w:before="0" w:after="0"/>
              <w:ind w:firstLine="720"/>
              <w:jc w:val="both"/>
            </w:pPr>
            <w:r w:rsidRPr="00B57019">
              <w:t>Finanšu ministrijas ieskatā, ir nepieciešams izvērtēt arī EIS attīstības iespējas, kas prasītu samazināt resursu ieguldījumu, tādēļ papildus lūdzam vērtēt un informatīvā ziņojuma projekta 1.pielikumā atspoguļot arī EIS darbības un izmaksu efektivizēšanas iespējas.</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0812D0" w14:textId="77777777" w:rsidR="00B03F98" w:rsidRPr="00B57019" w:rsidRDefault="00B03F98" w:rsidP="00B03F98">
            <w:pPr>
              <w:pStyle w:val="PlainText"/>
              <w:jc w:val="both"/>
              <w:rPr>
                <w:rFonts w:ascii="Times New Roman" w:hAnsi="Times New Roman"/>
                <w:b/>
                <w:sz w:val="24"/>
                <w:szCs w:val="24"/>
                <w:lang w:val="lv-LV"/>
              </w:rPr>
            </w:pPr>
            <w:r w:rsidRPr="00B57019">
              <w:rPr>
                <w:rFonts w:ascii="Times New Roman" w:hAnsi="Times New Roman"/>
                <w:b/>
                <w:sz w:val="24"/>
                <w:szCs w:val="24"/>
                <w:lang w:val="lv-LV"/>
              </w:rPr>
              <w:t xml:space="preserve">Iebildums </w:t>
            </w:r>
            <w:r w:rsidR="005F6C5E" w:rsidRPr="00B57019">
              <w:rPr>
                <w:rFonts w:ascii="Times New Roman" w:hAnsi="Times New Roman"/>
                <w:b/>
                <w:sz w:val="24"/>
                <w:szCs w:val="24"/>
                <w:lang w:val="lv-LV"/>
              </w:rPr>
              <w:t xml:space="preserve">daļēji </w:t>
            </w:r>
            <w:r w:rsidRPr="00B57019">
              <w:rPr>
                <w:rFonts w:ascii="Times New Roman" w:hAnsi="Times New Roman"/>
                <w:b/>
                <w:sz w:val="24"/>
                <w:szCs w:val="24"/>
                <w:lang w:val="lv-LV"/>
              </w:rPr>
              <w:t>ņemts vērā.</w:t>
            </w:r>
          </w:p>
          <w:p w14:paraId="39C6A6B4" w14:textId="1348D6B8" w:rsidR="00B03F98" w:rsidRPr="00B57019" w:rsidRDefault="00B03F98" w:rsidP="00B03F98">
            <w:pPr>
              <w:pStyle w:val="PlainText"/>
              <w:jc w:val="both"/>
              <w:rPr>
                <w:rFonts w:ascii="Times New Roman" w:hAnsi="Times New Roman"/>
                <w:sz w:val="24"/>
                <w:szCs w:val="24"/>
                <w:lang w:val="lv-LV"/>
              </w:rPr>
            </w:pPr>
            <w:r w:rsidRPr="00B57019">
              <w:rPr>
                <w:rFonts w:ascii="Times New Roman" w:hAnsi="Times New Roman"/>
                <w:sz w:val="24"/>
                <w:szCs w:val="24"/>
                <w:lang w:val="lv-LV"/>
              </w:rPr>
              <w:t>Vēršam uzmanību, ka  aprēķini tika veidoti</w:t>
            </w:r>
            <w:r w:rsidR="004A44B0" w:rsidRPr="00B57019">
              <w:rPr>
                <w:rFonts w:ascii="Times New Roman" w:hAnsi="Times New Roman"/>
                <w:sz w:val="24"/>
                <w:szCs w:val="24"/>
                <w:lang w:val="lv-LV"/>
              </w:rPr>
              <w:t>,</w:t>
            </w:r>
            <w:r w:rsidRPr="00B57019">
              <w:rPr>
                <w:rFonts w:ascii="Times New Roman" w:hAnsi="Times New Roman"/>
                <w:sz w:val="24"/>
                <w:szCs w:val="24"/>
                <w:lang w:val="lv-LV"/>
              </w:rPr>
              <w:t xml:space="preserve"> vadoties no maksimāli piesardzīgas ietaupījuma aprēķinu veikšanas, iekļaujot tikai maksimāli uzticamus datus. Piekrītam, ka faktiskais ietaupījums ir vēl lielāks, jo kopš aprēķinu veikšanas ir pieaudzis gan iepirkumu procesu regulējošo tiesību aktu skaits, gan arī ir nākuši klāt jauni iepirkuma komisijas pienākumi, piemēram, publicēt iepirkumu plānus, piemērot sarežģītu </w:t>
            </w:r>
            <w:hyperlink r:id="rId11" w:tgtFrame="_blank" w:history="1">
              <w:r w:rsidR="00896B0C" w:rsidRPr="00B57019">
                <w:rPr>
                  <w:rFonts w:ascii="Times New Roman" w:hAnsi="Times New Roman"/>
                  <w:sz w:val="24"/>
                  <w:szCs w:val="24"/>
                  <w:lang w:val="lv-LV"/>
                </w:rPr>
                <w:t>Starptautisko un Latvijas Republikas nacionālo sankciju likum</w:t>
              </w:r>
            </w:hyperlink>
            <w:r w:rsidR="000824D0" w:rsidRPr="00B57019">
              <w:rPr>
                <w:rFonts w:ascii="Times New Roman" w:hAnsi="Times New Roman"/>
                <w:sz w:val="24"/>
                <w:szCs w:val="24"/>
                <w:lang w:val="lv-LV"/>
              </w:rPr>
              <w:t>u</w:t>
            </w:r>
            <w:r w:rsidRPr="00B57019">
              <w:rPr>
                <w:rFonts w:ascii="Times New Roman" w:hAnsi="Times New Roman"/>
                <w:sz w:val="24"/>
                <w:szCs w:val="24"/>
                <w:lang w:val="lv-LV"/>
              </w:rPr>
              <w:t xml:space="preserve">, piemērot jaunus izslēgšanas nosacījumus, ievadīt datus līgumu reģistrā, kā arī pašā EIS e-konkursu sistēmā. </w:t>
            </w:r>
          </w:p>
          <w:p w14:paraId="145F79BD" w14:textId="77777777" w:rsidR="00B03F98" w:rsidRPr="00B57019" w:rsidRDefault="000910F3" w:rsidP="000910F3">
            <w:pPr>
              <w:pStyle w:val="naisc"/>
              <w:spacing w:before="0" w:after="0"/>
              <w:jc w:val="both"/>
            </w:pPr>
            <w:r w:rsidRPr="00B57019">
              <w:t xml:space="preserve">Ņemot vērā līdzšinējo pieredzi EIS izmantošanā, kā arī saņemot citu iestāžu atsauksmes par EIS izmantošanu (piemēram, </w:t>
            </w:r>
            <w:r w:rsidR="00B03F98" w:rsidRPr="00B57019">
              <w:t>Veselības ministres preses konferencē š.g. 15.</w:t>
            </w:r>
            <w:r w:rsidR="0030626A" w:rsidRPr="00B57019">
              <w:t xml:space="preserve"> </w:t>
            </w:r>
            <w:r w:rsidR="00B03F98" w:rsidRPr="00B57019">
              <w:t>maijā</w:t>
            </w:r>
            <w:r w:rsidRPr="00B57019">
              <w:t>), ir</w:t>
            </w:r>
            <w:r w:rsidR="00B03F98" w:rsidRPr="00B57019">
              <w:t xml:space="preserve"> skaidri un nepārprotami </w:t>
            </w:r>
            <w:r w:rsidRPr="00B57019">
              <w:t>konstatēts</w:t>
            </w:r>
            <w:r w:rsidR="00B03F98" w:rsidRPr="00B57019">
              <w:t xml:space="preserve"> papildus </w:t>
            </w:r>
            <w:r w:rsidR="00914A0B" w:rsidRPr="00B57019">
              <w:t>kontroles trūkum</w:t>
            </w:r>
            <w:r w:rsidRPr="00B57019">
              <w:t>s. A</w:t>
            </w:r>
            <w:r w:rsidR="00914A0B" w:rsidRPr="00B57019">
              <w:t xml:space="preserve">rī </w:t>
            </w:r>
            <w:r w:rsidR="00D37E01" w:rsidRPr="00B57019">
              <w:t xml:space="preserve">2019. gada </w:t>
            </w:r>
            <w:r w:rsidR="00B03F98" w:rsidRPr="00B57019">
              <w:t>2.</w:t>
            </w:r>
            <w:r w:rsidR="00D37E01" w:rsidRPr="00B57019">
              <w:t xml:space="preserve"> </w:t>
            </w:r>
            <w:r w:rsidR="00B03F98" w:rsidRPr="00B57019">
              <w:t>maijā VRAA Veselības ministrijai, CFLA un VARAM ir norādījusi uz citiem pārkāpumiem EIS izmantošanā</w:t>
            </w:r>
            <w:r w:rsidRPr="00B57019">
              <w:t>, kas apliecina darījumu kontroles nepietiekamību</w:t>
            </w:r>
            <w:r w:rsidR="005F4A24" w:rsidRPr="00B57019">
              <w:t>, kuru VRAA var risināt</w:t>
            </w:r>
            <w:r w:rsidR="00880CEF" w:rsidRPr="00B57019">
              <w:t>,</w:t>
            </w:r>
            <w:r w:rsidR="005F4A24" w:rsidRPr="00B57019">
              <w:t xml:space="preserve"> tikai piesaistot papildu cilvēkresursu</w:t>
            </w:r>
            <w:r w:rsidR="00E313EB" w:rsidRPr="00B57019">
              <w:t>s</w:t>
            </w:r>
            <w:r w:rsidR="005F4A24" w:rsidRPr="00B57019">
              <w:t xml:space="preserve"> funkcijas nodrošināšanai.</w:t>
            </w:r>
          </w:p>
          <w:p w14:paraId="2DCDF6B7" w14:textId="77777777" w:rsidR="008B4A15" w:rsidRPr="00B57019" w:rsidRDefault="008B4A15" w:rsidP="000910F3">
            <w:pPr>
              <w:pStyle w:val="naisc"/>
              <w:spacing w:before="0" w:after="0"/>
              <w:jc w:val="both"/>
            </w:pPr>
          </w:p>
          <w:p w14:paraId="1A7DEA36" w14:textId="77777777" w:rsidR="00A75848" w:rsidRPr="00B57019" w:rsidRDefault="00A75848" w:rsidP="00A75848">
            <w:pPr>
              <w:jc w:val="both"/>
            </w:pPr>
            <w:r w:rsidRPr="00B57019">
              <w:t>Skatīt informatīvā ziņojuma 6. pielikumu.</w:t>
            </w:r>
          </w:p>
          <w:p w14:paraId="14F62C06" w14:textId="4273DCB0" w:rsidR="008B4A15" w:rsidRPr="00B57019" w:rsidRDefault="008B4A15" w:rsidP="000910F3">
            <w:pPr>
              <w:pStyle w:val="naisc"/>
              <w:spacing w:before="0" w:after="0"/>
              <w:jc w:val="both"/>
            </w:pP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0A6BCBD0" w14:textId="77777777" w:rsidR="009851F7" w:rsidRPr="00B57019" w:rsidRDefault="009851F7" w:rsidP="009851F7">
            <w:pPr>
              <w:jc w:val="both"/>
            </w:pPr>
            <w:r w:rsidRPr="00B57019">
              <w:t>Iebildums tiek uzturēts.</w:t>
            </w:r>
          </w:p>
          <w:p w14:paraId="4303937C" w14:textId="77777777" w:rsidR="00B03F98" w:rsidRPr="00B57019" w:rsidRDefault="00B03F98" w:rsidP="00B03F98">
            <w:pPr>
              <w:jc w:val="center"/>
              <w:rPr>
                <w:b/>
              </w:rPr>
            </w:pPr>
          </w:p>
        </w:tc>
        <w:tc>
          <w:tcPr>
            <w:tcW w:w="2503" w:type="dxa"/>
            <w:tcBorders>
              <w:top w:val="single" w:sz="4" w:space="0" w:color="auto"/>
              <w:left w:val="single" w:sz="4" w:space="0" w:color="auto"/>
              <w:bottom w:val="single" w:sz="4" w:space="0" w:color="auto"/>
            </w:tcBorders>
            <w:shd w:val="clear" w:color="auto" w:fill="auto"/>
          </w:tcPr>
          <w:p w14:paraId="2976D36D" w14:textId="77777777" w:rsidR="002A05B2" w:rsidRPr="00B57019" w:rsidRDefault="002A05B2" w:rsidP="002A05B2">
            <w:r w:rsidRPr="00B57019">
              <w:t>Informatīvais ziņojums papildināts ar 6. pielikumu.</w:t>
            </w:r>
          </w:p>
          <w:p w14:paraId="7B3DC373" w14:textId="77777777" w:rsidR="00B03F98" w:rsidRPr="00B57019" w:rsidRDefault="00B03F98" w:rsidP="00B03F98">
            <w:pPr>
              <w:jc w:val="center"/>
            </w:pPr>
          </w:p>
        </w:tc>
      </w:tr>
      <w:tr w:rsidR="00B57019" w:rsidRPr="00B57019" w14:paraId="434F30A3" w14:textId="77777777" w:rsidTr="6EC0B0DB">
        <w:tc>
          <w:tcPr>
            <w:tcW w:w="14567" w:type="dxa"/>
            <w:gridSpan w:val="6"/>
            <w:tcBorders>
              <w:top w:val="single" w:sz="6" w:space="0" w:color="000000" w:themeColor="text1"/>
              <w:left w:val="single" w:sz="6" w:space="0" w:color="000000" w:themeColor="text1"/>
              <w:bottom w:val="single" w:sz="6" w:space="0" w:color="000000" w:themeColor="text1"/>
            </w:tcBorders>
            <w:shd w:val="clear" w:color="auto" w:fill="auto"/>
          </w:tcPr>
          <w:p w14:paraId="25273B95" w14:textId="77777777" w:rsidR="00EC5B70" w:rsidRPr="00B57019" w:rsidRDefault="00EC5B70" w:rsidP="002A05B2">
            <w:pPr>
              <w:rPr>
                <w:b/>
              </w:rPr>
            </w:pPr>
          </w:p>
          <w:p w14:paraId="4D3D4A10" w14:textId="37B22519" w:rsidR="00EC5B70" w:rsidRPr="00B57019" w:rsidRDefault="00EC5B70" w:rsidP="00EC5B70">
            <w:pPr>
              <w:rPr>
                <w:b/>
              </w:rPr>
            </w:pPr>
            <w:r w:rsidRPr="00B57019">
              <w:rPr>
                <w:b/>
              </w:rPr>
              <w:t>Pēc 2019. gada 26. jūnija saskaņošanas sanāksmes saņemtie iebildumi</w:t>
            </w:r>
          </w:p>
        </w:tc>
      </w:tr>
      <w:tr w:rsidR="00B57019" w:rsidRPr="00B57019" w14:paraId="0996D9EC" w14:textId="77777777" w:rsidTr="6EC0B0DB">
        <w:tc>
          <w:tcPr>
            <w:tcW w:w="14567" w:type="dxa"/>
            <w:gridSpan w:val="6"/>
            <w:tcBorders>
              <w:top w:val="single" w:sz="6" w:space="0" w:color="000000" w:themeColor="text1"/>
              <w:left w:val="single" w:sz="6" w:space="0" w:color="000000" w:themeColor="text1"/>
              <w:bottom w:val="single" w:sz="6" w:space="0" w:color="000000" w:themeColor="text1"/>
            </w:tcBorders>
            <w:shd w:val="clear" w:color="auto" w:fill="auto"/>
          </w:tcPr>
          <w:p w14:paraId="472FA341" w14:textId="74A4E4D9" w:rsidR="00EC5B70" w:rsidRPr="00B57019" w:rsidRDefault="00EC5B70" w:rsidP="00EC5B70">
            <w:pPr>
              <w:jc w:val="center"/>
            </w:pPr>
            <w:r w:rsidRPr="00B57019">
              <w:rPr>
                <w:b/>
              </w:rPr>
              <w:t>Aizsardzības ministrija</w:t>
            </w:r>
          </w:p>
        </w:tc>
      </w:tr>
      <w:tr w:rsidR="00B57019" w:rsidRPr="00B57019" w14:paraId="1B5AD070"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A4FF47" w14:textId="77777777" w:rsidR="00EC5B70" w:rsidRPr="00B57019" w:rsidRDefault="00EC5B70" w:rsidP="00B03F98">
            <w:pPr>
              <w:pStyle w:val="naisc"/>
              <w:spacing w:before="0" w:after="0"/>
            </w:pP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8E23F81" w14:textId="4AD0C77A" w:rsidR="00EC5B70" w:rsidRPr="00B57019" w:rsidRDefault="00EC5B70" w:rsidP="00D37E01">
            <w:pPr>
              <w:pStyle w:val="naisc"/>
              <w:spacing w:before="0" w:after="0"/>
              <w:jc w:val="left"/>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375CDC" w14:textId="77777777" w:rsidR="00EC5B70" w:rsidRPr="00B57019" w:rsidRDefault="00EC5B70" w:rsidP="00EC5B70">
            <w:pPr>
              <w:ind w:firstLine="720"/>
              <w:jc w:val="both"/>
              <w:rPr>
                <w:b/>
                <w:bCs/>
              </w:rPr>
            </w:pPr>
            <w:r w:rsidRPr="00B57019">
              <w:t>Tāpat nevaram uzskatīt, ka pašreiz aprakstītās metodes un kritēriji, saskaņā ar kuriem tiek sadalīts amata vietu samazinājums starp ministrijām, ir skaidri un pamatoti.</w:t>
            </w:r>
            <w:r w:rsidRPr="00B57019">
              <w:rPr>
                <w:b/>
                <w:bCs/>
              </w:rPr>
              <w:t xml:space="preserve"> Ne ziņojumā, ne pielikumos nav skaidrojuma un aprēķinu summām, kas ir iekļautas protokollēmuma projektā. </w:t>
            </w:r>
          </w:p>
          <w:p w14:paraId="49F240D5" w14:textId="77777777" w:rsidR="00EC5B70" w:rsidRPr="00B57019" w:rsidRDefault="672706A0" w:rsidP="00EC5B70">
            <w:pPr>
              <w:ind w:firstLine="720"/>
              <w:jc w:val="both"/>
            </w:pPr>
            <w:r w:rsidRPr="00B57019">
              <w:t xml:space="preserve">Aizsardzības ministrija nevar atbalstīt ziņojuma un MK protokollēmuma tālāku virzību, jo izziņā un labojumos ietvertā informācija ir nepietiekama. Lai gan VARAM apgalvo, ka Pielikums Nr. 6 pamato administratīvo resursu ietaupījumu, tomēr, iepazīstoties un izanalizējot pielikumā iekļauto informāciju, nākas secināt, ka izmantotā metodika un kritēriji ir apšaubāmi. Analīze balstīta uz viena gada datiem, kas nevar būt par pamatu tālākiem aprēķiniem. Nepieciešams analizēt datus vismaz piecu gadu periodā. </w:t>
            </w:r>
          </w:p>
          <w:p w14:paraId="6DAE0E35" w14:textId="4BBD6E16" w:rsidR="00EC5B70" w:rsidRPr="00B57019" w:rsidRDefault="672706A0" w:rsidP="00EC5B70">
            <w:pPr>
              <w:ind w:firstLine="720"/>
              <w:jc w:val="both"/>
            </w:pPr>
            <w:r w:rsidRPr="00B57019">
              <w:t>Pielikumu Nr. 6. nepieciešams papildināt ar informāciju par iestāžu darījumu skaitu laika posmā no 2014.–2017. gadam, kā arī plānoto darījumu skaitu 2019.–2022. gadam (informāciju nepieciešams pieprasīt no ministrijām). Tā kā no iestādēm nav datu par EIS izmantošanas plāniem, tad VARAM apgalvojums, ka “AM un tās padotības institūcijas neplāno samazināt EIS izmantošanas apjomu, līdzekļu pārdale ir nepieciešama šā apjoma saglabāšanai turpmāk”,</w:t>
            </w:r>
            <w:r w:rsidRPr="00B57019">
              <w:rPr>
                <w:i/>
                <w:iCs/>
              </w:rPr>
              <w:t xml:space="preserve"> </w:t>
            </w:r>
            <w:r w:rsidRPr="00B57019">
              <w:t xml:space="preserve">nav pamatots. </w:t>
            </w:r>
          </w:p>
          <w:p w14:paraId="38D6B6D6" w14:textId="77777777" w:rsidR="00AB10FF" w:rsidRPr="00B57019" w:rsidRDefault="00AB10FF" w:rsidP="00AD72AB">
            <w:pPr>
              <w:jc w:val="both"/>
            </w:pPr>
          </w:p>
          <w:p w14:paraId="4963F77F" w14:textId="77777777" w:rsidR="00EC5B70" w:rsidRPr="00B57019" w:rsidRDefault="00EC5B70" w:rsidP="00AD72AB">
            <w:pPr>
              <w:jc w:val="both"/>
              <w:rPr>
                <w:rFonts w:ascii="Calibri" w:hAnsi="Calibri"/>
              </w:rPr>
            </w:pPr>
            <w:r w:rsidRPr="00B57019">
              <w:t>Lai pamatotu protokollēmumā iekļautās summas, nepieciešams:</w:t>
            </w:r>
          </w:p>
          <w:p w14:paraId="1B1AA0E0" w14:textId="03769A03" w:rsidR="00EC5B70" w:rsidRPr="00B57019" w:rsidRDefault="00AB10FF" w:rsidP="00AB10FF">
            <w:pPr>
              <w:jc w:val="both"/>
            </w:pPr>
            <w:r w:rsidRPr="00B57019">
              <w:t>1.</w:t>
            </w:r>
            <w:r w:rsidR="00EC5B70" w:rsidRPr="00B57019">
              <w:t>Papildināt Pielikuma Nr. 1 3. tabulu ar informāciju:</w:t>
            </w:r>
          </w:p>
          <w:p w14:paraId="679A6DC4" w14:textId="16028A67" w:rsidR="00EC5B70" w:rsidRPr="00B57019" w:rsidRDefault="00AB10FF" w:rsidP="00AB10FF">
            <w:pPr>
              <w:jc w:val="both"/>
            </w:pPr>
            <w:r w:rsidRPr="00B57019">
              <w:t xml:space="preserve">1) </w:t>
            </w:r>
            <w:r w:rsidR="00EC5B70" w:rsidRPr="00B57019">
              <w:t>par finanšu resursiem, kas laika periodā no 2014.–2018. gadam tika izlietoti VRAA finansēšanai gan no valsts pamatbudžeta, gan no ERAF līdzekļiem;</w:t>
            </w:r>
          </w:p>
          <w:p w14:paraId="2A71E17B" w14:textId="1AA162B9" w:rsidR="00EC5B70" w:rsidRPr="00B57019" w:rsidRDefault="00AB10FF" w:rsidP="00AB10FF">
            <w:pPr>
              <w:jc w:val="both"/>
            </w:pPr>
            <w:r w:rsidRPr="00B57019">
              <w:t xml:space="preserve">2) </w:t>
            </w:r>
            <w:r w:rsidR="672706A0" w:rsidRPr="00B57019">
              <w:t>par finanšu resursiem un darbinieku skaitu, kas tiek plānoti laika posmā no 2019.–2022. gadam, atsevišķi nodalot finansējumu, kas jau ir VARAM budžetā, un finansējumu, kuru VARAM plāno saņemt no citām ministrijām, kas pamatots ar veicamo darbu apjoma pieaugumu.</w:t>
            </w:r>
          </w:p>
          <w:p w14:paraId="6DE3E706" w14:textId="77777777" w:rsidR="00EC5B70" w:rsidRPr="00B57019" w:rsidRDefault="00EC5B70" w:rsidP="00AB10FF">
            <w:pPr>
              <w:pStyle w:val="ListParagraph"/>
              <w:spacing w:after="0"/>
              <w:ind w:left="1134"/>
              <w:jc w:val="both"/>
              <w:rPr>
                <w:rFonts w:ascii="Times New Roman" w:hAnsi="Times New Roman"/>
              </w:rPr>
            </w:pPr>
          </w:p>
          <w:p w14:paraId="5B22CBFC" w14:textId="26AF943D" w:rsidR="00EC5B70" w:rsidRPr="00B57019" w:rsidRDefault="00AB10FF" w:rsidP="00AB10FF">
            <w:pPr>
              <w:jc w:val="both"/>
            </w:pPr>
            <w:r w:rsidRPr="00B57019">
              <w:t xml:space="preserve">2. </w:t>
            </w:r>
            <w:r w:rsidR="00EC5B70" w:rsidRPr="00B57019">
              <w:t>Pievienot papildu pielikumu, kurā ir detalizēti aprēķini, tabulā nepieciešams atspoguļot šādu informāciju par katru ministriju:</w:t>
            </w:r>
          </w:p>
          <w:p w14:paraId="61A149E0" w14:textId="5004BBFA" w:rsidR="00AB10FF" w:rsidRPr="00B57019" w:rsidRDefault="00AB10FF" w:rsidP="00AB10FF">
            <w:pPr>
              <w:jc w:val="both"/>
            </w:pPr>
            <w:r w:rsidRPr="00B57019">
              <w:t xml:space="preserve">1) </w:t>
            </w:r>
            <w:r w:rsidR="00EC5B70" w:rsidRPr="00B57019">
              <w:t>kāds ietaupījums rodas saistībā ar ziņojumā minēto atbalsta funkciju samazināšanu un ar to saistīto personālu (lietveži, iepirkuma speciālisti, juristi u. tml.), pievienojot atlīdzības aprēķinu šīm amata vietām;</w:t>
            </w:r>
          </w:p>
          <w:p w14:paraId="37136490" w14:textId="60AC5490" w:rsidR="00EC5B70" w:rsidRPr="00B57019" w:rsidRDefault="00AB10FF" w:rsidP="00AB10FF">
            <w:pPr>
              <w:jc w:val="both"/>
            </w:pPr>
            <w:r w:rsidRPr="00B57019">
              <w:t xml:space="preserve">2) </w:t>
            </w:r>
            <w:r w:rsidR="00EC5B70" w:rsidRPr="00B57019">
              <w:t>detalizētu aprēķinu par amata vietām, kuras VARAM plāno pārdalīt (IT personāls), pievienojot atlīdzības aprēķinu šīm amata vietām.</w:t>
            </w:r>
          </w:p>
          <w:p w14:paraId="7E05BDCD" w14:textId="77777777" w:rsidR="00EC5B70" w:rsidRPr="00B57019" w:rsidRDefault="00EC5B70" w:rsidP="00EC5B70">
            <w:pPr>
              <w:ind w:firstLine="720"/>
              <w:jc w:val="both"/>
              <w:rPr>
                <w:lang w:val="x-none"/>
              </w:rPr>
            </w:pPr>
            <w:r w:rsidRPr="00B57019">
              <w:rPr>
                <w:lang w:val="x-none"/>
              </w:rPr>
              <w:t>Ņemot vērā 2018.</w:t>
            </w:r>
            <w:r w:rsidRPr="00B57019">
              <w:t> </w:t>
            </w:r>
            <w:r w:rsidRPr="00B57019">
              <w:rPr>
                <w:lang w:val="x-none"/>
              </w:rPr>
              <w:t>gada 13.decem</w:t>
            </w:r>
            <w:r w:rsidRPr="00B57019">
              <w:t>b</w:t>
            </w:r>
            <w:r w:rsidRPr="00B57019">
              <w:rPr>
                <w:lang w:val="x-none"/>
              </w:rPr>
              <w:t>ra Valsts sekretāru sanāksmē (prot. Nr.</w:t>
            </w:r>
            <w:r w:rsidRPr="00B57019">
              <w:t> </w:t>
            </w:r>
            <w:r w:rsidRPr="00B57019">
              <w:rPr>
                <w:lang w:val="x-none"/>
              </w:rPr>
              <w:t>49 36.</w:t>
            </w:r>
            <w:r w:rsidRPr="00B57019">
              <w:t> </w:t>
            </w:r>
            <w:r w:rsidRPr="00B57019">
              <w:rPr>
                <w:lang w:val="x-none"/>
              </w:rPr>
              <w:t>§ 7.</w:t>
            </w:r>
            <w:r w:rsidRPr="00B57019">
              <w:t> </w:t>
            </w:r>
            <w:r w:rsidRPr="00B57019">
              <w:rPr>
                <w:lang w:val="x-none"/>
              </w:rPr>
              <w:t>punkts) noteikto, ka Aizsardzības ministrijai ir jāorganizē centralizētais degvielas iepirkums valstī, tad šobrīd notiek darbs pie šī papildu uzdevuma izvērtēšanas: tiek veikti aprēķini nepieciešamajiem papildu finanšu un cilvēkresursiem, lai varētu sekmīgi veikt šo uzdevumu. Tāpēc šobrīd nevaram atbalstīt cilvēkresursu un finanšu resursu pārdali uz citām institūcijām, jo AM un citas ministrijas uzdevumus, kas tām uzdoti valsts funkciju centralizācijas politikas ietvaros, realizē sev piešķirto resursu ietvaros vai piesaka kā budžeta prioritātes. Arī no šī viedokļa VARAM piedāvātais risinājums neatbilst vispārpieņemtajiem budžeta veidošanas principiem un praksei.</w:t>
            </w:r>
          </w:p>
          <w:p w14:paraId="0AAB033F" w14:textId="4E3503FC" w:rsidR="00EC5B70" w:rsidRPr="00B57019" w:rsidRDefault="00EC5B70" w:rsidP="00AB10FF">
            <w:pPr>
              <w:ind w:firstLine="720"/>
              <w:jc w:val="both"/>
            </w:pPr>
            <w:r w:rsidRPr="00B57019">
              <w:t xml:space="preserve">Aizsardzības ministrija būtu pateicīga saņemt sarakstu ar centralizētajiem iepirkumiem, ko VARAM varētu nodot AM īstenošanai un tālākai ieviešanai EIS, lai varētu izanalizēt apjomu un sniegt galīgo viedokli. </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B427F3" w14:textId="77777777" w:rsidR="00EC5B70" w:rsidRPr="00B57019" w:rsidRDefault="000123C4" w:rsidP="00B03F98">
            <w:pPr>
              <w:pStyle w:val="PlainText"/>
              <w:jc w:val="both"/>
              <w:rPr>
                <w:rFonts w:ascii="Times New Roman" w:hAnsi="Times New Roman"/>
                <w:sz w:val="24"/>
                <w:szCs w:val="24"/>
              </w:rPr>
            </w:pPr>
            <w:r w:rsidRPr="00B57019">
              <w:rPr>
                <w:rFonts w:ascii="Times New Roman" w:hAnsi="Times New Roman"/>
                <w:b/>
                <w:bCs/>
                <w:sz w:val="24"/>
                <w:szCs w:val="24"/>
              </w:rPr>
              <w:t>Iebildums nav ņemts vērā</w:t>
            </w:r>
            <w:r w:rsidRPr="00B57019">
              <w:rPr>
                <w:rFonts w:ascii="Times New Roman" w:hAnsi="Times New Roman"/>
                <w:sz w:val="24"/>
                <w:szCs w:val="24"/>
              </w:rPr>
              <w:t>.</w:t>
            </w:r>
          </w:p>
          <w:p w14:paraId="596D79D4" w14:textId="77777777" w:rsidR="00BF33FE" w:rsidRPr="00B57019" w:rsidRDefault="00BF33FE" w:rsidP="00BF33FE">
            <w:pPr>
              <w:jc w:val="both"/>
            </w:pPr>
            <w:r w:rsidRPr="00B57019">
              <w:t>Iebildums nav ņemts vērā, jo:</w:t>
            </w:r>
          </w:p>
          <w:p w14:paraId="57E7B113" w14:textId="77777777" w:rsidR="00BF33FE" w:rsidRPr="00B57019" w:rsidRDefault="00BF33FE" w:rsidP="00BF33FE">
            <w:pPr>
              <w:jc w:val="both"/>
            </w:pPr>
            <w:r w:rsidRPr="00B57019">
              <w:t>- kopējie EIS rādītāji ir pa gadiem ir pieejami 1.pielikumā;</w:t>
            </w:r>
          </w:p>
          <w:p w14:paraId="6E8117CA" w14:textId="77777777" w:rsidR="00BF33FE" w:rsidRPr="00B57019" w:rsidRDefault="00BF33FE" w:rsidP="00BF33FE">
            <w:pPr>
              <w:jc w:val="both"/>
            </w:pPr>
            <w:r w:rsidRPr="00B57019">
              <w:t>- ņemot vērā, ka no Aizsardzības ministrijas un padotības institūcijām regulāri tiek saņemti pieprasījumi par e-katalogu papildināšanu ar jaunām precēm un pakalpojumiem, nav pamata uzskatīt, ka samazināsies EIS lietošanas rādītāji no AM puses, savukārt pieauguma prognoze, balstoties uz tendences aprēķiniem, pamatotu pārdali lielos apjomos;</w:t>
            </w:r>
          </w:p>
          <w:p w14:paraId="697AA42E" w14:textId="77777777" w:rsidR="00BF33FE" w:rsidRPr="00B57019" w:rsidRDefault="00BF33FE" w:rsidP="00BF33FE">
            <w:pPr>
              <w:jc w:val="both"/>
            </w:pPr>
            <w:r w:rsidRPr="00B57019">
              <w:t xml:space="preserve">- turklāt līdz š.g. 12. augustam AM apgrozījums EIS ietvaros sasniedza  4528996,96 </w:t>
            </w:r>
            <w:r w:rsidRPr="00B57019">
              <w:rPr>
                <w:i/>
              </w:rPr>
              <w:t>euro</w:t>
            </w:r>
            <w:r w:rsidRPr="00B57019">
              <w:t xml:space="preserve">, kas ir par 10% vairāk par attiecīgā perioda 2018. gada datiem (4109305,15 </w:t>
            </w:r>
            <w:r w:rsidRPr="00B57019">
              <w:rPr>
                <w:i/>
              </w:rPr>
              <w:t>euro</w:t>
            </w:r>
            <w:r w:rsidRPr="00B57019">
              <w:t xml:space="preserve">).  </w:t>
            </w:r>
          </w:p>
          <w:p w14:paraId="6C230D06" w14:textId="77777777" w:rsidR="00BF33FE" w:rsidRPr="00B57019" w:rsidRDefault="00BF33FE" w:rsidP="00B03F98">
            <w:pPr>
              <w:pStyle w:val="PlainText"/>
              <w:jc w:val="both"/>
              <w:rPr>
                <w:rFonts w:ascii="Times New Roman" w:hAnsi="Times New Roman"/>
                <w:b/>
                <w:sz w:val="24"/>
                <w:szCs w:val="24"/>
                <w:lang w:val="lv-LV"/>
              </w:rPr>
            </w:pPr>
          </w:p>
          <w:p w14:paraId="17B78AC8" w14:textId="77777777" w:rsidR="00EE5698" w:rsidRPr="00B57019" w:rsidRDefault="00EE5698" w:rsidP="00B03F98">
            <w:pPr>
              <w:pStyle w:val="PlainText"/>
              <w:jc w:val="both"/>
              <w:rPr>
                <w:rFonts w:ascii="Times New Roman" w:hAnsi="Times New Roman"/>
                <w:b/>
                <w:sz w:val="24"/>
                <w:szCs w:val="24"/>
                <w:lang w:val="lv-LV"/>
              </w:rPr>
            </w:pPr>
          </w:p>
          <w:p w14:paraId="7753C7D6" w14:textId="77777777" w:rsidR="00EE5698" w:rsidRPr="00B57019" w:rsidRDefault="00EE5698" w:rsidP="00B03F98">
            <w:pPr>
              <w:pStyle w:val="PlainText"/>
              <w:jc w:val="both"/>
              <w:rPr>
                <w:rFonts w:ascii="Times New Roman" w:hAnsi="Times New Roman"/>
                <w:b/>
                <w:sz w:val="24"/>
                <w:szCs w:val="24"/>
                <w:lang w:val="lv-LV"/>
              </w:rPr>
            </w:pPr>
          </w:p>
          <w:p w14:paraId="64264AE3" w14:textId="77777777" w:rsidR="00EE5698" w:rsidRPr="00B57019" w:rsidRDefault="00EE5698" w:rsidP="00B03F98">
            <w:pPr>
              <w:pStyle w:val="PlainText"/>
              <w:jc w:val="both"/>
              <w:rPr>
                <w:rFonts w:ascii="Times New Roman" w:hAnsi="Times New Roman"/>
                <w:b/>
                <w:sz w:val="24"/>
                <w:szCs w:val="24"/>
                <w:lang w:val="lv-LV"/>
              </w:rPr>
            </w:pPr>
          </w:p>
          <w:p w14:paraId="2C13C0E8" w14:textId="77777777" w:rsidR="00EE5698" w:rsidRPr="00B57019" w:rsidRDefault="00EE5698" w:rsidP="00B03F98">
            <w:pPr>
              <w:pStyle w:val="PlainText"/>
              <w:jc w:val="both"/>
              <w:rPr>
                <w:rFonts w:ascii="Times New Roman" w:hAnsi="Times New Roman"/>
                <w:b/>
                <w:sz w:val="24"/>
                <w:szCs w:val="24"/>
                <w:lang w:val="lv-LV"/>
              </w:rPr>
            </w:pPr>
          </w:p>
          <w:p w14:paraId="0CDC40FA" w14:textId="77777777" w:rsidR="00EE5698" w:rsidRPr="00B57019" w:rsidRDefault="00EE5698" w:rsidP="00B03F98">
            <w:pPr>
              <w:pStyle w:val="PlainText"/>
              <w:jc w:val="both"/>
              <w:rPr>
                <w:rFonts w:ascii="Times New Roman" w:hAnsi="Times New Roman"/>
                <w:b/>
                <w:sz w:val="24"/>
                <w:szCs w:val="24"/>
                <w:lang w:val="lv-LV"/>
              </w:rPr>
            </w:pPr>
          </w:p>
          <w:p w14:paraId="78B56F3D" w14:textId="77777777" w:rsidR="00EE5698" w:rsidRPr="00B57019" w:rsidRDefault="00EE5698" w:rsidP="00B03F98">
            <w:pPr>
              <w:pStyle w:val="PlainText"/>
              <w:jc w:val="both"/>
              <w:rPr>
                <w:rFonts w:ascii="Times New Roman" w:hAnsi="Times New Roman"/>
                <w:b/>
                <w:sz w:val="24"/>
                <w:szCs w:val="24"/>
                <w:lang w:val="lv-LV"/>
              </w:rPr>
            </w:pPr>
          </w:p>
          <w:p w14:paraId="63796EBE" w14:textId="77777777" w:rsidR="00EE5698" w:rsidRPr="00B57019" w:rsidRDefault="00EE5698" w:rsidP="00B03F98">
            <w:pPr>
              <w:pStyle w:val="PlainText"/>
              <w:jc w:val="both"/>
              <w:rPr>
                <w:rFonts w:ascii="Times New Roman" w:hAnsi="Times New Roman"/>
                <w:b/>
                <w:sz w:val="24"/>
                <w:szCs w:val="24"/>
                <w:lang w:val="lv-LV"/>
              </w:rPr>
            </w:pPr>
          </w:p>
          <w:p w14:paraId="449A6B54" w14:textId="77777777" w:rsidR="00EE5698" w:rsidRPr="00B57019" w:rsidRDefault="00EE5698" w:rsidP="00B03F98">
            <w:pPr>
              <w:pStyle w:val="PlainText"/>
              <w:jc w:val="both"/>
              <w:rPr>
                <w:rFonts w:ascii="Times New Roman" w:hAnsi="Times New Roman"/>
                <w:b/>
                <w:sz w:val="24"/>
                <w:szCs w:val="24"/>
                <w:lang w:val="lv-LV"/>
              </w:rPr>
            </w:pPr>
          </w:p>
          <w:p w14:paraId="73145C77" w14:textId="77777777" w:rsidR="00EE5698" w:rsidRPr="00B57019" w:rsidRDefault="00EE5698" w:rsidP="00B03F98">
            <w:pPr>
              <w:pStyle w:val="PlainText"/>
              <w:jc w:val="both"/>
              <w:rPr>
                <w:rFonts w:ascii="Times New Roman" w:hAnsi="Times New Roman"/>
                <w:b/>
                <w:sz w:val="24"/>
                <w:szCs w:val="24"/>
                <w:lang w:val="lv-LV"/>
              </w:rPr>
            </w:pPr>
          </w:p>
          <w:p w14:paraId="6F2C3119" w14:textId="77777777" w:rsidR="00EE5698" w:rsidRPr="00B57019" w:rsidRDefault="00EE5698" w:rsidP="00B03F98">
            <w:pPr>
              <w:pStyle w:val="PlainText"/>
              <w:jc w:val="both"/>
              <w:rPr>
                <w:rFonts w:ascii="Times New Roman" w:hAnsi="Times New Roman"/>
                <w:b/>
                <w:sz w:val="24"/>
                <w:szCs w:val="24"/>
                <w:lang w:val="lv-LV"/>
              </w:rPr>
            </w:pPr>
          </w:p>
          <w:p w14:paraId="0D646D44" w14:textId="77777777" w:rsidR="00EE5698" w:rsidRPr="00B57019" w:rsidRDefault="00EE5698" w:rsidP="00B03F98">
            <w:pPr>
              <w:pStyle w:val="PlainText"/>
              <w:jc w:val="both"/>
              <w:rPr>
                <w:rFonts w:ascii="Times New Roman" w:hAnsi="Times New Roman"/>
                <w:b/>
                <w:sz w:val="24"/>
                <w:szCs w:val="24"/>
                <w:lang w:val="lv-LV"/>
              </w:rPr>
            </w:pPr>
          </w:p>
          <w:p w14:paraId="60C093CE" w14:textId="77777777" w:rsidR="00EE5698" w:rsidRPr="00B57019" w:rsidRDefault="00EE5698" w:rsidP="00B03F98">
            <w:pPr>
              <w:pStyle w:val="PlainText"/>
              <w:jc w:val="both"/>
              <w:rPr>
                <w:rFonts w:ascii="Times New Roman" w:hAnsi="Times New Roman"/>
                <w:b/>
                <w:sz w:val="24"/>
                <w:szCs w:val="24"/>
                <w:lang w:val="lv-LV"/>
              </w:rPr>
            </w:pPr>
          </w:p>
          <w:p w14:paraId="56F33853" w14:textId="77777777" w:rsidR="00EE5698" w:rsidRPr="00B57019" w:rsidRDefault="00EE5698" w:rsidP="00B03F98">
            <w:pPr>
              <w:pStyle w:val="PlainText"/>
              <w:jc w:val="both"/>
              <w:rPr>
                <w:rFonts w:ascii="Times New Roman" w:hAnsi="Times New Roman"/>
                <w:b/>
                <w:sz w:val="24"/>
                <w:szCs w:val="24"/>
                <w:lang w:val="lv-LV"/>
              </w:rPr>
            </w:pPr>
          </w:p>
          <w:p w14:paraId="4BC4B6F9" w14:textId="77777777" w:rsidR="00EE5698" w:rsidRPr="00B57019" w:rsidRDefault="00EE5698" w:rsidP="00B03F98">
            <w:pPr>
              <w:pStyle w:val="PlainText"/>
              <w:jc w:val="both"/>
              <w:rPr>
                <w:rFonts w:ascii="Times New Roman" w:hAnsi="Times New Roman"/>
                <w:b/>
                <w:sz w:val="24"/>
                <w:szCs w:val="24"/>
                <w:lang w:val="lv-LV"/>
              </w:rPr>
            </w:pPr>
          </w:p>
          <w:p w14:paraId="54AC3ABC" w14:textId="77777777" w:rsidR="00EE5698" w:rsidRPr="00B57019" w:rsidRDefault="00EE5698" w:rsidP="00B03F98">
            <w:pPr>
              <w:pStyle w:val="PlainText"/>
              <w:jc w:val="both"/>
              <w:rPr>
                <w:rFonts w:ascii="Times New Roman" w:hAnsi="Times New Roman"/>
                <w:b/>
                <w:sz w:val="24"/>
                <w:szCs w:val="24"/>
                <w:lang w:val="lv-LV"/>
              </w:rPr>
            </w:pPr>
          </w:p>
          <w:p w14:paraId="6E5614B0" w14:textId="77777777" w:rsidR="00EE5698" w:rsidRPr="00B57019" w:rsidRDefault="00EE5698" w:rsidP="00B03F98">
            <w:pPr>
              <w:pStyle w:val="PlainText"/>
              <w:jc w:val="both"/>
              <w:rPr>
                <w:rFonts w:ascii="Times New Roman" w:hAnsi="Times New Roman"/>
                <w:b/>
                <w:sz w:val="24"/>
                <w:szCs w:val="24"/>
                <w:lang w:val="lv-LV"/>
              </w:rPr>
            </w:pPr>
          </w:p>
          <w:p w14:paraId="77648E55" w14:textId="77777777" w:rsidR="00EE5698" w:rsidRPr="00B57019" w:rsidRDefault="00EE5698" w:rsidP="00B03F98">
            <w:pPr>
              <w:pStyle w:val="PlainText"/>
              <w:jc w:val="both"/>
              <w:rPr>
                <w:rFonts w:ascii="Times New Roman" w:hAnsi="Times New Roman"/>
                <w:b/>
                <w:sz w:val="24"/>
                <w:szCs w:val="24"/>
                <w:lang w:val="lv-LV"/>
              </w:rPr>
            </w:pPr>
          </w:p>
          <w:p w14:paraId="67B55062" w14:textId="77777777" w:rsidR="00EE5698" w:rsidRPr="00B57019" w:rsidRDefault="00EE5698" w:rsidP="00B03F98">
            <w:pPr>
              <w:pStyle w:val="PlainText"/>
              <w:jc w:val="both"/>
              <w:rPr>
                <w:rFonts w:ascii="Times New Roman" w:hAnsi="Times New Roman"/>
                <w:b/>
                <w:sz w:val="24"/>
                <w:szCs w:val="24"/>
                <w:lang w:val="lv-LV"/>
              </w:rPr>
            </w:pPr>
          </w:p>
          <w:p w14:paraId="31D9A308" w14:textId="77777777" w:rsidR="00EE5698" w:rsidRPr="00B57019" w:rsidRDefault="00EE5698" w:rsidP="00B03F98">
            <w:pPr>
              <w:pStyle w:val="PlainText"/>
              <w:jc w:val="both"/>
              <w:rPr>
                <w:rFonts w:ascii="Times New Roman" w:hAnsi="Times New Roman"/>
                <w:b/>
                <w:sz w:val="24"/>
                <w:szCs w:val="24"/>
                <w:lang w:val="lv-LV"/>
              </w:rPr>
            </w:pPr>
          </w:p>
          <w:p w14:paraId="0550452C" w14:textId="77777777" w:rsidR="00EE5698" w:rsidRPr="00B57019" w:rsidRDefault="00EE5698" w:rsidP="00B03F98">
            <w:pPr>
              <w:pStyle w:val="PlainText"/>
              <w:jc w:val="both"/>
              <w:rPr>
                <w:rFonts w:ascii="Times New Roman" w:hAnsi="Times New Roman"/>
                <w:b/>
                <w:sz w:val="24"/>
                <w:szCs w:val="24"/>
                <w:lang w:val="lv-LV"/>
              </w:rPr>
            </w:pPr>
          </w:p>
          <w:p w14:paraId="737A6599" w14:textId="77777777" w:rsidR="00EE5698" w:rsidRPr="00B57019" w:rsidRDefault="00EE5698" w:rsidP="00B03F98">
            <w:pPr>
              <w:pStyle w:val="PlainText"/>
              <w:jc w:val="both"/>
              <w:rPr>
                <w:rFonts w:ascii="Times New Roman" w:hAnsi="Times New Roman"/>
                <w:b/>
                <w:sz w:val="24"/>
                <w:szCs w:val="24"/>
                <w:lang w:val="lv-LV"/>
              </w:rPr>
            </w:pPr>
          </w:p>
          <w:p w14:paraId="39989CC3" w14:textId="77777777" w:rsidR="00EE5698" w:rsidRPr="00B57019" w:rsidRDefault="00EE5698" w:rsidP="00B03F98">
            <w:pPr>
              <w:pStyle w:val="PlainText"/>
              <w:jc w:val="both"/>
              <w:rPr>
                <w:rFonts w:ascii="Times New Roman" w:hAnsi="Times New Roman"/>
                <w:b/>
                <w:sz w:val="24"/>
                <w:szCs w:val="24"/>
                <w:lang w:val="lv-LV"/>
              </w:rPr>
            </w:pPr>
          </w:p>
          <w:p w14:paraId="2EC2BA2F" w14:textId="77777777" w:rsidR="00EE5698" w:rsidRPr="00B57019" w:rsidRDefault="00EE5698" w:rsidP="00B03F98">
            <w:pPr>
              <w:pStyle w:val="PlainText"/>
              <w:jc w:val="both"/>
              <w:rPr>
                <w:rFonts w:ascii="Times New Roman" w:hAnsi="Times New Roman"/>
                <w:b/>
                <w:sz w:val="24"/>
                <w:szCs w:val="24"/>
                <w:lang w:val="lv-LV"/>
              </w:rPr>
            </w:pPr>
          </w:p>
          <w:p w14:paraId="7F6D72A4" w14:textId="77777777" w:rsidR="00EE5698" w:rsidRPr="00B57019" w:rsidRDefault="00EE5698" w:rsidP="00EE5698">
            <w:pPr>
              <w:spacing w:line="259" w:lineRule="auto"/>
              <w:jc w:val="both"/>
            </w:pPr>
            <w:r w:rsidRPr="00B57019">
              <w:t>Informatīvais ziņojums ir par cilvēkresursiem, nevis finanšu resursiem.</w:t>
            </w:r>
          </w:p>
          <w:p w14:paraId="707A18E8" w14:textId="77777777" w:rsidR="00EE5698" w:rsidRPr="00B57019" w:rsidRDefault="00EE5698" w:rsidP="00B03F98">
            <w:pPr>
              <w:pStyle w:val="PlainText"/>
              <w:jc w:val="both"/>
              <w:rPr>
                <w:rFonts w:ascii="Times New Roman" w:hAnsi="Times New Roman"/>
                <w:b/>
                <w:sz w:val="24"/>
                <w:szCs w:val="24"/>
                <w:lang w:val="lv-LV"/>
              </w:rPr>
            </w:pPr>
          </w:p>
          <w:p w14:paraId="171A627C" w14:textId="77777777" w:rsidR="00EE5698" w:rsidRPr="00B57019" w:rsidRDefault="00EE5698" w:rsidP="00B03F98">
            <w:pPr>
              <w:pStyle w:val="PlainText"/>
              <w:jc w:val="both"/>
              <w:rPr>
                <w:rFonts w:ascii="Times New Roman" w:hAnsi="Times New Roman"/>
                <w:b/>
                <w:sz w:val="24"/>
                <w:szCs w:val="24"/>
                <w:lang w:val="lv-LV"/>
              </w:rPr>
            </w:pPr>
          </w:p>
          <w:p w14:paraId="6A40FF98" w14:textId="77777777" w:rsidR="00EE5698" w:rsidRPr="00B57019" w:rsidRDefault="00EE5698" w:rsidP="00B03F98">
            <w:pPr>
              <w:pStyle w:val="PlainText"/>
              <w:jc w:val="both"/>
              <w:rPr>
                <w:rFonts w:ascii="Times New Roman" w:hAnsi="Times New Roman"/>
                <w:b/>
                <w:sz w:val="24"/>
                <w:szCs w:val="24"/>
                <w:lang w:val="lv-LV"/>
              </w:rPr>
            </w:pPr>
          </w:p>
          <w:p w14:paraId="5A9A4E2C" w14:textId="77777777" w:rsidR="00EE5698" w:rsidRPr="00B57019" w:rsidRDefault="00EE5698" w:rsidP="00B03F98">
            <w:pPr>
              <w:pStyle w:val="PlainText"/>
              <w:jc w:val="both"/>
              <w:rPr>
                <w:rFonts w:ascii="Times New Roman" w:hAnsi="Times New Roman"/>
                <w:b/>
                <w:sz w:val="24"/>
                <w:szCs w:val="24"/>
                <w:lang w:val="lv-LV"/>
              </w:rPr>
            </w:pPr>
          </w:p>
          <w:p w14:paraId="6CB5D3A9" w14:textId="77777777" w:rsidR="00EE5698" w:rsidRPr="00B57019" w:rsidRDefault="00EE5698" w:rsidP="00B03F98">
            <w:pPr>
              <w:pStyle w:val="PlainText"/>
              <w:jc w:val="both"/>
              <w:rPr>
                <w:rFonts w:ascii="Times New Roman" w:hAnsi="Times New Roman"/>
                <w:b/>
                <w:sz w:val="24"/>
                <w:szCs w:val="24"/>
                <w:lang w:val="lv-LV"/>
              </w:rPr>
            </w:pPr>
          </w:p>
          <w:p w14:paraId="1685E6E5" w14:textId="77777777" w:rsidR="00EE5698" w:rsidRPr="00B57019" w:rsidRDefault="00EE5698" w:rsidP="00B03F98">
            <w:pPr>
              <w:pStyle w:val="PlainText"/>
              <w:jc w:val="both"/>
              <w:rPr>
                <w:rFonts w:ascii="Times New Roman" w:hAnsi="Times New Roman"/>
                <w:b/>
                <w:sz w:val="24"/>
                <w:szCs w:val="24"/>
                <w:lang w:val="lv-LV"/>
              </w:rPr>
            </w:pPr>
          </w:p>
          <w:p w14:paraId="29F79345" w14:textId="77777777" w:rsidR="00EE5698" w:rsidRPr="00B57019" w:rsidRDefault="00EE5698" w:rsidP="00B03F98">
            <w:pPr>
              <w:pStyle w:val="PlainText"/>
              <w:jc w:val="both"/>
              <w:rPr>
                <w:rFonts w:ascii="Times New Roman" w:hAnsi="Times New Roman"/>
                <w:b/>
                <w:sz w:val="24"/>
                <w:szCs w:val="24"/>
                <w:lang w:val="lv-LV"/>
              </w:rPr>
            </w:pPr>
          </w:p>
          <w:p w14:paraId="19D97AC3" w14:textId="77777777" w:rsidR="00EE5698" w:rsidRPr="00B57019" w:rsidRDefault="00EE5698" w:rsidP="00B03F98">
            <w:pPr>
              <w:pStyle w:val="PlainText"/>
              <w:jc w:val="both"/>
              <w:rPr>
                <w:rFonts w:ascii="Times New Roman" w:hAnsi="Times New Roman"/>
                <w:b/>
                <w:sz w:val="24"/>
                <w:szCs w:val="24"/>
                <w:lang w:val="lv-LV"/>
              </w:rPr>
            </w:pPr>
          </w:p>
          <w:p w14:paraId="7ACD919A" w14:textId="77777777" w:rsidR="00EE5698" w:rsidRPr="00B57019" w:rsidRDefault="00EE5698" w:rsidP="00EE5698">
            <w:pPr>
              <w:spacing w:line="259" w:lineRule="auto"/>
              <w:jc w:val="both"/>
            </w:pPr>
          </w:p>
          <w:p w14:paraId="3B57AF77" w14:textId="77777777" w:rsidR="00EE5698" w:rsidRPr="00B57019" w:rsidRDefault="00EE5698" w:rsidP="00EE5698">
            <w:pPr>
              <w:spacing w:line="259" w:lineRule="auto"/>
              <w:jc w:val="both"/>
            </w:pPr>
          </w:p>
          <w:p w14:paraId="2DF33F13" w14:textId="77777777" w:rsidR="00EE5698" w:rsidRPr="00B57019" w:rsidRDefault="00EE5698" w:rsidP="00EE5698">
            <w:pPr>
              <w:spacing w:line="259" w:lineRule="auto"/>
              <w:jc w:val="both"/>
            </w:pPr>
          </w:p>
          <w:p w14:paraId="67C78362" w14:textId="77777777" w:rsidR="00EE5698" w:rsidRPr="00B57019" w:rsidRDefault="00EE5698" w:rsidP="00EE5698">
            <w:pPr>
              <w:spacing w:line="259" w:lineRule="auto"/>
              <w:jc w:val="both"/>
            </w:pPr>
          </w:p>
          <w:p w14:paraId="6C082B61" w14:textId="77777777" w:rsidR="00EE5698" w:rsidRPr="00B57019" w:rsidRDefault="00EE5698" w:rsidP="00EE5698">
            <w:pPr>
              <w:spacing w:line="259" w:lineRule="auto"/>
              <w:jc w:val="both"/>
            </w:pPr>
          </w:p>
          <w:p w14:paraId="10750DD8" w14:textId="77777777" w:rsidR="00EE5698" w:rsidRPr="00B57019" w:rsidRDefault="00EE5698" w:rsidP="00EE5698">
            <w:pPr>
              <w:spacing w:line="259" w:lineRule="auto"/>
              <w:jc w:val="both"/>
            </w:pPr>
          </w:p>
          <w:p w14:paraId="1F898C06" w14:textId="77777777" w:rsidR="00EE5698" w:rsidRPr="00B57019" w:rsidRDefault="00EE5698" w:rsidP="00EE5698">
            <w:pPr>
              <w:spacing w:line="259" w:lineRule="auto"/>
              <w:jc w:val="both"/>
            </w:pPr>
            <w:r w:rsidRPr="00B57019">
              <w:t>Informatīvais ziņojums ir par papildu nepieciešamo cilvēkresursu, kas balstīts uz cilvēkresursu ietaupījumiem citās iestādēs. Esošā finanšu resursu un darbinieku skaita informācija nesniedz papildu pievienoto vērtību šī ziņojuma kontekstā, tomēr tā ir publiska informācija un ar to var iepazīties VRAA mājas lapā.</w:t>
            </w:r>
          </w:p>
          <w:p w14:paraId="13EC3291" w14:textId="77777777" w:rsidR="00EE5698" w:rsidRPr="00B57019" w:rsidRDefault="00EE5698" w:rsidP="00B03F98">
            <w:pPr>
              <w:pStyle w:val="PlainText"/>
              <w:jc w:val="both"/>
              <w:rPr>
                <w:rFonts w:ascii="Times New Roman" w:hAnsi="Times New Roman"/>
                <w:b/>
                <w:sz w:val="24"/>
                <w:szCs w:val="24"/>
                <w:lang w:val="lv-LV"/>
              </w:rPr>
            </w:pPr>
          </w:p>
          <w:p w14:paraId="675C9441" w14:textId="77777777" w:rsidR="00EE5698" w:rsidRPr="00B57019" w:rsidRDefault="00EE5698" w:rsidP="00B03F98">
            <w:pPr>
              <w:pStyle w:val="PlainText"/>
              <w:jc w:val="both"/>
              <w:rPr>
                <w:rFonts w:ascii="Times New Roman" w:hAnsi="Times New Roman"/>
                <w:b/>
                <w:sz w:val="24"/>
                <w:szCs w:val="24"/>
                <w:lang w:val="lv-LV"/>
              </w:rPr>
            </w:pPr>
          </w:p>
          <w:p w14:paraId="65B06890" w14:textId="77777777" w:rsidR="00EE5698" w:rsidRPr="00B57019" w:rsidRDefault="00EE5698" w:rsidP="00B03F98">
            <w:pPr>
              <w:pStyle w:val="PlainText"/>
              <w:jc w:val="both"/>
              <w:rPr>
                <w:rFonts w:ascii="Times New Roman" w:hAnsi="Times New Roman"/>
                <w:b/>
                <w:sz w:val="24"/>
                <w:szCs w:val="24"/>
                <w:lang w:val="lv-LV"/>
              </w:rPr>
            </w:pPr>
          </w:p>
          <w:p w14:paraId="3BA84C2E" w14:textId="77777777" w:rsidR="00EE5698" w:rsidRPr="00B57019" w:rsidRDefault="00EE5698" w:rsidP="00B03F98">
            <w:pPr>
              <w:pStyle w:val="PlainText"/>
              <w:jc w:val="both"/>
              <w:rPr>
                <w:rFonts w:ascii="Times New Roman" w:hAnsi="Times New Roman"/>
                <w:b/>
                <w:sz w:val="24"/>
                <w:szCs w:val="24"/>
                <w:lang w:val="lv-LV"/>
              </w:rPr>
            </w:pPr>
          </w:p>
          <w:p w14:paraId="427F61D1" w14:textId="77777777" w:rsidR="00EE5698" w:rsidRPr="00B57019" w:rsidRDefault="00EE5698" w:rsidP="00B03F98">
            <w:pPr>
              <w:pStyle w:val="PlainText"/>
              <w:jc w:val="both"/>
              <w:rPr>
                <w:rFonts w:ascii="Times New Roman" w:hAnsi="Times New Roman"/>
                <w:b/>
                <w:sz w:val="24"/>
                <w:szCs w:val="24"/>
                <w:lang w:val="lv-LV"/>
              </w:rPr>
            </w:pPr>
          </w:p>
          <w:p w14:paraId="2BD8785A" w14:textId="77777777" w:rsidR="00EE5698" w:rsidRPr="00B57019" w:rsidRDefault="00EE5698" w:rsidP="00B03F98">
            <w:pPr>
              <w:pStyle w:val="PlainText"/>
              <w:jc w:val="both"/>
              <w:rPr>
                <w:rFonts w:ascii="Times New Roman" w:hAnsi="Times New Roman"/>
                <w:b/>
                <w:sz w:val="24"/>
                <w:szCs w:val="24"/>
                <w:lang w:val="lv-LV"/>
              </w:rPr>
            </w:pPr>
          </w:p>
          <w:p w14:paraId="3656E369" w14:textId="77777777" w:rsidR="00EE5698" w:rsidRPr="00B57019" w:rsidRDefault="00EE5698" w:rsidP="00B03F98">
            <w:pPr>
              <w:pStyle w:val="PlainText"/>
              <w:jc w:val="both"/>
              <w:rPr>
                <w:rFonts w:ascii="Times New Roman" w:hAnsi="Times New Roman"/>
                <w:b/>
                <w:sz w:val="24"/>
                <w:szCs w:val="24"/>
                <w:lang w:val="lv-LV"/>
              </w:rPr>
            </w:pPr>
          </w:p>
          <w:p w14:paraId="3E5F15FA" w14:textId="77777777" w:rsidR="00EE5698" w:rsidRPr="00B57019" w:rsidRDefault="00EE5698" w:rsidP="00B03F98">
            <w:pPr>
              <w:pStyle w:val="PlainText"/>
              <w:jc w:val="both"/>
              <w:rPr>
                <w:rFonts w:ascii="Times New Roman" w:hAnsi="Times New Roman"/>
                <w:b/>
                <w:sz w:val="24"/>
                <w:szCs w:val="24"/>
                <w:lang w:val="lv-LV"/>
              </w:rPr>
            </w:pPr>
          </w:p>
          <w:p w14:paraId="60DAE1B3" w14:textId="77777777" w:rsidR="00EE5698" w:rsidRPr="00B57019" w:rsidRDefault="00EE5698" w:rsidP="00B03F98">
            <w:pPr>
              <w:pStyle w:val="PlainText"/>
              <w:jc w:val="both"/>
              <w:rPr>
                <w:rFonts w:ascii="Times New Roman" w:hAnsi="Times New Roman"/>
                <w:b/>
                <w:sz w:val="24"/>
                <w:szCs w:val="24"/>
                <w:lang w:val="lv-LV"/>
              </w:rPr>
            </w:pPr>
          </w:p>
          <w:p w14:paraId="48116D9D" w14:textId="77777777" w:rsidR="00EE5698" w:rsidRPr="00B57019" w:rsidRDefault="00EE5698" w:rsidP="00B03F98">
            <w:pPr>
              <w:pStyle w:val="PlainText"/>
              <w:jc w:val="both"/>
              <w:rPr>
                <w:rFonts w:ascii="Times New Roman" w:hAnsi="Times New Roman"/>
                <w:b/>
                <w:sz w:val="24"/>
                <w:szCs w:val="24"/>
                <w:lang w:val="lv-LV"/>
              </w:rPr>
            </w:pPr>
          </w:p>
          <w:p w14:paraId="5FA6F4DA" w14:textId="77777777" w:rsidR="00EE5698" w:rsidRPr="00B57019" w:rsidRDefault="00EE5698" w:rsidP="00B03F98">
            <w:pPr>
              <w:pStyle w:val="PlainText"/>
              <w:jc w:val="both"/>
              <w:rPr>
                <w:rFonts w:ascii="Times New Roman" w:hAnsi="Times New Roman"/>
                <w:b/>
                <w:sz w:val="24"/>
                <w:szCs w:val="24"/>
                <w:lang w:val="lv-LV"/>
              </w:rPr>
            </w:pPr>
          </w:p>
          <w:p w14:paraId="230C40B7" w14:textId="77777777" w:rsidR="00EE5698" w:rsidRPr="00B57019" w:rsidRDefault="00EE5698" w:rsidP="00B03F98">
            <w:pPr>
              <w:pStyle w:val="PlainText"/>
              <w:jc w:val="both"/>
              <w:rPr>
                <w:rFonts w:ascii="Times New Roman" w:hAnsi="Times New Roman"/>
                <w:b/>
                <w:sz w:val="24"/>
                <w:szCs w:val="24"/>
                <w:lang w:val="lv-LV"/>
              </w:rPr>
            </w:pPr>
          </w:p>
          <w:p w14:paraId="561710D9" w14:textId="77777777" w:rsidR="00EE5698" w:rsidRPr="00B57019" w:rsidRDefault="00EE5698" w:rsidP="00EE5698">
            <w:pPr>
              <w:spacing w:line="259" w:lineRule="auto"/>
              <w:jc w:val="both"/>
            </w:pPr>
            <w:r w:rsidRPr="00B57019">
              <w:t xml:space="preserve">Skatīt informatīvā ziņojums   </w:t>
            </w:r>
            <w:r w:rsidRPr="00B57019">
              <w:br/>
              <w:t>1.-6. pielikumus.</w:t>
            </w:r>
          </w:p>
          <w:p w14:paraId="281B6714" w14:textId="77777777" w:rsidR="00EE5698" w:rsidRPr="00B57019" w:rsidRDefault="00EE5698" w:rsidP="00B03F98">
            <w:pPr>
              <w:pStyle w:val="PlainText"/>
              <w:jc w:val="both"/>
              <w:rPr>
                <w:rFonts w:ascii="Times New Roman" w:hAnsi="Times New Roman"/>
                <w:b/>
                <w:sz w:val="24"/>
                <w:szCs w:val="24"/>
                <w:lang w:val="lv-LV"/>
              </w:rPr>
            </w:pPr>
          </w:p>
          <w:p w14:paraId="3E4E1F64" w14:textId="77777777" w:rsidR="00EE5698" w:rsidRPr="00B57019" w:rsidRDefault="00EE5698" w:rsidP="00B03F98">
            <w:pPr>
              <w:pStyle w:val="PlainText"/>
              <w:jc w:val="both"/>
              <w:rPr>
                <w:rFonts w:ascii="Times New Roman" w:hAnsi="Times New Roman"/>
                <w:b/>
                <w:sz w:val="24"/>
                <w:szCs w:val="24"/>
                <w:lang w:val="lv-LV"/>
              </w:rPr>
            </w:pPr>
          </w:p>
          <w:p w14:paraId="2A8DDDFA" w14:textId="77777777" w:rsidR="00EE5698" w:rsidRPr="00B57019" w:rsidRDefault="00EE5698" w:rsidP="00B03F98">
            <w:pPr>
              <w:pStyle w:val="PlainText"/>
              <w:jc w:val="both"/>
              <w:rPr>
                <w:rFonts w:ascii="Times New Roman" w:hAnsi="Times New Roman"/>
                <w:b/>
                <w:sz w:val="24"/>
                <w:szCs w:val="24"/>
                <w:lang w:val="lv-LV"/>
              </w:rPr>
            </w:pPr>
          </w:p>
          <w:p w14:paraId="5DA83105" w14:textId="50686F7A" w:rsidR="00EE5698" w:rsidRPr="00B57019" w:rsidRDefault="00EE5698" w:rsidP="00B03F98">
            <w:pPr>
              <w:pStyle w:val="PlainText"/>
              <w:jc w:val="both"/>
              <w:rPr>
                <w:rFonts w:ascii="Times New Roman" w:hAnsi="Times New Roman"/>
                <w:b/>
                <w:sz w:val="24"/>
                <w:szCs w:val="24"/>
                <w:lang w:val="lv-LV"/>
              </w:rPr>
            </w:pP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3C99FDCC" w14:textId="3A367894" w:rsidR="00AD72AB" w:rsidRPr="00B57019" w:rsidRDefault="00AD72AB" w:rsidP="55D4B172">
            <w:pPr>
              <w:spacing w:line="259" w:lineRule="auto"/>
              <w:ind w:left="-360"/>
              <w:jc w:val="both"/>
            </w:pPr>
          </w:p>
          <w:p w14:paraId="72DD47B5" w14:textId="3A367894" w:rsidR="00AD72AB" w:rsidRPr="00B57019" w:rsidRDefault="00AD72AB" w:rsidP="55D4B172">
            <w:pPr>
              <w:spacing w:line="259" w:lineRule="auto"/>
              <w:ind w:left="-360"/>
              <w:jc w:val="both"/>
            </w:pPr>
          </w:p>
          <w:p w14:paraId="704AAFFE" w14:textId="3A367894" w:rsidR="00AD72AB" w:rsidRPr="00B57019" w:rsidRDefault="00AD72AB" w:rsidP="55D4B172">
            <w:pPr>
              <w:spacing w:line="259" w:lineRule="auto"/>
              <w:ind w:left="-360"/>
              <w:jc w:val="both"/>
            </w:pPr>
          </w:p>
          <w:p w14:paraId="70806A07" w14:textId="3A367894" w:rsidR="00AD72AB" w:rsidRPr="00B57019" w:rsidRDefault="00AD72AB" w:rsidP="55D4B172">
            <w:pPr>
              <w:spacing w:line="259" w:lineRule="auto"/>
              <w:ind w:left="-360"/>
              <w:jc w:val="both"/>
            </w:pPr>
          </w:p>
          <w:p w14:paraId="3AF0ABDD" w14:textId="3A367894" w:rsidR="00AD72AB" w:rsidRPr="00B57019" w:rsidRDefault="00AD72AB" w:rsidP="55D4B172">
            <w:pPr>
              <w:spacing w:line="259" w:lineRule="auto"/>
              <w:ind w:left="-360"/>
              <w:jc w:val="both"/>
            </w:pPr>
          </w:p>
          <w:p w14:paraId="55EFADA2" w14:textId="3A367894" w:rsidR="00AD72AB" w:rsidRPr="00B57019" w:rsidRDefault="00AD72AB" w:rsidP="55D4B172">
            <w:pPr>
              <w:spacing w:line="259" w:lineRule="auto"/>
              <w:ind w:left="-360"/>
              <w:jc w:val="both"/>
            </w:pPr>
          </w:p>
          <w:p w14:paraId="7D64FDC4" w14:textId="3A367894" w:rsidR="00AD72AB" w:rsidRPr="00B57019" w:rsidRDefault="00AD72AB" w:rsidP="55D4B172">
            <w:pPr>
              <w:spacing w:line="259" w:lineRule="auto"/>
              <w:ind w:left="-360"/>
              <w:jc w:val="both"/>
            </w:pPr>
          </w:p>
          <w:p w14:paraId="0869BE38" w14:textId="3A367894" w:rsidR="00AD72AB" w:rsidRPr="00B57019" w:rsidRDefault="00AD72AB" w:rsidP="55D4B172">
            <w:pPr>
              <w:spacing w:line="259" w:lineRule="auto"/>
              <w:ind w:left="-360"/>
              <w:jc w:val="both"/>
            </w:pPr>
          </w:p>
          <w:p w14:paraId="045D5281" w14:textId="3A367894" w:rsidR="00AD72AB" w:rsidRPr="00B57019" w:rsidRDefault="00AD72AB" w:rsidP="55D4B172">
            <w:pPr>
              <w:spacing w:line="259" w:lineRule="auto"/>
              <w:ind w:left="-360"/>
              <w:jc w:val="both"/>
            </w:pPr>
          </w:p>
          <w:p w14:paraId="37E18399" w14:textId="3A367894" w:rsidR="00AD72AB" w:rsidRPr="00B57019" w:rsidRDefault="00AD72AB" w:rsidP="55D4B172">
            <w:pPr>
              <w:spacing w:line="259" w:lineRule="auto"/>
              <w:ind w:left="-360"/>
              <w:jc w:val="both"/>
            </w:pPr>
          </w:p>
          <w:p w14:paraId="5F1461EF" w14:textId="3A367894" w:rsidR="00AD72AB" w:rsidRPr="00B57019" w:rsidRDefault="00AD72AB" w:rsidP="55D4B172">
            <w:pPr>
              <w:spacing w:line="259" w:lineRule="auto"/>
              <w:ind w:left="-360"/>
              <w:jc w:val="both"/>
            </w:pPr>
          </w:p>
          <w:p w14:paraId="4933F955" w14:textId="3A367894" w:rsidR="00AD72AB" w:rsidRPr="00B57019" w:rsidRDefault="00AD72AB" w:rsidP="55D4B172">
            <w:pPr>
              <w:spacing w:line="259" w:lineRule="auto"/>
              <w:ind w:left="-360"/>
              <w:jc w:val="both"/>
            </w:pPr>
          </w:p>
          <w:p w14:paraId="5E500F8B" w14:textId="3A367894" w:rsidR="00AD72AB" w:rsidRPr="00B57019" w:rsidRDefault="00AD72AB" w:rsidP="55D4B172">
            <w:pPr>
              <w:spacing w:line="259" w:lineRule="auto"/>
              <w:ind w:left="-360"/>
              <w:jc w:val="both"/>
            </w:pPr>
          </w:p>
          <w:p w14:paraId="4EF91356" w14:textId="3A367894" w:rsidR="00AD72AB" w:rsidRPr="00B57019" w:rsidRDefault="00AD72AB" w:rsidP="55D4B172">
            <w:pPr>
              <w:spacing w:line="259" w:lineRule="auto"/>
              <w:ind w:left="-360"/>
              <w:jc w:val="both"/>
            </w:pPr>
          </w:p>
          <w:p w14:paraId="5808A00C" w14:textId="3A367894" w:rsidR="00AD72AB" w:rsidRPr="00B57019" w:rsidRDefault="00AD72AB" w:rsidP="55D4B172">
            <w:pPr>
              <w:spacing w:line="259" w:lineRule="auto"/>
              <w:ind w:left="-360"/>
              <w:jc w:val="both"/>
            </w:pPr>
          </w:p>
          <w:p w14:paraId="7CA219A6" w14:textId="3A367894" w:rsidR="00AD72AB" w:rsidRPr="00B57019" w:rsidRDefault="00AD72AB" w:rsidP="55D4B172">
            <w:pPr>
              <w:spacing w:line="259" w:lineRule="auto"/>
              <w:ind w:left="-360"/>
              <w:jc w:val="both"/>
            </w:pPr>
          </w:p>
          <w:p w14:paraId="76F39533" w14:textId="3A367894" w:rsidR="00AD72AB" w:rsidRPr="00B57019" w:rsidRDefault="00AD72AB" w:rsidP="00F26D49">
            <w:pPr>
              <w:spacing w:line="259" w:lineRule="auto"/>
              <w:jc w:val="both"/>
            </w:pPr>
          </w:p>
          <w:p w14:paraId="78C3A5DB" w14:textId="77777777" w:rsidR="00AB10FF" w:rsidRPr="00B57019" w:rsidRDefault="00AB10FF" w:rsidP="00F26D49">
            <w:pPr>
              <w:spacing w:line="259" w:lineRule="auto"/>
              <w:jc w:val="both"/>
            </w:pPr>
          </w:p>
          <w:p w14:paraId="04BECC48" w14:textId="77777777" w:rsidR="00AB10FF" w:rsidRPr="00B57019" w:rsidRDefault="00AB10FF" w:rsidP="00F26D49">
            <w:pPr>
              <w:spacing w:line="259" w:lineRule="auto"/>
              <w:jc w:val="both"/>
            </w:pPr>
          </w:p>
          <w:p w14:paraId="0505CFE8" w14:textId="77777777" w:rsidR="00BF33FE" w:rsidRPr="00B57019" w:rsidRDefault="00BF33FE" w:rsidP="00F26D49">
            <w:pPr>
              <w:spacing w:line="259" w:lineRule="auto"/>
              <w:jc w:val="both"/>
            </w:pPr>
          </w:p>
          <w:p w14:paraId="4B05ACB4" w14:textId="77777777" w:rsidR="00BF33FE" w:rsidRPr="00B57019" w:rsidRDefault="00BF33FE" w:rsidP="00F26D49">
            <w:pPr>
              <w:spacing w:line="259" w:lineRule="auto"/>
              <w:jc w:val="both"/>
            </w:pPr>
          </w:p>
          <w:p w14:paraId="33BF62C9" w14:textId="77777777" w:rsidR="00BF33FE" w:rsidRPr="00B57019" w:rsidRDefault="00BF33FE" w:rsidP="00F26D49">
            <w:pPr>
              <w:spacing w:line="259" w:lineRule="auto"/>
              <w:jc w:val="both"/>
            </w:pPr>
          </w:p>
          <w:p w14:paraId="503D9A5A" w14:textId="77777777" w:rsidR="00BF33FE" w:rsidRPr="00B57019" w:rsidRDefault="00BF33FE" w:rsidP="00F26D49">
            <w:pPr>
              <w:spacing w:line="259" w:lineRule="auto"/>
              <w:jc w:val="both"/>
            </w:pPr>
          </w:p>
          <w:p w14:paraId="665746A9" w14:textId="77777777" w:rsidR="00BF33FE" w:rsidRPr="00B57019" w:rsidRDefault="00BF33FE" w:rsidP="00F26D49">
            <w:pPr>
              <w:spacing w:line="259" w:lineRule="auto"/>
              <w:jc w:val="both"/>
            </w:pPr>
          </w:p>
          <w:p w14:paraId="3D3EA4AD" w14:textId="77777777" w:rsidR="00BF33FE" w:rsidRPr="00B57019" w:rsidRDefault="00BF33FE" w:rsidP="00F26D49">
            <w:pPr>
              <w:spacing w:line="259" w:lineRule="auto"/>
              <w:jc w:val="both"/>
            </w:pPr>
          </w:p>
          <w:p w14:paraId="27404E2D" w14:textId="77777777" w:rsidR="00BF33FE" w:rsidRPr="00B57019" w:rsidRDefault="00BF33FE" w:rsidP="00F26D49">
            <w:pPr>
              <w:spacing w:line="259" w:lineRule="auto"/>
              <w:jc w:val="both"/>
            </w:pPr>
          </w:p>
          <w:p w14:paraId="6903D934" w14:textId="77777777" w:rsidR="00BF33FE" w:rsidRPr="00B57019" w:rsidRDefault="00BF33FE" w:rsidP="00F26D49">
            <w:pPr>
              <w:spacing w:line="259" w:lineRule="auto"/>
              <w:jc w:val="both"/>
            </w:pPr>
          </w:p>
          <w:p w14:paraId="53B09D52" w14:textId="77777777" w:rsidR="00BF33FE" w:rsidRPr="00B57019" w:rsidRDefault="00BF33FE" w:rsidP="00F26D49">
            <w:pPr>
              <w:spacing w:line="259" w:lineRule="auto"/>
              <w:jc w:val="both"/>
            </w:pPr>
          </w:p>
          <w:p w14:paraId="39902F2D" w14:textId="77777777" w:rsidR="00BF33FE" w:rsidRPr="00B57019" w:rsidRDefault="00BF33FE" w:rsidP="00F26D49">
            <w:pPr>
              <w:spacing w:line="259" w:lineRule="auto"/>
              <w:jc w:val="both"/>
            </w:pPr>
          </w:p>
          <w:p w14:paraId="6B6EA9C3" w14:textId="77777777" w:rsidR="00BF33FE" w:rsidRPr="00B57019" w:rsidRDefault="00BF33FE" w:rsidP="00F26D49">
            <w:pPr>
              <w:spacing w:line="259" w:lineRule="auto"/>
              <w:jc w:val="both"/>
            </w:pPr>
          </w:p>
          <w:p w14:paraId="0F738492" w14:textId="77777777" w:rsidR="00BF33FE" w:rsidRPr="00B57019" w:rsidRDefault="00BF33FE" w:rsidP="00F26D49">
            <w:pPr>
              <w:spacing w:line="259" w:lineRule="auto"/>
              <w:jc w:val="both"/>
            </w:pPr>
          </w:p>
          <w:p w14:paraId="5DB189B6" w14:textId="77777777" w:rsidR="00BF33FE" w:rsidRPr="00B57019" w:rsidRDefault="00BF33FE" w:rsidP="00F26D49">
            <w:pPr>
              <w:spacing w:line="259" w:lineRule="auto"/>
              <w:jc w:val="both"/>
            </w:pPr>
          </w:p>
          <w:p w14:paraId="7EFCFF8D" w14:textId="77777777" w:rsidR="00BF33FE" w:rsidRPr="00B57019" w:rsidRDefault="00BF33FE" w:rsidP="00F26D49">
            <w:pPr>
              <w:spacing w:line="259" w:lineRule="auto"/>
              <w:jc w:val="both"/>
            </w:pPr>
          </w:p>
          <w:p w14:paraId="4AE4CEC4" w14:textId="77777777" w:rsidR="00BF33FE" w:rsidRPr="00B57019" w:rsidRDefault="00BF33FE" w:rsidP="00F26D49">
            <w:pPr>
              <w:spacing w:line="259" w:lineRule="auto"/>
              <w:jc w:val="both"/>
            </w:pPr>
          </w:p>
          <w:p w14:paraId="46DD097F" w14:textId="77777777" w:rsidR="00BF33FE" w:rsidRPr="00B57019" w:rsidRDefault="00BF33FE" w:rsidP="00F26D49">
            <w:pPr>
              <w:spacing w:line="259" w:lineRule="auto"/>
              <w:jc w:val="both"/>
            </w:pPr>
          </w:p>
          <w:p w14:paraId="28C2343D" w14:textId="77777777" w:rsidR="00BF33FE" w:rsidRPr="00B57019" w:rsidRDefault="00BF33FE" w:rsidP="00F26D49">
            <w:pPr>
              <w:spacing w:line="259" w:lineRule="auto"/>
              <w:jc w:val="both"/>
            </w:pPr>
          </w:p>
          <w:p w14:paraId="3D5ADF9A" w14:textId="77777777" w:rsidR="00BF33FE" w:rsidRPr="00B57019" w:rsidRDefault="00BF33FE" w:rsidP="00F26D49">
            <w:pPr>
              <w:spacing w:line="259" w:lineRule="auto"/>
              <w:jc w:val="both"/>
            </w:pPr>
          </w:p>
          <w:p w14:paraId="6240EFCF" w14:textId="77777777" w:rsidR="00BF33FE" w:rsidRPr="00B57019" w:rsidRDefault="00BF33FE" w:rsidP="00F26D49">
            <w:pPr>
              <w:spacing w:line="259" w:lineRule="auto"/>
              <w:jc w:val="both"/>
            </w:pPr>
          </w:p>
          <w:p w14:paraId="703CC25F" w14:textId="77777777" w:rsidR="00BF33FE" w:rsidRPr="00B57019" w:rsidRDefault="00BF33FE" w:rsidP="00F26D49">
            <w:pPr>
              <w:spacing w:line="259" w:lineRule="auto"/>
              <w:jc w:val="both"/>
            </w:pPr>
          </w:p>
          <w:p w14:paraId="65F99F1C" w14:textId="77777777" w:rsidR="00BF33FE" w:rsidRPr="00B57019" w:rsidRDefault="00BF33FE" w:rsidP="00F26D49">
            <w:pPr>
              <w:spacing w:line="259" w:lineRule="auto"/>
              <w:jc w:val="both"/>
            </w:pPr>
          </w:p>
          <w:p w14:paraId="3459E4E4" w14:textId="77777777" w:rsidR="00BF33FE" w:rsidRPr="00B57019" w:rsidRDefault="00BF33FE" w:rsidP="00F26D49">
            <w:pPr>
              <w:spacing w:line="259" w:lineRule="auto"/>
              <w:jc w:val="both"/>
            </w:pPr>
          </w:p>
          <w:p w14:paraId="77AED1FF" w14:textId="77777777" w:rsidR="00BF33FE" w:rsidRPr="00B57019" w:rsidRDefault="00BF33FE" w:rsidP="00F26D49">
            <w:pPr>
              <w:spacing w:line="259" w:lineRule="auto"/>
              <w:jc w:val="both"/>
            </w:pPr>
          </w:p>
          <w:p w14:paraId="08BB154F" w14:textId="77777777" w:rsidR="00BF33FE" w:rsidRPr="00B57019" w:rsidRDefault="00BF33FE" w:rsidP="00F26D49">
            <w:pPr>
              <w:spacing w:line="259" w:lineRule="auto"/>
              <w:jc w:val="both"/>
            </w:pPr>
          </w:p>
          <w:p w14:paraId="0C2D19F2" w14:textId="77777777" w:rsidR="00BF33FE" w:rsidRPr="00B57019" w:rsidRDefault="00BF33FE" w:rsidP="00F26D49">
            <w:pPr>
              <w:spacing w:line="259" w:lineRule="auto"/>
              <w:jc w:val="both"/>
            </w:pPr>
          </w:p>
          <w:p w14:paraId="39490CC4" w14:textId="77777777" w:rsidR="00BF33FE" w:rsidRPr="00B57019" w:rsidRDefault="00BF33FE" w:rsidP="00F26D49">
            <w:pPr>
              <w:spacing w:line="259" w:lineRule="auto"/>
              <w:jc w:val="both"/>
            </w:pPr>
          </w:p>
          <w:p w14:paraId="427B895A" w14:textId="77777777" w:rsidR="00BF33FE" w:rsidRPr="00B57019" w:rsidRDefault="00BF33FE" w:rsidP="00F26D49">
            <w:pPr>
              <w:spacing w:line="259" w:lineRule="auto"/>
              <w:jc w:val="both"/>
            </w:pPr>
          </w:p>
          <w:p w14:paraId="18512CD8" w14:textId="77777777" w:rsidR="00BF33FE" w:rsidRPr="00B57019" w:rsidRDefault="00BF33FE" w:rsidP="00F26D49">
            <w:pPr>
              <w:spacing w:line="259" w:lineRule="auto"/>
              <w:jc w:val="both"/>
            </w:pPr>
          </w:p>
          <w:p w14:paraId="2030FEF2" w14:textId="77777777" w:rsidR="00AB10FF" w:rsidRPr="00B57019" w:rsidRDefault="00AB10FF" w:rsidP="00F26D49">
            <w:pPr>
              <w:spacing w:line="259" w:lineRule="auto"/>
              <w:jc w:val="both"/>
            </w:pPr>
          </w:p>
          <w:p w14:paraId="763B6216" w14:textId="2BBF1A83" w:rsidR="00C0352F" w:rsidRPr="00B57019" w:rsidRDefault="00C0352F" w:rsidP="00F26D49">
            <w:pPr>
              <w:spacing w:line="259" w:lineRule="auto"/>
              <w:jc w:val="both"/>
            </w:pPr>
          </w:p>
          <w:p w14:paraId="2203235D" w14:textId="2BBF1A83" w:rsidR="00C0352F" w:rsidRPr="00B57019" w:rsidRDefault="00C0352F" w:rsidP="00F26D49">
            <w:pPr>
              <w:spacing w:line="259" w:lineRule="auto"/>
              <w:jc w:val="both"/>
            </w:pPr>
          </w:p>
          <w:p w14:paraId="0C8B13C3" w14:textId="2BBF1A83" w:rsidR="00C0352F" w:rsidRPr="00B57019" w:rsidRDefault="00C0352F" w:rsidP="00F26D49">
            <w:pPr>
              <w:spacing w:line="259" w:lineRule="auto"/>
              <w:jc w:val="both"/>
            </w:pPr>
          </w:p>
          <w:p w14:paraId="66A2CFF0" w14:textId="2BBF1A83" w:rsidR="00C0352F" w:rsidRPr="00B57019" w:rsidRDefault="00C0352F" w:rsidP="00F26D49">
            <w:pPr>
              <w:spacing w:line="259" w:lineRule="auto"/>
              <w:jc w:val="both"/>
            </w:pPr>
          </w:p>
          <w:p w14:paraId="7996173D" w14:textId="2BBF1A83" w:rsidR="00C0352F" w:rsidRPr="00B57019" w:rsidRDefault="00C0352F" w:rsidP="00F26D49">
            <w:pPr>
              <w:spacing w:line="259" w:lineRule="auto"/>
              <w:jc w:val="both"/>
            </w:pPr>
          </w:p>
          <w:p w14:paraId="2A56A446" w14:textId="2BBF1A83" w:rsidR="00C0352F" w:rsidRPr="00B57019" w:rsidRDefault="00C0352F" w:rsidP="00F26D49">
            <w:pPr>
              <w:spacing w:line="259" w:lineRule="auto"/>
              <w:jc w:val="both"/>
            </w:pPr>
          </w:p>
          <w:p w14:paraId="7A546AB6" w14:textId="2BBF1A83" w:rsidR="00C0352F" w:rsidRPr="00B57019" w:rsidRDefault="00C0352F" w:rsidP="00F26D49">
            <w:pPr>
              <w:spacing w:line="259" w:lineRule="auto"/>
              <w:jc w:val="both"/>
            </w:pPr>
          </w:p>
          <w:p w14:paraId="648B876F" w14:textId="2BBF1A83" w:rsidR="00C0352F" w:rsidRPr="00B57019" w:rsidRDefault="00C0352F" w:rsidP="00F26D49">
            <w:pPr>
              <w:spacing w:line="259" w:lineRule="auto"/>
              <w:jc w:val="both"/>
            </w:pPr>
          </w:p>
          <w:p w14:paraId="70E3EB5B" w14:textId="77777777" w:rsidR="00AB10FF" w:rsidRPr="00B57019" w:rsidRDefault="00AB10FF" w:rsidP="00F26D49">
            <w:pPr>
              <w:spacing w:line="259" w:lineRule="auto"/>
              <w:jc w:val="both"/>
            </w:pPr>
          </w:p>
          <w:p w14:paraId="72C8FAD7" w14:textId="77777777" w:rsidR="00AB10FF" w:rsidRPr="00B57019" w:rsidRDefault="00AB10FF" w:rsidP="00F26D49">
            <w:pPr>
              <w:spacing w:line="259" w:lineRule="auto"/>
              <w:jc w:val="both"/>
            </w:pPr>
          </w:p>
          <w:p w14:paraId="234C02D1" w14:textId="77777777" w:rsidR="00AB10FF" w:rsidRPr="00B57019" w:rsidRDefault="00AB10FF" w:rsidP="00F26D49">
            <w:pPr>
              <w:spacing w:line="259" w:lineRule="auto"/>
              <w:jc w:val="both"/>
            </w:pPr>
          </w:p>
          <w:p w14:paraId="3614D761" w14:textId="77777777" w:rsidR="00AB10FF" w:rsidRPr="00B57019" w:rsidRDefault="00AB10FF" w:rsidP="00F26D49">
            <w:pPr>
              <w:spacing w:line="259" w:lineRule="auto"/>
              <w:jc w:val="both"/>
            </w:pPr>
          </w:p>
          <w:p w14:paraId="7FD9D07D" w14:textId="77777777" w:rsidR="002222C2" w:rsidRPr="00B57019" w:rsidRDefault="002222C2" w:rsidP="00F26D49">
            <w:pPr>
              <w:spacing w:line="259" w:lineRule="auto"/>
              <w:jc w:val="both"/>
            </w:pPr>
          </w:p>
          <w:p w14:paraId="08C2DD3C" w14:textId="77777777" w:rsidR="002222C2" w:rsidRPr="00B57019" w:rsidRDefault="002222C2" w:rsidP="00F26D49">
            <w:pPr>
              <w:spacing w:line="259" w:lineRule="auto"/>
              <w:jc w:val="both"/>
            </w:pPr>
          </w:p>
          <w:p w14:paraId="4DAEA6D9" w14:textId="77777777" w:rsidR="002222C2" w:rsidRPr="00B57019" w:rsidRDefault="002222C2" w:rsidP="00F26D49">
            <w:pPr>
              <w:spacing w:line="259" w:lineRule="auto"/>
              <w:jc w:val="both"/>
            </w:pPr>
          </w:p>
          <w:p w14:paraId="004F6822" w14:textId="77777777" w:rsidR="002222C2" w:rsidRPr="00B57019" w:rsidRDefault="002222C2" w:rsidP="00F26D49">
            <w:pPr>
              <w:spacing w:line="259" w:lineRule="auto"/>
              <w:jc w:val="both"/>
            </w:pPr>
          </w:p>
          <w:p w14:paraId="0AE31DD2" w14:textId="77777777" w:rsidR="002222C2" w:rsidRPr="00B57019" w:rsidRDefault="002222C2" w:rsidP="00F26D49">
            <w:pPr>
              <w:spacing w:line="259" w:lineRule="auto"/>
              <w:jc w:val="both"/>
            </w:pPr>
          </w:p>
          <w:p w14:paraId="6706D73A" w14:textId="77777777" w:rsidR="002222C2" w:rsidRPr="00B57019" w:rsidRDefault="002222C2" w:rsidP="00F26D49">
            <w:pPr>
              <w:spacing w:line="259" w:lineRule="auto"/>
              <w:jc w:val="both"/>
            </w:pPr>
          </w:p>
          <w:p w14:paraId="016A2CDC" w14:textId="77777777" w:rsidR="002222C2" w:rsidRPr="00B57019" w:rsidRDefault="002222C2" w:rsidP="00F26D49">
            <w:pPr>
              <w:spacing w:line="259" w:lineRule="auto"/>
              <w:jc w:val="both"/>
            </w:pPr>
          </w:p>
          <w:p w14:paraId="62E6B50F" w14:textId="77777777" w:rsidR="00AB10FF" w:rsidRPr="00B57019" w:rsidRDefault="00AB10FF" w:rsidP="00F26D49">
            <w:pPr>
              <w:spacing w:line="259" w:lineRule="auto"/>
              <w:jc w:val="both"/>
            </w:pPr>
          </w:p>
          <w:p w14:paraId="47BCEA79" w14:textId="77777777" w:rsidR="00AB10FF" w:rsidRPr="00B57019" w:rsidRDefault="00AB10FF" w:rsidP="00F26D49">
            <w:pPr>
              <w:spacing w:line="259" w:lineRule="auto"/>
              <w:jc w:val="both"/>
            </w:pPr>
          </w:p>
          <w:p w14:paraId="357BFE9F" w14:textId="77777777" w:rsidR="00AB10FF" w:rsidRPr="00B57019" w:rsidRDefault="00AB10FF" w:rsidP="00F26D49">
            <w:pPr>
              <w:spacing w:line="259" w:lineRule="auto"/>
              <w:jc w:val="both"/>
            </w:pPr>
          </w:p>
          <w:p w14:paraId="51B111CB" w14:textId="3A367894" w:rsidR="00AD72AB" w:rsidRPr="00B57019" w:rsidRDefault="00AD72AB" w:rsidP="55D4B172">
            <w:pPr>
              <w:spacing w:line="259" w:lineRule="auto"/>
              <w:ind w:left="-360"/>
              <w:jc w:val="both"/>
            </w:pPr>
          </w:p>
          <w:p w14:paraId="738A0C34" w14:textId="3A367894" w:rsidR="00AD72AB" w:rsidRPr="00B57019" w:rsidRDefault="00AD72AB" w:rsidP="55D4B172">
            <w:pPr>
              <w:spacing w:line="259" w:lineRule="auto"/>
              <w:ind w:left="-360"/>
              <w:jc w:val="both"/>
            </w:pPr>
          </w:p>
          <w:p w14:paraId="1C5EC84C" w14:textId="6C0897AC" w:rsidR="00AD72AB" w:rsidRPr="00B57019" w:rsidRDefault="00AD72AB" w:rsidP="55D4B172">
            <w:pPr>
              <w:spacing w:line="259" w:lineRule="auto"/>
              <w:ind w:left="-360"/>
              <w:jc w:val="both"/>
            </w:pPr>
          </w:p>
          <w:p w14:paraId="5BDCB661" w14:textId="3A367894" w:rsidR="00AD72AB" w:rsidRPr="00B57019" w:rsidRDefault="00AD72AB" w:rsidP="55D4B172">
            <w:pPr>
              <w:spacing w:line="259" w:lineRule="auto"/>
              <w:ind w:left="-360"/>
              <w:jc w:val="both"/>
            </w:pPr>
          </w:p>
          <w:p w14:paraId="2697E8FF" w14:textId="3A367894" w:rsidR="00AD72AB" w:rsidRPr="00B57019" w:rsidRDefault="00AD72AB" w:rsidP="55D4B172">
            <w:pPr>
              <w:spacing w:line="259" w:lineRule="auto"/>
              <w:ind w:left="-360"/>
              <w:jc w:val="both"/>
            </w:pPr>
          </w:p>
          <w:p w14:paraId="323AFC02" w14:textId="3A367894" w:rsidR="00AD72AB" w:rsidRPr="00B57019" w:rsidRDefault="00AD72AB" w:rsidP="55D4B172">
            <w:pPr>
              <w:spacing w:line="259" w:lineRule="auto"/>
              <w:ind w:left="-360"/>
              <w:jc w:val="both"/>
            </w:pPr>
          </w:p>
          <w:p w14:paraId="5FDB5986" w14:textId="3A367894" w:rsidR="00AD72AB" w:rsidRPr="00B57019" w:rsidRDefault="00AD72AB" w:rsidP="55D4B172">
            <w:pPr>
              <w:spacing w:line="259" w:lineRule="auto"/>
              <w:ind w:left="-360"/>
              <w:jc w:val="both"/>
            </w:pPr>
          </w:p>
          <w:p w14:paraId="7589C947" w14:textId="3A367894" w:rsidR="00AD72AB" w:rsidRPr="00B57019" w:rsidRDefault="00AD72AB" w:rsidP="55D4B172">
            <w:pPr>
              <w:spacing w:line="259" w:lineRule="auto"/>
              <w:ind w:left="-360"/>
              <w:jc w:val="both"/>
            </w:pPr>
          </w:p>
          <w:p w14:paraId="6C44AAC3" w14:textId="3A367894" w:rsidR="00AD72AB" w:rsidRPr="00B57019" w:rsidRDefault="00AD72AB" w:rsidP="55D4B172">
            <w:pPr>
              <w:spacing w:line="259" w:lineRule="auto"/>
              <w:ind w:left="-360"/>
              <w:jc w:val="both"/>
            </w:pPr>
          </w:p>
          <w:p w14:paraId="186D824F" w14:textId="41FB99B6" w:rsidR="00AD72AB" w:rsidRPr="00B57019" w:rsidRDefault="00AD72AB" w:rsidP="55D4B172">
            <w:pPr>
              <w:spacing w:line="259" w:lineRule="auto"/>
              <w:ind w:left="-360"/>
              <w:jc w:val="both"/>
              <w:rPr>
                <w:highlight w:val="yellow"/>
              </w:rPr>
            </w:pPr>
          </w:p>
        </w:tc>
        <w:tc>
          <w:tcPr>
            <w:tcW w:w="2503" w:type="dxa"/>
            <w:tcBorders>
              <w:top w:val="single" w:sz="4" w:space="0" w:color="auto"/>
              <w:left w:val="single" w:sz="4" w:space="0" w:color="auto"/>
              <w:bottom w:val="single" w:sz="4" w:space="0" w:color="auto"/>
            </w:tcBorders>
            <w:shd w:val="clear" w:color="auto" w:fill="auto"/>
          </w:tcPr>
          <w:p w14:paraId="3C2CBCFB" w14:textId="77777777" w:rsidR="00EC5B70" w:rsidRPr="00B57019" w:rsidRDefault="00EC5B70" w:rsidP="002A05B2"/>
        </w:tc>
      </w:tr>
      <w:tr w:rsidR="00B57019" w:rsidRPr="00B57019" w14:paraId="0F86F023" w14:textId="77777777" w:rsidTr="6EC0B0DB">
        <w:tc>
          <w:tcPr>
            <w:tcW w:w="14567" w:type="dxa"/>
            <w:gridSpan w:val="6"/>
            <w:tcBorders>
              <w:top w:val="single" w:sz="6" w:space="0" w:color="000000" w:themeColor="text1"/>
              <w:left w:val="single" w:sz="6" w:space="0" w:color="000000" w:themeColor="text1"/>
              <w:bottom w:val="single" w:sz="6" w:space="0" w:color="000000" w:themeColor="text1"/>
            </w:tcBorders>
            <w:shd w:val="clear" w:color="auto" w:fill="auto"/>
          </w:tcPr>
          <w:p w14:paraId="3FC54F7B" w14:textId="31E476CB" w:rsidR="00EC5B70" w:rsidRPr="00B57019" w:rsidRDefault="00EC5B70" w:rsidP="00EC5B70">
            <w:pPr>
              <w:jc w:val="center"/>
              <w:rPr>
                <w:b/>
              </w:rPr>
            </w:pPr>
            <w:r w:rsidRPr="00B57019">
              <w:rPr>
                <w:b/>
              </w:rPr>
              <w:t>Finanšu ministrija</w:t>
            </w:r>
          </w:p>
        </w:tc>
      </w:tr>
      <w:tr w:rsidR="00B57019" w:rsidRPr="00B57019" w14:paraId="18685913"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583CD3" w14:textId="77777777" w:rsidR="00EC5B70" w:rsidRPr="00B57019" w:rsidRDefault="00EC5B70" w:rsidP="00B03F98">
            <w:pPr>
              <w:pStyle w:val="naisc"/>
              <w:spacing w:before="0" w:after="0"/>
            </w:pP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226636" w14:textId="0207537B" w:rsidR="00EC5B70" w:rsidRPr="00B57019" w:rsidRDefault="00EC5B70" w:rsidP="00D37E01">
            <w:pPr>
              <w:pStyle w:val="naisc"/>
              <w:spacing w:before="0" w:after="0"/>
              <w:jc w:val="left"/>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CCB1B98" w14:textId="77777777" w:rsidR="00EC5B70" w:rsidRPr="00B57019" w:rsidRDefault="00EC5B70" w:rsidP="00EC5B70">
            <w:pPr>
              <w:jc w:val="both"/>
            </w:pPr>
            <w:r w:rsidRPr="00B57019">
              <w:t>Finanšu ministrija nepiekrīt informatīvā ziņojuma projektā veiktajiem resursu aprēķiniem un pieprasītajai 4 amatu vietu pārdalei no Finanšu ministrijas resora (t.sk. 3 amata vietu pārdalei no Valsts ieņēmumu dienesta (turpmāk – VID)).</w:t>
            </w:r>
          </w:p>
          <w:p w14:paraId="56EE6B43" w14:textId="77777777" w:rsidR="00EC5B70" w:rsidRPr="00B57019" w:rsidRDefault="672706A0" w:rsidP="00EC5B70">
            <w:pPr>
              <w:jc w:val="both"/>
            </w:pPr>
            <w:r w:rsidRPr="00B57019">
              <w:t>Šobrīd informatīvā ziņojuma projektā ir norādīts, ka oficiālās elektroniskās adreses informācijas sistēmas (turpmāk – e-adrese) ieviešanas rezultātā iestādēs izveidosies lietvežu amata ietaupījums. Informējam, ka saskaņā VID amata vietu sarakstu, ar e-adreses sistēmu strādājošiem lietvežiem noteiktais amata atalgojums ir EUR 773 mēnesī (18.3.amatu saime, 7.mēnešalgu grupa, II līmenis). Līdz ar to, VID izdevumi par trim lietveža amata vietām gadā sastāda EUR 37 196 (t.sk. atlīdzība EUR 34 532, darba vietas uzturēšanas izmaksas EUR 2 664) un ir ievērojami mazāki par informatīvajā ziņojumā minēto potenciāli ietaupīta finansējuma apmēru.</w:t>
            </w:r>
          </w:p>
          <w:p w14:paraId="1395C967" w14:textId="77777777" w:rsidR="00EC5B70" w:rsidRPr="00B57019" w:rsidRDefault="00EC5B70" w:rsidP="00EC5B70">
            <w:pPr>
              <w:jc w:val="both"/>
            </w:pPr>
            <w:r w:rsidRPr="00B57019">
              <w:t>Papildus vēršam uzmanību uz to, ka lai nodrošinātu Valsts pārvaldes reformu plāna 2020 (turpmāk – plāns) pasākuma “Nodrošināt valsts pārvaldē nodarbināto skaita samazināšanu un uzraudzību” izpildi, 2019.gadā VID tika likvidētas trīs lietvežu amata vietas un, saskaņā ar plānā noteikto, pēc nodarbināto skaita samazināšanas ieekonomētie līdzekļi atstāti VID rīcībā un novirzīti atlīdzības paaugstināšanai, savukārt ieekonomētie darba vietu uzturēšanai paredzētie līdzekļi, novirzīti VID darbības nodrošināšanai nepieciešamo izdevumu segšanai. Līdz ar to, Finanšu ministrija nepiekrīt Ministru kabineta sēdes protokollēmuma projektā noteiktajam bāzes izdevumu samazinājumam.</w:t>
            </w:r>
          </w:p>
          <w:p w14:paraId="745C22A5" w14:textId="77777777" w:rsidR="00EC5B70" w:rsidRPr="00B57019" w:rsidRDefault="00EC5B70" w:rsidP="00EC5B70">
            <w:pPr>
              <w:jc w:val="both"/>
            </w:pPr>
          </w:p>
          <w:p w14:paraId="0DAA16EB" w14:textId="77777777" w:rsidR="00EC5B70" w:rsidRPr="00B57019" w:rsidRDefault="00EC5B70" w:rsidP="00EC5B70">
            <w:pPr>
              <w:jc w:val="both"/>
            </w:pPr>
            <w:r w:rsidRPr="00B57019">
              <w:t>Papildus minētajam, informatīvā ziņojuma projektā norādītie pārējo resoru ieguvumi no Elektronisko iepirkumu sistēmas (turpmāk – EIS) lietošanas ir virspusēji un nesniedz patiesu informāciju par apstākļiem, ar kādiem pasūtītāji saskaras, izmantojot EIS sistēmu. Sniedzam šādus komentārus par ziņojumā apskatīto EIS sistēmu:</w:t>
            </w:r>
          </w:p>
          <w:p w14:paraId="513DFC54" w14:textId="77777777" w:rsidR="00EC5B70" w:rsidRPr="00B57019" w:rsidRDefault="00EC5B70" w:rsidP="00EC5B70">
            <w:pPr>
              <w:jc w:val="both"/>
            </w:pPr>
            <w:r w:rsidRPr="00B57019">
              <w:t>1. Par informācijas un komunikācijas tehnoloģiju (turpmāk – IKT) koplietošanas platformas izveidei, informācijas sistēmas (turpmāk – IS) uzturēšanai un attīstībai piešķirto finansējumu, tajā skaitā Eiropas Reģionālās attīstības fonda līdzfinansēto projekta finansējumu, bija jābūt jau sasniegtiem lielākai daļai no plānotajiem rezultātiem (izveidota IKT un IS). Projekta ietvaros IKT  sistēmai un IS bija jau jābūt funkcionāli pielietojamai un tās lietotājiem saprotamai un vienkārši, viegli lietojamai.</w:t>
            </w:r>
          </w:p>
          <w:p w14:paraId="5205FCE1" w14:textId="77777777" w:rsidR="00EC5B70" w:rsidRPr="00B57019" w:rsidRDefault="00EC5B70" w:rsidP="00EC5B70">
            <w:pPr>
              <w:jc w:val="both"/>
            </w:pPr>
            <w:r w:rsidRPr="00B57019">
              <w:t>2. Ziņojumā nav atspoguļota un salīdzinoši izvērtēta EIS-e konkursu apakšsistēmas ietekme uz tirgu un  administratīvo resursu izlietojumu; pasūtītājiem iepirkumam ir jāveltī ievērojami ilgāks un darbietilpīgāks darbs, kas prasa lielāku cilvēkresursu iesaistīšanu iepirkuma procesā un kas ir saistīts ar EIS e-konkursu apakšsistēmas nepārskatāmību, procesuālo neatbilstību reālai iepirkuma norisei, kādu noteic Publisko iepirkumu likums, atšķirīgi sistēmas definējumi, sarežģīta funkcionālā struktūra.</w:t>
            </w:r>
          </w:p>
          <w:p w14:paraId="4AC31FD3" w14:textId="77777777" w:rsidR="00EC5B70" w:rsidRPr="00B57019" w:rsidRDefault="00EC5B70" w:rsidP="00EC5B70">
            <w:pPr>
              <w:jc w:val="both"/>
            </w:pPr>
            <w:r w:rsidRPr="00B57019">
              <w:t>3. Ziņojumā ietvertais secinājums, ka EIS nodrošina cenu pazeminājumu uz apgrozījuma rēķina un stingrākas garantijas apkalpošanas prasības, ir neatbilstošs faktam. Garantijas prasību izvirzīšana izriet no attiecīgajā iepirkuma dokumentācijā izvirzītajiem nosacījumiem vai izriet no likuma. Savukārt resoriem, pašiem organizējot centralizētu iepirkumu, piemēram, vispārīgo vienošanos, cenu  pazeminājums būs analogs.</w:t>
            </w:r>
          </w:p>
          <w:p w14:paraId="3AA8C48F" w14:textId="77777777" w:rsidR="00EC5B70" w:rsidRPr="00B57019" w:rsidRDefault="00EC5B70" w:rsidP="00EC5B70">
            <w:pPr>
              <w:jc w:val="both"/>
              <w:rPr>
                <w:b/>
                <w:bCs/>
              </w:rPr>
            </w:pPr>
          </w:p>
          <w:p w14:paraId="6DB7ED52" w14:textId="08509E09" w:rsidR="00EC5B70" w:rsidRPr="00B57019" w:rsidRDefault="00EC5B70" w:rsidP="00EC5B70">
            <w:pPr>
              <w:jc w:val="both"/>
            </w:pPr>
            <w:r w:rsidRPr="00B57019">
              <w:rPr>
                <w:b/>
                <w:bCs/>
              </w:rPr>
              <w:t>Vienlaikus atgādinām, ka EIS sistēma tika pilnveidota pakāpeniski un atsevišķu pakalpojumu (apakšsistēmu) izmantošanas rezultātā iegūtais cilvēkresursu ietaupījums jau ir novirzīts citu ministrijas uzdevumu nodrošināšanai, līdz ar to ministrijai nav lieku amata vietu, kuras pārdalīt citam resoram.</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A7E214" w14:textId="77777777" w:rsidR="00EC5B70" w:rsidRPr="00B57019" w:rsidRDefault="000123C4" w:rsidP="00B03F98">
            <w:pPr>
              <w:pStyle w:val="PlainText"/>
              <w:jc w:val="both"/>
              <w:rPr>
                <w:rFonts w:ascii="Times New Roman" w:hAnsi="Times New Roman"/>
                <w:sz w:val="24"/>
                <w:szCs w:val="24"/>
              </w:rPr>
            </w:pPr>
            <w:r w:rsidRPr="00B57019">
              <w:rPr>
                <w:rFonts w:ascii="Times New Roman" w:hAnsi="Times New Roman"/>
                <w:b/>
                <w:bCs/>
                <w:sz w:val="24"/>
                <w:szCs w:val="24"/>
              </w:rPr>
              <w:t>Iebildums nav ņemts vērā</w:t>
            </w:r>
            <w:r w:rsidRPr="00B57019">
              <w:rPr>
                <w:rFonts w:ascii="Times New Roman" w:hAnsi="Times New Roman"/>
                <w:sz w:val="24"/>
                <w:szCs w:val="24"/>
              </w:rPr>
              <w:t>.</w:t>
            </w:r>
          </w:p>
          <w:p w14:paraId="5D990BD4" w14:textId="77777777" w:rsidR="00F170B5" w:rsidRPr="00B57019" w:rsidRDefault="00F170B5" w:rsidP="00F170B5">
            <w:pPr>
              <w:jc w:val="both"/>
              <w:rPr>
                <w:highlight w:val="yellow"/>
              </w:rPr>
            </w:pPr>
            <w:r w:rsidRPr="00B57019">
              <w:t>Par e-adresi:</w:t>
            </w:r>
          </w:p>
          <w:p w14:paraId="5367B9CD" w14:textId="26FA68C5" w:rsidR="00F170B5" w:rsidRPr="00B57019" w:rsidRDefault="00F170B5" w:rsidP="00F170B5">
            <w:pPr>
              <w:jc w:val="both"/>
              <w:rPr>
                <w:highlight w:val="yellow"/>
              </w:rPr>
            </w:pPr>
            <w:r w:rsidRPr="00B57019">
              <w:t>Ietaupīto amata vietu atalgojums ir rēķināts</w:t>
            </w:r>
            <w:r w:rsidR="00813421" w:rsidRPr="00B57019">
              <w:t>,</w:t>
            </w:r>
            <w:r w:rsidRPr="00B57019">
              <w:t xml:space="preserve"> ņemot vērā vidējo speciālistu atalgojumu. </w:t>
            </w:r>
          </w:p>
          <w:p w14:paraId="4D4FDBFE" w14:textId="77777777" w:rsidR="00F170B5" w:rsidRPr="00B57019" w:rsidRDefault="00F170B5" w:rsidP="00F170B5">
            <w:pPr>
              <w:jc w:val="both"/>
            </w:pPr>
          </w:p>
          <w:p w14:paraId="0BB7760B" w14:textId="77777777" w:rsidR="00F170B5" w:rsidRPr="00B57019" w:rsidRDefault="00F170B5" w:rsidP="00F170B5">
            <w:pPr>
              <w:jc w:val="both"/>
            </w:pPr>
          </w:p>
          <w:p w14:paraId="604E4E4E" w14:textId="1B1DEB88" w:rsidR="00B3675D" w:rsidRPr="00B57019" w:rsidRDefault="00F170B5" w:rsidP="00B3675D">
            <w:pPr>
              <w:pStyle w:val="paragraph"/>
              <w:spacing w:before="0" w:beforeAutospacing="0" w:after="0" w:afterAutospacing="0"/>
              <w:jc w:val="both"/>
              <w:textAlignment w:val="baseline"/>
              <w:rPr>
                <w:rFonts w:ascii="Segoe UI" w:hAnsi="Segoe UI" w:cs="Segoe UI"/>
                <w:sz w:val="18"/>
                <w:szCs w:val="18"/>
              </w:rPr>
            </w:pPr>
            <w:r w:rsidRPr="00B57019">
              <w:t>EIS:</w:t>
            </w:r>
            <w:r w:rsidRPr="00B57019">
              <w:br/>
              <w:t>Atkārtoti uzsveram, ka ziņojums neskar e-konkursu apakšsistēmu, par kuru ir sniegti iebildumi. Turklāt vēršam uzmanību, ka EIS e-konkursu apakšsistēmas uzturēšanai no FM puses nav piešķirts finansējums atalgojumam.</w:t>
            </w:r>
            <w:r w:rsidR="00B3675D" w:rsidRPr="00B57019">
              <w:t xml:space="preserve"> </w:t>
            </w:r>
            <w:r w:rsidR="00B3675D" w:rsidRPr="00B57019">
              <w:rPr>
                <w:rStyle w:val="normaltextrun"/>
              </w:rPr>
              <w:t>Cenu samazinājums EIS veidojas vairākos līmeņos</w:t>
            </w:r>
            <w:r w:rsidR="00CE5683" w:rsidRPr="00B57019">
              <w:rPr>
                <w:rStyle w:val="normaltextrun"/>
              </w:rPr>
              <w:t>:</w:t>
            </w:r>
            <w:r w:rsidR="00B3675D" w:rsidRPr="00B57019">
              <w:rPr>
                <w:rStyle w:val="normaltextrun"/>
              </w:rPr>
              <w:t xml:space="preserve"> 1)piegādātāji iepirkuma procedūrā jau sākotnēji rēķinās ar plašu pasūtītāju loku; 2) konkurences apstākļi EIS e-katalogā vienā preču vai pakalpojumu specifikācijā vairākiem komersantiem veicina cenu pazeminājumu. </w:t>
            </w:r>
            <w:r w:rsidR="00B3675D" w:rsidRPr="00B57019">
              <w:rPr>
                <w:rStyle w:val="eop"/>
              </w:rPr>
              <w:t> </w:t>
            </w:r>
          </w:p>
          <w:p w14:paraId="371F01AB" w14:textId="77777777" w:rsidR="00B3675D" w:rsidRPr="00B57019" w:rsidRDefault="00B3675D" w:rsidP="00B3675D">
            <w:pPr>
              <w:pStyle w:val="paragraph"/>
              <w:spacing w:before="0" w:beforeAutospacing="0" w:after="0" w:afterAutospacing="0"/>
              <w:jc w:val="both"/>
              <w:textAlignment w:val="baseline"/>
              <w:rPr>
                <w:rFonts w:ascii="Segoe UI" w:hAnsi="Segoe UI" w:cs="Segoe UI"/>
                <w:sz w:val="18"/>
                <w:szCs w:val="18"/>
              </w:rPr>
            </w:pPr>
            <w:r w:rsidRPr="00B57019">
              <w:rPr>
                <w:rStyle w:val="normaltextrun"/>
              </w:rPr>
              <w:t>Garantijas saistības EIS iepirkumā ir iespējams norādīt vairākos līmeņos (t.sk. arī paaugstinātā līmenī – virs ražotāja sniegtā </w:t>
            </w:r>
            <w:r w:rsidRPr="00B57019">
              <w:rPr>
                <w:rStyle w:val="spellingerror"/>
              </w:rPr>
              <w:t>pamatgarantijas</w:t>
            </w:r>
            <w:r w:rsidRPr="00B57019">
              <w:rPr>
                <w:rStyle w:val="normaltextrun"/>
              </w:rPr>
              <w:t> termiņa) kā pasūtītāju izvēles variantu, ņemot vērā plašo pasūtītāju loku, bez tam, pamatojoties uz lielo pārdošanas apjomu, arī piegādātāji paši ir gatavi uzņemties papildus garantijas saistības, ko nevar panākt individuāli rīkotos iepirkumos.</w:t>
            </w:r>
            <w:r w:rsidRPr="00B57019">
              <w:rPr>
                <w:rStyle w:val="eop"/>
              </w:rPr>
              <w:t> </w:t>
            </w:r>
          </w:p>
          <w:p w14:paraId="18384483" w14:textId="38A41014" w:rsidR="00F170B5" w:rsidRPr="00B57019" w:rsidRDefault="00F170B5" w:rsidP="00F170B5">
            <w:pPr>
              <w:jc w:val="both"/>
            </w:pPr>
          </w:p>
          <w:p w14:paraId="44185C79" w14:textId="6014E98D" w:rsidR="00F170B5" w:rsidRPr="00B57019" w:rsidRDefault="00F170B5" w:rsidP="00F170B5">
            <w:pPr>
              <w:pStyle w:val="PlainText"/>
              <w:jc w:val="both"/>
              <w:rPr>
                <w:rFonts w:ascii="Times New Roman" w:hAnsi="Times New Roman"/>
                <w:b/>
                <w:sz w:val="24"/>
                <w:szCs w:val="24"/>
                <w:lang w:val="lv-LV"/>
              </w:rPr>
            </w:pPr>
            <w:r w:rsidRPr="00B57019">
              <w:rPr>
                <w:rFonts w:ascii="Times New Roman" w:eastAsia="Times New Roman" w:hAnsi="Times New Roman"/>
                <w:sz w:val="24"/>
                <w:szCs w:val="24"/>
                <w:lang w:val="lv-LV" w:eastAsia="lv-LV"/>
              </w:rPr>
              <w:t>Fakts, ka ietaupījums jau tika novirzīts citiem mērķiem nenozīmē, ka VRAA neveidojas papil</w:t>
            </w:r>
            <w:r w:rsidR="005057E8" w:rsidRPr="00B57019">
              <w:rPr>
                <w:rFonts w:ascii="Times New Roman" w:eastAsia="Times New Roman" w:hAnsi="Times New Roman"/>
                <w:sz w:val="24"/>
                <w:szCs w:val="24"/>
                <w:lang w:val="lv-LV" w:eastAsia="lv-LV"/>
              </w:rPr>
              <w:t>dus slodze, turklāt FM nepiedāvā</w:t>
            </w:r>
            <w:r w:rsidRPr="00B57019">
              <w:rPr>
                <w:rFonts w:ascii="Times New Roman" w:eastAsia="Times New Roman" w:hAnsi="Times New Roman"/>
                <w:sz w:val="24"/>
                <w:szCs w:val="24"/>
                <w:lang w:val="lv-LV" w:eastAsia="lv-LV"/>
              </w:rPr>
              <w:t xml:space="preserve"> alternatīvas problēmas risināšanai.</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75A06732" w14:textId="2F04B531" w:rsidR="00EC5B70" w:rsidRPr="00B57019" w:rsidRDefault="00EC5B70" w:rsidP="009851F7">
            <w:pPr>
              <w:jc w:val="both"/>
            </w:pPr>
          </w:p>
        </w:tc>
        <w:tc>
          <w:tcPr>
            <w:tcW w:w="2503" w:type="dxa"/>
            <w:tcBorders>
              <w:top w:val="single" w:sz="4" w:space="0" w:color="auto"/>
              <w:left w:val="single" w:sz="4" w:space="0" w:color="auto"/>
              <w:bottom w:val="single" w:sz="4" w:space="0" w:color="auto"/>
            </w:tcBorders>
            <w:shd w:val="clear" w:color="auto" w:fill="auto"/>
          </w:tcPr>
          <w:p w14:paraId="25A3CFD1" w14:textId="77777777" w:rsidR="00EC5B70" w:rsidRPr="00B57019" w:rsidRDefault="00EC5B70" w:rsidP="002A05B2"/>
        </w:tc>
      </w:tr>
      <w:tr w:rsidR="00B57019" w:rsidRPr="00B57019" w14:paraId="13B7F0B3" w14:textId="77777777" w:rsidTr="6EC0B0DB">
        <w:tc>
          <w:tcPr>
            <w:tcW w:w="14567" w:type="dxa"/>
            <w:gridSpan w:val="6"/>
            <w:tcBorders>
              <w:top w:val="single" w:sz="6" w:space="0" w:color="000000" w:themeColor="text1"/>
              <w:left w:val="single" w:sz="6" w:space="0" w:color="000000" w:themeColor="text1"/>
              <w:bottom w:val="single" w:sz="6" w:space="0" w:color="000000" w:themeColor="text1"/>
            </w:tcBorders>
            <w:shd w:val="clear" w:color="auto" w:fill="auto"/>
          </w:tcPr>
          <w:p w14:paraId="3FFACDDA" w14:textId="1624DA47" w:rsidR="006A5E07" w:rsidRPr="00B57019" w:rsidRDefault="006A5E07" w:rsidP="006A5E07">
            <w:pPr>
              <w:jc w:val="center"/>
              <w:rPr>
                <w:b/>
              </w:rPr>
            </w:pPr>
            <w:r w:rsidRPr="00B57019">
              <w:rPr>
                <w:b/>
              </w:rPr>
              <w:t>Iekšlietu ministrija</w:t>
            </w:r>
          </w:p>
        </w:tc>
      </w:tr>
      <w:tr w:rsidR="00B57019" w:rsidRPr="00B57019" w14:paraId="6D8F2250"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4CF8B8" w14:textId="77777777" w:rsidR="00EC5B70" w:rsidRPr="00B57019" w:rsidRDefault="00EC5B70" w:rsidP="00B03F98">
            <w:pPr>
              <w:pStyle w:val="naisc"/>
              <w:spacing w:before="0" w:after="0"/>
            </w:pP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DEEA847" w14:textId="6B0C9ACD" w:rsidR="00EC5B70" w:rsidRPr="00B57019" w:rsidRDefault="006A5E07" w:rsidP="00D37E01">
            <w:pPr>
              <w:pStyle w:val="naisc"/>
              <w:spacing w:before="0" w:after="0"/>
              <w:jc w:val="left"/>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BA61F8" w14:textId="58977AB4" w:rsidR="00EC5B70" w:rsidRPr="00B57019" w:rsidRDefault="006A5E07" w:rsidP="00AB10FF">
            <w:pPr>
              <w:pStyle w:val="NormalWeb"/>
              <w:jc w:val="both"/>
            </w:pPr>
            <w:r w:rsidRPr="00B57019">
              <w:t>Atbildot uz Vides aizsardzības un reģionālās attīstības ministrijas 19.</w:t>
            </w:r>
            <w:r w:rsidR="00AB10FF" w:rsidRPr="00B57019">
              <w:t xml:space="preserve"> </w:t>
            </w:r>
            <w:r w:rsidRPr="00B57019">
              <w:t>jūlija vēstuli Nr.1-132/7003 informējam, ka Iekšlietu ministrija konceptuāli neatbalsta Informatīvā ziņojuma par cilvēkresursu nodrošināšanu valsts informācijas un komunikācijas tehnoloģiju platformu uzturēšanai (VSS-306) projekta turpmāku virzību un uztur iebildumus atbilstoši  izziņā norādītājam.</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48C6E6" w14:textId="77777777" w:rsidR="00EC5B70" w:rsidRPr="00B57019" w:rsidRDefault="000123C4" w:rsidP="00B03F98">
            <w:pPr>
              <w:pStyle w:val="PlainText"/>
              <w:jc w:val="both"/>
              <w:rPr>
                <w:rFonts w:ascii="Times New Roman" w:hAnsi="Times New Roman"/>
                <w:sz w:val="24"/>
                <w:szCs w:val="24"/>
              </w:rPr>
            </w:pPr>
            <w:r w:rsidRPr="00B57019">
              <w:rPr>
                <w:rFonts w:ascii="Times New Roman" w:hAnsi="Times New Roman"/>
                <w:b/>
                <w:bCs/>
                <w:sz w:val="24"/>
                <w:szCs w:val="24"/>
              </w:rPr>
              <w:t>Iebildums nav ņemts vērā</w:t>
            </w:r>
            <w:r w:rsidRPr="00B57019">
              <w:rPr>
                <w:rFonts w:ascii="Times New Roman" w:hAnsi="Times New Roman"/>
                <w:sz w:val="24"/>
                <w:szCs w:val="24"/>
              </w:rPr>
              <w:t>.</w:t>
            </w:r>
          </w:p>
          <w:p w14:paraId="644D2715" w14:textId="6503539F" w:rsidR="00DD55D1" w:rsidRPr="00B57019" w:rsidRDefault="00DD55D1" w:rsidP="00B03F98">
            <w:pPr>
              <w:pStyle w:val="PlainText"/>
              <w:jc w:val="both"/>
              <w:rPr>
                <w:rFonts w:ascii="Times New Roman" w:hAnsi="Times New Roman"/>
                <w:b/>
                <w:sz w:val="24"/>
                <w:szCs w:val="24"/>
                <w:lang w:val="lv-LV"/>
              </w:rPr>
            </w:pPr>
            <w:r w:rsidRPr="00B57019">
              <w:rPr>
                <w:rFonts w:ascii="Times New Roman" w:hAnsi="Times New Roman"/>
                <w:sz w:val="24"/>
                <w:szCs w:val="24"/>
              </w:rPr>
              <w:t>Argumentācija par iepriekš sniegtajiem iebildumiem ir apkopota pie attiecīgajiem komentāriem.</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7EE12F1C" w14:textId="36468428" w:rsidR="00EC5B70" w:rsidRPr="00B57019" w:rsidRDefault="00EC5B70" w:rsidP="009851F7">
            <w:pPr>
              <w:jc w:val="both"/>
            </w:pPr>
          </w:p>
        </w:tc>
        <w:tc>
          <w:tcPr>
            <w:tcW w:w="2503" w:type="dxa"/>
            <w:tcBorders>
              <w:top w:val="single" w:sz="4" w:space="0" w:color="auto"/>
              <w:left w:val="single" w:sz="4" w:space="0" w:color="auto"/>
              <w:bottom w:val="single" w:sz="4" w:space="0" w:color="auto"/>
            </w:tcBorders>
            <w:shd w:val="clear" w:color="auto" w:fill="auto"/>
          </w:tcPr>
          <w:p w14:paraId="1FD94740" w14:textId="77777777" w:rsidR="00EC5B70" w:rsidRPr="00B57019" w:rsidRDefault="00EC5B70" w:rsidP="002A05B2"/>
        </w:tc>
      </w:tr>
      <w:tr w:rsidR="00B57019" w:rsidRPr="00B57019" w14:paraId="78775C8E" w14:textId="77777777" w:rsidTr="6EC0B0DB">
        <w:tc>
          <w:tcPr>
            <w:tcW w:w="14567" w:type="dxa"/>
            <w:gridSpan w:val="6"/>
            <w:tcBorders>
              <w:top w:val="single" w:sz="6" w:space="0" w:color="000000" w:themeColor="text1"/>
              <w:left w:val="single" w:sz="6" w:space="0" w:color="000000" w:themeColor="text1"/>
              <w:bottom w:val="single" w:sz="6" w:space="0" w:color="000000" w:themeColor="text1"/>
            </w:tcBorders>
            <w:shd w:val="clear" w:color="auto" w:fill="auto"/>
          </w:tcPr>
          <w:p w14:paraId="74F51018" w14:textId="11AC3B82" w:rsidR="006A5E07" w:rsidRPr="00B57019" w:rsidRDefault="006A5E07" w:rsidP="006A5E07">
            <w:pPr>
              <w:jc w:val="center"/>
              <w:rPr>
                <w:b/>
              </w:rPr>
            </w:pPr>
            <w:r w:rsidRPr="00B57019">
              <w:rPr>
                <w:b/>
              </w:rPr>
              <w:t>Izglītības un zinātnes ministrija</w:t>
            </w:r>
          </w:p>
        </w:tc>
      </w:tr>
      <w:tr w:rsidR="00B57019" w:rsidRPr="00B57019" w14:paraId="3491EBAB" w14:textId="77777777" w:rsidTr="000B15B5">
        <w:trPr>
          <w:trHeight w:val="3098"/>
        </w:trPr>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26ACE6" w14:textId="77777777" w:rsidR="00EC5B70" w:rsidRPr="00B57019" w:rsidRDefault="00EC5B70" w:rsidP="00B03F98">
            <w:pPr>
              <w:pStyle w:val="naisc"/>
              <w:spacing w:before="0" w:after="0"/>
            </w:pP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C3AA07" w14:textId="07AC70DB" w:rsidR="00EC5B70" w:rsidRPr="00B57019" w:rsidRDefault="006A5E07" w:rsidP="00D37E01">
            <w:pPr>
              <w:pStyle w:val="naisc"/>
              <w:spacing w:before="0" w:after="0"/>
              <w:jc w:val="left"/>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0C7B12" w14:textId="77777777" w:rsidR="006A5E07" w:rsidRPr="00B57019" w:rsidRDefault="672706A0" w:rsidP="006A5E07">
            <w:pPr>
              <w:ind w:firstLine="720"/>
              <w:jc w:val="both"/>
              <w:rPr>
                <w:lang w:val="x-none"/>
              </w:rPr>
            </w:pPr>
            <w:r w:rsidRPr="00B57019">
              <w:t xml:space="preserve">IZM piekrītam, ka “Koplietošanas pakalpojumu izmantošana sniedz ieguvumu valsts pārvaldei kopumā”, taču saistībā ar e-adreses ieviešanu un tās iespējamo resursu ekonomiju ir jāvērtē katras iestādes dokumentu aprites process pirms un pēc e-adreses ieviešanas. </w:t>
            </w:r>
          </w:p>
          <w:p w14:paraId="4CDA577A" w14:textId="77777777" w:rsidR="006A5E07" w:rsidRPr="00B57019" w:rsidRDefault="006A5E07" w:rsidP="006A5E07">
            <w:pPr>
              <w:ind w:firstLine="720"/>
              <w:jc w:val="both"/>
            </w:pPr>
            <w:r w:rsidRPr="00B57019">
              <w:t xml:space="preserve">Atkārtoti uzsveram un norādām, ka IZM un daudzās tās padotības iestādēs ar e-adreses ieviešanu </w:t>
            </w:r>
            <w:r w:rsidRPr="00B57019">
              <w:rPr>
                <w:u w:val="single"/>
              </w:rPr>
              <w:t>resursu ekonomija nav notikusi</w:t>
            </w:r>
            <w:r w:rsidRPr="00B57019">
              <w:t xml:space="preserve">, ir </w:t>
            </w:r>
            <w:r w:rsidRPr="00B57019">
              <w:rPr>
                <w:u w:val="single"/>
              </w:rPr>
              <w:t>tikai mainījies saziņas kanāls</w:t>
            </w:r>
            <w:r w:rsidRPr="00B57019">
              <w:t xml:space="preserve"> no e-pasta uz e-adresi, kas nav mazinājis darba apjomu lietvežiem.</w:t>
            </w:r>
          </w:p>
          <w:p w14:paraId="6F5AB98F" w14:textId="77777777" w:rsidR="006A5E07" w:rsidRPr="00B57019" w:rsidRDefault="672706A0" w:rsidP="006A5E07">
            <w:pPr>
              <w:ind w:firstLine="720"/>
              <w:jc w:val="both"/>
            </w:pPr>
            <w:r w:rsidRPr="00B57019">
              <w:t xml:space="preserve">Līdz e-adreses ieviešanai IZM visa korespondence, kuru korespondentam bija iespējams nosūtīt pa e-pastu, tika </w:t>
            </w:r>
            <w:r w:rsidRPr="00B57019">
              <w:rPr>
                <w:u w:val="single"/>
              </w:rPr>
              <w:t>sagatavota ar elektronisko parakstu un nosūtīta pa e-pastu</w:t>
            </w:r>
            <w:r w:rsidRPr="00B57019">
              <w:t xml:space="preserve">. Arī vēstules, kuras būtu sūtāmas ierakstītā vēstulē, ja tās tiktu sagatavotas papīrā, tika sūtītas elektroniski no IZM oficiālās e-pasta adreses. Tikai tāpēc, ka vēstule būtu sūtāma ierakstītā veidā, ja tā būtu papīrā, </w:t>
            </w:r>
            <w:r w:rsidRPr="00B57019">
              <w:rPr>
                <w:u w:val="single"/>
              </w:rPr>
              <w:t>tā netika gatavota papīrā</w:t>
            </w:r>
            <w:r w:rsidRPr="00B57019">
              <w:t xml:space="preserve">, bet gan ar elektronisko parakstu un sūtīta pa e-pastu. Tāpat no citām iestādēm korespondence pirms e-adreses ieviešanas tika saņemta IZM oficiālajā e-pastā, kur dokumentu vadības sistēma nodrošināja automātisku dokumenta ievietošanu sistēmā mapē pie neapstrādātajiem tāpat kā tas ir šobrīd, kad dokumenti tiek saņemti caur e-adresi. Līdz ar to lietvedim ir mainījies tikai kanāls pa kuru nosūtīt vai saņemt korespondenci un </w:t>
            </w:r>
            <w:r w:rsidRPr="00B57019">
              <w:rPr>
                <w:u w:val="single"/>
              </w:rPr>
              <w:t>nav mainījies darba apjoms</w:t>
            </w:r>
            <w:r w:rsidRPr="00B57019">
              <w:t xml:space="preserve"> tikai tāpēc, ka mazāk, piemēram, ir jāskenē saņemtie dokumenti, vai mazāk markas jālīmē uz aploksnēm. </w:t>
            </w:r>
          </w:p>
          <w:p w14:paraId="068DA5C7" w14:textId="77777777" w:rsidR="006A5E07" w:rsidRPr="00B57019" w:rsidRDefault="006A5E07" w:rsidP="006A5E07">
            <w:pPr>
              <w:ind w:firstLine="720"/>
              <w:jc w:val="both"/>
            </w:pPr>
            <w:r w:rsidRPr="00B57019">
              <w:t>Esam pārbaudījuši, ka ierakstīto vēstuļu apjoms gan saņemtajai, gan nosūtāmajai korespondencei līdz ar e-adreses ieviešanu būtiski nav mainījies. Gan pirms e-adreses ieviešanas, gan pēc, kā ierakstītus sūtījumus esam sūtījuši tikai tādus dokumentus, kuri nav parakstāmi ar e-parakstu. Piemēram, ja otrai līgumslēdzējpusei nav elektroniskais paraksts, tad līgums no abām pusēm tiek parakstīts papīrā un ja otra puse to nevar saņemt IZM, tad tas tiek nosūtīts ierakstītā vēstulē. Vai, ja pavadvēstulei jāpievieno dokumenti, kuri sagatavoti papīrā, piemēram, liela apjoma nekustamo īpašumu saskaņošanas projekti, tad tādi tiek sagatavoti ierakstītā vēstulē, ja pats saņēmējs tai neatnāk pakaļ uz IZM un tmldz. Bet šādu dokumentu uz kopējo IZM korespondences apjomu ir maz.</w:t>
            </w:r>
          </w:p>
          <w:p w14:paraId="031D7C78" w14:textId="77777777" w:rsidR="006A5E07" w:rsidRPr="00B57019" w:rsidRDefault="672706A0" w:rsidP="006A5E07">
            <w:pPr>
              <w:ind w:firstLine="720"/>
              <w:jc w:val="both"/>
            </w:pPr>
            <w:r w:rsidRPr="00B57019">
              <w:t>Ņemot vērā iepriekš minēto, kā arī to, ka saskaņošanas sanāksmē ministrija atkārtoti vērsa uzmanību par nekorekti norādīto informāciju izziņā par sniegtajiem iebildumiem un to, ka izziņā joprojām 9.punktā ir norādīts, ka “…līdz ar to arī IZM e-adreses lietošana ir nodrošinājusi resursu ekonomiju, jo netiek patērēts laiks, sagatavojot ierakstītas vēstules nosūtīšanai pa pastu”, lūdzam svītrot šo nepamatoti un neobjektīvi norādīto pamatojumu iebilduma noraidījumam.</w:t>
            </w:r>
          </w:p>
          <w:p w14:paraId="1D3CAB69" w14:textId="77777777" w:rsidR="006A5E07" w:rsidRPr="00B57019" w:rsidRDefault="672706A0" w:rsidP="672706A0">
            <w:pPr>
              <w:jc w:val="both"/>
            </w:pPr>
            <w:r w:rsidRPr="00B57019">
              <w:t xml:space="preserve">            Vienlaikus vēršam uzmanību, ka informatīvā ziņojuma 6. pielikumā, kas pamato aprēķinu administratīvo resursu ietaupījumu, norādītie aprēķini par resoru bāzes izdevumu samazinājumu attiecībā uz IZM ir kļūdaini, ņemot vērā, ka E-rēķinu aprites risinājums vēl nav ieviests un šobrīd vēl netiek pielietots, tādēļ analīzē iekļautie risinājuma izmantošanas rādītāji nav objektīvi. </w:t>
            </w:r>
          </w:p>
          <w:p w14:paraId="415EAA68" w14:textId="607FCD98" w:rsidR="00EC5B70" w:rsidRPr="00B57019" w:rsidRDefault="672706A0" w:rsidP="006A5E07">
            <w:pPr>
              <w:ind w:firstLine="720"/>
              <w:jc w:val="both"/>
            </w:pPr>
            <w:r w:rsidRPr="00B57019">
              <w:t xml:space="preserve">Savukārt, lai objektīvi varētu izrēķināt informatīvā ziņojuma 6.pielikumā katras iestādes e-adreses ieguvumu lietvežu samazināšanai, ir jāsalīdzina pirms e-adreses ieviešanas nosūtīto dokumentu skaits pa e-pastu </w:t>
            </w:r>
            <w:r w:rsidR="00313D9D" w:rsidRPr="00B57019">
              <w:t>aprēķinos ir izmantota informācija par šobrīd esošo rēķinu skaitu katrā no iestādēm, netiek pieņemti nekādi pieņēmumi, kuriem nav pamatojuma</w:t>
            </w:r>
            <w:r w:rsidRPr="00B57019">
              <w:t>un ierakstītos sūtījumos un pēc e-adreses ieviešanas nosūtīto dokumentu skaits e-adresē un ierakstītos sūtījumos.</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5134DC" w14:textId="77777777" w:rsidR="00EC5B70" w:rsidRPr="00B57019" w:rsidRDefault="000123C4" w:rsidP="00B03F98">
            <w:pPr>
              <w:pStyle w:val="PlainText"/>
              <w:jc w:val="both"/>
              <w:rPr>
                <w:rFonts w:ascii="Times New Roman" w:hAnsi="Times New Roman"/>
                <w:sz w:val="24"/>
                <w:szCs w:val="24"/>
              </w:rPr>
            </w:pPr>
            <w:r w:rsidRPr="00B57019">
              <w:rPr>
                <w:rFonts w:ascii="Times New Roman" w:hAnsi="Times New Roman"/>
                <w:b/>
                <w:bCs/>
                <w:sz w:val="24"/>
                <w:szCs w:val="24"/>
              </w:rPr>
              <w:t>Iebildums nav ņemts vērā</w:t>
            </w:r>
            <w:r w:rsidRPr="00B57019">
              <w:rPr>
                <w:rFonts w:ascii="Times New Roman" w:hAnsi="Times New Roman"/>
                <w:sz w:val="24"/>
                <w:szCs w:val="24"/>
              </w:rPr>
              <w:t>.</w:t>
            </w:r>
          </w:p>
          <w:p w14:paraId="4C43DD33" w14:textId="77777777" w:rsidR="005057E8" w:rsidRPr="00B57019" w:rsidRDefault="005057E8" w:rsidP="005057E8">
            <w:pPr>
              <w:pStyle w:val="paragraph"/>
              <w:spacing w:before="0" w:beforeAutospacing="0" w:after="0" w:afterAutospacing="0"/>
              <w:jc w:val="both"/>
              <w:textAlignment w:val="baseline"/>
              <w:rPr>
                <w:rFonts w:ascii="Segoe UI" w:hAnsi="Segoe UI" w:cs="Segoe UI"/>
                <w:sz w:val="18"/>
                <w:szCs w:val="18"/>
              </w:rPr>
            </w:pPr>
            <w:r w:rsidRPr="00B57019">
              <w:rPr>
                <w:rStyle w:val="normaltextrun"/>
              </w:rPr>
              <w:t>VRAA uzsver, ka e-pasta adrese nav oficiāla sarakstes vieta atbilstoši likumdošanai un nav pielīdzināma ierakstītai vēstulei. Kā arī kopš e-adreses ieviešanas visai oficiālajai korespondencei ir jānorit caur e-adresi.</w:t>
            </w:r>
            <w:r w:rsidRPr="00B57019">
              <w:rPr>
                <w:rStyle w:val="eop"/>
              </w:rPr>
              <w:t> </w:t>
            </w:r>
          </w:p>
          <w:p w14:paraId="6289DA19" w14:textId="5052C841" w:rsidR="005057E8" w:rsidRPr="00B57019" w:rsidRDefault="005057E8" w:rsidP="005057E8">
            <w:pPr>
              <w:pStyle w:val="paragraph"/>
              <w:spacing w:before="0" w:beforeAutospacing="0" w:after="0" w:afterAutospacing="0"/>
              <w:jc w:val="both"/>
              <w:textAlignment w:val="baseline"/>
              <w:rPr>
                <w:rFonts w:ascii="Segoe UI" w:hAnsi="Segoe UI" w:cs="Segoe UI"/>
                <w:sz w:val="18"/>
                <w:szCs w:val="18"/>
              </w:rPr>
            </w:pPr>
            <w:r w:rsidRPr="00B57019">
              <w:rPr>
                <w:rStyle w:val="normaltextrun"/>
              </w:rPr>
              <w:t>Lūgums norādīt attaisnojošu iemeslu</w:t>
            </w:r>
            <w:r w:rsidR="00813421" w:rsidRPr="00B57019">
              <w:rPr>
                <w:rStyle w:val="normaltextrun"/>
              </w:rPr>
              <w:t>,</w:t>
            </w:r>
            <w:r w:rsidRPr="00B57019">
              <w:rPr>
                <w:rStyle w:val="normaltextrun"/>
              </w:rPr>
              <w:t xml:space="preserve"> kāpēc oficiālā korespondence tiek sūtīta caur e-pastu vai fiziskā veidā.</w:t>
            </w:r>
            <w:r w:rsidRPr="00B57019">
              <w:rPr>
                <w:rStyle w:val="eop"/>
              </w:rPr>
              <w:t> </w:t>
            </w:r>
          </w:p>
          <w:p w14:paraId="5D80D27D" w14:textId="77777777" w:rsidR="005057E8" w:rsidRPr="00B57019" w:rsidRDefault="005057E8" w:rsidP="005057E8">
            <w:pPr>
              <w:pStyle w:val="paragraph"/>
              <w:spacing w:before="0" w:beforeAutospacing="0" w:after="0" w:afterAutospacing="0"/>
              <w:jc w:val="both"/>
              <w:textAlignment w:val="baseline"/>
              <w:rPr>
                <w:rFonts w:ascii="Segoe UI" w:hAnsi="Segoe UI" w:cs="Segoe UI"/>
                <w:sz w:val="18"/>
                <w:szCs w:val="18"/>
              </w:rPr>
            </w:pPr>
            <w:r w:rsidRPr="00B57019">
              <w:rPr>
                <w:rStyle w:val="normaltextrun"/>
              </w:rPr>
              <w:t>VRAA vēlas vērst uzmanību, ka ierakstīto vēstuļu skaitam noteikti būtu jāsamazinās.</w:t>
            </w:r>
            <w:r w:rsidRPr="00B57019">
              <w:rPr>
                <w:rStyle w:val="eop"/>
              </w:rPr>
              <w:t> </w:t>
            </w:r>
          </w:p>
          <w:p w14:paraId="0265C0A1" w14:textId="77777777" w:rsidR="002D149F" w:rsidRPr="00B57019" w:rsidRDefault="002D149F" w:rsidP="00B03F98">
            <w:pPr>
              <w:pStyle w:val="PlainText"/>
              <w:jc w:val="both"/>
              <w:rPr>
                <w:rFonts w:ascii="Times New Roman" w:hAnsi="Times New Roman"/>
                <w:sz w:val="24"/>
                <w:szCs w:val="24"/>
              </w:rPr>
            </w:pPr>
          </w:p>
          <w:p w14:paraId="149B98C3" w14:textId="77777777" w:rsidR="002D149F" w:rsidRPr="00B57019" w:rsidRDefault="002D149F" w:rsidP="00B03F98">
            <w:pPr>
              <w:pStyle w:val="PlainText"/>
              <w:jc w:val="both"/>
              <w:rPr>
                <w:rFonts w:ascii="Times New Roman" w:hAnsi="Times New Roman"/>
                <w:sz w:val="24"/>
                <w:szCs w:val="24"/>
              </w:rPr>
            </w:pPr>
          </w:p>
          <w:p w14:paraId="30403421" w14:textId="77777777" w:rsidR="002D149F" w:rsidRPr="00B57019" w:rsidRDefault="002D149F" w:rsidP="00B03F98">
            <w:pPr>
              <w:pStyle w:val="PlainText"/>
              <w:jc w:val="both"/>
              <w:rPr>
                <w:rFonts w:ascii="Times New Roman" w:hAnsi="Times New Roman"/>
                <w:sz w:val="24"/>
                <w:szCs w:val="24"/>
              </w:rPr>
            </w:pPr>
          </w:p>
          <w:p w14:paraId="2A1CA4D1" w14:textId="77777777" w:rsidR="002D149F" w:rsidRPr="00B57019" w:rsidRDefault="002D149F" w:rsidP="00B03F98">
            <w:pPr>
              <w:pStyle w:val="PlainText"/>
              <w:jc w:val="both"/>
              <w:rPr>
                <w:rFonts w:ascii="Times New Roman" w:hAnsi="Times New Roman"/>
                <w:sz w:val="24"/>
                <w:szCs w:val="24"/>
              </w:rPr>
            </w:pPr>
          </w:p>
          <w:p w14:paraId="27EB9CB3" w14:textId="77777777" w:rsidR="002D149F" w:rsidRPr="00B57019" w:rsidRDefault="002D149F" w:rsidP="00B03F98">
            <w:pPr>
              <w:pStyle w:val="PlainText"/>
              <w:jc w:val="both"/>
              <w:rPr>
                <w:rFonts w:ascii="Times New Roman" w:hAnsi="Times New Roman"/>
                <w:sz w:val="24"/>
                <w:szCs w:val="24"/>
              </w:rPr>
            </w:pPr>
          </w:p>
          <w:p w14:paraId="14E75067" w14:textId="77777777" w:rsidR="002D149F" w:rsidRPr="00B57019" w:rsidRDefault="002D149F" w:rsidP="00B03F98">
            <w:pPr>
              <w:pStyle w:val="PlainText"/>
              <w:jc w:val="both"/>
              <w:rPr>
                <w:rFonts w:ascii="Times New Roman" w:hAnsi="Times New Roman"/>
                <w:sz w:val="24"/>
                <w:szCs w:val="24"/>
              </w:rPr>
            </w:pPr>
          </w:p>
          <w:p w14:paraId="09043CF0" w14:textId="77777777" w:rsidR="002D149F" w:rsidRPr="00B57019" w:rsidRDefault="002D149F" w:rsidP="00B03F98">
            <w:pPr>
              <w:pStyle w:val="PlainText"/>
              <w:jc w:val="both"/>
              <w:rPr>
                <w:rFonts w:ascii="Times New Roman" w:hAnsi="Times New Roman"/>
                <w:sz w:val="24"/>
                <w:szCs w:val="24"/>
              </w:rPr>
            </w:pPr>
          </w:p>
          <w:p w14:paraId="02A27B8A" w14:textId="77777777" w:rsidR="002D149F" w:rsidRPr="00B57019" w:rsidRDefault="002D149F" w:rsidP="00B03F98">
            <w:pPr>
              <w:pStyle w:val="PlainText"/>
              <w:jc w:val="both"/>
              <w:rPr>
                <w:rFonts w:ascii="Times New Roman" w:hAnsi="Times New Roman"/>
                <w:sz w:val="24"/>
                <w:szCs w:val="24"/>
              </w:rPr>
            </w:pPr>
          </w:p>
          <w:p w14:paraId="2E6A0106" w14:textId="77777777" w:rsidR="002D149F" w:rsidRPr="00B57019" w:rsidRDefault="002D149F" w:rsidP="00B03F98">
            <w:pPr>
              <w:pStyle w:val="PlainText"/>
              <w:jc w:val="both"/>
              <w:rPr>
                <w:rFonts w:ascii="Times New Roman" w:hAnsi="Times New Roman"/>
                <w:sz w:val="24"/>
                <w:szCs w:val="24"/>
              </w:rPr>
            </w:pPr>
          </w:p>
          <w:p w14:paraId="33B61D3F" w14:textId="77777777" w:rsidR="002D149F" w:rsidRPr="00B57019" w:rsidRDefault="002D149F" w:rsidP="00B03F98">
            <w:pPr>
              <w:pStyle w:val="PlainText"/>
              <w:jc w:val="both"/>
              <w:rPr>
                <w:rFonts w:ascii="Times New Roman" w:hAnsi="Times New Roman"/>
                <w:sz w:val="24"/>
                <w:szCs w:val="24"/>
              </w:rPr>
            </w:pPr>
          </w:p>
          <w:p w14:paraId="6C8CD11A" w14:textId="77777777" w:rsidR="002D149F" w:rsidRPr="00B57019" w:rsidRDefault="002D149F" w:rsidP="00B03F98">
            <w:pPr>
              <w:pStyle w:val="PlainText"/>
              <w:jc w:val="both"/>
              <w:rPr>
                <w:rFonts w:ascii="Times New Roman" w:hAnsi="Times New Roman"/>
                <w:sz w:val="24"/>
                <w:szCs w:val="24"/>
              </w:rPr>
            </w:pPr>
          </w:p>
          <w:p w14:paraId="713EBCC4" w14:textId="77777777" w:rsidR="002D149F" w:rsidRPr="00B57019" w:rsidRDefault="002D149F" w:rsidP="00B03F98">
            <w:pPr>
              <w:pStyle w:val="PlainText"/>
              <w:jc w:val="both"/>
              <w:rPr>
                <w:rFonts w:ascii="Times New Roman" w:hAnsi="Times New Roman"/>
                <w:sz w:val="24"/>
                <w:szCs w:val="24"/>
              </w:rPr>
            </w:pPr>
          </w:p>
          <w:p w14:paraId="0EDCA1D1" w14:textId="77777777" w:rsidR="002D149F" w:rsidRPr="00B57019" w:rsidRDefault="002D149F" w:rsidP="00B03F98">
            <w:pPr>
              <w:pStyle w:val="PlainText"/>
              <w:jc w:val="both"/>
              <w:rPr>
                <w:rFonts w:ascii="Times New Roman" w:hAnsi="Times New Roman"/>
                <w:sz w:val="24"/>
                <w:szCs w:val="24"/>
              </w:rPr>
            </w:pPr>
          </w:p>
          <w:p w14:paraId="41389715" w14:textId="77777777" w:rsidR="002D149F" w:rsidRPr="00B57019" w:rsidRDefault="002D149F" w:rsidP="00B03F98">
            <w:pPr>
              <w:pStyle w:val="PlainText"/>
              <w:jc w:val="both"/>
              <w:rPr>
                <w:rFonts w:ascii="Times New Roman" w:hAnsi="Times New Roman"/>
                <w:sz w:val="24"/>
                <w:szCs w:val="24"/>
              </w:rPr>
            </w:pPr>
          </w:p>
          <w:p w14:paraId="3308D766" w14:textId="77777777" w:rsidR="002D149F" w:rsidRPr="00B57019" w:rsidRDefault="002D149F" w:rsidP="00B03F98">
            <w:pPr>
              <w:pStyle w:val="PlainText"/>
              <w:jc w:val="both"/>
              <w:rPr>
                <w:rFonts w:ascii="Times New Roman" w:hAnsi="Times New Roman"/>
                <w:sz w:val="24"/>
                <w:szCs w:val="24"/>
              </w:rPr>
            </w:pPr>
          </w:p>
          <w:p w14:paraId="753C2491" w14:textId="77777777" w:rsidR="002D149F" w:rsidRPr="00B57019" w:rsidRDefault="002D149F" w:rsidP="00B03F98">
            <w:pPr>
              <w:pStyle w:val="PlainText"/>
              <w:jc w:val="both"/>
              <w:rPr>
                <w:rFonts w:ascii="Times New Roman" w:hAnsi="Times New Roman"/>
                <w:sz w:val="24"/>
                <w:szCs w:val="24"/>
              </w:rPr>
            </w:pPr>
          </w:p>
          <w:p w14:paraId="1F53B794" w14:textId="77777777" w:rsidR="002D149F" w:rsidRPr="00B57019" w:rsidRDefault="002D149F" w:rsidP="00B03F98">
            <w:pPr>
              <w:pStyle w:val="PlainText"/>
              <w:jc w:val="both"/>
              <w:rPr>
                <w:rFonts w:ascii="Times New Roman" w:hAnsi="Times New Roman"/>
                <w:sz w:val="24"/>
                <w:szCs w:val="24"/>
              </w:rPr>
            </w:pPr>
          </w:p>
          <w:p w14:paraId="69B667A1" w14:textId="77777777" w:rsidR="002D149F" w:rsidRPr="00B57019" w:rsidRDefault="002D149F" w:rsidP="00B03F98">
            <w:pPr>
              <w:pStyle w:val="PlainText"/>
              <w:jc w:val="both"/>
              <w:rPr>
                <w:rFonts w:ascii="Times New Roman" w:hAnsi="Times New Roman"/>
                <w:sz w:val="24"/>
                <w:szCs w:val="24"/>
              </w:rPr>
            </w:pPr>
          </w:p>
          <w:p w14:paraId="15B2748A" w14:textId="77777777" w:rsidR="002D149F" w:rsidRPr="00B57019" w:rsidRDefault="002D149F" w:rsidP="00B03F98">
            <w:pPr>
              <w:pStyle w:val="PlainText"/>
              <w:jc w:val="both"/>
              <w:rPr>
                <w:rFonts w:ascii="Times New Roman" w:hAnsi="Times New Roman"/>
                <w:sz w:val="24"/>
                <w:szCs w:val="24"/>
              </w:rPr>
            </w:pPr>
          </w:p>
          <w:p w14:paraId="7A2D9EEE" w14:textId="77777777" w:rsidR="002D149F" w:rsidRPr="00B57019" w:rsidRDefault="002D149F" w:rsidP="00B03F98">
            <w:pPr>
              <w:pStyle w:val="PlainText"/>
              <w:jc w:val="both"/>
              <w:rPr>
                <w:rFonts w:ascii="Times New Roman" w:hAnsi="Times New Roman"/>
                <w:sz w:val="24"/>
                <w:szCs w:val="24"/>
              </w:rPr>
            </w:pPr>
          </w:p>
          <w:p w14:paraId="433717A2" w14:textId="77777777" w:rsidR="002D149F" w:rsidRPr="00B57019" w:rsidRDefault="002D149F" w:rsidP="00B03F98">
            <w:pPr>
              <w:pStyle w:val="PlainText"/>
              <w:jc w:val="both"/>
              <w:rPr>
                <w:rFonts w:ascii="Times New Roman" w:hAnsi="Times New Roman"/>
                <w:sz w:val="24"/>
                <w:szCs w:val="24"/>
              </w:rPr>
            </w:pPr>
          </w:p>
          <w:p w14:paraId="33926F67" w14:textId="77777777" w:rsidR="002D149F" w:rsidRPr="00B57019" w:rsidRDefault="002D149F" w:rsidP="00B03F98">
            <w:pPr>
              <w:pStyle w:val="PlainText"/>
              <w:jc w:val="both"/>
              <w:rPr>
                <w:rFonts w:ascii="Times New Roman" w:hAnsi="Times New Roman"/>
                <w:sz w:val="24"/>
                <w:szCs w:val="24"/>
              </w:rPr>
            </w:pPr>
          </w:p>
          <w:p w14:paraId="13C89C2F" w14:textId="77777777" w:rsidR="002D149F" w:rsidRPr="00B57019" w:rsidRDefault="002D149F" w:rsidP="00B03F98">
            <w:pPr>
              <w:pStyle w:val="PlainText"/>
              <w:jc w:val="both"/>
              <w:rPr>
                <w:rFonts w:ascii="Times New Roman" w:hAnsi="Times New Roman"/>
                <w:sz w:val="24"/>
                <w:szCs w:val="24"/>
              </w:rPr>
            </w:pPr>
          </w:p>
          <w:p w14:paraId="121C81C8" w14:textId="77777777" w:rsidR="002D149F" w:rsidRPr="00B57019" w:rsidRDefault="002D149F" w:rsidP="00B03F98">
            <w:pPr>
              <w:pStyle w:val="PlainText"/>
              <w:jc w:val="both"/>
              <w:rPr>
                <w:rFonts w:ascii="Times New Roman" w:hAnsi="Times New Roman"/>
                <w:sz w:val="24"/>
                <w:szCs w:val="24"/>
              </w:rPr>
            </w:pPr>
          </w:p>
          <w:p w14:paraId="6AAB8CCD" w14:textId="77777777" w:rsidR="002D149F" w:rsidRPr="00B57019" w:rsidRDefault="002D149F" w:rsidP="00B03F98">
            <w:pPr>
              <w:pStyle w:val="PlainText"/>
              <w:jc w:val="both"/>
              <w:rPr>
                <w:rFonts w:ascii="Times New Roman" w:hAnsi="Times New Roman"/>
                <w:sz w:val="24"/>
                <w:szCs w:val="24"/>
              </w:rPr>
            </w:pPr>
          </w:p>
          <w:p w14:paraId="524588B0" w14:textId="77777777" w:rsidR="002D149F" w:rsidRPr="00B57019" w:rsidRDefault="002D149F" w:rsidP="00B03F98">
            <w:pPr>
              <w:pStyle w:val="PlainText"/>
              <w:jc w:val="both"/>
              <w:rPr>
                <w:rFonts w:ascii="Times New Roman" w:hAnsi="Times New Roman"/>
                <w:sz w:val="24"/>
                <w:szCs w:val="24"/>
              </w:rPr>
            </w:pPr>
          </w:p>
          <w:p w14:paraId="50999736" w14:textId="77777777" w:rsidR="002D149F" w:rsidRPr="00B57019" w:rsidRDefault="002D149F" w:rsidP="00B03F98">
            <w:pPr>
              <w:pStyle w:val="PlainText"/>
              <w:jc w:val="both"/>
              <w:rPr>
                <w:rFonts w:ascii="Times New Roman" w:hAnsi="Times New Roman"/>
                <w:sz w:val="24"/>
                <w:szCs w:val="24"/>
              </w:rPr>
            </w:pPr>
          </w:p>
          <w:p w14:paraId="2F4AD333" w14:textId="77777777" w:rsidR="002D149F" w:rsidRPr="00B57019" w:rsidRDefault="002D149F" w:rsidP="00B03F98">
            <w:pPr>
              <w:pStyle w:val="PlainText"/>
              <w:jc w:val="both"/>
              <w:rPr>
                <w:rFonts w:ascii="Times New Roman" w:hAnsi="Times New Roman"/>
                <w:sz w:val="24"/>
                <w:szCs w:val="24"/>
              </w:rPr>
            </w:pPr>
          </w:p>
          <w:p w14:paraId="64952A89" w14:textId="77777777" w:rsidR="002D149F" w:rsidRPr="00B57019" w:rsidRDefault="002D149F" w:rsidP="00B03F98">
            <w:pPr>
              <w:pStyle w:val="PlainText"/>
              <w:jc w:val="both"/>
              <w:rPr>
                <w:rFonts w:ascii="Times New Roman" w:hAnsi="Times New Roman"/>
                <w:sz w:val="24"/>
                <w:szCs w:val="24"/>
              </w:rPr>
            </w:pPr>
          </w:p>
          <w:p w14:paraId="498DAFE6" w14:textId="77777777" w:rsidR="002D149F" w:rsidRPr="00B57019" w:rsidRDefault="002D149F" w:rsidP="00B03F98">
            <w:pPr>
              <w:pStyle w:val="PlainText"/>
              <w:jc w:val="both"/>
              <w:rPr>
                <w:rFonts w:ascii="Times New Roman" w:hAnsi="Times New Roman"/>
                <w:sz w:val="24"/>
                <w:szCs w:val="24"/>
              </w:rPr>
            </w:pPr>
          </w:p>
          <w:p w14:paraId="5BA1D422" w14:textId="77777777" w:rsidR="002D149F" w:rsidRPr="00B57019" w:rsidRDefault="002D149F" w:rsidP="00B03F98">
            <w:pPr>
              <w:pStyle w:val="PlainText"/>
              <w:jc w:val="both"/>
              <w:rPr>
                <w:rFonts w:ascii="Times New Roman" w:hAnsi="Times New Roman"/>
                <w:sz w:val="24"/>
                <w:szCs w:val="24"/>
              </w:rPr>
            </w:pPr>
          </w:p>
          <w:p w14:paraId="6A54046D" w14:textId="77777777" w:rsidR="002D149F" w:rsidRPr="00B57019" w:rsidRDefault="002D149F" w:rsidP="00B03F98">
            <w:pPr>
              <w:pStyle w:val="PlainText"/>
              <w:jc w:val="both"/>
              <w:rPr>
                <w:rFonts w:ascii="Times New Roman" w:hAnsi="Times New Roman"/>
                <w:sz w:val="24"/>
                <w:szCs w:val="24"/>
              </w:rPr>
            </w:pPr>
          </w:p>
          <w:p w14:paraId="343AAEE7" w14:textId="77777777" w:rsidR="002D149F" w:rsidRPr="00B57019" w:rsidRDefault="002D149F" w:rsidP="00B03F98">
            <w:pPr>
              <w:pStyle w:val="PlainText"/>
              <w:jc w:val="both"/>
              <w:rPr>
                <w:rFonts w:ascii="Times New Roman" w:hAnsi="Times New Roman"/>
                <w:sz w:val="24"/>
                <w:szCs w:val="24"/>
              </w:rPr>
            </w:pPr>
          </w:p>
          <w:p w14:paraId="4A549D92" w14:textId="77777777" w:rsidR="002D149F" w:rsidRPr="00B57019" w:rsidRDefault="002D149F" w:rsidP="00B03F98">
            <w:pPr>
              <w:pStyle w:val="PlainText"/>
              <w:jc w:val="both"/>
              <w:rPr>
                <w:rFonts w:ascii="Times New Roman" w:hAnsi="Times New Roman"/>
                <w:sz w:val="24"/>
                <w:szCs w:val="24"/>
              </w:rPr>
            </w:pPr>
          </w:p>
          <w:p w14:paraId="2B2DD916" w14:textId="77777777" w:rsidR="002D149F" w:rsidRPr="00B57019" w:rsidRDefault="002D149F" w:rsidP="00B03F98">
            <w:pPr>
              <w:pStyle w:val="PlainText"/>
              <w:jc w:val="both"/>
              <w:rPr>
                <w:rFonts w:ascii="Times New Roman" w:hAnsi="Times New Roman"/>
                <w:sz w:val="24"/>
                <w:szCs w:val="24"/>
              </w:rPr>
            </w:pPr>
          </w:p>
          <w:p w14:paraId="18EDDBD0" w14:textId="77777777" w:rsidR="002D149F" w:rsidRPr="00B57019" w:rsidRDefault="002D149F" w:rsidP="00B03F98">
            <w:pPr>
              <w:pStyle w:val="PlainText"/>
              <w:jc w:val="both"/>
              <w:rPr>
                <w:rFonts w:ascii="Times New Roman" w:hAnsi="Times New Roman"/>
                <w:sz w:val="24"/>
                <w:szCs w:val="24"/>
              </w:rPr>
            </w:pPr>
          </w:p>
          <w:p w14:paraId="78168497" w14:textId="77777777" w:rsidR="002D149F" w:rsidRPr="00B57019" w:rsidRDefault="002D149F" w:rsidP="00B03F98">
            <w:pPr>
              <w:pStyle w:val="PlainText"/>
              <w:jc w:val="both"/>
              <w:rPr>
                <w:rFonts w:ascii="Times New Roman" w:hAnsi="Times New Roman"/>
                <w:sz w:val="24"/>
                <w:szCs w:val="24"/>
              </w:rPr>
            </w:pPr>
          </w:p>
          <w:p w14:paraId="12E98061" w14:textId="77777777" w:rsidR="002D149F" w:rsidRPr="00B57019" w:rsidRDefault="002D149F" w:rsidP="00B03F98">
            <w:pPr>
              <w:pStyle w:val="PlainText"/>
              <w:jc w:val="both"/>
              <w:rPr>
                <w:rFonts w:ascii="Times New Roman" w:hAnsi="Times New Roman"/>
                <w:sz w:val="24"/>
                <w:szCs w:val="24"/>
              </w:rPr>
            </w:pPr>
          </w:p>
          <w:p w14:paraId="22EED5E4" w14:textId="77777777" w:rsidR="002D149F" w:rsidRPr="00B57019" w:rsidRDefault="002D149F" w:rsidP="00B03F98">
            <w:pPr>
              <w:pStyle w:val="PlainText"/>
              <w:jc w:val="both"/>
              <w:rPr>
                <w:rFonts w:ascii="Times New Roman" w:hAnsi="Times New Roman"/>
                <w:sz w:val="24"/>
                <w:szCs w:val="24"/>
              </w:rPr>
            </w:pPr>
          </w:p>
          <w:p w14:paraId="3F905EB3" w14:textId="77777777" w:rsidR="002D149F" w:rsidRPr="00B57019" w:rsidRDefault="002D149F" w:rsidP="00B03F98">
            <w:pPr>
              <w:pStyle w:val="PlainText"/>
              <w:jc w:val="both"/>
              <w:rPr>
                <w:rFonts w:ascii="Times New Roman" w:hAnsi="Times New Roman"/>
                <w:sz w:val="24"/>
                <w:szCs w:val="24"/>
              </w:rPr>
            </w:pPr>
          </w:p>
          <w:p w14:paraId="208DCED3" w14:textId="77777777" w:rsidR="002D149F" w:rsidRPr="00B57019" w:rsidRDefault="002D149F" w:rsidP="00B03F98">
            <w:pPr>
              <w:pStyle w:val="PlainText"/>
              <w:jc w:val="both"/>
              <w:rPr>
                <w:rFonts w:ascii="Times New Roman" w:hAnsi="Times New Roman"/>
                <w:sz w:val="24"/>
                <w:szCs w:val="24"/>
              </w:rPr>
            </w:pPr>
          </w:p>
          <w:p w14:paraId="7B44274D" w14:textId="77777777" w:rsidR="002D149F" w:rsidRPr="00B57019" w:rsidRDefault="002D149F" w:rsidP="00B03F98">
            <w:pPr>
              <w:pStyle w:val="PlainText"/>
              <w:jc w:val="both"/>
              <w:rPr>
                <w:rFonts w:ascii="Times New Roman" w:hAnsi="Times New Roman"/>
                <w:sz w:val="24"/>
                <w:szCs w:val="24"/>
              </w:rPr>
            </w:pPr>
          </w:p>
          <w:p w14:paraId="00A4AD16" w14:textId="77777777" w:rsidR="002D149F" w:rsidRPr="00B57019" w:rsidRDefault="002D149F" w:rsidP="00B03F98">
            <w:pPr>
              <w:pStyle w:val="PlainText"/>
              <w:jc w:val="both"/>
              <w:rPr>
                <w:rFonts w:ascii="Times New Roman" w:hAnsi="Times New Roman"/>
                <w:sz w:val="24"/>
                <w:szCs w:val="24"/>
              </w:rPr>
            </w:pPr>
          </w:p>
          <w:p w14:paraId="4890DF10" w14:textId="77777777" w:rsidR="002D149F" w:rsidRPr="00B57019" w:rsidRDefault="002D149F" w:rsidP="00B03F98">
            <w:pPr>
              <w:pStyle w:val="PlainText"/>
              <w:jc w:val="both"/>
              <w:rPr>
                <w:rFonts w:ascii="Times New Roman" w:hAnsi="Times New Roman"/>
                <w:sz w:val="24"/>
                <w:szCs w:val="24"/>
              </w:rPr>
            </w:pPr>
          </w:p>
          <w:p w14:paraId="78CA39E2" w14:textId="77777777" w:rsidR="002D149F" w:rsidRPr="00B57019" w:rsidRDefault="002D149F" w:rsidP="00B03F98">
            <w:pPr>
              <w:pStyle w:val="PlainText"/>
              <w:jc w:val="both"/>
              <w:rPr>
                <w:rFonts w:ascii="Times New Roman" w:hAnsi="Times New Roman"/>
                <w:sz w:val="24"/>
                <w:szCs w:val="24"/>
              </w:rPr>
            </w:pPr>
          </w:p>
          <w:p w14:paraId="011B8CF0" w14:textId="77777777" w:rsidR="002D149F" w:rsidRPr="00B57019" w:rsidRDefault="002D149F" w:rsidP="00B03F98">
            <w:pPr>
              <w:pStyle w:val="PlainText"/>
              <w:jc w:val="both"/>
              <w:rPr>
                <w:rFonts w:ascii="Times New Roman" w:hAnsi="Times New Roman"/>
                <w:sz w:val="24"/>
                <w:szCs w:val="24"/>
              </w:rPr>
            </w:pPr>
          </w:p>
          <w:p w14:paraId="18FA9427" w14:textId="77777777" w:rsidR="002D149F" w:rsidRPr="00B57019" w:rsidRDefault="002D149F" w:rsidP="00B03F98">
            <w:pPr>
              <w:pStyle w:val="PlainText"/>
              <w:jc w:val="both"/>
              <w:rPr>
                <w:rFonts w:ascii="Times New Roman" w:hAnsi="Times New Roman"/>
                <w:sz w:val="24"/>
                <w:szCs w:val="24"/>
              </w:rPr>
            </w:pPr>
          </w:p>
          <w:p w14:paraId="60126227" w14:textId="77777777" w:rsidR="002D149F" w:rsidRPr="00B57019" w:rsidRDefault="002D149F" w:rsidP="00B03F98">
            <w:pPr>
              <w:pStyle w:val="PlainText"/>
              <w:jc w:val="both"/>
              <w:rPr>
                <w:rFonts w:ascii="Times New Roman" w:hAnsi="Times New Roman"/>
                <w:sz w:val="24"/>
                <w:szCs w:val="24"/>
              </w:rPr>
            </w:pPr>
          </w:p>
          <w:p w14:paraId="3C4C4A2C" w14:textId="77777777" w:rsidR="002D149F" w:rsidRPr="00B57019" w:rsidRDefault="002D149F" w:rsidP="00B03F98">
            <w:pPr>
              <w:pStyle w:val="PlainText"/>
              <w:jc w:val="both"/>
              <w:rPr>
                <w:rFonts w:ascii="Times New Roman" w:hAnsi="Times New Roman"/>
                <w:sz w:val="24"/>
                <w:szCs w:val="24"/>
              </w:rPr>
            </w:pPr>
          </w:p>
          <w:p w14:paraId="55C64D9A" w14:textId="77777777" w:rsidR="002D149F" w:rsidRPr="00B57019" w:rsidRDefault="002D149F" w:rsidP="00B03F98">
            <w:pPr>
              <w:pStyle w:val="PlainText"/>
              <w:jc w:val="both"/>
              <w:rPr>
                <w:rFonts w:ascii="Times New Roman" w:hAnsi="Times New Roman"/>
                <w:sz w:val="24"/>
                <w:szCs w:val="24"/>
              </w:rPr>
            </w:pPr>
          </w:p>
          <w:p w14:paraId="339C020F" w14:textId="77777777" w:rsidR="002D149F" w:rsidRPr="00B57019" w:rsidRDefault="002D149F" w:rsidP="00B03F98">
            <w:pPr>
              <w:pStyle w:val="PlainText"/>
              <w:jc w:val="both"/>
              <w:rPr>
                <w:rFonts w:ascii="Times New Roman" w:hAnsi="Times New Roman"/>
                <w:sz w:val="24"/>
                <w:szCs w:val="24"/>
              </w:rPr>
            </w:pPr>
          </w:p>
          <w:p w14:paraId="0307CF9F" w14:textId="77777777" w:rsidR="002D149F" w:rsidRPr="00B57019" w:rsidRDefault="002D149F" w:rsidP="00B03F98">
            <w:pPr>
              <w:pStyle w:val="PlainText"/>
              <w:jc w:val="both"/>
              <w:rPr>
                <w:rFonts w:ascii="Times New Roman" w:hAnsi="Times New Roman"/>
                <w:sz w:val="24"/>
                <w:szCs w:val="24"/>
              </w:rPr>
            </w:pPr>
          </w:p>
          <w:p w14:paraId="5DB4B5E4" w14:textId="77777777" w:rsidR="002D149F" w:rsidRPr="00B57019" w:rsidRDefault="002D149F" w:rsidP="00B03F98">
            <w:pPr>
              <w:pStyle w:val="PlainText"/>
              <w:jc w:val="both"/>
              <w:rPr>
                <w:rFonts w:ascii="Times New Roman" w:hAnsi="Times New Roman"/>
                <w:sz w:val="24"/>
                <w:szCs w:val="24"/>
              </w:rPr>
            </w:pPr>
          </w:p>
          <w:p w14:paraId="78B2CF55" w14:textId="77777777" w:rsidR="002D149F" w:rsidRPr="00B57019" w:rsidRDefault="002D149F" w:rsidP="00B03F98">
            <w:pPr>
              <w:pStyle w:val="PlainText"/>
              <w:jc w:val="both"/>
              <w:rPr>
                <w:rFonts w:ascii="Times New Roman" w:hAnsi="Times New Roman"/>
                <w:sz w:val="24"/>
                <w:szCs w:val="24"/>
              </w:rPr>
            </w:pPr>
          </w:p>
          <w:p w14:paraId="7EC8E91C" w14:textId="77777777" w:rsidR="002D149F" w:rsidRPr="00B57019" w:rsidRDefault="002D149F" w:rsidP="00B03F98">
            <w:pPr>
              <w:pStyle w:val="PlainText"/>
              <w:jc w:val="both"/>
              <w:rPr>
                <w:rFonts w:ascii="Times New Roman" w:hAnsi="Times New Roman"/>
                <w:sz w:val="24"/>
                <w:szCs w:val="24"/>
              </w:rPr>
            </w:pPr>
          </w:p>
          <w:p w14:paraId="7CA3D379" w14:textId="77777777" w:rsidR="002D149F" w:rsidRPr="00B57019" w:rsidRDefault="002D149F" w:rsidP="00B03F98">
            <w:pPr>
              <w:pStyle w:val="PlainText"/>
              <w:jc w:val="both"/>
              <w:rPr>
                <w:rFonts w:ascii="Times New Roman" w:hAnsi="Times New Roman"/>
                <w:sz w:val="24"/>
                <w:szCs w:val="24"/>
              </w:rPr>
            </w:pPr>
          </w:p>
          <w:p w14:paraId="33F4D659" w14:textId="77777777" w:rsidR="002D149F" w:rsidRPr="00B57019" w:rsidRDefault="002D149F" w:rsidP="00B03F98">
            <w:pPr>
              <w:pStyle w:val="PlainText"/>
              <w:jc w:val="both"/>
              <w:rPr>
                <w:rFonts w:ascii="Times New Roman" w:hAnsi="Times New Roman"/>
                <w:sz w:val="24"/>
                <w:szCs w:val="24"/>
              </w:rPr>
            </w:pPr>
          </w:p>
          <w:p w14:paraId="52CFE4E1" w14:textId="77777777" w:rsidR="002D149F" w:rsidRPr="00B57019" w:rsidRDefault="002D149F" w:rsidP="00B03F98">
            <w:pPr>
              <w:pStyle w:val="PlainText"/>
              <w:jc w:val="both"/>
              <w:rPr>
                <w:rFonts w:ascii="Times New Roman" w:hAnsi="Times New Roman"/>
                <w:sz w:val="24"/>
                <w:szCs w:val="24"/>
              </w:rPr>
            </w:pPr>
          </w:p>
          <w:p w14:paraId="0C8C6FB2" w14:textId="77777777" w:rsidR="002D149F" w:rsidRPr="00B57019" w:rsidRDefault="002D149F" w:rsidP="00B03F98">
            <w:pPr>
              <w:pStyle w:val="PlainText"/>
              <w:jc w:val="both"/>
              <w:rPr>
                <w:rFonts w:ascii="Times New Roman" w:hAnsi="Times New Roman"/>
                <w:sz w:val="24"/>
                <w:szCs w:val="24"/>
              </w:rPr>
            </w:pPr>
          </w:p>
          <w:p w14:paraId="02A5BEFC" w14:textId="77777777" w:rsidR="002D149F" w:rsidRPr="00B57019" w:rsidRDefault="002D149F" w:rsidP="00B03F98">
            <w:pPr>
              <w:pStyle w:val="PlainText"/>
              <w:jc w:val="both"/>
              <w:rPr>
                <w:rFonts w:ascii="Times New Roman" w:hAnsi="Times New Roman"/>
                <w:sz w:val="24"/>
                <w:szCs w:val="24"/>
              </w:rPr>
            </w:pPr>
          </w:p>
          <w:p w14:paraId="2B9C6951" w14:textId="77777777" w:rsidR="002D149F" w:rsidRPr="00B57019" w:rsidRDefault="002D149F" w:rsidP="00B03F98">
            <w:pPr>
              <w:pStyle w:val="PlainText"/>
              <w:jc w:val="both"/>
              <w:rPr>
                <w:rFonts w:ascii="Times New Roman" w:hAnsi="Times New Roman"/>
                <w:sz w:val="24"/>
                <w:szCs w:val="24"/>
              </w:rPr>
            </w:pPr>
          </w:p>
          <w:p w14:paraId="2A8122DE" w14:textId="77777777" w:rsidR="002D149F" w:rsidRPr="00B57019" w:rsidRDefault="002D149F" w:rsidP="00B03F98">
            <w:pPr>
              <w:pStyle w:val="PlainText"/>
              <w:jc w:val="both"/>
              <w:rPr>
                <w:rFonts w:ascii="Times New Roman" w:hAnsi="Times New Roman"/>
                <w:sz w:val="24"/>
                <w:szCs w:val="24"/>
              </w:rPr>
            </w:pPr>
          </w:p>
          <w:p w14:paraId="37237258" w14:textId="77777777" w:rsidR="002D149F" w:rsidRPr="00B57019" w:rsidRDefault="002D149F" w:rsidP="00B03F98">
            <w:pPr>
              <w:pStyle w:val="PlainText"/>
              <w:jc w:val="both"/>
              <w:rPr>
                <w:rFonts w:ascii="Times New Roman" w:hAnsi="Times New Roman"/>
                <w:sz w:val="24"/>
                <w:szCs w:val="24"/>
              </w:rPr>
            </w:pPr>
          </w:p>
          <w:p w14:paraId="65E66FAF" w14:textId="77777777" w:rsidR="002D149F" w:rsidRPr="00B57019" w:rsidRDefault="002D149F" w:rsidP="00B03F98">
            <w:pPr>
              <w:pStyle w:val="PlainText"/>
              <w:jc w:val="both"/>
              <w:rPr>
                <w:rFonts w:ascii="Times New Roman" w:hAnsi="Times New Roman"/>
                <w:sz w:val="24"/>
                <w:szCs w:val="24"/>
              </w:rPr>
            </w:pPr>
          </w:p>
          <w:p w14:paraId="545784FC" w14:textId="77777777" w:rsidR="002D149F" w:rsidRPr="00B57019" w:rsidRDefault="002D149F" w:rsidP="00B03F98">
            <w:pPr>
              <w:pStyle w:val="PlainText"/>
              <w:jc w:val="both"/>
              <w:rPr>
                <w:rFonts w:ascii="Times New Roman" w:hAnsi="Times New Roman"/>
                <w:sz w:val="24"/>
                <w:szCs w:val="24"/>
              </w:rPr>
            </w:pPr>
          </w:p>
          <w:p w14:paraId="3C958D6A" w14:textId="77777777" w:rsidR="002D149F" w:rsidRPr="00B57019" w:rsidRDefault="002D149F" w:rsidP="00B03F98">
            <w:pPr>
              <w:pStyle w:val="PlainText"/>
              <w:jc w:val="both"/>
              <w:rPr>
                <w:rFonts w:ascii="Times New Roman" w:hAnsi="Times New Roman"/>
                <w:sz w:val="24"/>
                <w:szCs w:val="24"/>
              </w:rPr>
            </w:pPr>
          </w:p>
          <w:p w14:paraId="505EFB7E" w14:textId="77777777" w:rsidR="002D149F" w:rsidRPr="00B57019" w:rsidRDefault="002D149F" w:rsidP="00B03F98">
            <w:pPr>
              <w:pStyle w:val="PlainText"/>
              <w:jc w:val="both"/>
              <w:rPr>
                <w:rFonts w:ascii="Times New Roman" w:hAnsi="Times New Roman"/>
                <w:sz w:val="24"/>
                <w:szCs w:val="24"/>
              </w:rPr>
            </w:pPr>
          </w:p>
          <w:p w14:paraId="66E2DE66" w14:textId="77777777" w:rsidR="002D149F" w:rsidRPr="00B57019" w:rsidRDefault="002D149F" w:rsidP="00B03F98">
            <w:pPr>
              <w:pStyle w:val="PlainText"/>
              <w:jc w:val="both"/>
              <w:rPr>
                <w:rFonts w:ascii="Times New Roman" w:hAnsi="Times New Roman"/>
                <w:sz w:val="24"/>
                <w:szCs w:val="24"/>
              </w:rPr>
            </w:pPr>
          </w:p>
          <w:p w14:paraId="287ACFCA" w14:textId="77777777" w:rsidR="002D149F" w:rsidRPr="00B57019" w:rsidRDefault="002D149F" w:rsidP="00B03F98">
            <w:pPr>
              <w:pStyle w:val="PlainText"/>
              <w:jc w:val="both"/>
              <w:rPr>
                <w:rFonts w:ascii="Times New Roman" w:hAnsi="Times New Roman"/>
                <w:sz w:val="24"/>
                <w:szCs w:val="24"/>
              </w:rPr>
            </w:pPr>
          </w:p>
          <w:p w14:paraId="0A823EF8" w14:textId="77777777" w:rsidR="002D149F" w:rsidRPr="00B57019" w:rsidRDefault="002D149F" w:rsidP="00B03F98">
            <w:pPr>
              <w:pStyle w:val="PlainText"/>
              <w:jc w:val="both"/>
              <w:rPr>
                <w:rFonts w:ascii="Times New Roman" w:hAnsi="Times New Roman"/>
                <w:sz w:val="24"/>
                <w:szCs w:val="24"/>
              </w:rPr>
            </w:pPr>
          </w:p>
          <w:p w14:paraId="41B6679E" w14:textId="77777777" w:rsidR="002D149F" w:rsidRPr="00B57019" w:rsidRDefault="002D149F" w:rsidP="00B03F98">
            <w:pPr>
              <w:pStyle w:val="PlainText"/>
              <w:jc w:val="both"/>
              <w:rPr>
                <w:rFonts w:ascii="Times New Roman" w:hAnsi="Times New Roman"/>
                <w:sz w:val="24"/>
                <w:szCs w:val="24"/>
              </w:rPr>
            </w:pPr>
          </w:p>
          <w:p w14:paraId="0DB1E2BB" w14:textId="77777777" w:rsidR="002D149F" w:rsidRPr="00B57019" w:rsidRDefault="002D149F" w:rsidP="00B03F98">
            <w:pPr>
              <w:pStyle w:val="PlainText"/>
              <w:jc w:val="both"/>
              <w:rPr>
                <w:rFonts w:ascii="Times New Roman" w:hAnsi="Times New Roman"/>
                <w:sz w:val="24"/>
                <w:szCs w:val="24"/>
              </w:rPr>
            </w:pPr>
          </w:p>
          <w:p w14:paraId="7C53DA99" w14:textId="77777777" w:rsidR="002D149F" w:rsidRPr="00B57019" w:rsidRDefault="002D149F" w:rsidP="00B03F98">
            <w:pPr>
              <w:pStyle w:val="PlainText"/>
              <w:jc w:val="both"/>
              <w:rPr>
                <w:rFonts w:ascii="Times New Roman" w:hAnsi="Times New Roman"/>
                <w:sz w:val="24"/>
                <w:szCs w:val="24"/>
              </w:rPr>
            </w:pPr>
          </w:p>
          <w:p w14:paraId="37F62867" w14:textId="77777777" w:rsidR="002D149F" w:rsidRPr="00B57019" w:rsidRDefault="002D149F" w:rsidP="00B03F98">
            <w:pPr>
              <w:pStyle w:val="PlainText"/>
              <w:jc w:val="both"/>
              <w:rPr>
                <w:rFonts w:ascii="Times New Roman" w:hAnsi="Times New Roman"/>
                <w:sz w:val="24"/>
                <w:szCs w:val="24"/>
              </w:rPr>
            </w:pPr>
          </w:p>
          <w:p w14:paraId="7978C4F7" w14:textId="77777777" w:rsidR="002D149F" w:rsidRPr="00B57019" w:rsidRDefault="002D149F" w:rsidP="00B03F98">
            <w:pPr>
              <w:pStyle w:val="PlainText"/>
              <w:jc w:val="both"/>
              <w:rPr>
                <w:rFonts w:ascii="Times New Roman" w:hAnsi="Times New Roman"/>
                <w:sz w:val="24"/>
                <w:szCs w:val="24"/>
              </w:rPr>
            </w:pPr>
          </w:p>
          <w:p w14:paraId="292937DC" w14:textId="77777777" w:rsidR="002D149F" w:rsidRPr="00B57019" w:rsidRDefault="002D149F" w:rsidP="00B03F98">
            <w:pPr>
              <w:pStyle w:val="PlainText"/>
              <w:jc w:val="both"/>
              <w:rPr>
                <w:rFonts w:ascii="Times New Roman" w:hAnsi="Times New Roman"/>
                <w:sz w:val="24"/>
                <w:szCs w:val="24"/>
              </w:rPr>
            </w:pPr>
          </w:p>
          <w:p w14:paraId="2D50BDC7" w14:textId="77777777" w:rsidR="002D149F" w:rsidRPr="00B57019" w:rsidRDefault="002D149F" w:rsidP="00B03F98">
            <w:pPr>
              <w:pStyle w:val="PlainText"/>
              <w:jc w:val="both"/>
              <w:rPr>
                <w:rFonts w:ascii="Times New Roman" w:hAnsi="Times New Roman"/>
                <w:sz w:val="24"/>
                <w:szCs w:val="24"/>
              </w:rPr>
            </w:pPr>
          </w:p>
          <w:p w14:paraId="0D8D4061" w14:textId="77777777" w:rsidR="002D149F" w:rsidRPr="00B57019" w:rsidRDefault="002D149F" w:rsidP="00B03F98">
            <w:pPr>
              <w:pStyle w:val="PlainText"/>
              <w:jc w:val="both"/>
              <w:rPr>
                <w:rFonts w:ascii="Times New Roman" w:hAnsi="Times New Roman"/>
                <w:sz w:val="24"/>
                <w:szCs w:val="24"/>
              </w:rPr>
            </w:pPr>
          </w:p>
          <w:p w14:paraId="7EEB8ED8" w14:textId="77777777" w:rsidR="002D149F" w:rsidRPr="00B57019" w:rsidRDefault="002D149F" w:rsidP="00B03F98">
            <w:pPr>
              <w:pStyle w:val="PlainText"/>
              <w:jc w:val="both"/>
              <w:rPr>
                <w:rFonts w:ascii="Times New Roman" w:hAnsi="Times New Roman"/>
                <w:sz w:val="24"/>
                <w:szCs w:val="24"/>
              </w:rPr>
            </w:pPr>
          </w:p>
          <w:p w14:paraId="2DD3EADB" w14:textId="77777777" w:rsidR="002D149F" w:rsidRPr="00B57019" w:rsidRDefault="002D149F" w:rsidP="00B03F98">
            <w:pPr>
              <w:pStyle w:val="PlainText"/>
              <w:jc w:val="both"/>
              <w:rPr>
                <w:rFonts w:ascii="Times New Roman" w:hAnsi="Times New Roman"/>
                <w:sz w:val="24"/>
                <w:szCs w:val="24"/>
              </w:rPr>
            </w:pPr>
          </w:p>
          <w:p w14:paraId="35E5AD19" w14:textId="77777777" w:rsidR="002D149F" w:rsidRPr="00B57019" w:rsidRDefault="002D149F" w:rsidP="00B03F98">
            <w:pPr>
              <w:pStyle w:val="PlainText"/>
              <w:jc w:val="both"/>
              <w:rPr>
                <w:rFonts w:ascii="Times New Roman" w:hAnsi="Times New Roman"/>
                <w:sz w:val="24"/>
                <w:szCs w:val="24"/>
              </w:rPr>
            </w:pPr>
          </w:p>
          <w:p w14:paraId="472E743E" w14:textId="77777777" w:rsidR="002D149F" w:rsidRPr="00B57019" w:rsidRDefault="002D149F" w:rsidP="00B03F98">
            <w:pPr>
              <w:pStyle w:val="PlainText"/>
              <w:jc w:val="both"/>
              <w:rPr>
                <w:rFonts w:ascii="Times New Roman" w:hAnsi="Times New Roman"/>
                <w:sz w:val="24"/>
                <w:szCs w:val="24"/>
              </w:rPr>
            </w:pPr>
          </w:p>
          <w:p w14:paraId="5C2E5865" w14:textId="77777777" w:rsidR="002D149F" w:rsidRPr="00B57019" w:rsidRDefault="002D149F" w:rsidP="00B03F98">
            <w:pPr>
              <w:pStyle w:val="PlainText"/>
              <w:jc w:val="both"/>
              <w:rPr>
                <w:rFonts w:ascii="Times New Roman" w:hAnsi="Times New Roman"/>
                <w:sz w:val="24"/>
                <w:szCs w:val="24"/>
              </w:rPr>
            </w:pPr>
          </w:p>
          <w:p w14:paraId="79020DC7" w14:textId="77777777" w:rsidR="002D149F" w:rsidRPr="00B57019" w:rsidRDefault="002D149F" w:rsidP="00B03F98">
            <w:pPr>
              <w:pStyle w:val="PlainText"/>
              <w:jc w:val="both"/>
              <w:rPr>
                <w:rFonts w:ascii="Times New Roman" w:hAnsi="Times New Roman"/>
                <w:sz w:val="24"/>
                <w:szCs w:val="24"/>
              </w:rPr>
            </w:pPr>
          </w:p>
          <w:p w14:paraId="58E447A0" w14:textId="77777777" w:rsidR="00FD22AF" w:rsidRPr="00B57019" w:rsidRDefault="00FD22AF" w:rsidP="002D149F">
            <w:pPr>
              <w:pStyle w:val="CommentText"/>
              <w:jc w:val="both"/>
              <w:rPr>
                <w:rStyle w:val="normaltextrun"/>
                <w:sz w:val="24"/>
                <w:szCs w:val="24"/>
                <w:shd w:val="clear" w:color="auto" w:fill="FFFFFF"/>
              </w:rPr>
            </w:pPr>
          </w:p>
          <w:p w14:paraId="33C48044" w14:textId="12C44AB5" w:rsidR="002D149F" w:rsidRPr="00B57019" w:rsidRDefault="005057E8" w:rsidP="002D149F">
            <w:pPr>
              <w:pStyle w:val="CommentText"/>
              <w:jc w:val="both"/>
              <w:rPr>
                <w:sz w:val="24"/>
                <w:szCs w:val="24"/>
              </w:rPr>
            </w:pPr>
            <w:r w:rsidRPr="00B57019">
              <w:rPr>
                <w:rStyle w:val="normaltextrun"/>
                <w:sz w:val="24"/>
                <w:szCs w:val="24"/>
                <w:shd w:val="clear" w:color="auto" w:fill="FFFFFF"/>
              </w:rPr>
              <w:t>Aprēķinos tika ņemts vidējs skaits rēķinu, visām ministrijām vienādi, kas sastāda minimālo ienākošo rēķinu skaitu, kurš katrai iestādei ir (10 ienākošie rēķini mēnesī). Šī ziņojuma mērķis nav apzināt rēķinu skaitu, kas tiek apstrādāts valsts pārvaldē, bet gan pamatot to, ka ieviešamais e-rēķinu risinājums rada ietaupījumus rēķinu apstrādē.</w:t>
            </w:r>
            <w:r w:rsidRPr="00B57019">
              <w:rPr>
                <w:rStyle w:val="eop"/>
                <w:sz w:val="24"/>
                <w:szCs w:val="24"/>
                <w:shd w:val="clear" w:color="auto" w:fill="FFFFFF"/>
              </w:rPr>
              <w:t> </w:t>
            </w:r>
          </w:p>
          <w:p w14:paraId="14796EF9" w14:textId="77777777" w:rsidR="002D149F" w:rsidRPr="00B57019" w:rsidRDefault="002D149F" w:rsidP="002D149F">
            <w:pPr>
              <w:pStyle w:val="CommentText"/>
              <w:jc w:val="both"/>
              <w:rPr>
                <w:sz w:val="24"/>
                <w:szCs w:val="24"/>
              </w:rPr>
            </w:pPr>
          </w:p>
          <w:p w14:paraId="489CBC56" w14:textId="77777777" w:rsidR="00FD22AF" w:rsidRPr="00B57019" w:rsidRDefault="00FD22AF" w:rsidP="002D149F">
            <w:pPr>
              <w:pStyle w:val="CommentText"/>
              <w:jc w:val="both"/>
              <w:rPr>
                <w:rStyle w:val="normaltextrun"/>
                <w:sz w:val="24"/>
                <w:szCs w:val="24"/>
                <w:shd w:val="clear" w:color="auto" w:fill="FFFFFF"/>
              </w:rPr>
            </w:pPr>
          </w:p>
          <w:p w14:paraId="33383C64" w14:textId="543BAB97" w:rsidR="002D149F" w:rsidRPr="00B57019" w:rsidRDefault="005057E8" w:rsidP="002D149F">
            <w:pPr>
              <w:pStyle w:val="CommentText"/>
              <w:jc w:val="both"/>
              <w:rPr>
                <w:sz w:val="24"/>
                <w:szCs w:val="24"/>
              </w:rPr>
            </w:pPr>
            <w:r w:rsidRPr="00B57019">
              <w:rPr>
                <w:rStyle w:val="normaltextrun"/>
                <w:sz w:val="24"/>
                <w:szCs w:val="24"/>
                <w:shd w:val="clear" w:color="auto" w:fill="FFFFFF"/>
              </w:rPr>
              <w:t>VRAA pārziņā nav informācija par ierakstītiem sūtījumiem. Kā arī svarīgs faktors ir tas, ka bieži netiek ievērots likums un vēstules tiek sūtītas e-pastā kaut gan likums norāda, ka tas jādara izmantojot e-adresi.</w:t>
            </w:r>
            <w:r w:rsidRPr="00B57019">
              <w:rPr>
                <w:rStyle w:val="eop"/>
                <w:sz w:val="24"/>
                <w:szCs w:val="24"/>
                <w:shd w:val="clear" w:color="auto" w:fill="FFFFFF"/>
              </w:rPr>
              <w:t> </w:t>
            </w:r>
          </w:p>
          <w:p w14:paraId="0F718699" w14:textId="77777777" w:rsidR="002D149F" w:rsidRPr="00B57019" w:rsidRDefault="002D149F" w:rsidP="002D149F">
            <w:pPr>
              <w:pStyle w:val="CommentText"/>
              <w:jc w:val="both"/>
              <w:rPr>
                <w:sz w:val="24"/>
                <w:szCs w:val="24"/>
              </w:rPr>
            </w:pPr>
          </w:p>
          <w:p w14:paraId="11454CE3" w14:textId="77777777" w:rsidR="002D149F" w:rsidRPr="00B57019" w:rsidRDefault="002D149F" w:rsidP="002D149F">
            <w:pPr>
              <w:pStyle w:val="CommentText"/>
              <w:jc w:val="both"/>
              <w:rPr>
                <w:sz w:val="24"/>
                <w:szCs w:val="24"/>
              </w:rPr>
            </w:pPr>
          </w:p>
          <w:p w14:paraId="2AA367E0" w14:textId="77777777" w:rsidR="002D149F" w:rsidRPr="00B57019" w:rsidRDefault="002D149F" w:rsidP="002D149F">
            <w:pPr>
              <w:pStyle w:val="CommentText"/>
              <w:jc w:val="both"/>
              <w:rPr>
                <w:sz w:val="24"/>
                <w:szCs w:val="24"/>
              </w:rPr>
            </w:pPr>
          </w:p>
          <w:p w14:paraId="59D4B3D2" w14:textId="77777777" w:rsidR="002D149F" w:rsidRPr="00B57019" w:rsidRDefault="002D149F" w:rsidP="002D149F">
            <w:pPr>
              <w:pStyle w:val="CommentText"/>
              <w:jc w:val="both"/>
              <w:rPr>
                <w:sz w:val="24"/>
                <w:szCs w:val="24"/>
              </w:rPr>
            </w:pPr>
          </w:p>
          <w:p w14:paraId="50036903" w14:textId="77777777" w:rsidR="002D149F" w:rsidRPr="00B57019" w:rsidRDefault="002D149F" w:rsidP="002D149F">
            <w:pPr>
              <w:pStyle w:val="CommentText"/>
              <w:jc w:val="both"/>
              <w:rPr>
                <w:sz w:val="24"/>
                <w:szCs w:val="24"/>
              </w:rPr>
            </w:pPr>
          </w:p>
          <w:p w14:paraId="2DE07D3F" w14:textId="77777777" w:rsidR="002D149F" w:rsidRPr="00B57019" w:rsidRDefault="002D149F" w:rsidP="002D149F">
            <w:pPr>
              <w:pStyle w:val="CommentText"/>
              <w:jc w:val="both"/>
              <w:rPr>
                <w:sz w:val="24"/>
                <w:szCs w:val="24"/>
              </w:rPr>
            </w:pPr>
          </w:p>
          <w:p w14:paraId="1831959B" w14:textId="77777777" w:rsidR="002D149F" w:rsidRPr="00B57019" w:rsidRDefault="002D149F" w:rsidP="002D149F">
            <w:pPr>
              <w:pStyle w:val="CommentText"/>
              <w:jc w:val="both"/>
              <w:rPr>
                <w:sz w:val="24"/>
                <w:szCs w:val="24"/>
              </w:rPr>
            </w:pPr>
          </w:p>
          <w:p w14:paraId="67BC25C8" w14:textId="2E450E8F" w:rsidR="002D149F" w:rsidRPr="00B57019" w:rsidRDefault="002D149F" w:rsidP="00B03F98">
            <w:pPr>
              <w:pStyle w:val="PlainText"/>
              <w:jc w:val="both"/>
              <w:rPr>
                <w:rFonts w:ascii="Times New Roman" w:hAnsi="Times New Roman"/>
                <w:b/>
                <w:sz w:val="24"/>
                <w:szCs w:val="24"/>
                <w:lang w:val="lv-LV"/>
              </w:rPr>
            </w:pP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0683C2BC" w14:textId="77777777" w:rsidR="00EC5B70" w:rsidRPr="00B57019" w:rsidRDefault="00EC5B70" w:rsidP="009851F7">
            <w:pPr>
              <w:jc w:val="both"/>
            </w:pPr>
          </w:p>
          <w:p w14:paraId="2AA59FCB" w14:textId="77777777" w:rsidR="00313D9D" w:rsidRPr="00B57019" w:rsidRDefault="00313D9D" w:rsidP="009851F7">
            <w:pPr>
              <w:jc w:val="both"/>
            </w:pPr>
          </w:p>
          <w:p w14:paraId="2EF0067D" w14:textId="77777777" w:rsidR="00313D9D" w:rsidRPr="00B57019" w:rsidRDefault="00313D9D" w:rsidP="009851F7">
            <w:pPr>
              <w:jc w:val="both"/>
            </w:pPr>
          </w:p>
          <w:p w14:paraId="4935B7C9" w14:textId="77777777" w:rsidR="00313D9D" w:rsidRPr="00B57019" w:rsidRDefault="00313D9D" w:rsidP="009851F7">
            <w:pPr>
              <w:jc w:val="both"/>
            </w:pPr>
          </w:p>
          <w:p w14:paraId="2CD873B6" w14:textId="77777777" w:rsidR="00313D9D" w:rsidRPr="00B57019" w:rsidRDefault="00313D9D" w:rsidP="009851F7">
            <w:pPr>
              <w:jc w:val="both"/>
            </w:pPr>
          </w:p>
          <w:p w14:paraId="06DBD0DB" w14:textId="77777777" w:rsidR="00313D9D" w:rsidRPr="00B57019" w:rsidRDefault="00313D9D" w:rsidP="009851F7">
            <w:pPr>
              <w:jc w:val="both"/>
            </w:pPr>
          </w:p>
          <w:p w14:paraId="39E81CD4" w14:textId="77777777" w:rsidR="00313D9D" w:rsidRPr="00B57019" w:rsidRDefault="00313D9D" w:rsidP="009851F7">
            <w:pPr>
              <w:jc w:val="both"/>
            </w:pPr>
          </w:p>
          <w:p w14:paraId="18A6BE7F" w14:textId="77777777" w:rsidR="00313D9D" w:rsidRPr="00B57019" w:rsidRDefault="00313D9D" w:rsidP="009851F7">
            <w:pPr>
              <w:jc w:val="both"/>
            </w:pPr>
          </w:p>
          <w:p w14:paraId="4FE6BA92" w14:textId="77777777" w:rsidR="00313D9D" w:rsidRPr="00B57019" w:rsidRDefault="00313D9D" w:rsidP="009851F7">
            <w:pPr>
              <w:jc w:val="both"/>
            </w:pPr>
          </w:p>
          <w:p w14:paraId="619041DD" w14:textId="77777777" w:rsidR="00313D9D" w:rsidRPr="00B57019" w:rsidRDefault="00313D9D" w:rsidP="009851F7">
            <w:pPr>
              <w:jc w:val="both"/>
            </w:pPr>
          </w:p>
          <w:p w14:paraId="763B986B" w14:textId="77777777" w:rsidR="00313D9D" w:rsidRPr="00B57019" w:rsidRDefault="00313D9D" w:rsidP="009851F7">
            <w:pPr>
              <w:jc w:val="both"/>
            </w:pPr>
          </w:p>
          <w:p w14:paraId="6753389B" w14:textId="77777777" w:rsidR="00313D9D" w:rsidRPr="00B57019" w:rsidRDefault="00313D9D" w:rsidP="009851F7">
            <w:pPr>
              <w:jc w:val="both"/>
            </w:pPr>
          </w:p>
          <w:p w14:paraId="7EAF7656" w14:textId="77777777" w:rsidR="00313D9D" w:rsidRPr="00B57019" w:rsidRDefault="00313D9D" w:rsidP="009851F7">
            <w:pPr>
              <w:jc w:val="both"/>
            </w:pPr>
          </w:p>
          <w:p w14:paraId="2C5BADE4" w14:textId="77777777" w:rsidR="00313D9D" w:rsidRPr="00B57019" w:rsidRDefault="00313D9D" w:rsidP="009851F7">
            <w:pPr>
              <w:jc w:val="both"/>
            </w:pPr>
          </w:p>
          <w:p w14:paraId="542AC5FD" w14:textId="77777777" w:rsidR="00313D9D" w:rsidRPr="00B57019" w:rsidRDefault="00313D9D" w:rsidP="009851F7">
            <w:pPr>
              <w:jc w:val="both"/>
            </w:pPr>
          </w:p>
          <w:p w14:paraId="07FA63AA" w14:textId="77777777" w:rsidR="00313D9D" w:rsidRPr="00B57019" w:rsidRDefault="00313D9D" w:rsidP="009851F7">
            <w:pPr>
              <w:jc w:val="both"/>
            </w:pPr>
          </w:p>
          <w:p w14:paraId="2BCE21B0" w14:textId="77777777" w:rsidR="00313D9D" w:rsidRPr="00B57019" w:rsidRDefault="00313D9D" w:rsidP="009851F7">
            <w:pPr>
              <w:jc w:val="both"/>
            </w:pPr>
          </w:p>
          <w:p w14:paraId="1DEF27DE" w14:textId="77777777" w:rsidR="00313D9D" w:rsidRPr="00B57019" w:rsidRDefault="00313D9D" w:rsidP="009851F7">
            <w:pPr>
              <w:jc w:val="both"/>
            </w:pPr>
          </w:p>
          <w:p w14:paraId="7AD93BB3" w14:textId="77777777" w:rsidR="00313D9D" w:rsidRPr="00B57019" w:rsidRDefault="00313D9D" w:rsidP="009851F7">
            <w:pPr>
              <w:jc w:val="both"/>
            </w:pPr>
          </w:p>
          <w:p w14:paraId="7AD429E0" w14:textId="77777777" w:rsidR="00313D9D" w:rsidRPr="00B57019" w:rsidRDefault="00313D9D" w:rsidP="009851F7">
            <w:pPr>
              <w:jc w:val="both"/>
            </w:pPr>
          </w:p>
          <w:p w14:paraId="38576D49" w14:textId="77777777" w:rsidR="00313D9D" w:rsidRPr="00B57019" w:rsidRDefault="00313D9D" w:rsidP="009851F7">
            <w:pPr>
              <w:jc w:val="both"/>
            </w:pPr>
          </w:p>
          <w:p w14:paraId="0D086D8D" w14:textId="77777777" w:rsidR="00313D9D" w:rsidRPr="00B57019" w:rsidRDefault="00313D9D" w:rsidP="009851F7">
            <w:pPr>
              <w:jc w:val="both"/>
            </w:pPr>
          </w:p>
          <w:p w14:paraId="175F8082" w14:textId="77777777" w:rsidR="00313D9D" w:rsidRPr="00B57019" w:rsidRDefault="00313D9D" w:rsidP="009851F7">
            <w:pPr>
              <w:jc w:val="both"/>
            </w:pPr>
          </w:p>
          <w:p w14:paraId="45D1BD3D" w14:textId="77777777" w:rsidR="00313D9D" w:rsidRPr="00B57019" w:rsidRDefault="00313D9D" w:rsidP="009851F7">
            <w:pPr>
              <w:jc w:val="both"/>
            </w:pPr>
          </w:p>
          <w:p w14:paraId="1A55A7FA" w14:textId="77777777" w:rsidR="00313D9D" w:rsidRPr="00B57019" w:rsidRDefault="00313D9D" w:rsidP="009851F7">
            <w:pPr>
              <w:jc w:val="both"/>
            </w:pPr>
          </w:p>
          <w:p w14:paraId="6319DAFD" w14:textId="77777777" w:rsidR="00313D9D" w:rsidRPr="00B57019" w:rsidRDefault="00313D9D" w:rsidP="009851F7">
            <w:pPr>
              <w:jc w:val="both"/>
            </w:pPr>
          </w:p>
          <w:p w14:paraId="71F30C73" w14:textId="77777777" w:rsidR="00313D9D" w:rsidRPr="00B57019" w:rsidRDefault="00313D9D" w:rsidP="009851F7">
            <w:pPr>
              <w:jc w:val="both"/>
            </w:pPr>
          </w:p>
          <w:p w14:paraId="1431913D" w14:textId="77777777" w:rsidR="00313D9D" w:rsidRPr="00B57019" w:rsidRDefault="00313D9D" w:rsidP="009851F7">
            <w:pPr>
              <w:jc w:val="both"/>
            </w:pPr>
          </w:p>
          <w:p w14:paraId="4C9D9592" w14:textId="77777777" w:rsidR="00313D9D" w:rsidRPr="00B57019" w:rsidRDefault="00313D9D" w:rsidP="009851F7">
            <w:pPr>
              <w:jc w:val="both"/>
            </w:pPr>
          </w:p>
          <w:p w14:paraId="547FD5A8" w14:textId="77777777" w:rsidR="00313D9D" w:rsidRPr="00B57019" w:rsidRDefault="00313D9D" w:rsidP="009851F7">
            <w:pPr>
              <w:jc w:val="both"/>
            </w:pPr>
          </w:p>
          <w:p w14:paraId="47348325" w14:textId="77777777" w:rsidR="00313D9D" w:rsidRPr="00B57019" w:rsidRDefault="00313D9D" w:rsidP="009851F7">
            <w:pPr>
              <w:jc w:val="both"/>
            </w:pPr>
          </w:p>
          <w:p w14:paraId="4497F89C" w14:textId="77777777" w:rsidR="00313D9D" w:rsidRPr="00B57019" w:rsidRDefault="00313D9D" w:rsidP="009851F7">
            <w:pPr>
              <w:jc w:val="both"/>
            </w:pPr>
          </w:p>
          <w:p w14:paraId="15294E2B" w14:textId="77777777" w:rsidR="00313D9D" w:rsidRPr="00B57019" w:rsidRDefault="00313D9D" w:rsidP="009851F7">
            <w:pPr>
              <w:jc w:val="both"/>
            </w:pPr>
          </w:p>
          <w:p w14:paraId="6CA884C3" w14:textId="77777777" w:rsidR="00313D9D" w:rsidRPr="00B57019" w:rsidRDefault="00313D9D" w:rsidP="009851F7">
            <w:pPr>
              <w:jc w:val="both"/>
            </w:pPr>
          </w:p>
          <w:p w14:paraId="17FA0F13" w14:textId="77777777" w:rsidR="00313D9D" w:rsidRPr="00B57019" w:rsidRDefault="00313D9D" w:rsidP="009851F7">
            <w:pPr>
              <w:jc w:val="both"/>
            </w:pPr>
          </w:p>
          <w:p w14:paraId="6F210478" w14:textId="77777777" w:rsidR="00313D9D" w:rsidRPr="00B57019" w:rsidRDefault="00313D9D" w:rsidP="009851F7">
            <w:pPr>
              <w:jc w:val="both"/>
            </w:pPr>
          </w:p>
          <w:p w14:paraId="60B5751D" w14:textId="77777777" w:rsidR="00313D9D" w:rsidRPr="00B57019" w:rsidRDefault="00313D9D" w:rsidP="009851F7">
            <w:pPr>
              <w:jc w:val="both"/>
            </w:pPr>
          </w:p>
          <w:p w14:paraId="2C5ACDC0" w14:textId="77777777" w:rsidR="00313D9D" w:rsidRPr="00B57019" w:rsidRDefault="00313D9D" w:rsidP="009851F7">
            <w:pPr>
              <w:jc w:val="both"/>
            </w:pPr>
          </w:p>
          <w:p w14:paraId="32940E06" w14:textId="77777777" w:rsidR="00313D9D" w:rsidRPr="00B57019" w:rsidRDefault="00313D9D" w:rsidP="009851F7">
            <w:pPr>
              <w:jc w:val="both"/>
            </w:pPr>
          </w:p>
          <w:p w14:paraId="74EADCC2" w14:textId="77777777" w:rsidR="00313D9D" w:rsidRPr="00B57019" w:rsidRDefault="00313D9D" w:rsidP="009851F7">
            <w:pPr>
              <w:jc w:val="both"/>
            </w:pPr>
          </w:p>
          <w:p w14:paraId="712403D9" w14:textId="77777777" w:rsidR="00313D9D" w:rsidRPr="00B57019" w:rsidRDefault="00313D9D" w:rsidP="009851F7">
            <w:pPr>
              <w:jc w:val="both"/>
            </w:pPr>
          </w:p>
          <w:p w14:paraId="0DB481F6" w14:textId="77777777" w:rsidR="00313D9D" w:rsidRPr="00B57019" w:rsidRDefault="00313D9D" w:rsidP="009851F7">
            <w:pPr>
              <w:jc w:val="both"/>
            </w:pPr>
          </w:p>
          <w:p w14:paraId="60EA8405" w14:textId="77777777" w:rsidR="00313D9D" w:rsidRPr="00B57019" w:rsidRDefault="00313D9D" w:rsidP="009851F7">
            <w:pPr>
              <w:jc w:val="both"/>
            </w:pPr>
          </w:p>
          <w:p w14:paraId="1FD7A2DD" w14:textId="77777777" w:rsidR="00313D9D" w:rsidRPr="00B57019" w:rsidRDefault="00313D9D" w:rsidP="009851F7">
            <w:pPr>
              <w:jc w:val="both"/>
            </w:pPr>
          </w:p>
          <w:p w14:paraId="2E8FB31B" w14:textId="77777777" w:rsidR="00313D9D" w:rsidRPr="00B57019" w:rsidRDefault="00313D9D" w:rsidP="009851F7">
            <w:pPr>
              <w:jc w:val="both"/>
            </w:pPr>
          </w:p>
          <w:p w14:paraId="59D6DCD6" w14:textId="77777777" w:rsidR="00313D9D" w:rsidRPr="00B57019" w:rsidRDefault="00313D9D" w:rsidP="009851F7">
            <w:pPr>
              <w:jc w:val="both"/>
            </w:pPr>
          </w:p>
          <w:p w14:paraId="22E2E944" w14:textId="77777777" w:rsidR="00313D9D" w:rsidRPr="00B57019" w:rsidRDefault="00313D9D" w:rsidP="009851F7">
            <w:pPr>
              <w:jc w:val="both"/>
            </w:pPr>
          </w:p>
          <w:p w14:paraId="761BA247" w14:textId="77777777" w:rsidR="00313D9D" w:rsidRPr="00B57019" w:rsidRDefault="00313D9D" w:rsidP="009851F7">
            <w:pPr>
              <w:jc w:val="both"/>
            </w:pPr>
          </w:p>
          <w:p w14:paraId="1D2D7010" w14:textId="77777777" w:rsidR="00313D9D" w:rsidRPr="00B57019" w:rsidRDefault="00313D9D" w:rsidP="009851F7">
            <w:pPr>
              <w:jc w:val="both"/>
            </w:pPr>
          </w:p>
          <w:p w14:paraId="7330C96F" w14:textId="77777777" w:rsidR="00313D9D" w:rsidRPr="00B57019" w:rsidRDefault="00313D9D" w:rsidP="009851F7">
            <w:pPr>
              <w:jc w:val="both"/>
            </w:pPr>
          </w:p>
          <w:p w14:paraId="31ACAD4C" w14:textId="77777777" w:rsidR="00313D9D" w:rsidRPr="00B57019" w:rsidRDefault="00313D9D" w:rsidP="009851F7">
            <w:pPr>
              <w:jc w:val="both"/>
            </w:pPr>
          </w:p>
          <w:p w14:paraId="48810DC2" w14:textId="77777777" w:rsidR="00313D9D" w:rsidRPr="00B57019" w:rsidRDefault="00313D9D" w:rsidP="009851F7">
            <w:pPr>
              <w:jc w:val="both"/>
            </w:pPr>
          </w:p>
          <w:p w14:paraId="19F99A74" w14:textId="77777777" w:rsidR="00313D9D" w:rsidRPr="00B57019" w:rsidRDefault="00313D9D" w:rsidP="009851F7">
            <w:pPr>
              <w:jc w:val="both"/>
            </w:pPr>
          </w:p>
          <w:p w14:paraId="17A718DA" w14:textId="77777777" w:rsidR="00313D9D" w:rsidRPr="00B57019" w:rsidRDefault="00313D9D" w:rsidP="009851F7">
            <w:pPr>
              <w:jc w:val="both"/>
            </w:pPr>
          </w:p>
          <w:p w14:paraId="00712C54" w14:textId="77777777" w:rsidR="00313D9D" w:rsidRPr="00B57019" w:rsidRDefault="00313D9D" w:rsidP="009851F7">
            <w:pPr>
              <w:jc w:val="both"/>
            </w:pPr>
          </w:p>
          <w:p w14:paraId="10BE50C9" w14:textId="77777777" w:rsidR="00313D9D" w:rsidRPr="00B57019" w:rsidRDefault="00313D9D" w:rsidP="009851F7">
            <w:pPr>
              <w:jc w:val="both"/>
            </w:pPr>
          </w:p>
          <w:p w14:paraId="702DE052" w14:textId="77777777" w:rsidR="00313D9D" w:rsidRPr="00B57019" w:rsidRDefault="00313D9D" w:rsidP="009851F7">
            <w:pPr>
              <w:jc w:val="both"/>
            </w:pPr>
          </w:p>
          <w:p w14:paraId="2B03A310" w14:textId="77777777" w:rsidR="00313D9D" w:rsidRPr="00B57019" w:rsidRDefault="00313D9D" w:rsidP="009851F7">
            <w:pPr>
              <w:jc w:val="both"/>
            </w:pPr>
          </w:p>
          <w:p w14:paraId="45936305" w14:textId="77777777" w:rsidR="00313D9D" w:rsidRPr="00B57019" w:rsidRDefault="00313D9D" w:rsidP="009851F7">
            <w:pPr>
              <w:jc w:val="both"/>
            </w:pPr>
          </w:p>
          <w:p w14:paraId="424A9839" w14:textId="77777777" w:rsidR="00313D9D" w:rsidRPr="00B57019" w:rsidRDefault="00313D9D" w:rsidP="009851F7">
            <w:pPr>
              <w:jc w:val="both"/>
            </w:pPr>
          </w:p>
          <w:p w14:paraId="42BEA1A4" w14:textId="77777777" w:rsidR="00313D9D" w:rsidRPr="00B57019" w:rsidRDefault="00313D9D" w:rsidP="009851F7">
            <w:pPr>
              <w:jc w:val="both"/>
            </w:pPr>
          </w:p>
          <w:p w14:paraId="264BEFBD" w14:textId="77777777" w:rsidR="00313D9D" w:rsidRPr="00B57019" w:rsidRDefault="00313D9D" w:rsidP="009851F7">
            <w:pPr>
              <w:jc w:val="both"/>
            </w:pPr>
          </w:p>
          <w:p w14:paraId="4A38F35C" w14:textId="77777777" w:rsidR="00313D9D" w:rsidRPr="00B57019" w:rsidRDefault="00313D9D" w:rsidP="009851F7">
            <w:pPr>
              <w:jc w:val="both"/>
            </w:pPr>
          </w:p>
          <w:p w14:paraId="05DCF820" w14:textId="77777777" w:rsidR="00313D9D" w:rsidRPr="00B57019" w:rsidRDefault="00313D9D" w:rsidP="009851F7">
            <w:pPr>
              <w:jc w:val="both"/>
            </w:pPr>
          </w:p>
          <w:p w14:paraId="0927A617" w14:textId="77777777" w:rsidR="00313D9D" w:rsidRPr="00B57019" w:rsidRDefault="00313D9D" w:rsidP="009851F7">
            <w:pPr>
              <w:jc w:val="both"/>
            </w:pPr>
          </w:p>
          <w:p w14:paraId="511B7840" w14:textId="77777777" w:rsidR="00313D9D" w:rsidRPr="00B57019" w:rsidRDefault="00313D9D" w:rsidP="009851F7">
            <w:pPr>
              <w:jc w:val="both"/>
            </w:pPr>
          </w:p>
          <w:p w14:paraId="25E11C6C" w14:textId="77777777" w:rsidR="00313D9D" w:rsidRPr="00B57019" w:rsidRDefault="00313D9D" w:rsidP="009851F7">
            <w:pPr>
              <w:jc w:val="both"/>
            </w:pPr>
          </w:p>
          <w:p w14:paraId="480C27A9" w14:textId="77777777" w:rsidR="00313D9D" w:rsidRPr="00B57019" w:rsidRDefault="00313D9D" w:rsidP="009851F7">
            <w:pPr>
              <w:jc w:val="both"/>
            </w:pPr>
          </w:p>
          <w:p w14:paraId="155A62BA" w14:textId="77777777" w:rsidR="00313D9D" w:rsidRPr="00B57019" w:rsidRDefault="00313D9D" w:rsidP="009851F7">
            <w:pPr>
              <w:jc w:val="both"/>
            </w:pPr>
          </w:p>
          <w:p w14:paraId="478A355D" w14:textId="77777777" w:rsidR="00313D9D" w:rsidRPr="00B57019" w:rsidRDefault="00313D9D" w:rsidP="009851F7">
            <w:pPr>
              <w:jc w:val="both"/>
            </w:pPr>
          </w:p>
          <w:p w14:paraId="1C2E08AE" w14:textId="77777777" w:rsidR="00313D9D" w:rsidRPr="00B57019" w:rsidRDefault="00313D9D" w:rsidP="009851F7">
            <w:pPr>
              <w:jc w:val="both"/>
            </w:pPr>
          </w:p>
          <w:p w14:paraId="2D0FB129" w14:textId="77777777" w:rsidR="00313D9D" w:rsidRPr="00B57019" w:rsidRDefault="00313D9D" w:rsidP="009851F7">
            <w:pPr>
              <w:jc w:val="both"/>
            </w:pPr>
          </w:p>
          <w:p w14:paraId="4E0C4357" w14:textId="77777777" w:rsidR="00313D9D" w:rsidRPr="00B57019" w:rsidRDefault="00313D9D" w:rsidP="009851F7">
            <w:pPr>
              <w:jc w:val="both"/>
            </w:pPr>
          </w:p>
          <w:p w14:paraId="47804B74" w14:textId="77777777" w:rsidR="00313D9D" w:rsidRPr="00B57019" w:rsidRDefault="00313D9D" w:rsidP="009851F7">
            <w:pPr>
              <w:jc w:val="both"/>
            </w:pPr>
          </w:p>
          <w:p w14:paraId="1FDB7BBB" w14:textId="77777777" w:rsidR="00313D9D" w:rsidRPr="00B57019" w:rsidRDefault="00313D9D" w:rsidP="009851F7">
            <w:pPr>
              <w:jc w:val="both"/>
            </w:pPr>
          </w:p>
          <w:p w14:paraId="42267F90" w14:textId="77777777" w:rsidR="00313D9D" w:rsidRPr="00B57019" w:rsidRDefault="00313D9D" w:rsidP="009851F7">
            <w:pPr>
              <w:jc w:val="both"/>
            </w:pPr>
          </w:p>
          <w:p w14:paraId="59F88DDA" w14:textId="77777777" w:rsidR="00313D9D" w:rsidRPr="00B57019" w:rsidRDefault="00313D9D" w:rsidP="009851F7">
            <w:pPr>
              <w:jc w:val="both"/>
            </w:pPr>
          </w:p>
          <w:p w14:paraId="2F66DC88" w14:textId="77777777" w:rsidR="00313D9D" w:rsidRPr="00B57019" w:rsidRDefault="00313D9D" w:rsidP="009851F7">
            <w:pPr>
              <w:jc w:val="both"/>
            </w:pPr>
          </w:p>
          <w:p w14:paraId="18271C4F" w14:textId="77777777" w:rsidR="00313D9D" w:rsidRPr="00B57019" w:rsidRDefault="00313D9D" w:rsidP="009851F7">
            <w:pPr>
              <w:jc w:val="both"/>
            </w:pPr>
          </w:p>
          <w:p w14:paraId="2F75C071" w14:textId="77777777" w:rsidR="00313D9D" w:rsidRPr="00B57019" w:rsidRDefault="00313D9D" w:rsidP="009851F7">
            <w:pPr>
              <w:jc w:val="both"/>
            </w:pPr>
          </w:p>
          <w:p w14:paraId="53647C4D" w14:textId="77777777" w:rsidR="00313D9D" w:rsidRPr="00B57019" w:rsidRDefault="00313D9D" w:rsidP="009851F7">
            <w:pPr>
              <w:jc w:val="both"/>
            </w:pPr>
          </w:p>
          <w:p w14:paraId="51017A3A" w14:textId="77777777" w:rsidR="00313D9D" w:rsidRPr="00B57019" w:rsidRDefault="00313D9D" w:rsidP="009851F7">
            <w:pPr>
              <w:jc w:val="both"/>
            </w:pPr>
          </w:p>
          <w:p w14:paraId="40BADE42" w14:textId="77777777" w:rsidR="00313D9D" w:rsidRPr="00B57019" w:rsidRDefault="00313D9D" w:rsidP="009851F7">
            <w:pPr>
              <w:jc w:val="both"/>
            </w:pPr>
          </w:p>
          <w:p w14:paraId="5BED65FD" w14:textId="77777777" w:rsidR="00313D9D" w:rsidRPr="00B57019" w:rsidRDefault="00313D9D" w:rsidP="009851F7">
            <w:pPr>
              <w:jc w:val="both"/>
            </w:pPr>
          </w:p>
          <w:p w14:paraId="3D6E76D9" w14:textId="77777777" w:rsidR="00313D9D" w:rsidRPr="00B57019" w:rsidRDefault="00313D9D" w:rsidP="009851F7">
            <w:pPr>
              <w:jc w:val="both"/>
            </w:pPr>
          </w:p>
          <w:p w14:paraId="51D237CD" w14:textId="77777777" w:rsidR="00313D9D" w:rsidRPr="00B57019" w:rsidRDefault="00313D9D" w:rsidP="009851F7">
            <w:pPr>
              <w:jc w:val="both"/>
            </w:pPr>
          </w:p>
          <w:p w14:paraId="08B38C91" w14:textId="77777777" w:rsidR="00313D9D" w:rsidRPr="00B57019" w:rsidRDefault="00313D9D" w:rsidP="009851F7">
            <w:pPr>
              <w:jc w:val="both"/>
            </w:pPr>
          </w:p>
          <w:p w14:paraId="6B244906" w14:textId="77777777" w:rsidR="00313D9D" w:rsidRPr="00B57019" w:rsidRDefault="00313D9D" w:rsidP="009851F7">
            <w:pPr>
              <w:jc w:val="both"/>
            </w:pPr>
          </w:p>
          <w:p w14:paraId="6A126DC7" w14:textId="77777777" w:rsidR="00313D9D" w:rsidRPr="00B57019" w:rsidRDefault="00313D9D" w:rsidP="009851F7">
            <w:pPr>
              <w:jc w:val="both"/>
            </w:pPr>
          </w:p>
          <w:p w14:paraId="600A5C35" w14:textId="77777777" w:rsidR="00313D9D" w:rsidRPr="00B57019" w:rsidRDefault="00313D9D" w:rsidP="009851F7">
            <w:pPr>
              <w:jc w:val="both"/>
            </w:pPr>
          </w:p>
          <w:p w14:paraId="08805332" w14:textId="77777777" w:rsidR="00313D9D" w:rsidRPr="00B57019" w:rsidRDefault="00313D9D" w:rsidP="009851F7">
            <w:pPr>
              <w:jc w:val="both"/>
            </w:pPr>
          </w:p>
          <w:p w14:paraId="3E0454E5" w14:textId="77777777" w:rsidR="00313D9D" w:rsidRPr="00B57019" w:rsidRDefault="00313D9D" w:rsidP="009851F7">
            <w:pPr>
              <w:jc w:val="both"/>
            </w:pPr>
          </w:p>
          <w:p w14:paraId="4739A3B7" w14:textId="77777777" w:rsidR="00313D9D" w:rsidRPr="00B57019" w:rsidRDefault="00313D9D" w:rsidP="009851F7">
            <w:pPr>
              <w:jc w:val="both"/>
            </w:pPr>
          </w:p>
          <w:p w14:paraId="094A8B1C" w14:textId="77777777" w:rsidR="00313D9D" w:rsidRPr="00B57019" w:rsidRDefault="00313D9D" w:rsidP="009851F7">
            <w:pPr>
              <w:jc w:val="both"/>
            </w:pPr>
          </w:p>
          <w:p w14:paraId="0BC76CAB" w14:textId="77777777" w:rsidR="00313D9D" w:rsidRPr="00B57019" w:rsidRDefault="00313D9D" w:rsidP="009851F7">
            <w:pPr>
              <w:jc w:val="both"/>
            </w:pPr>
          </w:p>
          <w:p w14:paraId="10CBC7CD" w14:textId="7578BBAB" w:rsidR="00313D9D" w:rsidRPr="00B57019" w:rsidRDefault="00313D9D" w:rsidP="00313D9D">
            <w:pPr>
              <w:jc w:val="both"/>
            </w:pPr>
          </w:p>
        </w:tc>
        <w:tc>
          <w:tcPr>
            <w:tcW w:w="2503" w:type="dxa"/>
            <w:tcBorders>
              <w:top w:val="single" w:sz="4" w:space="0" w:color="auto"/>
              <w:left w:val="single" w:sz="4" w:space="0" w:color="auto"/>
              <w:bottom w:val="single" w:sz="4" w:space="0" w:color="auto"/>
            </w:tcBorders>
            <w:shd w:val="clear" w:color="auto" w:fill="auto"/>
          </w:tcPr>
          <w:p w14:paraId="4A658AFD" w14:textId="77777777" w:rsidR="00EC5B70" w:rsidRPr="00B57019" w:rsidRDefault="00EC5B70" w:rsidP="002A05B2"/>
        </w:tc>
      </w:tr>
      <w:tr w:rsidR="00B57019" w:rsidRPr="00B57019" w14:paraId="79A4A314" w14:textId="77777777" w:rsidTr="6EC0B0DB">
        <w:tc>
          <w:tcPr>
            <w:tcW w:w="14567" w:type="dxa"/>
            <w:gridSpan w:val="6"/>
            <w:tcBorders>
              <w:top w:val="single" w:sz="6" w:space="0" w:color="000000" w:themeColor="text1"/>
              <w:left w:val="single" w:sz="6" w:space="0" w:color="000000" w:themeColor="text1"/>
              <w:bottom w:val="single" w:sz="6" w:space="0" w:color="000000" w:themeColor="text1"/>
            </w:tcBorders>
            <w:shd w:val="clear" w:color="auto" w:fill="auto"/>
          </w:tcPr>
          <w:p w14:paraId="30E5C433" w14:textId="7EDA7C7F" w:rsidR="002268C4" w:rsidRPr="00B57019" w:rsidRDefault="002268C4" w:rsidP="002268C4">
            <w:pPr>
              <w:jc w:val="center"/>
              <w:rPr>
                <w:b/>
              </w:rPr>
            </w:pPr>
            <w:r w:rsidRPr="00B57019">
              <w:rPr>
                <w:b/>
              </w:rPr>
              <w:t>Kultūras ministrija</w:t>
            </w:r>
          </w:p>
        </w:tc>
      </w:tr>
      <w:tr w:rsidR="00B57019" w:rsidRPr="00B57019" w14:paraId="2B652B06"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C112C34" w14:textId="77777777" w:rsidR="00EC5B70" w:rsidRPr="00B57019" w:rsidRDefault="00EC5B70" w:rsidP="00B03F98">
            <w:pPr>
              <w:pStyle w:val="naisc"/>
              <w:spacing w:before="0" w:after="0"/>
            </w:pP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D99D21" w14:textId="02A62DDD" w:rsidR="00EC5B70" w:rsidRPr="00B57019" w:rsidRDefault="00EC5B70" w:rsidP="00D37E01">
            <w:pPr>
              <w:pStyle w:val="naisc"/>
              <w:spacing w:before="0" w:after="0"/>
              <w:jc w:val="left"/>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A62CFC" w14:textId="4FF9B963" w:rsidR="002268C4" w:rsidRPr="00B57019" w:rsidRDefault="002268C4" w:rsidP="002268C4">
            <w:pPr>
              <w:jc w:val="both"/>
            </w:pPr>
            <w:r w:rsidRPr="00B57019">
              <w:t xml:space="preserve">1. Neatbalstām protokollēmuma 3.1.6.punkta iekļaušanu projektā, jo šobrīd VRAA izveidoto un uzturēto koplietojuma sistēmu uzturēšana nav saistīta ar Kultūras ministrijas resora personāla veicamajām funkcijām un uzdevumiem. VRAA izveidotās un uzturētās sistēmas  nemazina Kultūras ministrijas resora darbinieku veicamo darbu apjomu. Atsevišķos gadījumos  ir novērojams tieši pretējais, proti, tādas sistēmas kā  Oficiālās elektroniskās adreses informācijas sistēmas ieviešana radījusi  ļoti lielu papildus darbu apjomu tieši Kultūras ministrijas resora IKT darbiniekiem, kuriem jāturpina uzturēt esošās lietvedības sistēmas un vēl papildus tam jāplāno un jāveic  esošo sistēmu salāgošana ar VARAM izveidoto Oficiālās elektroniskās adreses informācijas sistēmu. Bez tam arī šobrīd šo sistēmu salāgošana un ikdienas problēmu risināšana rada lielu papildus slodzi Kultūras ministrijas darbiniekiem. </w:t>
            </w:r>
          </w:p>
          <w:p w14:paraId="4C18A274" w14:textId="3AE1D9A9" w:rsidR="002268C4" w:rsidRPr="00B57019" w:rsidRDefault="002268C4" w:rsidP="002268C4">
            <w:pPr>
              <w:jc w:val="both"/>
            </w:pPr>
            <w:r w:rsidRPr="00B57019">
              <w:t xml:space="preserve">2. Ziņojuma 2.punktā analizētie ieguvumi no VRAA nodrošinātiem pakalpojumiem: Elektronisko iepirkumu sistēma, Oficiālās elektroniskās adreses informācijas sistēma, Vienotās pieteikšanās modulis, Valsts un pašvaldību iestāžu, E-rēķinu aprites risinājums tīmekļvietņu vienotā platforma lietošanas nav pamatoti, tie ir teorētiski un praksē nemazina ne ministrijas, ne iestāžu nepieciešamo darbinieku skaitu, ne arī darbinieku veicamo darbu apjomu. </w:t>
            </w:r>
          </w:p>
          <w:p w14:paraId="681D0CFC" w14:textId="56613B76" w:rsidR="002268C4" w:rsidRPr="00B57019" w:rsidRDefault="672706A0" w:rsidP="002268C4">
            <w:pPr>
              <w:jc w:val="both"/>
              <w:outlineLvl w:val="0"/>
            </w:pPr>
            <w:r w:rsidRPr="00B57019">
              <w:t>3. Kultūras ministrijas resorā nav speciālistu ar protokollēmuma 3.1.6.punktā uzskaitītām atalgojuma un darba vietas uzturēšanas izmaksām. Tāpat protokollēmuma 3.1.6.punktā nav veikts korekts finansējuma samazinājums Kultūras ministrijai, un tieši: no Kultūras ministrijas budžeta nevar atņemt 1 štata vietu ar lielāku atalgojumu un uzturēšanas izdevumiem nekā ministrijai štatu sarakstos un budžeta izdevumos ir plānots (Kultūras ministrijas budžetā speciālista atalgojumam gadā plānots no 15 638 euro līdz 17 835 euro).</w:t>
            </w:r>
          </w:p>
          <w:p w14:paraId="2C6DFDD1" w14:textId="331B6B63" w:rsidR="00EC5B70" w:rsidRPr="00B57019" w:rsidRDefault="6EC0B0DB" w:rsidP="002268C4">
            <w:pPr>
              <w:jc w:val="both"/>
              <w:outlineLvl w:val="0"/>
            </w:pPr>
            <w:r w:rsidRPr="00B57019">
              <w:t>4. Kultūras ministrija neatbalsta šī projekta īstenošanu. Projekta aprēķiniem izmantota metodika  par varbūtēju labuma gūšanu no Kultūras ministrijā nelietotajām vai piespiedu kārtā lietotajām sistēmām. Turklāt štata vietu un finanšu līdzekļu samazināšanu kultūras resoram, balstoties uz teorētisku VRAA uzturēto sistēmu lietojumu un  varbūtēju labumu no sistēmu lietojuma, nevar uzskatīt par pamatotu.</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26EB20" w14:textId="77777777" w:rsidR="00EC5B70" w:rsidRPr="00B57019" w:rsidRDefault="000123C4" w:rsidP="672706A0">
            <w:pPr>
              <w:pStyle w:val="PlainText"/>
              <w:jc w:val="both"/>
              <w:rPr>
                <w:rFonts w:ascii="Times New Roman" w:hAnsi="Times New Roman"/>
                <w:sz w:val="24"/>
                <w:szCs w:val="24"/>
              </w:rPr>
            </w:pPr>
            <w:r w:rsidRPr="00B57019">
              <w:rPr>
                <w:rFonts w:ascii="Times New Roman" w:hAnsi="Times New Roman"/>
                <w:b/>
                <w:bCs/>
                <w:sz w:val="24"/>
                <w:szCs w:val="24"/>
              </w:rPr>
              <w:t xml:space="preserve"> Iebildums nav ņemts vērā</w:t>
            </w:r>
            <w:r w:rsidRPr="00B57019">
              <w:rPr>
                <w:rFonts w:ascii="Times New Roman" w:hAnsi="Times New Roman"/>
                <w:sz w:val="24"/>
                <w:szCs w:val="24"/>
              </w:rPr>
              <w:t>.</w:t>
            </w:r>
          </w:p>
          <w:p w14:paraId="226657AB" w14:textId="192D5828" w:rsidR="005057E8" w:rsidRPr="00B57019" w:rsidRDefault="005057E8" w:rsidP="005057E8">
            <w:pPr>
              <w:pStyle w:val="paragraph"/>
              <w:spacing w:before="0" w:beforeAutospacing="0" w:after="0" w:afterAutospacing="0"/>
              <w:jc w:val="both"/>
              <w:textAlignment w:val="baseline"/>
              <w:rPr>
                <w:rFonts w:ascii="Segoe UI" w:hAnsi="Segoe UI" w:cs="Segoe UI"/>
                <w:sz w:val="18"/>
                <w:szCs w:val="18"/>
              </w:rPr>
            </w:pPr>
            <w:r w:rsidRPr="00B57019">
              <w:rPr>
                <w:rStyle w:val="normaltextrun"/>
              </w:rPr>
              <w:t>2017.</w:t>
            </w:r>
            <w:r w:rsidR="00CE5683" w:rsidRPr="00B57019">
              <w:rPr>
                <w:rStyle w:val="normaltextrun"/>
              </w:rPr>
              <w:t xml:space="preserve"> </w:t>
            </w:r>
            <w:r w:rsidRPr="00B57019">
              <w:rPr>
                <w:rStyle w:val="normaltextrun"/>
              </w:rPr>
              <w:t>gada 24.</w:t>
            </w:r>
            <w:r w:rsidR="00CE5683" w:rsidRPr="00B57019">
              <w:rPr>
                <w:rStyle w:val="normaltextrun"/>
              </w:rPr>
              <w:t xml:space="preserve"> </w:t>
            </w:r>
            <w:r w:rsidRPr="00B57019">
              <w:rPr>
                <w:rStyle w:val="normaltextrun"/>
              </w:rPr>
              <w:t>oktobrī Kultūras ministrija kļuva par DIV dalībnieku līdz ar to arī salāgošana ar e-adreses sistēmu ir veikta līdz 2018.gada 1.jūnijam un tas bija vienreizējs pasākums.</w:t>
            </w:r>
            <w:r w:rsidRPr="00B57019">
              <w:rPr>
                <w:rStyle w:val="eop"/>
              </w:rPr>
              <w:t> </w:t>
            </w:r>
          </w:p>
          <w:p w14:paraId="4B3E0D64" w14:textId="77777777" w:rsidR="005057E8" w:rsidRPr="00B57019" w:rsidRDefault="005057E8" w:rsidP="005057E8">
            <w:pPr>
              <w:pStyle w:val="paragraph"/>
              <w:spacing w:before="0" w:beforeAutospacing="0" w:after="0" w:afterAutospacing="0"/>
              <w:jc w:val="both"/>
              <w:textAlignment w:val="baseline"/>
              <w:rPr>
                <w:rFonts w:ascii="Segoe UI" w:hAnsi="Segoe UI" w:cs="Segoe UI"/>
                <w:sz w:val="18"/>
                <w:szCs w:val="18"/>
              </w:rPr>
            </w:pPr>
            <w:r w:rsidRPr="00B57019">
              <w:rPr>
                <w:rStyle w:val="eop"/>
              </w:rPr>
              <w:t> </w:t>
            </w:r>
          </w:p>
          <w:p w14:paraId="2694A01A" w14:textId="77777777" w:rsidR="005057E8" w:rsidRPr="00B57019" w:rsidRDefault="005057E8" w:rsidP="005057E8">
            <w:pPr>
              <w:pStyle w:val="paragraph"/>
              <w:spacing w:before="0" w:beforeAutospacing="0" w:after="0" w:afterAutospacing="0"/>
              <w:jc w:val="both"/>
              <w:textAlignment w:val="baseline"/>
              <w:rPr>
                <w:rFonts w:ascii="Segoe UI" w:hAnsi="Segoe UI" w:cs="Segoe UI"/>
                <w:sz w:val="18"/>
                <w:szCs w:val="18"/>
              </w:rPr>
            </w:pPr>
            <w:r w:rsidRPr="00B57019">
              <w:rPr>
                <w:rStyle w:val="normaltextrun"/>
              </w:rPr>
              <w:t>Lūdzam pamatot, par kādu problēmu risināšanu un kādu sistēmu savietošanu ir runa. Bez pamatojuma nav iespējams piekrist šādam apgalvojumam.</w:t>
            </w:r>
            <w:r w:rsidRPr="00B57019">
              <w:rPr>
                <w:rStyle w:val="eop"/>
              </w:rPr>
              <w:t> </w:t>
            </w:r>
          </w:p>
          <w:p w14:paraId="2ECED911" w14:textId="52E054F2" w:rsidR="005057E8" w:rsidRPr="00B57019" w:rsidRDefault="005057E8" w:rsidP="005057E8">
            <w:pPr>
              <w:pStyle w:val="paragraph"/>
              <w:spacing w:before="0" w:beforeAutospacing="0" w:after="0" w:afterAutospacing="0"/>
              <w:jc w:val="both"/>
              <w:textAlignment w:val="baseline"/>
              <w:rPr>
                <w:rFonts w:ascii="Segoe UI" w:hAnsi="Segoe UI" w:cs="Segoe UI"/>
                <w:sz w:val="18"/>
                <w:szCs w:val="18"/>
              </w:rPr>
            </w:pPr>
            <w:r w:rsidRPr="00B57019">
              <w:rPr>
                <w:rStyle w:val="normaltextrun"/>
              </w:rPr>
              <w:t>Kā arī VRAA nav saņēmusi informāciju</w:t>
            </w:r>
            <w:r w:rsidR="00AF6184" w:rsidRPr="00B57019">
              <w:rPr>
                <w:rStyle w:val="normaltextrun"/>
              </w:rPr>
              <w:t xml:space="preserve"> par problēmām saistībā ar </w:t>
            </w:r>
            <w:r w:rsidRPr="00B57019">
              <w:rPr>
                <w:rStyle w:val="normaltextrun"/>
              </w:rPr>
              <w:t>e-adreses lietošanu.</w:t>
            </w:r>
            <w:r w:rsidRPr="00B57019">
              <w:rPr>
                <w:rStyle w:val="eop"/>
              </w:rPr>
              <w:t> </w:t>
            </w:r>
          </w:p>
          <w:p w14:paraId="60F2BCCF" w14:textId="0982578F" w:rsidR="00075C59" w:rsidRPr="00B57019" w:rsidRDefault="00075C59" w:rsidP="672706A0">
            <w:pPr>
              <w:pStyle w:val="PlainText"/>
              <w:jc w:val="both"/>
              <w:rPr>
                <w:rFonts w:ascii="Times New Roman" w:hAnsi="Times New Roman"/>
                <w:sz w:val="24"/>
                <w:szCs w:val="24"/>
              </w:rPr>
            </w:pPr>
          </w:p>
          <w:p w14:paraId="6865C99C" w14:textId="6470C029" w:rsidR="005057E8" w:rsidRPr="00B57019" w:rsidRDefault="005057E8" w:rsidP="672706A0">
            <w:pPr>
              <w:pStyle w:val="PlainText"/>
              <w:jc w:val="both"/>
              <w:rPr>
                <w:rFonts w:ascii="Times New Roman" w:hAnsi="Times New Roman"/>
                <w:sz w:val="24"/>
                <w:szCs w:val="24"/>
              </w:rPr>
            </w:pPr>
          </w:p>
          <w:p w14:paraId="5488BFDB" w14:textId="285F3806" w:rsidR="005057E8" w:rsidRPr="00B57019" w:rsidRDefault="005057E8" w:rsidP="672706A0">
            <w:pPr>
              <w:pStyle w:val="PlainText"/>
              <w:jc w:val="both"/>
              <w:rPr>
                <w:rFonts w:ascii="Times New Roman" w:hAnsi="Times New Roman"/>
                <w:sz w:val="24"/>
                <w:szCs w:val="24"/>
              </w:rPr>
            </w:pPr>
          </w:p>
          <w:p w14:paraId="67F50669" w14:textId="692E1C98" w:rsidR="005057E8" w:rsidRPr="00B57019" w:rsidRDefault="005057E8" w:rsidP="672706A0">
            <w:pPr>
              <w:pStyle w:val="PlainText"/>
              <w:jc w:val="both"/>
              <w:rPr>
                <w:rFonts w:ascii="Times New Roman" w:hAnsi="Times New Roman"/>
                <w:sz w:val="24"/>
                <w:szCs w:val="24"/>
              </w:rPr>
            </w:pPr>
          </w:p>
          <w:p w14:paraId="290BD873" w14:textId="0A546A72" w:rsidR="005057E8" w:rsidRPr="00B57019" w:rsidRDefault="005057E8" w:rsidP="672706A0">
            <w:pPr>
              <w:pStyle w:val="PlainText"/>
              <w:jc w:val="both"/>
              <w:rPr>
                <w:rFonts w:ascii="Times New Roman" w:hAnsi="Times New Roman"/>
                <w:sz w:val="24"/>
                <w:szCs w:val="24"/>
              </w:rPr>
            </w:pPr>
            <w:r w:rsidRPr="00B57019">
              <w:rPr>
                <w:rStyle w:val="normaltextrun"/>
                <w:rFonts w:ascii="Times New Roman" w:hAnsi="Times New Roman"/>
                <w:sz w:val="24"/>
                <w:szCs w:val="24"/>
                <w:shd w:val="clear" w:color="auto" w:fill="FFFFFF"/>
              </w:rPr>
              <w:t>VARAM nepiekrīt apgalvojumam, ka ieguvumi no VRAA nodrošinātiem pakalpojumiem: Elektronisko iepirkumu sistēma, Oficiālās elektroniskās adreses informācijas sistēma, Vienotās pieteikšanās modulis, Valsts un pašvaldību iestāžu, E-rēķinu aprites risinājums tīmekļvietņu vienotā platforma lietošanas nav pamatoti, tie ir teorētiski un praksē nemazina ne ministrijas, ne iestāžu nepieciešamo darbinieku skaitu, ne arī darbinieku veicamo darbu apjomu.</w:t>
            </w:r>
            <w:r w:rsidRPr="00B57019">
              <w:rPr>
                <w:rStyle w:val="eop"/>
                <w:rFonts w:ascii="Times New Roman" w:hAnsi="Times New Roman"/>
                <w:sz w:val="24"/>
                <w:szCs w:val="24"/>
                <w:shd w:val="clear" w:color="auto" w:fill="FFFFFF"/>
              </w:rPr>
              <w:t> </w:t>
            </w:r>
          </w:p>
          <w:p w14:paraId="5B4241BD" w14:textId="77777777" w:rsidR="00075C59" w:rsidRPr="00B57019" w:rsidRDefault="00075C59" w:rsidP="672706A0">
            <w:pPr>
              <w:pStyle w:val="PlainText"/>
              <w:jc w:val="both"/>
              <w:rPr>
                <w:rFonts w:ascii="Times New Roman" w:hAnsi="Times New Roman"/>
                <w:sz w:val="24"/>
                <w:szCs w:val="24"/>
              </w:rPr>
            </w:pPr>
          </w:p>
          <w:p w14:paraId="27AFB693" w14:textId="77777777" w:rsidR="00EB76D2" w:rsidRPr="00B57019" w:rsidRDefault="00EB76D2" w:rsidP="672706A0">
            <w:pPr>
              <w:pStyle w:val="PlainText"/>
              <w:jc w:val="both"/>
              <w:rPr>
                <w:rStyle w:val="normaltextrun"/>
                <w:rFonts w:ascii="Times New Roman" w:hAnsi="Times New Roman"/>
                <w:sz w:val="24"/>
                <w:szCs w:val="24"/>
                <w:shd w:val="clear" w:color="auto" w:fill="FFFFFF"/>
              </w:rPr>
            </w:pPr>
          </w:p>
          <w:p w14:paraId="1AFBE5EB" w14:textId="77777777" w:rsidR="00EB76D2" w:rsidRPr="00B57019" w:rsidRDefault="00EB76D2" w:rsidP="672706A0">
            <w:pPr>
              <w:pStyle w:val="PlainText"/>
              <w:jc w:val="both"/>
              <w:rPr>
                <w:rStyle w:val="normaltextrun"/>
                <w:rFonts w:ascii="Times New Roman" w:hAnsi="Times New Roman"/>
                <w:sz w:val="24"/>
                <w:szCs w:val="24"/>
                <w:shd w:val="clear" w:color="auto" w:fill="FFFFFF"/>
              </w:rPr>
            </w:pPr>
          </w:p>
          <w:p w14:paraId="4CB02AE8" w14:textId="77777777" w:rsidR="00EB76D2" w:rsidRPr="00B57019" w:rsidRDefault="00EB76D2" w:rsidP="672706A0">
            <w:pPr>
              <w:pStyle w:val="PlainText"/>
              <w:jc w:val="both"/>
              <w:rPr>
                <w:rStyle w:val="normaltextrun"/>
                <w:rFonts w:ascii="Times New Roman" w:hAnsi="Times New Roman"/>
                <w:sz w:val="24"/>
                <w:szCs w:val="24"/>
                <w:shd w:val="clear" w:color="auto" w:fill="FFFFFF"/>
              </w:rPr>
            </w:pPr>
          </w:p>
          <w:p w14:paraId="1D6AEB83" w14:textId="77777777" w:rsidR="00EB76D2" w:rsidRPr="00B57019" w:rsidRDefault="00EB76D2" w:rsidP="672706A0">
            <w:pPr>
              <w:pStyle w:val="PlainText"/>
              <w:jc w:val="both"/>
              <w:rPr>
                <w:rStyle w:val="normaltextrun"/>
                <w:rFonts w:ascii="Times New Roman" w:hAnsi="Times New Roman"/>
                <w:sz w:val="24"/>
                <w:szCs w:val="24"/>
                <w:shd w:val="clear" w:color="auto" w:fill="FFFFFF"/>
              </w:rPr>
            </w:pPr>
          </w:p>
          <w:p w14:paraId="29D9C347" w14:textId="77777777" w:rsidR="00EB76D2" w:rsidRPr="00B57019" w:rsidRDefault="00EB76D2" w:rsidP="672706A0">
            <w:pPr>
              <w:pStyle w:val="PlainText"/>
              <w:jc w:val="both"/>
              <w:rPr>
                <w:rStyle w:val="normaltextrun"/>
                <w:rFonts w:ascii="Times New Roman" w:hAnsi="Times New Roman"/>
                <w:sz w:val="24"/>
                <w:szCs w:val="24"/>
                <w:shd w:val="clear" w:color="auto" w:fill="FFFFFF"/>
              </w:rPr>
            </w:pPr>
          </w:p>
          <w:p w14:paraId="22254799" w14:textId="77777777" w:rsidR="00EB76D2" w:rsidRPr="00B57019" w:rsidRDefault="00EB76D2" w:rsidP="672706A0">
            <w:pPr>
              <w:pStyle w:val="PlainText"/>
              <w:jc w:val="both"/>
              <w:rPr>
                <w:rStyle w:val="normaltextrun"/>
                <w:rFonts w:ascii="Times New Roman" w:hAnsi="Times New Roman"/>
                <w:sz w:val="24"/>
                <w:szCs w:val="24"/>
                <w:shd w:val="clear" w:color="auto" w:fill="FFFFFF"/>
              </w:rPr>
            </w:pPr>
          </w:p>
          <w:p w14:paraId="0B387308" w14:textId="77777777" w:rsidR="00EB76D2" w:rsidRPr="00B57019" w:rsidRDefault="00EB76D2" w:rsidP="672706A0">
            <w:pPr>
              <w:pStyle w:val="PlainText"/>
              <w:jc w:val="both"/>
              <w:rPr>
                <w:rStyle w:val="normaltextrun"/>
                <w:rFonts w:ascii="Times New Roman" w:hAnsi="Times New Roman"/>
                <w:sz w:val="24"/>
                <w:szCs w:val="24"/>
                <w:shd w:val="clear" w:color="auto" w:fill="FFFFFF"/>
              </w:rPr>
            </w:pPr>
          </w:p>
          <w:p w14:paraId="0FA1A119" w14:textId="77777777" w:rsidR="00EB76D2" w:rsidRPr="00B57019" w:rsidRDefault="00EB76D2" w:rsidP="672706A0">
            <w:pPr>
              <w:pStyle w:val="PlainText"/>
              <w:jc w:val="both"/>
              <w:rPr>
                <w:rStyle w:val="normaltextrun"/>
                <w:rFonts w:ascii="Times New Roman" w:hAnsi="Times New Roman"/>
                <w:sz w:val="24"/>
                <w:szCs w:val="24"/>
                <w:shd w:val="clear" w:color="auto" w:fill="FFFFFF"/>
              </w:rPr>
            </w:pPr>
          </w:p>
          <w:p w14:paraId="5EC517F8" w14:textId="0C757D62" w:rsidR="005057E8" w:rsidRPr="00B57019" w:rsidRDefault="005057E8" w:rsidP="672706A0">
            <w:pPr>
              <w:pStyle w:val="PlainText"/>
              <w:jc w:val="both"/>
              <w:rPr>
                <w:rFonts w:ascii="Times New Roman" w:hAnsi="Times New Roman"/>
                <w:sz w:val="24"/>
                <w:szCs w:val="24"/>
              </w:rPr>
            </w:pPr>
            <w:r w:rsidRPr="00B57019">
              <w:rPr>
                <w:rStyle w:val="normaltextrun"/>
                <w:rFonts w:ascii="Times New Roman" w:hAnsi="Times New Roman"/>
                <w:sz w:val="24"/>
                <w:szCs w:val="24"/>
                <w:shd w:val="clear" w:color="auto" w:fill="FFFFFF"/>
              </w:rPr>
              <w:t>Ietaupīto amata vietu atalgojums ir rēķināts ņemot vērā VRAA vidējo speciālistu atalgojumu. Tas ir precizējams konceptuāla informatīvā ziņojuma akcepta gadījumā Valsts sekretāru sanāksmē.</w:t>
            </w:r>
            <w:r w:rsidRPr="00B57019">
              <w:rPr>
                <w:rStyle w:val="eop"/>
                <w:rFonts w:ascii="Times New Roman" w:hAnsi="Times New Roman"/>
                <w:sz w:val="24"/>
                <w:szCs w:val="24"/>
                <w:shd w:val="clear" w:color="auto" w:fill="FFFFFF"/>
              </w:rPr>
              <w:t> </w:t>
            </w:r>
          </w:p>
          <w:p w14:paraId="2A5C0E99" w14:textId="77777777" w:rsidR="00075C59" w:rsidRPr="00B57019" w:rsidRDefault="00075C59" w:rsidP="672706A0">
            <w:pPr>
              <w:pStyle w:val="PlainText"/>
              <w:jc w:val="both"/>
              <w:rPr>
                <w:rFonts w:ascii="Times New Roman" w:hAnsi="Times New Roman"/>
                <w:sz w:val="24"/>
                <w:szCs w:val="24"/>
              </w:rPr>
            </w:pPr>
          </w:p>
          <w:p w14:paraId="28A8D03C" w14:textId="77777777" w:rsidR="00075C59" w:rsidRPr="00B57019" w:rsidRDefault="00075C59" w:rsidP="672706A0">
            <w:pPr>
              <w:pStyle w:val="PlainText"/>
              <w:jc w:val="both"/>
              <w:rPr>
                <w:rFonts w:ascii="Times New Roman" w:hAnsi="Times New Roman"/>
                <w:sz w:val="24"/>
                <w:szCs w:val="24"/>
              </w:rPr>
            </w:pPr>
          </w:p>
          <w:p w14:paraId="6F4960AA" w14:textId="77777777" w:rsidR="00075C59" w:rsidRPr="00B57019" w:rsidRDefault="00075C59" w:rsidP="672706A0">
            <w:pPr>
              <w:pStyle w:val="PlainText"/>
              <w:jc w:val="both"/>
              <w:rPr>
                <w:rFonts w:ascii="Times New Roman" w:hAnsi="Times New Roman"/>
                <w:sz w:val="24"/>
                <w:szCs w:val="24"/>
              </w:rPr>
            </w:pPr>
          </w:p>
          <w:p w14:paraId="6D0E55E9" w14:textId="77777777" w:rsidR="00075C59" w:rsidRPr="00B57019" w:rsidRDefault="00075C59" w:rsidP="672706A0">
            <w:pPr>
              <w:pStyle w:val="PlainText"/>
              <w:jc w:val="both"/>
              <w:rPr>
                <w:rFonts w:ascii="Times New Roman" w:hAnsi="Times New Roman"/>
                <w:sz w:val="24"/>
                <w:szCs w:val="24"/>
              </w:rPr>
            </w:pPr>
          </w:p>
          <w:p w14:paraId="5A02CB19" w14:textId="77777777" w:rsidR="00075C59" w:rsidRPr="00B57019" w:rsidRDefault="00075C59" w:rsidP="672706A0">
            <w:pPr>
              <w:pStyle w:val="PlainText"/>
              <w:jc w:val="both"/>
              <w:rPr>
                <w:rFonts w:ascii="Times New Roman" w:hAnsi="Times New Roman"/>
                <w:sz w:val="24"/>
                <w:szCs w:val="24"/>
              </w:rPr>
            </w:pPr>
          </w:p>
          <w:p w14:paraId="383656DF" w14:textId="77777777" w:rsidR="00075C59" w:rsidRPr="00B57019" w:rsidRDefault="00075C59" w:rsidP="672706A0">
            <w:pPr>
              <w:pStyle w:val="PlainText"/>
              <w:jc w:val="both"/>
              <w:rPr>
                <w:rFonts w:ascii="Times New Roman" w:hAnsi="Times New Roman"/>
                <w:sz w:val="24"/>
                <w:szCs w:val="24"/>
              </w:rPr>
            </w:pPr>
          </w:p>
          <w:p w14:paraId="17AF8C38" w14:textId="77777777" w:rsidR="00075C59" w:rsidRPr="00B57019" w:rsidRDefault="00075C59" w:rsidP="672706A0">
            <w:pPr>
              <w:pStyle w:val="PlainText"/>
              <w:jc w:val="both"/>
              <w:rPr>
                <w:rFonts w:ascii="Times New Roman" w:hAnsi="Times New Roman"/>
                <w:sz w:val="24"/>
                <w:szCs w:val="24"/>
              </w:rPr>
            </w:pPr>
          </w:p>
          <w:p w14:paraId="44A306B4" w14:textId="77777777" w:rsidR="00075C59" w:rsidRPr="00B57019" w:rsidRDefault="00075C59" w:rsidP="672706A0">
            <w:pPr>
              <w:pStyle w:val="PlainText"/>
              <w:jc w:val="both"/>
              <w:rPr>
                <w:rFonts w:ascii="Times New Roman" w:hAnsi="Times New Roman"/>
                <w:sz w:val="24"/>
                <w:szCs w:val="24"/>
              </w:rPr>
            </w:pPr>
          </w:p>
          <w:p w14:paraId="3D44F05F" w14:textId="77777777" w:rsidR="00075C59" w:rsidRPr="00B57019" w:rsidRDefault="00075C59" w:rsidP="672706A0">
            <w:pPr>
              <w:pStyle w:val="PlainText"/>
              <w:jc w:val="both"/>
              <w:rPr>
                <w:rFonts w:ascii="Times New Roman" w:hAnsi="Times New Roman"/>
                <w:sz w:val="24"/>
                <w:szCs w:val="24"/>
              </w:rPr>
            </w:pPr>
          </w:p>
          <w:p w14:paraId="18C64335" w14:textId="77777777" w:rsidR="00075C59" w:rsidRPr="00B57019" w:rsidRDefault="00075C59" w:rsidP="672706A0">
            <w:pPr>
              <w:pStyle w:val="PlainText"/>
              <w:jc w:val="both"/>
              <w:rPr>
                <w:rFonts w:ascii="Times New Roman" w:hAnsi="Times New Roman"/>
                <w:sz w:val="24"/>
                <w:szCs w:val="24"/>
              </w:rPr>
            </w:pPr>
          </w:p>
          <w:p w14:paraId="090D01CD" w14:textId="77777777" w:rsidR="00075C59" w:rsidRPr="00B57019" w:rsidRDefault="00075C59" w:rsidP="672706A0">
            <w:pPr>
              <w:pStyle w:val="PlainText"/>
              <w:jc w:val="both"/>
              <w:rPr>
                <w:rFonts w:ascii="Times New Roman" w:hAnsi="Times New Roman"/>
                <w:sz w:val="24"/>
                <w:szCs w:val="24"/>
              </w:rPr>
            </w:pPr>
          </w:p>
          <w:p w14:paraId="530ADC21" w14:textId="77777777" w:rsidR="00075C59" w:rsidRPr="00B57019" w:rsidRDefault="00075C59" w:rsidP="672706A0">
            <w:pPr>
              <w:pStyle w:val="PlainText"/>
              <w:jc w:val="both"/>
              <w:rPr>
                <w:rFonts w:ascii="Times New Roman" w:hAnsi="Times New Roman"/>
                <w:sz w:val="24"/>
                <w:szCs w:val="24"/>
              </w:rPr>
            </w:pPr>
          </w:p>
          <w:p w14:paraId="62ABC2D7" w14:textId="77777777" w:rsidR="00075C59" w:rsidRPr="00B57019" w:rsidRDefault="00075C59" w:rsidP="672706A0">
            <w:pPr>
              <w:pStyle w:val="PlainText"/>
              <w:jc w:val="both"/>
              <w:rPr>
                <w:rFonts w:ascii="Times New Roman" w:hAnsi="Times New Roman"/>
                <w:sz w:val="24"/>
                <w:szCs w:val="24"/>
              </w:rPr>
            </w:pPr>
          </w:p>
          <w:p w14:paraId="725E9EAC" w14:textId="77777777" w:rsidR="00075C59" w:rsidRPr="00B57019" w:rsidRDefault="00075C59" w:rsidP="672706A0">
            <w:pPr>
              <w:pStyle w:val="PlainText"/>
              <w:jc w:val="both"/>
              <w:rPr>
                <w:rFonts w:ascii="Times New Roman" w:hAnsi="Times New Roman"/>
                <w:sz w:val="24"/>
                <w:szCs w:val="24"/>
              </w:rPr>
            </w:pPr>
          </w:p>
          <w:p w14:paraId="32FA3441" w14:textId="77777777" w:rsidR="00075C59" w:rsidRPr="00B57019" w:rsidRDefault="00075C59" w:rsidP="672706A0">
            <w:pPr>
              <w:pStyle w:val="PlainText"/>
              <w:jc w:val="both"/>
              <w:rPr>
                <w:rFonts w:ascii="Times New Roman" w:hAnsi="Times New Roman"/>
                <w:sz w:val="24"/>
                <w:szCs w:val="24"/>
              </w:rPr>
            </w:pPr>
          </w:p>
          <w:p w14:paraId="43B3808C" w14:textId="77777777" w:rsidR="00075C59" w:rsidRPr="00B57019" w:rsidRDefault="00075C59" w:rsidP="672706A0">
            <w:pPr>
              <w:pStyle w:val="PlainText"/>
              <w:jc w:val="both"/>
              <w:rPr>
                <w:rFonts w:ascii="Times New Roman" w:hAnsi="Times New Roman"/>
                <w:sz w:val="24"/>
                <w:szCs w:val="24"/>
              </w:rPr>
            </w:pPr>
          </w:p>
          <w:p w14:paraId="58575A04" w14:textId="77777777" w:rsidR="00075C59" w:rsidRPr="00B57019" w:rsidRDefault="00075C59" w:rsidP="672706A0">
            <w:pPr>
              <w:pStyle w:val="PlainText"/>
              <w:jc w:val="both"/>
              <w:rPr>
                <w:rFonts w:ascii="Times New Roman" w:hAnsi="Times New Roman"/>
                <w:sz w:val="24"/>
                <w:szCs w:val="24"/>
              </w:rPr>
            </w:pPr>
          </w:p>
          <w:p w14:paraId="2A253F85" w14:textId="77777777" w:rsidR="00075C59" w:rsidRPr="00B57019" w:rsidRDefault="00075C59" w:rsidP="672706A0">
            <w:pPr>
              <w:pStyle w:val="PlainText"/>
              <w:jc w:val="both"/>
              <w:rPr>
                <w:rFonts w:ascii="Times New Roman" w:hAnsi="Times New Roman"/>
                <w:sz w:val="24"/>
                <w:szCs w:val="24"/>
              </w:rPr>
            </w:pPr>
          </w:p>
          <w:p w14:paraId="720292A7" w14:textId="77777777" w:rsidR="00075C59" w:rsidRPr="00B57019" w:rsidRDefault="00075C59" w:rsidP="672706A0">
            <w:pPr>
              <w:pStyle w:val="PlainText"/>
              <w:jc w:val="both"/>
              <w:rPr>
                <w:rFonts w:ascii="Times New Roman" w:hAnsi="Times New Roman"/>
                <w:sz w:val="24"/>
                <w:szCs w:val="24"/>
              </w:rPr>
            </w:pPr>
          </w:p>
          <w:p w14:paraId="67C0F97E" w14:textId="77777777" w:rsidR="00075C59" w:rsidRPr="00B57019" w:rsidRDefault="00075C59" w:rsidP="672706A0">
            <w:pPr>
              <w:pStyle w:val="PlainText"/>
              <w:jc w:val="both"/>
              <w:rPr>
                <w:rFonts w:ascii="Times New Roman" w:hAnsi="Times New Roman"/>
                <w:sz w:val="24"/>
                <w:szCs w:val="24"/>
              </w:rPr>
            </w:pPr>
          </w:p>
          <w:p w14:paraId="7130351B" w14:textId="77777777" w:rsidR="00075C59" w:rsidRPr="00B57019" w:rsidRDefault="00075C59" w:rsidP="672706A0">
            <w:pPr>
              <w:pStyle w:val="PlainText"/>
              <w:jc w:val="both"/>
              <w:rPr>
                <w:rFonts w:ascii="Times New Roman" w:hAnsi="Times New Roman"/>
                <w:sz w:val="24"/>
                <w:szCs w:val="24"/>
              </w:rPr>
            </w:pPr>
          </w:p>
          <w:p w14:paraId="617240F2" w14:textId="77777777" w:rsidR="00075C59" w:rsidRPr="00B57019" w:rsidRDefault="00075C59" w:rsidP="672706A0">
            <w:pPr>
              <w:pStyle w:val="PlainText"/>
              <w:jc w:val="both"/>
              <w:rPr>
                <w:rFonts w:ascii="Times New Roman" w:hAnsi="Times New Roman"/>
                <w:sz w:val="24"/>
                <w:szCs w:val="24"/>
              </w:rPr>
            </w:pPr>
          </w:p>
          <w:p w14:paraId="773272BB" w14:textId="77777777" w:rsidR="00075C59" w:rsidRPr="00B57019" w:rsidRDefault="00075C59" w:rsidP="672706A0">
            <w:pPr>
              <w:pStyle w:val="PlainText"/>
              <w:jc w:val="both"/>
              <w:rPr>
                <w:rFonts w:ascii="Times New Roman" w:hAnsi="Times New Roman"/>
                <w:sz w:val="24"/>
                <w:szCs w:val="24"/>
              </w:rPr>
            </w:pPr>
          </w:p>
          <w:p w14:paraId="65686292" w14:textId="77777777" w:rsidR="00075C59" w:rsidRPr="00B57019" w:rsidRDefault="00075C59" w:rsidP="672706A0">
            <w:pPr>
              <w:pStyle w:val="PlainText"/>
              <w:jc w:val="both"/>
              <w:rPr>
                <w:rFonts w:ascii="Times New Roman" w:hAnsi="Times New Roman"/>
                <w:sz w:val="24"/>
                <w:szCs w:val="24"/>
              </w:rPr>
            </w:pPr>
          </w:p>
          <w:p w14:paraId="709A77F1" w14:textId="77777777" w:rsidR="00075C59" w:rsidRPr="00B57019" w:rsidRDefault="00075C59" w:rsidP="672706A0">
            <w:pPr>
              <w:pStyle w:val="PlainText"/>
              <w:jc w:val="both"/>
              <w:rPr>
                <w:rFonts w:ascii="Times New Roman" w:hAnsi="Times New Roman"/>
                <w:sz w:val="24"/>
                <w:szCs w:val="24"/>
              </w:rPr>
            </w:pPr>
          </w:p>
          <w:p w14:paraId="70F850E2" w14:textId="77777777" w:rsidR="00075C59" w:rsidRPr="00B57019" w:rsidRDefault="00075C59" w:rsidP="672706A0">
            <w:pPr>
              <w:pStyle w:val="PlainText"/>
              <w:jc w:val="both"/>
              <w:rPr>
                <w:rFonts w:ascii="Times New Roman" w:hAnsi="Times New Roman"/>
                <w:sz w:val="24"/>
                <w:szCs w:val="24"/>
              </w:rPr>
            </w:pPr>
          </w:p>
          <w:p w14:paraId="52192233" w14:textId="77777777" w:rsidR="00075C59" w:rsidRPr="00B57019" w:rsidRDefault="00075C59" w:rsidP="672706A0">
            <w:pPr>
              <w:pStyle w:val="PlainText"/>
              <w:jc w:val="both"/>
              <w:rPr>
                <w:rFonts w:ascii="Times New Roman" w:hAnsi="Times New Roman"/>
                <w:sz w:val="24"/>
                <w:szCs w:val="24"/>
              </w:rPr>
            </w:pPr>
          </w:p>
          <w:p w14:paraId="12AEF419" w14:textId="6E15B779" w:rsidR="00075C59" w:rsidRPr="00B57019" w:rsidRDefault="00075C59" w:rsidP="00075C59">
            <w:pPr>
              <w:pStyle w:val="PlainText"/>
              <w:jc w:val="both"/>
              <w:rPr>
                <w:rFonts w:ascii="Times New Roman" w:hAnsi="Times New Roman"/>
                <w:b/>
                <w:bCs/>
                <w:sz w:val="24"/>
                <w:szCs w:val="24"/>
                <w:lang w:val="lv-LV"/>
              </w:rPr>
            </w:pP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180A1051" w14:textId="76ED1AB8" w:rsidR="00EC5B70" w:rsidRPr="00B57019" w:rsidRDefault="00EC5B70" w:rsidP="00F21595">
            <w:pPr>
              <w:jc w:val="both"/>
            </w:pPr>
          </w:p>
          <w:p w14:paraId="5520BD01" w14:textId="77777777" w:rsidR="00D44FE4" w:rsidRPr="00B57019" w:rsidRDefault="00D44FE4" w:rsidP="00F21595">
            <w:pPr>
              <w:jc w:val="both"/>
            </w:pPr>
          </w:p>
          <w:p w14:paraId="63FFB770" w14:textId="77777777" w:rsidR="00D44FE4" w:rsidRPr="00B57019" w:rsidRDefault="00D44FE4" w:rsidP="00F21595">
            <w:pPr>
              <w:jc w:val="both"/>
            </w:pPr>
          </w:p>
          <w:p w14:paraId="642D28FD" w14:textId="77777777" w:rsidR="00D44FE4" w:rsidRPr="00B57019" w:rsidRDefault="00D44FE4" w:rsidP="00F21595">
            <w:pPr>
              <w:jc w:val="both"/>
            </w:pPr>
          </w:p>
          <w:p w14:paraId="338A61EE" w14:textId="77777777" w:rsidR="00D44FE4" w:rsidRPr="00B57019" w:rsidRDefault="00D44FE4" w:rsidP="00F21595">
            <w:pPr>
              <w:jc w:val="both"/>
            </w:pPr>
          </w:p>
          <w:p w14:paraId="5EDBB024" w14:textId="77777777" w:rsidR="00D44FE4" w:rsidRPr="00B57019" w:rsidRDefault="00D44FE4" w:rsidP="00F21595">
            <w:pPr>
              <w:jc w:val="both"/>
            </w:pPr>
          </w:p>
          <w:p w14:paraId="2D013643" w14:textId="77777777" w:rsidR="00D44FE4" w:rsidRPr="00B57019" w:rsidRDefault="00D44FE4" w:rsidP="00F21595">
            <w:pPr>
              <w:jc w:val="both"/>
            </w:pPr>
          </w:p>
          <w:p w14:paraId="228B725F" w14:textId="77777777" w:rsidR="00D44FE4" w:rsidRPr="00B57019" w:rsidRDefault="00D44FE4" w:rsidP="00F21595">
            <w:pPr>
              <w:jc w:val="both"/>
            </w:pPr>
          </w:p>
          <w:p w14:paraId="5AAF6BAB" w14:textId="77777777" w:rsidR="00D44FE4" w:rsidRPr="00B57019" w:rsidRDefault="00D44FE4" w:rsidP="00F21595">
            <w:pPr>
              <w:jc w:val="both"/>
            </w:pPr>
          </w:p>
          <w:p w14:paraId="16C27210" w14:textId="77777777" w:rsidR="00D44FE4" w:rsidRPr="00B57019" w:rsidRDefault="00D44FE4" w:rsidP="00F21595">
            <w:pPr>
              <w:jc w:val="both"/>
            </w:pPr>
          </w:p>
          <w:p w14:paraId="3C9E9BB7" w14:textId="77777777" w:rsidR="00D44FE4" w:rsidRPr="00B57019" w:rsidRDefault="00D44FE4" w:rsidP="00F21595">
            <w:pPr>
              <w:jc w:val="both"/>
            </w:pPr>
          </w:p>
          <w:p w14:paraId="2BC89565" w14:textId="77777777" w:rsidR="00D44FE4" w:rsidRPr="00B57019" w:rsidRDefault="00D44FE4" w:rsidP="00F21595">
            <w:pPr>
              <w:jc w:val="both"/>
            </w:pPr>
          </w:p>
          <w:p w14:paraId="49181C55" w14:textId="77777777" w:rsidR="00D44FE4" w:rsidRPr="00B57019" w:rsidRDefault="00D44FE4" w:rsidP="00F21595">
            <w:pPr>
              <w:jc w:val="both"/>
            </w:pPr>
          </w:p>
          <w:p w14:paraId="3D03BE26" w14:textId="77777777" w:rsidR="00D44FE4" w:rsidRPr="00B57019" w:rsidRDefault="00D44FE4" w:rsidP="00F21595">
            <w:pPr>
              <w:jc w:val="both"/>
            </w:pPr>
          </w:p>
          <w:p w14:paraId="53A28667" w14:textId="77777777" w:rsidR="00D44FE4" w:rsidRPr="00B57019" w:rsidRDefault="00D44FE4" w:rsidP="00F21595">
            <w:pPr>
              <w:jc w:val="both"/>
            </w:pPr>
          </w:p>
          <w:p w14:paraId="1D0B0C04" w14:textId="77777777" w:rsidR="00D44FE4" w:rsidRPr="00B57019" w:rsidRDefault="00D44FE4" w:rsidP="00F21595">
            <w:pPr>
              <w:jc w:val="both"/>
            </w:pPr>
          </w:p>
          <w:p w14:paraId="4BD8ACD3" w14:textId="77777777" w:rsidR="00D44FE4" w:rsidRPr="00B57019" w:rsidRDefault="00D44FE4" w:rsidP="00F21595">
            <w:pPr>
              <w:jc w:val="both"/>
            </w:pPr>
          </w:p>
          <w:p w14:paraId="526AFD68" w14:textId="77777777" w:rsidR="00D44FE4" w:rsidRPr="00B57019" w:rsidRDefault="00D44FE4" w:rsidP="00F21595">
            <w:pPr>
              <w:jc w:val="both"/>
            </w:pPr>
          </w:p>
          <w:p w14:paraId="6D88680E" w14:textId="77777777" w:rsidR="00D44FE4" w:rsidRPr="00B57019" w:rsidRDefault="00D44FE4" w:rsidP="00F21595">
            <w:pPr>
              <w:jc w:val="both"/>
            </w:pPr>
          </w:p>
          <w:p w14:paraId="250CC2CB" w14:textId="77777777" w:rsidR="00D44FE4" w:rsidRPr="00B57019" w:rsidRDefault="00D44FE4" w:rsidP="00F21595">
            <w:pPr>
              <w:jc w:val="both"/>
            </w:pPr>
          </w:p>
          <w:p w14:paraId="7599BA30" w14:textId="77777777" w:rsidR="00D44FE4" w:rsidRPr="00B57019" w:rsidRDefault="00D44FE4" w:rsidP="00F21595">
            <w:pPr>
              <w:jc w:val="both"/>
            </w:pPr>
          </w:p>
          <w:p w14:paraId="2588B87A" w14:textId="77777777" w:rsidR="00D44FE4" w:rsidRPr="00B57019" w:rsidRDefault="00D44FE4" w:rsidP="00F21595">
            <w:pPr>
              <w:jc w:val="both"/>
            </w:pPr>
          </w:p>
          <w:p w14:paraId="0919EFAC" w14:textId="77777777" w:rsidR="00D44FE4" w:rsidRPr="00B57019" w:rsidRDefault="00D44FE4" w:rsidP="00F21595">
            <w:pPr>
              <w:jc w:val="both"/>
            </w:pPr>
          </w:p>
          <w:p w14:paraId="430C5AAC" w14:textId="77777777" w:rsidR="00D44FE4" w:rsidRPr="00B57019" w:rsidRDefault="00D44FE4" w:rsidP="00F21595">
            <w:pPr>
              <w:jc w:val="both"/>
            </w:pPr>
          </w:p>
          <w:p w14:paraId="4BFF535F" w14:textId="77777777" w:rsidR="00D44FE4" w:rsidRPr="00B57019" w:rsidRDefault="00D44FE4" w:rsidP="00F21595">
            <w:pPr>
              <w:jc w:val="both"/>
            </w:pPr>
          </w:p>
          <w:p w14:paraId="1D2E4A04" w14:textId="77777777" w:rsidR="00D44FE4" w:rsidRPr="00B57019" w:rsidRDefault="00D44FE4" w:rsidP="00F21595">
            <w:pPr>
              <w:jc w:val="both"/>
            </w:pPr>
          </w:p>
          <w:p w14:paraId="13DA4184" w14:textId="77777777" w:rsidR="00D44FE4" w:rsidRPr="00B57019" w:rsidRDefault="00D44FE4" w:rsidP="00F21595">
            <w:pPr>
              <w:jc w:val="both"/>
            </w:pPr>
          </w:p>
          <w:p w14:paraId="37101210" w14:textId="77777777" w:rsidR="00D44FE4" w:rsidRPr="00B57019" w:rsidRDefault="00D44FE4" w:rsidP="00F21595">
            <w:pPr>
              <w:jc w:val="both"/>
            </w:pPr>
          </w:p>
          <w:p w14:paraId="7E91B09F" w14:textId="77777777" w:rsidR="00D44FE4" w:rsidRPr="00B57019" w:rsidRDefault="00D44FE4" w:rsidP="00F21595">
            <w:pPr>
              <w:jc w:val="both"/>
            </w:pPr>
          </w:p>
          <w:p w14:paraId="3631C889" w14:textId="77777777" w:rsidR="00D44FE4" w:rsidRPr="00B57019" w:rsidRDefault="00D44FE4" w:rsidP="00F21595">
            <w:pPr>
              <w:jc w:val="both"/>
            </w:pPr>
          </w:p>
          <w:p w14:paraId="2EE70484" w14:textId="77777777" w:rsidR="00D44FE4" w:rsidRPr="00B57019" w:rsidRDefault="00D44FE4" w:rsidP="00F21595">
            <w:pPr>
              <w:jc w:val="both"/>
            </w:pPr>
          </w:p>
          <w:p w14:paraId="6FA50023" w14:textId="77777777" w:rsidR="00D44FE4" w:rsidRPr="00B57019" w:rsidRDefault="00D44FE4" w:rsidP="00F21595">
            <w:pPr>
              <w:jc w:val="both"/>
            </w:pPr>
          </w:p>
          <w:p w14:paraId="280323CB" w14:textId="77777777" w:rsidR="00D44FE4" w:rsidRPr="00B57019" w:rsidRDefault="00D44FE4" w:rsidP="00F21595">
            <w:pPr>
              <w:jc w:val="both"/>
            </w:pPr>
          </w:p>
          <w:p w14:paraId="1B80FDF0" w14:textId="77777777" w:rsidR="00D44FE4" w:rsidRPr="00B57019" w:rsidRDefault="00D44FE4" w:rsidP="00F21595">
            <w:pPr>
              <w:jc w:val="both"/>
            </w:pPr>
          </w:p>
          <w:p w14:paraId="3E9A95D6" w14:textId="77777777" w:rsidR="00D44FE4" w:rsidRPr="00B57019" w:rsidRDefault="00D44FE4" w:rsidP="00F21595">
            <w:pPr>
              <w:jc w:val="both"/>
            </w:pPr>
          </w:p>
          <w:p w14:paraId="4B730EAE" w14:textId="77777777" w:rsidR="00D44FE4" w:rsidRPr="00B57019" w:rsidRDefault="00D44FE4" w:rsidP="00F21595">
            <w:pPr>
              <w:jc w:val="both"/>
            </w:pPr>
          </w:p>
          <w:p w14:paraId="1806FE2F" w14:textId="77777777" w:rsidR="00D44FE4" w:rsidRPr="00B57019" w:rsidRDefault="00D44FE4" w:rsidP="00F21595">
            <w:pPr>
              <w:jc w:val="both"/>
            </w:pPr>
          </w:p>
          <w:p w14:paraId="5F5203CD" w14:textId="77777777" w:rsidR="00D44FE4" w:rsidRPr="00B57019" w:rsidRDefault="00D44FE4" w:rsidP="00F21595">
            <w:pPr>
              <w:jc w:val="both"/>
            </w:pPr>
          </w:p>
          <w:p w14:paraId="6868A830" w14:textId="77777777" w:rsidR="00D44FE4" w:rsidRPr="00B57019" w:rsidRDefault="00D44FE4" w:rsidP="00F21595">
            <w:pPr>
              <w:jc w:val="both"/>
            </w:pPr>
          </w:p>
          <w:p w14:paraId="120915AD" w14:textId="77777777" w:rsidR="00D44FE4" w:rsidRPr="00B57019" w:rsidRDefault="00D44FE4" w:rsidP="00F21595">
            <w:pPr>
              <w:jc w:val="both"/>
            </w:pPr>
          </w:p>
          <w:p w14:paraId="01915855" w14:textId="77777777" w:rsidR="00D44FE4" w:rsidRPr="00B57019" w:rsidRDefault="00D44FE4" w:rsidP="00F21595">
            <w:pPr>
              <w:jc w:val="both"/>
            </w:pPr>
          </w:p>
          <w:p w14:paraId="3FF6571F" w14:textId="77777777" w:rsidR="00D44FE4" w:rsidRPr="00B57019" w:rsidRDefault="00D44FE4" w:rsidP="00F21595">
            <w:pPr>
              <w:jc w:val="both"/>
            </w:pPr>
          </w:p>
          <w:p w14:paraId="68791A79" w14:textId="77777777" w:rsidR="00D44FE4" w:rsidRPr="00B57019" w:rsidRDefault="00D44FE4" w:rsidP="00F21595">
            <w:pPr>
              <w:jc w:val="both"/>
            </w:pPr>
          </w:p>
          <w:p w14:paraId="08F993F0" w14:textId="77777777" w:rsidR="00D44FE4" w:rsidRPr="00B57019" w:rsidRDefault="00D44FE4" w:rsidP="00F21595">
            <w:pPr>
              <w:jc w:val="both"/>
            </w:pPr>
          </w:p>
          <w:p w14:paraId="69AD1AF4" w14:textId="77777777" w:rsidR="00D44FE4" w:rsidRPr="00B57019" w:rsidRDefault="00D44FE4" w:rsidP="00F21595">
            <w:pPr>
              <w:jc w:val="both"/>
            </w:pPr>
          </w:p>
          <w:p w14:paraId="30EFE865" w14:textId="77777777" w:rsidR="00D44FE4" w:rsidRPr="00B57019" w:rsidRDefault="00D44FE4" w:rsidP="00F21595">
            <w:pPr>
              <w:jc w:val="both"/>
            </w:pPr>
          </w:p>
          <w:p w14:paraId="7EB337CA" w14:textId="77777777" w:rsidR="00D44FE4" w:rsidRPr="00B57019" w:rsidRDefault="00D44FE4" w:rsidP="00F21595">
            <w:pPr>
              <w:jc w:val="both"/>
            </w:pPr>
          </w:p>
          <w:p w14:paraId="3C703D10" w14:textId="77777777" w:rsidR="00D44FE4" w:rsidRPr="00B57019" w:rsidRDefault="00D44FE4" w:rsidP="00F21595">
            <w:pPr>
              <w:jc w:val="both"/>
            </w:pPr>
          </w:p>
          <w:p w14:paraId="38E3723E" w14:textId="77777777" w:rsidR="00D44FE4" w:rsidRPr="00B57019" w:rsidRDefault="00D44FE4" w:rsidP="00F21595">
            <w:pPr>
              <w:jc w:val="both"/>
            </w:pPr>
          </w:p>
          <w:p w14:paraId="08A28FCA" w14:textId="77777777" w:rsidR="00D44FE4" w:rsidRPr="00B57019" w:rsidRDefault="00D44FE4" w:rsidP="00F21595">
            <w:pPr>
              <w:jc w:val="both"/>
            </w:pPr>
          </w:p>
          <w:p w14:paraId="5F72F500" w14:textId="77777777" w:rsidR="00D44FE4" w:rsidRPr="00B57019" w:rsidRDefault="00D44FE4" w:rsidP="00F21595">
            <w:pPr>
              <w:jc w:val="both"/>
            </w:pPr>
          </w:p>
          <w:p w14:paraId="582DD8D1" w14:textId="77777777" w:rsidR="00D44FE4" w:rsidRPr="00B57019" w:rsidRDefault="00D44FE4" w:rsidP="00F21595">
            <w:pPr>
              <w:jc w:val="both"/>
            </w:pPr>
          </w:p>
          <w:p w14:paraId="71E39F44" w14:textId="77777777" w:rsidR="00D44FE4" w:rsidRPr="00B57019" w:rsidRDefault="00D44FE4" w:rsidP="00F21595">
            <w:pPr>
              <w:jc w:val="both"/>
            </w:pPr>
          </w:p>
          <w:p w14:paraId="4461EFA2" w14:textId="77777777" w:rsidR="00D44FE4" w:rsidRPr="00B57019" w:rsidRDefault="00D44FE4" w:rsidP="00F21595">
            <w:pPr>
              <w:jc w:val="both"/>
            </w:pPr>
          </w:p>
          <w:p w14:paraId="7C330479" w14:textId="77777777" w:rsidR="00D44FE4" w:rsidRPr="00B57019" w:rsidRDefault="00D44FE4" w:rsidP="00F21595">
            <w:pPr>
              <w:jc w:val="both"/>
            </w:pPr>
          </w:p>
          <w:p w14:paraId="4C3F8201" w14:textId="77777777" w:rsidR="00D44FE4" w:rsidRPr="00B57019" w:rsidRDefault="00D44FE4" w:rsidP="00F21595">
            <w:pPr>
              <w:jc w:val="both"/>
            </w:pPr>
          </w:p>
          <w:p w14:paraId="3B6B3781" w14:textId="77777777" w:rsidR="00D44FE4" w:rsidRPr="00B57019" w:rsidRDefault="00D44FE4" w:rsidP="00F21595">
            <w:pPr>
              <w:jc w:val="both"/>
            </w:pPr>
          </w:p>
          <w:p w14:paraId="1B3D3339" w14:textId="77777777" w:rsidR="00D44FE4" w:rsidRPr="00B57019" w:rsidRDefault="00D44FE4" w:rsidP="00F21595">
            <w:pPr>
              <w:jc w:val="both"/>
            </w:pPr>
          </w:p>
          <w:p w14:paraId="15E2BFA4" w14:textId="77777777" w:rsidR="00D44FE4" w:rsidRPr="00B57019" w:rsidRDefault="00D44FE4" w:rsidP="00F21595">
            <w:pPr>
              <w:jc w:val="both"/>
            </w:pPr>
          </w:p>
          <w:p w14:paraId="36DEB751" w14:textId="77777777" w:rsidR="00D44FE4" w:rsidRPr="00B57019" w:rsidRDefault="00D44FE4" w:rsidP="00F21595">
            <w:pPr>
              <w:jc w:val="both"/>
            </w:pPr>
          </w:p>
          <w:p w14:paraId="192B75DF" w14:textId="77777777" w:rsidR="00D44FE4" w:rsidRPr="00B57019" w:rsidRDefault="00D44FE4" w:rsidP="00F21595">
            <w:pPr>
              <w:jc w:val="both"/>
            </w:pPr>
          </w:p>
          <w:p w14:paraId="33559E84" w14:textId="77777777" w:rsidR="00D44FE4" w:rsidRPr="00B57019" w:rsidRDefault="00D44FE4" w:rsidP="00F21595">
            <w:pPr>
              <w:jc w:val="both"/>
            </w:pPr>
          </w:p>
          <w:p w14:paraId="76AEF1C3" w14:textId="77777777" w:rsidR="00D44FE4" w:rsidRPr="00B57019" w:rsidRDefault="00D44FE4" w:rsidP="00F21595">
            <w:pPr>
              <w:jc w:val="both"/>
            </w:pPr>
          </w:p>
          <w:p w14:paraId="307DAE71" w14:textId="77777777" w:rsidR="00D44FE4" w:rsidRPr="00B57019" w:rsidRDefault="00D44FE4" w:rsidP="00F21595">
            <w:pPr>
              <w:jc w:val="both"/>
            </w:pPr>
          </w:p>
          <w:p w14:paraId="6099EE67" w14:textId="77777777" w:rsidR="00D44FE4" w:rsidRPr="00B57019" w:rsidRDefault="00D44FE4" w:rsidP="00F21595">
            <w:pPr>
              <w:jc w:val="both"/>
            </w:pPr>
          </w:p>
          <w:p w14:paraId="0C5BDEF5" w14:textId="77777777" w:rsidR="00D44FE4" w:rsidRPr="00B57019" w:rsidRDefault="00D44FE4" w:rsidP="00F21595">
            <w:pPr>
              <w:jc w:val="both"/>
            </w:pPr>
          </w:p>
          <w:p w14:paraId="3B8501F2" w14:textId="77777777" w:rsidR="00D44FE4" w:rsidRPr="00B57019" w:rsidRDefault="00D44FE4" w:rsidP="00F21595">
            <w:pPr>
              <w:jc w:val="both"/>
            </w:pPr>
          </w:p>
          <w:p w14:paraId="78A86971" w14:textId="77777777" w:rsidR="00D44FE4" w:rsidRPr="00B57019" w:rsidRDefault="00D44FE4" w:rsidP="00F21595">
            <w:pPr>
              <w:jc w:val="both"/>
            </w:pPr>
          </w:p>
          <w:p w14:paraId="5CD72D42" w14:textId="5ED6117F" w:rsidR="00D44FE4" w:rsidRPr="00B57019" w:rsidRDefault="00C27624" w:rsidP="00C27624">
            <w:pPr>
              <w:jc w:val="both"/>
            </w:pPr>
            <w:r w:rsidRPr="00B57019">
              <w:t>.</w:t>
            </w:r>
          </w:p>
        </w:tc>
        <w:tc>
          <w:tcPr>
            <w:tcW w:w="2503" w:type="dxa"/>
            <w:tcBorders>
              <w:top w:val="single" w:sz="4" w:space="0" w:color="auto"/>
              <w:left w:val="single" w:sz="4" w:space="0" w:color="auto"/>
              <w:bottom w:val="single" w:sz="4" w:space="0" w:color="auto"/>
            </w:tcBorders>
            <w:shd w:val="clear" w:color="auto" w:fill="auto"/>
          </w:tcPr>
          <w:p w14:paraId="45F0366F" w14:textId="77777777" w:rsidR="00EC5B70" w:rsidRPr="00B57019" w:rsidRDefault="00EC5B70" w:rsidP="002A05B2"/>
        </w:tc>
      </w:tr>
      <w:tr w:rsidR="00B57019" w:rsidRPr="00B57019" w14:paraId="6415448C" w14:textId="77777777" w:rsidTr="6EC0B0DB">
        <w:tc>
          <w:tcPr>
            <w:tcW w:w="14567" w:type="dxa"/>
            <w:gridSpan w:val="6"/>
            <w:tcBorders>
              <w:top w:val="single" w:sz="6" w:space="0" w:color="000000" w:themeColor="text1"/>
              <w:left w:val="single" w:sz="6" w:space="0" w:color="000000" w:themeColor="text1"/>
              <w:bottom w:val="single" w:sz="6" w:space="0" w:color="000000" w:themeColor="text1"/>
            </w:tcBorders>
            <w:shd w:val="clear" w:color="auto" w:fill="auto"/>
          </w:tcPr>
          <w:p w14:paraId="4B03991A" w14:textId="4F48366B" w:rsidR="001B0756" w:rsidRPr="00B57019" w:rsidRDefault="001B0756" w:rsidP="001B0756">
            <w:pPr>
              <w:jc w:val="center"/>
              <w:rPr>
                <w:b/>
              </w:rPr>
            </w:pPr>
            <w:r w:rsidRPr="00B57019">
              <w:rPr>
                <w:b/>
              </w:rPr>
              <w:t>Labklājības ministrija</w:t>
            </w:r>
          </w:p>
        </w:tc>
      </w:tr>
      <w:tr w:rsidR="00B57019" w:rsidRPr="00B57019" w14:paraId="58BF6D33"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756D2ED" w14:textId="77777777" w:rsidR="00EC5B70" w:rsidRPr="00B57019" w:rsidRDefault="00EC5B70" w:rsidP="00B03F98">
            <w:pPr>
              <w:pStyle w:val="naisc"/>
              <w:spacing w:before="0" w:after="0"/>
            </w:pP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E6C3F7" w14:textId="1105FB33" w:rsidR="00EC5B70" w:rsidRPr="00B57019" w:rsidRDefault="001B0756" w:rsidP="00D37E01">
            <w:pPr>
              <w:pStyle w:val="naisc"/>
              <w:spacing w:before="0" w:after="0"/>
              <w:jc w:val="left"/>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DC51C5" w14:textId="77777777" w:rsidR="001B0756" w:rsidRPr="00B57019" w:rsidRDefault="001B0756" w:rsidP="001B0756">
            <w:pPr>
              <w:ind w:firstLine="720"/>
              <w:jc w:val="both"/>
            </w:pPr>
            <w:r w:rsidRPr="00B57019">
              <w:t>VARAM veiktie Ziņojuma un tā pielikumu precizējumi un papildinājumi joprojām nepamato administratīvo resursu ietaupījumu un Ministru kabineta (turpmāk – MK) protokollēmuma projektā minēto amata vietu un bāzes izdevumu samazinājuma aprēķinu. Ziņojumā un izziņā ietvertā argumentācija pamatā balstās uz neobjektīviem pieņēmumiem vai ir pretrunīga, savukārt aprēķini ir nekorekti. Piemēram:</w:t>
            </w:r>
          </w:p>
          <w:p w14:paraId="0B39D22E" w14:textId="77777777" w:rsidR="001B0756" w:rsidRPr="00B57019" w:rsidRDefault="672706A0" w:rsidP="001B0756">
            <w:pPr>
              <w:ind w:firstLine="720"/>
              <w:jc w:val="both"/>
            </w:pPr>
            <w:r w:rsidRPr="00B57019">
              <w:t xml:space="preserve">VARAM izziņā norāda, ka Ziņojuma projekta 3. punkts papildināts ar tekstu šādā redakcijā: “Ietaupītā darba laika apjoms ir aprēķināts, sadalot saskaņā ar Ziņojuma pielikumos Nr. 1. – Nr. 5. aprakstītajām metodēm aprēķināto summāro ietaupījumu proporcionāli pa nozaru ministrijām, atbilstoši ministriju un padotības iestāžu kopējam nodarbināto skaitam pēc Valsts kancelejas datiem.” Ziņojuma precizētajā redakcijā nav ietverts skaidrojums, ka aprēķini balstīti uz kopējo resorā nodarbināto skaitu, atsaucoties uz Ziņojuma pielikumā Nr.6 atspoguļoto. 6. pielikumā nav norādīts resoros nodarbināto skaits un atspoguļots proporcijas aprēķins. Ministrijai rodas pamatotas šaubas par aprēķinu pareizību, jo tabulās norādīts nepilnīgs Ministrijas padotībā esošo iestāžu uzskaitījums. </w:t>
            </w:r>
          </w:p>
          <w:p w14:paraId="4440D97F" w14:textId="77777777" w:rsidR="001B0756" w:rsidRPr="00B57019" w:rsidRDefault="001B0756" w:rsidP="001B0756">
            <w:pPr>
              <w:ind w:firstLine="720"/>
              <w:jc w:val="both"/>
            </w:pPr>
            <w:r w:rsidRPr="00B57019">
              <w:t>Ministrijas padotībā ir Nodarbinātības valsts aģentūra (turpmāk – NVA), Sociālās integrācijas valsts aģentūra (turpmāk – SIVA), Valsts bērnu tiesību aizsardzības inspekcija (turpmāk – VBTAI), Valsts darba inspekcija (turpmāk – VDI), Valsts sociālās apdrošināšanas aģentūra (VSAA), valsts sociālās aprūpes centrs "Kurzeme" (</w:t>
            </w:r>
            <w:bookmarkStart w:id="1" w:name="_Hlk15024372"/>
            <w:r w:rsidRPr="00B57019">
              <w:t xml:space="preserve">turpmāk – VSAC </w:t>
            </w:r>
            <w:bookmarkEnd w:id="1"/>
            <w:r w:rsidRPr="00B57019">
              <w:t>“Kurzeme”), valsts sociālās aprūpes centrs "Latgale" (turpmāk – VSAC “Latgale”), valsts sociālās aprūpes centrs "Rīga" (turpmāk – VSAC “Rīga”), valsts sociālās aprūpes centrs "Vidzeme" (turpmāk – VSAC “Vidzeme”), valsts sociālās aprūpes centrs "Zemgale" (turpmāk – VSAC “Zemgale”) un Veselības un darbspēju ekspertīzes ārstu valsts komisija (turpmāk – VDEĀVK)</w:t>
            </w:r>
            <w:r w:rsidRPr="00B57019">
              <w:rPr>
                <w:rStyle w:val="FootnoteReference"/>
              </w:rPr>
              <w:footnoteReference w:id="2"/>
            </w:r>
            <w:r w:rsidRPr="00B57019">
              <w:t>. Ziņojuma 6. pielikuma tabulā (VARAMZimp6_EIS) nav ietverta informācija par NVA, VBTAI, VDI un VSAC “Vidzeme”. Visas minētās iestādes veic publiskos iepirkumus, tostarp iepirkumus Elektronisko iepirkumu sistēmā (turpmāk – EIS).</w:t>
            </w:r>
          </w:p>
          <w:p w14:paraId="06E4AC1D" w14:textId="77777777" w:rsidR="001B0756" w:rsidRPr="00B57019" w:rsidRDefault="672706A0" w:rsidP="001B0756">
            <w:pPr>
              <w:ind w:firstLine="720"/>
              <w:jc w:val="both"/>
            </w:pPr>
            <w:r w:rsidRPr="00B57019">
              <w:t xml:space="preserve">Ziņojuma 6. pielikuma tabulas (VARAMZimp6_EIS) sadaļā “Amata vietu sadalījums starp nozaru ministrijām” ietvertais teksts “Aprēķinu metodika sadalījumam starp resoriem balstās uz e-adresē nosūtīto ziņojumu skaitu resorā attiecībā pret visu e-adresē nosūtīto ziņojumu skaitu” nav attiecināms uz aprēķinu metodiku resoru cilvēkresursu ietaupījumam ar EIS lietojumu. Līdz ar to, konkrētais aprēķins nav skaidrots un saprotams. </w:t>
            </w:r>
          </w:p>
          <w:p w14:paraId="0DAB993F" w14:textId="0B462EB7" w:rsidR="001B0756" w:rsidRPr="00B57019" w:rsidRDefault="001B0756" w:rsidP="001B0756">
            <w:pPr>
              <w:ind w:firstLine="720"/>
              <w:jc w:val="both"/>
            </w:pPr>
            <w:r w:rsidRPr="00B57019">
              <w:t>Nav saprotama tabulas ko</w:t>
            </w:r>
            <w:r w:rsidR="00804795" w:rsidRPr="00B57019">
              <w:t>lonnas</w:t>
            </w:r>
            <w:r w:rsidRPr="00B57019">
              <w:t xml:space="preserve"> “Minimālais iepirkumu skaits, kas būtu veicams rīkojot iepirkumus ārpus EIS” nozīme aprēķinā. Ministrija vērš uzmanību, ka gan Ministrijā, gan tās padotībā esošajās iestādēs publisko iepirkumu skaits ārpus EIS ievērojami pārsniedz tabulā norādīto (Ministrijas 2019. gada iepirkumu plānā paredzēti 33 iepirkumi ārpus EIS ar paredzamo līgumcenu 10 000 </w:t>
            </w:r>
            <w:r w:rsidRPr="00B57019">
              <w:rPr>
                <w:i/>
              </w:rPr>
              <w:t>euro</w:t>
            </w:r>
            <w:r w:rsidRPr="00B57019">
              <w:t xml:space="preserve"> bez pievienotās vērtības nodokļa un lielāku, savukārt, NVA, kas tabulā nav iekļauta vispār, 15 šāda veida iepirkumi).</w:t>
            </w:r>
          </w:p>
          <w:p w14:paraId="0B22CF05" w14:textId="77777777" w:rsidR="001B0756" w:rsidRPr="00B57019" w:rsidRDefault="672706A0" w:rsidP="001B0756">
            <w:pPr>
              <w:ind w:firstLine="720"/>
              <w:jc w:val="both"/>
            </w:pPr>
            <w:r w:rsidRPr="00B57019">
              <w:t xml:space="preserve">VARAM izziņā norādītais, ka Ziņojumā definētais ietaupījums rodas nevis attiecībā uz IT personālu, bet gan attiecībā uz atbalsta funkciju nodrošināšanu saistīto personālu (lietvežu, iepirkuma speciālistu, juristu u.tml.), neatbilst Ziņojuma 3. pielikuma “Vienotās pieteikšanās modulis” 2. punkta redakcijai, kur potenciālais cilvēkresursu ietaupījums aprēķināts, ņemot vērā sistēmu analītiķa (19.4. amatu saime IV līmenis, 12.mēnešalgu grupa) un sistēmu administratora (19.5. amatu saime IV A līmenis, 12.mēnešalgu grupa) amatu vietu slodzes un atalgojuma izmaksas. </w:t>
            </w:r>
          </w:p>
          <w:p w14:paraId="516CB115" w14:textId="77777777" w:rsidR="001B0756" w:rsidRPr="00B57019" w:rsidRDefault="672706A0" w:rsidP="001B0756">
            <w:pPr>
              <w:ind w:firstLine="720"/>
              <w:jc w:val="both"/>
            </w:pPr>
            <w:r w:rsidRPr="00B57019">
              <w:t xml:space="preserve">Atbildot uz Ministrijas iebildumu par VARAM Ziņojuma aprēķinos izmantoto personālresursu atalgojuma ietaupījuma neatbilstību, izziņā norādīts, ka visos Ziņojuma pielikumos ir norādītas amatu saimes, mēnešalgu grupas un līmeņi, sākot no 7. amatu saimes līdz 12. amatu saimei. Ministrija atkārtoti norāda, ka labklājības nozarē Ziņojumā minēto amatu atalgojums ir zemāks, līdz ar to ietaupījuma aprēķins nav pareizs un MK protokollēmuma projekta 3.1.7. apakšpunktā Ministrijai samazināmie bāzes izdevumi nav atbilstoši samazināmo amata vietu skaitam. Neskatoties uz to, ka precizētajā MK protokollēmuma projekta 3.1. apakšpunktā vairs netiek norādīts plānoto amata vietu skaita samazinājums pa resoriem, kopumā, lai nodrošinātu finansējumu Valsts reģionālās attīstības aģentūrai (turpmāk – VRAA) 23 amata vietu izveidošanai, kuras pamatā paredzētas 12.mēnešalgu grupas līmenī, no resoriem tiktu samazinātas amata vietas ar zemākām mēnešalgu grupām (piem. 7, 8., 9. mēnešalgu grupas), kurām atbilst iepirkumu speciālista, lietveža u.c. amati. Līdz ar to resoros kopumā nāksies likvidēt vairāk kā 23 amata vietas. Piemēram, kā Ministrijas 2019. gada 30. aprīļa atzinumā Nr.A-21-09/49 minēts, Ministrijai MK protokollēmuma projekta sākotnējā versijā 3.1.8. apakšpunktā norādīto 2 amata vietu vietā būtu jāsamazina 2020. gadā vismaz 3 amata vietas un 2021. gadā vēl vismaz 1 amata vieta (amatu saime 2, IIIB, 9 mēnešalgu grupa un 3 kategorija, mēnešalga veido vidēji 1 034 euro).  </w:t>
            </w:r>
          </w:p>
          <w:p w14:paraId="51D24A4B" w14:textId="77777777" w:rsidR="001B0756" w:rsidRPr="00B57019" w:rsidRDefault="001B0756" w:rsidP="001B0756">
            <w:pPr>
              <w:ind w:firstLine="720"/>
              <w:jc w:val="both"/>
            </w:pPr>
            <w:r w:rsidRPr="00B57019">
              <w:t>Vienlaikus Ministrija nepiekrīt aprēķinu veikšanā vadīties no ministriju un padotības iestāžu kopējo nodarbināto skaita, jo VRAA uzturēto centralizēto valsts informācijas un komunikācijas tehnoloģiju (turpmāk – IKT) platformu izmantošanas apjoms un intensitāte nav saistīti ar resorā nodarbināto personu skaitu. Labklājības nozares iestādes sniedz sociālos pakalpojumus, sociālās un profesionālās rehabilitācijas pakalpojumus, tādēļ tām savu funkciju nodrošināšanai ir nepieciešams specifisks personāls, pārsvarā fiziskā darba veicēji, kas darba pienākumu izpildē neveic darbības, izmantojot IKT platformas.</w:t>
            </w:r>
          </w:p>
          <w:p w14:paraId="17F8837F" w14:textId="0CAC645A" w:rsidR="00EC5B70" w:rsidRPr="00B57019" w:rsidRDefault="001B0756" w:rsidP="001B0756">
            <w:pPr>
              <w:ind w:firstLine="720"/>
              <w:jc w:val="both"/>
            </w:pPr>
            <w:r w:rsidRPr="00B57019">
              <w:t>Ziņojums un tā pielikumi kopumā nesniedz pietiekami skaidru un pārbaudāmu informāciju par aprēķinu metodēm un tajos izmantotajiem rādītājiem.</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DD07BA" w14:textId="77777777" w:rsidR="00EC5B70" w:rsidRPr="00B57019" w:rsidRDefault="000123C4" w:rsidP="00B03F98">
            <w:pPr>
              <w:pStyle w:val="PlainText"/>
              <w:jc w:val="both"/>
              <w:rPr>
                <w:rFonts w:ascii="Times New Roman" w:hAnsi="Times New Roman"/>
                <w:sz w:val="24"/>
                <w:szCs w:val="24"/>
              </w:rPr>
            </w:pPr>
            <w:r w:rsidRPr="00B57019">
              <w:rPr>
                <w:rFonts w:ascii="Times New Roman" w:hAnsi="Times New Roman"/>
                <w:b/>
                <w:bCs/>
                <w:sz w:val="24"/>
                <w:szCs w:val="24"/>
              </w:rPr>
              <w:t>Iebildums nav ņemts vērā</w:t>
            </w:r>
            <w:r w:rsidRPr="00B57019">
              <w:rPr>
                <w:rFonts w:ascii="Times New Roman" w:hAnsi="Times New Roman"/>
                <w:sz w:val="24"/>
                <w:szCs w:val="24"/>
              </w:rPr>
              <w:t>.</w:t>
            </w:r>
          </w:p>
          <w:p w14:paraId="577E3439" w14:textId="77777777" w:rsidR="00D75C53" w:rsidRPr="00B57019" w:rsidRDefault="00D75C53" w:rsidP="00B03F98">
            <w:pPr>
              <w:pStyle w:val="PlainText"/>
              <w:jc w:val="both"/>
              <w:rPr>
                <w:rFonts w:ascii="Times New Roman" w:hAnsi="Times New Roman"/>
                <w:sz w:val="24"/>
                <w:szCs w:val="24"/>
              </w:rPr>
            </w:pPr>
          </w:p>
          <w:p w14:paraId="1FA65DC1" w14:textId="77777777" w:rsidR="00D75C53" w:rsidRPr="00B57019" w:rsidRDefault="00D75C53" w:rsidP="00B03F98">
            <w:pPr>
              <w:pStyle w:val="PlainText"/>
              <w:jc w:val="both"/>
              <w:rPr>
                <w:rFonts w:ascii="Times New Roman" w:hAnsi="Times New Roman"/>
                <w:sz w:val="24"/>
                <w:szCs w:val="24"/>
              </w:rPr>
            </w:pPr>
          </w:p>
          <w:p w14:paraId="4C676FEE" w14:textId="77777777" w:rsidR="00D75C53" w:rsidRPr="00B57019" w:rsidRDefault="00D75C53" w:rsidP="00B03F98">
            <w:pPr>
              <w:pStyle w:val="PlainText"/>
              <w:jc w:val="both"/>
              <w:rPr>
                <w:rFonts w:ascii="Times New Roman" w:hAnsi="Times New Roman"/>
                <w:sz w:val="24"/>
                <w:szCs w:val="24"/>
              </w:rPr>
            </w:pPr>
          </w:p>
          <w:p w14:paraId="373DEDDB" w14:textId="77777777" w:rsidR="00D75C53" w:rsidRPr="00B57019" w:rsidRDefault="00D75C53" w:rsidP="00B03F98">
            <w:pPr>
              <w:pStyle w:val="PlainText"/>
              <w:jc w:val="both"/>
              <w:rPr>
                <w:rFonts w:ascii="Times New Roman" w:hAnsi="Times New Roman"/>
                <w:sz w:val="24"/>
                <w:szCs w:val="24"/>
              </w:rPr>
            </w:pPr>
          </w:p>
          <w:p w14:paraId="5DDAAFB7" w14:textId="77777777" w:rsidR="00D75C53" w:rsidRPr="00B57019" w:rsidRDefault="00D75C53" w:rsidP="00B03F98">
            <w:pPr>
              <w:pStyle w:val="PlainText"/>
              <w:jc w:val="both"/>
              <w:rPr>
                <w:rFonts w:ascii="Times New Roman" w:hAnsi="Times New Roman"/>
                <w:sz w:val="24"/>
                <w:szCs w:val="24"/>
              </w:rPr>
            </w:pPr>
          </w:p>
          <w:p w14:paraId="2993F26C" w14:textId="77777777" w:rsidR="00D75C53" w:rsidRPr="00B57019" w:rsidRDefault="00D75C53" w:rsidP="00B03F98">
            <w:pPr>
              <w:pStyle w:val="PlainText"/>
              <w:jc w:val="both"/>
              <w:rPr>
                <w:rFonts w:ascii="Times New Roman" w:hAnsi="Times New Roman"/>
                <w:sz w:val="24"/>
                <w:szCs w:val="24"/>
              </w:rPr>
            </w:pPr>
          </w:p>
          <w:p w14:paraId="2BC7E523" w14:textId="77777777" w:rsidR="00D75C53" w:rsidRPr="00B57019" w:rsidRDefault="00D75C53" w:rsidP="00B03F98">
            <w:pPr>
              <w:pStyle w:val="PlainText"/>
              <w:jc w:val="both"/>
              <w:rPr>
                <w:rFonts w:ascii="Times New Roman" w:hAnsi="Times New Roman"/>
                <w:sz w:val="24"/>
                <w:szCs w:val="24"/>
              </w:rPr>
            </w:pPr>
          </w:p>
          <w:p w14:paraId="2EAE49A1" w14:textId="77777777" w:rsidR="00D75C53" w:rsidRPr="00B57019" w:rsidRDefault="00D75C53" w:rsidP="00B03F98">
            <w:pPr>
              <w:pStyle w:val="PlainText"/>
              <w:jc w:val="both"/>
              <w:rPr>
                <w:rFonts w:ascii="Times New Roman" w:hAnsi="Times New Roman"/>
                <w:sz w:val="24"/>
                <w:szCs w:val="24"/>
              </w:rPr>
            </w:pPr>
          </w:p>
          <w:p w14:paraId="6F4B7E20" w14:textId="77777777" w:rsidR="00D75C53" w:rsidRPr="00B57019" w:rsidRDefault="00D75C53" w:rsidP="00B03F98">
            <w:pPr>
              <w:pStyle w:val="PlainText"/>
              <w:jc w:val="both"/>
              <w:rPr>
                <w:rFonts w:ascii="Times New Roman" w:hAnsi="Times New Roman"/>
                <w:sz w:val="24"/>
                <w:szCs w:val="24"/>
              </w:rPr>
            </w:pPr>
          </w:p>
          <w:p w14:paraId="3E328D42" w14:textId="77777777" w:rsidR="00D75C53" w:rsidRPr="00B57019" w:rsidRDefault="00D75C53" w:rsidP="00B03F98">
            <w:pPr>
              <w:pStyle w:val="PlainText"/>
              <w:jc w:val="both"/>
              <w:rPr>
                <w:rFonts w:ascii="Times New Roman" w:hAnsi="Times New Roman"/>
                <w:sz w:val="24"/>
                <w:szCs w:val="24"/>
              </w:rPr>
            </w:pPr>
          </w:p>
          <w:p w14:paraId="3461EBBA" w14:textId="77777777" w:rsidR="00D75C53" w:rsidRPr="00B57019" w:rsidRDefault="00D75C53" w:rsidP="00B03F98">
            <w:pPr>
              <w:pStyle w:val="PlainText"/>
              <w:jc w:val="both"/>
              <w:rPr>
                <w:rFonts w:ascii="Times New Roman" w:hAnsi="Times New Roman"/>
                <w:sz w:val="24"/>
                <w:szCs w:val="24"/>
              </w:rPr>
            </w:pPr>
          </w:p>
          <w:p w14:paraId="2B9D14BD" w14:textId="77777777" w:rsidR="00D75C53" w:rsidRPr="00B57019" w:rsidRDefault="00D75C53" w:rsidP="00B03F98">
            <w:pPr>
              <w:pStyle w:val="PlainText"/>
              <w:jc w:val="both"/>
              <w:rPr>
                <w:rFonts w:ascii="Times New Roman" w:hAnsi="Times New Roman"/>
                <w:sz w:val="24"/>
                <w:szCs w:val="24"/>
              </w:rPr>
            </w:pPr>
          </w:p>
          <w:p w14:paraId="44316C27" w14:textId="77777777" w:rsidR="00D75C53" w:rsidRPr="00B57019" w:rsidRDefault="00D75C53" w:rsidP="00B03F98">
            <w:pPr>
              <w:pStyle w:val="PlainText"/>
              <w:jc w:val="both"/>
              <w:rPr>
                <w:rFonts w:ascii="Times New Roman" w:hAnsi="Times New Roman"/>
                <w:sz w:val="24"/>
                <w:szCs w:val="24"/>
              </w:rPr>
            </w:pPr>
          </w:p>
          <w:p w14:paraId="370EF7AC" w14:textId="77777777" w:rsidR="00D75C53" w:rsidRPr="00B57019" w:rsidRDefault="00D75C53" w:rsidP="00B03F98">
            <w:pPr>
              <w:pStyle w:val="PlainText"/>
              <w:jc w:val="both"/>
              <w:rPr>
                <w:rFonts w:ascii="Times New Roman" w:hAnsi="Times New Roman"/>
                <w:sz w:val="24"/>
                <w:szCs w:val="24"/>
              </w:rPr>
            </w:pPr>
          </w:p>
          <w:p w14:paraId="544063B7" w14:textId="77777777" w:rsidR="00D75C53" w:rsidRPr="00B57019" w:rsidRDefault="00D75C53" w:rsidP="00B03F98">
            <w:pPr>
              <w:pStyle w:val="PlainText"/>
              <w:jc w:val="both"/>
              <w:rPr>
                <w:rFonts w:ascii="Times New Roman" w:hAnsi="Times New Roman"/>
                <w:sz w:val="24"/>
                <w:szCs w:val="24"/>
              </w:rPr>
            </w:pPr>
          </w:p>
          <w:p w14:paraId="0083DBCD" w14:textId="77777777" w:rsidR="00D75C53" w:rsidRPr="00B57019" w:rsidRDefault="00D75C53" w:rsidP="00D75C53">
            <w:pPr>
              <w:jc w:val="both"/>
            </w:pPr>
            <w:r w:rsidRPr="00B57019">
              <w:t>Labklājības ministrijas komentārs ir par izziņas vēsturisko redakciju. Vēršam uzmanību, ka aktuālā Ziņojuma projekta 3. punkta redakcija ir šāda:</w:t>
            </w:r>
          </w:p>
          <w:p w14:paraId="5D93F2EE" w14:textId="77777777" w:rsidR="00D75C53" w:rsidRPr="00B57019" w:rsidRDefault="00D75C53" w:rsidP="00D75C53">
            <w:pPr>
              <w:jc w:val="both"/>
            </w:pPr>
            <w:r w:rsidRPr="00B57019">
              <w:t>“Ietaupītā darba laika apjoms ir aprēķināts, sadalot saskaņā ar Ziņojuma pielikumos Nr. 1. – Nr. 5. aprakstītajām metodēm aprēķināto summāro ietaupījumu proporcionāli pa nozaru ministrijām, atbilstoši aprēķiniem, kas ir atspoguļoti Ziņojuma pielikumā Nr.6”.</w:t>
            </w:r>
          </w:p>
          <w:p w14:paraId="0FDB7BCB" w14:textId="19C932C1" w:rsidR="00D75C53" w:rsidRPr="00B57019" w:rsidRDefault="00D75C53" w:rsidP="00D75C53">
            <w:pPr>
              <w:pStyle w:val="CommentText"/>
              <w:jc w:val="both"/>
              <w:rPr>
                <w:sz w:val="24"/>
                <w:szCs w:val="24"/>
              </w:rPr>
            </w:pPr>
            <w:r w:rsidRPr="00B57019">
              <w:rPr>
                <w:sz w:val="24"/>
                <w:szCs w:val="24"/>
              </w:rPr>
              <w:t xml:space="preserve">Aprēķinos ir atspoguļots katra </w:t>
            </w:r>
            <w:r w:rsidR="00EB76D2" w:rsidRPr="00B57019">
              <w:rPr>
                <w:sz w:val="24"/>
                <w:szCs w:val="24"/>
              </w:rPr>
              <w:t>resor</w:t>
            </w:r>
            <w:r w:rsidRPr="00B57019">
              <w:rPr>
                <w:sz w:val="24"/>
                <w:szCs w:val="24"/>
              </w:rPr>
              <w:t>a proporcijas aprēķins, pamatojoties uz kopējo skaitu visiem resoriem kopā. Piemēram, tiek uzskaitīts skaits ar rēķiniem katrā no resoriem un tad atspoguļota procentuālā proporcija  attiecībā uz kopējo rēķinu skaitu visos resoros kopumā.</w:t>
            </w:r>
          </w:p>
          <w:p w14:paraId="7228C5D4" w14:textId="77777777" w:rsidR="00D75C53" w:rsidRPr="00B57019" w:rsidRDefault="00D75C53" w:rsidP="00D75C53">
            <w:pPr>
              <w:jc w:val="both"/>
            </w:pPr>
          </w:p>
          <w:p w14:paraId="213A40DE" w14:textId="77777777" w:rsidR="00D75C53" w:rsidRPr="00B57019" w:rsidRDefault="00D75C53" w:rsidP="00D75C53">
            <w:pPr>
              <w:jc w:val="both"/>
            </w:pPr>
            <w:r w:rsidRPr="00B57019">
              <w:t xml:space="preserve">Var piekrist, ka EIS ierobežota preču apjoma dēļ nevar pilnībā atslogot iestādes no iepirkumu veikšanas, tomēr, ja EIS nebūtu, pašlaik pieejamās preču grupās iestāžu veicamais iepirkumu skaits būtu lielāks, kas arī prasītu papildresursus.  </w:t>
            </w:r>
          </w:p>
          <w:p w14:paraId="52D73906" w14:textId="77777777" w:rsidR="00D75C53" w:rsidRPr="00B57019" w:rsidRDefault="00D75C53" w:rsidP="00D75C53">
            <w:pPr>
              <w:jc w:val="both"/>
            </w:pPr>
          </w:p>
          <w:p w14:paraId="1C70C91F" w14:textId="77777777" w:rsidR="00D75C53" w:rsidRPr="00B57019" w:rsidRDefault="00D75C53" w:rsidP="00D75C53">
            <w:pPr>
              <w:jc w:val="both"/>
            </w:pPr>
          </w:p>
          <w:p w14:paraId="2DE05A4B" w14:textId="77777777" w:rsidR="00D75C53" w:rsidRPr="00B57019" w:rsidRDefault="00D75C53" w:rsidP="00D75C53">
            <w:pPr>
              <w:jc w:val="both"/>
            </w:pPr>
          </w:p>
          <w:p w14:paraId="12F4B349" w14:textId="77777777" w:rsidR="00D75C53" w:rsidRPr="00B57019" w:rsidRDefault="00D75C53" w:rsidP="00D75C53">
            <w:pPr>
              <w:jc w:val="both"/>
            </w:pPr>
          </w:p>
          <w:p w14:paraId="508EA84C" w14:textId="77777777" w:rsidR="00D75C53" w:rsidRPr="00B57019" w:rsidRDefault="00D75C53" w:rsidP="00D75C53">
            <w:pPr>
              <w:jc w:val="both"/>
            </w:pPr>
          </w:p>
          <w:p w14:paraId="0BDB4EF8" w14:textId="77777777" w:rsidR="00D75C53" w:rsidRPr="00B57019" w:rsidRDefault="00D75C53" w:rsidP="00D75C53">
            <w:pPr>
              <w:jc w:val="both"/>
            </w:pPr>
          </w:p>
          <w:p w14:paraId="77712E06" w14:textId="77777777" w:rsidR="00D75C53" w:rsidRPr="00B57019" w:rsidRDefault="00D75C53" w:rsidP="00D75C53">
            <w:pPr>
              <w:jc w:val="both"/>
            </w:pPr>
          </w:p>
          <w:p w14:paraId="4BFF8348" w14:textId="77777777" w:rsidR="00D75C53" w:rsidRPr="00B57019" w:rsidRDefault="00D75C53" w:rsidP="00D75C53">
            <w:pPr>
              <w:jc w:val="both"/>
            </w:pPr>
          </w:p>
          <w:p w14:paraId="245C3899" w14:textId="77777777" w:rsidR="00D75C53" w:rsidRPr="00B57019" w:rsidRDefault="00D75C53" w:rsidP="00D75C53">
            <w:pPr>
              <w:jc w:val="both"/>
            </w:pPr>
          </w:p>
          <w:p w14:paraId="00F41E73" w14:textId="77777777" w:rsidR="00D75C53" w:rsidRPr="00B57019" w:rsidRDefault="00D75C53" w:rsidP="00D75C53">
            <w:pPr>
              <w:jc w:val="both"/>
            </w:pPr>
          </w:p>
          <w:p w14:paraId="3040E597" w14:textId="77777777" w:rsidR="00D75C53" w:rsidRPr="00B57019" w:rsidRDefault="00D75C53" w:rsidP="00D75C53">
            <w:pPr>
              <w:jc w:val="both"/>
            </w:pPr>
          </w:p>
          <w:p w14:paraId="44B49418" w14:textId="77777777" w:rsidR="00D75C53" w:rsidRPr="00B57019" w:rsidRDefault="00D75C53" w:rsidP="00D75C53">
            <w:pPr>
              <w:jc w:val="both"/>
            </w:pPr>
          </w:p>
          <w:p w14:paraId="5EA23193" w14:textId="77777777" w:rsidR="00D75C53" w:rsidRPr="00B57019" w:rsidRDefault="00D75C53" w:rsidP="00D75C53">
            <w:pPr>
              <w:jc w:val="both"/>
            </w:pPr>
          </w:p>
          <w:p w14:paraId="0F54B643" w14:textId="77777777" w:rsidR="00D75C53" w:rsidRPr="00B57019" w:rsidRDefault="00D75C53" w:rsidP="00D75C53">
            <w:pPr>
              <w:jc w:val="both"/>
            </w:pPr>
          </w:p>
          <w:p w14:paraId="3FE0E45C" w14:textId="77777777" w:rsidR="00D75C53" w:rsidRPr="00B57019" w:rsidRDefault="00D75C53" w:rsidP="00D75C53">
            <w:pPr>
              <w:jc w:val="both"/>
            </w:pPr>
          </w:p>
          <w:p w14:paraId="31A563DB" w14:textId="77777777" w:rsidR="00D75C53" w:rsidRPr="00B57019" w:rsidRDefault="00D75C53" w:rsidP="00D75C53">
            <w:pPr>
              <w:jc w:val="both"/>
            </w:pPr>
          </w:p>
          <w:p w14:paraId="30F49882" w14:textId="77777777" w:rsidR="00D75C53" w:rsidRPr="00B57019" w:rsidRDefault="00D75C53" w:rsidP="00D75C53">
            <w:pPr>
              <w:jc w:val="both"/>
            </w:pPr>
          </w:p>
          <w:p w14:paraId="328B85CC" w14:textId="77777777" w:rsidR="00D75C53" w:rsidRPr="00B57019" w:rsidRDefault="00D75C53" w:rsidP="00D75C53">
            <w:pPr>
              <w:jc w:val="both"/>
            </w:pPr>
          </w:p>
          <w:p w14:paraId="2D98C365" w14:textId="77777777" w:rsidR="00D75C53" w:rsidRPr="00B57019" w:rsidRDefault="00D75C53" w:rsidP="00D75C53">
            <w:pPr>
              <w:jc w:val="both"/>
            </w:pPr>
          </w:p>
          <w:p w14:paraId="588CBCD3" w14:textId="77777777" w:rsidR="00D75C53" w:rsidRPr="00B57019" w:rsidRDefault="00D75C53" w:rsidP="00D75C53">
            <w:pPr>
              <w:jc w:val="both"/>
            </w:pPr>
          </w:p>
          <w:p w14:paraId="2A34E144" w14:textId="77777777" w:rsidR="00D75C53" w:rsidRPr="00B57019" w:rsidRDefault="00D75C53" w:rsidP="00D75C53">
            <w:pPr>
              <w:jc w:val="both"/>
            </w:pPr>
          </w:p>
          <w:p w14:paraId="49B2B5C9" w14:textId="77777777" w:rsidR="00D75C53" w:rsidRPr="00B57019" w:rsidRDefault="00D75C53" w:rsidP="00D75C53">
            <w:pPr>
              <w:jc w:val="both"/>
            </w:pPr>
          </w:p>
          <w:p w14:paraId="67F4AFD1" w14:textId="77777777" w:rsidR="00D75C53" w:rsidRPr="00B57019" w:rsidRDefault="00D75C53" w:rsidP="00D75C53">
            <w:pPr>
              <w:jc w:val="both"/>
            </w:pPr>
          </w:p>
          <w:p w14:paraId="3109CFED" w14:textId="77777777" w:rsidR="00D75C53" w:rsidRPr="00B57019" w:rsidRDefault="00D75C53" w:rsidP="00D75C53">
            <w:pPr>
              <w:jc w:val="both"/>
            </w:pPr>
          </w:p>
          <w:p w14:paraId="607A7942" w14:textId="77777777" w:rsidR="00D75C53" w:rsidRPr="00B57019" w:rsidRDefault="00D75C53" w:rsidP="00D75C53">
            <w:pPr>
              <w:jc w:val="both"/>
            </w:pPr>
          </w:p>
          <w:p w14:paraId="558AC1BA" w14:textId="77777777" w:rsidR="00D75C53" w:rsidRPr="00B57019" w:rsidRDefault="00D75C53" w:rsidP="00D75C53">
            <w:pPr>
              <w:jc w:val="both"/>
            </w:pPr>
          </w:p>
          <w:p w14:paraId="4736D3DD" w14:textId="77777777" w:rsidR="00D75C53" w:rsidRPr="00B57019" w:rsidRDefault="00D75C53" w:rsidP="00D75C53">
            <w:pPr>
              <w:jc w:val="both"/>
            </w:pPr>
          </w:p>
          <w:p w14:paraId="1D6A9037" w14:textId="77777777" w:rsidR="00D75C53" w:rsidRPr="00B57019" w:rsidRDefault="00D75C53" w:rsidP="00D75C53">
            <w:pPr>
              <w:jc w:val="both"/>
            </w:pPr>
          </w:p>
          <w:p w14:paraId="1C2B5A09" w14:textId="77777777" w:rsidR="00D75C53" w:rsidRPr="00B57019" w:rsidRDefault="00D75C53" w:rsidP="00D75C53">
            <w:pPr>
              <w:jc w:val="both"/>
            </w:pPr>
          </w:p>
          <w:p w14:paraId="3030761B" w14:textId="77777777" w:rsidR="00D75C53" w:rsidRPr="00B57019" w:rsidRDefault="00D75C53" w:rsidP="00D75C53">
            <w:pPr>
              <w:jc w:val="both"/>
            </w:pPr>
          </w:p>
          <w:p w14:paraId="4E2FB70F" w14:textId="77777777" w:rsidR="00D75C53" w:rsidRPr="00B57019" w:rsidRDefault="00D75C53" w:rsidP="00D75C53">
            <w:pPr>
              <w:jc w:val="both"/>
            </w:pPr>
          </w:p>
          <w:p w14:paraId="178E9EB5" w14:textId="77777777" w:rsidR="00D75C53" w:rsidRPr="00B57019" w:rsidRDefault="00D75C53" w:rsidP="00D75C53">
            <w:pPr>
              <w:jc w:val="both"/>
            </w:pPr>
          </w:p>
          <w:p w14:paraId="556B3A94" w14:textId="77777777" w:rsidR="00D75C53" w:rsidRPr="00B57019" w:rsidRDefault="00D75C53" w:rsidP="00D75C53">
            <w:pPr>
              <w:jc w:val="both"/>
            </w:pPr>
          </w:p>
          <w:p w14:paraId="0DB31BC8" w14:textId="77777777" w:rsidR="00D75C53" w:rsidRPr="00B57019" w:rsidRDefault="00D75C53" w:rsidP="00D75C53">
            <w:pPr>
              <w:jc w:val="both"/>
            </w:pPr>
          </w:p>
          <w:p w14:paraId="357E78F4" w14:textId="77777777" w:rsidR="00D75C53" w:rsidRPr="00B57019" w:rsidRDefault="00D75C53" w:rsidP="00D75C53">
            <w:pPr>
              <w:jc w:val="both"/>
            </w:pPr>
            <w:r w:rsidRPr="00B57019">
              <w:t xml:space="preserve">Ņemts vērā, precizējot 6. pielikuma tabulu. Sadaļā </w:t>
            </w:r>
            <w:r w:rsidRPr="00B57019">
              <w:rPr>
                <w:i/>
              </w:rPr>
              <w:t>Amata vietu sadalījums starp nozaru ministrijām”</w:t>
            </w:r>
            <w:r w:rsidRPr="00B57019">
              <w:t xml:space="preserve">  precizētais teksts ir "Aprēķinu metodika ir aprakstīta ziņojuma 1.pielikumā.”</w:t>
            </w:r>
          </w:p>
          <w:p w14:paraId="4FF2E69B" w14:textId="77777777" w:rsidR="00D75C53" w:rsidRPr="00B57019" w:rsidRDefault="00D75C53" w:rsidP="00D75C53">
            <w:pPr>
              <w:jc w:val="both"/>
            </w:pPr>
          </w:p>
          <w:p w14:paraId="3485AA77" w14:textId="77777777" w:rsidR="00D75C53" w:rsidRPr="00B57019" w:rsidRDefault="00D75C53" w:rsidP="00D75C53">
            <w:pPr>
              <w:jc w:val="both"/>
            </w:pPr>
          </w:p>
          <w:p w14:paraId="06E96F20" w14:textId="77777777" w:rsidR="00D75C53" w:rsidRPr="00B57019" w:rsidRDefault="00D75C53" w:rsidP="00D75C53">
            <w:pPr>
              <w:jc w:val="both"/>
            </w:pPr>
          </w:p>
          <w:p w14:paraId="2B3D7D3B" w14:textId="77777777" w:rsidR="00D75C53" w:rsidRPr="00B57019" w:rsidRDefault="00D75C53" w:rsidP="00D75C53">
            <w:pPr>
              <w:jc w:val="both"/>
            </w:pPr>
          </w:p>
          <w:p w14:paraId="4458D493" w14:textId="77777777" w:rsidR="00D75C53" w:rsidRPr="00B57019" w:rsidRDefault="00D75C53" w:rsidP="00D75C53">
            <w:pPr>
              <w:spacing w:line="259" w:lineRule="auto"/>
              <w:jc w:val="both"/>
            </w:pPr>
            <w:r w:rsidRPr="00B57019">
              <w:t>Vēršam uzmanību, ka Publisko iepirkuma likuma 11. pants nosaka paredzamās līgumcenas noteikšanu, atbilstoši kurai ir jāveic iepirkuma vai iepirkuma procedūras izvēle. Minimālais iepirkumu skaits, kas būtu veicams, rīkojot iepirkumus ārpus EIS, ir aprēķināts, ņemot vērā EIS apgrozījuma sadalījumu pa preču grupām, un sniedz priekšstatu par iepirkumu skaitu, kas būtu veicams, ja EIS nebūs pieejamas attiecīgās preču grupas.</w:t>
            </w:r>
          </w:p>
          <w:p w14:paraId="1EDFDCDA" w14:textId="77777777" w:rsidR="00D75C53" w:rsidRPr="00B57019" w:rsidRDefault="00D75C53" w:rsidP="00D75C53">
            <w:pPr>
              <w:spacing w:line="259" w:lineRule="auto"/>
              <w:jc w:val="both"/>
            </w:pPr>
          </w:p>
          <w:p w14:paraId="0D285BAF" w14:textId="77777777" w:rsidR="00D75C53" w:rsidRPr="00B57019" w:rsidRDefault="00D75C53" w:rsidP="00D75C53">
            <w:pPr>
              <w:spacing w:line="259" w:lineRule="auto"/>
              <w:jc w:val="both"/>
            </w:pPr>
          </w:p>
          <w:p w14:paraId="6051FCCC" w14:textId="77777777" w:rsidR="00D75C53" w:rsidRPr="00B57019" w:rsidRDefault="00D75C53" w:rsidP="00D75C53">
            <w:pPr>
              <w:spacing w:line="259" w:lineRule="auto"/>
              <w:jc w:val="both"/>
            </w:pPr>
          </w:p>
          <w:p w14:paraId="445C0F1A" w14:textId="77777777" w:rsidR="00D75C53" w:rsidRPr="00B57019" w:rsidRDefault="00D75C53" w:rsidP="00D75C53">
            <w:pPr>
              <w:spacing w:line="259" w:lineRule="auto"/>
              <w:jc w:val="both"/>
            </w:pPr>
          </w:p>
          <w:p w14:paraId="1ABC2EFD" w14:textId="77777777" w:rsidR="00D75C53" w:rsidRPr="00B57019" w:rsidRDefault="00D75C53" w:rsidP="00D75C53">
            <w:pPr>
              <w:spacing w:line="259" w:lineRule="auto"/>
              <w:jc w:val="both"/>
            </w:pPr>
          </w:p>
          <w:p w14:paraId="406371E2" w14:textId="77777777" w:rsidR="00D75C53" w:rsidRPr="00B57019" w:rsidRDefault="00D75C53" w:rsidP="00D75C53">
            <w:pPr>
              <w:spacing w:line="259" w:lineRule="auto"/>
              <w:jc w:val="both"/>
            </w:pPr>
          </w:p>
          <w:p w14:paraId="70FA1566" w14:textId="77777777" w:rsidR="00D75C53" w:rsidRPr="00B57019" w:rsidRDefault="00D75C53" w:rsidP="00D75C53">
            <w:pPr>
              <w:jc w:val="both"/>
            </w:pPr>
          </w:p>
          <w:p w14:paraId="4513E982" w14:textId="77777777" w:rsidR="00D75C53" w:rsidRPr="00B57019" w:rsidRDefault="00D75C53" w:rsidP="00D75C53">
            <w:pPr>
              <w:jc w:val="both"/>
            </w:pPr>
          </w:p>
          <w:p w14:paraId="27F1F905" w14:textId="77777777" w:rsidR="00D75C53" w:rsidRPr="00B57019" w:rsidRDefault="00D75C53" w:rsidP="00D75C53">
            <w:pPr>
              <w:jc w:val="both"/>
            </w:pPr>
          </w:p>
          <w:p w14:paraId="4629CCC2" w14:textId="30DF1C28" w:rsidR="00D75C53" w:rsidRPr="00B57019" w:rsidRDefault="00D75C53" w:rsidP="00D75C53">
            <w:pPr>
              <w:jc w:val="both"/>
            </w:pPr>
            <w:r w:rsidRPr="00B57019">
              <w:t xml:space="preserve">Vienotās pieteikšanās moduļa aprēķins veikts, pieņemot, ja </w:t>
            </w:r>
            <w:r w:rsidR="005057E8" w:rsidRPr="00B57019">
              <w:t xml:space="preserve">vienotās pieteikšanās </w:t>
            </w:r>
            <w:r w:rsidRPr="00B57019">
              <w:t>modulis būtu jāievieš katrai iestādei atsevišķi, tādejādi norādot, ka tiek ietaupīts arī sistēmu analītiķa un administratora darbs, lai attīstītu un uzturētu šāda veida sistēmu katra iestāde atsevišķi.</w:t>
            </w:r>
          </w:p>
          <w:p w14:paraId="4CA0FEE0" w14:textId="77777777" w:rsidR="00D75C53" w:rsidRPr="00B57019" w:rsidRDefault="00D75C53" w:rsidP="00D75C53">
            <w:pPr>
              <w:jc w:val="both"/>
            </w:pPr>
          </w:p>
          <w:p w14:paraId="575EAD64" w14:textId="77777777" w:rsidR="00D75C53" w:rsidRPr="00B57019" w:rsidRDefault="00D75C53" w:rsidP="00D75C53">
            <w:pPr>
              <w:jc w:val="both"/>
            </w:pPr>
          </w:p>
          <w:p w14:paraId="662EC33F" w14:textId="77777777" w:rsidR="00D75C53" w:rsidRPr="00B57019" w:rsidRDefault="00D75C53" w:rsidP="00D75C53">
            <w:pPr>
              <w:jc w:val="both"/>
            </w:pPr>
          </w:p>
          <w:p w14:paraId="2B0533A3" w14:textId="77777777" w:rsidR="00D75C53" w:rsidRPr="00B57019" w:rsidRDefault="00D75C53" w:rsidP="00D75C53">
            <w:pPr>
              <w:jc w:val="both"/>
            </w:pPr>
          </w:p>
          <w:p w14:paraId="019AAF56" w14:textId="77777777" w:rsidR="00D75C53" w:rsidRPr="00B57019" w:rsidRDefault="00D75C53" w:rsidP="00D75C53">
            <w:pPr>
              <w:jc w:val="both"/>
            </w:pPr>
          </w:p>
          <w:p w14:paraId="264535C9" w14:textId="77777777" w:rsidR="00D75C53" w:rsidRPr="00B57019" w:rsidRDefault="00D75C53" w:rsidP="00D75C53">
            <w:pPr>
              <w:jc w:val="both"/>
            </w:pPr>
          </w:p>
          <w:p w14:paraId="482D14B2" w14:textId="77777777" w:rsidR="00D75C53" w:rsidRPr="00B57019" w:rsidRDefault="00D75C53" w:rsidP="00D75C53">
            <w:pPr>
              <w:jc w:val="both"/>
            </w:pPr>
          </w:p>
          <w:p w14:paraId="1E52866A" w14:textId="77777777" w:rsidR="00D75C53" w:rsidRPr="00B57019" w:rsidRDefault="00D75C53" w:rsidP="00D75C53">
            <w:pPr>
              <w:jc w:val="both"/>
            </w:pPr>
          </w:p>
          <w:p w14:paraId="5EFB4A0D" w14:textId="77777777" w:rsidR="00D75C53" w:rsidRPr="00B57019" w:rsidRDefault="00D75C53" w:rsidP="00D75C53">
            <w:pPr>
              <w:jc w:val="both"/>
            </w:pPr>
          </w:p>
          <w:p w14:paraId="6954C1BE" w14:textId="77777777" w:rsidR="00D75C53" w:rsidRPr="00B57019" w:rsidRDefault="00D75C53" w:rsidP="00D75C53">
            <w:pPr>
              <w:jc w:val="both"/>
            </w:pPr>
          </w:p>
          <w:p w14:paraId="73997AE0" w14:textId="77777777" w:rsidR="00D75C53" w:rsidRPr="00B57019" w:rsidRDefault="00D75C53" w:rsidP="00D75C53">
            <w:pPr>
              <w:jc w:val="both"/>
            </w:pPr>
          </w:p>
          <w:p w14:paraId="620BCFF2" w14:textId="77777777" w:rsidR="00D75C53" w:rsidRPr="00B57019" w:rsidRDefault="00D75C53" w:rsidP="00D75C53">
            <w:pPr>
              <w:jc w:val="both"/>
            </w:pPr>
          </w:p>
          <w:p w14:paraId="7A355864" w14:textId="77777777" w:rsidR="00D75C53" w:rsidRPr="00B57019" w:rsidRDefault="00D75C53" w:rsidP="00D75C53">
            <w:pPr>
              <w:jc w:val="both"/>
            </w:pPr>
          </w:p>
          <w:p w14:paraId="6B8D0097" w14:textId="77777777" w:rsidR="00D75C53" w:rsidRPr="00B57019" w:rsidRDefault="00D75C53" w:rsidP="00D75C53">
            <w:pPr>
              <w:jc w:val="both"/>
            </w:pPr>
          </w:p>
          <w:p w14:paraId="1B5CA242" w14:textId="77777777" w:rsidR="00D75C53" w:rsidRPr="00B57019" w:rsidRDefault="00D75C53" w:rsidP="00D75C53">
            <w:pPr>
              <w:jc w:val="both"/>
            </w:pPr>
          </w:p>
          <w:p w14:paraId="4BC98C20" w14:textId="77777777" w:rsidR="00D75C53" w:rsidRPr="00B57019" w:rsidRDefault="00D75C53" w:rsidP="00D75C53">
            <w:pPr>
              <w:jc w:val="both"/>
            </w:pPr>
          </w:p>
          <w:p w14:paraId="0E1192C7" w14:textId="77777777" w:rsidR="00D75C53" w:rsidRPr="00B57019" w:rsidRDefault="00D75C53" w:rsidP="00D75C53">
            <w:pPr>
              <w:jc w:val="both"/>
            </w:pPr>
          </w:p>
          <w:p w14:paraId="53388607" w14:textId="77777777" w:rsidR="00D75C53" w:rsidRPr="00B57019" w:rsidRDefault="00D75C53" w:rsidP="00D75C53">
            <w:pPr>
              <w:jc w:val="both"/>
            </w:pPr>
          </w:p>
          <w:p w14:paraId="3A7A9B0D" w14:textId="77777777" w:rsidR="00D75C53" w:rsidRPr="00B57019" w:rsidRDefault="00D75C53" w:rsidP="00D75C53">
            <w:pPr>
              <w:jc w:val="both"/>
            </w:pPr>
          </w:p>
          <w:p w14:paraId="0C9B19C4" w14:textId="77777777" w:rsidR="00D75C53" w:rsidRPr="00B57019" w:rsidRDefault="00D75C53" w:rsidP="00D75C53">
            <w:pPr>
              <w:jc w:val="both"/>
            </w:pPr>
          </w:p>
          <w:p w14:paraId="35383817" w14:textId="77777777" w:rsidR="00D75C53" w:rsidRPr="00B57019" w:rsidRDefault="00D75C53" w:rsidP="00D75C53">
            <w:pPr>
              <w:jc w:val="both"/>
            </w:pPr>
          </w:p>
          <w:p w14:paraId="48CC938F" w14:textId="77777777" w:rsidR="00D75C53" w:rsidRPr="00B57019" w:rsidRDefault="00D75C53" w:rsidP="00D75C53">
            <w:pPr>
              <w:jc w:val="both"/>
            </w:pPr>
          </w:p>
          <w:p w14:paraId="6B45C08B" w14:textId="77777777" w:rsidR="00D75C53" w:rsidRPr="00B57019" w:rsidRDefault="00D75C53" w:rsidP="00D75C53">
            <w:pPr>
              <w:jc w:val="both"/>
            </w:pPr>
          </w:p>
          <w:p w14:paraId="6DF88E67" w14:textId="77777777" w:rsidR="00D75C53" w:rsidRPr="00B57019" w:rsidRDefault="00D75C53" w:rsidP="00D75C53">
            <w:pPr>
              <w:jc w:val="both"/>
            </w:pPr>
          </w:p>
          <w:p w14:paraId="737BF3A2" w14:textId="77777777" w:rsidR="00D75C53" w:rsidRPr="00B57019" w:rsidRDefault="00D75C53" w:rsidP="00D75C53">
            <w:pPr>
              <w:jc w:val="both"/>
            </w:pPr>
          </w:p>
          <w:p w14:paraId="753E958B" w14:textId="77777777" w:rsidR="00D75C53" w:rsidRPr="00B57019" w:rsidRDefault="00D75C53" w:rsidP="00D75C53">
            <w:pPr>
              <w:jc w:val="both"/>
            </w:pPr>
          </w:p>
          <w:p w14:paraId="7CFBF3E6" w14:textId="77777777" w:rsidR="00D75C53" w:rsidRPr="00B57019" w:rsidRDefault="00D75C53" w:rsidP="00D75C53">
            <w:pPr>
              <w:jc w:val="both"/>
            </w:pPr>
          </w:p>
          <w:p w14:paraId="68C8A8E0" w14:textId="77777777" w:rsidR="00D75C53" w:rsidRPr="00B57019" w:rsidRDefault="00D75C53" w:rsidP="00D75C53">
            <w:pPr>
              <w:jc w:val="both"/>
            </w:pPr>
          </w:p>
          <w:p w14:paraId="75038FFC" w14:textId="77777777" w:rsidR="00D75C53" w:rsidRPr="00B57019" w:rsidRDefault="00D75C53" w:rsidP="00D75C53">
            <w:pPr>
              <w:jc w:val="both"/>
            </w:pPr>
          </w:p>
          <w:p w14:paraId="24B7A4FE" w14:textId="77777777" w:rsidR="00D75C53" w:rsidRPr="00B57019" w:rsidRDefault="00D75C53" w:rsidP="00D75C53">
            <w:pPr>
              <w:jc w:val="both"/>
            </w:pPr>
          </w:p>
          <w:p w14:paraId="34417439" w14:textId="77777777" w:rsidR="00D75C53" w:rsidRPr="00B57019" w:rsidRDefault="00D75C53" w:rsidP="00D75C53">
            <w:pPr>
              <w:jc w:val="both"/>
            </w:pPr>
          </w:p>
          <w:p w14:paraId="4E148147" w14:textId="109A6A84" w:rsidR="00D75C53" w:rsidRPr="00B57019" w:rsidRDefault="005057E8" w:rsidP="00D75C53">
            <w:pPr>
              <w:jc w:val="both"/>
            </w:pPr>
            <w:r w:rsidRPr="00B57019">
              <w:rPr>
                <w:rStyle w:val="normaltextrun"/>
                <w:shd w:val="clear" w:color="auto" w:fill="FFFFFF"/>
              </w:rPr>
              <w:t>Ietaupīto amata vietu atalgojums ir rēķināts</w:t>
            </w:r>
            <w:r w:rsidR="001D6A7D" w:rsidRPr="00B57019">
              <w:rPr>
                <w:rStyle w:val="normaltextrun"/>
                <w:shd w:val="clear" w:color="auto" w:fill="FFFFFF"/>
              </w:rPr>
              <w:t>,</w:t>
            </w:r>
            <w:r w:rsidRPr="00B57019">
              <w:rPr>
                <w:rStyle w:val="normaltextrun"/>
                <w:shd w:val="clear" w:color="auto" w:fill="FFFFFF"/>
              </w:rPr>
              <w:t xml:space="preserve"> ņemot vērā VRAA vidējo speciālistu atalgojumu. Tas ir precizējams konceptuāla informatīvā ziņojuma akcepta gadījumā Valsts sekretāru sanāksmē.</w:t>
            </w:r>
            <w:r w:rsidRPr="00B57019">
              <w:rPr>
                <w:rStyle w:val="eop"/>
                <w:shd w:val="clear" w:color="auto" w:fill="FFFFFF"/>
              </w:rPr>
              <w:t> </w:t>
            </w:r>
          </w:p>
          <w:p w14:paraId="03B06114" w14:textId="77777777" w:rsidR="00D75C53" w:rsidRPr="00B57019" w:rsidRDefault="00D75C53" w:rsidP="00D75C53">
            <w:pPr>
              <w:jc w:val="both"/>
            </w:pPr>
          </w:p>
          <w:p w14:paraId="2088FF67" w14:textId="77777777" w:rsidR="00D75C53" w:rsidRPr="00B57019" w:rsidRDefault="00D75C53" w:rsidP="00D75C53">
            <w:pPr>
              <w:jc w:val="both"/>
            </w:pPr>
          </w:p>
          <w:p w14:paraId="42BAE2AB" w14:textId="77777777" w:rsidR="00D75C53" w:rsidRPr="00B57019" w:rsidRDefault="00D75C53" w:rsidP="00D75C53">
            <w:pPr>
              <w:jc w:val="both"/>
            </w:pPr>
          </w:p>
          <w:p w14:paraId="16968234" w14:textId="77777777" w:rsidR="00D75C53" w:rsidRPr="00B57019" w:rsidRDefault="00D75C53" w:rsidP="00D75C53">
            <w:pPr>
              <w:jc w:val="both"/>
            </w:pPr>
          </w:p>
          <w:p w14:paraId="270DD4B1" w14:textId="77777777" w:rsidR="00D75C53" w:rsidRPr="00B57019" w:rsidRDefault="00D75C53" w:rsidP="00D75C53">
            <w:pPr>
              <w:jc w:val="both"/>
            </w:pPr>
          </w:p>
          <w:p w14:paraId="58A54EEF" w14:textId="77777777" w:rsidR="00D75C53" w:rsidRPr="00B57019" w:rsidRDefault="00D75C53" w:rsidP="00D75C53">
            <w:pPr>
              <w:jc w:val="both"/>
            </w:pPr>
          </w:p>
          <w:p w14:paraId="58D20F59" w14:textId="77777777" w:rsidR="00D75C53" w:rsidRPr="00B57019" w:rsidRDefault="00D75C53" w:rsidP="00D75C53">
            <w:pPr>
              <w:jc w:val="both"/>
            </w:pPr>
          </w:p>
          <w:p w14:paraId="0DA3B216" w14:textId="77777777" w:rsidR="00D75C53" w:rsidRPr="00B57019" w:rsidRDefault="00D75C53" w:rsidP="00D75C53">
            <w:pPr>
              <w:jc w:val="both"/>
            </w:pPr>
          </w:p>
          <w:p w14:paraId="5BF3A6EB" w14:textId="77777777" w:rsidR="00D75C53" w:rsidRPr="00B57019" w:rsidRDefault="00D75C53" w:rsidP="00D75C53">
            <w:pPr>
              <w:jc w:val="both"/>
            </w:pPr>
          </w:p>
          <w:p w14:paraId="2D5776AA" w14:textId="77777777" w:rsidR="00D75C53" w:rsidRPr="00B57019" w:rsidRDefault="00D75C53" w:rsidP="00D75C53">
            <w:pPr>
              <w:jc w:val="both"/>
            </w:pPr>
          </w:p>
          <w:p w14:paraId="0F7023D0" w14:textId="77777777" w:rsidR="00D75C53" w:rsidRPr="00B57019" w:rsidRDefault="00D75C53" w:rsidP="00D75C53">
            <w:pPr>
              <w:jc w:val="both"/>
            </w:pPr>
          </w:p>
          <w:p w14:paraId="5C1AA40C" w14:textId="77777777" w:rsidR="00D75C53" w:rsidRPr="00B57019" w:rsidRDefault="00D75C53" w:rsidP="00D75C53">
            <w:pPr>
              <w:jc w:val="both"/>
            </w:pPr>
          </w:p>
          <w:p w14:paraId="05145720" w14:textId="77777777" w:rsidR="00D75C53" w:rsidRPr="00B57019" w:rsidRDefault="00D75C53" w:rsidP="00D75C53">
            <w:pPr>
              <w:jc w:val="both"/>
            </w:pPr>
          </w:p>
          <w:p w14:paraId="785F1647" w14:textId="77777777" w:rsidR="00D75C53" w:rsidRPr="00B57019" w:rsidRDefault="00D75C53" w:rsidP="00D75C53">
            <w:pPr>
              <w:jc w:val="both"/>
            </w:pPr>
          </w:p>
          <w:p w14:paraId="72E68FB6" w14:textId="77777777" w:rsidR="00D75C53" w:rsidRPr="00B57019" w:rsidRDefault="00D75C53" w:rsidP="00D75C53">
            <w:pPr>
              <w:jc w:val="both"/>
            </w:pPr>
          </w:p>
          <w:p w14:paraId="122424F1" w14:textId="77777777" w:rsidR="00D75C53" w:rsidRPr="00B57019" w:rsidRDefault="00D75C53" w:rsidP="00D75C53">
            <w:pPr>
              <w:jc w:val="both"/>
            </w:pPr>
          </w:p>
          <w:p w14:paraId="0FA9F3B7" w14:textId="77777777" w:rsidR="00D75C53" w:rsidRPr="00B57019" w:rsidRDefault="00D75C53" w:rsidP="00D75C53">
            <w:pPr>
              <w:jc w:val="both"/>
            </w:pPr>
          </w:p>
          <w:p w14:paraId="05F775DF" w14:textId="77777777" w:rsidR="00D75C53" w:rsidRPr="00B57019" w:rsidRDefault="00D75C53" w:rsidP="00D75C53">
            <w:pPr>
              <w:jc w:val="both"/>
            </w:pPr>
          </w:p>
          <w:p w14:paraId="01719CF2" w14:textId="77777777" w:rsidR="00D75C53" w:rsidRPr="00B57019" w:rsidRDefault="00D75C53" w:rsidP="00D75C53">
            <w:pPr>
              <w:jc w:val="both"/>
            </w:pPr>
          </w:p>
          <w:p w14:paraId="7E9E947A" w14:textId="77777777" w:rsidR="00D75C53" w:rsidRPr="00B57019" w:rsidRDefault="00D75C53" w:rsidP="00D75C53">
            <w:pPr>
              <w:jc w:val="both"/>
            </w:pPr>
          </w:p>
          <w:p w14:paraId="24B2FEBD" w14:textId="77777777" w:rsidR="00D75C53" w:rsidRPr="00B57019" w:rsidRDefault="00D75C53" w:rsidP="00D75C53">
            <w:pPr>
              <w:jc w:val="both"/>
            </w:pPr>
          </w:p>
          <w:p w14:paraId="01E365C4" w14:textId="77777777" w:rsidR="00D75C53" w:rsidRPr="00B57019" w:rsidRDefault="00D75C53" w:rsidP="00D75C53">
            <w:pPr>
              <w:jc w:val="both"/>
            </w:pPr>
          </w:p>
          <w:p w14:paraId="0BC3C029" w14:textId="77777777" w:rsidR="00D75C53" w:rsidRPr="00B57019" w:rsidRDefault="00D75C53" w:rsidP="00D75C53">
            <w:pPr>
              <w:jc w:val="both"/>
            </w:pPr>
          </w:p>
          <w:p w14:paraId="6FAFA1F6" w14:textId="77777777" w:rsidR="00D75C53" w:rsidRPr="00B57019" w:rsidRDefault="00D75C53" w:rsidP="00D75C53">
            <w:pPr>
              <w:jc w:val="both"/>
            </w:pPr>
          </w:p>
          <w:p w14:paraId="3FE54CA0" w14:textId="77777777" w:rsidR="00D75C53" w:rsidRPr="00B57019" w:rsidRDefault="00D75C53" w:rsidP="00D75C53">
            <w:pPr>
              <w:jc w:val="both"/>
            </w:pPr>
          </w:p>
          <w:p w14:paraId="5AB960D4" w14:textId="77777777" w:rsidR="00D75C53" w:rsidRPr="00B57019" w:rsidRDefault="00D75C53" w:rsidP="00D75C53">
            <w:pPr>
              <w:jc w:val="both"/>
            </w:pPr>
          </w:p>
          <w:p w14:paraId="14C48287" w14:textId="77777777" w:rsidR="00D75C53" w:rsidRPr="00B57019" w:rsidRDefault="00D75C53" w:rsidP="00D75C53">
            <w:pPr>
              <w:jc w:val="both"/>
            </w:pPr>
          </w:p>
          <w:p w14:paraId="51D042E5" w14:textId="77777777" w:rsidR="00D75C53" w:rsidRPr="00B57019" w:rsidRDefault="00D75C53" w:rsidP="00D75C53">
            <w:pPr>
              <w:jc w:val="both"/>
            </w:pPr>
          </w:p>
          <w:p w14:paraId="3DA31A77" w14:textId="77777777" w:rsidR="00D75C53" w:rsidRPr="00B57019" w:rsidRDefault="00D75C53" w:rsidP="00D75C53">
            <w:pPr>
              <w:jc w:val="both"/>
            </w:pPr>
          </w:p>
          <w:p w14:paraId="353B27D0" w14:textId="77777777" w:rsidR="00D75C53" w:rsidRPr="00B57019" w:rsidRDefault="00D75C53" w:rsidP="00D75C53">
            <w:pPr>
              <w:jc w:val="both"/>
            </w:pPr>
          </w:p>
          <w:p w14:paraId="0FB4439B" w14:textId="4F57893C" w:rsidR="00D75C53" w:rsidRPr="00B57019" w:rsidRDefault="00D75C53" w:rsidP="00D75C53">
            <w:pPr>
              <w:pStyle w:val="CommentText"/>
              <w:jc w:val="both"/>
              <w:rPr>
                <w:sz w:val="24"/>
                <w:szCs w:val="24"/>
              </w:rPr>
            </w:pPr>
            <w:r w:rsidRPr="00B57019">
              <w:rPr>
                <w:sz w:val="24"/>
                <w:szCs w:val="24"/>
              </w:rPr>
              <w:t>Aprēķini netiek veikti, ņemot vērā nodarbināto skaitu. Lūgums skatīt Zi</w:t>
            </w:r>
            <w:r w:rsidR="005057E8" w:rsidRPr="00B57019">
              <w:rPr>
                <w:sz w:val="24"/>
                <w:szCs w:val="24"/>
              </w:rPr>
              <w:t>ņ</w:t>
            </w:r>
            <w:r w:rsidRPr="00B57019">
              <w:rPr>
                <w:sz w:val="24"/>
                <w:szCs w:val="24"/>
              </w:rPr>
              <w:t>ojuma 6. pielikumu.</w:t>
            </w:r>
          </w:p>
          <w:p w14:paraId="39733593" w14:textId="77777777" w:rsidR="00D75C53" w:rsidRPr="00B57019" w:rsidRDefault="00D75C53" w:rsidP="00D75C53">
            <w:pPr>
              <w:jc w:val="both"/>
            </w:pPr>
          </w:p>
          <w:p w14:paraId="13DB082B" w14:textId="77777777" w:rsidR="00D75C53" w:rsidRPr="00B57019" w:rsidRDefault="00D75C53" w:rsidP="00D75C53">
            <w:pPr>
              <w:jc w:val="both"/>
            </w:pPr>
          </w:p>
          <w:p w14:paraId="54D52333" w14:textId="77777777" w:rsidR="00D75C53" w:rsidRPr="00B57019" w:rsidRDefault="00D75C53" w:rsidP="00D75C53">
            <w:pPr>
              <w:jc w:val="both"/>
            </w:pPr>
          </w:p>
          <w:p w14:paraId="047FCA3F" w14:textId="77777777" w:rsidR="00D75C53" w:rsidRPr="00B57019" w:rsidRDefault="00D75C53" w:rsidP="00D75C53">
            <w:pPr>
              <w:jc w:val="both"/>
            </w:pPr>
          </w:p>
          <w:p w14:paraId="25B373BF" w14:textId="77777777" w:rsidR="00D75C53" w:rsidRPr="00B57019" w:rsidRDefault="00D75C53" w:rsidP="00D75C53">
            <w:pPr>
              <w:jc w:val="both"/>
            </w:pPr>
          </w:p>
          <w:p w14:paraId="706C34AF" w14:textId="77777777" w:rsidR="00D75C53" w:rsidRPr="00B57019" w:rsidRDefault="00D75C53" w:rsidP="00D75C53">
            <w:pPr>
              <w:jc w:val="both"/>
            </w:pPr>
          </w:p>
          <w:p w14:paraId="453E4257" w14:textId="77777777" w:rsidR="00D75C53" w:rsidRPr="00B57019" w:rsidRDefault="00D75C53" w:rsidP="00B03F98">
            <w:pPr>
              <w:pStyle w:val="PlainText"/>
              <w:jc w:val="both"/>
              <w:rPr>
                <w:rFonts w:ascii="Times New Roman" w:hAnsi="Times New Roman"/>
                <w:sz w:val="24"/>
                <w:szCs w:val="24"/>
                <w:lang w:val="lv-LV"/>
              </w:rPr>
            </w:pPr>
          </w:p>
          <w:p w14:paraId="33D94B6C" w14:textId="11B8DCEF" w:rsidR="00D75C53" w:rsidRPr="00B57019" w:rsidRDefault="00D75C53" w:rsidP="00B03F98">
            <w:pPr>
              <w:pStyle w:val="PlainText"/>
              <w:jc w:val="both"/>
              <w:rPr>
                <w:rFonts w:ascii="Times New Roman" w:hAnsi="Times New Roman"/>
                <w:b/>
                <w:sz w:val="24"/>
                <w:szCs w:val="24"/>
                <w:lang w:val="lv-LV"/>
              </w:rPr>
            </w:pP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7443F3B2" w14:textId="089734DF" w:rsidR="00EC5B70" w:rsidRPr="00B57019" w:rsidRDefault="00EC5B70" w:rsidP="009851F7">
            <w:pPr>
              <w:jc w:val="both"/>
            </w:pPr>
          </w:p>
          <w:p w14:paraId="4417C670" w14:textId="089734DF" w:rsidR="00EC5B70" w:rsidRPr="00B57019" w:rsidRDefault="00EC5B70" w:rsidP="21F4166F">
            <w:pPr>
              <w:jc w:val="both"/>
            </w:pPr>
          </w:p>
          <w:p w14:paraId="72FD456D" w14:textId="089734DF" w:rsidR="00EC5B70" w:rsidRPr="00B57019" w:rsidRDefault="00EC5B70" w:rsidP="21F4166F">
            <w:pPr>
              <w:jc w:val="both"/>
            </w:pPr>
          </w:p>
          <w:p w14:paraId="38330D53" w14:textId="089734DF" w:rsidR="00EC5B70" w:rsidRPr="00B57019" w:rsidRDefault="00EC5B70" w:rsidP="21F4166F">
            <w:pPr>
              <w:jc w:val="both"/>
            </w:pPr>
          </w:p>
          <w:p w14:paraId="6F10C779" w14:textId="089734DF" w:rsidR="00EC5B70" w:rsidRPr="00B57019" w:rsidRDefault="00EC5B70" w:rsidP="21F4166F">
            <w:pPr>
              <w:jc w:val="both"/>
            </w:pPr>
          </w:p>
          <w:p w14:paraId="1FAA12B5" w14:textId="089734DF" w:rsidR="00EC5B70" w:rsidRPr="00B57019" w:rsidRDefault="00EC5B70" w:rsidP="21F4166F">
            <w:pPr>
              <w:jc w:val="both"/>
            </w:pPr>
          </w:p>
          <w:p w14:paraId="146B0A0B" w14:textId="089734DF" w:rsidR="00EC5B70" w:rsidRPr="00B57019" w:rsidRDefault="00EC5B70" w:rsidP="21F4166F">
            <w:pPr>
              <w:jc w:val="both"/>
            </w:pPr>
          </w:p>
          <w:p w14:paraId="77865054" w14:textId="089734DF" w:rsidR="00EC5B70" w:rsidRPr="00B57019" w:rsidRDefault="00EC5B70" w:rsidP="21F4166F">
            <w:pPr>
              <w:jc w:val="both"/>
            </w:pPr>
          </w:p>
          <w:p w14:paraId="4DBB7F75" w14:textId="089734DF" w:rsidR="00EC5B70" w:rsidRPr="00B57019" w:rsidRDefault="00EC5B70" w:rsidP="21F4166F">
            <w:pPr>
              <w:jc w:val="both"/>
            </w:pPr>
          </w:p>
          <w:p w14:paraId="08890A4C" w14:textId="089734DF" w:rsidR="00EC5B70" w:rsidRPr="00B57019" w:rsidRDefault="00EC5B70" w:rsidP="21F4166F">
            <w:pPr>
              <w:jc w:val="both"/>
            </w:pPr>
          </w:p>
          <w:p w14:paraId="31B4A1E7" w14:textId="089734DF" w:rsidR="00EC5B70" w:rsidRPr="00B57019" w:rsidRDefault="00EC5B70" w:rsidP="21F4166F">
            <w:pPr>
              <w:jc w:val="both"/>
            </w:pPr>
          </w:p>
          <w:p w14:paraId="50E9C3A1" w14:textId="089734DF" w:rsidR="00EC5B70" w:rsidRPr="00B57019" w:rsidRDefault="00EC5B70" w:rsidP="21F4166F">
            <w:pPr>
              <w:jc w:val="both"/>
            </w:pPr>
          </w:p>
          <w:p w14:paraId="60D45157" w14:textId="089734DF" w:rsidR="00EC5B70" w:rsidRPr="00B57019" w:rsidRDefault="00EC5B70" w:rsidP="21F4166F">
            <w:pPr>
              <w:jc w:val="both"/>
            </w:pPr>
          </w:p>
          <w:p w14:paraId="5D024A36" w14:textId="089734DF" w:rsidR="00EC5B70" w:rsidRPr="00B57019" w:rsidRDefault="00EC5B70" w:rsidP="21F4166F">
            <w:pPr>
              <w:jc w:val="both"/>
            </w:pPr>
          </w:p>
          <w:p w14:paraId="1564E793" w14:textId="089734DF" w:rsidR="00EC5B70" w:rsidRPr="00B57019" w:rsidRDefault="00EC5B70" w:rsidP="21F4166F">
            <w:pPr>
              <w:jc w:val="both"/>
            </w:pPr>
          </w:p>
          <w:p w14:paraId="0F9C3395" w14:textId="089734DF" w:rsidR="00EC5B70" w:rsidRPr="00B57019" w:rsidRDefault="00EC5B70" w:rsidP="21F4166F">
            <w:pPr>
              <w:jc w:val="both"/>
            </w:pPr>
          </w:p>
          <w:p w14:paraId="38035ED2" w14:textId="5A6461B0" w:rsidR="00EC5B70" w:rsidRPr="00B57019" w:rsidRDefault="00EC5B70" w:rsidP="013277F1">
            <w:pPr>
              <w:jc w:val="both"/>
            </w:pPr>
          </w:p>
          <w:p w14:paraId="1DE99C59" w14:textId="5A6461B0" w:rsidR="00EC5B70" w:rsidRPr="00B57019" w:rsidRDefault="00EC5B70" w:rsidP="013277F1">
            <w:pPr>
              <w:jc w:val="both"/>
            </w:pPr>
          </w:p>
          <w:p w14:paraId="0BC19D15" w14:textId="5A6461B0" w:rsidR="00EC5B70" w:rsidRPr="00B57019" w:rsidRDefault="00EC5B70" w:rsidP="013277F1">
            <w:pPr>
              <w:jc w:val="both"/>
            </w:pPr>
          </w:p>
          <w:p w14:paraId="7CF0509D" w14:textId="5A6461B0" w:rsidR="00EC5B70" w:rsidRPr="00B57019" w:rsidRDefault="00EC5B70" w:rsidP="013277F1">
            <w:pPr>
              <w:jc w:val="both"/>
            </w:pPr>
          </w:p>
          <w:p w14:paraId="2B30F24F" w14:textId="5A6461B0" w:rsidR="00EC5B70" w:rsidRPr="00B57019" w:rsidRDefault="00EC5B70" w:rsidP="013277F1">
            <w:pPr>
              <w:jc w:val="both"/>
            </w:pPr>
          </w:p>
          <w:p w14:paraId="4809DA18" w14:textId="5A6461B0" w:rsidR="00EC5B70" w:rsidRPr="00B57019" w:rsidRDefault="00EC5B70" w:rsidP="013277F1">
            <w:pPr>
              <w:jc w:val="both"/>
            </w:pPr>
          </w:p>
          <w:p w14:paraId="018826F7" w14:textId="5A6461B0" w:rsidR="00EC5B70" w:rsidRPr="00B57019" w:rsidRDefault="00EC5B70" w:rsidP="013277F1">
            <w:pPr>
              <w:jc w:val="both"/>
            </w:pPr>
          </w:p>
          <w:p w14:paraId="2F609790" w14:textId="5A6461B0" w:rsidR="00EC5B70" w:rsidRPr="00B57019" w:rsidRDefault="00EC5B70" w:rsidP="013277F1">
            <w:pPr>
              <w:jc w:val="both"/>
            </w:pPr>
          </w:p>
          <w:p w14:paraId="532DA239" w14:textId="5A6461B0" w:rsidR="00EC5B70" w:rsidRPr="00B57019" w:rsidRDefault="00EC5B70" w:rsidP="013277F1">
            <w:pPr>
              <w:jc w:val="both"/>
            </w:pPr>
          </w:p>
          <w:p w14:paraId="484AE42C" w14:textId="5A6461B0" w:rsidR="00EC5B70" w:rsidRPr="00B57019" w:rsidRDefault="00EC5B70" w:rsidP="013277F1">
            <w:pPr>
              <w:jc w:val="both"/>
            </w:pPr>
          </w:p>
          <w:p w14:paraId="3DC41AC6" w14:textId="5A6461B0" w:rsidR="00EC5B70" w:rsidRPr="00B57019" w:rsidRDefault="00EC5B70" w:rsidP="013277F1">
            <w:pPr>
              <w:jc w:val="both"/>
            </w:pPr>
          </w:p>
          <w:p w14:paraId="41E75D52" w14:textId="5A6461B0" w:rsidR="00EC5B70" w:rsidRPr="00B57019" w:rsidRDefault="00EC5B70" w:rsidP="013277F1">
            <w:pPr>
              <w:jc w:val="both"/>
            </w:pPr>
          </w:p>
          <w:p w14:paraId="77F14110" w14:textId="5A6461B0" w:rsidR="00EC5B70" w:rsidRPr="00B57019" w:rsidRDefault="00EC5B70" w:rsidP="013277F1">
            <w:pPr>
              <w:jc w:val="both"/>
            </w:pPr>
          </w:p>
          <w:p w14:paraId="289FF505" w14:textId="5A6461B0" w:rsidR="00EC5B70" w:rsidRPr="00B57019" w:rsidRDefault="00EC5B70" w:rsidP="013277F1">
            <w:pPr>
              <w:jc w:val="both"/>
            </w:pPr>
          </w:p>
          <w:p w14:paraId="524694B4" w14:textId="5A6461B0" w:rsidR="00EC5B70" w:rsidRPr="00B57019" w:rsidRDefault="00EC5B70" w:rsidP="013277F1">
            <w:pPr>
              <w:jc w:val="both"/>
            </w:pPr>
          </w:p>
          <w:p w14:paraId="5D40F14A" w14:textId="5A6461B0" w:rsidR="00EC5B70" w:rsidRPr="00B57019" w:rsidRDefault="00EC5B70" w:rsidP="013277F1">
            <w:pPr>
              <w:jc w:val="both"/>
            </w:pPr>
          </w:p>
          <w:p w14:paraId="22E66627" w14:textId="5A6461B0" w:rsidR="00EC5B70" w:rsidRPr="00B57019" w:rsidRDefault="00EC5B70" w:rsidP="013277F1">
            <w:pPr>
              <w:jc w:val="both"/>
            </w:pPr>
          </w:p>
          <w:p w14:paraId="0E160579" w14:textId="5A6461B0" w:rsidR="00EC5B70" w:rsidRPr="00B57019" w:rsidRDefault="00EC5B70" w:rsidP="013277F1">
            <w:pPr>
              <w:jc w:val="both"/>
            </w:pPr>
          </w:p>
          <w:p w14:paraId="3E6FA872" w14:textId="5A6461B0" w:rsidR="00EC5B70" w:rsidRPr="00B57019" w:rsidRDefault="00EC5B70" w:rsidP="013277F1">
            <w:pPr>
              <w:jc w:val="both"/>
            </w:pPr>
          </w:p>
          <w:p w14:paraId="0FE7B3E0" w14:textId="5A6461B0" w:rsidR="00EC5B70" w:rsidRPr="00B57019" w:rsidRDefault="00EC5B70" w:rsidP="013277F1">
            <w:pPr>
              <w:jc w:val="both"/>
            </w:pPr>
          </w:p>
          <w:p w14:paraId="6C3D87B2" w14:textId="13ED94C3" w:rsidR="00D25802" w:rsidRPr="00B57019" w:rsidRDefault="00D25802" w:rsidP="00D25802">
            <w:pPr>
              <w:pStyle w:val="CommentText"/>
              <w:jc w:val="both"/>
              <w:rPr>
                <w:sz w:val="24"/>
                <w:szCs w:val="24"/>
              </w:rPr>
            </w:pPr>
          </w:p>
          <w:p w14:paraId="0ADFE020" w14:textId="77777777" w:rsidR="00826127" w:rsidRPr="00B57019" w:rsidRDefault="00826127" w:rsidP="00D25802">
            <w:pPr>
              <w:pStyle w:val="CommentText"/>
              <w:jc w:val="both"/>
              <w:rPr>
                <w:sz w:val="24"/>
                <w:szCs w:val="24"/>
              </w:rPr>
            </w:pPr>
          </w:p>
          <w:p w14:paraId="49A5EF5C" w14:textId="77777777" w:rsidR="00826127" w:rsidRPr="00B57019" w:rsidRDefault="00826127" w:rsidP="00D25802">
            <w:pPr>
              <w:pStyle w:val="CommentText"/>
              <w:jc w:val="both"/>
              <w:rPr>
                <w:sz w:val="24"/>
                <w:szCs w:val="24"/>
              </w:rPr>
            </w:pPr>
          </w:p>
          <w:p w14:paraId="7DDC7E0D" w14:textId="77777777" w:rsidR="00826127" w:rsidRPr="00B57019" w:rsidRDefault="00826127" w:rsidP="00D25802">
            <w:pPr>
              <w:pStyle w:val="CommentText"/>
              <w:jc w:val="both"/>
              <w:rPr>
                <w:sz w:val="24"/>
                <w:szCs w:val="24"/>
              </w:rPr>
            </w:pPr>
          </w:p>
          <w:p w14:paraId="0EDCAC91" w14:textId="77777777" w:rsidR="00826127" w:rsidRPr="00B57019" w:rsidRDefault="00826127" w:rsidP="00D25802">
            <w:pPr>
              <w:pStyle w:val="CommentText"/>
              <w:jc w:val="both"/>
              <w:rPr>
                <w:sz w:val="24"/>
                <w:szCs w:val="24"/>
              </w:rPr>
            </w:pPr>
          </w:p>
          <w:p w14:paraId="42D4E342" w14:textId="77777777" w:rsidR="00826127" w:rsidRPr="00B57019" w:rsidRDefault="00826127" w:rsidP="00D25802">
            <w:pPr>
              <w:pStyle w:val="CommentText"/>
              <w:jc w:val="both"/>
              <w:rPr>
                <w:sz w:val="24"/>
                <w:szCs w:val="24"/>
              </w:rPr>
            </w:pPr>
          </w:p>
          <w:p w14:paraId="7C1F37BC" w14:textId="77777777" w:rsidR="00826127" w:rsidRPr="00B57019" w:rsidRDefault="00826127" w:rsidP="00D25802">
            <w:pPr>
              <w:pStyle w:val="CommentText"/>
              <w:jc w:val="both"/>
              <w:rPr>
                <w:sz w:val="24"/>
                <w:szCs w:val="24"/>
              </w:rPr>
            </w:pPr>
          </w:p>
          <w:p w14:paraId="54AA228E" w14:textId="77777777" w:rsidR="00826127" w:rsidRPr="00B57019" w:rsidRDefault="00826127" w:rsidP="00D25802">
            <w:pPr>
              <w:pStyle w:val="CommentText"/>
              <w:jc w:val="both"/>
              <w:rPr>
                <w:sz w:val="24"/>
                <w:szCs w:val="24"/>
              </w:rPr>
            </w:pPr>
          </w:p>
          <w:p w14:paraId="1DFC73C9" w14:textId="77777777" w:rsidR="00826127" w:rsidRPr="00B57019" w:rsidRDefault="00826127" w:rsidP="00D25802">
            <w:pPr>
              <w:pStyle w:val="CommentText"/>
              <w:jc w:val="both"/>
              <w:rPr>
                <w:sz w:val="24"/>
                <w:szCs w:val="24"/>
              </w:rPr>
            </w:pPr>
          </w:p>
          <w:p w14:paraId="78F2A375" w14:textId="77777777" w:rsidR="00826127" w:rsidRPr="00B57019" w:rsidRDefault="00826127" w:rsidP="00D25802">
            <w:pPr>
              <w:pStyle w:val="CommentText"/>
              <w:jc w:val="both"/>
              <w:rPr>
                <w:sz w:val="24"/>
                <w:szCs w:val="24"/>
              </w:rPr>
            </w:pPr>
          </w:p>
          <w:p w14:paraId="0F75BD9D" w14:textId="77777777" w:rsidR="00826127" w:rsidRPr="00B57019" w:rsidRDefault="00826127" w:rsidP="00D25802">
            <w:pPr>
              <w:pStyle w:val="CommentText"/>
              <w:jc w:val="both"/>
              <w:rPr>
                <w:sz w:val="24"/>
                <w:szCs w:val="24"/>
              </w:rPr>
            </w:pPr>
          </w:p>
          <w:p w14:paraId="32F7D81F" w14:textId="77777777" w:rsidR="00826127" w:rsidRPr="00B57019" w:rsidRDefault="00826127" w:rsidP="00D25802">
            <w:pPr>
              <w:pStyle w:val="CommentText"/>
              <w:jc w:val="both"/>
              <w:rPr>
                <w:sz w:val="24"/>
                <w:szCs w:val="24"/>
              </w:rPr>
            </w:pPr>
          </w:p>
          <w:p w14:paraId="692AFDEB" w14:textId="77777777" w:rsidR="00826127" w:rsidRPr="00B57019" w:rsidRDefault="00826127" w:rsidP="00D25802">
            <w:pPr>
              <w:pStyle w:val="CommentText"/>
              <w:jc w:val="both"/>
              <w:rPr>
                <w:sz w:val="24"/>
                <w:szCs w:val="24"/>
              </w:rPr>
            </w:pPr>
          </w:p>
          <w:p w14:paraId="315C065A" w14:textId="77777777" w:rsidR="00826127" w:rsidRPr="00B57019" w:rsidRDefault="00826127" w:rsidP="00D25802">
            <w:pPr>
              <w:pStyle w:val="CommentText"/>
              <w:jc w:val="both"/>
              <w:rPr>
                <w:sz w:val="24"/>
                <w:szCs w:val="24"/>
              </w:rPr>
            </w:pPr>
          </w:p>
          <w:p w14:paraId="326C6657" w14:textId="77777777" w:rsidR="00826127" w:rsidRPr="00B57019" w:rsidRDefault="00826127" w:rsidP="00D25802">
            <w:pPr>
              <w:pStyle w:val="CommentText"/>
              <w:jc w:val="both"/>
              <w:rPr>
                <w:sz w:val="24"/>
                <w:szCs w:val="24"/>
              </w:rPr>
            </w:pPr>
          </w:p>
          <w:p w14:paraId="039EE190" w14:textId="77777777" w:rsidR="00826127" w:rsidRPr="00B57019" w:rsidRDefault="00826127" w:rsidP="00D25802">
            <w:pPr>
              <w:pStyle w:val="CommentText"/>
              <w:jc w:val="both"/>
              <w:rPr>
                <w:sz w:val="24"/>
                <w:szCs w:val="24"/>
              </w:rPr>
            </w:pPr>
          </w:p>
          <w:p w14:paraId="01400F82" w14:textId="77777777" w:rsidR="00826127" w:rsidRPr="00B57019" w:rsidRDefault="00826127" w:rsidP="00D25802">
            <w:pPr>
              <w:pStyle w:val="CommentText"/>
              <w:jc w:val="both"/>
              <w:rPr>
                <w:sz w:val="24"/>
                <w:szCs w:val="24"/>
              </w:rPr>
            </w:pPr>
          </w:p>
          <w:p w14:paraId="119F9890" w14:textId="77777777" w:rsidR="00826127" w:rsidRPr="00B57019" w:rsidRDefault="00826127" w:rsidP="00D25802">
            <w:pPr>
              <w:pStyle w:val="CommentText"/>
              <w:jc w:val="both"/>
              <w:rPr>
                <w:sz w:val="24"/>
                <w:szCs w:val="24"/>
              </w:rPr>
            </w:pPr>
          </w:p>
          <w:p w14:paraId="32AC97D8" w14:textId="77777777" w:rsidR="00826127" w:rsidRPr="00B57019" w:rsidRDefault="00826127" w:rsidP="00D25802">
            <w:pPr>
              <w:pStyle w:val="CommentText"/>
              <w:jc w:val="both"/>
              <w:rPr>
                <w:sz w:val="24"/>
                <w:szCs w:val="24"/>
              </w:rPr>
            </w:pPr>
          </w:p>
          <w:p w14:paraId="2249FC0B" w14:textId="77777777" w:rsidR="00826127" w:rsidRPr="00B57019" w:rsidRDefault="00826127" w:rsidP="00D25802">
            <w:pPr>
              <w:pStyle w:val="CommentText"/>
              <w:jc w:val="both"/>
              <w:rPr>
                <w:sz w:val="24"/>
                <w:szCs w:val="24"/>
              </w:rPr>
            </w:pPr>
          </w:p>
          <w:p w14:paraId="0B570788" w14:textId="77777777" w:rsidR="00826127" w:rsidRPr="00B57019" w:rsidRDefault="00826127" w:rsidP="00D25802">
            <w:pPr>
              <w:pStyle w:val="CommentText"/>
              <w:jc w:val="both"/>
              <w:rPr>
                <w:sz w:val="24"/>
                <w:szCs w:val="24"/>
              </w:rPr>
            </w:pPr>
          </w:p>
          <w:p w14:paraId="24C899DA" w14:textId="77777777" w:rsidR="00826127" w:rsidRPr="00B57019" w:rsidRDefault="00826127" w:rsidP="00D25802">
            <w:pPr>
              <w:pStyle w:val="CommentText"/>
              <w:jc w:val="both"/>
              <w:rPr>
                <w:sz w:val="24"/>
                <w:szCs w:val="24"/>
              </w:rPr>
            </w:pPr>
          </w:p>
          <w:p w14:paraId="3EC30D2F" w14:textId="77777777" w:rsidR="00826127" w:rsidRPr="00B57019" w:rsidRDefault="00826127" w:rsidP="00D25802">
            <w:pPr>
              <w:pStyle w:val="CommentText"/>
              <w:jc w:val="both"/>
              <w:rPr>
                <w:sz w:val="24"/>
                <w:szCs w:val="24"/>
              </w:rPr>
            </w:pPr>
          </w:p>
          <w:p w14:paraId="5BDDA31F" w14:textId="77777777" w:rsidR="00826127" w:rsidRPr="00B57019" w:rsidRDefault="00826127" w:rsidP="00D25802">
            <w:pPr>
              <w:pStyle w:val="CommentText"/>
              <w:jc w:val="both"/>
              <w:rPr>
                <w:sz w:val="24"/>
                <w:szCs w:val="24"/>
              </w:rPr>
            </w:pPr>
          </w:p>
          <w:p w14:paraId="60C7B2BA" w14:textId="77777777" w:rsidR="00826127" w:rsidRPr="00B57019" w:rsidRDefault="00826127" w:rsidP="00D25802">
            <w:pPr>
              <w:pStyle w:val="CommentText"/>
              <w:jc w:val="both"/>
              <w:rPr>
                <w:sz w:val="24"/>
                <w:szCs w:val="24"/>
              </w:rPr>
            </w:pPr>
          </w:p>
          <w:p w14:paraId="68207AEF" w14:textId="77777777" w:rsidR="00826127" w:rsidRPr="00B57019" w:rsidRDefault="00826127" w:rsidP="00D25802">
            <w:pPr>
              <w:pStyle w:val="CommentText"/>
              <w:jc w:val="both"/>
              <w:rPr>
                <w:sz w:val="24"/>
                <w:szCs w:val="24"/>
              </w:rPr>
            </w:pPr>
          </w:p>
          <w:p w14:paraId="41191C35" w14:textId="77777777" w:rsidR="00826127" w:rsidRPr="00B57019" w:rsidRDefault="00826127" w:rsidP="00D25802">
            <w:pPr>
              <w:pStyle w:val="CommentText"/>
              <w:jc w:val="both"/>
              <w:rPr>
                <w:sz w:val="24"/>
                <w:szCs w:val="24"/>
              </w:rPr>
            </w:pPr>
          </w:p>
          <w:p w14:paraId="7B5C00FB" w14:textId="77777777" w:rsidR="00826127" w:rsidRPr="00B57019" w:rsidRDefault="00826127" w:rsidP="00D25802">
            <w:pPr>
              <w:pStyle w:val="CommentText"/>
              <w:jc w:val="both"/>
              <w:rPr>
                <w:sz w:val="24"/>
                <w:szCs w:val="24"/>
              </w:rPr>
            </w:pPr>
          </w:p>
          <w:p w14:paraId="139E9453" w14:textId="77777777" w:rsidR="00826127" w:rsidRPr="00B57019" w:rsidRDefault="00826127" w:rsidP="00D25802">
            <w:pPr>
              <w:pStyle w:val="CommentText"/>
              <w:jc w:val="both"/>
              <w:rPr>
                <w:sz w:val="24"/>
                <w:szCs w:val="24"/>
              </w:rPr>
            </w:pPr>
          </w:p>
          <w:p w14:paraId="45ACE06F" w14:textId="77777777" w:rsidR="00826127" w:rsidRPr="00B57019" w:rsidRDefault="00826127" w:rsidP="00D25802">
            <w:pPr>
              <w:pStyle w:val="CommentText"/>
              <w:jc w:val="both"/>
              <w:rPr>
                <w:sz w:val="24"/>
                <w:szCs w:val="24"/>
              </w:rPr>
            </w:pPr>
          </w:p>
          <w:p w14:paraId="142AE994" w14:textId="77777777" w:rsidR="00826127" w:rsidRPr="00B57019" w:rsidRDefault="00826127" w:rsidP="00D25802">
            <w:pPr>
              <w:pStyle w:val="CommentText"/>
              <w:jc w:val="both"/>
              <w:rPr>
                <w:sz w:val="24"/>
                <w:szCs w:val="24"/>
              </w:rPr>
            </w:pPr>
          </w:p>
          <w:p w14:paraId="253BB36F" w14:textId="77777777" w:rsidR="00826127" w:rsidRPr="00B57019" w:rsidRDefault="00826127" w:rsidP="00826127">
            <w:pPr>
              <w:pStyle w:val="CommentText"/>
            </w:pPr>
          </w:p>
          <w:p w14:paraId="7E5F7047" w14:textId="77777777" w:rsidR="00826127" w:rsidRPr="00B57019" w:rsidRDefault="00826127" w:rsidP="00826127">
            <w:pPr>
              <w:pStyle w:val="CommentText"/>
            </w:pPr>
          </w:p>
          <w:p w14:paraId="2E635485" w14:textId="77777777" w:rsidR="00826127" w:rsidRPr="00B57019" w:rsidRDefault="00826127" w:rsidP="00826127">
            <w:pPr>
              <w:pStyle w:val="CommentText"/>
            </w:pPr>
          </w:p>
          <w:p w14:paraId="33AE4E8E" w14:textId="77777777" w:rsidR="00826127" w:rsidRPr="00B57019" w:rsidRDefault="00826127" w:rsidP="00826127">
            <w:pPr>
              <w:pStyle w:val="CommentText"/>
            </w:pPr>
          </w:p>
          <w:p w14:paraId="41086811" w14:textId="77777777" w:rsidR="00826127" w:rsidRPr="00B57019" w:rsidRDefault="00826127" w:rsidP="00826127">
            <w:pPr>
              <w:pStyle w:val="CommentText"/>
            </w:pPr>
          </w:p>
          <w:p w14:paraId="7A8D1CC7" w14:textId="77777777" w:rsidR="00826127" w:rsidRPr="00B57019" w:rsidRDefault="00826127" w:rsidP="00826127">
            <w:pPr>
              <w:pStyle w:val="CommentText"/>
            </w:pPr>
          </w:p>
          <w:p w14:paraId="1295FEDF" w14:textId="77777777" w:rsidR="00826127" w:rsidRPr="00B57019" w:rsidRDefault="00826127" w:rsidP="00826127">
            <w:pPr>
              <w:pStyle w:val="CommentText"/>
            </w:pPr>
          </w:p>
          <w:p w14:paraId="1F5F7F2A" w14:textId="77777777" w:rsidR="00826127" w:rsidRPr="00B57019" w:rsidRDefault="00826127" w:rsidP="00826127">
            <w:pPr>
              <w:pStyle w:val="CommentText"/>
            </w:pPr>
          </w:p>
          <w:p w14:paraId="2D9E330B" w14:textId="77777777" w:rsidR="00826127" w:rsidRPr="00B57019" w:rsidRDefault="00826127" w:rsidP="00826127">
            <w:pPr>
              <w:pStyle w:val="CommentText"/>
            </w:pPr>
          </w:p>
          <w:p w14:paraId="2918FD19" w14:textId="77777777" w:rsidR="00826127" w:rsidRPr="00B57019" w:rsidRDefault="00826127" w:rsidP="00826127">
            <w:pPr>
              <w:pStyle w:val="CommentText"/>
            </w:pPr>
          </w:p>
          <w:p w14:paraId="3EB2623A" w14:textId="77777777" w:rsidR="00826127" w:rsidRPr="00B57019" w:rsidRDefault="00826127" w:rsidP="00826127">
            <w:pPr>
              <w:pStyle w:val="CommentText"/>
            </w:pPr>
          </w:p>
          <w:p w14:paraId="5C6F231C" w14:textId="77777777" w:rsidR="00826127" w:rsidRPr="00B57019" w:rsidRDefault="00826127" w:rsidP="00826127">
            <w:pPr>
              <w:pStyle w:val="CommentText"/>
            </w:pPr>
          </w:p>
          <w:p w14:paraId="2EA2D36C" w14:textId="77777777" w:rsidR="00826127" w:rsidRPr="00B57019" w:rsidRDefault="00826127" w:rsidP="00826127">
            <w:pPr>
              <w:pStyle w:val="CommentText"/>
            </w:pPr>
          </w:p>
          <w:p w14:paraId="37959F71" w14:textId="77777777" w:rsidR="00826127" w:rsidRPr="00B57019" w:rsidRDefault="00826127" w:rsidP="00826127">
            <w:pPr>
              <w:pStyle w:val="CommentText"/>
            </w:pPr>
          </w:p>
          <w:p w14:paraId="0212774A" w14:textId="77777777" w:rsidR="00826127" w:rsidRPr="00B57019" w:rsidRDefault="00826127" w:rsidP="00826127">
            <w:pPr>
              <w:pStyle w:val="CommentText"/>
            </w:pPr>
          </w:p>
          <w:p w14:paraId="1976FF11" w14:textId="77777777" w:rsidR="00826127" w:rsidRPr="00B57019" w:rsidRDefault="00826127" w:rsidP="00826127">
            <w:pPr>
              <w:pStyle w:val="CommentText"/>
            </w:pPr>
          </w:p>
          <w:p w14:paraId="0523F6F7" w14:textId="77777777" w:rsidR="00826127" w:rsidRPr="00B57019" w:rsidRDefault="00826127" w:rsidP="00826127">
            <w:pPr>
              <w:pStyle w:val="CommentText"/>
            </w:pPr>
          </w:p>
          <w:p w14:paraId="4FC6064B" w14:textId="77777777" w:rsidR="00826127" w:rsidRPr="00B57019" w:rsidRDefault="00826127" w:rsidP="00826127">
            <w:pPr>
              <w:pStyle w:val="CommentText"/>
            </w:pPr>
          </w:p>
          <w:p w14:paraId="7AEC5DA9" w14:textId="77777777" w:rsidR="00826127" w:rsidRPr="00B57019" w:rsidRDefault="00826127" w:rsidP="00826127">
            <w:pPr>
              <w:pStyle w:val="CommentText"/>
            </w:pPr>
          </w:p>
          <w:p w14:paraId="58D2043E" w14:textId="77777777" w:rsidR="00826127" w:rsidRPr="00B57019" w:rsidRDefault="00826127" w:rsidP="00826127">
            <w:pPr>
              <w:pStyle w:val="CommentText"/>
            </w:pPr>
          </w:p>
          <w:p w14:paraId="0BF9B570" w14:textId="77777777" w:rsidR="00826127" w:rsidRPr="00B57019" w:rsidRDefault="00826127" w:rsidP="00826127">
            <w:pPr>
              <w:pStyle w:val="CommentText"/>
            </w:pPr>
          </w:p>
          <w:p w14:paraId="05B24748" w14:textId="77777777" w:rsidR="00826127" w:rsidRPr="00B57019" w:rsidRDefault="00826127" w:rsidP="00826127">
            <w:pPr>
              <w:pStyle w:val="CommentText"/>
            </w:pPr>
          </w:p>
          <w:p w14:paraId="23655479" w14:textId="77777777" w:rsidR="00826127" w:rsidRPr="00B57019" w:rsidRDefault="00826127" w:rsidP="00826127">
            <w:pPr>
              <w:pStyle w:val="CommentText"/>
            </w:pPr>
          </w:p>
          <w:p w14:paraId="01666C18" w14:textId="77777777" w:rsidR="00826127" w:rsidRPr="00B57019" w:rsidRDefault="00826127" w:rsidP="00826127">
            <w:pPr>
              <w:pStyle w:val="CommentText"/>
            </w:pPr>
          </w:p>
          <w:p w14:paraId="514D88CB" w14:textId="77777777" w:rsidR="00826127" w:rsidRPr="00B57019" w:rsidRDefault="00826127" w:rsidP="00826127">
            <w:pPr>
              <w:pStyle w:val="CommentText"/>
            </w:pPr>
          </w:p>
          <w:p w14:paraId="2685B6CE" w14:textId="77777777" w:rsidR="00826127" w:rsidRPr="00B57019" w:rsidRDefault="00826127" w:rsidP="00826127">
            <w:pPr>
              <w:pStyle w:val="CommentText"/>
            </w:pPr>
          </w:p>
          <w:p w14:paraId="72C2C0B8" w14:textId="77777777" w:rsidR="00826127" w:rsidRPr="00B57019" w:rsidRDefault="00826127" w:rsidP="00826127">
            <w:pPr>
              <w:pStyle w:val="CommentText"/>
            </w:pPr>
          </w:p>
          <w:p w14:paraId="3468426A" w14:textId="77777777" w:rsidR="00826127" w:rsidRPr="00B57019" w:rsidRDefault="00826127" w:rsidP="00826127">
            <w:pPr>
              <w:pStyle w:val="CommentText"/>
            </w:pPr>
          </w:p>
          <w:p w14:paraId="1EC8A1D2" w14:textId="77777777" w:rsidR="00826127" w:rsidRPr="00B57019" w:rsidRDefault="00826127" w:rsidP="00826127">
            <w:pPr>
              <w:pStyle w:val="CommentText"/>
            </w:pPr>
          </w:p>
          <w:p w14:paraId="11F4A971" w14:textId="77777777" w:rsidR="00826127" w:rsidRPr="00B57019" w:rsidRDefault="00826127" w:rsidP="00826127">
            <w:pPr>
              <w:pStyle w:val="CommentText"/>
            </w:pPr>
          </w:p>
          <w:p w14:paraId="721517B5" w14:textId="77777777" w:rsidR="00826127" w:rsidRPr="00B57019" w:rsidRDefault="00826127" w:rsidP="00826127">
            <w:pPr>
              <w:pStyle w:val="CommentText"/>
            </w:pPr>
          </w:p>
          <w:p w14:paraId="2E3B7BC8" w14:textId="77777777" w:rsidR="00826127" w:rsidRPr="00B57019" w:rsidRDefault="00826127" w:rsidP="00826127">
            <w:pPr>
              <w:pStyle w:val="CommentText"/>
            </w:pPr>
          </w:p>
          <w:p w14:paraId="3B087967" w14:textId="77777777" w:rsidR="00826127" w:rsidRPr="00B57019" w:rsidRDefault="00826127" w:rsidP="00826127">
            <w:pPr>
              <w:pStyle w:val="CommentText"/>
            </w:pPr>
          </w:p>
          <w:p w14:paraId="4F2644C6" w14:textId="77777777" w:rsidR="00826127" w:rsidRPr="00B57019" w:rsidRDefault="00826127" w:rsidP="00826127">
            <w:pPr>
              <w:pStyle w:val="CommentText"/>
            </w:pPr>
          </w:p>
          <w:p w14:paraId="0A295067" w14:textId="77777777" w:rsidR="00826127" w:rsidRPr="00B57019" w:rsidRDefault="00826127" w:rsidP="00826127">
            <w:pPr>
              <w:pStyle w:val="CommentText"/>
            </w:pPr>
          </w:p>
          <w:p w14:paraId="4D4F91C8" w14:textId="77777777" w:rsidR="00826127" w:rsidRPr="00B57019" w:rsidRDefault="00826127" w:rsidP="00826127">
            <w:pPr>
              <w:pStyle w:val="CommentText"/>
              <w:rPr>
                <w:sz w:val="24"/>
                <w:szCs w:val="24"/>
              </w:rPr>
            </w:pPr>
          </w:p>
          <w:p w14:paraId="00987649" w14:textId="77777777" w:rsidR="00826127" w:rsidRPr="00B57019" w:rsidRDefault="00826127" w:rsidP="00D25802">
            <w:pPr>
              <w:pStyle w:val="CommentText"/>
              <w:jc w:val="both"/>
              <w:rPr>
                <w:sz w:val="24"/>
                <w:szCs w:val="24"/>
              </w:rPr>
            </w:pPr>
          </w:p>
          <w:p w14:paraId="73FE6CB6" w14:textId="77777777" w:rsidR="00826127" w:rsidRPr="00B57019" w:rsidRDefault="00826127" w:rsidP="00D25802">
            <w:pPr>
              <w:pStyle w:val="CommentText"/>
              <w:jc w:val="both"/>
              <w:rPr>
                <w:sz w:val="24"/>
                <w:szCs w:val="24"/>
              </w:rPr>
            </w:pPr>
          </w:p>
          <w:p w14:paraId="029D8A0B" w14:textId="77777777" w:rsidR="00826127" w:rsidRPr="00B57019" w:rsidRDefault="00826127" w:rsidP="00D25802">
            <w:pPr>
              <w:pStyle w:val="CommentText"/>
              <w:jc w:val="both"/>
              <w:rPr>
                <w:sz w:val="24"/>
                <w:szCs w:val="24"/>
              </w:rPr>
            </w:pPr>
          </w:p>
          <w:p w14:paraId="70C573AD" w14:textId="77777777" w:rsidR="00826127" w:rsidRPr="00B57019" w:rsidRDefault="00826127" w:rsidP="00D25802">
            <w:pPr>
              <w:pStyle w:val="CommentText"/>
              <w:jc w:val="both"/>
              <w:rPr>
                <w:sz w:val="24"/>
                <w:szCs w:val="24"/>
              </w:rPr>
            </w:pPr>
          </w:p>
          <w:p w14:paraId="61F3B014" w14:textId="77777777" w:rsidR="00826127" w:rsidRPr="00B57019" w:rsidRDefault="00826127" w:rsidP="00D25802">
            <w:pPr>
              <w:pStyle w:val="CommentText"/>
              <w:jc w:val="both"/>
              <w:rPr>
                <w:sz w:val="24"/>
                <w:szCs w:val="24"/>
              </w:rPr>
            </w:pPr>
          </w:p>
          <w:p w14:paraId="5CB6E653" w14:textId="77777777" w:rsidR="00826127" w:rsidRPr="00B57019" w:rsidRDefault="00826127" w:rsidP="00D25802">
            <w:pPr>
              <w:pStyle w:val="CommentText"/>
              <w:jc w:val="both"/>
              <w:rPr>
                <w:sz w:val="24"/>
                <w:szCs w:val="24"/>
              </w:rPr>
            </w:pPr>
          </w:p>
          <w:p w14:paraId="322FBB9F" w14:textId="77777777" w:rsidR="00D25802" w:rsidRPr="00B57019" w:rsidRDefault="00D25802" w:rsidP="6EC0B0DB">
            <w:pPr>
              <w:spacing w:line="259" w:lineRule="auto"/>
              <w:jc w:val="both"/>
            </w:pPr>
          </w:p>
          <w:p w14:paraId="06A29F52" w14:textId="5A6461B0" w:rsidR="00EC5B70" w:rsidRPr="00B57019" w:rsidRDefault="00EC5B70" w:rsidP="013277F1">
            <w:pPr>
              <w:jc w:val="both"/>
            </w:pPr>
          </w:p>
          <w:p w14:paraId="1DC1A7A8" w14:textId="5A6461B0" w:rsidR="00EC5B70" w:rsidRPr="00B57019" w:rsidRDefault="00EC5B70" w:rsidP="013277F1">
            <w:pPr>
              <w:jc w:val="both"/>
            </w:pPr>
          </w:p>
          <w:p w14:paraId="707EAAEF" w14:textId="5A6461B0" w:rsidR="00EC5B70" w:rsidRPr="00B57019" w:rsidRDefault="00EC5B70" w:rsidP="013277F1">
            <w:pPr>
              <w:jc w:val="both"/>
            </w:pPr>
          </w:p>
          <w:p w14:paraId="67270ABE" w14:textId="5A6461B0" w:rsidR="00EC5B70" w:rsidRPr="00B57019" w:rsidRDefault="00EC5B70" w:rsidP="013277F1">
            <w:pPr>
              <w:jc w:val="both"/>
            </w:pPr>
          </w:p>
          <w:p w14:paraId="7C1A03A3" w14:textId="5A6461B0" w:rsidR="00EC5B70" w:rsidRPr="00B57019" w:rsidRDefault="00EC5B70" w:rsidP="013277F1">
            <w:pPr>
              <w:jc w:val="both"/>
            </w:pPr>
          </w:p>
          <w:p w14:paraId="322F2F20" w14:textId="5A6461B0" w:rsidR="00EC5B70" w:rsidRPr="00B57019" w:rsidRDefault="00EC5B70" w:rsidP="013277F1">
            <w:pPr>
              <w:jc w:val="both"/>
            </w:pPr>
          </w:p>
        </w:tc>
        <w:tc>
          <w:tcPr>
            <w:tcW w:w="2503" w:type="dxa"/>
            <w:tcBorders>
              <w:top w:val="single" w:sz="4" w:space="0" w:color="auto"/>
              <w:left w:val="single" w:sz="4" w:space="0" w:color="auto"/>
              <w:bottom w:val="single" w:sz="4" w:space="0" w:color="auto"/>
            </w:tcBorders>
            <w:shd w:val="clear" w:color="auto" w:fill="auto"/>
          </w:tcPr>
          <w:p w14:paraId="572F9DA3" w14:textId="77777777" w:rsidR="00EC5B70" w:rsidRPr="00B57019" w:rsidRDefault="00EC5B70" w:rsidP="002A05B2"/>
        </w:tc>
      </w:tr>
      <w:tr w:rsidR="00B57019" w:rsidRPr="00B57019" w14:paraId="7F2AB383" w14:textId="77777777" w:rsidTr="6EC0B0DB">
        <w:tc>
          <w:tcPr>
            <w:tcW w:w="14567" w:type="dxa"/>
            <w:gridSpan w:val="6"/>
            <w:tcBorders>
              <w:top w:val="single" w:sz="6" w:space="0" w:color="000000" w:themeColor="text1"/>
              <w:left w:val="single" w:sz="6" w:space="0" w:color="000000" w:themeColor="text1"/>
              <w:bottom w:val="single" w:sz="6" w:space="0" w:color="000000" w:themeColor="text1"/>
            </w:tcBorders>
            <w:shd w:val="clear" w:color="auto" w:fill="auto"/>
          </w:tcPr>
          <w:p w14:paraId="0D5B35C6" w14:textId="686C0BF2" w:rsidR="001B0756" w:rsidRPr="00B57019" w:rsidRDefault="001B0756" w:rsidP="001B0756">
            <w:pPr>
              <w:jc w:val="center"/>
              <w:rPr>
                <w:b/>
              </w:rPr>
            </w:pPr>
            <w:r w:rsidRPr="00B57019">
              <w:rPr>
                <w:b/>
              </w:rPr>
              <w:t>Satiksmes ministrija</w:t>
            </w:r>
          </w:p>
        </w:tc>
      </w:tr>
      <w:tr w:rsidR="00B57019" w:rsidRPr="00B57019" w14:paraId="13712BAD"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3594D8" w14:textId="77777777" w:rsidR="00EC5B70" w:rsidRPr="00B57019" w:rsidRDefault="00EC5B70" w:rsidP="00B03F98">
            <w:pPr>
              <w:pStyle w:val="naisc"/>
              <w:spacing w:before="0" w:after="0"/>
            </w:pP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9BEFDF" w14:textId="2D829AB6" w:rsidR="00EC5B70" w:rsidRPr="00B57019" w:rsidRDefault="001B0756" w:rsidP="00D37E01">
            <w:pPr>
              <w:pStyle w:val="naisc"/>
              <w:spacing w:before="0" w:after="0"/>
              <w:jc w:val="left"/>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4E09D8" w14:textId="6DE14A32" w:rsidR="00EC5B70" w:rsidRPr="00B57019" w:rsidRDefault="001B0756" w:rsidP="001B0756">
            <w:pPr>
              <w:jc w:val="both"/>
            </w:pPr>
            <w:r w:rsidRPr="00B57019">
              <w:t>Satiksmes ministrija izskatīja Vides aizsardzības un reģionālās attīstības ministrijas sagatavoto precizēto informatīvā ziņojuma projektu “Informatīvais ziņojums par cilvēkresursu nodrošināšanu valsts informācijas un komunikācijas tehnoloģiju platformu uzturēšanai” (VSS-306) un uztur Satiksmes ministrijas 26.04.2019. atzinumā Nr.03-03/60  izteikto iebildumu svītrot Ministru kabineta protokollēmuma projekta 3.1.9.apakšpunktu (precizētā Ministru kabineta protokollēmuma projekta  3.1.8.apakšpunkts).</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DC500E" w14:textId="27CB298F" w:rsidR="00EC5B70" w:rsidRPr="00B57019" w:rsidRDefault="000123C4" w:rsidP="00B03F98">
            <w:pPr>
              <w:pStyle w:val="PlainText"/>
              <w:jc w:val="both"/>
              <w:rPr>
                <w:rFonts w:ascii="Times New Roman" w:hAnsi="Times New Roman"/>
                <w:b/>
                <w:sz w:val="24"/>
                <w:szCs w:val="24"/>
                <w:lang w:val="lv-LV"/>
              </w:rPr>
            </w:pPr>
            <w:r w:rsidRPr="00B57019">
              <w:rPr>
                <w:rFonts w:ascii="Times New Roman" w:hAnsi="Times New Roman"/>
                <w:b/>
                <w:bCs/>
                <w:sz w:val="24"/>
                <w:szCs w:val="24"/>
              </w:rPr>
              <w:t>Iebildums nav ņemts vērā</w:t>
            </w:r>
            <w:r w:rsidRPr="00B57019">
              <w:rPr>
                <w:rFonts w:ascii="Times New Roman" w:hAnsi="Times New Roman"/>
                <w:sz w:val="24"/>
                <w:szCs w:val="24"/>
              </w:rPr>
              <w:t>.</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49F7DF7C" w14:textId="77777777" w:rsidR="00EC5B70" w:rsidRPr="00B57019" w:rsidRDefault="00EC5B70" w:rsidP="009851F7">
            <w:pPr>
              <w:jc w:val="both"/>
            </w:pPr>
          </w:p>
        </w:tc>
        <w:tc>
          <w:tcPr>
            <w:tcW w:w="2503" w:type="dxa"/>
            <w:tcBorders>
              <w:top w:val="single" w:sz="4" w:space="0" w:color="auto"/>
              <w:left w:val="single" w:sz="4" w:space="0" w:color="auto"/>
              <w:bottom w:val="single" w:sz="4" w:space="0" w:color="auto"/>
            </w:tcBorders>
            <w:shd w:val="clear" w:color="auto" w:fill="auto"/>
          </w:tcPr>
          <w:p w14:paraId="45456CF1" w14:textId="77777777" w:rsidR="00EC5B70" w:rsidRPr="00B57019" w:rsidRDefault="00EC5B70" w:rsidP="002A05B2"/>
        </w:tc>
      </w:tr>
      <w:tr w:rsidR="00B57019" w:rsidRPr="00B57019" w14:paraId="71085C44" w14:textId="77777777" w:rsidTr="6EC0B0DB">
        <w:tc>
          <w:tcPr>
            <w:tcW w:w="14567" w:type="dxa"/>
            <w:gridSpan w:val="6"/>
            <w:tcBorders>
              <w:top w:val="single" w:sz="6" w:space="0" w:color="000000" w:themeColor="text1"/>
              <w:left w:val="single" w:sz="6" w:space="0" w:color="000000" w:themeColor="text1"/>
              <w:bottom w:val="single" w:sz="6" w:space="0" w:color="000000" w:themeColor="text1"/>
            </w:tcBorders>
            <w:shd w:val="clear" w:color="auto" w:fill="auto"/>
          </w:tcPr>
          <w:p w14:paraId="6FD59D81" w14:textId="7C5CB9FD" w:rsidR="001B0756" w:rsidRPr="00B57019" w:rsidRDefault="001B0756" w:rsidP="001B0756">
            <w:pPr>
              <w:jc w:val="center"/>
              <w:rPr>
                <w:b/>
              </w:rPr>
            </w:pPr>
            <w:r w:rsidRPr="00B57019">
              <w:rPr>
                <w:b/>
              </w:rPr>
              <w:t>Tieslietu ministrija</w:t>
            </w:r>
          </w:p>
        </w:tc>
      </w:tr>
      <w:tr w:rsidR="00B57019" w:rsidRPr="00B57019" w14:paraId="36C850DB" w14:textId="77777777" w:rsidTr="007A278F">
        <w:trPr>
          <w:trHeight w:val="2956"/>
        </w:trPr>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C88706" w14:textId="77777777" w:rsidR="00EC5B70" w:rsidRPr="00B57019" w:rsidRDefault="00EC5B70" w:rsidP="00B03F98">
            <w:pPr>
              <w:pStyle w:val="naisc"/>
              <w:spacing w:before="0" w:after="0"/>
            </w:pP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F0E7CA" w14:textId="06760107" w:rsidR="00EC5B70" w:rsidRPr="00B57019" w:rsidRDefault="001B0756" w:rsidP="00D37E01">
            <w:pPr>
              <w:pStyle w:val="naisc"/>
              <w:spacing w:before="0" w:after="0"/>
              <w:jc w:val="left"/>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B07680" w14:textId="77777777" w:rsidR="001B0756" w:rsidRPr="00B57019" w:rsidRDefault="001B0756" w:rsidP="001B0756">
            <w:pPr>
              <w:jc w:val="both"/>
            </w:pPr>
            <w:r w:rsidRPr="00B57019">
              <w:t xml:space="preserve">Ir nepieciešams dzēst protokollēmuma 3.1.9. punktu, kas attiecas uz amata vietu un finansējuma pārdali no Tieslietu ministrijas un attiecīgi precizēt 2. un 3. punktā norādīto kopējo no resoriem pārdalāmo amata vietu skaitu un finansējuma apmēru. Tieslietu ministrija norāda, ka Informatīvajā ziņojumā iekļautie indikatīvie aprēķini no Elektronisko iepirkumu sistēmas, Oficiālās elektroniskās adreses informācijas sistēmas, Vienotās pieteikšanās moduļa, Valsts un pašvaldību iestāžu tīmekļvietņu vienotā platformas, E-rēķinu aprites risinājuma, balstīti uz indikatīviem (hipotētiskiem) pieņēmumiem, nevis katra resora reālo struktūru, organizāciju, iekšējās procedūras un iesaistīto darbinieku skaitu, lai noteiktu objektīvu ietaupījumu.  Papildus tam, Valsts un pašvaldību iestāžu tīmekļvietņu vienotā platforma un E-rēķinu aprites risinājums vēl nav iesviesti, attiecīgi aprēķins ir vēl indikatīvāks. Norādām, ka, lai būtu iespējams aprēķināt iespējamos ietaupījumus, sistēmai ir jābūt pabeigtai, darboties spējīgai un savu efektivitāti pierādījušai. Uzskatām, ka šādu izvērtējumu un attiecīgi arī iespējamos ieguvumus (ietaupījumus) var aprēķināt ne ātrāk kā gadu pēc sistēmas pilnvērtīgas funkcionēšanas, iesaistot visas ministrijas un izzinot tajā notiekošos procesus šādas funkcionalitātes nodrošināšanai. </w:t>
            </w:r>
          </w:p>
          <w:p w14:paraId="03BEE585" w14:textId="77777777" w:rsidR="001B0756" w:rsidRPr="00B57019" w:rsidRDefault="001B0756" w:rsidP="001B0756">
            <w:pPr>
              <w:jc w:val="both"/>
            </w:pPr>
          </w:p>
          <w:p w14:paraId="4D77CAB3" w14:textId="77777777" w:rsidR="001B0756" w:rsidRPr="00B57019" w:rsidRDefault="001B0756" w:rsidP="001B0756">
            <w:pPr>
              <w:jc w:val="both"/>
            </w:pPr>
            <w:r w:rsidRPr="00B57019">
              <w:t>Šāda veida pārdales nav iespējamas arī tādēļ, ka protokollēmumā iekļautais pārdalāmais finansējums attiecas uz kopējo resoru. Norādām, ka nav iespējams pārdalīt trīs amata vietas no resora, jo nevienā iestādē potenciālie ieguvumi neļauj samazināt vismaz vienu amata vietu, ko būtu iespējams pārdalīt kopā ar tai paredzēto finansējumu. Tas nozīmē, ka 13 iestādēs  vidējais amata vietu samazinājums ir 0,23 amata vietas. Papildus tam, tā nav viena amata grupa, bet gan dalītā – juristi, lietveži u.tml.  Pat indikatīvi aprēķinātie ietaupījumi nevienā no resora iestādēm neveido kaut cik būtisku un vērā ņemamu ietaupījumu, kas varētu rosināt amata pienākumu pārdali un izmaiņas, lai būtu iespējams finansējumu novirzīt citur.</w:t>
            </w:r>
          </w:p>
          <w:p w14:paraId="07A81564" w14:textId="77777777" w:rsidR="001B0756" w:rsidRPr="00B57019" w:rsidRDefault="001B0756" w:rsidP="001B0756">
            <w:pPr>
              <w:jc w:val="both"/>
            </w:pPr>
          </w:p>
          <w:p w14:paraId="56494111" w14:textId="77777777" w:rsidR="001B0756" w:rsidRPr="00B57019" w:rsidRDefault="001B0756" w:rsidP="001B0756">
            <w:pPr>
              <w:jc w:val="both"/>
            </w:pPr>
            <w:r w:rsidRPr="00B57019">
              <w:t xml:space="preserve">Papildus tam VARAM ir aprēķinājis ne tikai iespējamo atlīdzības ietaupījumu, bet arī uzturēšanas izdevumus. Tomēr nekur nav norādīta metodika kas tiek ņemts vērā aprēķinot uzturēšanas izdevums. Papildus, piekrītam FM norādītajam, ka provizoriskie ietaupījumi netiek aprēķināti pret esošo situāciju un nākotnes. Piemēram, saskaņā ar VARAM informāciju TM Vienotajā pieteikuma modelī ir integrējusi 10 portālus (vienlaikus norādāms, ka </w:t>
            </w:r>
            <w:hyperlink r:id="rId12" w:history="1">
              <w:r w:rsidRPr="00B57019">
                <w:rPr>
                  <w:rStyle w:val="Hyperlink"/>
                  <w:color w:val="auto"/>
                </w:rPr>
                <w:t>https://latvijasnotars.lv/</w:t>
              </w:r>
            </w:hyperlink>
            <w:r w:rsidRPr="00B57019">
              <w:t xml:space="preserve"> nav Tieslietu ministrijas portāls) un šis darbs ir paveikts, Tas turpmāk nerada potenciālus ietaupījumus kā arī izdevumus TM. Tāpat piemēram fakts, ka EIS sistēmā palielinās veikto iepirkumu skaits var nozīmēt tikai to, ka iespējamie slodžu ietaupījumi ir jāpārvieto darbam ar EIS sistēmu, kas ir pieaudzis ne tikai izstrādātāja un uzturētāja pusē, bet arī resora ietvaros. Papildus tam, EIS sistēma jau funkcionē vairākus gadus un TM resora iekšējās procedūras jau ilglaicīgi ir pārkārtotas atbilstoši elektroniskai sistēmai, neradot potenciālu cilvēkresursu un finansējuma ietaupījumu nākotnē.</w:t>
            </w:r>
          </w:p>
          <w:p w14:paraId="53521BAA" w14:textId="43CC75BE" w:rsidR="001B0756" w:rsidRPr="00B57019" w:rsidRDefault="001B0756" w:rsidP="001B0756">
            <w:pPr>
              <w:jc w:val="both"/>
            </w:pPr>
            <w:r w:rsidRPr="00B57019">
              <w:t xml:space="preserve">Tāpat norādām, ka nekorekti tiek rēķināts iespējamais ietaupījums Valsts un pašvaldību iestāžu tīmekļvietņu vienotās platformas ieviešanas gadījumā. Aprēķinā norādīts, ka reizi 5 gados tiek sludināts konkurss un izstrādāta (uzlabota) iestāžu mājaslapa. Norādām, ka nevienā no TM resora iestādēm nav izveidota amata vieta, lai tā savas funkcijas pildītu tikai reizi piecos gados. Līdz ar to šādas funkcijas vispārināšana izsakot ietaupījuma gadā, nav korekta. </w:t>
            </w:r>
          </w:p>
          <w:p w14:paraId="0FFC3794" w14:textId="15CDDFC7" w:rsidR="001B0756" w:rsidRPr="00B57019" w:rsidRDefault="672706A0" w:rsidP="001B0756">
            <w:pPr>
              <w:jc w:val="both"/>
            </w:pPr>
            <w:r w:rsidRPr="00B57019">
              <w:t>Norādām, arī, ka E-rēķinu aprites risinājuma aprēķinos izmantotais e-rēķinu skaita sadalījums starp iestādēm nav korekts (pieņemot, ka būs 120 (rēķini uz vienu iestādi), jo netiek ņemta vērā ne iestādes darba specifika, ne tās lielums u.tml. Piemēram piecas mazas iestāde kopumā var apstrādāt mazāk rēķinus kā viena liela, tomēr aprēķinā uz visiem tas tiek rēķināts vienādi.</w:t>
            </w:r>
          </w:p>
          <w:p w14:paraId="59ECF50B" w14:textId="77777777" w:rsidR="001B0756" w:rsidRPr="00B57019" w:rsidRDefault="001B0756" w:rsidP="001B0756">
            <w:pPr>
              <w:jc w:val="both"/>
            </w:pPr>
          </w:p>
          <w:p w14:paraId="72817D63" w14:textId="77777777" w:rsidR="001B0756" w:rsidRPr="00B57019" w:rsidRDefault="001B0756" w:rsidP="001B0756">
            <w:pPr>
              <w:jc w:val="both"/>
            </w:pPr>
            <w:r w:rsidRPr="00B57019">
              <w:t>VARAM aprēķinos norādītais amata slodžu ietaupījums ir drīzāk kā resora ieguvums, nevis ekonomiskais ietaupījums, ko būtu iespējams pārdalīt citām vajadzībām.</w:t>
            </w:r>
          </w:p>
          <w:p w14:paraId="6CB4295C" w14:textId="77777777" w:rsidR="001B0756" w:rsidRPr="00B57019" w:rsidRDefault="001B0756" w:rsidP="001B0756">
            <w:pPr>
              <w:jc w:val="both"/>
            </w:pPr>
          </w:p>
          <w:p w14:paraId="56A3ABED" w14:textId="77777777" w:rsidR="001B0756" w:rsidRPr="00B57019" w:rsidRDefault="001B0756" w:rsidP="001B0756">
            <w:pPr>
              <w:jc w:val="both"/>
            </w:pPr>
            <w:r w:rsidRPr="00B57019">
              <w:t>Jautājums par amata vietu palielināšanu VARAM noteikti ir skatāms arī kontekstā ar valsts pārvaldes reformu plānā 2020 ietvertajiem principiem samazināt amata vietu skaitu valsts pārvaldē. Papildus tam, vairāku IKT koplietošanas platformu uzturēšanai pie papildus nepieciešamajiem cilvēkresursiem VARAM norāda - esošo speciālistu aizvietošana. Savukārt  no resoriem tiek pieprasīta darbinieku samazināšana arī tad, ja uz visiem iestādē nodarbinātajiem vienas amata vietas daudzums samazinās par 0,23 vietām.</w:t>
            </w:r>
          </w:p>
          <w:p w14:paraId="60078687" w14:textId="77777777" w:rsidR="001B0756" w:rsidRPr="00B57019" w:rsidRDefault="001B0756" w:rsidP="001B0756">
            <w:pPr>
              <w:rPr>
                <w:b/>
                <w:bCs/>
              </w:rPr>
            </w:pPr>
          </w:p>
          <w:p w14:paraId="07F91ED5" w14:textId="77D3A03B" w:rsidR="00F653B9" w:rsidRPr="00B57019" w:rsidRDefault="001B0756" w:rsidP="000F56AE">
            <w:pPr>
              <w:jc w:val="both"/>
            </w:pPr>
            <w:r w:rsidRPr="00B57019">
              <w:t xml:space="preserve">Izvērtējot 6.pielikumu (aprēķinus) TM norāda, ka </w:t>
            </w:r>
            <w:r w:rsidRPr="00B57019">
              <w:rPr>
                <w:u w:val="single"/>
              </w:rPr>
              <w:t>šis nav aprēķins un pamatojums</w:t>
            </w:r>
            <w:r w:rsidRPr="00B57019">
              <w:t xml:space="preserve"> </w:t>
            </w:r>
            <w:r w:rsidRPr="00B57019">
              <w:rPr>
                <w:i/>
                <w:iCs/>
              </w:rPr>
              <w:t>aprēķinam administratīvo resursu ietaupījumam</w:t>
            </w:r>
            <w:r w:rsidRPr="00B57019">
              <w:t xml:space="preserve">, bet gan metodika (balstīta uz platformu lietojuma apmēru) pēc kuras esat secinājuši cik amata vietas no katra resora jūsuprāt būtu pārdalāmas. </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42DA11" w14:textId="77777777" w:rsidR="00EC5B70" w:rsidRPr="00B57019" w:rsidRDefault="000123C4" w:rsidP="00B03F98">
            <w:pPr>
              <w:pStyle w:val="PlainText"/>
              <w:jc w:val="both"/>
              <w:rPr>
                <w:rFonts w:ascii="Times New Roman" w:hAnsi="Times New Roman"/>
                <w:sz w:val="24"/>
                <w:szCs w:val="24"/>
              </w:rPr>
            </w:pPr>
            <w:r w:rsidRPr="00B57019">
              <w:rPr>
                <w:rFonts w:ascii="Times New Roman" w:hAnsi="Times New Roman"/>
                <w:b/>
                <w:bCs/>
                <w:sz w:val="24"/>
                <w:szCs w:val="24"/>
              </w:rPr>
              <w:t>Iebildums nav ņemts vērā</w:t>
            </w:r>
            <w:r w:rsidRPr="00B57019">
              <w:rPr>
                <w:rFonts w:ascii="Times New Roman" w:hAnsi="Times New Roman"/>
                <w:sz w:val="24"/>
                <w:szCs w:val="24"/>
              </w:rPr>
              <w:t>.</w:t>
            </w:r>
          </w:p>
          <w:p w14:paraId="67B499BC" w14:textId="77777777" w:rsidR="001E487D" w:rsidRPr="00B57019" w:rsidRDefault="001E487D" w:rsidP="001E487D">
            <w:pPr>
              <w:jc w:val="both"/>
            </w:pPr>
            <w:r w:rsidRPr="00B57019">
              <w:t>Var piekrist, ka aprēķini ir veikti par minimālajiem ietaupījumiem un patiesie ietaupījumi ir krietni lielāki, tomēr tos objektīvi aprēķināt nav iespējams, tādēļ ir aprēķināti identificējamie minimālie ietaupījumi.</w:t>
            </w:r>
          </w:p>
          <w:p w14:paraId="7E57BE74" w14:textId="77777777" w:rsidR="001E487D" w:rsidRPr="00B57019" w:rsidRDefault="001E487D" w:rsidP="001E487D">
            <w:pPr>
              <w:jc w:val="both"/>
            </w:pPr>
          </w:p>
          <w:p w14:paraId="073262BB" w14:textId="77777777" w:rsidR="001E487D" w:rsidRPr="00B57019" w:rsidRDefault="001E487D" w:rsidP="001E487D">
            <w:pPr>
              <w:jc w:val="both"/>
            </w:pPr>
          </w:p>
          <w:p w14:paraId="33024A6B" w14:textId="77777777" w:rsidR="001E487D" w:rsidRPr="00B57019" w:rsidRDefault="001E487D" w:rsidP="001E487D">
            <w:pPr>
              <w:jc w:val="both"/>
            </w:pPr>
          </w:p>
          <w:p w14:paraId="79EDC455" w14:textId="77777777" w:rsidR="001E487D" w:rsidRPr="00B57019" w:rsidRDefault="001E487D" w:rsidP="001E487D">
            <w:pPr>
              <w:jc w:val="both"/>
            </w:pPr>
          </w:p>
          <w:p w14:paraId="3191EC70" w14:textId="77777777" w:rsidR="001E487D" w:rsidRPr="00B57019" w:rsidRDefault="001E487D" w:rsidP="001E487D">
            <w:pPr>
              <w:jc w:val="both"/>
            </w:pPr>
          </w:p>
          <w:p w14:paraId="46284C65" w14:textId="77777777" w:rsidR="001E487D" w:rsidRPr="00B57019" w:rsidRDefault="001E487D" w:rsidP="001E487D">
            <w:pPr>
              <w:jc w:val="both"/>
            </w:pPr>
          </w:p>
          <w:p w14:paraId="13079204" w14:textId="77777777" w:rsidR="001E487D" w:rsidRPr="00B57019" w:rsidRDefault="001E487D" w:rsidP="001E487D">
            <w:pPr>
              <w:jc w:val="both"/>
            </w:pPr>
          </w:p>
          <w:p w14:paraId="24795655" w14:textId="77777777" w:rsidR="001E487D" w:rsidRPr="00B57019" w:rsidRDefault="001E487D" w:rsidP="001E487D">
            <w:pPr>
              <w:jc w:val="both"/>
            </w:pPr>
          </w:p>
          <w:p w14:paraId="5DF1BB2A" w14:textId="77777777" w:rsidR="001E487D" w:rsidRPr="00B57019" w:rsidRDefault="001E487D" w:rsidP="001E487D">
            <w:pPr>
              <w:jc w:val="both"/>
            </w:pPr>
          </w:p>
          <w:p w14:paraId="1DA6349E" w14:textId="77777777" w:rsidR="001E487D" w:rsidRPr="00B57019" w:rsidRDefault="001E487D" w:rsidP="001E487D">
            <w:pPr>
              <w:jc w:val="both"/>
            </w:pPr>
          </w:p>
          <w:p w14:paraId="0C3D5CA1" w14:textId="77777777" w:rsidR="001E487D" w:rsidRPr="00B57019" w:rsidRDefault="001E487D" w:rsidP="001E487D">
            <w:pPr>
              <w:jc w:val="both"/>
            </w:pPr>
          </w:p>
          <w:p w14:paraId="29174E0D" w14:textId="77777777" w:rsidR="001E487D" w:rsidRPr="00B57019" w:rsidRDefault="001E487D" w:rsidP="001E487D">
            <w:pPr>
              <w:jc w:val="both"/>
            </w:pPr>
          </w:p>
          <w:p w14:paraId="7E1A2016" w14:textId="77777777" w:rsidR="001E487D" w:rsidRPr="00B57019" w:rsidRDefault="001E487D" w:rsidP="001E487D">
            <w:pPr>
              <w:jc w:val="both"/>
            </w:pPr>
          </w:p>
          <w:p w14:paraId="4B4DE440" w14:textId="77777777" w:rsidR="001E487D" w:rsidRPr="00B57019" w:rsidRDefault="001E487D" w:rsidP="001E487D">
            <w:pPr>
              <w:jc w:val="both"/>
            </w:pPr>
          </w:p>
          <w:p w14:paraId="063A59A0" w14:textId="77777777" w:rsidR="001E487D" w:rsidRPr="00B57019" w:rsidRDefault="001E487D" w:rsidP="001E487D">
            <w:pPr>
              <w:jc w:val="both"/>
            </w:pPr>
          </w:p>
          <w:p w14:paraId="078CF199" w14:textId="77777777" w:rsidR="001E487D" w:rsidRPr="00B57019" w:rsidRDefault="001E487D" w:rsidP="001E487D">
            <w:pPr>
              <w:jc w:val="both"/>
            </w:pPr>
          </w:p>
          <w:p w14:paraId="451D1CF9" w14:textId="77777777" w:rsidR="001E487D" w:rsidRPr="00B57019" w:rsidRDefault="001E487D" w:rsidP="001E487D">
            <w:pPr>
              <w:jc w:val="both"/>
            </w:pPr>
          </w:p>
          <w:p w14:paraId="08ED649C" w14:textId="77777777" w:rsidR="001E487D" w:rsidRPr="00B57019" w:rsidRDefault="001E487D" w:rsidP="001E487D">
            <w:pPr>
              <w:jc w:val="both"/>
            </w:pPr>
          </w:p>
          <w:p w14:paraId="16397A95" w14:textId="77777777" w:rsidR="001E487D" w:rsidRPr="00B57019" w:rsidRDefault="001E487D" w:rsidP="001E487D">
            <w:pPr>
              <w:jc w:val="both"/>
            </w:pPr>
          </w:p>
          <w:p w14:paraId="36206BAA" w14:textId="77777777" w:rsidR="001E487D" w:rsidRPr="00B57019" w:rsidRDefault="001E487D" w:rsidP="001E487D">
            <w:pPr>
              <w:jc w:val="both"/>
            </w:pPr>
          </w:p>
          <w:p w14:paraId="14CF21D1" w14:textId="77777777" w:rsidR="001E487D" w:rsidRPr="00B57019" w:rsidRDefault="001E487D" w:rsidP="001E487D">
            <w:pPr>
              <w:jc w:val="both"/>
            </w:pPr>
          </w:p>
          <w:p w14:paraId="69510638" w14:textId="77777777" w:rsidR="001E487D" w:rsidRPr="00B57019" w:rsidRDefault="001E487D" w:rsidP="001E487D">
            <w:pPr>
              <w:jc w:val="both"/>
            </w:pPr>
          </w:p>
          <w:p w14:paraId="6468947E" w14:textId="77777777" w:rsidR="001E487D" w:rsidRPr="00B57019" w:rsidRDefault="001E487D" w:rsidP="001E487D">
            <w:pPr>
              <w:jc w:val="both"/>
            </w:pPr>
          </w:p>
          <w:p w14:paraId="1B15932C" w14:textId="77777777" w:rsidR="001E487D" w:rsidRPr="00B57019" w:rsidRDefault="001E487D" w:rsidP="001E487D">
            <w:pPr>
              <w:jc w:val="both"/>
            </w:pPr>
          </w:p>
          <w:p w14:paraId="25BBB9F4" w14:textId="77777777" w:rsidR="001E487D" w:rsidRPr="00B57019" w:rsidRDefault="001E487D" w:rsidP="001E487D">
            <w:pPr>
              <w:jc w:val="both"/>
            </w:pPr>
          </w:p>
          <w:p w14:paraId="2DD99D9C" w14:textId="77777777" w:rsidR="001E487D" w:rsidRPr="00B57019" w:rsidRDefault="001E487D" w:rsidP="001E487D">
            <w:pPr>
              <w:jc w:val="both"/>
            </w:pPr>
          </w:p>
          <w:p w14:paraId="10802698" w14:textId="77777777" w:rsidR="001E487D" w:rsidRPr="00B57019" w:rsidRDefault="001E487D" w:rsidP="001E487D">
            <w:pPr>
              <w:jc w:val="both"/>
            </w:pPr>
          </w:p>
          <w:p w14:paraId="1F553C2F" w14:textId="77777777" w:rsidR="001E487D" w:rsidRPr="00B57019" w:rsidRDefault="001E487D" w:rsidP="001E487D">
            <w:pPr>
              <w:jc w:val="both"/>
            </w:pPr>
          </w:p>
          <w:p w14:paraId="23F29BEF" w14:textId="77777777" w:rsidR="001E487D" w:rsidRPr="00B57019" w:rsidRDefault="001E487D" w:rsidP="001E487D">
            <w:pPr>
              <w:jc w:val="both"/>
            </w:pPr>
          </w:p>
          <w:p w14:paraId="2D54F6E4" w14:textId="77777777" w:rsidR="001E487D" w:rsidRPr="00B57019" w:rsidRDefault="001E487D" w:rsidP="001E487D">
            <w:pPr>
              <w:jc w:val="both"/>
            </w:pPr>
          </w:p>
          <w:p w14:paraId="2F906537" w14:textId="77777777" w:rsidR="001E487D" w:rsidRPr="00B57019" w:rsidRDefault="001E487D" w:rsidP="001E487D">
            <w:pPr>
              <w:jc w:val="both"/>
            </w:pPr>
          </w:p>
          <w:p w14:paraId="5187C765" w14:textId="77777777" w:rsidR="001E487D" w:rsidRPr="00B57019" w:rsidRDefault="001E487D" w:rsidP="001E487D">
            <w:pPr>
              <w:jc w:val="both"/>
            </w:pPr>
          </w:p>
          <w:p w14:paraId="60F9546B" w14:textId="77777777" w:rsidR="001E487D" w:rsidRPr="00B57019" w:rsidRDefault="001E487D" w:rsidP="001E487D">
            <w:pPr>
              <w:jc w:val="both"/>
            </w:pPr>
          </w:p>
          <w:p w14:paraId="582867D5" w14:textId="77777777" w:rsidR="001E487D" w:rsidRPr="00B57019" w:rsidRDefault="001E487D" w:rsidP="001E487D">
            <w:pPr>
              <w:jc w:val="both"/>
            </w:pPr>
          </w:p>
          <w:p w14:paraId="212443DA" w14:textId="77777777" w:rsidR="001E487D" w:rsidRPr="00B57019" w:rsidRDefault="001E487D" w:rsidP="001E487D">
            <w:pPr>
              <w:jc w:val="both"/>
            </w:pPr>
          </w:p>
          <w:p w14:paraId="074BC423" w14:textId="77777777" w:rsidR="001E487D" w:rsidRPr="00B57019" w:rsidRDefault="001E487D" w:rsidP="001E487D">
            <w:pPr>
              <w:jc w:val="both"/>
            </w:pPr>
          </w:p>
          <w:p w14:paraId="00B02033" w14:textId="77777777" w:rsidR="001E487D" w:rsidRPr="00B57019" w:rsidRDefault="001E487D" w:rsidP="001E487D">
            <w:pPr>
              <w:jc w:val="both"/>
            </w:pPr>
          </w:p>
          <w:p w14:paraId="7FD001D1" w14:textId="77777777" w:rsidR="001E487D" w:rsidRPr="00B57019" w:rsidRDefault="001E487D" w:rsidP="001E487D">
            <w:pPr>
              <w:jc w:val="both"/>
            </w:pPr>
          </w:p>
          <w:p w14:paraId="69E29F18" w14:textId="77777777" w:rsidR="001E487D" w:rsidRPr="00B57019" w:rsidRDefault="001E487D" w:rsidP="001E487D">
            <w:pPr>
              <w:jc w:val="both"/>
            </w:pPr>
          </w:p>
          <w:p w14:paraId="35FE3DF3" w14:textId="77777777" w:rsidR="001E487D" w:rsidRPr="00B57019" w:rsidRDefault="001E487D" w:rsidP="001E487D">
            <w:pPr>
              <w:jc w:val="both"/>
            </w:pPr>
          </w:p>
          <w:p w14:paraId="759B7222" w14:textId="77777777" w:rsidR="001E487D" w:rsidRPr="00B57019" w:rsidRDefault="001E487D" w:rsidP="001E487D">
            <w:pPr>
              <w:jc w:val="both"/>
            </w:pPr>
          </w:p>
          <w:p w14:paraId="677680E7" w14:textId="77777777" w:rsidR="001E487D" w:rsidRPr="00B57019" w:rsidRDefault="001E487D" w:rsidP="001E487D">
            <w:pPr>
              <w:jc w:val="both"/>
            </w:pPr>
          </w:p>
          <w:p w14:paraId="483C162D" w14:textId="77777777" w:rsidR="001E487D" w:rsidRPr="00B57019" w:rsidRDefault="001E487D" w:rsidP="001E487D">
            <w:pPr>
              <w:jc w:val="both"/>
            </w:pPr>
          </w:p>
          <w:p w14:paraId="442BAAA4" w14:textId="77777777" w:rsidR="001E487D" w:rsidRPr="00B57019" w:rsidRDefault="001E487D" w:rsidP="001E487D">
            <w:pPr>
              <w:jc w:val="both"/>
            </w:pPr>
          </w:p>
          <w:p w14:paraId="5A3E3DCD" w14:textId="77777777" w:rsidR="001E487D" w:rsidRPr="00B57019" w:rsidRDefault="001E487D" w:rsidP="001E487D">
            <w:pPr>
              <w:jc w:val="both"/>
            </w:pPr>
          </w:p>
          <w:p w14:paraId="20D5D4B7" w14:textId="77777777" w:rsidR="001E487D" w:rsidRPr="00B57019" w:rsidRDefault="001E487D" w:rsidP="001E487D">
            <w:pPr>
              <w:jc w:val="both"/>
            </w:pPr>
          </w:p>
          <w:p w14:paraId="464E31E5" w14:textId="77777777" w:rsidR="001E487D" w:rsidRPr="00B57019" w:rsidRDefault="001E487D" w:rsidP="001E487D">
            <w:pPr>
              <w:jc w:val="both"/>
            </w:pPr>
          </w:p>
          <w:p w14:paraId="40DCE79F" w14:textId="77777777" w:rsidR="001E487D" w:rsidRPr="00B57019" w:rsidRDefault="001E487D" w:rsidP="001E487D">
            <w:pPr>
              <w:jc w:val="both"/>
            </w:pPr>
          </w:p>
          <w:p w14:paraId="75AE98E6" w14:textId="77777777" w:rsidR="001E487D" w:rsidRPr="00B57019" w:rsidRDefault="001E487D" w:rsidP="001E487D">
            <w:pPr>
              <w:jc w:val="both"/>
            </w:pPr>
          </w:p>
          <w:p w14:paraId="462C9D1A" w14:textId="77777777" w:rsidR="001E487D" w:rsidRPr="00B57019" w:rsidRDefault="001E487D" w:rsidP="001E487D">
            <w:pPr>
              <w:jc w:val="both"/>
            </w:pPr>
          </w:p>
          <w:p w14:paraId="3893B780" w14:textId="77777777" w:rsidR="001E487D" w:rsidRPr="00B57019" w:rsidRDefault="001E487D" w:rsidP="001E487D">
            <w:pPr>
              <w:jc w:val="both"/>
            </w:pPr>
          </w:p>
          <w:p w14:paraId="15F3872A" w14:textId="77777777" w:rsidR="001E487D" w:rsidRPr="00B57019" w:rsidRDefault="001E487D" w:rsidP="001E487D">
            <w:pPr>
              <w:jc w:val="both"/>
            </w:pPr>
          </w:p>
          <w:p w14:paraId="3A950BAF" w14:textId="77777777" w:rsidR="001E487D" w:rsidRPr="00B57019" w:rsidRDefault="001E487D" w:rsidP="001E487D">
            <w:pPr>
              <w:jc w:val="both"/>
            </w:pPr>
          </w:p>
          <w:p w14:paraId="02EDFF9C" w14:textId="77777777" w:rsidR="001E487D" w:rsidRPr="00B57019" w:rsidRDefault="001E487D" w:rsidP="001E487D">
            <w:pPr>
              <w:jc w:val="both"/>
            </w:pPr>
          </w:p>
          <w:p w14:paraId="7F73BEA3" w14:textId="77777777" w:rsidR="001E487D" w:rsidRPr="00B57019" w:rsidRDefault="001E487D" w:rsidP="001E487D">
            <w:pPr>
              <w:jc w:val="both"/>
            </w:pPr>
          </w:p>
          <w:p w14:paraId="1665718D" w14:textId="77777777" w:rsidR="001E487D" w:rsidRPr="00B57019" w:rsidRDefault="001E487D" w:rsidP="001E487D">
            <w:pPr>
              <w:jc w:val="both"/>
            </w:pPr>
          </w:p>
          <w:p w14:paraId="4CC1DBDB" w14:textId="77777777" w:rsidR="001E487D" w:rsidRPr="00B57019" w:rsidRDefault="001E487D" w:rsidP="001E487D">
            <w:pPr>
              <w:jc w:val="both"/>
            </w:pPr>
          </w:p>
          <w:p w14:paraId="441C2BC9" w14:textId="77777777" w:rsidR="001E487D" w:rsidRPr="00B57019" w:rsidRDefault="001E487D" w:rsidP="001E487D">
            <w:pPr>
              <w:jc w:val="both"/>
            </w:pPr>
          </w:p>
          <w:p w14:paraId="07C8A5F3" w14:textId="77777777" w:rsidR="001E487D" w:rsidRPr="00B57019" w:rsidRDefault="001E487D" w:rsidP="001E487D">
            <w:pPr>
              <w:jc w:val="both"/>
            </w:pPr>
          </w:p>
          <w:p w14:paraId="37930C48" w14:textId="77777777" w:rsidR="001E487D" w:rsidRPr="00B57019" w:rsidRDefault="001E487D" w:rsidP="001E487D">
            <w:pPr>
              <w:jc w:val="both"/>
            </w:pPr>
          </w:p>
          <w:p w14:paraId="1F4AF80E" w14:textId="77777777" w:rsidR="001E487D" w:rsidRPr="00B57019" w:rsidRDefault="001E487D" w:rsidP="001E487D">
            <w:pPr>
              <w:jc w:val="both"/>
            </w:pPr>
          </w:p>
          <w:p w14:paraId="1A1AF905" w14:textId="77777777" w:rsidR="001E487D" w:rsidRPr="00B57019" w:rsidRDefault="001E487D" w:rsidP="001E487D">
            <w:pPr>
              <w:jc w:val="both"/>
            </w:pPr>
          </w:p>
          <w:p w14:paraId="17CFF6AE" w14:textId="77777777" w:rsidR="001E487D" w:rsidRPr="00B57019" w:rsidRDefault="001E487D" w:rsidP="001E487D">
            <w:pPr>
              <w:jc w:val="both"/>
            </w:pPr>
          </w:p>
          <w:p w14:paraId="20373E17" w14:textId="77777777" w:rsidR="001E487D" w:rsidRPr="00B57019" w:rsidRDefault="001E487D" w:rsidP="001E487D">
            <w:pPr>
              <w:jc w:val="both"/>
            </w:pPr>
          </w:p>
          <w:p w14:paraId="0255B9C6" w14:textId="77777777" w:rsidR="001E487D" w:rsidRPr="00B57019" w:rsidRDefault="001E487D" w:rsidP="001E487D">
            <w:pPr>
              <w:jc w:val="both"/>
            </w:pPr>
          </w:p>
          <w:p w14:paraId="2DC483FF" w14:textId="77777777" w:rsidR="001E487D" w:rsidRPr="00B57019" w:rsidRDefault="001E487D" w:rsidP="001E487D">
            <w:pPr>
              <w:jc w:val="both"/>
            </w:pPr>
          </w:p>
          <w:p w14:paraId="6708A7C7" w14:textId="77777777" w:rsidR="001E487D" w:rsidRPr="00B57019" w:rsidRDefault="001E487D" w:rsidP="001E487D">
            <w:pPr>
              <w:jc w:val="both"/>
            </w:pPr>
          </w:p>
          <w:p w14:paraId="52195B7A" w14:textId="77777777" w:rsidR="001E487D" w:rsidRPr="00B57019" w:rsidRDefault="001E487D" w:rsidP="001E487D">
            <w:pPr>
              <w:jc w:val="both"/>
            </w:pPr>
          </w:p>
          <w:p w14:paraId="31D73D86" w14:textId="77777777" w:rsidR="001E487D" w:rsidRPr="00B57019" w:rsidRDefault="001E487D" w:rsidP="001E487D">
            <w:pPr>
              <w:jc w:val="both"/>
            </w:pPr>
          </w:p>
          <w:p w14:paraId="29600E3B" w14:textId="77777777" w:rsidR="001E487D" w:rsidRPr="00B57019" w:rsidRDefault="001E487D" w:rsidP="001E487D">
            <w:pPr>
              <w:jc w:val="both"/>
            </w:pPr>
          </w:p>
          <w:p w14:paraId="650EAB06" w14:textId="77777777" w:rsidR="001E487D" w:rsidRPr="00B57019" w:rsidRDefault="001E487D" w:rsidP="001E487D">
            <w:pPr>
              <w:jc w:val="both"/>
            </w:pPr>
          </w:p>
          <w:p w14:paraId="7EC3EADB" w14:textId="77777777" w:rsidR="001E487D" w:rsidRPr="00B57019" w:rsidRDefault="001E487D" w:rsidP="001E487D">
            <w:pPr>
              <w:jc w:val="both"/>
            </w:pPr>
          </w:p>
          <w:p w14:paraId="3D15C00E" w14:textId="77777777" w:rsidR="001E487D" w:rsidRPr="00B57019" w:rsidRDefault="001E487D" w:rsidP="001E487D">
            <w:pPr>
              <w:jc w:val="both"/>
            </w:pPr>
          </w:p>
          <w:p w14:paraId="0675B387" w14:textId="77777777" w:rsidR="001E487D" w:rsidRPr="00B57019" w:rsidRDefault="001E487D" w:rsidP="001E487D">
            <w:pPr>
              <w:jc w:val="both"/>
            </w:pPr>
          </w:p>
          <w:p w14:paraId="6C74FEBC" w14:textId="77777777" w:rsidR="001E487D" w:rsidRPr="00B57019" w:rsidRDefault="001E487D" w:rsidP="001E487D">
            <w:pPr>
              <w:jc w:val="both"/>
            </w:pPr>
          </w:p>
          <w:p w14:paraId="5F5D5114" w14:textId="77777777" w:rsidR="001E487D" w:rsidRPr="00B57019" w:rsidRDefault="001E487D" w:rsidP="001E487D">
            <w:pPr>
              <w:jc w:val="both"/>
            </w:pPr>
          </w:p>
          <w:p w14:paraId="19FC63EE" w14:textId="77777777" w:rsidR="001E487D" w:rsidRPr="00B57019" w:rsidRDefault="001E487D" w:rsidP="001E487D">
            <w:pPr>
              <w:jc w:val="both"/>
            </w:pPr>
          </w:p>
          <w:p w14:paraId="02925803" w14:textId="77777777" w:rsidR="001E487D" w:rsidRPr="00B57019" w:rsidRDefault="001E487D" w:rsidP="001E487D">
            <w:pPr>
              <w:jc w:val="both"/>
            </w:pPr>
          </w:p>
          <w:p w14:paraId="4347278F" w14:textId="77777777" w:rsidR="001E487D" w:rsidRPr="00B57019" w:rsidRDefault="001E487D" w:rsidP="001E487D">
            <w:pPr>
              <w:jc w:val="both"/>
            </w:pPr>
          </w:p>
          <w:p w14:paraId="1BC562D5" w14:textId="77777777" w:rsidR="001E487D" w:rsidRPr="00B57019" w:rsidRDefault="001E487D" w:rsidP="001E487D">
            <w:pPr>
              <w:jc w:val="both"/>
            </w:pPr>
          </w:p>
          <w:p w14:paraId="7E6D539A" w14:textId="77777777" w:rsidR="001E487D" w:rsidRPr="00B57019" w:rsidRDefault="001E487D" w:rsidP="001E487D">
            <w:pPr>
              <w:jc w:val="both"/>
            </w:pPr>
          </w:p>
          <w:p w14:paraId="432D2D10" w14:textId="77777777" w:rsidR="001E487D" w:rsidRPr="00B57019" w:rsidRDefault="001E487D" w:rsidP="001E487D">
            <w:pPr>
              <w:jc w:val="both"/>
            </w:pPr>
          </w:p>
          <w:p w14:paraId="37268ADE" w14:textId="77777777" w:rsidR="001E487D" w:rsidRPr="00B57019" w:rsidRDefault="001E487D" w:rsidP="001E487D">
            <w:pPr>
              <w:jc w:val="both"/>
            </w:pPr>
          </w:p>
          <w:p w14:paraId="420C04D6" w14:textId="77777777" w:rsidR="001E487D" w:rsidRPr="00B57019" w:rsidRDefault="001E487D" w:rsidP="001E487D">
            <w:pPr>
              <w:pStyle w:val="CommentText"/>
              <w:jc w:val="both"/>
              <w:rPr>
                <w:sz w:val="24"/>
                <w:szCs w:val="24"/>
              </w:rPr>
            </w:pPr>
            <w:r w:rsidRPr="00B57019">
              <w:rPr>
                <w:sz w:val="24"/>
                <w:szCs w:val="24"/>
              </w:rPr>
              <w:t>Ja šajos portālos būtu jānodrošina autentifikācija tajā apjomā, ko nodrošina Vienotās pieteikšanās modulis:</w:t>
            </w:r>
            <w:r w:rsidRPr="00B57019">
              <w:rPr>
                <w:sz w:val="24"/>
                <w:szCs w:val="24"/>
              </w:rPr>
              <w:br/>
              <w:t>1) būtu jānodrošina līgumu slēgšana ar kredītiestādēm (pie tam, gadījumā, ja tāds līgums tiktu slēgts decentralizēti, banka piemērotu pakalpojuma maksu);</w:t>
            </w:r>
          </w:p>
          <w:p w14:paraId="6222553D" w14:textId="59BB0D1A" w:rsidR="001E487D" w:rsidRPr="00B57019" w:rsidRDefault="001E487D" w:rsidP="001E487D">
            <w:pPr>
              <w:pStyle w:val="CommentText"/>
              <w:jc w:val="both"/>
              <w:rPr>
                <w:sz w:val="24"/>
                <w:szCs w:val="24"/>
              </w:rPr>
            </w:pPr>
            <w:r w:rsidRPr="00B57019">
              <w:rPr>
                <w:sz w:val="24"/>
                <w:szCs w:val="24"/>
              </w:rPr>
              <w:t>2) būtu jānodrošina integrācija ar visiem autentifikācijas sniedzējiem (vairāk kā 10) nevis vienu (VPM), kā tas ir pašlaik. Minētais apgalvojums neatbilst situācijai.</w:t>
            </w:r>
          </w:p>
          <w:p w14:paraId="5A2CFAA5" w14:textId="77777777" w:rsidR="001E487D" w:rsidRPr="00B57019" w:rsidRDefault="001E487D" w:rsidP="001E487D">
            <w:pPr>
              <w:jc w:val="both"/>
            </w:pPr>
          </w:p>
          <w:p w14:paraId="0A9884F4" w14:textId="77777777" w:rsidR="001E487D" w:rsidRPr="00B57019" w:rsidRDefault="001E487D" w:rsidP="001E487D">
            <w:pPr>
              <w:jc w:val="both"/>
            </w:pPr>
          </w:p>
          <w:p w14:paraId="18314588" w14:textId="77777777" w:rsidR="001E487D" w:rsidRPr="00B57019" w:rsidRDefault="001E487D" w:rsidP="001E487D">
            <w:pPr>
              <w:jc w:val="both"/>
            </w:pPr>
          </w:p>
          <w:p w14:paraId="3545316C" w14:textId="77777777" w:rsidR="001E487D" w:rsidRPr="00B57019" w:rsidRDefault="001E487D" w:rsidP="001E487D">
            <w:pPr>
              <w:jc w:val="both"/>
            </w:pPr>
          </w:p>
          <w:p w14:paraId="3A85CCDC" w14:textId="77777777" w:rsidR="001E487D" w:rsidRPr="00B57019" w:rsidRDefault="001E487D" w:rsidP="001E487D">
            <w:pPr>
              <w:jc w:val="both"/>
            </w:pPr>
          </w:p>
          <w:p w14:paraId="3A10D87B" w14:textId="0EB7CDCC" w:rsidR="001E487D" w:rsidRPr="00B57019" w:rsidRDefault="001E487D" w:rsidP="001E487D">
            <w:pPr>
              <w:pStyle w:val="CommentText"/>
              <w:jc w:val="both"/>
              <w:rPr>
                <w:sz w:val="24"/>
                <w:szCs w:val="24"/>
              </w:rPr>
            </w:pPr>
          </w:p>
          <w:p w14:paraId="334DC83E" w14:textId="3C5ED1B1" w:rsidR="001E487D" w:rsidRPr="00B57019" w:rsidRDefault="005057E8" w:rsidP="001E487D">
            <w:pPr>
              <w:pStyle w:val="CommentText"/>
              <w:jc w:val="both"/>
              <w:rPr>
                <w:sz w:val="24"/>
                <w:szCs w:val="24"/>
              </w:rPr>
            </w:pPr>
            <w:r w:rsidRPr="00B57019">
              <w:rPr>
                <w:rStyle w:val="normaltextrun"/>
                <w:sz w:val="24"/>
                <w:szCs w:val="24"/>
                <w:shd w:val="clear" w:color="auto" w:fill="FFFFFF"/>
              </w:rPr>
              <w:t>Vēršam uzmanību, ka nav definēts amata vietu ietaupījums, bet gan patērēt</w:t>
            </w:r>
            <w:r w:rsidR="001D6A7D" w:rsidRPr="00B57019">
              <w:rPr>
                <w:rStyle w:val="normaltextrun"/>
                <w:sz w:val="24"/>
                <w:szCs w:val="24"/>
                <w:shd w:val="clear" w:color="auto" w:fill="FFFFFF"/>
              </w:rPr>
              <w:t>ais</w:t>
            </w:r>
            <w:r w:rsidRPr="00B57019">
              <w:rPr>
                <w:rStyle w:val="normaltextrun"/>
                <w:sz w:val="24"/>
                <w:szCs w:val="24"/>
                <w:shd w:val="clear" w:color="auto" w:fill="FFFFFF"/>
              </w:rPr>
              <w:t> </w:t>
            </w:r>
            <w:r w:rsidRPr="00B57019">
              <w:rPr>
                <w:rStyle w:val="spellingerror"/>
                <w:sz w:val="24"/>
                <w:szCs w:val="24"/>
                <w:shd w:val="clear" w:color="auto" w:fill="FFFFFF"/>
              </w:rPr>
              <w:t>cilvēkresurss</w:t>
            </w:r>
            <w:r w:rsidRPr="00B57019">
              <w:rPr>
                <w:rStyle w:val="normaltextrun"/>
                <w:sz w:val="24"/>
                <w:szCs w:val="24"/>
                <w:shd w:val="clear" w:color="auto" w:fill="FFFFFF"/>
              </w:rPr>
              <w:t>, kas būtu jāpatērē, ja tas netiktu risināts centralizēti.</w:t>
            </w:r>
            <w:r w:rsidRPr="00B57019">
              <w:rPr>
                <w:rStyle w:val="eop"/>
                <w:sz w:val="24"/>
                <w:szCs w:val="24"/>
                <w:shd w:val="clear" w:color="auto" w:fill="FFFFFF"/>
              </w:rPr>
              <w:t> </w:t>
            </w:r>
          </w:p>
          <w:p w14:paraId="5CAA2822" w14:textId="77777777" w:rsidR="001E487D" w:rsidRPr="00B57019" w:rsidRDefault="001E487D" w:rsidP="001E487D">
            <w:pPr>
              <w:jc w:val="both"/>
            </w:pPr>
          </w:p>
          <w:p w14:paraId="06D2971E" w14:textId="77777777" w:rsidR="001E487D" w:rsidRPr="00B57019" w:rsidRDefault="001E487D" w:rsidP="001E487D">
            <w:pPr>
              <w:jc w:val="both"/>
            </w:pPr>
          </w:p>
          <w:p w14:paraId="57FC098D" w14:textId="77777777" w:rsidR="001E487D" w:rsidRPr="00B57019" w:rsidRDefault="001E487D" w:rsidP="001E487D">
            <w:pPr>
              <w:jc w:val="both"/>
            </w:pPr>
          </w:p>
          <w:p w14:paraId="7B075424" w14:textId="77777777" w:rsidR="001E487D" w:rsidRPr="00B57019" w:rsidRDefault="001E487D" w:rsidP="001E487D">
            <w:pPr>
              <w:jc w:val="both"/>
            </w:pPr>
          </w:p>
          <w:p w14:paraId="6333D4D3" w14:textId="77777777" w:rsidR="001E487D" w:rsidRPr="00B57019" w:rsidRDefault="001E487D" w:rsidP="001E487D">
            <w:pPr>
              <w:jc w:val="both"/>
            </w:pPr>
          </w:p>
          <w:p w14:paraId="56788448" w14:textId="77777777" w:rsidR="001E487D" w:rsidRPr="00B57019" w:rsidRDefault="001E487D" w:rsidP="001E487D">
            <w:pPr>
              <w:jc w:val="both"/>
            </w:pPr>
          </w:p>
          <w:p w14:paraId="6877B1FE" w14:textId="77777777" w:rsidR="001E487D" w:rsidRPr="00B57019" w:rsidRDefault="001E487D" w:rsidP="001E487D">
            <w:pPr>
              <w:jc w:val="both"/>
            </w:pPr>
          </w:p>
          <w:p w14:paraId="52F4566F" w14:textId="77777777" w:rsidR="001E487D" w:rsidRPr="00B57019" w:rsidRDefault="001E487D" w:rsidP="001E487D">
            <w:pPr>
              <w:jc w:val="both"/>
            </w:pPr>
          </w:p>
          <w:p w14:paraId="02A4AF27" w14:textId="77777777" w:rsidR="001E487D" w:rsidRPr="00B57019" w:rsidRDefault="001E487D" w:rsidP="001E487D">
            <w:pPr>
              <w:jc w:val="both"/>
            </w:pPr>
          </w:p>
          <w:p w14:paraId="02E021F2" w14:textId="77777777" w:rsidR="001E487D" w:rsidRPr="00B57019" w:rsidRDefault="001E487D" w:rsidP="001E487D">
            <w:pPr>
              <w:jc w:val="both"/>
            </w:pPr>
          </w:p>
          <w:p w14:paraId="6B82EBEC" w14:textId="77777777" w:rsidR="001E487D" w:rsidRPr="00B57019" w:rsidRDefault="001E487D" w:rsidP="001E487D">
            <w:pPr>
              <w:jc w:val="both"/>
            </w:pPr>
          </w:p>
          <w:p w14:paraId="18A1B79D" w14:textId="77777777" w:rsidR="001E487D" w:rsidRPr="00B57019" w:rsidRDefault="001E487D" w:rsidP="001E487D">
            <w:pPr>
              <w:jc w:val="both"/>
            </w:pPr>
          </w:p>
          <w:p w14:paraId="0F0DD030" w14:textId="77777777" w:rsidR="001E487D" w:rsidRPr="00B57019" w:rsidRDefault="001E487D" w:rsidP="001E487D">
            <w:pPr>
              <w:jc w:val="both"/>
            </w:pPr>
          </w:p>
          <w:p w14:paraId="1FF88639" w14:textId="77777777" w:rsidR="001E487D" w:rsidRPr="00B57019" w:rsidRDefault="001E487D" w:rsidP="001E487D">
            <w:pPr>
              <w:jc w:val="both"/>
            </w:pPr>
          </w:p>
          <w:p w14:paraId="0BE8A297" w14:textId="77777777" w:rsidR="00E422D3" w:rsidRPr="00B57019" w:rsidRDefault="00E422D3" w:rsidP="00E422D3">
            <w:pPr>
              <w:pStyle w:val="CommentText"/>
              <w:jc w:val="both"/>
              <w:rPr>
                <w:sz w:val="24"/>
                <w:szCs w:val="24"/>
              </w:rPr>
            </w:pPr>
            <w:r w:rsidRPr="00B57019">
              <w:rPr>
                <w:sz w:val="24"/>
                <w:szCs w:val="24"/>
              </w:rPr>
              <w:t>Var piekrist, ka rēķinu skaits (10 rēķini mēnesī uz iestādi) ir minimāls, tomēr šī ziņojuma mērķis nav apzināt rēķinu skaitu, kas tiek apstrādāts valsts pārvaldē, bet gan pamatot to, ka ieviešamais e-rēkinu risinājums rada ietaupījumus rēķinu apstrādē.</w:t>
            </w:r>
          </w:p>
          <w:p w14:paraId="76B241A9" w14:textId="77777777" w:rsidR="00E422D3" w:rsidRPr="00B57019" w:rsidRDefault="00E422D3" w:rsidP="00E422D3">
            <w:pPr>
              <w:pStyle w:val="CommentText"/>
              <w:jc w:val="both"/>
              <w:rPr>
                <w:sz w:val="24"/>
                <w:szCs w:val="24"/>
              </w:rPr>
            </w:pPr>
          </w:p>
          <w:p w14:paraId="19C71B29" w14:textId="77777777" w:rsidR="000F56AE" w:rsidRPr="00B57019" w:rsidRDefault="000F56AE" w:rsidP="007A278F">
            <w:pPr>
              <w:pStyle w:val="CommentText"/>
              <w:jc w:val="both"/>
              <w:rPr>
                <w:sz w:val="24"/>
                <w:szCs w:val="24"/>
              </w:rPr>
            </w:pPr>
          </w:p>
          <w:p w14:paraId="0669C1E6" w14:textId="77777777" w:rsidR="000F56AE" w:rsidRPr="00B57019" w:rsidRDefault="000F56AE" w:rsidP="007A278F">
            <w:pPr>
              <w:pStyle w:val="CommentText"/>
              <w:jc w:val="both"/>
              <w:rPr>
                <w:sz w:val="24"/>
                <w:szCs w:val="24"/>
              </w:rPr>
            </w:pPr>
          </w:p>
          <w:p w14:paraId="22404B68" w14:textId="77777777" w:rsidR="000F56AE" w:rsidRPr="00B57019" w:rsidRDefault="000F56AE" w:rsidP="007A278F">
            <w:pPr>
              <w:pStyle w:val="CommentText"/>
              <w:jc w:val="both"/>
              <w:rPr>
                <w:sz w:val="24"/>
                <w:szCs w:val="24"/>
              </w:rPr>
            </w:pPr>
          </w:p>
          <w:p w14:paraId="149B7F3B" w14:textId="5BE73B3E" w:rsidR="001E487D" w:rsidRPr="00B57019" w:rsidRDefault="00E422D3" w:rsidP="007A278F">
            <w:pPr>
              <w:pStyle w:val="CommentText"/>
              <w:jc w:val="both"/>
            </w:pPr>
            <w:r w:rsidRPr="00B57019">
              <w:rPr>
                <w:sz w:val="24"/>
                <w:szCs w:val="24"/>
              </w:rPr>
              <w:t>Resoru ieguvumu sniedz VRAA nodrošinātie risinājumi.</w:t>
            </w:r>
          </w:p>
          <w:p w14:paraId="4D81C379" w14:textId="77777777" w:rsidR="001E487D" w:rsidRPr="00B57019" w:rsidRDefault="001E487D" w:rsidP="001E487D">
            <w:pPr>
              <w:jc w:val="both"/>
            </w:pPr>
          </w:p>
          <w:p w14:paraId="0634D965" w14:textId="77777777" w:rsidR="001E487D" w:rsidRPr="00B57019" w:rsidRDefault="001E487D" w:rsidP="001E487D">
            <w:pPr>
              <w:jc w:val="both"/>
            </w:pPr>
          </w:p>
          <w:p w14:paraId="3484A267" w14:textId="77777777" w:rsidR="001E487D" w:rsidRPr="00B57019" w:rsidRDefault="001E487D" w:rsidP="001E487D">
            <w:pPr>
              <w:jc w:val="both"/>
            </w:pPr>
          </w:p>
          <w:p w14:paraId="5F57116C" w14:textId="77777777" w:rsidR="001E487D" w:rsidRPr="00B57019" w:rsidRDefault="001E487D" w:rsidP="001E487D">
            <w:pPr>
              <w:jc w:val="both"/>
            </w:pPr>
          </w:p>
          <w:p w14:paraId="2A444B6E" w14:textId="77777777" w:rsidR="001E487D" w:rsidRPr="00B57019" w:rsidRDefault="001E487D" w:rsidP="001E487D">
            <w:pPr>
              <w:jc w:val="both"/>
            </w:pPr>
          </w:p>
          <w:p w14:paraId="190E83B8" w14:textId="77777777" w:rsidR="001E487D" w:rsidRPr="00B57019" w:rsidRDefault="001E487D" w:rsidP="001E487D">
            <w:pPr>
              <w:jc w:val="both"/>
            </w:pPr>
          </w:p>
          <w:p w14:paraId="5CDFEBA1" w14:textId="77777777" w:rsidR="001E487D" w:rsidRPr="00B57019" w:rsidRDefault="001E487D" w:rsidP="001E487D">
            <w:pPr>
              <w:jc w:val="both"/>
            </w:pPr>
          </w:p>
          <w:p w14:paraId="155F6BC3" w14:textId="77777777" w:rsidR="001E487D" w:rsidRPr="00B57019" w:rsidRDefault="001E487D" w:rsidP="001E487D">
            <w:pPr>
              <w:jc w:val="both"/>
            </w:pPr>
          </w:p>
          <w:p w14:paraId="08B5DD61" w14:textId="77777777" w:rsidR="001E487D" w:rsidRPr="00B57019" w:rsidRDefault="001E487D" w:rsidP="001E487D">
            <w:pPr>
              <w:jc w:val="both"/>
            </w:pPr>
          </w:p>
          <w:p w14:paraId="032BFD0E" w14:textId="77777777" w:rsidR="001E487D" w:rsidRPr="00B57019" w:rsidRDefault="001E487D" w:rsidP="001E487D">
            <w:pPr>
              <w:jc w:val="both"/>
            </w:pPr>
          </w:p>
          <w:p w14:paraId="4997A2D4" w14:textId="77777777" w:rsidR="001E487D" w:rsidRPr="00B57019" w:rsidRDefault="001E487D" w:rsidP="001E487D">
            <w:pPr>
              <w:jc w:val="both"/>
            </w:pPr>
          </w:p>
          <w:p w14:paraId="594E8751" w14:textId="77777777" w:rsidR="001E487D" w:rsidRPr="00B57019" w:rsidRDefault="001E487D" w:rsidP="001E487D">
            <w:pPr>
              <w:jc w:val="both"/>
            </w:pPr>
          </w:p>
          <w:p w14:paraId="34AA1946" w14:textId="77777777" w:rsidR="001E487D" w:rsidRPr="00B57019" w:rsidRDefault="001E487D" w:rsidP="001E487D">
            <w:pPr>
              <w:jc w:val="both"/>
            </w:pPr>
          </w:p>
          <w:p w14:paraId="7C986D04" w14:textId="77777777" w:rsidR="001E487D" w:rsidRPr="00B57019" w:rsidRDefault="001E487D" w:rsidP="001E487D">
            <w:pPr>
              <w:jc w:val="both"/>
            </w:pPr>
          </w:p>
          <w:p w14:paraId="7E9B2371" w14:textId="77777777" w:rsidR="001E487D" w:rsidRPr="00B57019" w:rsidRDefault="001E487D" w:rsidP="001E487D">
            <w:pPr>
              <w:jc w:val="both"/>
            </w:pPr>
          </w:p>
          <w:p w14:paraId="20ABA2F5" w14:textId="77777777" w:rsidR="001E487D" w:rsidRPr="00B57019" w:rsidRDefault="001E487D" w:rsidP="001E487D">
            <w:pPr>
              <w:jc w:val="both"/>
            </w:pPr>
          </w:p>
          <w:p w14:paraId="7397630C" w14:textId="77777777" w:rsidR="001E487D" w:rsidRPr="00B57019" w:rsidRDefault="001E487D" w:rsidP="001E487D">
            <w:pPr>
              <w:jc w:val="both"/>
            </w:pPr>
          </w:p>
          <w:p w14:paraId="11BFBF98" w14:textId="77777777" w:rsidR="001E487D" w:rsidRPr="00B57019" w:rsidRDefault="001E487D" w:rsidP="001E487D">
            <w:pPr>
              <w:jc w:val="both"/>
            </w:pPr>
          </w:p>
          <w:p w14:paraId="0425E3FE" w14:textId="77777777" w:rsidR="001E487D" w:rsidRPr="00B57019" w:rsidRDefault="001E487D" w:rsidP="001E487D">
            <w:pPr>
              <w:jc w:val="both"/>
            </w:pPr>
          </w:p>
          <w:p w14:paraId="3CA83C79" w14:textId="77777777" w:rsidR="001E487D" w:rsidRPr="00B57019" w:rsidRDefault="001E487D" w:rsidP="001E487D">
            <w:pPr>
              <w:jc w:val="both"/>
            </w:pPr>
          </w:p>
          <w:p w14:paraId="1D24C673" w14:textId="77777777" w:rsidR="001E487D" w:rsidRPr="00B57019" w:rsidRDefault="001E487D" w:rsidP="001E487D">
            <w:pPr>
              <w:jc w:val="both"/>
            </w:pPr>
          </w:p>
          <w:p w14:paraId="26DDF11C" w14:textId="77777777" w:rsidR="001E487D" w:rsidRPr="00B57019" w:rsidRDefault="001E487D" w:rsidP="001E487D">
            <w:pPr>
              <w:jc w:val="both"/>
            </w:pPr>
          </w:p>
          <w:p w14:paraId="2B779604" w14:textId="77777777" w:rsidR="001E487D" w:rsidRPr="00B57019" w:rsidRDefault="001E487D" w:rsidP="001E487D">
            <w:pPr>
              <w:jc w:val="both"/>
            </w:pPr>
          </w:p>
          <w:p w14:paraId="25C2DEF0" w14:textId="77777777" w:rsidR="001E487D" w:rsidRPr="00B57019" w:rsidRDefault="001E487D" w:rsidP="001E487D">
            <w:pPr>
              <w:jc w:val="both"/>
            </w:pPr>
          </w:p>
          <w:p w14:paraId="3FEF5B9A" w14:textId="77777777" w:rsidR="001E487D" w:rsidRPr="00B57019" w:rsidRDefault="001E487D" w:rsidP="001E487D">
            <w:pPr>
              <w:jc w:val="both"/>
            </w:pPr>
          </w:p>
          <w:p w14:paraId="5C9A088C" w14:textId="77777777" w:rsidR="001E487D" w:rsidRPr="00B57019" w:rsidRDefault="001E487D" w:rsidP="001E487D">
            <w:pPr>
              <w:jc w:val="both"/>
            </w:pPr>
          </w:p>
          <w:p w14:paraId="1C46C864" w14:textId="77777777" w:rsidR="001E487D" w:rsidRPr="00B57019" w:rsidRDefault="001E487D" w:rsidP="001E487D">
            <w:pPr>
              <w:jc w:val="both"/>
            </w:pPr>
          </w:p>
          <w:p w14:paraId="62825C86" w14:textId="77777777" w:rsidR="001E487D" w:rsidRPr="00B57019" w:rsidRDefault="001E487D" w:rsidP="001E487D">
            <w:pPr>
              <w:jc w:val="both"/>
            </w:pPr>
          </w:p>
          <w:p w14:paraId="3E24635C" w14:textId="77777777" w:rsidR="001E487D" w:rsidRPr="00B57019" w:rsidRDefault="001E487D" w:rsidP="001E487D">
            <w:pPr>
              <w:jc w:val="both"/>
            </w:pPr>
          </w:p>
          <w:p w14:paraId="1504A2BB" w14:textId="77777777" w:rsidR="001E487D" w:rsidRPr="00B57019" w:rsidRDefault="001E487D" w:rsidP="001E487D">
            <w:pPr>
              <w:jc w:val="both"/>
            </w:pPr>
          </w:p>
          <w:p w14:paraId="6DE39F65" w14:textId="77777777" w:rsidR="001E487D" w:rsidRPr="00B57019" w:rsidRDefault="001E487D" w:rsidP="001E487D">
            <w:pPr>
              <w:jc w:val="both"/>
            </w:pPr>
          </w:p>
          <w:p w14:paraId="5066E020" w14:textId="77777777" w:rsidR="001E487D" w:rsidRPr="00B57019" w:rsidRDefault="001E487D" w:rsidP="001E487D">
            <w:pPr>
              <w:jc w:val="both"/>
            </w:pPr>
          </w:p>
          <w:p w14:paraId="15B0FDF9" w14:textId="77777777" w:rsidR="001E487D" w:rsidRPr="00B57019" w:rsidRDefault="001E487D" w:rsidP="001E487D">
            <w:pPr>
              <w:jc w:val="both"/>
            </w:pPr>
          </w:p>
          <w:p w14:paraId="7B207AF6" w14:textId="38061BA1" w:rsidR="001E487D" w:rsidRPr="00B57019" w:rsidRDefault="001E487D" w:rsidP="00B03F98">
            <w:pPr>
              <w:pStyle w:val="PlainText"/>
              <w:jc w:val="both"/>
              <w:rPr>
                <w:rFonts w:ascii="Times New Roman" w:hAnsi="Times New Roman"/>
                <w:b/>
                <w:sz w:val="24"/>
                <w:szCs w:val="24"/>
                <w:lang w:val="lv-LV"/>
              </w:rPr>
            </w:pP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663E083C" w14:textId="77777777" w:rsidR="000F59CF" w:rsidRPr="00B57019" w:rsidRDefault="000F59CF" w:rsidP="009851F7">
            <w:pPr>
              <w:jc w:val="both"/>
            </w:pPr>
          </w:p>
          <w:p w14:paraId="74CED896" w14:textId="77777777" w:rsidR="000F59CF" w:rsidRPr="00B57019" w:rsidRDefault="000F59CF" w:rsidP="009851F7">
            <w:pPr>
              <w:jc w:val="both"/>
            </w:pPr>
          </w:p>
          <w:p w14:paraId="3E57D6D2" w14:textId="77777777" w:rsidR="000F59CF" w:rsidRPr="00B57019" w:rsidRDefault="000F59CF" w:rsidP="009851F7">
            <w:pPr>
              <w:jc w:val="both"/>
            </w:pPr>
          </w:p>
          <w:p w14:paraId="4AD91885" w14:textId="77777777" w:rsidR="000F59CF" w:rsidRPr="00B57019" w:rsidRDefault="000F59CF" w:rsidP="009851F7">
            <w:pPr>
              <w:jc w:val="both"/>
            </w:pPr>
          </w:p>
          <w:p w14:paraId="058E852E" w14:textId="77777777" w:rsidR="000F59CF" w:rsidRPr="00B57019" w:rsidRDefault="000F59CF" w:rsidP="009851F7">
            <w:pPr>
              <w:jc w:val="both"/>
            </w:pPr>
          </w:p>
          <w:p w14:paraId="4797E78A" w14:textId="77777777" w:rsidR="000F59CF" w:rsidRPr="00B57019" w:rsidRDefault="000F59CF" w:rsidP="009851F7">
            <w:pPr>
              <w:jc w:val="both"/>
            </w:pPr>
          </w:p>
          <w:p w14:paraId="299A6AF5" w14:textId="77777777" w:rsidR="000F59CF" w:rsidRPr="00B57019" w:rsidRDefault="000F59CF" w:rsidP="009851F7">
            <w:pPr>
              <w:jc w:val="both"/>
            </w:pPr>
          </w:p>
          <w:p w14:paraId="2405F9F8" w14:textId="77777777" w:rsidR="000F59CF" w:rsidRPr="00B57019" w:rsidRDefault="000F59CF" w:rsidP="009851F7">
            <w:pPr>
              <w:jc w:val="both"/>
            </w:pPr>
          </w:p>
          <w:p w14:paraId="14536514" w14:textId="77777777" w:rsidR="000F59CF" w:rsidRPr="00B57019" w:rsidRDefault="000F59CF" w:rsidP="009851F7">
            <w:pPr>
              <w:jc w:val="both"/>
            </w:pPr>
          </w:p>
          <w:p w14:paraId="5E597CC4" w14:textId="77777777" w:rsidR="000F59CF" w:rsidRPr="00B57019" w:rsidRDefault="000F59CF" w:rsidP="009851F7">
            <w:pPr>
              <w:jc w:val="both"/>
            </w:pPr>
          </w:p>
          <w:p w14:paraId="2A145681" w14:textId="77777777" w:rsidR="000F59CF" w:rsidRPr="00B57019" w:rsidRDefault="000F59CF" w:rsidP="009851F7">
            <w:pPr>
              <w:jc w:val="both"/>
            </w:pPr>
          </w:p>
          <w:p w14:paraId="69474A88" w14:textId="77777777" w:rsidR="000F59CF" w:rsidRPr="00B57019" w:rsidRDefault="000F59CF" w:rsidP="009851F7">
            <w:pPr>
              <w:jc w:val="both"/>
            </w:pPr>
          </w:p>
          <w:p w14:paraId="6F034208" w14:textId="77777777" w:rsidR="000F59CF" w:rsidRPr="00B57019" w:rsidRDefault="000F59CF" w:rsidP="009851F7">
            <w:pPr>
              <w:jc w:val="both"/>
            </w:pPr>
          </w:p>
          <w:p w14:paraId="6B092C0F" w14:textId="77777777" w:rsidR="000F59CF" w:rsidRPr="00B57019" w:rsidRDefault="000F59CF" w:rsidP="009851F7">
            <w:pPr>
              <w:jc w:val="both"/>
            </w:pPr>
          </w:p>
          <w:p w14:paraId="59EC1EBA" w14:textId="77777777" w:rsidR="000F59CF" w:rsidRPr="00B57019" w:rsidRDefault="000F59CF" w:rsidP="009851F7">
            <w:pPr>
              <w:jc w:val="both"/>
            </w:pPr>
          </w:p>
          <w:p w14:paraId="5263B955" w14:textId="77777777" w:rsidR="000F59CF" w:rsidRPr="00B57019" w:rsidRDefault="000F59CF" w:rsidP="009851F7">
            <w:pPr>
              <w:jc w:val="both"/>
            </w:pPr>
          </w:p>
          <w:p w14:paraId="56C9E412" w14:textId="77777777" w:rsidR="000F59CF" w:rsidRPr="00B57019" w:rsidRDefault="000F59CF" w:rsidP="009851F7">
            <w:pPr>
              <w:jc w:val="both"/>
            </w:pPr>
          </w:p>
          <w:p w14:paraId="1A3F597D" w14:textId="77777777" w:rsidR="000F59CF" w:rsidRPr="00B57019" w:rsidRDefault="000F59CF" w:rsidP="009851F7">
            <w:pPr>
              <w:jc w:val="both"/>
            </w:pPr>
          </w:p>
          <w:p w14:paraId="0B58C6D0" w14:textId="77777777" w:rsidR="000F59CF" w:rsidRPr="00B57019" w:rsidRDefault="000F59CF" w:rsidP="009851F7">
            <w:pPr>
              <w:jc w:val="both"/>
            </w:pPr>
          </w:p>
          <w:p w14:paraId="67CFC817" w14:textId="77777777" w:rsidR="000F59CF" w:rsidRPr="00B57019" w:rsidRDefault="000F59CF" w:rsidP="009851F7">
            <w:pPr>
              <w:jc w:val="both"/>
            </w:pPr>
          </w:p>
          <w:p w14:paraId="293C12D8" w14:textId="77777777" w:rsidR="000F59CF" w:rsidRPr="00B57019" w:rsidRDefault="000F59CF" w:rsidP="009851F7">
            <w:pPr>
              <w:jc w:val="both"/>
            </w:pPr>
          </w:p>
          <w:p w14:paraId="00AB9EF2" w14:textId="77777777" w:rsidR="000F59CF" w:rsidRPr="00B57019" w:rsidRDefault="000F59CF" w:rsidP="009851F7">
            <w:pPr>
              <w:jc w:val="both"/>
            </w:pPr>
          </w:p>
          <w:p w14:paraId="52FD5F69" w14:textId="77777777" w:rsidR="000F59CF" w:rsidRPr="00B57019" w:rsidRDefault="000F59CF" w:rsidP="009851F7">
            <w:pPr>
              <w:jc w:val="both"/>
            </w:pPr>
          </w:p>
          <w:p w14:paraId="5D423382" w14:textId="77777777" w:rsidR="000F59CF" w:rsidRPr="00B57019" w:rsidRDefault="000F59CF" w:rsidP="009851F7">
            <w:pPr>
              <w:jc w:val="both"/>
            </w:pPr>
          </w:p>
          <w:p w14:paraId="4FBEEAE7" w14:textId="77777777" w:rsidR="000F59CF" w:rsidRPr="00B57019" w:rsidRDefault="000F59CF" w:rsidP="009851F7">
            <w:pPr>
              <w:jc w:val="both"/>
            </w:pPr>
          </w:p>
          <w:p w14:paraId="6A46703D" w14:textId="77777777" w:rsidR="000F59CF" w:rsidRPr="00B57019" w:rsidRDefault="000F59CF" w:rsidP="009851F7">
            <w:pPr>
              <w:jc w:val="both"/>
            </w:pPr>
          </w:p>
          <w:p w14:paraId="2B4CC993" w14:textId="77777777" w:rsidR="000F59CF" w:rsidRPr="00B57019" w:rsidRDefault="000F59CF" w:rsidP="009851F7">
            <w:pPr>
              <w:jc w:val="both"/>
            </w:pPr>
          </w:p>
          <w:p w14:paraId="3BDDD815" w14:textId="77777777" w:rsidR="000F59CF" w:rsidRPr="00B57019" w:rsidRDefault="000F59CF" w:rsidP="009851F7">
            <w:pPr>
              <w:jc w:val="both"/>
            </w:pPr>
          </w:p>
          <w:p w14:paraId="48B762A3" w14:textId="77777777" w:rsidR="000F59CF" w:rsidRPr="00B57019" w:rsidRDefault="000F59CF" w:rsidP="009851F7">
            <w:pPr>
              <w:jc w:val="both"/>
            </w:pPr>
          </w:p>
          <w:p w14:paraId="3E4FEC38" w14:textId="77777777" w:rsidR="000F59CF" w:rsidRPr="00B57019" w:rsidRDefault="000F59CF" w:rsidP="009851F7">
            <w:pPr>
              <w:jc w:val="both"/>
            </w:pPr>
          </w:p>
          <w:p w14:paraId="1B25F47E" w14:textId="77777777" w:rsidR="000F59CF" w:rsidRPr="00B57019" w:rsidRDefault="000F59CF" w:rsidP="009851F7">
            <w:pPr>
              <w:jc w:val="both"/>
            </w:pPr>
          </w:p>
          <w:p w14:paraId="1A213894" w14:textId="77777777" w:rsidR="000F59CF" w:rsidRPr="00B57019" w:rsidRDefault="000F59CF" w:rsidP="009851F7">
            <w:pPr>
              <w:jc w:val="both"/>
            </w:pPr>
          </w:p>
          <w:p w14:paraId="07843F17" w14:textId="77777777" w:rsidR="000F59CF" w:rsidRPr="00B57019" w:rsidRDefault="000F59CF" w:rsidP="009851F7">
            <w:pPr>
              <w:jc w:val="both"/>
            </w:pPr>
          </w:p>
          <w:p w14:paraId="7775071B" w14:textId="77777777" w:rsidR="000F59CF" w:rsidRPr="00B57019" w:rsidRDefault="000F59CF" w:rsidP="009851F7">
            <w:pPr>
              <w:jc w:val="both"/>
            </w:pPr>
          </w:p>
          <w:p w14:paraId="5F9E8806" w14:textId="77777777" w:rsidR="000F59CF" w:rsidRPr="00B57019" w:rsidRDefault="000F59CF" w:rsidP="009851F7">
            <w:pPr>
              <w:jc w:val="both"/>
            </w:pPr>
          </w:p>
          <w:p w14:paraId="5FD539B3" w14:textId="77777777" w:rsidR="000F59CF" w:rsidRPr="00B57019" w:rsidRDefault="000F59CF" w:rsidP="009851F7">
            <w:pPr>
              <w:jc w:val="both"/>
            </w:pPr>
          </w:p>
          <w:p w14:paraId="12137AF8" w14:textId="77777777" w:rsidR="000F59CF" w:rsidRPr="00B57019" w:rsidRDefault="000F59CF" w:rsidP="009851F7">
            <w:pPr>
              <w:jc w:val="both"/>
            </w:pPr>
          </w:p>
          <w:p w14:paraId="10614800" w14:textId="77777777" w:rsidR="000F59CF" w:rsidRPr="00B57019" w:rsidRDefault="000F59CF" w:rsidP="009851F7">
            <w:pPr>
              <w:jc w:val="both"/>
            </w:pPr>
          </w:p>
          <w:p w14:paraId="7F13DB8C" w14:textId="77777777" w:rsidR="000F59CF" w:rsidRPr="00B57019" w:rsidRDefault="000F59CF" w:rsidP="009851F7">
            <w:pPr>
              <w:jc w:val="both"/>
            </w:pPr>
          </w:p>
          <w:p w14:paraId="37DA88DD" w14:textId="77777777" w:rsidR="000F59CF" w:rsidRPr="00B57019" w:rsidRDefault="000F59CF" w:rsidP="009851F7">
            <w:pPr>
              <w:jc w:val="both"/>
            </w:pPr>
          </w:p>
          <w:p w14:paraId="55C15BA1" w14:textId="77777777" w:rsidR="000F59CF" w:rsidRPr="00B57019" w:rsidRDefault="000F59CF" w:rsidP="009851F7">
            <w:pPr>
              <w:jc w:val="both"/>
            </w:pPr>
          </w:p>
          <w:p w14:paraId="75E5050E" w14:textId="77777777" w:rsidR="000F59CF" w:rsidRPr="00B57019" w:rsidRDefault="000F59CF" w:rsidP="009851F7">
            <w:pPr>
              <w:jc w:val="both"/>
            </w:pPr>
          </w:p>
          <w:p w14:paraId="6DFFD48E" w14:textId="77777777" w:rsidR="000F59CF" w:rsidRPr="00B57019" w:rsidRDefault="000F59CF" w:rsidP="009851F7">
            <w:pPr>
              <w:jc w:val="both"/>
            </w:pPr>
          </w:p>
          <w:p w14:paraId="0A8A5023" w14:textId="77777777" w:rsidR="000F59CF" w:rsidRPr="00B57019" w:rsidRDefault="000F59CF" w:rsidP="009851F7">
            <w:pPr>
              <w:jc w:val="both"/>
            </w:pPr>
          </w:p>
          <w:p w14:paraId="77310EA0" w14:textId="77777777" w:rsidR="000F59CF" w:rsidRPr="00B57019" w:rsidRDefault="000F59CF" w:rsidP="009851F7">
            <w:pPr>
              <w:jc w:val="both"/>
            </w:pPr>
          </w:p>
          <w:p w14:paraId="300B0E01" w14:textId="77777777" w:rsidR="000F59CF" w:rsidRPr="00B57019" w:rsidRDefault="000F59CF" w:rsidP="009851F7">
            <w:pPr>
              <w:jc w:val="both"/>
            </w:pPr>
          </w:p>
          <w:p w14:paraId="33251C33" w14:textId="77777777" w:rsidR="000F59CF" w:rsidRPr="00B57019" w:rsidRDefault="000F59CF" w:rsidP="009851F7">
            <w:pPr>
              <w:jc w:val="both"/>
            </w:pPr>
          </w:p>
          <w:p w14:paraId="31B79038" w14:textId="77777777" w:rsidR="000F59CF" w:rsidRPr="00B57019" w:rsidRDefault="000F59CF" w:rsidP="009851F7">
            <w:pPr>
              <w:jc w:val="both"/>
            </w:pPr>
          </w:p>
          <w:p w14:paraId="6A2476F4" w14:textId="77777777" w:rsidR="000F59CF" w:rsidRPr="00B57019" w:rsidRDefault="000F59CF" w:rsidP="009851F7">
            <w:pPr>
              <w:jc w:val="both"/>
            </w:pPr>
          </w:p>
          <w:p w14:paraId="13F45AD7" w14:textId="77777777" w:rsidR="000F59CF" w:rsidRPr="00B57019" w:rsidRDefault="000F59CF" w:rsidP="009851F7">
            <w:pPr>
              <w:jc w:val="both"/>
            </w:pPr>
          </w:p>
          <w:p w14:paraId="204DA8AC" w14:textId="77777777" w:rsidR="000F59CF" w:rsidRPr="00B57019" w:rsidRDefault="000F59CF" w:rsidP="009851F7">
            <w:pPr>
              <w:jc w:val="both"/>
            </w:pPr>
          </w:p>
          <w:p w14:paraId="5E4C9BA9" w14:textId="77777777" w:rsidR="000F59CF" w:rsidRPr="00B57019" w:rsidRDefault="000F59CF" w:rsidP="009851F7">
            <w:pPr>
              <w:jc w:val="both"/>
            </w:pPr>
          </w:p>
          <w:p w14:paraId="3BFC7FAE" w14:textId="77777777" w:rsidR="000F59CF" w:rsidRPr="00B57019" w:rsidRDefault="000F59CF" w:rsidP="009851F7">
            <w:pPr>
              <w:jc w:val="both"/>
            </w:pPr>
          </w:p>
          <w:p w14:paraId="60BB1585" w14:textId="77777777" w:rsidR="000F59CF" w:rsidRPr="00B57019" w:rsidRDefault="000F59CF" w:rsidP="009851F7">
            <w:pPr>
              <w:jc w:val="both"/>
            </w:pPr>
          </w:p>
          <w:p w14:paraId="04356AF5" w14:textId="77777777" w:rsidR="000F59CF" w:rsidRPr="00B57019" w:rsidRDefault="000F59CF" w:rsidP="009851F7">
            <w:pPr>
              <w:jc w:val="both"/>
            </w:pPr>
          </w:p>
          <w:p w14:paraId="1054F21A" w14:textId="77777777" w:rsidR="000F59CF" w:rsidRPr="00B57019" w:rsidRDefault="000F59CF" w:rsidP="009851F7">
            <w:pPr>
              <w:jc w:val="both"/>
            </w:pPr>
          </w:p>
          <w:p w14:paraId="25D892A8" w14:textId="77777777" w:rsidR="000F59CF" w:rsidRPr="00B57019" w:rsidRDefault="000F59CF" w:rsidP="009851F7">
            <w:pPr>
              <w:jc w:val="both"/>
            </w:pPr>
          </w:p>
          <w:p w14:paraId="007F0E41" w14:textId="77777777" w:rsidR="000F59CF" w:rsidRPr="00B57019" w:rsidRDefault="000F59CF" w:rsidP="009851F7">
            <w:pPr>
              <w:jc w:val="both"/>
            </w:pPr>
          </w:p>
          <w:p w14:paraId="25527136" w14:textId="77777777" w:rsidR="000F59CF" w:rsidRPr="00B57019" w:rsidRDefault="000F59CF" w:rsidP="009851F7">
            <w:pPr>
              <w:jc w:val="both"/>
            </w:pPr>
          </w:p>
          <w:p w14:paraId="66CDF4CA" w14:textId="77777777" w:rsidR="000F59CF" w:rsidRPr="00B57019" w:rsidRDefault="000F59CF" w:rsidP="009851F7">
            <w:pPr>
              <w:jc w:val="both"/>
            </w:pPr>
          </w:p>
          <w:p w14:paraId="0634DC5D" w14:textId="77777777" w:rsidR="000F59CF" w:rsidRPr="00B57019" w:rsidRDefault="000F59CF" w:rsidP="009851F7">
            <w:pPr>
              <w:jc w:val="both"/>
            </w:pPr>
          </w:p>
          <w:p w14:paraId="34F69807" w14:textId="77777777" w:rsidR="000F59CF" w:rsidRPr="00B57019" w:rsidRDefault="000F59CF" w:rsidP="009851F7">
            <w:pPr>
              <w:jc w:val="both"/>
            </w:pPr>
          </w:p>
          <w:p w14:paraId="73331FE1" w14:textId="77777777" w:rsidR="000F59CF" w:rsidRPr="00B57019" w:rsidRDefault="000F59CF" w:rsidP="009851F7">
            <w:pPr>
              <w:jc w:val="both"/>
            </w:pPr>
          </w:p>
          <w:p w14:paraId="0B5AE4B1" w14:textId="77777777" w:rsidR="000F59CF" w:rsidRPr="00B57019" w:rsidRDefault="000F59CF" w:rsidP="009851F7">
            <w:pPr>
              <w:jc w:val="both"/>
            </w:pPr>
          </w:p>
          <w:p w14:paraId="390407C8" w14:textId="77777777" w:rsidR="000F59CF" w:rsidRPr="00B57019" w:rsidRDefault="000F59CF" w:rsidP="009851F7">
            <w:pPr>
              <w:jc w:val="both"/>
            </w:pPr>
          </w:p>
          <w:p w14:paraId="6AAB674F" w14:textId="77777777" w:rsidR="000F59CF" w:rsidRPr="00B57019" w:rsidRDefault="000F59CF" w:rsidP="009851F7">
            <w:pPr>
              <w:jc w:val="both"/>
            </w:pPr>
          </w:p>
          <w:p w14:paraId="4CA731DE" w14:textId="77777777" w:rsidR="000F59CF" w:rsidRPr="00B57019" w:rsidRDefault="000F59CF" w:rsidP="009851F7">
            <w:pPr>
              <w:jc w:val="both"/>
            </w:pPr>
          </w:p>
          <w:p w14:paraId="4530E844" w14:textId="77777777" w:rsidR="000F59CF" w:rsidRPr="00B57019" w:rsidRDefault="000F59CF" w:rsidP="009851F7">
            <w:pPr>
              <w:jc w:val="both"/>
            </w:pPr>
          </w:p>
          <w:p w14:paraId="004B51A6" w14:textId="77777777" w:rsidR="000F59CF" w:rsidRPr="00B57019" w:rsidRDefault="000F59CF" w:rsidP="009851F7">
            <w:pPr>
              <w:jc w:val="both"/>
            </w:pPr>
          </w:p>
          <w:p w14:paraId="6487F1B8" w14:textId="77777777" w:rsidR="000F59CF" w:rsidRPr="00B57019" w:rsidRDefault="000F59CF" w:rsidP="009851F7">
            <w:pPr>
              <w:jc w:val="both"/>
            </w:pPr>
          </w:p>
          <w:p w14:paraId="4E510453" w14:textId="77777777" w:rsidR="000F59CF" w:rsidRPr="00B57019" w:rsidRDefault="000F59CF" w:rsidP="009851F7">
            <w:pPr>
              <w:jc w:val="both"/>
            </w:pPr>
          </w:p>
          <w:p w14:paraId="151FBC45" w14:textId="77777777" w:rsidR="000F59CF" w:rsidRPr="00B57019" w:rsidRDefault="000F59CF" w:rsidP="009851F7">
            <w:pPr>
              <w:jc w:val="both"/>
            </w:pPr>
          </w:p>
          <w:p w14:paraId="7D866DEB" w14:textId="77777777" w:rsidR="000F59CF" w:rsidRPr="00B57019" w:rsidRDefault="000F59CF" w:rsidP="009851F7">
            <w:pPr>
              <w:jc w:val="both"/>
            </w:pPr>
          </w:p>
          <w:p w14:paraId="2933BBD2" w14:textId="77777777" w:rsidR="000F59CF" w:rsidRPr="00B57019" w:rsidRDefault="000F59CF" w:rsidP="009851F7">
            <w:pPr>
              <w:jc w:val="both"/>
            </w:pPr>
          </w:p>
          <w:p w14:paraId="40B92D0C" w14:textId="77777777" w:rsidR="000F59CF" w:rsidRPr="00B57019" w:rsidRDefault="000F59CF" w:rsidP="009851F7">
            <w:pPr>
              <w:jc w:val="both"/>
            </w:pPr>
          </w:p>
          <w:p w14:paraId="1B020352" w14:textId="77777777" w:rsidR="000F59CF" w:rsidRPr="00B57019" w:rsidRDefault="000F59CF" w:rsidP="009851F7">
            <w:pPr>
              <w:jc w:val="both"/>
            </w:pPr>
          </w:p>
          <w:p w14:paraId="37463216" w14:textId="77777777" w:rsidR="000F59CF" w:rsidRPr="00B57019" w:rsidRDefault="000F59CF" w:rsidP="009851F7">
            <w:pPr>
              <w:jc w:val="both"/>
            </w:pPr>
          </w:p>
          <w:p w14:paraId="1AFC52E8" w14:textId="77777777" w:rsidR="000F59CF" w:rsidRPr="00B57019" w:rsidRDefault="000F59CF" w:rsidP="009851F7">
            <w:pPr>
              <w:jc w:val="both"/>
            </w:pPr>
          </w:p>
          <w:p w14:paraId="5D054ABF" w14:textId="77777777" w:rsidR="000F59CF" w:rsidRPr="00B57019" w:rsidRDefault="000F59CF" w:rsidP="009851F7">
            <w:pPr>
              <w:jc w:val="both"/>
            </w:pPr>
          </w:p>
          <w:p w14:paraId="2F1171A1" w14:textId="77777777" w:rsidR="000F59CF" w:rsidRPr="00B57019" w:rsidRDefault="000F59CF" w:rsidP="009851F7">
            <w:pPr>
              <w:jc w:val="both"/>
            </w:pPr>
          </w:p>
          <w:p w14:paraId="4B410B13" w14:textId="77777777" w:rsidR="000F59CF" w:rsidRPr="00B57019" w:rsidRDefault="000F59CF" w:rsidP="000F59CF">
            <w:pPr>
              <w:jc w:val="both"/>
            </w:pPr>
          </w:p>
          <w:p w14:paraId="38A1EC0E" w14:textId="77777777" w:rsidR="0016240A" w:rsidRPr="00B57019" w:rsidRDefault="0016240A" w:rsidP="000F59CF">
            <w:pPr>
              <w:pStyle w:val="CommentText"/>
              <w:jc w:val="both"/>
              <w:rPr>
                <w:sz w:val="24"/>
                <w:szCs w:val="24"/>
              </w:rPr>
            </w:pPr>
          </w:p>
          <w:p w14:paraId="36E99C7E" w14:textId="77777777" w:rsidR="0016240A" w:rsidRPr="00B57019" w:rsidRDefault="0016240A" w:rsidP="000F59CF">
            <w:pPr>
              <w:pStyle w:val="CommentText"/>
              <w:jc w:val="both"/>
              <w:rPr>
                <w:sz w:val="24"/>
                <w:szCs w:val="24"/>
              </w:rPr>
            </w:pPr>
          </w:p>
          <w:p w14:paraId="3B256B96" w14:textId="77777777" w:rsidR="0016240A" w:rsidRPr="00B57019" w:rsidRDefault="0016240A" w:rsidP="000F59CF">
            <w:pPr>
              <w:pStyle w:val="CommentText"/>
              <w:jc w:val="both"/>
              <w:rPr>
                <w:sz w:val="24"/>
                <w:szCs w:val="24"/>
              </w:rPr>
            </w:pPr>
          </w:p>
          <w:p w14:paraId="259D1CDB" w14:textId="77777777" w:rsidR="0016240A" w:rsidRPr="00B57019" w:rsidRDefault="0016240A" w:rsidP="000F59CF">
            <w:pPr>
              <w:pStyle w:val="CommentText"/>
              <w:jc w:val="both"/>
              <w:rPr>
                <w:sz w:val="24"/>
                <w:szCs w:val="24"/>
              </w:rPr>
            </w:pPr>
          </w:p>
          <w:p w14:paraId="1768BC5A" w14:textId="77777777" w:rsidR="0016240A" w:rsidRPr="00B57019" w:rsidRDefault="0016240A" w:rsidP="000F59CF">
            <w:pPr>
              <w:pStyle w:val="CommentText"/>
              <w:jc w:val="both"/>
              <w:rPr>
                <w:sz w:val="24"/>
                <w:szCs w:val="24"/>
              </w:rPr>
            </w:pPr>
          </w:p>
          <w:p w14:paraId="280E846A" w14:textId="77777777" w:rsidR="0016240A" w:rsidRPr="00B57019" w:rsidRDefault="0016240A" w:rsidP="000F59CF">
            <w:pPr>
              <w:pStyle w:val="CommentText"/>
              <w:jc w:val="both"/>
              <w:rPr>
                <w:sz w:val="24"/>
                <w:szCs w:val="24"/>
              </w:rPr>
            </w:pPr>
          </w:p>
          <w:p w14:paraId="4FFAA76E" w14:textId="77777777" w:rsidR="0016240A" w:rsidRPr="00B57019" w:rsidRDefault="0016240A" w:rsidP="000F59CF">
            <w:pPr>
              <w:pStyle w:val="CommentText"/>
              <w:jc w:val="both"/>
              <w:rPr>
                <w:sz w:val="24"/>
                <w:szCs w:val="24"/>
              </w:rPr>
            </w:pPr>
          </w:p>
          <w:p w14:paraId="5DF60764" w14:textId="77777777" w:rsidR="0016240A" w:rsidRPr="00B57019" w:rsidRDefault="0016240A" w:rsidP="000F59CF">
            <w:pPr>
              <w:pStyle w:val="CommentText"/>
              <w:jc w:val="both"/>
              <w:rPr>
                <w:sz w:val="24"/>
                <w:szCs w:val="24"/>
              </w:rPr>
            </w:pPr>
          </w:p>
          <w:p w14:paraId="42867EC4" w14:textId="77777777" w:rsidR="0016240A" w:rsidRPr="00B57019" w:rsidRDefault="0016240A" w:rsidP="000F59CF">
            <w:pPr>
              <w:pStyle w:val="CommentText"/>
              <w:jc w:val="both"/>
              <w:rPr>
                <w:sz w:val="24"/>
                <w:szCs w:val="24"/>
              </w:rPr>
            </w:pPr>
          </w:p>
          <w:p w14:paraId="3CB9ED36" w14:textId="77777777" w:rsidR="0016240A" w:rsidRPr="00B57019" w:rsidRDefault="0016240A" w:rsidP="000F59CF">
            <w:pPr>
              <w:pStyle w:val="CommentText"/>
              <w:jc w:val="both"/>
              <w:rPr>
                <w:sz w:val="24"/>
                <w:szCs w:val="24"/>
              </w:rPr>
            </w:pPr>
          </w:p>
          <w:p w14:paraId="43CDF973" w14:textId="77777777" w:rsidR="0016240A" w:rsidRPr="00B57019" w:rsidRDefault="0016240A" w:rsidP="000F59CF">
            <w:pPr>
              <w:pStyle w:val="CommentText"/>
              <w:jc w:val="both"/>
              <w:rPr>
                <w:sz w:val="24"/>
                <w:szCs w:val="24"/>
              </w:rPr>
            </w:pPr>
          </w:p>
          <w:p w14:paraId="4FE77988" w14:textId="77777777" w:rsidR="0016240A" w:rsidRPr="00B57019" w:rsidRDefault="0016240A" w:rsidP="000F59CF">
            <w:pPr>
              <w:pStyle w:val="CommentText"/>
              <w:jc w:val="both"/>
              <w:rPr>
                <w:sz w:val="24"/>
                <w:szCs w:val="24"/>
              </w:rPr>
            </w:pPr>
          </w:p>
          <w:p w14:paraId="7E2E3E8E" w14:textId="77777777" w:rsidR="0016240A" w:rsidRPr="00B57019" w:rsidRDefault="0016240A" w:rsidP="000F59CF">
            <w:pPr>
              <w:pStyle w:val="CommentText"/>
              <w:jc w:val="both"/>
              <w:rPr>
                <w:sz w:val="24"/>
                <w:szCs w:val="24"/>
              </w:rPr>
            </w:pPr>
          </w:p>
          <w:p w14:paraId="4F22B9DB" w14:textId="77777777" w:rsidR="0016240A" w:rsidRPr="00B57019" w:rsidRDefault="0016240A" w:rsidP="000F59CF">
            <w:pPr>
              <w:pStyle w:val="CommentText"/>
              <w:jc w:val="both"/>
              <w:rPr>
                <w:sz w:val="24"/>
                <w:szCs w:val="24"/>
              </w:rPr>
            </w:pPr>
          </w:p>
          <w:p w14:paraId="281A284E" w14:textId="05E2CC90" w:rsidR="000F59CF" w:rsidRPr="00B57019" w:rsidRDefault="000F59CF" w:rsidP="00E422D3">
            <w:pPr>
              <w:pStyle w:val="CommentText"/>
              <w:jc w:val="both"/>
            </w:pPr>
          </w:p>
        </w:tc>
        <w:tc>
          <w:tcPr>
            <w:tcW w:w="2503" w:type="dxa"/>
            <w:tcBorders>
              <w:top w:val="single" w:sz="4" w:space="0" w:color="auto"/>
              <w:left w:val="single" w:sz="4" w:space="0" w:color="auto"/>
              <w:bottom w:val="single" w:sz="4" w:space="0" w:color="auto"/>
            </w:tcBorders>
            <w:shd w:val="clear" w:color="auto" w:fill="auto"/>
          </w:tcPr>
          <w:p w14:paraId="0E88F269" w14:textId="77777777" w:rsidR="00EC5B70" w:rsidRPr="00B57019" w:rsidRDefault="00EC5B70" w:rsidP="002A05B2"/>
        </w:tc>
      </w:tr>
      <w:tr w:rsidR="00B57019" w:rsidRPr="00B57019" w14:paraId="245D9073" w14:textId="77777777" w:rsidTr="6EC0B0DB">
        <w:tc>
          <w:tcPr>
            <w:tcW w:w="14567" w:type="dxa"/>
            <w:gridSpan w:val="6"/>
            <w:tcBorders>
              <w:top w:val="single" w:sz="6" w:space="0" w:color="000000" w:themeColor="text1"/>
              <w:left w:val="single" w:sz="6" w:space="0" w:color="000000" w:themeColor="text1"/>
              <w:bottom w:val="single" w:sz="6" w:space="0" w:color="000000" w:themeColor="text1"/>
            </w:tcBorders>
            <w:shd w:val="clear" w:color="auto" w:fill="auto"/>
          </w:tcPr>
          <w:p w14:paraId="515426B3" w14:textId="03CE3BEA" w:rsidR="001B0756" w:rsidRPr="00B57019" w:rsidRDefault="007736B6" w:rsidP="007736B6">
            <w:pPr>
              <w:jc w:val="center"/>
              <w:rPr>
                <w:b/>
              </w:rPr>
            </w:pPr>
            <w:r w:rsidRPr="00B57019">
              <w:rPr>
                <w:b/>
              </w:rPr>
              <w:t>Veselības ministrija</w:t>
            </w:r>
          </w:p>
        </w:tc>
      </w:tr>
      <w:tr w:rsidR="00B57019" w:rsidRPr="00B57019" w14:paraId="4952070F"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71973D" w14:textId="77777777" w:rsidR="00EC5B70" w:rsidRPr="00B57019" w:rsidRDefault="00EC5B70" w:rsidP="00B03F98">
            <w:pPr>
              <w:pStyle w:val="naisc"/>
              <w:spacing w:before="0" w:after="0"/>
            </w:pP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C3B0EA" w14:textId="781212E6" w:rsidR="00EC5B70" w:rsidRPr="00B57019" w:rsidRDefault="001B0756" w:rsidP="00D37E01">
            <w:pPr>
              <w:pStyle w:val="naisc"/>
              <w:spacing w:before="0" w:after="0"/>
              <w:jc w:val="left"/>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66CBDD" w14:textId="3BE5F0ED" w:rsidR="00EC5B70" w:rsidRPr="00B57019" w:rsidRDefault="007736B6" w:rsidP="007736B6">
            <w:pPr>
              <w:pStyle w:val="NormalWeb"/>
              <w:jc w:val="both"/>
              <w:rPr>
                <w:b/>
              </w:rPr>
            </w:pPr>
            <w:r w:rsidRPr="00B57019">
              <w:t>Veselības ministrija informē, ka uztur spēka savus līdzšinējos iebildumus.</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A7A25E" w14:textId="5D5ED0AB" w:rsidR="00EC5B70" w:rsidRPr="00B57019" w:rsidRDefault="000123C4" w:rsidP="00B03F98">
            <w:pPr>
              <w:pStyle w:val="PlainText"/>
              <w:jc w:val="both"/>
              <w:rPr>
                <w:rFonts w:ascii="Times New Roman" w:hAnsi="Times New Roman"/>
                <w:b/>
                <w:sz w:val="24"/>
                <w:szCs w:val="24"/>
                <w:lang w:val="lv-LV"/>
              </w:rPr>
            </w:pPr>
            <w:r w:rsidRPr="00B57019">
              <w:rPr>
                <w:rFonts w:ascii="Times New Roman" w:hAnsi="Times New Roman"/>
                <w:b/>
                <w:bCs/>
                <w:sz w:val="24"/>
                <w:szCs w:val="24"/>
              </w:rPr>
              <w:t>Iebildums nav ņemts vērā</w:t>
            </w:r>
            <w:r w:rsidRPr="00B57019">
              <w:rPr>
                <w:rFonts w:ascii="Times New Roman" w:hAnsi="Times New Roman"/>
                <w:sz w:val="24"/>
                <w:szCs w:val="24"/>
              </w:rPr>
              <w:t>.</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6D0CDC1E" w14:textId="77777777" w:rsidR="00EC5B70" w:rsidRPr="00B57019" w:rsidRDefault="00EC5B70" w:rsidP="009851F7">
            <w:pPr>
              <w:jc w:val="both"/>
            </w:pPr>
          </w:p>
        </w:tc>
        <w:tc>
          <w:tcPr>
            <w:tcW w:w="2503" w:type="dxa"/>
            <w:tcBorders>
              <w:top w:val="single" w:sz="4" w:space="0" w:color="auto"/>
              <w:left w:val="single" w:sz="4" w:space="0" w:color="auto"/>
              <w:bottom w:val="single" w:sz="4" w:space="0" w:color="auto"/>
            </w:tcBorders>
            <w:shd w:val="clear" w:color="auto" w:fill="auto"/>
          </w:tcPr>
          <w:p w14:paraId="2165614A" w14:textId="77777777" w:rsidR="00EC5B70" w:rsidRPr="00B57019" w:rsidRDefault="00EC5B70" w:rsidP="002A05B2"/>
        </w:tc>
      </w:tr>
      <w:tr w:rsidR="00B57019" w:rsidRPr="00B57019" w14:paraId="6D6A6E56" w14:textId="77777777" w:rsidTr="6EC0B0DB">
        <w:tc>
          <w:tcPr>
            <w:tcW w:w="14567" w:type="dxa"/>
            <w:gridSpan w:val="6"/>
            <w:tcBorders>
              <w:top w:val="single" w:sz="6" w:space="0" w:color="000000" w:themeColor="text1"/>
              <w:left w:val="single" w:sz="6" w:space="0" w:color="000000" w:themeColor="text1"/>
              <w:bottom w:val="single" w:sz="6" w:space="0" w:color="000000" w:themeColor="text1"/>
            </w:tcBorders>
            <w:shd w:val="clear" w:color="auto" w:fill="auto"/>
          </w:tcPr>
          <w:p w14:paraId="201554FF" w14:textId="5651EA9D" w:rsidR="001B0756" w:rsidRPr="00B57019" w:rsidRDefault="007736B6" w:rsidP="007736B6">
            <w:pPr>
              <w:jc w:val="center"/>
              <w:rPr>
                <w:b/>
              </w:rPr>
            </w:pPr>
            <w:r w:rsidRPr="00B57019">
              <w:rPr>
                <w:b/>
              </w:rPr>
              <w:t>Zemkopības ministrija</w:t>
            </w:r>
          </w:p>
        </w:tc>
      </w:tr>
      <w:tr w:rsidR="001B0756" w:rsidRPr="00B57019" w14:paraId="08BB7277" w14:textId="77777777" w:rsidTr="6EC0B0DB">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17BFD2" w14:textId="77777777" w:rsidR="001B0756" w:rsidRPr="00B57019" w:rsidRDefault="001B0756" w:rsidP="00B03F98">
            <w:pPr>
              <w:pStyle w:val="naisc"/>
              <w:spacing w:before="0" w:after="0"/>
            </w:pPr>
          </w:p>
        </w:tc>
        <w:tc>
          <w:tcPr>
            <w:tcW w:w="28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26A864" w14:textId="2D7D3863" w:rsidR="001B0756" w:rsidRPr="00B57019" w:rsidRDefault="001B0756" w:rsidP="00D37E01">
            <w:pPr>
              <w:pStyle w:val="naisc"/>
              <w:spacing w:before="0" w:after="0"/>
              <w:jc w:val="left"/>
            </w:pPr>
            <w:r w:rsidRPr="00B57019">
              <w:t>Informatīvā ziņojuma projekts.</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8E85982" w14:textId="77777777" w:rsidR="007736B6" w:rsidRPr="00B57019" w:rsidRDefault="007736B6" w:rsidP="007736B6">
            <w:pPr>
              <w:jc w:val="both"/>
            </w:pPr>
            <w:r w:rsidRPr="00B57019">
              <w:t>Zemkopības ministrija ir izskatījusi papildināto informatīvo ziņojumu projektu “Informatīvais ziņojums par cilvēkresursu nodrošināšanu valsts informācijas un komunikācijas tehnoloģiju platformu uzturēšanai” (VSS-306), un savas kompetences ietvaros konceptuāli neatbalsta tā tālāku virzību.</w:t>
            </w:r>
          </w:p>
          <w:p w14:paraId="4716DAA5" w14:textId="4D3991C4" w:rsidR="001B0756" w:rsidRPr="00B57019" w:rsidRDefault="007736B6" w:rsidP="007736B6">
            <w:pPr>
              <w:jc w:val="both"/>
            </w:pPr>
            <w:r w:rsidRPr="00B57019">
              <w:t>Atsaucoties uz 2019. gada 26. jūnija starpministriju sanāksmē diskusijā runāto, uzskatām, ka jautājums par finanšu līdzekļu piešķiršanu VRAA IKT koplietošanas platformu uzturēšanai ir izskatāms Valsts sekretāru sanāksmes līmenī, un ir nepieciešams konceptuāls, politisks lēmums par finansējuma piešķiršanu un tālāko, iespējamo resoru iesaisti finansējuma pārdalē koplietošanas IKT platformu uzturēšanai.</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CECF5F" w14:textId="19782084" w:rsidR="001B0756" w:rsidRPr="00B57019" w:rsidRDefault="000123C4" w:rsidP="00B03F98">
            <w:pPr>
              <w:pStyle w:val="PlainText"/>
              <w:jc w:val="both"/>
              <w:rPr>
                <w:rFonts w:ascii="Times New Roman" w:hAnsi="Times New Roman"/>
                <w:b/>
                <w:sz w:val="24"/>
                <w:szCs w:val="24"/>
                <w:lang w:val="lv-LV"/>
              </w:rPr>
            </w:pPr>
            <w:r w:rsidRPr="00B57019">
              <w:rPr>
                <w:rFonts w:ascii="Times New Roman" w:hAnsi="Times New Roman"/>
                <w:b/>
                <w:bCs/>
                <w:sz w:val="24"/>
                <w:szCs w:val="24"/>
              </w:rPr>
              <w:t>Iebildums nav ņemts vērā</w:t>
            </w:r>
            <w:r w:rsidRPr="00B57019">
              <w:rPr>
                <w:rFonts w:ascii="Times New Roman" w:hAnsi="Times New Roman"/>
                <w:sz w:val="24"/>
                <w:szCs w:val="24"/>
              </w:rPr>
              <w:t>.</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62F64AC6" w14:textId="77777777" w:rsidR="001B0756" w:rsidRPr="00B57019" w:rsidRDefault="001B0756" w:rsidP="009851F7">
            <w:pPr>
              <w:jc w:val="both"/>
            </w:pPr>
          </w:p>
        </w:tc>
        <w:tc>
          <w:tcPr>
            <w:tcW w:w="2503" w:type="dxa"/>
            <w:tcBorders>
              <w:top w:val="single" w:sz="4" w:space="0" w:color="auto"/>
              <w:left w:val="single" w:sz="4" w:space="0" w:color="auto"/>
              <w:bottom w:val="single" w:sz="4" w:space="0" w:color="auto"/>
            </w:tcBorders>
            <w:shd w:val="clear" w:color="auto" w:fill="auto"/>
          </w:tcPr>
          <w:p w14:paraId="1D9F70EA" w14:textId="77777777" w:rsidR="001B0756" w:rsidRPr="00B57019" w:rsidRDefault="001B0756" w:rsidP="002A05B2"/>
        </w:tc>
      </w:tr>
    </w:tbl>
    <w:p w14:paraId="4BFD5200" w14:textId="77777777" w:rsidR="00263540" w:rsidRPr="00B57019" w:rsidRDefault="00263540" w:rsidP="005D67F7">
      <w:pPr>
        <w:pStyle w:val="naisf"/>
        <w:spacing w:before="0" w:after="0"/>
        <w:ind w:firstLine="0"/>
        <w:rPr>
          <w:b/>
        </w:rPr>
      </w:pPr>
    </w:p>
    <w:p w14:paraId="503FAF27" w14:textId="77777777" w:rsidR="005D67F7" w:rsidRPr="00B57019" w:rsidRDefault="005D67F7" w:rsidP="005D67F7">
      <w:pPr>
        <w:pStyle w:val="naisf"/>
        <w:spacing w:before="0" w:after="0"/>
        <w:ind w:firstLine="0"/>
        <w:rPr>
          <w:b/>
        </w:rPr>
      </w:pPr>
      <w:r w:rsidRPr="00B57019">
        <w:rPr>
          <w:b/>
        </w:rPr>
        <w:t>Informācija par starpministriju (starpinstitūciju) sanāksmi vai elektronisko saskaņošanu</w:t>
      </w:r>
    </w:p>
    <w:p w14:paraId="362F4D40" w14:textId="77777777" w:rsidR="000438AE" w:rsidRPr="00B57019" w:rsidRDefault="000438AE" w:rsidP="005D67F7">
      <w:pPr>
        <w:pStyle w:val="naisf"/>
        <w:spacing w:before="0" w:after="0"/>
        <w:ind w:firstLine="0"/>
        <w:rPr>
          <w:b/>
        </w:rPr>
      </w:pPr>
    </w:p>
    <w:p w14:paraId="4FB3612C" w14:textId="77777777" w:rsidR="005D67F7" w:rsidRPr="00B57019"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00B57019" w:rsidRPr="00B57019" w14:paraId="0C0BFDEC" w14:textId="77777777" w:rsidTr="4104F864">
        <w:tc>
          <w:tcPr>
            <w:tcW w:w="6345" w:type="dxa"/>
          </w:tcPr>
          <w:p w14:paraId="2FA3B56B" w14:textId="77777777" w:rsidR="007B4C0F" w:rsidRPr="00B57019" w:rsidRDefault="005D67F7" w:rsidP="005D67F7">
            <w:pPr>
              <w:pStyle w:val="naisf"/>
              <w:spacing w:before="0" w:after="0"/>
              <w:ind w:firstLine="0"/>
            </w:pPr>
            <w:r w:rsidRPr="00B57019">
              <w:t>D</w:t>
            </w:r>
            <w:r w:rsidR="007B4C0F" w:rsidRPr="00B57019">
              <w:t>atums</w:t>
            </w:r>
          </w:p>
        </w:tc>
        <w:tc>
          <w:tcPr>
            <w:tcW w:w="6237" w:type="dxa"/>
            <w:gridSpan w:val="3"/>
            <w:tcBorders>
              <w:bottom w:val="single" w:sz="4" w:space="0" w:color="auto"/>
            </w:tcBorders>
          </w:tcPr>
          <w:p w14:paraId="36739AF2" w14:textId="59C37E1C" w:rsidR="007B4C0F" w:rsidRPr="00B57019" w:rsidRDefault="000123C4" w:rsidP="00A42569">
            <w:pPr>
              <w:widowControl w:val="0"/>
              <w:jc w:val="center"/>
            </w:pPr>
            <w:r w:rsidRPr="00B57019">
              <w:t>2019</w:t>
            </w:r>
            <w:r w:rsidR="008D0E6A" w:rsidRPr="00B57019">
              <w:t xml:space="preserve">. gada </w:t>
            </w:r>
            <w:r w:rsidR="00A42569" w:rsidRPr="00B57019">
              <w:t>26.</w:t>
            </w:r>
            <w:r w:rsidR="000F3A9F" w:rsidRPr="00B57019">
              <w:t xml:space="preserve"> </w:t>
            </w:r>
            <w:r w:rsidR="00A42569" w:rsidRPr="00B57019">
              <w:t>jūnijs</w:t>
            </w:r>
          </w:p>
        </w:tc>
      </w:tr>
      <w:tr w:rsidR="00B57019" w:rsidRPr="00B57019" w14:paraId="33CA9D34" w14:textId="77777777" w:rsidTr="4104F864">
        <w:trPr>
          <w:trHeight w:val="2340"/>
        </w:trPr>
        <w:tc>
          <w:tcPr>
            <w:tcW w:w="6345" w:type="dxa"/>
          </w:tcPr>
          <w:p w14:paraId="43190F91" w14:textId="77777777" w:rsidR="007B4C0F" w:rsidRPr="00B57019" w:rsidRDefault="00365CC0" w:rsidP="003C27A2">
            <w:pPr>
              <w:pStyle w:val="naiskr"/>
              <w:spacing w:before="0" w:after="0"/>
            </w:pPr>
            <w:r w:rsidRPr="00B57019">
              <w:t>Saskaņošanas dalībnieki</w:t>
            </w:r>
          </w:p>
        </w:tc>
        <w:tc>
          <w:tcPr>
            <w:tcW w:w="6237" w:type="dxa"/>
            <w:gridSpan w:val="3"/>
            <w:tcBorders>
              <w:top w:val="single" w:sz="4" w:space="0" w:color="auto"/>
              <w:bottom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40"/>
              <w:gridCol w:w="81"/>
            </w:tblGrid>
            <w:tr w:rsidR="00B57019" w:rsidRPr="00B57019" w14:paraId="179B9872" w14:textId="77777777" w:rsidTr="0070726D">
              <w:trPr>
                <w:tblCellSpacing w:w="15" w:type="dxa"/>
              </w:trPr>
              <w:tc>
                <w:tcPr>
                  <w:tcW w:w="0" w:type="auto"/>
                  <w:vAlign w:val="center"/>
                </w:tcPr>
                <w:p w14:paraId="3376F66F" w14:textId="77777777" w:rsidR="005417D5" w:rsidRPr="00B57019" w:rsidRDefault="0070726D" w:rsidP="0070726D">
                  <w:pPr>
                    <w:jc w:val="both"/>
                  </w:pPr>
                  <w:r w:rsidRPr="00B57019">
                    <w:t>Tieslietu ministriju, Finanšu ministriju, Aizsardzības ministriju, Ārlietu ministriju, Ekonomikas ministriju, Iekšlietu ministriju, Izglītības un zinātnes ministriju, Kultūras ministriju, Labklājības ministriju, Satiksmes ministriju, Veselības ministriju, Zemkopības ministriju, Pārresoru koordinācijas centru, Valsts kanceleju, Latvijas Brīvo arodbiedrību savienību un Latvijas Pašvaldību savienība</w:t>
                  </w:r>
                </w:p>
              </w:tc>
              <w:tc>
                <w:tcPr>
                  <w:tcW w:w="0" w:type="auto"/>
                  <w:vAlign w:val="center"/>
                </w:tcPr>
                <w:p w14:paraId="75D8C21C" w14:textId="77777777" w:rsidR="005417D5" w:rsidRPr="00B57019" w:rsidRDefault="005417D5" w:rsidP="0070726D">
                  <w:pPr>
                    <w:jc w:val="both"/>
                  </w:pPr>
                </w:p>
              </w:tc>
            </w:tr>
          </w:tbl>
          <w:p w14:paraId="47341306" w14:textId="77777777" w:rsidR="007B4C0F" w:rsidRPr="00B57019" w:rsidRDefault="007B4C0F" w:rsidP="008F609D">
            <w:pPr>
              <w:pStyle w:val="NormalWeb"/>
              <w:spacing w:before="0" w:beforeAutospacing="0" w:after="0" w:afterAutospacing="0"/>
              <w:ind w:firstLine="720"/>
            </w:pPr>
          </w:p>
        </w:tc>
      </w:tr>
      <w:tr w:rsidR="00B57019" w:rsidRPr="00B57019" w14:paraId="68D1372E" w14:textId="77777777" w:rsidTr="4104F864">
        <w:trPr>
          <w:trHeight w:val="285"/>
        </w:trPr>
        <w:tc>
          <w:tcPr>
            <w:tcW w:w="6708" w:type="dxa"/>
            <w:gridSpan w:val="2"/>
          </w:tcPr>
          <w:p w14:paraId="7EFDAD6D" w14:textId="77777777" w:rsidR="007B4C0F" w:rsidRPr="00B57019" w:rsidRDefault="008A36C9" w:rsidP="000D0AED">
            <w:pPr>
              <w:pStyle w:val="naiskr"/>
              <w:spacing w:before="0" w:after="0"/>
            </w:pPr>
            <w:r w:rsidRPr="00B57019">
              <w:br w:type="page"/>
            </w:r>
            <w:r w:rsidR="00365CC0" w:rsidRPr="00B57019">
              <w:t xml:space="preserve">Saskaņošanas dalībnieki </w:t>
            </w:r>
            <w:r w:rsidR="007B4C0F" w:rsidRPr="00B57019">
              <w:t>izskatīja</w:t>
            </w:r>
            <w:r w:rsidR="005D67F7" w:rsidRPr="00B57019">
              <w:t xml:space="preserve"> šādu ministriju </w:t>
            </w:r>
            <w:r w:rsidR="003E4C3F" w:rsidRPr="00B57019">
              <w:t>(c</w:t>
            </w:r>
            <w:r w:rsidR="005D67F7" w:rsidRPr="00B57019">
              <w:t>itu institūciju</w:t>
            </w:r>
            <w:r w:rsidR="003E4C3F" w:rsidRPr="00B57019">
              <w:t>)</w:t>
            </w:r>
            <w:r w:rsidR="005D67F7" w:rsidRPr="00B57019">
              <w:t xml:space="preserve"> iebildumus</w:t>
            </w:r>
            <w:r w:rsidR="00264725" w:rsidRPr="00B57019">
              <w:t>:</w:t>
            </w:r>
          </w:p>
        </w:tc>
        <w:tc>
          <w:tcPr>
            <w:tcW w:w="840" w:type="dxa"/>
            <w:tcBorders>
              <w:bottom w:val="single" w:sz="4" w:space="0" w:color="auto"/>
            </w:tcBorders>
          </w:tcPr>
          <w:p w14:paraId="64F3311F" w14:textId="77777777" w:rsidR="007B4C0F" w:rsidRPr="00B57019" w:rsidRDefault="007B4C0F" w:rsidP="0036160E">
            <w:pPr>
              <w:pStyle w:val="naiskr"/>
              <w:spacing w:before="0" w:after="0"/>
              <w:ind w:firstLine="720"/>
            </w:pPr>
          </w:p>
        </w:tc>
        <w:tc>
          <w:tcPr>
            <w:tcW w:w="5034" w:type="dxa"/>
            <w:tcBorders>
              <w:bottom w:val="single" w:sz="4" w:space="0" w:color="auto"/>
            </w:tcBorders>
          </w:tcPr>
          <w:p w14:paraId="60B05C49" w14:textId="7764D83E" w:rsidR="007B4C0F" w:rsidRPr="00B57019" w:rsidRDefault="00A14E7C" w:rsidP="000F3A9F">
            <w:pPr>
              <w:jc w:val="both"/>
            </w:pPr>
            <w:r w:rsidRPr="00B57019">
              <w:t>Tieslietu ministrijas, Finanšu ministrijas, Aizsardzības ministrijas, Ārlietu ministrijas, Ekonomikas ministrijas, Iekšlietu ministrijas, Izglītības un zinātnes ministrijas, Kultūras ministrijas, Labklājības ministrijas, Satiksmes ministrijas, Veselības ministrijas, Zemkopības ministrijas</w:t>
            </w:r>
            <w:r w:rsidR="000F3A9F" w:rsidRPr="00B57019">
              <w:t xml:space="preserve"> </w:t>
            </w:r>
            <w:r w:rsidR="003554A0" w:rsidRPr="00B57019">
              <w:t>iebildumus</w:t>
            </w:r>
          </w:p>
        </w:tc>
      </w:tr>
      <w:tr w:rsidR="00B57019" w:rsidRPr="00B57019" w14:paraId="16D69DA1" w14:textId="77777777" w:rsidTr="4104F864">
        <w:tc>
          <w:tcPr>
            <w:tcW w:w="6708" w:type="dxa"/>
            <w:gridSpan w:val="2"/>
          </w:tcPr>
          <w:p w14:paraId="3D3ED7AC" w14:textId="77777777" w:rsidR="007B4C0F" w:rsidRPr="00B57019" w:rsidRDefault="007B4C0F" w:rsidP="0036160E">
            <w:pPr>
              <w:pStyle w:val="naiskr"/>
              <w:spacing w:before="0" w:after="0"/>
            </w:pPr>
            <w:r w:rsidRPr="00B57019">
              <w:t>Ministrijas (citas institūcijas), kuras nav ieradušās uz sanāksmi vai kuras nav atbildējušas uz uzaicinājumu piedalīties elektroniskajā saskaņošanā</w:t>
            </w:r>
          </w:p>
        </w:tc>
        <w:tc>
          <w:tcPr>
            <w:tcW w:w="5874" w:type="dxa"/>
            <w:gridSpan w:val="2"/>
          </w:tcPr>
          <w:p w14:paraId="2EE4B3E8" w14:textId="77777777" w:rsidR="007B4C0F" w:rsidRPr="00B57019" w:rsidRDefault="007B4C0F" w:rsidP="0036160E">
            <w:pPr>
              <w:pStyle w:val="naiskr"/>
              <w:spacing w:before="0" w:after="0"/>
              <w:ind w:firstLine="720"/>
            </w:pPr>
          </w:p>
        </w:tc>
      </w:tr>
      <w:tr w:rsidR="00513090" w:rsidRPr="00B57019" w14:paraId="3C1C58EE" w14:textId="77777777" w:rsidTr="4104F864">
        <w:tc>
          <w:tcPr>
            <w:tcW w:w="6345" w:type="dxa"/>
          </w:tcPr>
          <w:p w14:paraId="4269F4DE" w14:textId="77777777" w:rsidR="00CA77CC" w:rsidRPr="00B57019" w:rsidRDefault="00CA77CC" w:rsidP="004D740C">
            <w:pPr>
              <w:pStyle w:val="naiskr"/>
              <w:spacing w:before="0" w:after="0"/>
            </w:pPr>
          </w:p>
        </w:tc>
        <w:tc>
          <w:tcPr>
            <w:tcW w:w="6237" w:type="dxa"/>
            <w:gridSpan w:val="3"/>
            <w:tcBorders>
              <w:top w:val="single" w:sz="4" w:space="0" w:color="auto"/>
            </w:tcBorders>
          </w:tcPr>
          <w:p w14:paraId="75E3B825" w14:textId="77777777" w:rsidR="00CA77CC" w:rsidRPr="00B57019" w:rsidRDefault="00CA77CC" w:rsidP="00CA77CC">
            <w:pPr>
              <w:pStyle w:val="naiskr"/>
            </w:pPr>
          </w:p>
        </w:tc>
      </w:tr>
    </w:tbl>
    <w:p w14:paraId="7575740F" w14:textId="77777777" w:rsidR="005B77B8" w:rsidRPr="00B57019" w:rsidRDefault="005B77B8" w:rsidP="00683081">
      <w:pPr>
        <w:pStyle w:val="naisf"/>
        <w:spacing w:before="0" w:after="0"/>
        <w:ind w:firstLine="720"/>
      </w:pPr>
    </w:p>
    <w:p w14:paraId="59B858F0" w14:textId="77777777" w:rsidR="00FA167D" w:rsidRPr="00B57019" w:rsidRDefault="00FA167D" w:rsidP="00184479">
      <w:pPr>
        <w:pStyle w:val="naisf"/>
        <w:spacing w:before="0" w:after="0"/>
        <w:ind w:firstLine="0"/>
        <w:jc w:val="center"/>
        <w:rPr>
          <w:b/>
        </w:rPr>
      </w:pPr>
    </w:p>
    <w:p w14:paraId="1038DC70" w14:textId="77777777" w:rsidR="00FA167D" w:rsidRPr="00B57019" w:rsidRDefault="00FA167D" w:rsidP="00184479">
      <w:pPr>
        <w:pStyle w:val="naisf"/>
        <w:spacing w:before="0" w:after="0"/>
        <w:ind w:firstLine="0"/>
        <w:jc w:val="center"/>
        <w:rPr>
          <w:b/>
        </w:rPr>
      </w:pPr>
    </w:p>
    <w:p w14:paraId="706D61B7" w14:textId="77777777" w:rsidR="00FA167D" w:rsidRPr="00B57019" w:rsidRDefault="00FA167D" w:rsidP="00184479">
      <w:pPr>
        <w:pStyle w:val="naisf"/>
        <w:spacing w:before="0" w:after="0"/>
        <w:ind w:firstLine="0"/>
        <w:jc w:val="center"/>
        <w:rPr>
          <w:b/>
        </w:rPr>
      </w:pPr>
    </w:p>
    <w:p w14:paraId="2F4AB00E" w14:textId="77777777" w:rsidR="00FA167D" w:rsidRPr="00B57019" w:rsidRDefault="00FA167D" w:rsidP="00184479">
      <w:pPr>
        <w:pStyle w:val="naisf"/>
        <w:spacing w:before="0" w:after="0"/>
        <w:ind w:firstLine="0"/>
        <w:jc w:val="center"/>
        <w:rPr>
          <w:b/>
        </w:rPr>
      </w:pPr>
    </w:p>
    <w:p w14:paraId="5F50C540" w14:textId="77777777" w:rsidR="00FA167D" w:rsidRPr="00B57019" w:rsidRDefault="00FA167D" w:rsidP="00184479">
      <w:pPr>
        <w:pStyle w:val="naisf"/>
        <w:spacing w:before="0" w:after="0"/>
        <w:ind w:firstLine="0"/>
        <w:jc w:val="center"/>
        <w:rPr>
          <w:b/>
        </w:rPr>
      </w:pPr>
    </w:p>
    <w:p w14:paraId="38AC22FC" w14:textId="77777777" w:rsidR="00FA167D" w:rsidRPr="00B57019" w:rsidRDefault="00FA167D" w:rsidP="00184479">
      <w:pPr>
        <w:pStyle w:val="naisf"/>
        <w:spacing w:before="0" w:after="0"/>
        <w:ind w:firstLine="0"/>
        <w:jc w:val="center"/>
        <w:rPr>
          <w:b/>
        </w:rPr>
      </w:pPr>
    </w:p>
    <w:p w14:paraId="3EC6E541" w14:textId="77777777" w:rsidR="00FA167D" w:rsidRPr="00B57019" w:rsidRDefault="00FA167D" w:rsidP="00184479">
      <w:pPr>
        <w:pStyle w:val="naisf"/>
        <w:spacing w:before="0" w:after="0"/>
        <w:ind w:firstLine="0"/>
        <w:jc w:val="center"/>
        <w:rPr>
          <w:b/>
        </w:rPr>
      </w:pPr>
    </w:p>
    <w:p w14:paraId="6F55C1EE" w14:textId="77777777" w:rsidR="00FA167D" w:rsidRPr="00B57019" w:rsidRDefault="00FA167D" w:rsidP="00184479">
      <w:pPr>
        <w:pStyle w:val="naisf"/>
        <w:spacing w:before="0" w:after="0"/>
        <w:ind w:firstLine="0"/>
        <w:jc w:val="center"/>
        <w:rPr>
          <w:b/>
        </w:rPr>
      </w:pPr>
    </w:p>
    <w:p w14:paraId="47FDC710" w14:textId="77777777" w:rsidR="00FA167D" w:rsidRPr="00B57019" w:rsidRDefault="00FA167D" w:rsidP="00184479">
      <w:pPr>
        <w:pStyle w:val="naisf"/>
        <w:spacing w:before="0" w:after="0"/>
        <w:ind w:firstLine="0"/>
        <w:jc w:val="center"/>
        <w:rPr>
          <w:b/>
        </w:rPr>
      </w:pPr>
    </w:p>
    <w:p w14:paraId="6DCA9789" w14:textId="77777777" w:rsidR="00FA167D" w:rsidRPr="00B57019" w:rsidRDefault="00FA167D" w:rsidP="00184479">
      <w:pPr>
        <w:pStyle w:val="naisf"/>
        <w:spacing w:before="0" w:after="0"/>
        <w:ind w:firstLine="0"/>
        <w:jc w:val="center"/>
        <w:rPr>
          <w:b/>
        </w:rPr>
      </w:pPr>
    </w:p>
    <w:p w14:paraId="10246419" w14:textId="77777777" w:rsidR="00FA167D" w:rsidRPr="00B57019" w:rsidRDefault="00FA167D" w:rsidP="00184479">
      <w:pPr>
        <w:pStyle w:val="naisf"/>
        <w:spacing w:before="0" w:after="0"/>
        <w:ind w:firstLine="0"/>
        <w:jc w:val="center"/>
        <w:rPr>
          <w:b/>
        </w:rPr>
      </w:pPr>
    </w:p>
    <w:p w14:paraId="5F20DA56" w14:textId="77777777" w:rsidR="00FA167D" w:rsidRPr="00B57019" w:rsidRDefault="00FA167D" w:rsidP="00184479">
      <w:pPr>
        <w:pStyle w:val="naisf"/>
        <w:spacing w:before="0" w:after="0"/>
        <w:ind w:firstLine="0"/>
        <w:jc w:val="center"/>
        <w:rPr>
          <w:b/>
        </w:rPr>
      </w:pPr>
    </w:p>
    <w:p w14:paraId="09F6E72A" w14:textId="77777777" w:rsidR="007B4C0F" w:rsidRPr="00B57019" w:rsidRDefault="007B4C0F" w:rsidP="00184479">
      <w:pPr>
        <w:pStyle w:val="naisf"/>
        <w:spacing w:before="0" w:after="0"/>
        <w:ind w:firstLine="0"/>
        <w:jc w:val="center"/>
        <w:rPr>
          <w:b/>
        </w:rPr>
      </w:pPr>
      <w:r w:rsidRPr="00B57019">
        <w:rPr>
          <w:b/>
        </w:rPr>
        <w:t>II. </w:t>
      </w:r>
      <w:r w:rsidR="00134188" w:rsidRPr="00B57019">
        <w:rPr>
          <w:b/>
        </w:rPr>
        <w:t>Jautājumi, par kuriem saskaņošanā vienošan</w:t>
      </w:r>
      <w:r w:rsidR="00144622" w:rsidRPr="00B57019">
        <w:rPr>
          <w:b/>
        </w:rPr>
        <w:t>ā</w:t>
      </w:r>
      <w:r w:rsidR="00134188" w:rsidRPr="00B57019">
        <w:rPr>
          <w:b/>
        </w:rPr>
        <w:t>s ir panākta</w:t>
      </w:r>
    </w:p>
    <w:p w14:paraId="600EFD23" w14:textId="77777777" w:rsidR="007B4C0F" w:rsidRPr="00B57019" w:rsidRDefault="007B4C0F" w:rsidP="00DB7395">
      <w:pPr>
        <w:pStyle w:val="naisf"/>
        <w:spacing w:before="0" w:after="0"/>
        <w:ind w:firstLine="720"/>
      </w:pPr>
    </w:p>
    <w:tbl>
      <w:tblPr>
        <w:tblW w:w="5185" w:type="pct"/>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3"/>
        <w:gridCol w:w="1353"/>
        <w:gridCol w:w="7117"/>
        <w:gridCol w:w="2798"/>
        <w:gridCol w:w="3002"/>
      </w:tblGrid>
      <w:tr w:rsidR="00B57019" w:rsidRPr="00B57019" w14:paraId="6FDB03AF" w14:textId="77777777" w:rsidTr="64605ADC">
        <w:trPr>
          <w:jc w:val="center"/>
        </w:trPr>
        <w:tc>
          <w:tcPr>
            <w:tcW w:w="1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122179" w14:textId="77777777" w:rsidR="00134188" w:rsidRPr="00B57019" w:rsidRDefault="00134188" w:rsidP="009623BC">
            <w:pPr>
              <w:pStyle w:val="naisc"/>
              <w:spacing w:before="0" w:after="0"/>
            </w:pPr>
            <w:r w:rsidRPr="00B57019">
              <w:t>Nr. p.k.</w:t>
            </w:r>
          </w:p>
        </w:tc>
        <w:tc>
          <w:tcPr>
            <w:tcW w:w="45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AFF2A" w14:textId="77777777" w:rsidR="00134188" w:rsidRPr="00B57019" w:rsidRDefault="00134188" w:rsidP="004A40A6">
            <w:pPr>
              <w:pStyle w:val="naisc"/>
              <w:spacing w:before="0" w:after="0"/>
              <w:ind w:firstLine="12"/>
            </w:pPr>
            <w:r w:rsidRPr="00B57019">
              <w:t xml:space="preserve">Saskaņošanai nosūtītā projekta redakcija </w:t>
            </w:r>
          </w:p>
        </w:tc>
        <w:tc>
          <w:tcPr>
            <w:tcW w:w="239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3BD0CA" w14:textId="77777777" w:rsidR="00134188" w:rsidRPr="00B57019" w:rsidRDefault="00134188" w:rsidP="009623BC">
            <w:pPr>
              <w:pStyle w:val="naisc"/>
              <w:spacing w:before="0" w:after="0"/>
              <w:ind w:right="3"/>
            </w:pPr>
            <w:r w:rsidRPr="00B57019">
              <w:t>Atzinumā norādītais ministrijas (citas institūcijas) iebildums, kā arī saskaņošanā papildus izteiktais iebildums par projekta konkrēto punktu (pantu)</w:t>
            </w:r>
          </w:p>
        </w:tc>
        <w:tc>
          <w:tcPr>
            <w:tcW w:w="94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C5A9C0" w14:textId="77777777" w:rsidR="00134188" w:rsidRPr="00B57019" w:rsidRDefault="00134188" w:rsidP="004A40A6">
            <w:pPr>
              <w:pStyle w:val="naisc"/>
              <w:spacing w:before="0" w:after="0"/>
              <w:ind w:firstLine="21"/>
            </w:pPr>
            <w:r w:rsidRPr="00B57019">
              <w:t>Atbildīgās ministrijas norāde</w:t>
            </w:r>
            <w:r w:rsidR="006C1C48" w:rsidRPr="00B57019">
              <w:t xml:space="preserve"> par to</w:t>
            </w:r>
            <w:r w:rsidR="004A40A6" w:rsidRPr="00B57019">
              <w:t xml:space="preserve"> vai </w:t>
            </w:r>
            <w:r w:rsidRPr="00B57019">
              <w:t>iebildums ir ņemts vērā</w:t>
            </w:r>
            <w:r w:rsidR="004A40A6" w:rsidRPr="00B57019">
              <w:t>.</w:t>
            </w:r>
          </w:p>
        </w:tc>
        <w:tc>
          <w:tcPr>
            <w:tcW w:w="1012" w:type="pct"/>
            <w:tcBorders>
              <w:top w:val="single" w:sz="4" w:space="0" w:color="auto"/>
              <w:left w:val="single" w:sz="4" w:space="0" w:color="auto"/>
              <w:bottom w:val="single" w:sz="4" w:space="0" w:color="auto"/>
            </w:tcBorders>
          </w:tcPr>
          <w:p w14:paraId="180E18D3" w14:textId="77777777" w:rsidR="00134188" w:rsidRPr="00B57019" w:rsidRDefault="00134188" w:rsidP="00C2228A">
            <w:pPr>
              <w:jc w:val="center"/>
            </w:pPr>
            <w:r w:rsidRPr="00B57019">
              <w:t>Projekta attiecīgā punkta (panta) galīgā redakcija</w:t>
            </w:r>
            <w:r w:rsidR="00C2228A" w:rsidRPr="00B57019">
              <w:t xml:space="preserve">, </w:t>
            </w:r>
            <w:r w:rsidR="004A40A6" w:rsidRPr="00B57019">
              <w:t xml:space="preserve">norāde uz to </w:t>
            </w:r>
            <w:r w:rsidR="00C2228A" w:rsidRPr="00B57019">
              <w:t>ziņojuma vai saistīto dokumentu projektos, vai arī pamatojums gadījumos, kad iebildumi nav ņemti vērā. Arī atsauces uz citiem iebildumiem, ja to saturs sakrīt.</w:t>
            </w:r>
          </w:p>
        </w:tc>
      </w:tr>
      <w:tr w:rsidR="00B57019" w:rsidRPr="00B57019" w14:paraId="46A1280E" w14:textId="77777777" w:rsidTr="64605ADC">
        <w:trPr>
          <w:jc w:val="center"/>
        </w:trPr>
        <w:tc>
          <w:tcPr>
            <w:tcW w:w="1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2930C8" w14:textId="77777777" w:rsidR="00134188" w:rsidRPr="00B57019" w:rsidRDefault="003B71E0" w:rsidP="00434F0A">
            <w:pPr>
              <w:pStyle w:val="naisc"/>
              <w:spacing w:before="0" w:after="0"/>
            </w:pPr>
            <w:r w:rsidRPr="00B57019">
              <w:t>1</w:t>
            </w:r>
          </w:p>
        </w:tc>
        <w:tc>
          <w:tcPr>
            <w:tcW w:w="456"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414B31" w14:textId="77777777" w:rsidR="00134188" w:rsidRPr="00B57019" w:rsidRDefault="00F34AAB" w:rsidP="00434F0A">
            <w:pPr>
              <w:pStyle w:val="naisc"/>
              <w:spacing w:before="0" w:after="0"/>
              <w:ind w:firstLine="720"/>
            </w:pPr>
            <w:r w:rsidRPr="00B57019">
              <w:t>2</w:t>
            </w:r>
          </w:p>
        </w:tc>
        <w:tc>
          <w:tcPr>
            <w:tcW w:w="239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EE44CE" w14:textId="77777777" w:rsidR="00134188" w:rsidRPr="00B57019" w:rsidRDefault="003B71E0" w:rsidP="00434F0A">
            <w:pPr>
              <w:pStyle w:val="naisc"/>
              <w:spacing w:before="0" w:after="0"/>
              <w:ind w:firstLine="720"/>
            </w:pPr>
            <w:r w:rsidRPr="00B57019">
              <w:t>3</w:t>
            </w:r>
          </w:p>
        </w:tc>
        <w:tc>
          <w:tcPr>
            <w:tcW w:w="94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D280E8" w14:textId="77777777" w:rsidR="00134188" w:rsidRPr="00B57019" w:rsidRDefault="003B71E0" w:rsidP="00434F0A">
            <w:pPr>
              <w:pStyle w:val="naisc"/>
              <w:spacing w:before="0" w:after="0"/>
              <w:ind w:firstLine="720"/>
            </w:pPr>
            <w:r w:rsidRPr="00B57019">
              <w:t>4</w:t>
            </w:r>
          </w:p>
        </w:tc>
        <w:tc>
          <w:tcPr>
            <w:tcW w:w="1012" w:type="pct"/>
            <w:tcBorders>
              <w:top w:val="single" w:sz="4" w:space="0" w:color="auto"/>
              <w:left w:val="single" w:sz="4" w:space="0" w:color="auto"/>
              <w:bottom w:val="single" w:sz="4" w:space="0" w:color="auto"/>
            </w:tcBorders>
          </w:tcPr>
          <w:p w14:paraId="37A817AD" w14:textId="77777777" w:rsidR="00134188" w:rsidRPr="00B57019" w:rsidRDefault="003B71E0" w:rsidP="00434F0A">
            <w:pPr>
              <w:jc w:val="center"/>
            </w:pPr>
            <w:r w:rsidRPr="00B57019">
              <w:t>5</w:t>
            </w:r>
          </w:p>
        </w:tc>
      </w:tr>
      <w:tr w:rsidR="00B57019" w:rsidRPr="00B57019" w14:paraId="6FE818C4" w14:textId="77777777" w:rsidTr="64605ADC">
        <w:trPr>
          <w:trHeight w:val="393"/>
          <w:jc w:val="center"/>
        </w:trPr>
        <w:tc>
          <w:tcPr>
            <w:tcW w:w="5000" w:type="pct"/>
            <w:gridSpan w:val="5"/>
            <w:tcBorders>
              <w:left w:val="single" w:sz="6" w:space="0" w:color="000000" w:themeColor="text1"/>
              <w:bottom w:val="single" w:sz="4" w:space="0" w:color="auto"/>
            </w:tcBorders>
          </w:tcPr>
          <w:p w14:paraId="2F8A839E" w14:textId="77777777" w:rsidR="002524B1" w:rsidRPr="00B57019" w:rsidRDefault="002524B1" w:rsidP="002524B1">
            <w:pPr>
              <w:pStyle w:val="ListParagraph"/>
              <w:spacing w:after="0" w:line="240" w:lineRule="auto"/>
              <w:ind w:left="0"/>
              <w:jc w:val="center"/>
              <w:rPr>
                <w:rFonts w:ascii="Times New Roman" w:hAnsi="Times New Roman"/>
                <w:b/>
                <w:sz w:val="24"/>
                <w:szCs w:val="24"/>
                <w:lang w:val="lv-LV"/>
              </w:rPr>
            </w:pPr>
            <w:r w:rsidRPr="00B57019">
              <w:rPr>
                <w:rFonts w:ascii="Times New Roman" w:hAnsi="Times New Roman"/>
                <w:b/>
                <w:sz w:val="24"/>
                <w:szCs w:val="24"/>
                <w:lang w:val="lv-LV"/>
              </w:rPr>
              <w:t>Iekšlietu ministrija</w:t>
            </w:r>
          </w:p>
        </w:tc>
      </w:tr>
      <w:tr w:rsidR="00B57019" w:rsidRPr="00B57019" w14:paraId="7176984B" w14:textId="77777777" w:rsidTr="64605ADC">
        <w:trPr>
          <w:trHeight w:val="693"/>
          <w:jc w:val="center"/>
        </w:trPr>
        <w:tc>
          <w:tcPr>
            <w:tcW w:w="190" w:type="pct"/>
            <w:tcBorders>
              <w:left w:val="single" w:sz="6" w:space="0" w:color="000000" w:themeColor="text1"/>
              <w:bottom w:val="single" w:sz="4" w:space="0" w:color="auto"/>
              <w:right w:val="single" w:sz="6" w:space="0" w:color="000000" w:themeColor="text1"/>
            </w:tcBorders>
          </w:tcPr>
          <w:p w14:paraId="360B0546" w14:textId="740E07AF" w:rsidR="002524B1" w:rsidRPr="00B57019" w:rsidRDefault="00777328" w:rsidP="002524B1">
            <w:pPr>
              <w:pStyle w:val="naisc"/>
              <w:spacing w:before="0" w:after="0"/>
              <w:jc w:val="both"/>
            </w:pPr>
            <w:r w:rsidRPr="00B57019">
              <w:t>36</w:t>
            </w:r>
            <w:r w:rsidR="002524B1" w:rsidRPr="00B57019">
              <w:t>.</w:t>
            </w:r>
          </w:p>
        </w:tc>
        <w:tc>
          <w:tcPr>
            <w:tcW w:w="456" w:type="pct"/>
            <w:tcBorders>
              <w:left w:val="single" w:sz="6" w:space="0" w:color="000000" w:themeColor="text1"/>
              <w:bottom w:val="single" w:sz="4" w:space="0" w:color="auto"/>
              <w:right w:val="single" w:sz="6" w:space="0" w:color="000000" w:themeColor="text1"/>
            </w:tcBorders>
          </w:tcPr>
          <w:p w14:paraId="5FD621D3" w14:textId="77777777" w:rsidR="002524B1" w:rsidRPr="00B57019" w:rsidRDefault="002524B1" w:rsidP="002524B1">
            <w:pPr>
              <w:pStyle w:val="naisc"/>
              <w:spacing w:before="0" w:after="0"/>
              <w:jc w:val="both"/>
              <w:rPr>
                <w:bCs/>
              </w:rPr>
            </w:pPr>
            <w:r w:rsidRPr="00B57019">
              <w:t>Informatīvā ziņojuma projekts.</w:t>
            </w:r>
          </w:p>
        </w:tc>
        <w:tc>
          <w:tcPr>
            <w:tcW w:w="2399" w:type="pct"/>
            <w:tcBorders>
              <w:left w:val="single" w:sz="6" w:space="0" w:color="000000" w:themeColor="text1"/>
              <w:bottom w:val="single" w:sz="4" w:space="0" w:color="auto"/>
              <w:right w:val="single" w:sz="6" w:space="0" w:color="000000" w:themeColor="text1"/>
            </w:tcBorders>
          </w:tcPr>
          <w:p w14:paraId="34DC7BDC" w14:textId="77777777" w:rsidR="002524B1" w:rsidRPr="00B57019" w:rsidRDefault="002524B1" w:rsidP="002524B1">
            <w:pPr>
              <w:pStyle w:val="ListParagraph"/>
              <w:widowControl w:val="0"/>
              <w:spacing w:after="0" w:line="240" w:lineRule="auto"/>
              <w:ind w:left="0"/>
              <w:jc w:val="both"/>
              <w:rPr>
                <w:rFonts w:ascii="Times New Roman" w:hAnsi="Times New Roman"/>
                <w:bCs/>
                <w:sz w:val="24"/>
                <w:szCs w:val="24"/>
                <w:lang w:val="lv-LV"/>
              </w:rPr>
            </w:pPr>
            <w:r w:rsidRPr="00B57019">
              <w:rPr>
                <w:rFonts w:ascii="Times New Roman" w:hAnsi="Times New Roman"/>
                <w:sz w:val="24"/>
                <w:szCs w:val="24"/>
                <w:lang w:val="lv-LV"/>
              </w:rPr>
              <w:t>Precizēt informatīvā ziņojuma 5.pielikumu, norādot iestādes, kuras ir iekļautas pielikumā minēto 186 iestāžu skaitā, lai izvērtētu, vai norādītā informācija ir attiecināma uz Iekšlietu ministriju un tās padotībā esošajām iestādēm.</w:t>
            </w:r>
          </w:p>
        </w:tc>
        <w:tc>
          <w:tcPr>
            <w:tcW w:w="943" w:type="pct"/>
            <w:tcBorders>
              <w:left w:val="single" w:sz="6" w:space="0" w:color="000000" w:themeColor="text1"/>
              <w:bottom w:val="single" w:sz="4" w:space="0" w:color="auto"/>
              <w:right w:val="single" w:sz="6" w:space="0" w:color="000000" w:themeColor="text1"/>
            </w:tcBorders>
          </w:tcPr>
          <w:p w14:paraId="09888975" w14:textId="77777777" w:rsidR="002524B1" w:rsidRPr="00B57019" w:rsidRDefault="002524B1" w:rsidP="002524B1">
            <w:pPr>
              <w:pStyle w:val="PlainText"/>
              <w:jc w:val="both"/>
              <w:rPr>
                <w:rFonts w:ascii="Times New Roman" w:hAnsi="Times New Roman"/>
                <w:b/>
                <w:sz w:val="24"/>
                <w:szCs w:val="24"/>
                <w:lang w:val="lv-LV"/>
              </w:rPr>
            </w:pPr>
            <w:r w:rsidRPr="00B57019">
              <w:rPr>
                <w:rFonts w:ascii="Times New Roman" w:hAnsi="Times New Roman"/>
                <w:b/>
                <w:sz w:val="24"/>
                <w:szCs w:val="24"/>
                <w:lang w:val="lv-LV"/>
              </w:rPr>
              <w:t>Iebildums ņemts vērā</w:t>
            </w:r>
            <w:r w:rsidR="004541DB" w:rsidRPr="00B57019">
              <w:rPr>
                <w:rFonts w:ascii="Times New Roman" w:hAnsi="Times New Roman"/>
                <w:b/>
                <w:sz w:val="24"/>
                <w:szCs w:val="24"/>
                <w:lang w:val="lv-LV"/>
              </w:rPr>
              <w:t>.</w:t>
            </w:r>
          </w:p>
        </w:tc>
        <w:tc>
          <w:tcPr>
            <w:tcW w:w="1012" w:type="pct"/>
            <w:tcBorders>
              <w:top w:val="single" w:sz="4" w:space="0" w:color="auto"/>
              <w:left w:val="single" w:sz="4" w:space="0" w:color="auto"/>
              <w:bottom w:val="single" w:sz="4" w:space="0" w:color="auto"/>
            </w:tcBorders>
          </w:tcPr>
          <w:p w14:paraId="560DFB82" w14:textId="77777777" w:rsidR="002524B1" w:rsidRPr="00B57019" w:rsidRDefault="00EE612E" w:rsidP="00EE612E">
            <w:pPr>
              <w:pStyle w:val="ListParagraph"/>
              <w:spacing w:after="0" w:line="240" w:lineRule="auto"/>
              <w:ind w:left="0"/>
              <w:jc w:val="both"/>
              <w:rPr>
                <w:rFonts w:ascii="Times New Roman" w:hAnsi="Times New Roman"/>
                <w:sz w:val="24"/>
                <w:szCs w:val="24"/>
                <w:lang w:val="lv-LV"/>
              </w:rPr>
            </w:pPr>
            <w:r w:rsidRPr="00B57019">
              <w:rPr>
                <w:rFonts w:ascii="Times New Roman" w:hAnsi="Times New Roman"/>
                <w:sz w:val="24"/>
                <w:szCs w:val="24"/>
                <w:lang w:val="lv-LV"/>
              </w:rPr>
              <w:t xml:space="preserve">Informatīvā ziņojuma projekta </w:t>
            </w:r>
            <w:r w:rsidR="002524B1" w:rsidRPr="00B57019">
              <w:rPr>
                <w:rFonts w:ascii="Times New Roman" w:hAnsi="Times New Roman"/>
                <w:sz w:val="24"/>
                <w:szCs w:val="24"/>
                <w:lang w:val="lv-LV"/>
              </w:rPr>
              <w:t>5.pielikums papildināts</w:t>
            </w:r>
            <w:r w:rsidRPr="00B57019">
              <w:rPr>
                <w:rFonts w:ascii="Times New Roman" w:hAnsi="Times New Roman"/>
                <w:sz w:val="24"/>
                <w:szCs w:val="24"/>
                <w:lang w:val="lv-LV"/>
              </w:rPr>
              <w:t>.</w:t>
            </w:r>
          </w:p>
        </w:tc>
      </w:tr>
      <w:tr w:rsidR="00B57019" w:rsidRPr="00B57019" w14:paraId="3C4BCB70" w14:textId="77777777" w:rsidTr="64605ADC">
        <w:trPr>
          <w:trHeight w:val="693"/>
          <w:jc w:val="center"/>
        </w:trPr>
        <w:tc>
          <w:tcPr>
            <w:tcW w:w="190" w:type="pct"/>
            <w:tcBorders>
              <w:left w:val="single" w:sz="6" w:space="0" w:color="000000" w:themeColor="text1"/>
              <w:bottom w:val="single" w:sz="4" w:space="0" w:color="auto"/>
              <w:right w:val="single" w:sz="6" w:space="0" w:color="000000" w:themeColor="text1"/>
            </w:tcBorders>
          </w:tcPr>
          <w:p w14:paraId="6DBD6EED" w14:textId="7EAA110D" w:rsidR="002524B1" w:rsidRPr="00B57019" w:rsidRDefault="00777328" w:rsidP="002524B1">
            <w:pPr>
              <w:pStyle w:val="naisc"/>
              <w:spacing w:before="0" w:after="0"/>
              <w:jc w:val="both"/>
            </w:pPr>
            <w:r w:rsidRPr="00B57019">
              <w:t>37</w:t>
            </w:r>
            <w:r w:rsidR="002524B1" w:rsidRPr="00B57019">
              <w:t>.</w:t>
            </w:r>
          </w:p>
        </w:tc>
        <w:tc>
          <w:tcPr>
            <w:tcW w:w="456" w:type="pct"/>
            <w:tcBorders>
              <w:left w:val="single" w:sz="6" w:space="0" w:color="000000" w:themeColor="text1"/>
              <w:bottom w:val="single" w:sz="4" w:space="0" w:color="auto"/>
              <w:right w:val="single" w:sz="6" w:space="0" w:color="000000" w:themeColor="text1"/>
            </w:tcBorders>
          </w:tcPr>
          <w:p w14:paraId="175579B4" w14:textId="77777777" w:rsidR="002524B1" w:rsidRPr="00B57019" w:rsidRDefault="002524B1" w:rsidP="002524B1">
            <w:pPr>
              <w:pStyle w:val="naisc"/>
              <w:spacing w:before="0" w:after="0"/>
              <w:jc w:val="both"/>
              <w:rPr>
                <w:bCs/>
              </w:rPr>
            </w:pPr>
            <w:r w:rsidRPr="00B57019">
              <w:t>Informatīvā ziņojuma projekta 5. pielikums.</w:t>
            </w:r>
          </w:p>
        </w:tc>
        <w:tc>
          <w:tcPr>
            <w:tcW w:w="2399" w:type="pct"/>
            <w:tcBorders>
              <w:left w:val="single" w:sz="6" w:space="0" w:color="000000" w:themeColor="text1"/>
              <w:bottom w:val="single" w:sz="4" w:space="0" w:color="auto"/>
              <w:right w:val="single" w:sz="6" w:space="0" w:color="000000" w:themeColor="text1"/>
            </w:tcBorders>
          </w:tcPr>
          <w:p w14:paraId="452AAEC1" w14:textId="77777777" w:rsidR="002524B1" w:rsidRPr="00B57019" w:rsidRDefault="002524B1" w:rsidP="002524B1">
            <w:pPr>
              <w:pStyle w:val="ListParagraph"/>
              <w:widowControl w:val="0"/>
              <w:spacing w:after="0" w:line="240" w:lineRule="auto"/>
              <w:ind w:left="0"/>
              <w:jc w:val="both"/>
              <w:rPr>
                <w:rFonts w:ascii="Times New Roman" w:hAnsi="Times New Roman"/>
                <w:sz w:val="24"/>
                <w:szCs w:val="24"/>
                <w:lang w:val="lv-LV"/>
              </w:rPr>
            </w:pPr>
            <w:r w:rsidRPr="00B57019">
              <w:rPr>
                <w:rFonts w:ascii="Times New Roman" w:hAnsi="Times New Roman"/>
                <w:sz w:val="24"/>
                <w:szCs w:val="24"/>
                <w:lang w:val="lv-LV"/>
              </w:rPr>
              <w:t xml:space="preserve">Precizēt informatīvā ziņojuma 5.pielikumu, norādot, kādas darbības ir paredzēts iekļaut pielikuma 1.tabulā noteiktajā </w:t>
            </w:r>
            <w:r w:rsidRPr="00B57019">
              <w:rPr>
                <w:rFonts w:ascii="Times New Roman" w:hAnsi="Times New Roman"/>
                <w:i/>
                <w:sz w:val="24"/>
                <w:szCs w:val="24"/>
                <w:lang w:val="lv-LV"/>
              </w:rPr>
              <w:t>“līguma uzturēšanā”</w:t>
            </w:r>
            <w:r w:rsidRPr="00B57019">
              <w:rPr>
                <w:rFonts w:ascii="Times New Roman" w:hAnsi="Times New Roman"/>
                <w:sz w:val="24"/>
                <w:szCs w:val="24"/>
                <w:lang w:val="lv-LV"/>
              </w:rPr>
              <w:t xml:space="preserve"> un 2.tabulā noteiktajā </w:t>
            </w:r>
            <w:r w:rsidRPr="00B57019">
              <w:rPr>
                <w:rFonts w:ascii="Times New Roman" w:hAnsi="Times New Roman"/>
                <w:i/>
                <w:sz w:val="24"/>
                <w:szCs w:val="24"/>
                <w:lang w:val="lv-LV"/>
              </w:rPr>
              <w:t>“vidējā rēķinu apstrādes laikā”</w:t>
            </w:r>
            <w:r w:rsidRPr="00B57019">
              <w:rPr>
                <w:rFonts w:ascii="Times New Roman" w:hAnsi="Times New Roman"/>
                <w:sz w:val="24"/>
                <w:szCs w:val="24"/>
                <w:lang w:val="lv-LV"/>
              </w:rPr>
              <w:t>.</w:t>
            </w:r>
          </w:p>
        </w:tc>
        <w:tc>
          <w:tcPr>
            <w:tcW w:w="943" w:type="pct"/>
            <w:tcBorders>
              <w:left w:val="single" w:sz="6" w:space="0" w:color="000000" w:themeColor="text1"/>
              <w:bottom w:val="single" w:sz="4" w:space="0" w:color="auto"/>
              <w:right w:val="single" w:sz="6" w:space="0" w:color="000000" w:themeColor="text1"/>
            </w:tcBorders>
          </w:tcPr>
          <w:p w14:paraId="117EFD14" w14:textId="77777777" w:rsidR="002524B1" w:rsidRPr="00B57019" w:rsidRDefault="002524B1" w:rsidP="002524B1">
            <w:pPr>
              <w:pStyle w:val="PlainText"/>
              <w:jc w:val="both"/>
              <w:rPr>
                <w:rFonts w:ascii="Times New Roman" w:hAnsi="Times New Roman"/>
                <w:b/>
                <w:sz w:val="24"/>
                <w:szCs w:val="24"/>
                <w:lang w:val="lv-LV"/>
              </w:rPr>
            </w:pPr>
            <w:r w:rsidRPr="00B57019">
              <w:rPr>
                <w:rFonts w:ascii="Times New Roman" w:hAnsi="Times New Roman"/>
                <w:b/>
                <w:sz w:val="24"/>
                <w:szCs w:val="24"/>
                <w:lang w:val="lv-LV"/>
              </w:rPr>
              <w:t>Iebildums ņemts vērā</w:t>
            </w:r>
            <w:r w:rsidR="004541DB" w:rsidRPr="00B57019">
              <w:rPr>
                <w:rFonts w:ascii="Times New Roman" w:hAnsi="Times New Roman"/>
                <w:b/>
                <w:sz w:val="24"/>
                <w:szCs w:val="24"/>
                <w:lang w:val="lv-LV"/>
              </w:rPr>
              <w:t>.</w:t>
            </w:r>
          </w:p>
        </w:tc>
        <w:tc>
          <w:tcPr>
            <w:tcW w:w="1012" w:type="pct"/>
            <w:tcBorders>
              <w:top w:val="single" w:sz="4" w:space="0" w:color="auto"/>
              <w:left w:val="single" w:sz="4" w:space="0" w:color="auto"/>
              <w:bottom w:val="single" w:sz="4" w:space="0" w:color="auto"/>
            </w:tcBorders>
          </w:tcPr>
          <w:p w14:paraId="4FBFAF5F" w14:textId="53F4C7FA" w:rsidR="002524B1" w:rsidRPr="00B57019" w:rsidRDefault="00EE612E" w:rsidP="00EE612E">
            <w:pPr>
              <w:jc w:val="both"/>
            </w:pPr>
            <w:r w:rsidRPr="00B57019">
              <w:t>Informatīvā ziņojuma projek</w:t>
            </w:r>
            <w:r w:rsidR="003765B3" w:rsidRPr="00B57019">
              <w:t>t</w:t>
            </w:r>
            <w:r w:rsidR="006C5E5C" w:rsidRPr="00B57019">
              <w:t>a 5.pielikum</w:t>
            </w:r>
            <w:r w:rsidR="0089002A" w:rsidRPr="00B57019">
              <w:t>a 2. punkts</w:t>
            </w:r>
            <w:r w:rsidRPr="00B57019">
              <w:t xml:space="preserve"> </w:t>
            </w:r>
            <w:r w:rsidR="00663691" w:rsidRPr="00B57019">
              <w:t>p</w:t>
            </w:r>
            <w:r w:rsidR="002524B1" w:rsidRPr="00B57019">
              <w:t>apildināts ar attiecīg</w:t>
            </w:r>
            <w:r w:rsidR="0064093F" w:rsidRPr="00B57019">
              <w:t>i</w:t>
            </w:r>
            <w:r w:rsidR="002524B1" w:rsidRPr="00B57019">
              <w:t>em skaidrojumiem</w:t>
            </w:r>
          </w:p>
          <w:p w14:paraId="07B7B7D1" w14:textId="77777777" w:rsidR="002524B1" w:rsidRPr="00B57019" w:rsidRDefault="002524B1" w:rsidP="00EE612E">
            <w:pPr>
              <w:jc w:val="both"/>
            </w:pPr>
          </w:p>
          <w:p w14:paraId="2E137A69" w14:textId="77777777" w:rsidR="002524B1" w:rsidRPr="00B57019" w:rsidRDefault="002524B1" w:rsidP="00EE612E">
            <w:pPr>
              <w:pStyle w:val="ListParagraph"/>
              <w:spacing w:after="0" w:line="240" w:lineRule="auto"/>
              <w:ind w:left="0"/>
              <w:jc w:val="both"/>
              <w:rPr>
                <w:rFonts w:ascii="Times New Roman" w:hAnsi="Times New Roman"/>
                <w:sz w:val="24"/>
                <w:szCs w:val="24"/>
                <w:lang w:val="lv-LV"/>
              </w:rPr>
            </w:pPr>
          </w:p>
        </w:tc>
      </w:tr>
      <w:tr w:rsidR="00B57019" w:rsidRPr="00B57019" w14:paraId="78E8322F" w14:textId="77777777" w:rsidTr="64605ADC">
        <w:trPr>
          <w:trHeight w:val="303"/>
          <w:jc w:val="center"/>
        </w:trPr>
        <w:tc>
          <w:tcPr>
            <w:tcW w:w="5000" w:type="pct"/>
            <w:gridSpan w:val="5"/>
            <w:tcBorders>
              <w:left w:val="single" w:sz="6" w:space="0" w:color="000000" w:themeColor="text1"/>
              <w:bottom w:val="single" w:sz="4" w:space="0" w:color="auto"/>
            </w:tcBorders>
          </w:tcPr>
          <w:p w14:paraId="368DCC6D" w14:textId="77777777" w:rsidR="00864F02" w:rsidRPr="00B57019" w:rsidRDefault="00864F02" w:rsidP="00864F02">
            <w:pPr>
              <w:pStyle w:val="ListParagraph"/>
              <w:spacing w:after="0" w:line="240" w:lineRule="auto"/>
              <w:ind w:left="0"/>
              <w:jc w:val="center"/>
              <w:rPr>
                <w:rFonts w:ascii="Times New Roman" w:hAnsi="Times New Roman"/>
                <w:b/>
                <w:sz w:val="24"/>
                <w:szCs w:val="24"/>
                <w:lang w:val="lv-LV"/>
              </w:rPr>
            </w:pPr>
            <w:r w:rsidRPr="00B57019">
              <w:rPr>
                <w:rFonts w:ascii="Times New Roman" w:hAnsi="Times New Roman"/>
                <w:b/>
                <w:sz w:val="24"/>
                <w:szCs w:val="24"/>
                <w:lang w:val="lv-LV"/>
              </w:rPr>
              <w:t>Izglītības un zinātnes ministrija</w:t>
            </w:r>
          </w:p>
        </w:tc>
      </w:tr>
      <w:tr w:rsidR="00B57019" w:rsidRPr="00B57019" w14:paraId="425F50D6" w14:textId="77777777" w:rsidTr="64605ADC">
        <w:trPr>
          <w:trHeight w:val="552"/>
          <w:jc w:val="center"/>
        </w:trPr>
        <w:tc>
          <w:tcPr>
            <w:tcW w:w="190" w:type="pct"/>
            <w:tcBorders>
              <w:left w:val="single" w:sz="6" w:space="0" w:color="000000" w:themeColor="text1"/>
              <w:bottom w:val="single" w:sz="4" w:space="0" w:color="auto"/>
              <w:right w:val="single" w:sz="6" w:space="0" w:color="000000" w:themeColor="text1"/>
            </w:tcBorders>
          </w:tcPr>
          <w:p w14:paraId="7EDA24F0" w14:textId="5ABDE053" w:rsidR="00864F02" w:rsidRPr="00B57019" w:rsidRDefault="00777328" w:rsidP="001D26B9">
            <w:pPr>
              <w:pStyle w:val="naisc"/>
              <w:spacing w:before="0" w:after="0"/>
              <w:jc w:val="both"/>
            </w:pPr>
            <w:r w:rsidRPr="00B57019">
              <w:t>38</w:t>
            </w:r>
            <w:r w:rsidR="001D26B9" w:rsidRPr="00B57019">
              <w:t>.</w:t>
            </w:r>
          </w:p>
        </w:tc>
        <w:tc>
          <w:tcPr>
            <w:tcW w:w="456" w:type="pct"/>
            <w:tcBorders>
              <w:left w:val="single" w:sz="6" w:space="0" w:color="000000" w:themeColor="text1"/>
              <w:bottom w:val="single" w:sz="4" w:space="0" w:color="auto"/>
              <w:right w:val="single" w:sz="6" w:space="0" w:color="000000" w:themeColor="text1"/>
            </w:tcBorders>
          </w:tcPr>
          <w:p w14:paraId="11C812BC" w14:textId="77777777" w:rsidR="00864F02" w:rsidRPr="00B57019" w:rsidRDefault="00864F02" w:rsidP="00864F02">
            <w:pPr>
              <w:pStyle w:val="naisc"/>
              <w:spacing w:before="0" w:after="0"/>
              <w:jc w:val="both"/>
              <w:rPr>
                <w:bCs/>
              </w:rPr>
            </w:pPr>
            <w:r w:rsidRPr="00B57019">
              <w:t>Informatīvā ziņojuma projekts.</w:t>
            </w:r>
          </w:p>
        </w:tc>
        <w:tc>
          <w:tcPr>
            <w:tcW w:w="2399" w:type="pct"/>
            <w:tcBorders>
              <w:left w:val="single" w:sz="6" w:space="0" w:color="000000" w:themeColor="text1"/>
              <w:bottom w:val="single" w:sz="4" w:space="0" w:color="auto"/>
              <w:right w:val="single" w:sz="6" w:space="0" w:color="000000" w:themeColor="text1"/>
            </w:tcBorders>
          </w:tcPr>
          <w:p w14:paraId="43838067" w14:textId="77777777" w:rsidR="00864F02" w:rsidRPr="00B57019" w:rsidRDefault="00864F02" w:rsidP="00864F02">
            <w:pPr>
              <w:pStyle w:val="ListParagraph"/>
              <w:widowControl w:val="0"/>
              <w:spacing w:after="0" w:line="240" w:lineRule="auto"/>
              <w:ind w:left="0"/>
              <w:jc w:val="both"/>
              <w:rPr>
                <w:rFonts w:ascii="Times New Roman" w:hAnsi="Times New Roman"/>
                <w:bCs/>
                <w:sz w:val="24"/>
                <w:szCs w:val="24"/>
                <w:lang w:val="lv-LV"/>
              </w:rPr>
            </w:pPr>
            <w:r w:rsidRPr="00B57019">
              <w:rPr>
                <w:rFonts w:ascii="Times New Roman" w:hAnsi="Times New Roman"/>
                <w:sz w:val="24"/>
                <w:szCs w:val="24"/>
              </w:rPr>
              <w:t>Ziņojumā ir plaši atspoguļoti Valsts reģionālās attīstības aģentūras (turpmāk – VRAA) uzturēto centralizēto platformu radītie un prognozējamie ieguvumi valsts pārvaldē, kā arī to uzturēšanai un attīstībai nepieciešamais finansējums un cilvēkresursi, taču tas nesniedz visaptverošu informāciju par protokollēmuma projektā noteikto bāzes izdevumu un amata vietu samazinājumu sadalījumā pa ministrijām. Turklāt nav  ņemts vērā tas, ka ministrijas jau ir veikušas amata vietu samazinājumu, ievērojot Valsts pārvaldes reformu plānā 2020 noteikto. Ņemot vērā minēto, lūdzam Ziņojumā sniegt papildu informāciju pēc kādas novērtēšanas metodikas tika aprēķināts apmērs noteiktajam samazinājumam sadalījumā pa ministrijām.</w:t>
            </w:r>
          </w:p>
        </w:tc>
        <w:tc>
          <w:tcPr>
            <w:tcW w:w="943" w:type="pct"/>
            <w:tcBorders>
              <w:left w:val="single" w:sz="6" w:space="0" w:color="000000" w:themeColor="text1"/>
              <w:bottom w:val="single" w:sz="4" w:space="0" w:color="auto"/>
              <w:right w:val="single" w:sz="6" w:space="0" w:color="000000" w:themeColor="text1"/>
            </w:tcBorders>
          </w:tcPr>
          <w:p w14:paraId="26E1BB8C" w14:textId="77777777" w:rsidR="00864F02" w:rsidRPr="00B57019" w:rsidRDefault="00864F02" w:rsidP="00864F02">
            <w:pPr>
              <w:pStyle w:val="PlainText"/>
              <w:jc w:val="both"/>
              <w:rPr>
                <w:rFonts w:ascii="Times New Roman" w:hAnsi="Times New Roman"/>
                <w:b/>
                <w:sz w:val="24"/>
                <w:szCs w:val="24"/>
                <w:lang w:val="lv-LV"/>
              </w:rPr>
            </w:pPr>
            <w:r w:rsidRPr="00B57019">
              <w:rPr>
                <w:rFonts w:ascii="Times New Roman" w:hAnsi="Times New Roman"/>
                <w:b/>
                <w:sz w:val="24"/>
                <w:szCs w:val="24"/>
                <w:lang w:val="lv-LV"/>
              </w:rPr>
              <w:t xml:space="preserve">Iebildums ņemts vērā. </w:t>
            </w:r>
          </w:p>
          <w:p w14:paraId="2C9999B4" w14:textId="77777777" w:rsidR="00864F02" w:rsidRPr="00B57019" w:rsidRDefault="00864F02" w:rsidP="00864F02">
            <w:pPr>
              <w:jc w:val="both"/>
            </w:pPr>
          </w:p>
          <w:p w14:paraId="02DA2ACF" w14:textId="0E370377" w:rsidR="008B4A15" w:rsidRPr="00B57019" w:rsidRDefault="008B4A15" w:rsidP="008B4A15">
            <w:pPr>
              <w:jc w:val="both"/>
            </w:pPr>
            <w:r w:rsidRPr="00B57019">
              <w:t xml:space="preserve">Skatīt </w:t>
            </w:r>
            <w:r w:rsidR="009851F7" w:rsidRPr="00B57019">
              <w:t xml:space="preserve">informatīvā ziņojuma projekta 6. </w:t>
            </w:r>
            <w:r w:rsidRPr="00B57019">
              <w:t>pielikumu.</w:t>
            </w:r>
          </w:p>
          <w:p w14:paraId="1BAA64C9" w14:textId="77777777" w:rsidR="00864F02" w:rsidRPr="00B57019" w:rsidRDefault="00864F02" w:rsidP="00864F02">
            <w:pPr>
              <w:jc w:val="both"/>
            </w:pPr>
          </w:p>
          <w:p w14:paraId="72E9370D" w14:textId="77777777" w:rsidR="00864F02" w:rsidRPr="00B57019" w:rsidRDefault="00864F02" w:rsidP="00864F02">
            <w:pPr>
              <w:jc w:val="both"/>
              <w:rPr>
                <w:b/>
              </w:rPr>
            </w:pPr>
            <w:r w:rsidRPr="00B57019">
              <w:t xml:space="preserve"> </w:t>
            </w:r>
          </w:p>
        </w:tc>
        <w:tc>
          <w:tcPr>
            <w:tcW w:w="1012" w:type="pct"/>
            <w:tcBorders>
              <w:top w:val="single" w:sz="4" w:space="0" w:color="auto"/>
              <w:left w:val="single" w:sz="4" w:space="0" w:color="auto"/>
              <w:bottom w:val="single" w:sz="4" w:space="0" w:color="auto"/>
            </w:tcBorders>
          </w:tcPr>
          <w:p w14:paraId="77F1EB39" w14:textId="2F3AFF8D" w:rsidR="00864F02" w:rsidRPr="00B57019" w:rsidRDefault="00864F02" w:rsidP="00864F02">
            <w:pPr>
              <w:jc w:val="both"/>
            </w:pPr>
            <w:r w:rsidRPr="00B57019">
              <w:t>Informatīv</w:t>
            </w:r>
            <w:r w:rsidR="00634803" w:rsidRPr="00B57019">
              <w:t>ā</w:t>
            </w:r>
            <w:r w:rsidRPr="00B57019">
              <w:t xml:space="preserve"> ziņojum</w:t>
            </w:r>
            <w:r w:rsidR="00634803" w:rsidRPr="00B57019">
              <w:t>a 3. punkts</w:t>
            </w:r>
            <w:r w:rsidRPr="00B57019">
              <w:t xml:space="preserve"> papildināts ar tekstu šādā redakcijā:</w:t>
            </w:r>
          </w:p>
          <w:p w14:paraId="678562B0" w14:textId="7ED336C0" w:rsidR="00864F02" w:rsidRPr="00B57019" w:rsidRDefault="00864F02" w:rsidP="00864F02">
            <w:pPr>
              <w:pStyle w:val="ListParagraph"/>
              <w:spacing w:after="0" w:line="240" w:lineRule="auto"/>
              <w:ind w:left="0"/>
              <w:jc w:val="both"/>
              <w:rPr>
                <w:rFonts w:ascii="Times New Roman" w:hAnsi="Times New Roman"/>
                <w:sz w:val="24"/>
                <w:szCs w:val="24"/>
              </w:rPr>
            </w:pPr>
            <w:r w:rsidRPr="00B57019">
              <w:rPr>
                <w:rFonts w:ascii="Times New Roman" w:hAnsi="Times New Roman"/>
                <w:sz w:val="24"/>
                <w:szCs w:val="24"/>
              </w:rPr>
              <w:t xml:space="preserve">“Ietaupītā darba laika apjoms ir aprēķināts, sadalot saskaņā ar Ziņojuma pielikumos Nr. 1. – Nr. 5. aprakstītajām metodēm aprēķināto summāro ietaupījumu proporcionāli pa nozaru ministrijām, atbilstoši </w:t>
            </w:r>
            <w:r w:rsidR="3D77D161" w:rsidRPr="00B57019">
              <w:rPr>
                <w:rFonts w:ascii="Times New Roman" w:hAnsi="Times New Roman"/>
                <w:sz w:val="24"/>
                <w:szCs w:val="24"/>
              </w:rPr>
              <w:t>ministriju un padotības iestāžu kopējam nodarbināto skaitam pēc Valsts kancelejas datiem.”</w:t>
            </w:r>
          </w:p>
          <w:p w14:paraId="0327D5BB" w14:textId="77777777" w:rsidR="00336A54" w:rsidRPr="00B57019" w:rsidRDefault="00336A54" w:rsidP="00864F02">
            <w:pPr>
              <w:pStyle w:val="ListParagraph"/>
              <w:spacing w:after="0" w:line="240" w:lineRule="auto"/>
              <w:ind w:left="0"/>
              <w:jc w:val="both"/>
              <w:rPr>
                <w:rFonts w:ascii="Times New Roman" w:hAnsi="Times New Roman"/>
                <w:sz w:val="24"/>
                <w:szCs w:val="24"/>
              </w:rPr>
            </w:pPr>
          </w:p>
          <w:p w14:paraId="16D9F381" w14:textId="4F138047" w:rsidR="00336A54" w:rsidRPr="00B57019" w:rsidRDefault="00336A54" w:rsidP="00336A54">
            <w:r w:rsidRPr="00B57019">
              <w:t>Informatīvais ziņojums papildināts ar 6. pielikumu.</w:t>
            </w:r>
          </w:p>
        </w:tc>
      </w:tr>
      <w:tr w:rsidR="00B57019" w:rsidRPr="00B57019" w14:paraId="78FDB9BF" w14:textId="77777777" w:rsidTr="64605ADC">
        <w:trPr>
          <w:trHeight w:val="693"/>
          <w:jc w:val="center"/>
        </w:trPr>
        <w:tc>
          <w:tcPr>
            <w:tcW w:w="190" w:type="pct"/>
            <w:tcBorders>
              <w:left w:val="single" w:sz="6" w:space="0" w:color="000000" w:themeColor="text1"/>
              <w:bottom w:val="single" w:sz="4" w:space="0" w:color="auto"/>
              <w:right w:val="single" w:sz="6" w:space="0" w:color="000000" w:themeColor="text1"/>
            </w:tcBorders>
          </w:tcPr>
          <w:p w14:paraId="5DAD0BB0" w14:textId="459E398D" w:rsidR="00234C6C" w:rsidRPr="00B57019" w:rsidRDefault="001D26B9" w:rsidP="00777328">
            <w:pPr>
              <w:pStyle w:val="naisc"/>
              <w:spacing w:before="0" w:after="0"/>
              <w:jc w:val="both"/>
            </w:pPr>
            <w:r w:rsidRPr="00B57019">
              <w:t>3</w:t>
            </w:r>
            <w:r w:rsidR="00777328" w:rsidRPr="00B57019">
              <w:t>9</w:t>
            </w:r>
            <w:r w:rsidR="00234C6C" w:rsidRPr="00B57019">
              <w:t>.</w:t>
            </w:r>
          </w:p>
        </w:tc>
        <w:tc>
          <w:tcPr>
            <w:tcW w:w="456" w:type="pct"/>
            <w:tcBorders>
              <w:left w:val="single" w:sz="6" w:space="0" w:color="000000" w:themeColor="text1"/>
              <w:bottom w:val="single" w:sz="4" w:space="0" w:color="auto"/>
              <w:right w:val="single" w:sz="6" w:space="0" w:color="000000" w:themeColor="text1"/>
            </w:tcBorders>
          </w:tcPr>
          <w:p w14:paraId="52A658FF" w14:textId="77777777" w:rsidR="00234C6C" w:rsidRPr="00B57019" w:rsidRDefault="00234C6C" w:rsidP="00EE612E">
            <w:pPr>
              <w:pStyle w:val="naisc"/>
              <w:spacing w:before="0" w:after="0"/>
              <w:jc w:val="both"/>
              <w:rPr>
                <w:bCs/>
              </w:rPr>
            </w:pPr>
            <w:r w:rsidRPr="00B57019">
              <w:t>Informatīvā ziņojuma projekts.</w:t>
            </w:r>
          </w:p>
        </w:tc>
        <w:tc>
          <w:tcPr>
            <w:tcW w:w="2399" w:type="pct"/>
            <w:tcBorders>
              <w:left w:val="single" w:sz="6" w:space="0" w:color="000000" w:themeColor="text1"/>
              <w:bottom w:val="single" w:sz="4" w:space="0" w:color="auto"/>
              <w:right w:val="single" w:sz="6" w:space="0" w:color="000000" w:themeColor="text1"/>
            </w:tcBorders>
          </w:tcPr>
          <w:p w14:paraId="52B1045B" w14:textId="77777777" w:rsidR="00234C6C" w:rsidRPr="00B57019" w:rsidRDefault="00234C6C" w:rsidP="00EE612E">
            <w:pPr>
              <w:pStyle w:val="ListParagraph"/>
              <w:widowControl w:val="0"/>
              <w:spacing w:after="0" w:line="240" w:lineRule="auto"/>
              <w:ind w:left="0"/>
              <w:contextualSpacing w:val="0"/>
              <w:jc w:val="both"/>
              <w:rPr>
                <w:rFonts w:ascii="Times New Roman" w:hAnsi="Times New Roman"/>
                <w:bCs/>
                <w:sz w:val="24"/>
                <w:szCs w:val="24"/>
              </w:rPr>
            </w:pPr>
            <w:r w:rsidRPr="00B57019">
              <w:rPr>
                <w:rFonts w:ascii="Times New Roman" w:hAnsi="Times New Roman"/>
                <w:sz w:val="24"/>
                <w:szCs w:val="24"/>
              </w:rPr>
              <w:t>Ziņojumā un protokollēmuma projektā nav sniegta nepārprotama informācija par valsts informācijas un komunikācijas tehnoloģiju platformu (turpmāk – IKT platformas) uzturēšanai nepieciešamo cilvēkresursu piesaistes mehānismu. Lūdzam iekļaut informāciju, vai IKT platformu uzturēšanai darbiniekus plānots piesaistīt no esošajiem ministrijās strādājošajiem darbiniekiem, vai VRAA tiks pieņemti darbā jauni darbinieki.</w:t>
            </w:r>
          </w:p>
        </w:tc>
        <w:tc>
          <w:tcPr>
            <w:tcW w:w="943" w:type="pct"/>
            <w:tcBorders>
              <w:left w:val="single" w:sz="6" w:space="0" w:color="000000" w:themeColor="text1"/>
              <w:bottom w:val="single" w:sz="4" w:space="0" w:color="auto"/>
              <w:right w:val="single" w:sz="6" w:space="0" w:color="000000" w:themeColor="text1"/>
            </w:tcBorders>
          </w:tcPr>
          <w:p w14:paraId="6C00E91A" w14:textId="77777777" w:rsidR="00234C6C" w:rsidRPr="00B57019" w:rsidRDefault="00234C6C" w:rsidP="00EE612E">
            <w:pPr>
              <w:pStyle w:val="PlainText"/>
              <w:jc w:val="both"/>
              <w:rPr>
                <w:rFonts w:ascii="Times New Roman" w:hAnsi="Times New Roman"/>
                <w:b/>
                <w:sz w:val="24"/>
                <w:szCs w:val="24"/>
                <w:lang w:val="lv-LV"/>
              </w:rPr>
            </w:pPr>
            <w:r w:rsidRPr="00B57019">
              <w:rPr>
                <w:rFonts w:ascii="Times New Roman" w:hAnsi="Times New Roman"/>
                <w:b/>
                <w:sz w:val="24"/>
                <w:szCs w:val="24"/>
                <w:lang w:val="lv-LV"/>
              </w:rPr>
              <w:t>Iebildums ir ņemts vērā.</w:t>
            </w:r>
          </w:p>
          <w:p w14:paraId="0BC9B244" w14:textId="77777777" w:rsidR="00C97B91" w:rsidRPr="00B57019" w:rsidRDefault="00C97B91" w:rsidP="00C97B91">
            <w:pPr>
              <w:jc w:val="both"/>
            </w:pPr>
          </w:p>
          <w:p w14:paraId="79FB86AC" w14:textId="77777777" w:rsidR="00234C6C" w:rsidRPr="00B57019" w:rsidRDefault="00234C6C" w:rsidP="00C97B91">
            <w:pPr>
              <w:jc w:val="both"/>
              <w:rPr>
                <w:b/>
              </w:rPr>
            </w:pPr>
          </w:p>
        </w:tc>
        <w:tc>
          <w:tcPr>
            <w:tcW w:w="1012" w:type="pct"/>
            <w:tcBorders>
              <w:top w:val="single" w:sz="4" w:space="0" w:color="auto"/>
              <w:left w:val="single" w:sz="4" w:space="0" w:color="auto"/>
              <w:bottom w:val="single" w:sz="4" w:space="0" w:color="auto"/>
            </w:tcBorders>
          </w:tcPr>
          <w:p w14:paraId="416A7AFB" w14:textId="77777777" w:rsidR="00234C6C" w:rsidRPr="00B57019" w:rsidRDefault="00234C6C" w:rsidP="00EE612E">
            <w:pPr>
              <w:pStyle w:val="ListParagraph"/>
              <w:spacing w:after="0" w:line="240" w:lineRule="auto"/>
              <w:ind w:left="0"/>
              <w:jc w:val="both"/>
              <w:rPr>
                <w:rFonts w:ascii="Times New Roman" w:hAnsi="Times New Roman"/>
                <w:sz w:val="24"/>
                <w:szCs w:val="24"/>
                <w:lang w:val="lv-LV"/>
              </w:rPr>
            </w:pPr>
            <w:r w:rsidRPr="00B57019">
              <w:rPr>
                <w:rFonts w:ascii="Times New Roman" w:hAnsi="Times New Roman"/>
                <w:sz w:val="24"/>
                <w:szCs w:val="24"/>
                <w:lang w:val="lv-LV"/>
              </w:rPr>
              <w:t>Informatīvā ziņojuma projekt</w:t>
            </w:r>
            <w:r w:rsidR="00E17D8A" w:rsidRPr="00B57019">
              <w:rPr>
                <w:rFonts w:ascii="Times New Roman" w:hAnsi="Times New Roman"/>
                <w:sz w:val="24"/>
                <w:szCs w:val="24"/>
                <w:lang w:val="lv-LV"/>
              </w:rPr>
              <w:t>a 3.punkts</w:t>
            </w:r>
            <w:r w:rsidR="00175214" w:rsidRPr="00B57019">
              <w:rPr>
                <w:rFonts w:ascii="Times New Roman" w:hAnsi="Times New Roman"/>
                <w:sz w:val="24"/>
                <w:szCs w:val="24"/>
                <w:lang w:val="lv-LV"/>
              </w:rPr>
              <w:t xml:space="preserve"> </w:t>
            </w:r>
            <w:r w:rsidRPr="00B57019">
              <w:rPr>
                <w:rFonts w:ascii="Times New Roman" w:hAnsi="Times New Roman"/>
                <w:sz w:val="24"/>
                <w:szCs w:val="24"/>
                <w:lang w:val="lv-LV"/>
              </w:rPr>
              <w:t xml:space="preserve"> papildināts ar tekstu šādā redakcijā: </w:t>
            </w:r>
          </w:p>
          <w:p w14:paraId="2CFCCAD3" w14:textId="77777777" w:rsidR="00234C6C" w:rsidRPr="00B57019" w:rsidRDefault="00234C6C" w:rsidP="00EE612E">
            <w:pPr>
              <w:pStyle w:val="ListParagraph"/>
              <w:spacing w:after="0" w:line="240" w:lineRule="auto"/>
              <w:ind w:left="0"/>
              <w:jc w:val="both"/>
              <w:rPr>
                <w:rFonts w:ascii="Times New Roman" w:hAnsi="Times New Roman"/>
                <w:sz w:val="24"/>
                <w:szCs w:val="24"/>
                <w:lang w:val="lv-LV"/>
              </w:rPr>
            </w:pPr>
            <w:r w:rsidRPr="00B57019">
              <w:rPr>
                <w:rFonts w:ascii="Times New Roman" w:hAnsi="Times New Roman"/>
                <w:sz w:val="24"/>
                <w:szCs w:val="24"/>
                <w:lang w:val="lv-LV"/>
              </w:rPr>
              <w:t>“Ņemot vērā koplietošanas platformu darbības nodrošināšanas specifiku, VRAA neplāno organizēt darbinieku pārcelšanu no citām institūcijām. Tas neizslēdz iespēju atsevišķos gadījumos darbiniekiem, kuru kvalifikācijas atbilst izvirzītajām prasībām, individuāli pieteikties ar koplietošanas platformu darbināšanu saistītu amata pienākumu izpildei.”</w:t>
            </w:r>
          </w:p>
        </w:tc>
      </w:tr>
      <w:tr w:rsidR="00B57019" w:rsidRPr="00B57019" w14:paraId="218D574C" w14:textId="77777777" w:rsidTr="64605ADC">
        <w:trPr>
          <w:trHeight w:val="343"/>
          <w:jc w:val="center"/>
        </w:trPr>
        <w:tc>
          <w:tcPr>
            <w:tcW w:w="5000" w:type="pct"/>
            <w:gridSpan w:val="5"/>
            <w:tcBorders>
              <w:left w:val="single" w:sz="6" w:space="0" w:color="000000" w:themeColor="text1"/>
              <w:bottom w:val="single" w:sz="4" w:space="0" w:color="auto"/>
            </w:tcBorders>
          </w:tcPr>
          <w:p w14:paraId="2F9C7DA8" w14:textId="77777777" w:rsidR="00F06F6F" w:rsidRPr="00B57019" w:rsidRDefault="00F06F6F" w:rsidP="00F06F6F">
            <w:pPr>
              <w:pStyle w:val="ListParagraph"/>
              <w:spacing w:after="0" w:line="240" w:lineRule="auto"/>
              <w:ind w:left="0"/>
              <w:jc w:val="center"/>
              <w:rPr>
                <w:rFonts w:ascii="Times New Roman" w:hAnsi="Times New Roman"/>
                <w:b/>
                <w:sz w:val="24"/>
                <w:szCs w:val="24"/>
                <w:lang w:val="lv-LV"/>
              </w:rPr>
            </w:pPr>
            <w:r w:rsidRPr="00B57019">
              <w:rPr>
                <w:rFonts w:ascii="Times New Roman" w:hAnsi="Times New Roman"/>
                <w:b/>
                <w:sz w:val="24"/>
                <w:szCs w:val="24"/>
                <w:lang w:val="lv-LV"/>
              </w:rPr>
              <w:t>Finanšu ministrija</w:t>
            </w:r>
          </w:p>
        </w:tc>
      </w:tr>
      <w:tr w:rsidR="00B57019" w:rsidRPr="00B57019" w14:paraId="28C106D0" w14:textId="77777777" w:rsidTr="64605ADC">
        <w:trPr>
          <w:trHeight w:val="268"/>
          <w:jc w:val="center"/>
        </w:trPr>
        <w:tc>
          <w:tcPr>
            <w:tcW w:w="190" w:type="pct"/>
            <w:tcBorders>
              <w:left w:val="single" w:sz="6" w:space="0" w:color="000000" w:themeColor="text1"/>
              <w:bottom w:val="single" w:sz="4" w:space="0" w:color="auto"/>
              <w:right w:val="single" w:sz="6" w:space="0" w:color="000000" w:themeColor="text1"/>
            </w:tcBorders>
          </w:tcPr>
          <w:p w14:paraId="465ABA1A" w14:textId="282F47CE" w:rsidR="00F06F6F" w:rsidRPr="00B57019" w:rsidRDefault="006F1754" w:rsidP="00F06F6F">
            <w:pPr>
              <w:pStyle w:val="naisc"/>
              <w:spacing w:before="0" w:after="0"/>
              <w:jc w:val="both"/>
            </w:pPr>
            <w:r w:rsidRPr="00B57019">
              <w:t>40</w:t>
            </w:r>
            <w:r w:rsidR="001D26B9" w:rsidRPr="00B57019">
              <w:t>.</w:t>
            </w:r>
          </w:p>
        </w:tc>
        <w:tc>
          <w:tcPr>
            <w:tcW w:w="456" w:type="pct"/>
            <w:tcBorders>
              <w:left w:val="single" w:sz="6" w:space="0" w:color="000000" w:themeColor="text1"/>
              <w:bottom w:val="single" w:sz="4" w:space="0" w:color="auto"/>
              <w:right w:val="single" w:sz="6" w:space="0" w:color="000000" w:themeColor="text1"/>
            </w:tcBorders>
          </w:tcPr>
          <w:p w14:paraId="21A259D4" w14:textId="77777777" w:rsidR="00F06F6F" w:rsidRPr="00B57019" w:rsidRDefault="00CF1E79" w:rsidP="00F06F6F">
            <w:pPr>
              <w:pStyle w:val="naisc"/>
              <w:spacing w:before="0" w:after="0"/>
              <w:jc w:val="both"/>
              <w:rPr>
                <w:bCs/>
              </w:rPr>
            </w:pPr>
            <w:r w:rsidRPr="00B57019">
              <w:t>Informatīvā ziņojuma projekta 1. pielikums.</w:t>
            </w:r>
          </w:p>
        </w:tc>
        <w:tc>
          <w:tcPr>
            <w:tcW w:w="2399" w:type="pct"/>
            <w:tcBorders>
              <w:left w:val="single" w:sz="6" w:space="0" w:color="000000" w:themeColor="text1"/>
              <w:bottom w:val="single" w:sz="4" w:space="0" w:color="auto"/>
              <w:right w:val="single" w:sz="6" w:space="0" w:color="000000" w:themeColor="text1"/>
            </w:tcBorders>
          </w:tcPr>
          <w:p w14:paraId="6C5CE072" w14:textId="77777777" w:rsidR="00F06F6F" w:rsidRPr="00B57019" w:rsidRDefault="00CF1E79" w:rsidP="00F06F6F">
            <w:pPr>
              <w:pStyle w:val="ListParagraph"/>
              <w:spacing w:after="0" w:line="240" w:lineRule="auto"/>
              <w:ind w:left="0"/>
              <w:jc w:val="both"/>
              <w:rPr>
                <w:rFonts w:ascii="Times New Roman" w:hAnsi="Times New Roman"/>
                <w:bCs/>
                <w:i/>
                <w:sz w:val="24"/>
                <w:szCs w:val="24"/>
              </w:rPr>
            </w:pPr>
            <w:r w:rsidRPr="00B57019">
              <w:rPr>
                <w:rFonts w:ascii="Times New Roman" w:hAnsi="Times New Roman"/>
                <w:sz w:val="24"/>
                <w:szCs w:val="24"/>
              </w:rPr>
              <w:t>Informatīvā ziņojuma projekta 1.pielikuma 6.-7.lp. ir norādīta informācija par vēl nepieņemtiem lēmumiem attiecībā uz atsevišķu preču un pakalpojumu grupu nodošanu VRAA kompetencē. Ņemot vērā, ka minētā informācija neatbilst ziņojuma saturam un tā ir risināma un vērtējama nākotnes lēmumu pieņemšanas procesā, lūdzam to svītrot.</w:t>
            </w:r>
          </w:p>
        </w:tc>
        <w:tc>
          <w:tcPr>
            <w:tcW w:w="943" w:type="pct"/>
            <w:tcBorders>
              <w:left w:val="single" w:sz="6" w:space="0" w:color="000000" w:themeColor="text1"/>
              <w:bottom w:val="single" w:sz="4" w:space="0" w:color="auto"/>
              <w:right w:val="single" w:sz="6" w:space="0" w:color="000000" w:themeColor="text1"/>
            </w:tcBorders>
          </w:tcPr>
          <w:p w14:paraId="421B6BBA" w14:textId="77777777" w:rsidR="00CF1E79" w:rsidRPr="00B57019" w:rsidRDefault="00CF1E79" w:rsidP="00CF1E79">
            <w:pPr>
              <w:pStyle w:val="PlainText"/>
              <w:jc w:val="both"/>
              <w:rPr>
                <w:rFonts w:ascii="Times New Roman" w:hAnsi="Times New Roman"/>
                <w:b/>
                <w:sz w:val="24"/>
                <w:szCs w:val="24"/>
                <w:lang w:val="lv-LV"/>
              </w:rPr>
            </w:pPr>
            <w:r w:rsidRPr="00B57019">
              <w:rPr>
                <w:rFonts w:ascii="Times New Roman" w:hAnsi="Times New Roman"/>
                <w:b/>
                <w:sz w:val="24"/>
                <w:szCs w:val="24"/>
                <w:lang w:val="lv-LV"/>
              </w:rPr>
              <w:t>Iebildums ņemts vērā.</w:t>
            </w:r>
          </w:p>
          <w:p w14:paraId="31009138" w14:textId="77777777" w:rsidR="00F06F6F" w:rsidRPr="00B57019" w:rsidRDefault="00F06F6F" w:rsidP="00F06F6F">
            <w:pPr>
              <w:pStyle w:val="PlainText"/>
              <w:jc w:val="both"/>
              <w:rPr>
                <w:rFonts w:ascii="Times New Roman" w:hAnsi="Times New Roman"/>
                <w:b/>
                <w:sz w:val="24"/>
                <w:szCs w:val="24"/>
                <w:lang w:val="lv-LV"/>
              </w:rPr>
            </w:pPr>
          </w:p>
        </w:tc>
        <w:tc>
          <w:tcPr>
            <w:tcW w:w="1012" w:type="pct"/>
            <w:tcBorders>
              <w:top w:val="single" w:sz="4" w:space="0" w:color="auto"/>
              <w:left w:val="single" w:sz="4" w:space="0" w:color="auto"/>
              <w:bottom w:val="single" w:sz="4" w:space="0" w:color="auto"/>
            </w:tcBorders>
          </w:tcPr>
          <w:p w14:paraId="7DCFD23A" w14:textId="77777777" w:rsidR="00F06F6F" w:rsidRPr="00B57019" w:rsidRDefault="00CF1E79" w:rsidP="00F06F6F">
            <w:pPr>
              <w:pStyle w:val="ListParagraph"/>
              <w:spacing w:after="0" w:line="240" w:lineRule="auto"/>
              <w:ind w:left="0"/>
              <w:jc w:val="both"/>
              <w:rPr>
                <w:rFonts w:ascii="Times New Roman" w:hAnsi="Times New Roman"/>
                <w:i/>
                <w:sz w:val="24"/>
                <w:szCs w:val="24"/>
                <w:lang w:val="lv-LV"/>
              </w:rPr>
            </w:pPr>
            <w:r w:rsidRPr="00B57019">
              <w:rPr>
                <w:rFonts w:ascii="Times New Roman" w:hAnsi="Times New Roman"/>
                <w:sz w:val="24"/>
                <w:szCs w:val="24"/>
              </w:rPr>
              <w:t>Informācija informatīvā ziņojuma projekta 1.pielikuma 6.-7.lp. svītrota.</w:t>
            </w:r>
          </w:p>
        </w:tc>
      </w:tr>
      <w:tr w:rsidR="00B57019" w:rsidRPr="00B57019" w14:paraId="614F29A9" w14:textId="77777777" w:rsidTr="64605ADC">
        <w:trPr>
          <w:trHeight w:val="268"/>
          <w:jc w:val="center"/>
        </w:trPr>
        <w:tc>
          <w:tcPr>
            <w:tcW w:w="190" w:type="pct"/>
            <w:tcBorders>
              <w:left w:val="single" w:sz="6" w:space="0" w:color="000000" w:themeColor="text1"/>
              <w:bottom w:val="single" w:sz="4" w:space="0" w:color="auto"/>
              <w:right w:val="single" w:sz="6" w:space="0" w:color="000000" w:themeColor="text1"/>
            </w:tcBorders>
          </w:tcPr>
          <w:p w14:paraId="102F2A43" w14:textId="5F6D545F" w:rsidR="00CF1E79" w:rsidRPr="00B57019" w:rsidRDefault="006F1754" w:rsidP="00EE612E">
            <w:pPr>
              <w:pStyle w:val="naisc"/>
              <w:spacing w:before="0" w:after="0"/>
              <w:jc w:val="both"/>
            </w:pPr>
            <w:r w:rsidRPr="00B57019">
              <w:t>41</w:t>
            </w:r>
            <w:r w:rsidR="00CF1E79" w:rsidRPr="00B57019">
              <w:t>.</w:t>
            </w:r>
          </w:p>
        </w:tc>
        <w:tc>
          <w:tcPr>
            <w:tcW w:w="456" w:type="pct"/>
            <w:tcBorders>
              <w:left w:val="single" w:sz="6" w:space="0" w:color="000000" w:themeColor="text1"/>
              <w:bottom w:val="single" w:sz="4" w:space="0" w:color="auto"/>
              <w:right w:val="single" w:sz="6" w:space="0" w:color="000000" w:themeColor="text1"/>
            </w:tcBorders>
          </w:tcPr>
          <w:p w14:paraId="7C7517DD" w14:textId="77777777" w:rsidR="00CF1E79" w:rsidRPr="00B57019" w:rsidRDefault="00CF1E79" w:rsidP="00EE612E">
            <w:pPr>
              <w:pStyle w:val="naisc"/>
              <w:spacing w:before="0" w:after="0"/>
              <w:jc w:val="both"/>
              <w:rPr>
                <w:bCs/>
              </w:rPr>
            </w:pPr>
            <w:r w:rsidRPr="00B57019">
              <w:t>Protokollēmuma projekts.</w:t>
            </w:r>
          </w:p>
        </w:tc>
        <w:tc>
          <w:tcPr>
            <w:tcW w:w="2399" w:type="pct"/>
            <w:tcBorders>
              <w:left w:val="single" w:sz="6" w:space="0" w:color="000000" w:themeColor="text1"/>
              <w:bottom w:val="single" w:sz="4" w:space="0" w:color="auto"/>
              <w:right w:val="single" w:sz="6" w:space="0" w:color="000000" w:themeColor="text1"/>
            </w:tcBorders>
          </w:tcPr>
          <w:p w14:paraId="33217D16" w14:textId="77777777" w:rsidR="00CF1E79" w:rsidRPr="00B57019" w:rsidRDefault="00CF1E79" w:rsidP="00EE612E">
            <w:pPr>
              <w:pStyle w:val="ListParagraph"/>
              <w:spacing w:after="0" w:line="240" w:lineRule="auto"/>
              <w:ind w:left="0"/>
              <w:jc w:val="both"/>
              <w:rPr>
                <w:rFonts w:ascii="Times New Roman" w:hAnsi="Times New Roman"/>
                <w:bCs/>
                <w:i/>
                <w:sz w:val="24"/>
                <w:szCs w:val="24"/>
              </w:rPr>
            </w:pPr>
            <w:r w:rsidRPr="00B57019">
              <w:rPr>
                <w:rFonts w:ascii="Times New Roman" w:hAnsi="Times New Roman"/>
                <w:i/>
                <w:sz w:val="24"/>
                <w:szCs w:val="24"/>
              </w:rPr>
              <w:t>Lūdzam svītrot protokollēmuma projekta 3.3.punktu, jo, ja Ministru kabinets atbalsta finansējuma pārdali atbilstoši protokollēmuma projekta 2.punktam un 3.1.apakšpunktam, tad  jautājums atkāroti nav jāskata Ministru kabinetā valsts izdevumu pārskatīšanas procesā.</w:t>
            </w:r>
          </w:p>
        </w:tc>
        <w:tc>
          <w:tcPr>
            <w:tcW w:w="943" w:type="pct"/>
            <w:tcBorders>
              <w:left w:val="single" w:sz="6" w:space="0" w:color="000000" w:themeColor="text1"/>
              <w:bottom w:val="single" w:sz="4" w:space="0" w:color="auto"/>
              <w:right w:val="single" w:sz="6" w:space="0" w:color="000000" w:themeColor="text1"/>
            </w:tcBorders>
          </w:tcPr>
          <w:p w14:paraId="26C87BF3" w14:textId="77777777" w:rsidR="00CF1E79" w:rsidRPr="00B57019" w:rsidRDefault="00CF1E79" w:rsidP="00EE612E">
            <w:pPr>
              <w:pStyle w:val="PlainText"/>
              <w:jc w:val="both"/>
              <w:rPr>
                <w:rFonts w:ascii="Times New Roman" w:hAnsi="Times New Roman"/>
                <w:b/>
                <w:sz w:val="24"/>
                <w:szCs w:val="24"/>
                <w:lang w:val="lv-LV"/>
              </w:rPr>
            </w:pPr>
            <w:r w:rsidRPr="00B57019">
              <w:rPr>
                <w:rFonts w:ascii="Times New Roman" w:hAnsi="Times New Roman"/>
                <w:b/>
                <w:sz w:val="24"/>
                <w:szCs w:val="24"/>
                <w:lang w:val="lv-LV"/>
              </w:rPr>
              <w:t>Iebildums ņemts vērā.</w:t>
            </w:r>
          </w:p>
          <w:p w14:paraId="7447F3A3" w14:textId="77777777" w:rsidR="00CF1E79" w:rsidRPr="00B57019" w:rsidRDefault="00CF1E79" w:rsidP="00EE612E">
            <w:pPr>
              <w:pStyle w:val="PlainText"/>
              <w:jc w:val="both"/>
              <w:rPr>
                <w:rFonts w:ascii="Times New Roman" w:hAnsi="Times New Roman"/>
                <w:sz w:val="24"/>
                <w:szCs w:val="24"/>
                <w:lang w:eastAsia="lv-LV"/>
              </w:rPr>
            </w:pPr>
          </w:p>
          <w:p w14:paraId="075AB6AB" w14:textId="77777777" w:rsidR="00CF1E79" w:rsidRPr="00B57019" w:rsidRDefault="00CF1E79" w:rsidP="00EE612E">
            <w:pPr>
              <w:pStyle w:val="PlainText"/>
              <w:jc w:val="both"/>
              <w:rPr>
                <w:rFonts w:ascii="Times New Roman" w:hAnsi="Times New Roman"/>
                <w:b/>
                <w:sz w:val="24"/>
                <w:szCs w:val="24"/>
                <w:lang w:val="lv-LV"/>
              </w:rPr>
            </w:pPr>
          </w:p>
        </w:tc>
        <w:tc>
          <w:tcPr>
            <w:tcW w:w="1012" w:type="pct"/>
            <w:tcBorders>
              <w:top w:val="single" w:sz="4" w:space="0" w:color="auto"/>
              <w:left w:val="single" w:sz="4" w:space="0" w:color="auto"/>
              <w:bottom w:val="single" w:sz="4" w:space="0" w:color="auto"/>
            </w:tcBorders>
          </w:tcPr>
          <w:p w14:paraId="3E1E7ABD" w14:textId="77777777" w:rsidR="00CF1E79" w:rsidRPr="00B57019" w:rsidRDefault="00CF1E79" w:rsidP="00EE612E">
            <w:pPr>
              <w:pStyle w:val="ListParagraph"/>
              <w:spacing w:after="0" w:line="240" w:lineRule="auto"/>
              <w:ind w:left="0"/>
              <w:jc w:val="both"/>
              <w:rPr>
                <w:rFonts w:ascii="Times New Roman" w:hAnsi="Times New Roman"/>
                <w:sz w:val="24"/>
                <w:szCs w:val="24"/>
                <w:lang w:val="lv-LV"/>
              </w:rPr>
            </w:pPr>
            <w:r w:rsidRPr="00B57019">
              <w:rPr>
                <w:rFonts w:ascii="Times New Roman" w:hAnsi="Times New Roman"/>
                <w:sz w:val="24"/>
                <w:szCs w:val="24"/>
                <w:lang w:val="lv-LV"/>
              </w:rPr>
              <w:t>Svītrots protokollēmuma 3.3. apakšpunkts.</w:t>
            </w:r>
          </w:p>
          <w:p w14:paraId="32577C7A" w14:textId="77777777" w:rsidR="00CF1E79" w:rsidRPr="00B57019" w:rsidRDefault="00CF1E79" w:rsidP="00EE612E">
            <w:pPr>
              <w:pStyle w:val="ListParagraph"/>
              <w:spacing w:after="0" w:line="240" w:lineRule="auto"/>
              <w:ind w:left="0"/>
              <w:jc w:val="both"/>
              <w:rPr>
                <w:rFonts w:ascii="Times New Roman" w:hAnsi="Times New Roman"/>
                <w:i/>
                <w:sz w:val="24"/>
                <w:szCs w:val="24"/>
                <w:lang w:val="lv-LV"/>
              </w:rPr>
            </w:pPr>
            <w:r w:rsidRPr="00B57019">
              <w:rPr>
                <w:rFonts w:ascii="Times New Roman" w:hAnsi="Times New Roman"/>
                <w:sz w:val="24"/>
                <w:szCs w:val="24"/>
                <w:lang w:eastAsia="lv-LV"/>
              </w:rPr>
              <w:br/>
            </w:r>
          </w:p>
        </w:tc>
      </w:tr>
      <w:tr w:rsidR="00B57019" w:rsidRPr="00B57019" w14:paraId="092F4A2D" w14:textId="77777777" w:rsidTr="64605ADC">
        <w:trPr>
          <w:trHeight w:val="268"/>
          <w:jc w:val="center"/>
        </w:trPr>
        <w:tc>
          <w:tcPr>
            <w:tcW w:w="190" w:type="pct"/>
            <w:tcBorders>
              <w:left w:val="single" w:sz="6" w:space="0" w:color="000000" w:themeColor="text1"/>
              <w:bottom w:val="single" w:sz="4" w:space="0" w:color="auto"/>
              <w:right w:val="single" w:sz="6" w:space="0" w:color="000000" w:themeColor="text1"/>
            </w:tcBorders>
          </w:tcPr>
          <w:p w14:paraId="34FE3454" w14:textId="4A2FB36F" w:rsidR="00017779" w:rsidRPr="00B57019" w:rsidRDefault="006F1754" w:rsidP="00EE612E">
            <w:pPr>
              <w:pStyle w:val="naisc"/>
              <w:spacing w:before="0" w:after="0"/>
              <w:jc w:val="both"/>
            </w:pPr>
            <w:r w:rsidRPr="00B57019">
              <w:t>42</w:t>
            </w:r>
            <w:r w:rsidR="00F1083B" w:rsidRPr="00B57019">
              <w:t xml:space="preserve">. </w:t>
            </w:r>
          </w:p>
        </w:tc>
        <w:tc>
          <w:tcPr>
            <w:tcW w:w="456" w:type="pct"/>
            <w:tcBorders>
              <w:left w:val="single" w:sz="6" w:space="0" w:color="000000" w:themeColor="text1"/>
              <w:bottom w:val="single" w:sz="4" w:space="0" w:color="auto"/>
              <w:right w:val="single" w:sz="6" w:space="0" w:color="000000" w:themeColor="text1"/>
            </w:tcBorders>
          </w:tcPr>
          <w:p w14:paraId="172A3EA1" w14:textId="77777777" w:rsidR="00017779" w:rsidRPr="00B57019" w:rsidRDefault="00F1083B" w:rsidP="00EE612E">
            <w:pPr>
              <w:pStyle w:val="naisc"/>
              <w:spacing w:before="0" w:after="0"/>
              <w:jc w:val="both"/>
            </w:pPr>
            <w:r w:rsidRPr="00B57019">
              <w:t>Informatīvā ziņojuma projekta 1. pielikums.</w:t>
            </w:r>
          </w:p>
        </w:tc>
        <w:tc>
          <w:tcPr>
            <w:tcW w:w="2399" w:type="pct"/>
            <w:tcBorders>
              <w:left w:val="single" w:sz="6" w:space="0" w:color="000000" w:themeColor="text1"/>
              <w:bottom w:val="single" w:sz="4" w:space="0" w:color="auto"/>
              <w:right w:val="single" w:sz="6" w:space="0" w:color="000000" w:themeColor="text1"/>
            </w:tcBorders>
          </w:tcPr>
          <w:p w14:paraId="4AB15E3C" w14:textId="77777777" w:rsidR="00F1083B" w:rsidRPr="00B57019" w:rsidRDefault="00F1083B" w:rsidP="00F1083B">
            <w:pPr>
              <w:ind w:firstLine="720"/>
              <w:jc w:val="both"/>
            </w:pPr>
            <w:r w:rsidRPr="00B57019">
              <w:t xml:space="preserve">Lūdzam informatīvā ziņojuma projekta 1.pielikumu papildināt ar informāciju, kā aprēķināts pieņēmums, ka iepirkuma veikšanai EIS vidēji tiek patērētas </w:t>
            </w:r>
            <w:r w:rsidRPr="00B57019">
              <w:rPr>
                <w:b/>
              </w:rPr>
              <w:t>2 cilvēkdienas.</w:t>
            </w:r>
            <w:r w:rsidRPr="00B57019">
              <w:t xml:space="preserve"> </w:t>
            </w:r>
          </w:p>
          <w:p w14:paraId="11790309" w14:textId="77777777" w:rsidR="00017779" w:rsidRPr="00B57019" w:rsidRDefault="00017779" w:rsidP="00EE612E">
            <w:pPr>
              <w:pStyle w:val="ListParagraph"/>
              <w:spacing w:after="0" w:line="240" w:lineRule="auto"/>
              <w:ind w:left="0"/>
              <w:jc w:val="both"/>
              <w:rPr>
                <w:rFonts w:ascii="Times New Roman" w:hAnsi="Times New Roman"/>
                <w:i/>
                <w:sz w:val="24"/>
                <w:szCs w:val="24"/>
                <w:lang w:val="lv-LV"/>
              </w:rPr>
            </w:pPr>
          </w:p>
        </w:tc>
        <w:tc>
          <w:tcPr>
            <w:tcW w:w="943" w:type="pct"/>
            <w:tcBorders>
              <w:left w:val="single" w:sz="6" w:space="0" w:color="000000" w:themeColor="text1"/>
              <w:bottom w:val="single" w:sz="4" w:space="0" w:color="auto"/>
              <w:right w:val="single" w:sz="6" w:space="0" w:color="000000" w:themeColor="text1"/>
            </w:tcBorders>
          </w:tcPr>
          <w:p w14:paraId="6A761E93" w14:textId="77777777" w:rsidR="00F1083B" w:rsidRPr="00B57019" w:rsidRDefault="00F1083B" w:rsidP="00F1083B">
            <w:pPr>
              <w:pStyle w:val="PlainText"/>
              <w:jc w:val="both"/>
              <w:rPr>
                <w:rFonts w:ascii="Times New Roman" w:hAnsi="Times New Roman"/>
                <w:b/>
                <w:sz w:val="24"/>
                <w:szCs w:val="24"/>
                <w:lang w:val="lv-LV"/>
              </w:rPr>
            </w:pPr>
            <w:r w:rsidRPr="00B57019">
              <w:rPr>
                <w:rFonts w:ascii="Times New Roman" w:hAnsi="Times New Roman"/>
                <w:b/>
                <w:sz w:val="24"/>
                <w:szCs w:val="24"/>
                <w:lang w:val="lv-LV"/>
              </w:rPr>
              <w:t>Iebildums ņemts vērā.</w:t>
            </w:r>
          </w:p>
          <w:p w14:paraId="507FD0FB" w14:textId="77777777" w:rsidR="00017779" w:rsidRPr="00B57019" w:rsidRDefault="00017779" w:rsidP="00EE612E">
            <w:pPr>
              <w:pStyle w:val="PlainText"/>
              <w:jc w:val="both"/>
              <w:rPr>
                <w:rFonts w:ascii="Times New Roman" w:hAnsi="Times New Roman"/>
                <w:b/>
                <w:sz w:val="24"/>
                <w:szCs w:val="24"/>
                <w:lang w:val="lv-LV"/>
              </w:rPr>
            </w:pPr>
          </w:p>
        </w:tc>
        <w:tc>
          <w:tcPr>
            <w:tcW w:w="1012" w:type="pct"/>
            <w:tcBorders>
              <w:top w:val="single" w:sz="4" w:space="0" w:color="auto"/>
              <w:left w:val="single" w:sz="4" w:space="0" w:color="auto"/>
              <w:bottom w:val="single" w:sz="4" w:space="0" w:color="auto"/>
            </w:tcBorders>
          </w:tcPr>
          <w:p w14:paraId="52811662" w14:textId="77777777" w:rsidR="00F1083B" w:rsidRPr="00B57019" w:rsidRDefault="00F1083B" w:rsidP="00F1083B">
            <w:pPr>
              <w:jc w:val="both"/>
            </w:pPr>
            <w:r w:rsidRPr="00B57019">
              <w:t>Ziņojuma projekta 1. pielikum</w:t>
            </w:r>
            <w:r w:rsidR="00EF693B" w:rsidRPr="00B57019">
              <w:t>a 2.punkts</w:t>
            </w:r>
            <w:r w:rsidRPr="00B57019">
              <w:t xml:space="preserve"> papildināts ar </w:t>
            </w:r>
            <w:r w:rsidR="00EF693B" w:rsidRPr="00B57019">
              <w:t>3.</w:t>
            </w:r>
            <w:r w:rsidRPr="00B57019">
              <w:t xml:space="preserve">atsauci šādā redakcijā: </w:t>
            </w:r>
          </w:p>
          <w:p w14:paraId="3D448857" w14:textId="77777777" w:rsidR="00017779" w:rsidRPr="00B57019" w:rsidRDefault="00F51891" w:rsidP="00F51891">
            <w:pPr>
              <w:pStyle w:val="ListParagraph"/>
              <w:spacing w:after="0" w:line="240" w:lineRule="auto"/>
              <w:ind w:left="0"/>
              <w:jc w:val="both"/>
              <w:rPr>
                <w:rFonts w:ascii="Times New Roman" w:hAnsi="Times New Roman"/>
                <w:i/>
                <w:sz w:val="24"/>
                <w:szCs w:val="24"/>
                <w:lang w:val="lv-LV"/>
              </w:rPr>
            </w:pPr>
            <w:r w:rsidRPr="00B57019">
              <w:rPr>
                <w:rFonts w:ascii="Times New Roman" w:hAnsi="Times New Roman"/>
                <w:sz w:val="24"/>
                <w:szCs w:val="24"/>
              </w:rPr>
              <w:t>“Vidēj</w:t>
            </w:r>
            <w:r w:rsidRPr="00B57019">
              <w:rPr>
                <w:rFonts w:ascii="Times New Roman" w:hAnsi="Times New Roman"/>
                <w:sz w:val="24"/>
                <w:szCs w:val="24"/>
                <w:lang w:val="lv-LV"/>
              </w:rPr>
              <w:t>ā</w:t>
            </w:r>
            <w:r w:rsidR="00F1083B" w:rsidRPr="00B57019">
              <w:rPr>
                <w:rFonts w:ascii="Times New Roman" w:hAnsi="Times New Roman"/>
                <w:sz w:val="24"/>
                <w:szCs w:val="24"/>
              </w:rPr>
              <w:t>s 2 cilvē</w:t>
            </w:r>
            <w:r w:rsidRPr="00B57019">
              <w:rPr>
                <w:rFonts w:ascii="Times New Roman" w:hAnsi="Times New Roman"/>
                <w:sz w:val="24"/>
                <w:szCs w:val="24"/>
              </w:rPr>
              <w:t>kdienu slodzes aprēķinā ir ņemts</w:t>
            </w:r>
            <w:r w:rsidR="00F1083B" w:rsidRPr="00B57019">
              <w:rPr>
                <w:rFonts w:ascii="Times New Roman" w:hAnsi="Times New Roman"/>
                <w:sz w:val="24"/>
                <w:szCs w:val="24"/>
              </w:rPr>
              <w:t xml:space="preserve"> vērā šādu darbu veikšanai nepieciešamais laiks: EIS tehniskās specifikācijas izvēle un nepieciešamības gadījumā tas salīdzināšana ar piedāvājumiem ārpus EIS, darījumu elektroniskā apstiprināšana, preču saņemšana, saņemto preču kvalitātes pārbaude, iegrāmatošana un apmaksa, kā arī darba uzdevuma sagatavošana (tikai gadījumos, kad tas ir nepieciešams, jo lielākai pasūtījumu daļai to nevajag).”</w:t>
            </w:r>
          </w:p>
        </w:tc>
      </w:tr>
      <w:tr w:rsidR="00B57019" w:rsidRPr="00B57019" w14:paraId="03B1F9DD" w14:textId="77777777" w:rsidTr="64605ADC">
        <w:trPr>
          <w:trHeight w:val="268"/>
          <w:jc w:val="center"/>
        </w:trPr>
        <w:tc>
          <w:tcPr>
            <w:tcW w:w="190" w:type="pct"/>
            <w:tcBorders>
              <w:left w:val="single" w:sz="6" w:space="0" w:color="000000" w:themeColor="text1"/>
              <w:bottom w:val="single" w:sz="4" w:space="0" w:color="auto"/>
              <w:right w:val="single" w:sz="6" w:space="0" w:color="000000" w:themeColor="text1"/>
            </w:tcBorders>
          </w:tcPr>
          <w:p w14:paraId="763D4848" w14:textId="5A35F205" w:rsidR="00CF1E79" w:rsidRPr="00B57019" w:rsidRDefault="006F1754" w:rsidP="00F06F6F">
            <w:pPr>
              <w:pStyle w:val="naisc"/>
              <w:spacing w:before="0" w:after="0"/>
              <w:jc w:val="both"/>
            </w:pPr>
            <w:r w:rsidRPr="00B57019">
              <w:t>43</w:t>
            </w:r>
            <w:r w:rsidR="00A94751" w:rsidRPr="00B57019">
              <w:t>.</w:t>
            </w:r>
          </w:p>
        </w:tc>
        <w:tc>
          <w:tcPr>
            <w:tcW w:w="456" w:type="pct"/>
            <w:tcBorders>
              <w:left w:val="single" w:sz="6" w:space="0" w:color="000000" w:themeColor="text1"/>
              <w:bottom w:val="single" w:sz="4" w:space="0" w:color="auto"/>
              <w:right w:val="single" w:sz="6" w:space="0" w:color="000000" w:themeColor="text1"/>
            </w:tcBorders>
          </w:tcPr>
          <w:p w14:paraId="280AEB3E" w14:textId="77777777" w:rsidR="00CF1E79" w:rsidRPr="00B57019" w:rsidRDefault="00613FA9" w:rsidP="00F06F6F">
            <w:pPr>
              <w:pStyle w:val="naisc"/>
              <w:spacing w:before="0" w:after="0"/>
              <w:jc w:val="both"/>
            </w:pPr>
            <w:r w:rsidRPr="00B57019">
              <w:t>Informatīvā ziņojuma projekta 3. pielikums.</w:t>
            </w:r>
          </w:p>
        </w:tc>
        <w:tc>
          <w:tcPr>
            <w:tcW w:w="2399" w:type="pct"/>
            <w:tcBorders>
              <w:left w:val="single" w:sz="6" w:space="0" w:color="000000" w:themeColor="text1"/>
              <w:bottom w:val="single" w:sz="4" w:space="0" w:color="auto"/>
              <w:right w:val="single" w:sz="6" w:space="0" w:color="000000" w:themeColor="text1"/>
            </w:tcBorders>
          </w:tcPr>
          <w:p w14:paraId="45EF7161" w14:textId="77777777" w:rsidR="002E42C8" w:rsidRPr="00B57019" w:rsidRDefault="00613FA9" w:rsidP="00F06F6F">
            <w:pPr>
              <w:pStyle w:val="ListParagraph"/>
              <w:spacing w:after="0" w:line="240" w:lineRule="auto"/>
              <w:ind w:left="0"/>
              <w:jc w:val="both"/>
              <w:rPr>
                <w:rFonts w:ascii="Times New Roman" w:hAnsi="Times New Roman"/>
                <w:sz w:val="24"/>
                <w:szCs w:val="24"/>
              </w:rPr>
            </w:pPr>
            <w:r w:rsidRPr="00B57019">
              <w:rPr>
                <w:rFonts w:ascii="Times New Roman" w:hAnsi="Times New Roman"/>
                <w:sz w:val="24"/>
                <w:szCs w:val="24"/>
              </w:rPr>
              <w:t xml:space="preserve">Lūdzam pārskatīt informatīvā ziņojuma projekta 3.pielikumā aprēķināto resursu ekonomiju, jo kā minēts iepriekš, tā aprēķināta pie nosacījuma, ja minētais koplietošanas pakalpojums neeksistētu, lai gan tas šobrīd darbojas un tiek izmantots. Papildus norādām, ka informatīvā ziņojuma projekta 3.pielikumā aprēķinātā resursu ekonomija nesakrīt ar informatīvā ziņojuma projekta 1.tabulā sniegto informāciju. </w:t>
            </w:r>
          </w:p>
          <w:p w14:paraId="0DDD7780" w14:textId="77777777" w:rsidR="002E42C8" w:rsidRPr="00B57019" w:rsidRDefault="002E42C8" w:rsidP="00F06F6F">
            <w:pPr>
              <w:pStyle w:val="ListParagraph"/>
              <w:spacing w:after="0" w:line="240" w:lineRule="auto"/>
              <w:ind w:left="0"/>
              <w:jc w:val="both"/>
              <w:rPr>
                <w:rFonts w:ascii="Times New Roman" w:hAnsi="Times New Roman"/>
                <w:sz w:val="24"/>
                <w:szCs w:val="24"/>
              </w:rPr>
            </w:pPr>
          </w:p>
          <w:p w14:paraId="043E1423" w14:textId="77777777" w:rsidR="00CF1E79" w:rsidRPr="00B57019" w:rsidRDefault="00613FA9" w:rsidP="00F06F6F">
            <w:pPr>
              <w:pStyle w:val="ListParagraph"/>
              <w:spacing w:after="0" w:line="240" w:lineRule="auto"/>
              <w:ind w:left="0"/>
              <w:jc w:val="both"/>
              <w:rPr>
                <w:rFonts w:ascii="Times New Roman" w:hAnsi="Times New Roman"/>
                <w:i/>
                <w:sz w:val="24"/>
                <w:szCs w:val="24"/>
              </w:rPr>
            </w:pPr>
            <w:r w:rsidRPr="00B57019">
              <w:rPr>
                <w:rFonts w:ascii="Times New Roman" w:hAnsi="Times New Roman"/>
                <w:sz w:val="24"/>
                <w:szCs w:val="24"/>
              </w:rPr>
              <w:t>Vienlaikus lūdzam informatīvā ziņojuma projekta 3.pielikumā svītrot informāciju par VARAM iesniegto prioritāro pasākumu “Valsts IKT koplietošanas resursu drošība un attīstība”, jo tas 2019. gada budžeta sagatavošanas procesā netika atbalstīts un attiecīgi šī informācija nav saistoša informatīvā ziņojuma projektam.</w:t>
            </w:r>
          </w:p>
        </w:tc>
        <w:tc>
          <w:tcPr>
            <w:tcW w:w="943" w:type="pct"/>
            <w:tcBorders>
              <w:left w:val="single" w:sz="6" w:space="0" w:color="000000" w:themeColor="text1"/>
              <w:bottom w:val="single" w:sz="4" w:space="0" w:color="auto"/>
              <w:right w:val="single" w:sz="6" w:space="0" w:color="000000" w:themeColor="text1"/>
            </w:tcBorders>
          </w:tcPr>
          <w:p w14:paraId="5C9743C0" w14:textId="77777777" w:rsidR="00613FA9" w:rsidRPr="00B57019" w:rsidRDefault="00613FA9" w:rsidP="00613FA9">
            <w:pPr>
              <w:pStyle w:val="PlainText"/>
              <w:jc w:val="both"/>
              <w:rPr>
                <w:rFonts w:ascii="Times New Roman" w:hAnsi="Times New Roman"/>
                <w:b/>
                <w:sz w:val="24"/>
                <w:szCs w:val="24"/>
                <w:lang w:val="lv-LV"/>
              </w:rPr>
            </w:pPr>
            <w:r w:rsidRPr="00B57019">
              <w:rPr>
                <w:rFonts w:ascii="Times New Roman" w:hAnsi="Times New Roman"/>
                <w:b/>
                <w:sz w:val="24"/>
                <w:szCs w:val="24"/>
                <w:lang w:val="lv-LV"/>
              </w:rPr>
              <w:t>Iebildums ņemts vērā.</w:t>
            </w:r>
          </w:p>
          <w:p w14:paraId="5A87D837" w14:textId="77777777" w:rsidR="009C0E63" w:rsidRPr="00B57019" w:rsidRDefault="009C0E63" w:rsidP="009C0E63">
            <w:pPr>
              <w:jc w:val="both"/>
            </w:pPr>
            <w:r w:rsidRPr="00B57019">
              <w:t>Skatīt informatīvā ziņojuma 6. pielikumu.</w:t>
            </w:r>
          </w:p>
          <w:p w14:paraId="320F1011" w14:textId="77777777" w:rsidR="00DB2E0B" w:rsidRPr="00B57019" w:rsidRDefault="00DB2E0B" w:rsidP="00DB2E0B">
            <w:pPr>
              <w:pStyle w:val="naisc"/>
              <w:spacing w:before="0" w:after="0"/>
              <w:jc w:val="both"/>
            </w:pPr>
            <w:r w:rsidRPr="00B57019">
              <w:t>Aprēķiniem par pamatu izmantotas iestādes, kuras izmanto Vienotās pieteikšanās moduli.</w:t>
            </w:r>
          </w:p>
          <w:p w14:paraId="06E8248F" w14:textId="6DB1D6BC" w:rsidR="009C0E63" w:rsidRPr="00B57019" w:rsidRDefault="00C11227" w:rsidP="009C0E63">
            <w:pPr>
              <w:pStyle w:val="PlainText"/>
              <w:jc w:val="both"/>
              <w:rPr>
                <w:rFonts w:ascii="Times New Roman" w:hAnsi="Times New Roman"/>
                <w:sz w:val="24"/>
                <w:szCs w:val="24"/>
                <w:lang w:val="lv-LV"/>
              </w:rPr>
            </w:pPr>
            <w:r w:rsidRPr="00B57019">
              <w:rPr>
                <w:rFonts w:ascii="Times New Roman" w:hAnsi="Times New Roman"/>
                <w:sz w:val="24"/>
                <w:szCs w:val="24"/>
                <w:lang w:val="lv-LV"/>
              </w:rPr>
              <w:t>Informatīvā ziņojuma 3. pielikumā iekļauta informācija arī par VPM ieviešanu, kas arī prasa resursus, bet tie ir nepieciešami tikai vienu reizi – pie ieviešanas. L</w:t>
            </w:r>
            <w:r w:rsidR="00F67F24" w:rsidRPr="00B57019">
              <w:rPr>
                <w:rFonts w:ascii="Times New Roman" w:hAnsi="Times New Roman"/>
                <w:sz w:val="24"/>
                <w:szCs w:val="24"/>
                <w:lang w:val="lv-LV"/>
              </w:rPr>
              <w:t>īdz ar to resursi VPM ieviešanai netiek prasīti</w:t>
            </w:r>
            <w:r w:rsidRPr="00B57019">
              <w:rPr>
                <w:rFonts w:ascii="Times New Roman" w:hAnsi="Times New Roman"/>
                <w:sz w:val="24"/>
                <w:szCs w:val="24"/>
                <w:lang w:val="lv-LV"/>
              </w:rPr>
              <w:t>.</w:t>
            </w:r>
          </w:p>
        </w:tc>
        <w:tc>
          <w:tcPr>
            <w:tcW w:w="1012" w:type="pct"/>
            <w:tcBorders>
              <w:top w:val="single" w:sz="4" w:space="0" w:color="auto"/>
              <w:left w:val="single" w:sz="4" w:space="0" w:color="auto"/>
              <w:bottom w:val="single" w:sz="4" w:space="0" w:color="auto"/>
            </w:tcBorders>
          </w:tcPr>
          <w:p w14:paraId="3A2D12C3" w14:textId="77777777" w:rsidR="00336A54" w:rsidRPr="00B57019" w:rsidRDefault="00336A54" w:rsidP="00336A54">
            <w:r w:rsidRPr="00B57019">
              <w:t>Informatīvais ziņojums papildināts ar 6. pielikumu.</w:t>
            </w:r>
          </w:p>
          <w:p w14:paraId="12CF4743" w14:textId="77777777" w:rsidR="00CF1E79" w:rsidRPr="00B57019" w:rsidRDefault="00CF1E79" w:rsidP="00F06F6F">
            <w:pPr>
              <w:pStyle w:val="ListParagraph"/>
              <w:spacing w:after="0" w:line="240" w:lineRule="auto"/>
              <w:ind w:left="0"/>
              <w:jc w:val="both"/>
              <w:rPr>
                <w:rFonts w:ascii="Times New Roman" w:hAnsi="Times New Roman"/>
                <w:i/>
                <w:sz w:val="24"/>
                <w:szCs w:val="24"/>
                <w:lang w:val="lv-LV"/>
              </w:rPr>
            </w:pPr>
          </w:p>
          <w:p w14:paraId="34ED897E" w14:textId="77777777" w:rsidR="002E42C8" w:rsidRPr="00B57019" w:rsidRDefault="002E42C8" w:rsidP="00F06F6F">
            <w:pPr>
              <w:pStyle w:val="ListParagraph"/>
              <w:spacing w:after="0" w:line="240" w:lineRule="auto"/>
              <w:ind w:left="0"/>
              <w:jc w:val="both"/>
              <w:rPr>
                <w:rFonts w:ascii="Times New Roman" w:hAnsi="Times New Roman"/>
                <w:i/>
                <w:sz w:val="24"/>
                <w:szCs w:val="24"/>
                <w:lang w:val="lv-LV"/>
              </w:rPr>
            </w:pPr>
          </w:p>
          <w:p w14:paraId="17C06A70" w14:textId="77777777" w:rsidR="002E42C8" w:rsidRPr="00B57019" w:rsidRDefault="002E42C8" w:rsidP="00F06F6F">
            <w:pPr>
              <w:pStyle w:val="ListParagraph"/>
              <w:spacing w:after="0" w:line="240" w:lineRule="auto"/>
              <w:ind w:left="0"/>
              <w:jc w:val="both"/>
              <w:rPr>
                <w:rFonts w:ascii="Times New Roman" w:hAnsi="Times New Roman"/>
                <w:i/>
                <w:sz w:val="24"/>
                <w:szCs w:val="24"/>
                <w:lang w:val="lv-LV"/>
              </w:rPr>
            </w:pPr>
          </w:p>
          <w:p w14:paraId="4BBFFEFD" w14:textId="77777777" w:rsidR="002E42C8" w:rsidRPr="00B57019" w:rsidRDefault="002E42C8" w:rsidP="00F06F6F">
            <w:pPr>
              <w:pStyle w:val="ListParagraph"/>
              <w:spacing w:after="0" w:line="240" w:lineRule="auto"/>
              <w:ind w:left="0"/>
              <w:jc w:val="both"/>
              <w:rPr>
                <w:rFonts w:ascii="Times New Roman" w:hAnsi="Times New Roman"/>
                <w:i/>
                <w:sz w:val="24"/>
                <w:szCs w:val="24"/>
                <w:lang w:val="lv-LV"/>
              </w:rPr>
            </w:pPr>
          </w:p>
          <w:p w14:paraId="1FA60182" w14:textId="77777777" w:rsidR="002E42C8" w:rsidRPr="00B57019" w:rsidRDefault="002E42C8" w:rsidP="00F06F6F">
            <w:pPr>
              <w:pStyle w:val="ListParagraph"/>
              <w:spacing w:after="0" w:line="240" w:lineRule="auto"/>
              <w:ind w:left="0"/>
              <w:jc w:val="both"/>
              <w:rPr>
                <w:rFonts w:ascii="Times New Roman" w:hAnsi="Times New Roman"/>
                <w:i/>
                <w:sz w:val="24"/>
                <w:szCs w:val="24"/>
                <w:lang w:val="lv-LV"/>
              </w:rPr>
            </w:pPr>
          </w:p>
          <w:p w14:paraId="3E94AAA6" w14:textId="77777777" w:rsidR="002E42C8" w:rsidRPr="00B57019" w:rsidRDefault="002E42C8" w:rsidP="00F06F6F">
            <w:pPr>
              <w:pStyle w:val="ListParagraph"/>
              <w:spacing w:after="0" w:line="240" w:lineRule="auto"/>
              <w:ind w:left="0"/>
              <w:jc w:val="both"/>
              <w:rPr>
                <w:rFonts w:ascii="Times New Roman" w:hAnsi="Times New Roman"/>
                <w:i/>
                <w:sz w:val="24"/>
                <w:szCs w:val="24"/>
                <w:lang w:val="lv-LV"/>
              </w:rPr>
            </w:pPr>
          </w:p>
          <w:p w14:paraId="686374A6" w14:textId="77777777" w:rsidR="002E42C8" w:rsidRPr="00B57019" w:rsidRDefault="002E42C8" w:rsidP="00F06F6F">
            <w:pPr>
              <w:pStyle w:val="ListParagraph"/>
              <w:spacing w:after="0" w:line="240" w:lineRule="auto"/>
              <w:ind w:left="0"/>
              <w:jc w:val="both"/>
              <w:rPr>
                <w:rFonts w:ascii="Times New Roman" w:hAnsi="Times New Roman"/>
                <w:sz w:val="24"/>
                <w:szCs w:val="24"/>
                <w:lang w:val="lv-LV"/>
              </w:rPr>
            </w:pPr>
          </w:p>
          <w:p w14:paraId="4A7EF60C" w14:textId="77777777" w:rsidR="002E42C8" w:rsidRPr="00B57019" w:rsidRDefault="00EF693B" w:rsidP="00EF693B">
            <w:pPr>
              <w:pStyle w:val="ListParagraph"/>
              <w:spacing w:after="0" w:line="240" w:lineRule="auto"/>
              <w:ind w:left="0"/>
              <w:jc w:val="both"/>
              <w:rPr>
                <w:rFonts w:ascii="Times New Roman" w:hAnsi="Times New Roman"/>
                <w:i/>
                <w:sz w:val="24"/>
                <w:szCs w:val="24"/>
                <w:lang w:val="lv-LV"/>
              </w:rPr>
            </w:pPr>
            <w:r w:rsidRPr="00B57019">
              <w:rPr>
                <w:rFonts w:ascii="Times New Roman" w:hAnsi="Times New Roman"/>
                <w:sz w:val="24"/>
                <w:szCs w:val="24"/>
                <w:lang w:val="lv-LV"/>
              </w:rPr>
              <w:t>Informācija i</w:t>
            </w:r>
            <w:r w:rsidRPr="00B57019">
              <w:rPr>
                <w:rFonts w:ascii="Times New Roman" w:hAnsi="Times New Roman"/>
                <w:sz w:val="24"/>
                <w:szCs w:val="24"/>
              </w:rPr>
              <w:t>informatīvā</w:t>
            </w:r>
            <w:r w:rsidR="002E42C8" w:rsidRPr="00B57019">
              <w:rPr>
                <w:rFonts w:ascii="Times New Roman" w:hAnsi="Times New Roman"/>
                <w:sz w:val="24"/>
                <w:szCs w:val="24"/>
              </w:rPr>
              <w:t xml:space="preserve"> ziņojuma projekta 3.pielikumā </w:t>
            </w:r>
            <w:r w:rsidR="002E42C8" w:rsidRPr="00B57019">
              <w:rPr>
                <w:rFonts w:ascii="Times New Roman" w:hAnsi="Times New Roman"/>
                <w:sz w:val="24"/>
                <w:szCs w:val="24"/>
                <w:lang w:val="lv-LV"/>
              </w:rPr>
              <w:t>svītrota.</w:t>
            </w:r>
          </w:p>
        </w:tc>
      </w:tr>
      <w:tr w:rsidR="00B57019" w:rsidRPr="00B57019" w14:paraId="24EE4BEA" w14:textId="77777777" w:rsidTr="64605ADC">
        <w:trPr>
          <w:trHeight w:val="693"/>
          <w:jc w:val="center"/>
        </w:trPr>
        <w:tc>
          <w:tcPr>
            <w:tcW w:w="190" w:type="pct"/>
            <w:tcBorders>
              <w:left w:val="single" w:sz="6" w:space="0" w:color="000000" w:themeColor="text1"/>
              <w:bottom w:val="single" w:sz="4" w:space="0" w:color="auto"/>
              <w:right w:val="single" w:sz="6" w:space="0" w:color="000000" w:themeColor="text1"/>
            </w:tcBorders>
          </w:tcPr>
          <w:p w14:paraId="5DCB3C0B" w14:textId="2BB47FFA" w:rsidR="00F06F6F" w:rsidRPr="00B57019" w:rsidRDefault="006F1754" w:rsidP="00F06F6F">
            <w:pPr>
              <w:pStyle w:val="naisc"/>
              <w:spacing w:before="0" w:after="0"/>
              <w:jc w:val="both"/>
            </w:pPr>
            <w:r w:rsidRPr="00B57019">
              <w:t>44</w:t>
            </w:r>
            <w:r w:rsidR="00F06F6F" w:rsidRPr="00B57019">
              <w:t>.</w:t>
            </w:r>
          </w:p>
        </w:tc>
        <w:tc>
          <w:tcPr>
            <w:tcW w:w="456" w:type="pct"/>
            <w:tcBorders>
              <w:left w:val="single" w:sz="6" w:space="0" w:color="000000" w:themeColor="text1"/>
              <w:bottom w:val="single" w:sz="4" w:space="0" w:color="auto"/>
              <w:right w:val="single" w:sz="6" w:space="0" w:color="000000" w:themeColor="text1"/>
            </w:tcBorders>
          </w:tcPr>
          <w:p w14:paraId="58CB6B01" w14:textId="77777777" w:rsidR="00F06F6F" w:rsidRPr="00B57019" w:rsidRDefault="00F06F6F" w:rsidP="00F06F6F">
            <w:pPr>
              <w:pStyle w:val="naisc"/>
              <w:spacing w:before="0" w:after="0"/>
              <w:jc w:val="both"/>
              <w:rPr>
                <w:bCs/>
              </w:rPr>
            </w:pPr>
            <w:r w:rsidRPr="00B57019">
              <w:t>Informatīvā ziņojuma projekts.</w:t>
            </w:r>
          </w:p>
        </w:tc>
        <w:tc>
          <w:tcPr>
            <w:tcW w:w="2399" w:type="pct"/>
            <w:tcBorders>
              <w:left w:val="single" w:sz="6" w:space="0" w:color="000000" w:themeColor="text1"/>
              <w:bottom w:val="single" w:sz="4" w:space="0" w:color="auto"/>
              <w:right w:val="single" w:sz="6" w:space="0" w:color="000000" w:themeColor="text1"/>
            </w:tcBorders>
          </w:tcPr>
          <w:p w14:paraId="0ED4EC9E" w14:textId="77777777" w:rsidR="00F06F6F" w:rsidRPr="00B57019" w:rsidRDefault="00F06F6F" w:rsidP="00F06F6F">
            <w:pPr>
              <w:ind w:firstLine="720"/>
              <w:jc w:val="both"/>
              <w:rPr>
                <w:bCs/>
              </w:rPr>
            </w:pPr>
            <w:r w:rsidRPr="00B57019">
              <w:t>Lūdzam papildināt informatīvā ziņojuma projekta 2.tabulas kolonnā “Uzdevumi, kurus nav iespējams veikt esošo cilvēkresursu (amata vietu) ietvaros” sniegto informāciju, norādot konkrētus uzdevumus, kurus nav iespējams veikt esošo cilvēkresursu ietvaros, kā tas, piemēram, tiek norādīts pie Elektronisko iepirkumu sistēmas (turpmāk – EIS), kā arī sniegt informāciju, vai šobrīd šie uzdevumi netiek veikti vispār.</w:t>
            </w:r>
          </w:p>
        </w:tc>
        <w:tc>
          <w:tcPr>
            <w:tcW w:w="943" w:type="pct"/>
            <w:tcBorders>
              <w:left w:val="single" w:sz="6" w:space="0" w:color="000000" w:themeColor="text1"/>
              <w:bottom w:val="single" w:sz="4" w:space="0" w:color="auto"/>
              <w:right w:val="single" w:sz="6" w:space="0" w:color="000000" w:themeColor="text1"/>
            </w:tcBorders>
          </w:tcPr>
          <w:p w14:paraId="1986286A" w14:textId="77777777" w:rsidR="00F06F6F" w:rsidRPr="00B57019" w:rsidRDefault="00F06F6F" w:rsidP="00F06F6F">
            <w:pPr>
              <w:pStyle w:val="PlainText"/>
              <w:jc w:val="both"/>
              <w:rPr>
                <w:rFonts w:ascii="Times New Roman" w:hAnsi="Times New Roman"/>
                <w:b/>
                <w:bCs/>
                <w:sz w:val="24"/>
                <w:szCs w:val="24"/>
                <w:lang w:val="lv-LV"/>
              </w:rPr>
            </w:pPr>
            <w:r w:rsidRPr="00B57019">
              <w:rPr>
                <w:rFonts w:ascii="Times New Roman" w:hAnsi="Times New Roman"/>
                <w:b/>
                <w:bCs/>
                <w:sz w:val="24"/>
                <w:szCs w:val="24"/>
                <w:lang w:val="lv-LV"/>
              </w:rPr>
              <w:t>Iebildums ņemts vērā.</w:t>
            </w:r>
          </w:p>
        </w:tc>
        <w:tc>
          <w:tcPr>
            <w:tcW w:w="1012" w:type="pct"/>
            <w:tcBorders>
              <w:top w:val="single" w:sz="4" w:space="0" w:color="auto"/>
              <w:left w:val="single" w:sz="4" w:space="0" w:color="auto"/>
              <w:bottom w:val="single" w:sz="4" w:space="0" w:color="auto"/>
            </w:tcBorders>
          </w:tcPr>
          <w:p w14:paraId="4AC93B21" w14:textId="77777777" w:rsidR="00F06F6F" w:rsidRPr="00B57019" w:rsidRDefault="00F06F6F" w:rsidP="00F06F6F">
            <w:pPr>
              <w:pStyle w:val="ListParagraph"/>
              <w:spacing w:after="0" w:line="240" w:lineRule="auto"/>
              <w:ind w:left="0"/>
              <w:jc w:val="both"/>
              <w:rPr>
                <w:rFonts w:ascii="Times New Roman" w:hAnsi="Times New Roman"/>
                <w:sz w:val="24"/>
                <w:szCs w:val="24"/>
                <w:lang w:val="lv-LV"/>
              </w:rPr>
            </w:pPr>
            <w:r w:rsidRPr="00B57019">
              <w:rPr>
                <w:rFonts w:ascii="Times New Roman" w:hAnsi="Times New Roman"/>
                <w:sz w:val="24"/>
                <w:szCs w:val="24"/>
                <w:lang w:val="lv-LV" w:eastAsia="lv-LV"/>
              </w:rPr>
              <w:t>Papildināta informatīvā ziņojuma projekta 2.tabula.</w:t>
            </w:r>
          </w:p>
        </w:tc>
      </w:tr>
      <w:tr w:rsidR="00B57019" w:rsidRPr="00B57019" w14:paraId="7BF14DA7" w14:textId="77777777" w:rsidTr="64605ADC">
        <w:trPr>
          <w:trHeight w:val="4422"/>
          <w:jc w:val="center"/>
        </w:trPr>
        <w:tc>
          <w:tcPr>
            <w:tcW w:w="190" w:type="pct"/>
            <w:tcBorders>
              <w:left w:val="single" w:sz="6" w:space="0" w:color="000000" w:themeColor="text1"/>
              <w:bottom w:val="single" w:sz="4" w:space="0" w:color="auto"/>
              <w:right w:val="single" w:sz="6" w:space="0" w:color="000000" w:themeColor="text1"/>
            </w:tcBorders>
          </w:tcPr>
          <w:p w14:paraId="64E30B33" w14:textId="4771AFF2" w:rsidR="00F06F6F" w:rsidRPr="00B57019" w:rsidRDefault="00351DCC" w:rsidP="006F1754">
            <w:pPr>
              <w:pStyle w:val="naisc"/>
              <w:spacing w:before="0" w:after="0"/>
              <w:jc w:val="both"/>
            </w:pPr>
            <w:r w:rsidRPr="00B57019">
              <w:t>4</w:t>
            </w:r>
            <w:r w:rsidR="006F1754" w:rsidRPr="00B57019">
              <w:t>5</w:t>
            </w:r>
            <w:r w:rsidR="00F06F6F" w:rsidRPr="00B57019">
              <w:t>.</w:t>
            </w:r>
          </w:p>
        </w:tc>
        <w:tc>
          <w:tcPr>
            <w:tcW w:w="456" w:type="pct"/>
            <w:tcBorders>
              <w:left w:val="single" w:sz="6" w:space="0" w:color="000000" w:themeColor="text1"/>
              <w:bottom w:val="single" w:sz="4" w:space="0" w:color="auto"/>
              <w:right w:val="single" w:sz="6" w:space="0" w:color="000000" w:themeColor="text1"/>
            </w:tcBorders>
          </w:tcPr>
          <w:p w14:paraId="75319065" w14:textId="77777777" w:rsidR="00F06F6F" w:rsidRPr="00B57019" w:rsidRDefault="00F06F6F" w:rsidP="00F06F6F">
            <w:pPr>
              <w:pStyle w:val="naisc"/>
              <w:spacing w:before="0" w:after="0"/>
              <w:jc w:val="both"/>
            </w:pPr>
            <w:r w:rsidRPr="00B57019">
              <w:t>Informatīvā ziņojuma projekta 2.</w:t>
            </w:r>
          </w:p>
          <w:p w14:paraId="097D6FFA" w14:textId="77777777" w:rsidR="00F06F6F" w:rsidRPr="00B57019" w:rsidRDefault="00F06F6F" w:rsidP="00F06F6F">
            <w:pPr>
              <w:pStyle w:val="naisc"/>
              <w:spacing w:before="0" w:after="0"/>
              <w:jc w:val="both"/>
              <w:rPr>
                <w:bCs/>
              </w:rPr>
            </w:pPr>
            <w:r w:rsidRPr="00B57019">
              <w:t>pielikums.</w:t>
            </w:r>
          </w:p>
        </w:tc>
        <w:tc>
          <w:tcPr>
            <w:tcW w:w="2399" w:type="pct"/>
            <w:tcBorders>
              <w:left w:val="single" w:sz="6" w:space="0" w:color="000000" w:themeColor="text1"/>
              <w:bottom w:val="single" w:sz="4" w:space="0" w:color="auto"/>
              <w:right w:val="single" w:sz="6" w:space="0" w:color="000000" w:themeColor="text1"/>
            </w:tcBorders>
          </w:tcPr>
          <w:p w14:paraId="2C3D71E9" w14:textId="77777777" w:rsidR="00F06F6F" w:rsidRPr="00B57019" w:rsidRDefault="00F06F6F" w:rsidP="00F06F6F">
            <w:pPr>
              <w:ind w:firstLine="720"/>
              <w:jc w:val="both"/>
              <w:rPr>
                <w:bCs/>
              </w:rPr>
            </w:pPr>
            <w:r w:rsidRPr="00B57019">
              <w:t xml:space="preserve">Ņemot vērā, ka informatīvā ziņojuma projekta 2. pielikumā norādīts, ka lietvedei vēstules nosūtīšanai e-adresē nepieciešama </w:t>
            </w:r>
            <w:r w:rsidR="006E6AF7" w:rsidRPr="00B57019">
              <w:br/>
            </w:r>
            <w:r w:rsidRPr="00B57019">
              <w:t>1 minūte, lūdzam papildināt šo informāciju ar skaidrojumu, tai skaitā aprēķinu, kas pamato nepieciešamo darbību (vēstules nosūtīšana, reģistrēšana reģistrā, arhivēšana u.tml.) veikšanai paredzēto laiku. Vienlaikus uzskatām, ka resursu ekonomijas aprēķins nevar tikt balstīts pieņēmumā par 100 000 vēstuļu nosūtīšanu gadā, bet tam jābūt aprēķinātam atbilstoši faktiskajai situācijai, kas būtu iegūstama no resoru aptaujām, turklāt jāņem vērā, ka atsevišķos gadījumos, kad to nosaka normatīvais regulējums, ierakstītu vēstuļu nosūtīšana ir jāsaglabā. Papildus lūdzam informatīvā ziņojuma projekta 2.pielikumā svītrot informāciju par VARAM iesniegto prioritāro pasākumu “Valsts Informācijas un komunikācijas tehnoloģiju (turpmāk – IKT) koplietošanas resursu drošība un attīstība”, jo tas 2019. gada budžeta sagatavošanas procesā netika atbalstīts un attiecīgi šī informācija nav saistoša informatīvā ziņojuma projektam.</w:t>
            </w:r>
          </w:p>
        </w:tc>
        <w:tc>
          <w:tcPr>
            <w:tcW w:w="943" w:type="pct"/>
            <w:tcBorders>
              <w:left w:val="single" w:sz="6" w:space="0" w:color="000000" w:themeColor="text1"/>
              <w:bottom w:val="single" w:sz="4" w:space="0" w:color="auto"/>
              <w:right w:val="single" w:sz="6" w:space="0" w:color="000000" w:themeColor="text1"/>
            </w:tcBorders>
          </w:tcPr>
          <w:p w14:paraId="4C47B1F0" w14:textId="77777777" w:rsidR="00F06F6F" w:rsidRPr="00B57019" w:rsidRDefault="00F06F6F" w:rsidP="00F06F6F">
            <w:pPr>
              <w:pStyle w:val="PlainText"/>
              <w:jc w:val="both"/>
              <w:rPr>
                <w:rFonts w:ascii="Times New Roman" w:hAnsi="Times New Roman"/>
                <w:b/>
                <w:sz w:val="24"/>
                <w:szCs w:val="24"/>
                <w:lang w:val="lv-LV"/>
              </w:rPr>
            </w:pPr>
            <w:r w:rsidRPr="00B57019">
              <w:rPr>
                <w:rFonts w:ascii="Times New Roman" w:hAnsi="Times New Roman"/>
                <w:b/>
                <w:sz w:val="24"/>
                <w:szCs w:val="24"/>
                <w:lang w:val="lv-LV"/>
              </w:rPr>
              <w:t>Iebildums ir ņemts vērā.</w:t>
            </w:r>
          </w:p>
        </w:tc>
        <w:tc>
          <w:tcPr>
            <w:tcW w:w="1012" w:type="pct"/>
            <w:tcBorders>
              <w:top w:val="single" w:sz="4" w:space="0" w:color="auto"/>
              <w:left w:val="single" w:sz="4" w:space="0" w:color="auto"/>
              <w:bottom w:val="single" w:sz="4" w:space="0" w:color="auto"/>
            </w:tcBorders>
          </w:tcPr>
          <w:p w14:paraId="75822A29" w14:textId="77777777" w:rsidR="00F06F6F" w:rsidRPr="00B57019" w:rsidRDefault="003C6774" w:rsidP="00F06F6F">
            <w:pPr>
              <w:pStyle w:val="ListParagraph"/>
              <w:spacing w:after="0" w:line="240" w:lineRule="auto"/>
              <w:ind w:left="0"/>
              <w:jc w:val="both"/>
              <w:rPr>
                <w:rFonts w:ascii="Times New Roman" w:hAnsi="Times New Roman"/>
                <w:sz w:val="24"/>
                <w:szCs w:val="24"/>
                <w:lang w:val="lv-LV"/>
              </w:rPr>
            </w:pPr>
            <w:r w:rsidRPr="00B57019">
              <w:rPr>
                <w:rFonts w:ascii="Times New Roman" w:hAnsi="Times New Roman"/>
                <w:sz w:val="24"/>
                <w:szCs w:val="24"/>
                <w:lang w:val="lv-LV"/>
              </w:rPr>
              <w:t xml:space="preserve"> </w:t>
            </w:r>
            <w:r w:rsidR="00DF7C66" w:rsidRPr="00B57019">
              <w:rPr>
                <w:rFonts w:ascii="Times New Roman" w:hAnsi="Times New Roman"/>
                <w:sz w:val="24"/>
                <w:szCs w:val="24"/>
                <w:lang w:val="lv-LV"/>
              </w:rPr>
              <w:t>Informatīvā ziņojuma projekta 2. pielikums papildināts a</w:t>
            </w:r>
            <w:r w:rsidRPr="00B57019">
              <w:rPr>
                <w:rFonts w:ascii="Times New Roman" w:hAnsi="Times New Roman"/>
                <w:sz w:val="24"/>
                <w:szCs w:val="24"/>
                <w:lang w:val="lv-LV"/>
              </w:rPr>
              <w:t xml:space="preserve">r tekstu </w:t>
            </w:r>
            <w:r w:rsidR="00DF7C66" w:rsidRPr="00B57019">
              <w:rPr>
                <w:rFonts w:ascii="Times New Roman" w:hAnsi="Times New Roman"/>
                <w:sz w:val="24"/>
                <w:szCs w:val="24"/>
                <w:lang w:val="lv-LV"/>
              </w:rPr>
              <w:t>šā</w:t>
            </w:r>
            <w:r w:rsidRPr="00B57019">
              <w:rPr>
                <w:rFonts w:ascii="Times New Roman" w:hAnsi="Times New Roman"/>
                <w:sz w:val="24"/>
                <w:szCs w:val="24"/>
                <w:lang w:val="lv-LV"/>
              </w:rPr>
              <w:t>dā redakcijā:</w:t>
            </w:r>
          </w:p>
          <w:p w14:paraId="1D986F44" w14:textId="77777777" w:rsidR="003C6774" w:rsidRPr="00B57019" w:rsidRDefault="003C6774" w:rsidP="00F06F6F">
            <w:pPr>
              <w:pStyle w:val="ListParagraph"/>
              <w:spacing w:after="0" w:line="240" w:lineRule="auto"/>
              <w:ind w:left="0"/>
              <w:jc w:val="both"/>
              <w:rPr>
                <w:rFonts w:ascii="Times New Roman" w:hAnsi="Times New Roman"/>
                <w:sz w:val="24"/>
                <w:szCs w:val="24"/>
                <w:lang w:val="lv-LV"/>
              </w:rPr>
            </w:pPr>
            <w:r w:rsidRPr="00B57019">
              <w:rPr>
                <w:rFonts w:ascii="Times New Roman" w:hAnsi="Times New Roman"/>
                <w:sz w:val="24"/>
                <w:szCs w:val="24"/>
                <w:lang w:val="lv-LV"/>
              </w:rPr>
              <w:t>“</w:t>
            </w:r>
            <w:r w:rsidRPr="00B57019">
              <w:rPr>
                <w:rFonts w:ascii="Times New Roman" w:hAnsi="Times New Roman"/>
                <w:sz w:val="24"/>
                <w:szCs w:val="24"/>
              </w:rPr>
              <w:t xml:space="preserve">(pieņēmums izdarīts, balstoties uz </w:t>
            </w:r>
            <w:hyperlink r:id="rId13" w:history="1">
              <w:r w:rsidRPr="00B57019">
                <w:rPr>
                  <w:rFonts w:ascii="Times New Roman" w:hAnsi="Times New Roman"/>
                  <w:sz w:val="24"/>
                  <w:szCs w:val="24"/>
                </w:rPr>
                <w:t>http://www.sam.gov.lv/sm/content/?cat=441</w:t>
              </w:r>
            </w:hyperlink>
            <w:r w:rsidRPr="00B57019">
              <w:rPr>
                <w:rFonts w:ascii="Times New Roman" w:hAnsi="Times New Roman"/>
                <w:sz w:val="24"/>
                <w:szCs w:val="24"/>
              </w:rPr>
              <w:t xml:space="preserve"> statistikas datiem - kopā nosūtītas vēstules ~ 27 milj., ekspress pasts/kurjers izmantots ap 4,5 milj. sūtījumu – rezultātā tiek pieņemts, ka no minētā vēstuļu apjoma valsts iestādēm un juridiskām personām tiek nosūtīts ap 100 000 ierakstītas vēstules).</w:t>
            </w:r>
            <w:r w:rsidRPr="00B57019">
              <w:rPr>
                <w:rFonts w:ascii="Times New Roman" w:hAnsi="Times New Roman"/>
                <w:sz w:val="24"/>
                <w:szCs w:val="24"/>
                <w:lang w:val="lv-LV"/>
              </w:rPr>
              <w:t>”</w:t>
            </w:r>
          </w:p>
        </w:tc>
      </w:tr>
      <w:tr w:rsidR="00B57019" w:rsidRPr="00B57019" w14:paraId="5C4A1ECE" w14:textId="77777777" w:rsidTr="64605ADC">
        <w:trPr>
          <w:trHeight w:val="4422"/>
          <w:jc w:val="center"/>
        </w:trPr>
        <w:tc>
          <w:tcPr>
            <w:tcW w:w="190" w:type="pct"/>
            <w:tcBorders>
              <w:left w:val="single" w:sz="6" w:space="0" w:color="000000" w:themeColor="text1"/>
              <w:bottom w:val="single" w:sz="4" w:space="0" w:color="auto"/>
              <w:right w:val="single" w:sz="6" w:space="0" w:color="000000" w:themeColor="text1"/>
            </w:tcBorders>
          </w:tcPr>
          <w:p w14:paraId="733D0A95" w14:textId="5EFB1FD1" w:rsidR="00B974F8" w:rsidRPr="00B57019" w:rsidRDefault="006F1754" w:rsidP="00F06F6F">
            <w:pPr>
              <w:pStyle w:val="naisc"/>
              <w:spacing w:before="0" w:after="0"/>
              <w:jc w:val="both"/>
            </w:pPr>
            <w:r w:rsidRPr="00B57019">
              <w:t>46</w:t>
            </w:r>
            <w:r w:rsidR="00AA0227" w:rsidRPr="00B57019">
              <w:t>.</w:t>
            </w:r>
          </w:p>
        </w:tc>
        <w:tc>
          <w:tcPr>
            <w:tcW w:w="456" w:type="pct"/>
            <w:tcBorders>
              <w:left w:val="single" w:sz="6" w:space="0" w:color="000000" w:themeColor="text1"/>
              <w:bottom w:val="single" w:sz="4" w:space="0" w:color="auto"/>
              <w:right w:val="single" w:sz="6" w:space="0" w:color="000000" w:themeColor="text1"/>
            </w:tcBorders>
          </w:tcPr>
          <w:p w14:paraId="07CBED58" w14:textId="77777777" w:rsidR="00B974F8" w:rsidRPr="00B57019" w:rsidRDefault="00B974F8" w:rsidP="00F06F6F">
            <w:pPr>
              <w:pStyle w:val="naisc"/>
              <w:spacing w:before="0" w:after="0"/>
              <w:jc w:val="both"/>
            </w:pPr>
            <w:r w:rsidRPr="00B57019">
              <w:t>Informatīvā ziņojuma projekta 4.</w:t>
            </w:r>
          </w:p>
          <w:p w14:paraId="355CFC25" w14:textId="77777777" w:rsidR="00B974F8" w:rsidRPr="00B57019" w:rsidRDefault="00B974F8" w:rsidP="00F06F6F">
            <w:pPr>
              <w:pStyle w:val="naisc"/>
              <w:spacing w:before="0" w:after="0"/>
              <w:jc w:val="both"/>
            </w:pPr>
            <w:r w:rsidRPr="00B57019">
              <w:t>pielikums.</w:t>
            </w:r>
          </w:p>
        </w:tc>
        <w:tc>
          <w:tcPr>
            <w:tcW w:w="2399" w:type="pct"/>
            <w:tcBorders>
              <w:left w:val="single" w:sz="6" w:space="0" w:color="000000" w:themeColor="text1"/>
              <w:bottom w:val="single" w:sz="4" w:space="0" w:color="auto"/>
              <w:right w:val="single" w:sz="6" w:space="0" w:color="000000" w:themeColor="text1"/>
            </w:tcBorders>
          </w:tcPr>
          <w:p w14:paraId="4B41F39A" w14:textId="77777777" w:rsidR="00B72522" w:rsidRPr="00B57019" w:rsidRDefault="00B974F8" w:rsidP="00F06F6F">
            <w:pPr>
              <w:ind w:firstLine="720"/>
              <w:jc w:val="both"/>
            </w:pPr>
            <w:r w:rsidRPr="00B57019">
              <w:t xml:space="preserve">Informatīvā ziņojuma projekta 4.pielikumā, aprēķinot potenciālo resursu ekonomiju, ir norādīts, ka tā veidosies 140 iestādēm, vienlaikus no sniegtās informācijas nav skaidrs, kādas iestādes ar to ir domātas, turklāt nav skaidrots, kuras iestādes piemērs izmantots, aprēķinot šobrīd esošo 29,4 cilvēkdienu patēriņu iepirkumu organizēšanai un tīmekļvietņu izstrādei/atjaunošanai. Ņemot vērā minēto, lūdzam papildināt sniegto informāciju. </w:t>
            </w:r>
          </w:p>
          <w:p w14:paraId="62FBF904" w14:textId="77777777" w:rsidR="001A2818" w:rsidRPr="00B57019" w:rsidRDefault="001A2818" w:rsidP="00F06F6F">
            <w:pPr>
              <w:ind w:firstLine="720"/>
              <w:jc w:val="both"/>
            </w:pPr>
          </w:p>
          <w:p w14:paraId="778CE84A" w14:textId="77777777" w:rsidR="00B974F8" w:rsidRPr="00B57019" w:rsidRDefault="00B974F8" w:rsidP="00F06F6F">
            <w:pPr>
              <w:ind w:firstLine="720"/>
              <w:jc w:val="both"/>
            </w:pPr>
            <w:r w:rsidRPr="00B57019">
              <w:t>Papildu vēršam uzmanību, ka informatīvā ziņojuma projekta 4.pielikumā tiek norādīts, ka koplietošanas pakalpojuma uzturēšanai nepieciešamas 4 amata vietas, bet 2.tabulas aprēķinā darba vietu izveide un uzturēšana aprēķināta 3 amata vietām.</w:t>
            </w:r>
          </w:p>
        </w:tc>
        <w:tc>
          <w:tcPr>
            <w:tcW w:w="943" w:type="pct"/>
            <w:tcBorders>
              <w:left w:val="single" w:sz="6" w:space="0" w:color="000000" w:themeColor="text1"/>
              <w:bottom w:val="single" w:sz="4" w:space="0" w:color="auto"/>
              <w:right w:val="single" w:sz="6" w:space="0" w:color="000000" w:themeColor="text1"/>
            </w:tcBorders>
          </w:tcPr>
          <w:p w14:paraId="73B856EA" w14:textId="77777777" w:rsidR="00B974F8" w:rsidRPr="00B57019" w:rsidRDefault="00B974F8" w:rsidP="00F06F6F">
            <w:pPr>
              <w:pStyle w:val="PlainText"/>
              <w:jc w:val="both"/>
              <w:rPr>
                <w:rFonts w:ascii="Times New Roman" w:hAnsi="Times New Roman"/>
                <w:b/>
                <w:sz w:val="24"/>
                <w:szCs w:val="24"/>
                <w:lang w:val="lv-LV"/>
              </w:rPr>
            </w:pPr>
            <w:r w:rsidRPr="00B57019">
              <w:rPr>
                <w:rFonts w:ascii="Times New Roman" w:hAnsi="Times New Roman"/>
                <w:b/>
                <w:sz w:val="24"/>
                <w:szCs w:val="24"/>
                <w:lang w:val="lv-LV"/>
              </w:rPr>
              <w:t>Iebildums ir ņemts vērā.</w:t>
            </w:r>
          </w:p>
          <w:p w14:paraId="01EB4EEA" w14:textId="77777777" w:rsidR="001A2818" w:rsidRPr="00B57019" w:rsidRDefault="001A2818" w:rsidP="001A2818">
            <w:pPr>
              <w:rPr>
                <w:sz w:val="22"/>
                <w:szCs w:val="22"/>
                <w:lang w:eastAsia="en-US"/>
              </w:rPr>
            </w:pPr>
            <w:r w:rsidRPr="00B57019">
              <w:rPr>
                <w:lang w:eastAsia="en-US"/>
              </w:rPr>
              <w:t>Aprēķinā ņemtas vērā dažādas amatu saimes, līmeņi un grupas, jo iestādēs ir atšķirīgi speciālisti, kuri veic norādītos darbus (iepirkumus, tīmekļvietnes uzturēšanu, u.tml.).</w:t>
            </w:r>
          </w:p>
          <w:p w14:paraId="79585B25" w14:textId="77777777" w:rsidR="00B974F8" w:rsidRPr="00B57019" w:rsidRDefault="00B974F8" w:rsidP="00F06F6F">
            <w:pPr>
              <w:pStyle w:val="PlainText"/>
              <w:jc w:val="both"/>
              <w:rPr>
                <w:rFonts w:ascii="Times New Roman" w:eastAsia="Times New Roman" w:hAnsi="Times New Roman"/>
                <w:sz w:val="24"/>
                <w:szCs w:val="24"/>
                <w:lang w:val="lv-LV" w:eastAsia="lv-LV"/>
              </w:rPr>
            </w:pPr>
            <w:r w:rsidRPr="00B57019">
              <w:rPr>
                <w:rFonts w:ascii="Times New Roman" w:eastAsia="Times New Roman" w:hAnsi="Times New Roman"/>
                <w:sz w:val="24"/>
                <w:szCs w:val="24"/>
                <w:lang w:val="lv-LV" w:eastAsia="lv-LV"/>
              </w:rPr>
              <w:t>Atšķirība rodas, jo 4 amata vietas veido 3 jaunas amata vietas un 2 esošas amata vietas, kurām tiek pārdalīta pusslodze, līdz ar to tām nav nepieciešams papildus finansējums darba vietu izveidei un uzturēšanai.</w:t>
            </w:r>
          </w:p>
          <w:p w14:paraId="4DAD90AE" w14:textId="77777777" w:rsidR="00CA3B8B" w:rsidRPr="00B57019" w:rsidRDefault="00CA3B8B" w:rsidP="00F06F6F">
            <w:pPr>
              <w:pStyle w:val="PlainText"/>
              <w:jc w:val="both"/>
              <w:rPr>
                <w:rFonts w:ascii="Times New Roman" w:eastAsia="Times New Roman" w:hAnsi="Times New Roman"/>
                <w:sz w:val="24"/>
                <w:szCs w:val="24"/>
                <w:lang w:val="lv-LV" w:eastAsia="lv-LV"/>
              </w:rPr>
            </w:pPr>
          </w:p>
          <w:p w14:paraId="3B3F1CE2" w14:textId="4DDA85B5" w:rsidR="00CA3B8B" w:rsidRPr="00B57019" w:rsidRDefault="00CA3B8B" w:rsidP="00051C8D">
            <w:pPr>
              <w:jc w:val="both"/>
              <w:rPr>
                <w:b/>
              </w:rPr>
            </w:pPr>
            <w:r w:rsidRPr="00B57019">
              <w:t>Skatīt informatīvā ziņojuma 6. pielikumu.</w:t>
            </w:r>
          </w:p>
        </w:tc>
        <w:tc>
          <w:tcPr>
            <w:tcW w:w="1012" w:type="pct"/>
            <w:tcBorders>
              <w:top w:val="single" w:sz="4" w:space="0" w:color="auto"/>
              <w:left w:val="single" w:sz="4" w:space="0" w:color="auto"/>
              <w:bottom w:val="single" w:sz="4" w:space="0" w:color="auto"/>
            </w:tcBorders>
          </w:tcPr>
          <w:p w14:paraId="7F43D494" w14:textId="77777777" w:rsidR="00B72522" w:rsidRPr="00B57019" w:rsidRDefault="00B72522" w:rsidP="00B72522">
            <w:pPr>
              <w:jc w:val="both"/>
            </w:pPr>
            <w:r w:rsidRPr="00B57019">
              <w:t>Informatīvā ziņojuma projekta 4. pielikum</w:t>
            </w:r>
            <w:r w:rsidR="008E3403" w:rsidRPr="00B57019">
              <w:t>a 4.punkts</w:t>
            </w:r>
            <w:r w:rsidRPr="00B57019">
              <w:t xml:space="preserve"> papildināts ar </w:t>
            </w:r>
            <w:r w:rsidR="008E3403" w:rsidRPr="00B57019">
              <w:t xml:space="preserve">5.atsauci </w:t>
            </w:r>
            <w:r w:rsidRPr="00B57019">
              <w:t xml:space="preserve"> šādā redakcijā: </w:t>
            </w:r>
          </w:p>
          <w:p w14:paraId="784DD97C" w14:textId="77777777" w:rsidR="00B72522" w:rsidRPr="00B57019" w:rsidRDefault="00B72522" w:rsidP="00FC70FE">
            <w:pPr>
              <w:jc w:val="both"/>
            </w:pPr>
            <w:r w:rsidRPr="00B57019">
              <w:t>“4 amata vietas veido 3 jaunas amata vietas un 2 esošas amata vietas, kurām tiek pārdalīta pusslodze, līdz ar to tām nav nepieciešams papildus finansējums darba vietu izveidei un uzturēšanai.”</w:t>
            </w:r>
          </w:p>
          <w:p w14:paraId="5D9D68D3" w14:textId="77777777" w:rsidR="00CA3B8B" w:rsidRPr="00B57019" w:rsidRDefault="00CA3B8B" w:rsidP="00FC70FE">
            <w:pPr>
              <w:jc w:val="both"/>
            </w:pPr>
          </w:p>
          <w:p w14:paraId="7ACB4D60" w14:textId="77777777" w:rsidR="00CA3B8B" w:rsidRPr="00B57019" w:rsidRDefault="00CA3B8B" w:rsidP="00051C8D">
            <w:pPr>
              <w:jc w:val="both"/>
            </w:pPr>
            <w:r w:rsidRPr="00B57019">
              <w:t>Informatīvais ziņojums papildināts ar 6. pielikumu.</w:t>
            </w:r>
          </w:p>
          <w:p w14:paraId="683F37BC" w14:textId="77777777" w:rsidR="00CA3B8B" w:rsidRPr="00B57019" w:rsidRDefault="00CA3B8B" w:rsidP="00FC70FE">
            <w:pPr>
              <w:jc w:val="both"/>
            </w:pPr>
          </w:p>
        </w:tc>
      </w:tr>
      <w:tr w:rsidR="00B57019" w:rsidRPr="00B57019" w14:paraId="0B79EF34" w14:textId="77777777" w:rsidTr="00372885">
        <w:trPr>
          <w:trHeight w:val="2536"/>
          <w:jc w:val="center"/>
        </w:trPr>
        <w:tc>
          <w:tcPr>
            <w:tcW w:w="190" w:type="pct"/>
            <w:tcBorders>
              <w:left w:val="single" w:sz="6" w:space="0" w:color="000000" w:themeColor="text1"/>
              <w:bottom w:val="single" w:sz="4" w:space="0" w:color="auto"/>
              <w:right w:val="single" w:sz="6" w:space="0" w:color="000000" w:themeColor="text1"/>
            </w:tcBorders>
          </w:tcPr>
          <w:p w14:paraId="228CBA2D" w14:textId="24E50D03" w:rsidR="00B974F8" w:rsidRPr="00B57019" w:rsidRDefault="006F1754" w:rsidP="00F06F6F">
            <w:pPr>
              <w:pStyle w:val="naisc"/>
              <w:spacing w:before="0" w:after="0"/>
              <w:jc w:val="both"/>
            </w:pPr>
            <w:r w:rsidRPr="00B57019">
              <w:t>47</w:t>
            </w:r>
            <w:r w:rsidR="00351DCC" w:rsidRPr="00B57019">
              <w:t>.</w:t>
            </w:r>
          </w:p>
        </w:tc>
        <w:tc>
          <w:tcPr>
            <w:tcW w:w="456" w:type="pct"/>
            <w:tcBorders>
              <w:left w:val="single" w:sz="6" w:space="0" w:color="000000" w:themeColor="text1"/>
              <w:bottom w:val="single" w:sz="4" w:space="0" w:color="auto"/>
              <w:right w:val="single" w:sz="6" w:space="0" w:color="000000" w:themeColor="text1"/>
            </w:tcBorders>
          </w:tcPr>
          <w:p w14:paraId="0BCF150F" w14:textId="77777777" w:rsidR="00B974F8" w:rsidRPr="00B57019" w:rsidRDefault="00485F22" w:rsidP="00485F22">
            <w:pPr>
              <w:pStyle w:val="naisc"/>
              <w:spacing w:before="0" w:after="0"/>
              <w:jc w:val="both"/>
            </w:pPr>
            <w:r w:rsidRPr="00B57019">
              <w:t>Informatīvā ziņojuma projekta 5 pielikums.</w:t>
            </w:r>
          </w:p>
        </w:tc>
        <w:tc>
          <w:tcPr>
            <w:tcW w:w="2399" w:type="pct"/>
            <w:tcBorders>
              <w:left w:val="single" w:sz="6" w:space="0" w:color="000000" w:themeColor="text1"/>
              <w:bottom w:val="single" w:sz="4" w:space="0" w:color="auto"/>
              <w:right w:val="single" w:sz="6" w:space="0" w:color="000000" w:themeColor="text1"/>
            </w:tcBorders>
          </w:tcPr>
          <w:p w14:paraId="2267A995" w14:textId="77777777" w:rsidR="00485F22" w:rsidRPr="00B57019" w:rsidRDefault="00485F22" w:rsidP="00485F22">
            <w:pPr>
              <w:jc w:val="both"/>
            </w:pPr>
            <w:r w:rsidRPr="00B57019">
              <w:t xml:space="preserve">Attiecībā uz informatīvā ziņojuma projekta 5.pielikumā skaidroto e-rēķinu aprites risinājuma ieviešanu ir jāņem vērā to, ka risinājums šobrīd ir plānošanas un izstrādes posmā, tādēļ ir būtiski, lai tiktu izstrādāts efektīvs risinājums arī no izmaksu un nepieciešamo cilvēkresursu efektivitātes viedokļa. Vienlaikus no 5.pielikumā sniegtās analīzes nav skaidrs pamatojums tam, kādēļ ir nepieciešamas tieši 2 amata vietas, lai nodrošinātu sistēmas ieviešanu un uzturēšanu. </w:t>
            </w:r>
          </w:p>
          <w:p w14:paraId="7DE17764" w14:textId="77777777" w:rsidR="00485F22" w:rsidRPr="00B57019" w:rsidRDefault="00485F22" w:rsidP="00485F22">
            <w:pPr>
              <w:pStyle w:val="naisc"/>
              <w:spacing w:before="0" w:after="0"/>
              <w:ind w:firstLine="720"/>
              <w:jc w:val="both"/>
            </w:pPr>
            <w:r w:rsidRPr="00B57019">
              <w:t xml:space="preserve">Lūdzam informatīvā ziņojuma projekta 5.pielikumā svītrot aprēķināto resursu ekonomiju 1) punktā un 1.tabulā, jo tas vērtēts pret nākotnes izmaksām, kas varētu rasties, bet, kas vēl netiek veiktas, attiecīgi tas nav uzskatāms par resursu ekonomiju pret tagadnes situāciju. Uzskatām, ka resursu ekonomija vērtējama attiecībā pret manuālo rēķinu apstrādi, kas tiek analizēta informatīvā ziņojuma projekta 5.pielikuma 2) punktā un 2.tabulā. </w:t>
            </w:r>
          </w:p>
          <w:p w14:paraId="4DAE355B" w14:textId="77777777" w:rsidR="00485F22" w:rsidRPr="00B57019" w:rsidRDefault="00485F22" w:rsidP="00485F22">
            <w:pPr>
              <w:ind w:firstLine="720"/>
              <w:jc w:val="both"/>
            </w:pPr>
          </w:p>
          <w:p w14:paraId="2F41D1FB" w14:textId="77777777" w:rsidR="00485F22" w:rsidRPr="00B57019" w:rsidRDefault="00485F22" w:rsidP="00485F22">
            <w:pPr>
              <w:ind w:firstLine="720"/>
              <w:jc w:val="both"/>
            </w:pPr>
          </w:p>
          <w:p w14:paraId="0B214F92" w14:textId="77777777" w:rsidR="00485F22" w:rsidRPr="00B57019" w:rsidRDefault="00485F22" w:rsidP="00485F22">
            <w:pPr>
              <w:ind w:firstLine="720"/>
              <w:jc w:val="both"/>
            </w:pPr>
          </w:p>
          <w:p w14:paraId="17F64F29" w14:textId="77777777" w:rsidR="00485F22" w:rsidRPr="00B57019" w:rsidRDefault="00485F22" w:rsidP="00485F22">
            <w:pPr>
              <w:ind w:firstLine="720"/>
              <w:jc w:val="both"/>
            </w:pPr>
          </w:p>
          <w:p w14:paraId="5F47976F" w14:textId="77777777" w:rsidR="00485F22" w:rsidRPr="00B57019" w:rsidRDefault="00485F22" w:rsidP="00485F22">
            <w:pPr>
              <w:ind w:firstLine="720"/>
              <w:jc w:val="both"/>
            </w:pPr>
          </w:p>
          <w:p w14:paraId="5889585C" w14:textId="77777777" w:rsidR="00485F22" w:rsidRPr="00B57019" w:rsidRDefault="00485F22" w:rsidP="00485F22">
            <w:pPr>
              <w:ind w:firstLine="720"/>
              <w:jc w:val="both"/>
            </w:pPr>
          </w:p>
          <w:p w14:paraId="280FB5DD" w14:textId="77777777" w:rsidR="00485F22" w:rsidRPr="00B57019" w:rsidRDefault="00485F22" w:rsidP="00485F22">
            <w:pPr>
              <w:ind w:firstLine="720"/>
              <w:jc w:val="both"/>
            </w:pPr>
          </w:p>
          <w:p w14:paraId="7DC09D19" w14:textId="77777777" w:rsidR="00485F22" w:rsidRPr="00B57019" w:rsidRDefault="00485F22" w:rsidP="00485F22">
            <w:pPr>
              <w:ind w:firstLine="720"/>
              <w:jc w:val="both"/>
            </w:pPr>
          </w:p>
          <w:p w14:paraId="6157C2AA" w14:textId="77777777" w:rsidR="00B974F8" w:rsidRPr="00B57019" w:rsidRDefault="00485F22" w:rsidP="00485F22">
            <w:pPr>
              <w:ind w:firstLine="720"/>
              <w:jc w:val="both"/>
            </w:pPr>
            <w:r w:rsidRPr="00B57019">
              <w:t>Vienlaikus lūdzam papildināt informatīvā ziņojuma projekta 5.pielikumu ar skaidrojošu informāciju par 186 iestādēm, kas izmantotas resursu ekonomijas aprēķinā.</w:t>
            </w:r>
          </w:p>
        </w:tc>
        <w:tc>
          <w:tcPr>
            <w:tcW w:w="943" w:type="pct"/>
            <w:tcBorders>
              <w:left w:val="single" w:sz="6" w:space="0" w:color="000000" w:themeColor="text1"/>
              <w:bottom w:val="single" w:sz="4" w:space="0" w:color="auto"/>
              <w:right w:val="single" w:sz="6" w:space="0" w:color="000000" w:themeColor="text1"/>
            </w:tcBorders>
          </w:tcPr>
          <w:p w14:paraId="7ED3D3E3" w14:textId="77777777" w:rsidR="00485F22" w:rsidRPr="00B57019" w:rsidRDefault="00485F22" w:rsidP="00485F22">
            <w:pPr>
              <w:pStyle w:val="PlainText"/>
              <w:jc w:val="both"/>
              <w:rPr>
                <w:rFonts w:ascii="Times New Roman" w:hAnsi="Times New Roman"/>
                <w:b/>
                <w:sz w:val="24"/>
                <w:szCs w:val="24"/>
                <w:lang w:val="lv-LV"/>
              </w:rPr>
            </w:pPr>
            <w:r w:rsidRPr="00B57019">
              <w:rPr>
                <w:rFonts w:ascii="Times New Roman" w:hAnsi="Times New Roman"/>
                <w:b/>
                <w:sz w:val="24"/>
                <w:szCs w:val="24"/>
                <w:lang w:val="lv-LV"/>
              </w:rPr>
              <w:t>Iebildums ir ņemts vērā.</w:t>
            </w:r>
          </w:p>
          <w:p w14:paraId="1F74AD65" w14:textId="77777777" w:rsidR="00485F22" w:rsidRPr="00B57019" w:rsidRDefault="00485F22" w:rsidP="00485F22">
            <w:pPr>
              <w:pStyle w:val="PlainText"/>
              <w:jc w:val="both"/>
              <w:rPr>
                <w:rFonts w:ascii="Times New Roman" w:eastAsia="Times New Roman" w:hAnsi="Times New Roman"/>
                <w:sz w:val="24"/>
                <w:szCs w:val="24"/>
                <w:lang w:val="lv-LV" w:eastAsia="lv-LV"/>
              </w:rPr>
            </w:pPr>
            <w:r w:rsidRPr="00B57019">
              <w:rPr>
                <w:rFonts w:ascii="Times New Roman" w:eastAsia="Times New Roman" w:hAnsi="Times New Roman"/>
                <w:sz w:val="24"/>
                <w:szCs w:val="24"/>
                <w:lang w:val="lv-LV" w:eastAsia="lv-LV"/>
              </w:rPr>
              <w:t>Aprakstā ir minēts, ka risinājumu izmantos tiešās pārvaldes iestādes.</w:t>
            </w:r>
          </w:p>
          <w:p w14:paraId="5A2CADF8" w14:textId="77777777" w:rsidR="00485F22" w:rsidRPr="00B57019" w:rsidRDefault="00485F22" w:rsidP="00F06F6F">
            <w:pPr>
              <w:pStyle w:val="PlainText"/>
              <w:jc w:val="both"/>
              <w:rPr>
                <w:rFonts w:ascii="Times New Roman" w:hAnsi="Times New Roman"/>
                <w:b/>
                <w:sz w:val="24"/>
                <w:szCs w:val="24"/>
                <w:lang w:val="lv-LV"/>
              </w:rPr>
            </w:pPr>
          </w:p>
        </w:tc>
        <w:tc>
          <w:tcPr>
            <w:tcW w:w="1012" w:type="pct"/>
            <w:tcBorders>
              <w:top w:val="single" w:sz="4" w:space="0" w:color="auto"/>
              <w:left w:val="single" w:sz="4" w:space="0" w:color="auto"/>
              <w:bottom w:val="single" w:sz="4" w:space="0" w:color="auto"/>
            </w:tcBorders>
          </w:tcPr>
          <w:p w14:paraId="7F1AD85C" w14:textId="77777777" w:rsidR="00485F22" w:rsidRPr="00B57019" w:rsidRDefault="00485F22" w:rsidP="00485F22">
            <w:pPr>
              <w:jc w:val="both"/>
            </w:pPr>
            <w:r w:rsidRPr="00B57019">
              <w:t xml:space="preserve">Informatīvā ziņojuma </w:t>
            </w:r>
            <w:r w:rsidR="008E3403" w:rsidRPr="00B57019">
              <w:t xml:space="preserve">projekta </w:t>
            </w:r>
            <w:r w:rsidRPr="00B57019">
              <w:t>5. pielikum</w:t>
            </w:r>
            <w:r w:rsidR="008E3403" w:rsidRPr="00B57019">
              <w:t>a 4.punkts</w:t>
            </w:r>
            <w:r w:rsidRPr="00B57019">
              <w:t xml:space="preserve"> papildināts ar tekstu šādā redakcijā:</w:t>
            </w:r>
          </w:p>
          <w:p w14:paraId="43EB3663" w14:textId="77777777" w:rsidR="00485F22" w:rsidRPr="00B57019" w:rsidRDefault="00485F22" w:rsidP="00485F22">
            <w:pPr>
              <w:pStyle w:val="naisc"/>
              <w:spacing w:before="0" w:after="0"/>
              <w:jc w:val="both"/>
              <w:rPr>
                <w:bCs/>
              </w:rPr>
            </w:pPr>
            <w:r w:rsidRPr="00B57019">
              <w:t>“</w:t>
            </w:r>
            <w:r w:rsidRPr="00B57019">
              <w:rPr>
                <w:bCs/>
              </w:rPr>
              <w:t>Sistēmu analītiķis nodrošinās nepieciešamo izmaiņu pieprasījumu sagatavošanu, pasūtīšanu, risinājuma testēšanu, risinājuma attīstības plānošanu un uzturēšanu, sniegs tehniska rakstura konsultācijas risinājuma izmantotājiem. Sistēmu administrators nodrošinās programmatūras piegāžu uzstādīšanu, testēšanu, risinājuma monitoringu, risinājuma administrēšanu, kā arī sniegs tehniska rakstura konsultācijas risinājuma izmantotājiem.”</w:t>
            </w:r>
          </w:p>
          <w:p w14:paraId="31923C46" w14:textId="77777777" w:rsidR="00485F22" w:rsidRPr="00B57019" w:rsidRDefault="00485F22" w:rsidP="00485F22">
            <w:pPr>
              <w:pStyle w:val="naisc"/>
              <w:spacing w:before="0" w:after="0"/>
              <w:jc w:val="both"/>
              <w:rPr>
                <w:bCs/>
              </w:rPr>
            </w:pPr>
          </w:p>
          <w:p w14:paraId="521F07C5" w14:textId="77777777" w:rsidR="00B974F8" w:rsidRPr="00B57019" w:rsidRDefault="00485F22" w:rsidP="00485F22">
            <w:pPr>
              <w:pStyle w:val="ListParagraph"/>
              <w:spacing w:after="0" w:line="240" w:lineRule="auto"/>
              <w:ind w:left="0"/>
              <w:jc w:val="both"/>
              <w:rPr>
                <w:rFonts w:ascii="Times New Roman" w:hAnsi="Times New Roman"/>
                <w:sz w:val="24"/>
                <w:szCs w:val="24"/>
                <w:lang w:val="lv-LV"/>
              </w:rPr>
            </w:pPr>
            <w:r w:rsidRPr="00B57019">
              <w:rPr>
                <w:rFonts w:ascii="Times New Roman" w:hAnsi="Times New Roman"/>
                <w:sz w:val="24"/>
                <w:szCs w:val="24"/>
                <w:lang w:val="lv-LV" w:eastAsia="lv-LV"/>
              </w:rPr>
              <w:t>Informatīvā ziņojuma 5. pielikums papildināts.</w:t>
            </w:r>
          </w:p>
        </w:tc>
      </w:tr>
      <w:tr w:rsidR="00B57019" w:rsidRPr="00B57019" w14:paraId="57CED988" w14:textId="77777777" w:rsidTr="64605ADC">
        <w:trPr>
          <w:trHeight w:val="373"/>
          <w:jc w:val="center"/>
        </w:trPr>
        <w:tc>
          <w:tcPr>
            <w:tcW w:w="5000" w:type="pct"/>
            <w:gridSpan w:val="5"/>
            <w:tcBorders>
              <w:left w:val="single" w:sz="6" w:space="0" w:color="000000" w:themeColor="text1"/>
              <w:bottom w:val="single" w:sz="4" w:space="0" w:color="auto"/>
            </w:tcBorders>
          </w:tcPr>
          <w:p w14:paraId="5FDA612D" w14:textId="77777777" w:rsidR="00F06F6F" w:rsidRPr="00B57019" w:rsidRDefault="00F06F6F" w:rsidP="00F06F6F">
            <w:pPr>
              <w:pStyle w:val="ListParagraph"/>
              <w:spacing w:after="0" w:line="240" w:lineRule="auto"/>
              <w:ind w:left="0"/>
              <w:jc w:val="center"/>
              <w:rPr>
                <w:rFonts w:ascii="Times New Roman" w:hAnsi="Times New Roman"/>
                <w:b/>
                <w:sz w:val="24"/>
                <w:szCs w:val="24"/>
                <w:lang w:val="lv-LV"/>
              </w:rPr>
            </w:pPr>
            <w:r w:rsidRPr="00B57019">
              <w:rPr>
                <w:rFonts w:ascii="Times New Roman" w:hAnsi="Times New Roman"/>
                <w:b/>
                <w:sz w:val="24"/>
                <w:szCs w:val="24"/>
                <w:lang w:val="lv-LV"/>
              </w:rPr>
              <w:t>Finanšu ministrija</w:t>
            </w:r>
          </w:p>
        </w:tc>
      </w:tr>
      <w:tr w:rsidR="00B57019" w:rsidRPr="00B57019" w14:paraId="18238CA9" w14:textId="77777777" w:rsidTr="64605ADC">
        <w:trPr>
          <w:trHeight w:val="693"/>
          <w:jc w:val="center"/>
        </w:trPr>
        <w:tc>
          <w:tcPr>
            <w:tcW w:w="190" w:type="pct"/>
            <w:tcBorders>
              <w:left w:val="single" w:sz="6" w:space="0" w:color="000000" w:themeColor="text1"/>
              <w:bottom w:val="single" w:sz="4" w:space="0" w:color="auto"/>
              <w:right w:val="single" w:sz="6" w:space="0" w:color="000000" w:themeColor="text1"/>
            </w:tcBorders>
          </w:tcPr>
          <w:p w14:paraId="357C1C9C" w14:textId="2AE32DFC" w:rsidR="00F06F6F" w:rsidRPr="00B57019" w:rsidRDefault="006F1754" w:rsidP="00F06F6F">
            <w:pPr>
              <w:pStyle w:val="naisc"/>
              <w:spacing w:before="0" w:after="0"/>
              <w:jc w:val="both"/>
            </w:pPr>
            <w:r w:rsidRPr="00B57019">
              <w:t>48</w:t>
            </w:r>
            <w:r w:rsidR="00F06F6F" w:rsidRPr="00B57019">
              <w:t>.</w:t>
            </w:r>
          </w:p>
        </w:tc>
        <w:tc>
          <w:tcPr>
            <w:tcW w:w="456" w:type="pct"/>
            <w:tcBorders>
              <w:left w:val="single" w:sz="6" w:space="0" w:color="000000" w:themeColor="text1"/>
              <w:bottom w:val="single" w:sz="4" w:space="0" w:color="auto"/>
              <w:right w:val="single" w:sz="6" w:space="0" w:color="000000" w:themeColor="text1"/>
            </w:tcBorders>
          </w:tcPr>
          <w:p w14:paraId="75625D38" w14:textId="77777777" w:rsidR="00F06F6F" w:rsidRPr="00B57019" w:rsidRDefault="00F06F6F" w:rsidP="00F06F6F">
            <w:pPr>
              <w:pStyle w:val="naisc"/>
              <w:spacing w:before="0" w:after="0"/>
              <w:jc w:val="both"/>
              <w:rPr>
                <w:bCs/>
              </w:rPr>
            </w:pPr>
          </w:p>
        </w:tc>
        <w:tc>
          <w:tcPr>
            <w:tcW w:w="2399" w:type="pct"/>
            <w:tcBorders>
              <w:left w:val="single" w:sz="6" w:space="0" w:color="000000" w:themeColor="text1"/>
              <w:bottom w:val="single" w:sz="4" w:space="0" w:color="auto"/>
              <w:right w:val="single" w:sz="6" w:space="0" w:color="000000" w:themeColor="text1"/>
            </w:tcBorders>
          </w:tcPr>
          <w:p w14:paraId="599F114C" w14:textId="77777777" w:rsidR="00F06F6F" w:rsidRPr="00B57019" w:rsidRDefault="00F06F6F" w:rsidP="00F06F6F">
            <w:pPr>
              <w:ind w:firstLine="720"/>
              <w:rPr>
                <w:b/>
              </w:rPr>
            </w:pPr>
            <w:r w:rsidRPr="00B57019">
              <w:rPr>
                <w:b/>
              </w:rPr>
              <w:t>Priekšlikumi.</w:t>
            </w:r>
          </w:p>
          <w:p w14:paraId="46677670" w14:textId="77777777" w:rsidR="00F06F6F" w:rsidRPr="00B57019" w:rsidRDefault="00F06F6F" w:rsidP="00F06F6F">
            <w:pPr>
              <w:ind w:firstLine="720"/>
              <w:jc w:val="both"/>
            </w:pPr>
            <w:r w:rsidRPr="00B57019">
              <w:t>1. Aicinām izvērtēt nepieciešamību papildināt informatīvā ziņojuma projekta ievada daļu ar informāciju, ka atbilstoši Ministru kabineta noteikumu Nr.653</w:t>
            </w:r>
            <w:r w:rsidRPr="00B57019">
              <w:rPr>
                <w:rStyle w:val="FootnoteReference"/>
              </w:rPr>
              <w:footnoteReference w:id="3"/>
            </w:r>
            <w:r w:rsidRPr="00B57019">
              <w:t xml:space="preserve"> 32.punktam, finansējuma saņēmējs un sadarbības partneris ir tieši atbildīgs par projekta īstenošanu un rezultātu uzturēšanu vismaz piecus gadus pēc projekta īstenošanas, attiecīgi, īstenojot Eiropas Reģionālās attīstības fonda līdzfinansētus informācijas un komunikācijas tehnoloģiju projektus, ir nepieciešams nodrošināt valsts budžeta finansējumu projektu ietvaros radīto rezultātu uzturēšanai vismaz piecus gadus pēc projektu īstenošanas beigām.</w:t>
            </w:r>
          </w:p>
          <w:p w14:paraId="0A377AC3" w14:textId="77777777" w:rsidR="00F06F6F" w:rsidRPr="00B57019" w:rsidRDefault="00F06F6F" w:rsidP="00F06F6F">
            <w:pPr>
              <w:ind w:firstLine="720"/>
              <w:jc w:val="both"/>
            </w:pPr>
            <w:r w:rsidRPr="00B57019">
              <w:t>2. Aicinām papildināt informatīvā ziņojuma projektu eIDAS pieminēšanas vietā ar zemsvītras atsauci uz Eiropas Parlamenta un Padomes 2014. gada 23. jūlija Regulu (ES) Nr.910/2014 par elektronisko identifikāciju un uzticamības pakalpojumiem elektronisko darījumu veikšanai iekšējā tirgū un ar ko atceļ Direktīvu 1999/93/EK.</w:t>
            </w:r>
          </w:p>
          <w:p w14:paraId="0D6D36AD" w14:textId="77777777" w:rsidR="00F06F6F" w:rsidRPr="00B57019" w:rsidRDefault="00F06F6F" w:rsidP="00F06F6F">
            <w:pPr>
              <w:ind w:firstLine="720"/>
              <w:jc w:val="both"/>
            </w:pPr>
            <w:r w:rsidRPr="00B57019">
              <w:t>3. Aicinām papildināt informatīvā ziņojuma projekta 3.pielikuma “Vienotās pieteikšanās modulis” 3.sadaļā “Sistēmai šobrīd pieejamais cilvēkresursu apjoms” ietverto informāciju, norādot, ka Eiropas Savienības struktūrfondu un Kohēzijas fonda 2014.–2020. gada plānošanas perioda darbības programmas “Infrastruktūra un pakalpojumi” 2.2.1.specifiskā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ietvaros īstenoto projektu Nr.2.2.1.1/17/I/09 “Vienotā datu telpa” un 2.2.1.1/17/I/015 “Pakalpojumu sniegšanas un pārvaldības platforma” ietvaros tiek atmaksāta tikai tādu risinājumu uzturēšana, kuri ir tikuši izveidoti vai pilnveidoti minēto projektu ietvaros.</w:t>
            </w:r>
          </w:p>
          <w:p w14:paraId="31D7484A" w14:textId="77777777" w:rsidR="00F06F6F" w:rsidRPr="00B57019" w:rsidRDefault="00F06F6F" w:rsidP="00F06F6F">
            <w:pPr>
              <w:ind w:firstLine="720"/>
              <w:jc w:val="both"/>
              <w:rPr>
                <w:bCs/>
              </w:rPr>
            </w:pPr>
            <w:r w:rsidRPr="00B57019">
              <w:t>4. Ņemot vērā, ka informatīvā ziņojuma projekta pielikumos tiek izmantots termins “institūcijas” un informatīvā ziņojuma projektā nav skaidrots, kas ar šo terminu saprotams, lūdzam informatīvā ziņojuma projektu papildināt ar attiecīgu skaidrojumu.</w:t>
            </w:r>
          </w:p>
        </w:tc>
        <w:tc>
          <w:tcPr>
            <w:tcW w:w="943" w:type="pct"/>
            <w:tcBorders>
              <w:left w:val="single" w:sz="6" w:space="0" w:color="000000" w:themeColor="text1"/>
              <w:bottom w:val="single" w:sz="4" w:space="0" w:color="auto"/>
              <w:right w:val="single" w:sz="6" w:space="0" w:color="000000" w:themeColor="text1"/>
            </w:tcBorders>
          </w:tcPr>
          <w:p w14:paraId="2AFD16A0" w14:textId="77777777" w:rsidR="00F06F6F" w:rsidRPr="00B57019" w:rsidRDefault="00F06F6F" w:rsidP="00F06F6F">
            <w:pPr>
              <w:pStyle w:val="PlainText"/>
              <w:jc w:val="both"/>
              <w:rPr>
                <w:rFonts w:ascii="Times New Roman" w:hAnsi="Times New Roman"/>
                <w:b/>
                <w:sz w:val="24"/>
                <w:szCs w:val="24"/>
                <w:lang w:val="lv-LV"/>
              </w:rPr>
            </w:pPr>
          </w:p>
        </w:tc>
        <w:tc>
          <w:tcPr>
            <w:tcW w:w="1012" w:type="pct"/>
            <w:tcBorders>
              <w:top w:val="single" w:sz="4" w:space="0" w:color="auto"/>
              <w:left w:val="single" w:sz="4" w:space="0" w:color="auto"/>
              <w:bottom w:val="single" w:sz="4" w:space="0" w:color="auto"/>
            </w:tcBorders>
          </w:tcPr>
          <w:p w14:paraId="4A59C680" w14:textId="77777777" w:rsidR="00F06F6F" w:rsidRPr="00B57019" w:rsidRDefault="00F06F6F" w:rsidP="00F06F6F">
            <w:pPr>
              <w:pStyle w:val="ListParagraph"/>
              <w:spacing w:after="0" w:line="240" w:lineRule="auto"/>
              <w:ind w:left="0"/>
              <w:jc w:val="both"/>
              <w:rPr>
                <w:rFonts w:ascii="Times New Roman" w:hAnsi="Times New Roman"/>
                <w:sz w:val="24"/>
                <w:szCs w:val="24"/>
                <w:lang w:val="lv-LV"/>
              </w:rPr>
            </w:pPr>
          </w:p>
          <w:p w14:paraId="7120F630" w14:textId="77777777" w:rsidR="00F06F6F" w:rsidRPr="00B57019" w:rsidRDefault="00F06F6F" w:rsidP="00F06F6F">
            <w:pPr>
              <w:pStyle w:val="ListParagraph"/>
              <w:spacing w:after="0" w:line="240" w:lineRule="auto"/>
              <w:ind w:left="0"/>
              <w:jc w:val="both"/>
              <w:rPr>
                <w:rFonts w:ascii="Times New Roman" w:hAnsi="Times New Roman"/>
                <w:sz w:val="24"/>
                <w:szCs w:val="24"/>
                <w:lang w:val="lv-LV"/>
              </w:rPr>
            </w:pPr>
            <w:r w:rsidRPr="00B57019">
              <w:rPr>
                <w:rFonts w:ascii="Times New Roman" w:hAnsi="Times New Roman"/>
                <w:sz w:val="24"/>
                <w:szCs w:val="24"/>
                <w:lang w:val="lv-LV"/>
              </w:rPr>
              <w:t>1. Informatīvā ziņojuma projekta ievada daļa papildināta.</w:t>
            </w:r>
            <w:r w:rsidRPr="00B57019">
              <w:rPr>
                <w:rFonts w:ascii="Times New Roman" w:hAnsi="Times New Roman"/>
                <w:sz w:val="24"/>
                <w:szCs w:val="24"/>
                <w:lang w:val="lv-LV"/>
              </w:rPr>
              <w:br/>
            </w:r>
            <w:r w:rsidRPr="00B57019">
              <w:rPr>
                <w:rFonts w:ascii="Times New Roman" w:hAnsi="Times New Roman"/>
                <w:sz w:val="24"/>
                <w:szCs w:val="24"/>
                <w:lang w:val="lv-LV"/>
              </w:rPr>
              <w:br/>
            </w:r>
          </w:p>
          <w:p w14:paraId="1891798A" w14:textId="77777777" w:rsidR="00F06F6F" w:rsidRPr="00B57019" w:rsidRDefault="00F06F6F" w:rsidP="00F06F6F">
            <w:pPr>
              <w:pStyle w:val="ListParagraph"/>
              <w:spacing w:after="0" w:line="240" w:lineRule="auto"/>
              <w:ind w:left="0"/>
              <w:jc w:val="both"/>
              <w:rPr>
                <w:rFonts w:ascii="Times New Roman" w:hAnsi="Times New Roman"/>
                <w:sz w:val="24"/>
                <w:szCs w:val="24"/>
                <w:lang w:val="lv-LV"/>
              </w:rPr>
            </w:pPr>
          </w:p>
          <w:p w14:paraId="1FF05E67" w14:textId="77777777" w:rsidR="00F06F6F" w:rsidRPr="00B57019" w:rsidRDefault="00F06F6F" w:rsidP="00F06F6F">
            <w:pPr>
              <w:pStyle w:val="ListParagraph"/>
              <w:spacing w:after="0" w:line="240" w:lineRule="auto"/>
              <w:ind w:left="0"/>
              <w:jc w:val="both"/>
              <w:rPr>
                <w:rFonts w:ascii="Times New Roman" w:hAnsi="Times New Roman"/>
                <w:sz w:val="24"/>
                <w:szCs w:val="24"/>
                <w:lang w:val="lv-LV"/>
              </w:rPr>
            </w:pPr>
          </w:p>
          <w:p w14:paraId="636262E4" w14:textId="77777777" w:rsidR="00F06F6F" w:rsidRPr="00B57019" w:rsidRDefault="00F06F6F" w:rsidP="00F06F6F">
            <w:pPr>
              <w:pStyle w:val="ListParagraph"/>
              <w:spacing w:after="0" w:line="240" w:lineRule="auto"/>
              <w:ind w:left="0"/>
              <w:jc w:val="both"/>
              <w:rPr>
                <w:rFonts w:ascii="Times New Roman" w:hAnsi="Times New Roman"/>
                <w:sz w:val="24"/>
                <w:szCs w:val="24"/>
                <w:lang w:val="lv-LV"/>
              </w:rPr>
            </w:pPr>
          </w:p>
          <w:p w14:paraId="5078BDFD" w14:textId="77777777" w:rsidR="00F06F6F" w:rsidRPr="00B57019" w:rsidRDefault="00F06F6F" w:rsidP="00F06F6F">
            <w:pPr>
              <w:pStyle w:val="ListParagraph"/>
              <w:spacing w:after="0" w:line="240" w:lineRule="auto"/>
              <w:ind w:left="0"/>
              <w:jc w:val="both"/>
              <w:rPr>
                <w:rFonts w:ascii="Times New Roman" w:hAnsi="Times New Roman"/>
                <w:sz w:val="24"/>
                <w:szCs w:val="24"/>
                <w:lang w:val="lv-LV"/>
              </w:rPr>
            </w:pPr>
          </w:p>
          <w:p w14:paraId="431D61BC" w14:textId="77777777" w:rsidR="00F06F6F" w:rsidRPr="00B57019" w:rsidRDefault="00F06F6F" w:rsidP="00F06F6F">
            <w:pPr>
              <w:pStyle w:val="ListParagraph"/>
              <w:spacing w:after="0" w:line="240" w:lineRule="auto"/>
              <w:ind w:left="0"/>
              <w:jc w:val="both"/>
              <w:rPr>
                <w:rFonts w:ascii="Times New Roman" w:hAnsi="Times New Roman"/>
                <w:sz w:val="24"/>
                <w:szCs w:val="24"/>
                <w:lang w:val="lv-LV"/>
              </w:rPr>
            </w:pPr>
            <w:r w:rsidRPr="00B57019">
              <w:rPr>
                <w:rFonts w:ascii="Times New Roman" w:hAnsi="Times New Roman"/>
                <w:sz w:val="24"/>
                <w:szCs w:val="24"/>
                <w:lang w:val="lv-LV"/>
              </w:rPr>
              <w:t>2. Informatīvā ziņojuma projekts papildināts.</w:t>
            </w:r>
          </w:p>
          <w:p w14:paraId="593B466E" w14:textId="77777777" w:rsidR="00F06F6F" w:rsidRPr="00B57019" w:rsidRDefault="00F06F6F" w:rsidP="00F06F6F">
            <w:pPr>
              <w:pStyle w:val="ListParagraph"/>
              <w:spacing w:after="0" w:line="240" w:lineRule="auto"/>
              <w:ind w:left="0"/>
              <w:jc w:val="both"/>
              <w:rPr>
                <w:rFonts w:ascii="Times New Roman" w:hAnsi="Times New Roman"/>
                <w:sz w:val="24"/>
                <w:szCs w:val="24"/>
                <w:lang w:val="lv-LV"/>
              </w:rPr>
            </w:pPr>
          </w:p>
          <w:p w14:paraId="5209E1B2" w14:textId="77777777" w:rsidR="00F06F6F" w:rsidRPr="00B57019" w:rsidRDefault="00F06F6F" w:rsidP="00F06F6F">
            <w:pPr>
              <w:pStyle w:val="ListParagraph"/>
              <w:spacing w:after="0" w:line="240" w:lineRule="auto"/>
              <w:ind w:left="0"/>
              <w:jc w:val="both"/>
              <w:rPr>
                <w:rFonts w:ascii="Times New Roman" w:hAnsi="Times New Roman"/>
                <w:sz w:val="24"/>
                <w:szCs w:val="24"/>
                <w:lang w:val="lv-LV"/>
              </w:rPr>
            </w:pPr>
          </w:p>
          <w:p w14:paraId="60244D8B" w14:textId="77777777" w:rsidR="00F06F6F" w:rsidRPr="00B57019" w:rsidRDefault="00F06F6F" w:rsidP="00F06F6F">
            <w:pPr>
              <w:pStyle w:val="ListParagraph"/>
              <w:spacing w:after="0" w:line="240" w:lineRule="auto"/>
              <w:ind w:left="0"/>
              <w:jc w:val="both"/>
              <w:rPr>
                <w:rFonts w:ascii="Times New Roman" w:hAnsi="Times New Roman"/>
                <w:sz w:val="24"/>
                <w:szCs w:val="24"/>
                <w:lang w:val="lv-LV"/>
              </w:rPr>
            </w:pPr>
          </w:p>
          <w:p w14:paraId="6BBFAC34" w14:textId="77777777" w:rsidR="00F06F6F" w:rsidRPr="00B57019" w:rsidRDefault="00F06F6F" w:rsidP="00F06F6F">
            <w:pPr>
              <w:jc w:val="both"/>
            </w:pPr>
            <w:r w:rsidRPr="00B57019">
              <w:t>3. Informatīvā ziņojuma projekt</w:t>
            </w:r>
            <w:r w:rsidR="008E3403" w:rsidRPr="00B57019">
              <w:t>a 3.pielikuma 3.punkts</w:t>
            </w:r>
            <w:r w:rsidRPr="00B57019">
              <w:t xml:space="preserve"> papildināts</w:t>
            </w:r>
            <w:r w:rsidR="008E3403" w:rsidRPr="00B57019">
              <w:t>.</w:t>
            </w:r>
          </w:p>
          <w:p w14:paraId="333E3782" w14:textId="77777777" w:rsidR="00F06F6F" w:rsidRPr="00B57019" w:rsidRDefault="00F06F6F" w:rsidP="00F06F6F">
            <w:pPr>
              <w:pStyle w:val="ListParagraph"/>
              <w:spacing w:after="0" w:line="240" w:lineRule="auto"/>
              <w:jc w:val="both"/>
              <w:rPr>
                <w:rFonts w:ascii="Times New Roman" w:hAnsi="Times New Roman"/>
                <w:sz w:val="24"/>
                <w:szCs w:val="24"/>
                <w:lang w:val="lv-LV"/>
              </w:rPr>
            </w:pPr>
          </w:p>
          <w:p w14:paraId="74E4505D" w14:textId="77777777" w:rsidR="00F06F6F" w:rsidRPr="00B57019" w:rsidRDefault="00F06F6F" w:rsidP="00F06F6F">
            <w:pPr>
              <w:pStyle w:val="ListParagraph"/>
              <w:spacing w:after="0" w:line="240" w:lineRule="auto"/>
              <w:jc w:val="both"/>
              <w:rPr>
                <w:rFonts w:ascii="Times New Roman" w:hAnsi="Times New Roman"/>
                <w:sz w:val="24"/>
                <w:szCs w:val="24"/>
                <w:lang w:val="lv-LV"/>
              </w:rPr>
            </w:pPr>
          </w:p>
          <w:p w14:paraId="75EBED54" w14:textId="77777777" w:rsidR="00F06F6F" w:rsidRPr="00B57019" w:rsidRDefault="00F06F6F" w:rsidP="00F06F6F">
            <w:pPr>
              <w:pStyle w:val="ListParagraph"/>
              <w:spacing w:after="0" w:line="240" w:lineRule="auto"/>
              <w:jc w:val="both"/>
              <w:rPr>
                <w:rFonts w:ascii="Times New Roman" w:hAnsi="Times New Roman"/>
                <w:sz w:val="24"/>
                <w:szCs w:val="24"/>
                <w:lang w:val="lv-LV"/>
              </w:rPr>
            </w:pPr>
          </w:p>
          <w:p w14:paraId="76FC9EEE" w14:textId="77777777" w:rsidR="00F06F6F" w:rsidRPr="00B57019" w:rsidRDefault="00F06F6F" w:rsidP="00F06F6F">
            <w:pPr>
              <w:pStyle w:val="ListParagraph"/>
              <w:spacing w:after="0" w:line="240" w:lineRule="auto"/>
              <w:jc w:val="both"/>
              <w:rPr>
                <w:rFonts w:ascii="Times New Roman" w:hAnsi="Times New Roman"/>
                <w:sz w:val="24"/>
                <w:szCs w:val="24"/>
                <w:lang w:val="lv-LV"/>
              </w:rPr>
            </w:pPr>
          </w:p>
          <w:p w14:paraId="546A148F" w14:textId="77777777" w:rsidR="00F06F6F" w:rsidRPr="00B57019" w:rsidRDefault="00F06F6F" w:rsidP="00F06F6F">
            <w:pPr>
              <w:pStyle w:val="ListParagraph"/>
              <w:spacing w:after="0" w:line="240" w:lineRule="auto"/>
              <w:jc w:val="both"/>
              <w:rPr>
                <w:rFonts w:ascii="Times New Roman" w:hAnsi="Times New Roman"/>
                <w:sz w:val="24"/>
                <w:szCs w:val="24"/>
                <w:lang w:val="lv-LV"/>
              </w:rPr>
            </w:pPr>
          </w:p>
          <w:p w14:paraId="04A394C9" w14:textId="77777777" w:rsidR="00F06F6F" w:rsidRPr="00B57019" w:rsidRDefault="00F06F6F" w:rsidP="00F06F6F">
            <w:pPr>
              <w:pStyle w:val="ListParagraph"/>
              <w:spacing w:after="0" w:line="240" w:lineRule="auto"/>
              <w:jc w:val="both"/>
              <w:rPr>
                <w:rFonts w:ascii="Times New Roman" w:hAnsi="Times New Roman"/>
                <w:sz w:val="24"/>
                <w:szCs w:val="24"/>
                <w:lang w:val="lv-LV"/>
              </w:rPr>
            </w:pPr>
          </w:p>
          <w:p w14:paraId="128F868A" w14:textId="77777777" w:rsidR="00F06F6F" w:rsidRPr="00B57019" w:rsidRDefault="00F06F6F" w:rsidP="00F06F6F">
            <w:pPr>
              <w:pStyle w:val="ListParagraph"/>
              <w:spacing w:after="0" w:line="240" w:lineRule="auto"/>
              <w:jc w:val="both"/>
              <w:rPr>
                <w:rFonts w:ascii="Times New Roman" w:hAnsi="Times New Roman"/>
                <w:sz w:val="24"/>
                <w:szCs w:val="24"/>
                <w:lang w:val="lv-LV"/>
              </w:rPr>
            </w:pPr>
          </w:p>
          <w:p w14:paraId="2729135B" w14:textId="77777777" w:rsidR="00F06F6F" w:rsidRPr="00B57019" w:rsidRDefault="00F06F6F" w:rsidP="00F06F6F">
            <w:pPr>
              <w:pStyle w:val="ListParagraph"/>
              <w:spacing w:after="0" w:line="240" w:lineRule="auto"/>
              <w:jc w:val="both"/>
              <w:rPr>
                <w:rFonts w:ascii="Times New Roman" w:hAnsi="Times New Roman"/>
                <w:sz w:val="24"/>
                <w:szCs w:val="24"/>
                <w:lang w:val="lv-LV"/>
              </w:rPr>
            </w:pPr>
          </w:p>
          <w:p w14:paraId="6DD85EE0" w14:textId="77777777" w:rsidR="00F06F6F" w:rsidRPr="00B57019" w:rsidRDefault="00F06F6F" w:rsidP="00F06F6F">
            <w:pPr>
              <w:pStyle w:val="ListParagraph"/>
              <w:spacing w:after="0" w:line="240" w:lineRule="auto"/>
              <w:jc w:val="both"/>
              <w:rPr>
                <w:rFonts w:ascii="Times New Roman" w:hAnsi="Times New Roman"/>
                <w:sz w:val="24"/>
                <w:szCs w:val="24"/>
                <w:lang w:val="lv-LV"/>
              </w:rPr>
            </w:pPr>
          </w:p>
          <w:p w14:paraId="20BCA8E5" w14:textId="77777777" w:rsidR="00F06F6F" w:rsidRPr="00B57019" w:rsidRDefault="00F06F6F" w:rsidP="00F06F6F">
            <w:pPr>
              <w:pStyle w:val="ListParagraph"/>
              <w:spacing w:after="0" w:line="240" w:lineRule="auto"/>
              <w:jc w:val="both"/>
              <w:rPr>
                <w:rFonts w:ascii="Times New Roman" w:hAnsi="Times New Roman"/>
                <w:sz w:val="24"/>
                <w:szCs w:val="24"/>
                <w:lang w:val="lv-LV"/>
              </w:rPr>
            </w:pPr>
          </w:p>
          <w:p w14:paraId="00A813DD" w14:textId="77777777" w:rsidR="00F06F6F" w:rsidRPr="00B57019" w:rsidRDefault="00F06F6F" w:rsidP="00F06F6F">
            <w:pPr>
              <w:pStyle w:val="ListParagraph"/>
              <w:spacing w:after="0" w:line="240" w:lineRule="auto"/>
              <w:jc w:val="both"/>
              <w:rPr>
                <w:rFonts w:ascii="Times New Roman" w:hAnsi="Times New Roman"/>
                <w:sz w:val="24"/>
                <w:szCs w:val="24"/>
                <w:lang w:val="lv-LV"/>
              </w:rPr>
            </w:pPr>
          </w:p>
          <w:p w14:paraId="4B0EC161" w14:textId="77777777" w:rsidR="00F06F6F" w:rsidRPr="00B57019" w:rsidRDefault="00F06F6F" w:rsidP="00F06F6F">
            <w:pPr>
              <w:jc w:val="both"/>
            </w:pPr>
          </w:p>
          <w:p w14:paraId="101D73A5" w14:textId="77777777" w:rsidR="0010167C" w:rsidRPr="00B57019" w:rsidRDefault="0010167C" w:rsidP="00F06F6F">
            <w:pPr>
              <w:jc w:val="both"/>
            </w:pPr>
          </w:p>
          <w:p w14:paraId="54EA31DE" w14:textId="77777777" w:rsidR="0010167C" w:rsidRPr="00B57019" w:rsidRDefault="0010167C" w:rsidP="00F06F6F">
            <w:pPr>
              <w:jc w:val="both"/>
            </w:pPr>
          </w:p>
          <w:p w14:paraId="378802F1" w14:textId="77777777" w:rsidR="0010167C" w:rsidRPr="00B57019" w:rsidRDefault="0010167C" w:rsidP="00F06F6F">
            <w:pPr>
              <w:jc w:val="both"/>
            </w:pPr>
          </w:p>
          <w:p w14:paraId="77E5A39A" w14:textId="77777777" w:rsidR="0010167C" w:rsidRPr="00B57019" w:rsidRDefault="0010167C" w:rsidP="00F06F6F">
            <w:pPr>
              <w:jc w:val="both"/>
            </w:pPr>
          </w:p>
          <w:p w14:paraId="3FC232CC" w14:textId="77777777" w:rsidR="00F06F6F" w:rsidRPr="00B57019" w:rsidRDefault="00207867" w:rsidP="00372885">
            <w:pPr>
              <w:jc w:val="both"/>
            </w:pPr>
            <w:r w:rsidRPr="00B57019">
              <w:t>4. I</w:t>
            </w:r>
            <w:r w:rsidR="00F06F6F" w:rsidRPr="00B57019">
              <w:t>nformatīvā ziņojuma</w:t>
            </w:r>
            <w:r w:rsidRPr="00B57019">
              <w:t xml:space="preserve"> projekta</w:t>
            </w:r>
            <w:r w:rsidR="00F06F6F" w:rsidRPr="00B57019">
              <w:t xml:space="preserve"> 1.pielikum</w:t>
            </w:r>
            <w:r w:rsidRPr="00B57019">
              <w:t>s papildināts ar termina “institūcijas” skaidrojumu</w:t>
            </w:r>
            <w:r w:rsidR="00F06F6F" w:rsidRPr="00B57019">
              <w:t xml:space="preserve">, </w:t>
            </w:r>
            <w:r w:rsidRPr="00B57019">
              <w:t xml:space="preserve">ar to apzīmējot </w:t>
            </w:r>
            <w:r w:rsidR="00F06F6F" w:rsidRPr="00B57019">
              <w:t>tiešās pārvaldes institūcijas.</w:t>
            </w:r>
          </w:p>
        </w:tc>
      </w:tr>
      <w:tr w:rsidR="00B57019" w:rsidRPr="00B57019" w14:paraId="4ECD0636" w14:textId="77777777" w:rsidTr="64605ADC">
        <w:trPr>
          <w:trHeight w:val="693"/>
          <w:jc w:val="center"/>
        </w:trPr>
        <w:tc>
          <w:tcPr>
            <w:tcW w:w="190" w:type="pct"/>
            <w:tcBorders>
              <w:left w:val="single" w:sz="6" w:space="0" w:color="000000" w:themeColor="text1"/>
              <w:bottom w:val="single" w:sz="4" w:space="0" w:color="auto"/>
              <w:right w:val="single" w:sz="6" w:space="0" w:color="000000" w:themeColor="text1"/>
            </w:tcBorders>
          </w:tcPr>
          <w:p w14:paraId="26D7ECFD" w14:textId="7336CCBF" w:rsidR="00F06F6F" w:rsidRPr="00B57019" w:rsidRDefault="006F1754" w:rsidP="00F06F6F">
            <w:pPr>
              <w:pStyle w:val="naisc"/>
              <w:spacing w:before="0" w:after="0"/>
              <w:jc w:val="both"/>
            </w:pPr>
            <w:r w:rsidRPr="00B57019">
              <w:t>49</w:t>
            </w:r>
            <w:r w:rsidR="00F06F6F" w:rsidRPr="00B57019">
              <w:t>.</w:t>
            </w:r>
          </w:p>
        </w:tc>
        <w:tc>
          <w:tcPr>
            <w:tcW w:w="456" w:type="pct"/>
            <w:tcBorders>
              <w:left w:val="single" w:sz="6" w:space="0" w:color="000000" w:themeColor="text1"/>
              <w:bottom w:val="single" w:sz="4" w:space="0" w:color="auto"/>
              <w:right w:val="single" w:sz="6" w:space="0" w:color="000000" w:themeColor="text1"/>
            </w:tcBorders>
          </w:tcPr>
          <w:p w14:paraId="44AB6539" w14:textId="77777777" w:rsidR="00F06F6F" w:rsidRPr="00B57019" w:rsidRDefault="00F06F6F" w:rsidP="00F06F6F">
            <w:pPr>
              <w:pStyle w:val="naisc"/>
              <w:spacing w:before="0" w:after="0"/>
              <w:jc w:val="both"/>
              <w:rPr>
                <w:bCs/>
              </w:rPr>
            </w:pPr>
          </w:p>
        </w:tc>
        <w:tc>
          <w:tcPr>
            <w:tcW w:w="2399" w:type="pct"/>
            <w:tcBorders>
              <w:left w:val="single" w:sz="6" w:space="0" w:color="000000" w:themeColor="text1"/>
              <w:bottom w:val="single" w:sz="4" w:space="0" w:color="auto"/>
              <w:right w:val="single" w:sz="6" w:space="0" w:color="000000" w:themeColor="text1"/>
            </w:tcBorders>
          </w:tcPr>
          <w:p w14:paraId="7E572833" w14:textId="77777777" w:rsidR="00F06F6F" w:rsidRPr="00B57019" w:rsidRDefault="00F06F6F" w:rsidP="00F06F6F">
            <w:pPr>
              <w:jc w:val="both"/>
              <w:rPr>
                <w:b/>
              </w:rPr>
            </w:pPr>
            <w:r w:rsidRPr="00B57019">
              <w:rPr>
                <w:b/>
              </w:rPr>
              <w:t>Papildus komentāri.</w:t>
            </w:r>
          </w:p>
          <w:p w14:paraId="70AE2D54" w14:textId="77777777" w:rsidR="00F06F6F" w:rsidRPr="00B57019" w:rsidRDefault="00F06F6F" w:rsidP="00F06F6F">
            <w:pPr>
              <w:ind w:firstLine="720"/>
              <w:jc w:val="both"/>
            </w:pPr>
            <w:r w:rsidRPr="00B57019">
              <w:t>Informatīvā ziņojuma projektā 1.pielikumā norādītie resoru ieguvumi no EIS lietošanas ir virspusēji un nesniedz patiesu informāciju par apstākļiem, ar kādiem pasūtītāji saskaras, izmantojot EIS sistēmu. Sniedzam šādus komentārus par EIS sistēmu:</w:t>
            </w:r>
          </w:p>
          <w:p w14:paraId="650DD2A5" w14:textId="77777777" w:rsidR="00F06F6F" w:rsidRPr="00B57019" w:rsidRDefault="00F06F6F" w:rsidP="00F06F6F">
            <w:pPr>
              <w:ind w:firstLine="720"/>
              <w:jc w:val="both"/>
            </w:pPr>
            <w:r w:rsidRPr="00B57019">
              <w:t>1. Par IKT koplietošanas platformas izveidei, IS uzturēšanai un attīstībai piešķirto finansējumu, tajā skaitā Eiropas Reģionālās attīstības fonda projekta “E-iepirkumu un e-izsoļu platformas attīstība” (Nr.2.2.1.1/17/004) (turpmāk – Projekts) finansējumu, bija jābūt jau sasniegtiem lielākai daļai no plānotajiem rezultātiem (izveidoti, pilnveidoti IKT risinājumi un informācijas sistēmas). Projekta ietvaros veidotajiem risinājumiem bija jau jābūt funkcionāli pielietojamiem un tās lietotājiem saprotamiem un vienkārši, viegli lietojamiem.</w:t>
            </w:r>
          </w:p>
          <w:p w14:paraId="5E56E9C4" w14:textId="77777777" w:rsidR="00F06F6F" w:rsidRPr="00B57019" w:rsidRDefault="00F06F6F" w:rsidP="00F06F6F">
            <w:pPr>
              <w:ind w:firstLine="720"/>
              <w:jc w:val="both"/>
            </w:pPr>
            <w:r w:rsidRPr="00B57019">
              <w:t>2. No informatīvā ziņojuma projekta neizriet kādēļ, piemēram, VRAA īstenotā Projekta ietvaros izstrādātajai un pasūtītājam nodotajai EIS sistēmas daļai bija jāveic būtiski funkcionāli tās uzlabojumi, tādējādi atkārtoti izlietojot finanšu līdzekļus par vienu un to pašu darbu, kā piemēru minot, “sistēmas pielāgošana lietotāju specifiskajām prasībām”. Jau realizējot Projektu, proti, nododot produktu tās pasūtītājam, sistēmai bija jābūt pielāgotai normatīvo aktu terminoloģijai un tās lietotājiem viegli pielietojamai.</w:t>
            </w:r>
          </w:p>
          <w:p w14:paraId="4752FEA3" w14:textId="77777777" w:rsidR="00F06F6F" w:rsidRPr="00B57019" w:rsidRDefault="00F06F6F" w:rsidP="00F06F6F">
            <w:pPr>
              <w:ind w:firstLine="720"/>
              <w:jc w:val="both"/>
            </w:pPr>
            <w:r w:rsidRPr="00B57019">
              <w:t>3. Secināms, ka Projekta finansējuma izlietojuma pārdale galvenokārt tika novirzīta EIS nepilnību novēršanai kā rezultātā ir izveidojusies situācija, ka ir nepietiekami resursi valsts un pašvaldību iestāžu tīmekļvietņu vienotās platformas un E- rēķinu aprites risinājumu ieviešanai.</w:t>
            </w:r>
          </w:p>
          <w:p w14:paraId="55FF8569" w14:textId="77777777" w:rsidR="00F06F6F" w:rsidRPr="00B57019" w:rsidRDefault="00F06F6F" w:rsidP="00F06F6F">
            <w:pPr>
              <w:ind w:firstLine="720"/>
              <w:jc w:val="both"/>
            </w:pPr>
            <w:r w:rsidRPr="00B57019">
              <w:t>4. Attiecībā par resursu ekonomiju un ietaupījumu izmantojot IKT koplietošanas risinājumu informatīvā ziņojuma projekta 1.pielikumā nav ietverta salīdzinoša analīze par to, kādi ir finanšu rādītāji un ieguvumi, ja centralizētos iepirkumus veiktu katrs resors pats, tajā skaitā kontrolētu līguma kvalitātes uzraudzības funkciju izpildi, pretstatā VRAA realizētajiem EIS e-pasūtījumu apakšsistēmas iepirkumiem un šim nolūkam paredzētajiem resursiem. Informatīvā ziņojuma projekta 1.pielikumā nav atspoguļota un salīdzinoši izvērtēta EIS e-konkursu apakšsistēmas ietekme uz tirgu un administratīvo resursu izlietojumu.</w:t>
            </w:r>
          </w:p>
          <w:p w14:paraId="46ADF0F3" w14:textId="77777777" w:rsidR="00F06F6F" w:rsidRPr="00B57019" w:rsidRDefault="00F06F6F" w:rsidP="00F06F6F">
            <w:pPr>
              <w:ind w:firstLine="720"/>
              <w:jc w:val="both"/>
            </w:pPr>
            <w:r w:rsidRPr="00B57019">
              <w:t>5. Jau šobrīd, no praktiskā viedokļa raugoties, salīdzinot iepriekšējo periodu līdz EIS e-konkursu sistēmas obligātai piemērošanai veicot iepirkumus, ir secināms, ka strauji mazinājusies konkurence piegādātāju vidu, proti, iepirkumos piedalās ievērojami mazāks skaits piegādātāju kā arī pasūtītājiem iepirkumam ir jāveltī ievērojami ilgāks un darbietilpīgāks darbs, kas prasa lielāku cilvēkresursu iesaistīšanu iepirkuma procesā. Šāda cilvēkresursu palielinājums ir saistīts ar EIS e-konkursu apakšsistēmas nepārskatāmību, procesuālo neatbilstību reālai iepirkuma norisei, kādu noteic Publisko iepirkumu likums, atšķirīgi sistēmas definējumi, sarežģīta funkcionālā struktūra.</w:t>
            </w:r>
          </w:p>
          <w:p w14:paraId="1A017205" w14:textId="77777777" w:rsidR="00F06F6F" w:rsidRPr="00B57019" w:rsidRDefault="00F06F6F" w:rsidP="00F06F6F">
            <w:pPr>
              <w:ind w:firstLine="720"/>
              <w:jc w:val="both"/>
            </w:pPr>
            <w:r w:rsidRPr="00B57019">
              <w:t>6. Informatīvā ziņojuma projekta 1.pielikumā būtu jāietver salīdzinošu analīzi attiecībā par cilvēkresursu un administratīvo izdevumu apmēru, salīdzinot divas radniecīgas sistēmas: Iepirkumu uzraudzības biroja uzturēto sistēmu (PVS) un EIS e-konkursu apakšsistēmu. Iepirkumu uzraudzības biroja uzturētā sistēma (PVS) no pasūtītāja viedokļa ir vienkārša, viegli saprotama, atbilstoša Publisko iepirkumu likuma regulējumam pēc būtības un maksimāli efektīva no administratīvo izdevumu viedokļa raugoties.</w:t>
            </w:r>
          </w:p>
          <w:p w14:paraId="447FF831" w14:textId="77777777" w:rsidR="00F06F6F" w:rsidRPr="00B57019" w:rsidRDefault="00F06F6F" w:rsidP="00F06F6F">
            <w:pPr>
              <w:ind w:firstLine="720"/>
              <w:jc w:val="both"/>
            </w:pPr>
            <w:r w:rsidRPr="00B57019">
              <w:t>7. Informatīvā ziņojuma projekta 1.pielikumā ietvertais secinājums, ka EIS nodrošina cenu pazeminājumu uz apgrozījuma rēķina un stingrākas garantijas apkalpošanas prasības, ir neatbilstošs faktam. Garantijas prasību izvirzīšana izriet no attiecīgajā iepirkuma dokumentācijā izvirzītajiem nosacījumiem vai izriet no likuma. Savukārt resoriem, pašiem organizējot centralizētu iepirkumu, piemēram, vispārīgo vienošanos, cenu pazeminājums būs analogs.</w:t>
            </w:r>
          </w:p>
          <w:p w14:paraId="7C61497D" w14:textId="77777777" w:rsidR="00F06F6F" w:rsidRPr="00B57019" w:rsidRDefault="00F06F6F" w:rsidP="00F06F6F">
            <w:pPr>
              <w:ind w:firstLine="720"/>
              <w:jc w:val="both"/>
              <w:rPr>
                <w:bCs/>
              </w:rPr>
            </w:pPr>
            <w:r w:rsidRPr="00B57019">
              <w:t>8. Informatīvā ziņojuma projekta 1.pielikumā veikts IKT uzturēšanai un attīstīšanai nepieciešamo cilvēkresursu un finansējuma izvērtējums, taču nav ņemts vērā, ka attiecīgie resursi resoriem nepieciešami savas darbības nodrošināšanai, tajā skaitā veicot tādu preču, pakalpojumu iegādi, kas nav iekļauti EIS e-katalogā.</w:t>
            </w:r>
          </w:p>
        </w:tc>
        <w:tc>
          <w:tcPr>
            <w:tcW w:w="943" w:type="pct"/>
            <w:tcBorders>
              <w:left w:val="single" w:sz="6" w:space="0" w:color="000000" w:themeColor="text1"/>
              <w:bottom w:val="single" w:sz="4" w:space="0" w:color="auto"/>
              <w:right w:val="single" w:sz="6" w:space="0" w:color="000000" w:themeColor="text1"/>
            </w:tcBorders>
          </w:tcPr>
          <w:p w14:paraId="3B4D2A82" w14:textId="77777777" w:rsidR="00F06F6F" w:rsidRPr="00B57019" w:rsidRDefault="00F06F6F" w:rsidP="00F06F6F">
            <w:pPr>
              <w:pStyle w:val="PlainText"/>
              <w:jc w:val="both"/>
              <w:rPr>
                <w:rFonts w:ascii="Times New Roman" w:hAnsi="Times New Roman"/>
                <w:sz w:val="24"/>
                <w:szCs w:val="24"/>
                <w:lang w:val="lv-LV"/>
              </w:rPr>
            </w:pPr>
            <w:r w:rsidRPr="00B57019">
              <w:rPr>
                <w:rFonts w:ascii="Times New Roman" w:hAnsi="Times New Roman"/>
                <w:sz w:val="24"/>
                <w:szCs w:val="24"/>
                <w:lang w:val="lv-LV"/>
              </w:rPr>
              <w:t>Vēršam uzmanību, ka informatīvais ziņojums neskar EIS e-konkursu apakšsistēmu un ar tās veidošanu saistītus ERAF projektus, tomēr sniedzam šādus skaidrojumus:</w:t>
            </w:r>
          </w:p>
          <w:p w14:paraId="1A649EDC" w14:textId="77777777" w:rsidR="00F06F6F" w:rsidRPr="00B57019" w:rsidRDefault="00F06F6F" w:rsidP="00F06F6F">
            <w:pPr>
              <w:pStyle w:val="PlainText"/>
              <w:jc w:val="both"/>
              <w:rPr>
                <w:rFonts w:ascii="Times New Roman" w:hAnsi="Times New Roman"/>
                <w:sz w:val="24"/>
                <w:szCs w:val="24"/>
                <w:lang w:val="lv-LV"/>
              </w:rPr>
            </w:pPr>
          </w:p>
          <w:p w14:paraId="212F2B66" w14:textId="77777777" w:rsidR="00F06F6F" w:rsidRPr="00B57019" w:rsidRDefault="00F06F6F" w:rsidP="00F06F6F">
            <w:pPr>
              <w:pStyle w:val="PlainText"/>
              <w:numPr>
                <w:ilvl w:val="0"/>
                <w:numId w:val="10"/>
              </w:numPr>
              <w:jc w:val="both"/>
              <w:rPr>
                <w:rFonts w:ascii="Times New Roman" w:hAnsi="Times New Roman"/>
                <w:sz w:val="24"/>
                <w:szCs w:val="24"/>
                <w:lang w:val="lv-LV"/>
              </w:rPr>
            </w:pPr>
            <w:r w:rsidRPr="00B57019">
              <w:rPr>
                <w:rFonts w:ascii="Times New Roman" w:hAnsi="Times New Roman"/>
                <w:sz w:val="24"/>
                <w:szCs w:val="24"/>
                <w:lang w:val="lv-LV"/>
              </w:rPr>
              <w:t>Informējam, ka ERAF projekta ietvaros ir izstrādāti un produkcijas vide funkcionē šādi nodevumi:</w:t>
            </w:r>
          </w:p>
          <w:p w14:paraId="29A0BADA" w14:textId="77777777" w:rsidR="00F06F6F" w:rsidRPr="00B57019" w:rsidRDefault="00F06F6F" w:rsidP="00F06F6F">
            <w:pPr>
              <w:pStyle w:val="PlainText"/>
              <w:ind w:left="720"/>
              <w:jc w:val="both"/>
              <w:rPr>
                <w:rFonts w:ascii="Times New Roman" w:hAnsi="Times New Roman"/>
                <w:sz w:val="24"/>
                <w:szCs w:val="24"/>
                <w:lang w:val="lv-LV"/>
              </w:rPr>
            </w:pPr>
            <w:r w:rsidRPr="00B57019">
              <w:rPr>
                <w:rFonts w:ascii="Times New Roman" w:hAnsi="Times New Roman"/>
                <w:sz w:val="24"/>
                <w:szCs w:val="24"/>
                <w:lang w:val="lv-LV"/>
              </w:rPr>
              <w:t>-</w:t>
            </w:r>
            <w:r w:rsidRPr="00B57019">
              <w:rPr>
                <w:rFonts w:ascii="Times New Roman" w:hAnsi="Times New Roman"/>
                <w:sz w:val="24"/>
                <w:szCs w:val="24"/>
              </w:rPr>
              <w:t xml:space="preserve"> e-Izziņas pieprasījums pilnveidošana (ārzonas statusa pārbaudes nepieciešamība, e-Izziņas angļu valodā)</w:t>
            </w:r>
            <w:r w:rsidRPr="00B57019">
              <w:rPr>
                <w:rFonts w:ascii="Times New Roman" w:hAnsi="Times New Roman"/>
                <w:sz w:val="24"/>
                <w:szCs w:val="24"/>
                <w:lang w:val="lv-LV"/>
              </w:rPr>
              <w:t>;</w:t>
            </w:r>
          </w:p>
          <w:p w14:paraId="162D0C06" w14:textId="203156C4" w:rsidR="00F06F6F" w:rsidRPr="00B57019" w:rsidRDefault="00F06F6F" w:rsidP="00F06F6F">
            <w:pPr>
              <w:pStyle w:val="PlainText"/>
              <w:tabs>
                <w:tab w:val="left" w:pos="924"/>
              </w:tabs>
              <w:ind w:left="720"/>
              <w:jc w:val="both"/>
              <w:rPr>
                <w:rFonts w:ascii="Times New Roman" w:hAnsi="Times New Roman"/>
                <w:sz w:val="24"/>
                <w:szCs w:val="24"/>
                <w:lang w:val="lv-LV"/>
              </w:rPr>
            </w:pPr>
            <w:r w:rsidRPr="00B57019">
              <w:rPr>
                <w:rFonts w:ascii="Times New Roman" w:hAnsi="Times New Roman"/>
                <w:sz w:val="24"/>
                <w:szCs w:val="24"/>
                <w:lang w:val="lv-LV"/>
              </w:rPr>
              <w:t xml:space="preserve">- </w:t>
            </w:r>
            <w:r w:rsidRPr="00B57019">
              <w:rPr>
                <w:rFonts w:ascii="Times New Roman" w:hAnsi="Times New Roman"/>
                <w:sz w:val="24"/>
                <w:szCs w:val="24"/>
              </w:rPr>
              <w:t xml:space="preserve">pircēja profila izveide </w:t>
            </w:r>
            <w:r w:rsidRPr="00B57019">
              <w:rPr>
                <w:rFonts w:ascii="Times New Roman" w:hAnsi="Times New Roman"/>
                <w:sz w:val="24"/>
                <w:szCs w:val="24"/>
                <w:lang w:val="lv-LV"/>
              </w:rPr>
              <w:t xml:space="preserve">(t.sk. EIS e-konkursu </w:t>
            </w:r>
            <w:r w:rsidRPr="00B57019">
              <w:rPr>
                <w:rFonts w:ascii="Times New Roman" w:hAnsi="Times New Roman"/>
                <w:sz w:val="24"/>
                <w:szCs w:val="24"/>
              </w:rPr>
              <w:t xml:space="preserve">meklētāja funkcionalitātes </w:t>
            </w:r>
            <w:r w:rsidRPr="00B57019">
              <w:rPr>
                <w:rFonts w:ascii="Times New Roman" w:hAnsi="Times New Roman"/>
                <w:sz w:val="24"/>
                <w:szCs w:val="24"/>
                <w:lang w:val="lv-LV"/>
              </w:rPr>
              <w:t>pilnveidošana);</w:t>
            </w:r>
          </w:p>
          <w:p w14:paraId="5932F8F3" w14:textId="77777777" w:rsidR="00F06F6F" w:rsidRPr="00B57019" w:rsidRDefault="00F06F6F" w:rsidP="00F06F6F">
            <w:pPr>
              <w:pStyle w:val="PlainText"/>
              <w:tabs>
                <w:tab w:val="left" w:pos="924"/>
              </w:tabs>
              <w:ind w:left="720"/>
              <w:jc w:val="both"/>
              <w:rPr>
                <w:rFonts w:ascii="Times New Roman" w:hAnsi="Times New Roman"/>
                <w:sz w:val="24"/>
                <w:szCs w:val="24"/>
                <w:lang w:val="lv-LV"/>
              </w:rPr>
            </w:pPr>
            <w:r w:rsidRPr="00B57019">
              <w:rPr>
                <w:rFonts w:ascii="Times New Roman" w:hAnsi="Times New Roman"/>
                <w:sz w:val="24"/>
                <w:szCs w:val="24"/>
                <w:lang w:val="lv-LV"/>
              </w:rPr>
              <w:t xml:space="preserve">- VID saskarne par </w:t>
            </w:r>
            <w:r w:rsidRPr="00B57019">
              <w:rPr>
                <w:rFonts w:ascii="Times New Roman" w:hAnsi="Times New Roman"/>
                <w:sz w:val="24"/>
                <w:szCs w:val="24"/>
              </w:rPr>
              <w:t>darbinieku vidējās stundu tarifa likm</w:t>
            </w:r>
            <w:r w:rsidRPr="00B57019">
              <w:rPr>
                <w:rFonts w:ascii="Times New Roman" w:hAnsi="Times New Roman"/>
                <w:sz w:val="24"/>
                <w:szCs w:val="24"/>
                <w:lang w:val="lv-LV"/>
              </w:rPr>
              <w:t>ēm.</w:t>
            </w:r>
          </w:p>
          <w:p w14:paraId="13857A04" w14:textId="77777777" w:rsidR="00F06F6F" w:rsidRPr="00B57019" w:rsidRDefault="00F06F6F" w:rsidP="00F06F6F">
            <w:pPr>
              <w:pStyle w:val="PlainText"/>
              <w:tabs>
                <w:tab w:val="left" w:pos="924"/>
              </w:tabs>
              <w:ind w:left="720"/>
              <w:jc w:val="both"/>
              <w:rPr>
                <w:rFonts w:ascii="Times New Roman" w:hAnsi="Times New Roman"/>
                <w:sz w:val="24"/>
                <w:szCs w:val="24"/>
                <w:lang w:val="lv-LV"/>
              </w:rPr>
            </w:pPr>
          </w:p>
          <w:p w14:paraId="02A6A8F9" w14:textId="77777777" w:rsidR="00F06F6F" w:rsidRPr="00B57019" w:rsidRDefault="00F06F6F" w:rsidP="00F06F6F">
            <w:pPr>
              <w:pStyle w:val="PlainText"/>
              <w:tabs>
                <w:tab w:val="left" w:pos="924"/>
              </w:tabs>
              <w:ind w:left="720"/>
              <w:jc w:val="both"/>
              <w:rPr>
                <w:rFonts w:ascii="Times New Roman" w:hAnsi="Times New Roman"/>
                <w:sz w:val="24"/>
                <w:szCs w:val="24"/>
                <w:lang w:val="lv-LV"/>
              </w:rPr>
            </w:pPr>
            <w:r w:rsidRPr="00B57019">
              <w:rPr>
                <w:rFonts w:ascii="Times New Roman" w:hAnsi="Times New Roman"/>
                <w:sz w:val="24"/>
                <w:szCs w:val="24"/>
                <w:lang w:val="lv-LV"/>
              </w:rPr>
              <w:t>Turklāt ir veikta</w:t>
            </w:r>
            <w:r w:rsidRPr="00B57019">
              <w:rPr>
                <w:rFonts w:ascii="Times New Roman" w:hAnsi="Times New Roman"/>
                <w:sz w:val="24"/>
                <w:szCs w:val="24"/>
              </w:rPr>
              <w:t>“Eiropas vienotā iepirkuma procedūras dokumenta (ESPD) integrācija Elektronisko iepirkumu sistēmā</w:t>
            </w:r>
            <w:r w:rsidRPr="00B57019">
              <w:rPr>
                <w:rFonts w:ascii="Times New Roman" w:hAnsi="Times New Roman"/>
                <w:sz w:val="24"/>
                <w:szCs w:val="24"/>
                <w:lang w:val="lv-LV"/>
              </w:rPr>
              <w:t xml:space="preserve">”, integrējot ar EIS e-izziņu sistēmu, kā arī VID gada pārskata servisu. Attiecībā uz šo sadaļu, pirms to palaist produkcijas vidē, tiek gaidīti par iepirkumu jomu atbildīgo institūciju viedokli, kā arī tiek gaidīti Būvniecības informācijas sistēmas pakalpes.  </w:t>
            </w:r>
          </w:p>
          <w:p w14:paraId="4EAD10CD" w14:textId="77777777" w:rsidR="00F06F6F" w:rsidRPr="00B57019" w:rsidRDefault="00F06F6F" w:rsidP="00F06F6F">
            <w:pPr>
              <w:pStyle w:val="PlainText"/>
              <w:tabs>
                <w:tab w:val="left" w:pos="924"/>
              </w:tabs>
              <w:ind w:left="720"/>
              <w:jc w:val="both"/>
              <w:rPr>
                <w:rFonts w:ascii="Times New Roman" w:hAnsi="Times New Roman"/>
                <w:sz w:val="24"/>
                <w:szCs w:val="24"/>
                <w:lang w:val="lv-LV"/>
              </w:rPr>
            </w:pPr>
            <w:r w:rsidRPr="00B57019">
              <w:rPr>
                <w:rFonts w:ascii="Times New Roman" w:hAnsi="Times New Roman"/>
                <w:sz w:val="24"/>
                <w:szCs w:val="24"/>
                <w:lang w:val="lv-LV"/>
              </w:rPr>
              <w:t xml:space="preserve">  </w:t>
            </w:r>
          </w:p>
          <w:p w14:paraId="606A7917" w14:textId="77777777" w:rsidR="00F06F6F" w:rsidRPr="00B57019" w:rsidRDefault="00F06F6F" w:rsidP="00F06F6F">
            <w:pPr>
              <w:pStyle w:val="PlainText"/>
              <w:numPr>
                <w:ilvl w:val="0"/>
                <w:numId w:val="10"/>
              </w:numPr>
              <w:jc w:val="both"/>
              <w:rPr>
                <w:rFonts w:ascii="Times New Roman" w:hAnsi="Times New Roman"/>
                <w:sz w:val="24"/>
                <w:szCs w:val="24"/>
                <w:lang w:val="lv-LV"/>
              </w:rPr>
            </w:pPr>
            <w:r w:rsidRPr="00B57019">
              <w:rPr>
                <w:rFonts w:ascii="Times New Roman" w:hAnsi="Times New Roman"/>
                <w:sz w:val="24"/>
                <w:szCs w:val="24"/>
                <w:lang w:val="lv-LV"/>
              </w:rPr>
              <w:t>EIS e-konkursu apakšsistēma tika izstrādāta balstoties uz izstrādes laikā spēkā esošo direktīvu un nacionālā regulējuma bāzi, turklāt veselu gadu sistēmā bija veicami iepirkumi atbilstoši iepriekšējai Publisko iepirkumu likuma redakcijai, tāpēc pēc nacionālā regulējuma maiņas apakšsistēmā bija jāveic pielāgojumi. Jāuzsver, ka arī EIS sadarbības partneru sistēmās ir veicami pielāgojumi, kas izra</w:t>
            </w:r>
            <w:r w:rsidR="00192751" w:rsidRPr="00B57019">
              <w:rPr>
                <w:rFonts w:ascii="Times New Roman" w:hAnsi="Times New Roman"/>
                <w:sz w:val="24"/>
                <w:szCs w:val="24"/>
                <w:lang w:val="lv-LV"/>
              </w:rPr>
              <w:t xml:space="preserve">isa pilnveidošanu. Jāuzsver, ka </w:t>
            </w:r>
            <w:r w:rsidRPr="00B57019">
              <w:rPr>
                <w:rFonts w:ascii="Times New Roman" w:hAnsi="Times New Roman"/>
                <w:sz w:val="24"/>
                <w:szCs w:val="24"/>
                <w:lang w:val="lv-LV"/>
              </w:rPr>
              <w:t>arī VRAA uzklausa visu pārziņā esošu sistēmu lietotāju  viedokļus un pilnveido sistēmu atbilstoši to pieprasījumiem.</w:t>
            </w:r>
          </w:p>
          <w:p w14:paraId="6FB4586B" w14:textId="77777777" w:rsidR="00F06F6F" w:rsidRPr="00B57019" w:rsidRDefault="00F06F6F" w:rsidP="00F06F6F">
            <w:pPr>
              <w:pStyle w:val="PlainText"/>
              <w:numPr>
                <w:ilvl w:val="0"/>
                <w:numId w:val="10"/>
              </w:numPr>
              <w:jc w:val="both"/>
              <w:rPr>
                <w:rFonts w:ascii="Times New Roman" w:hAnsi="Times New Roman"/>
                <w:sz w:val="24"/>
                <w:szCs w:val="24"/>
                <w:lang w:val="lv-LV"/>
              </w:rPr>
            </w:pPr>
            <w:r w:rsidRPr="00B57019">
              <w:rPr>
                <w:rFonts w:ascii="Times New Roman" w:hAnsi="Times New Roman"/>
                <w:sz w:val="24"/>
                <w:szCs w:val="24"/>
                <w:lang w:val="lv-LV"/>
              </w:rPr>
              <w:t>ERAF projekta ietaupījums tiek novirzīts diviem mērķiem: EIS izmaiņām atbilstoši tiesību aktu grozījumiem un EIS lietojamības pilnveidošanai.</w:t>
            </w:r>
          </w:p>
          <w:p w14:paraId="74B104BE" w14:textId="77777777" w:rsidR="00F06F6F" w:rsidRPr="00B57019" w:rsidRDefault="00F06F6F" w:rsidP="00F06F6F">
            <w:pPr>
              <w:pStyle w:val="PlainText"/>
              <w:numPr>
                <w:ilvl w:val="0"/>
                <w:numId w:val="10"/>
              </w:numPr>
              <w:ind w:left="637" w:hanging="142"/>
              <w:jc w:val="both"/>
              <w:rPr>
                <w:rFonts w:ascii="Times New Roman" w:hAnsi="Times New Roman"/>
                <w:sz w:val="24"/>
                <w:szCs w:val="24"/>
                <w:lang w:val="lv-LV"/>
              </w:rPr>
            </w:pPr>
            <w:r w:rsidRPr="00B57019">
              <w:rPr>
                <w:rFonts w:ascii="Times New Roman" w:hAnsi="Times New Roman"/>
                <w:sz w:val="24"/>
                <w:szCs w:val="24"/>
                <w:lang w:val="lv-LV"/>
              </w:rPr>
              <w:t>, 5., 6. Informatīvā ziņojuma projekta 1.pielikumā nav atspoguļota informācija par  EIS e-konkursu apakšsistēmas izmantošanu, jo tai pašlaik nav alternatīvu.</w:t>
            </w:r>
          </w:p>
          <w:p w14:paraId="460FE13D" w14:textId="77777777" w:rsidR="00F06F6F" w:rsidRPr="00B57019" w:rsidRDefault="00F06F6F" w:rsidP="00F06F6F">
            <w:pPr>
              <w:pStyle w:val="PlainText"/>
              <w:numPr>
                <w:ilvl w:val="0"/>
                <w:numId w:val="7"/>
              </w:numPr>
              <w:jc w:val="both"/>
              <w:rPr>
                <w:rFonts w:ascii="Times New Roman" w:hAnsi="Times New Roman"/>
                <w:sz w:val="24"/>
                <w:szCs w:val="24"/>
                <w:lang w:val="lv-LV"/>
              </w:rPr>
            </w:pPr>
            <w:r w:rsidRPr="00B57019">
              <w:rPr>
                <w:rFonts w:ascii="Times New Roman" w:hAnsi="Times New Roman"/>
                <w:sz w:val="24"/>
                <w:szCs w:val="24"/>
                <w:lang w:val="lv-LV"/>
              </w:rPr>
              <w:t>Apgalvojumi neatbilst faktam, jo:</w:t>
            </w:r>
          </w:p>
          <w:p w14:paraId="6A40B082" w14:textId="77777777" w:rsidR="00F06F6F" w:rsidRPr="00B57019" w:rsidRDefault="00F06F6F" w:rsidP="00F06F6F">
            <w:pPr>
              <w:pStyle w:val="PlainText"/>
              <w:numPr>
                <w:ilvl w:val="0"/>
                <w:numId w:val="11"/>
              </w:numPr>
              <w:jc w:val="both"/>
              <w:rPr>
                <w:rFonts w:ascii="Times New Roman" w:hAnsi="Times New Roman"/>
                <w:sz w:val="24"/>
                <w:szCs w:val="24"/>
                <w:lang w:val="lv-LV"/>
              </w:rPr>
            </w:pPr>
            <w:r w:rsidRPr="00B57019">
              <w:rPr>
                <w:rFonts w:ascii="Times New Roman" w:hAnsi="Times New Roman"/>
                <w:sz w:val="24"/>
                <w:szCs w:val="24"/>
                <w:lang w:val="lv-LV"/>
              </w:rPr>
              <w:t>garantija</w:t>
            </w:r>
            <w:r w:rsidR="003730B0" w:rsidRPr="00B57019">
              <w:rPr>
                <w:rFonts w:ascii="Times New Roman" w:hAnsi="Times New Roman"/>
                <w:sz w:val="24"/>
                <w:szCs w:val="24"/>
                <w:lang w:val="lv-LV"/>
              </w:rPr>
              <w:t>s</w:t>
            </w:r>
            <w:r w:rsidRPr="00B57019">
              <w:rPr>
                <w:rFonts w:ascii="Times New Roman" w:hAnsi="Times New Roman"/>
                <w:sz w:val="24"/>
                <w:szCs w:val="24"/>
                <w:lang w:val="lv-LV"/>
              </w:rPr>
              <w:t xml:space="preserve"> līmenis ir noteikts EIS vienošanās (iepirkumos ārpus EIS pieprasītais  garantijas līmenis ir zemāks);</w:t>
            </w:r>
          </w:p>
          <w:p w14:paraId="4EC052C7" w14:textId="77777777" w:rsidR="00F06F6F" w:rsidRPr="00B57019" w:rsidRDefault="00F06F6F" w:rsidP="00356313">
            <w:pPr>
              <w:pStyle w:val="PlainText"/>
              <w:numPr>
                <w:ilvl w:val="0"/>
                <w:numId w:val="11"/>
              </w:numPr>
              <w:ind w:left="720"/>
              <w:jc w:val="both"/>
              <w:rPr>
                <w:rFonts w:ascii="Times New Roman" w:hAnsi="Times New Roman"/>
                <w:b/>
                <w:sz w:val="24"/>
                <w:szCs w:val="24"/>
                <w:lang w:val="lv-LV"/>
              </w:rPr>
            </w:pPr>
            <w:r w:rsidRPr="00B57019">
              <w:rPr>
                <w:rFonts w:ascii="Times New Roman" w:hAnsi="Times New Roman"/>
                <w:sz w:val="24"/>
                <w:szCs w:val="24"/>
                <w:lang w:val="lv-LV"/>
              </w:rPr>
              <w:t>periodiski veicamajos EIS un ārpus ESI cenu s</w:t>
            </w:r>
            <w:r w:rsidR="00F51891" w:rsidRPr="00B57019">
              <w:rPr>
                <w:rFonts w:ascii="Times New Roman" w:hAnsi="Times New Roman"/>
                <w:sz w:val="24"/>
                <w:szCs w:val="24"/>
                <w:lang w:val="lv-LV"/>
              </w:rPr>
              <w:t>alīdzinājums liecina, kas vidējā</w:t>
            </w:r>
            <w:r w:rsidRPr="00B57019">
              <w:rPr>
                <w:rFonts w:ascii="Times New Roman" w:hAnsi="Times New Roman"/>
                <w:sz w:val="24"/>
                <w:szCs w:val="24"/>
                <w:lang w:val="lv-LV"/>
              </w:rPr>
              <w:t>s EIS cenas ir zemākas par 10-20% (visu novērtējumu dati ir</w:t>
            </w:r>
            <w:r w:rsidR="008269F9" w:rsidRPr="00B57019">
              <w:rPr>
                <w:rFonts w:ascii="Times New Roman" w:hAnsi="Times New Roman"/>
                <w:sz w:val="24"/>
                <w:szCs w:val="24"/>
                <w:lang w:val="lv-LV"/>
              </w:rPr>
              <w:t xml:space="preserve"> līdzīgi, pēdējais novērtējums  </w:t>
            </w:r>
            <w:r w:rsidRPr="00B57019">
              <w:rPr>
                <w:rFonts w:ascii="Times New Roman" w:hAnsi="Times New Roman"/>
                <w:sz w:val="24"/>
                <w:szCs w:val="24"/>
                <w:lang w:val="lv-LV"/>
              </w:rPr>
              <w:t xml:space="preserve">veikts 2014.gadā, bet nākamais ir šā gada plānā). </w:t>
            </w:r>
          </w:p>
        </w:tc>
        <w:tc>
          <w:tcPr>
            <w:tcW w:w="1012" w:type="pct"/>
            <w:tcBorders>
              <w:top w:val="single" w:sz="4" w:space="0" w:color="auto"/>
              <w:left w:val="single" w:sz="4" w:space="0" w:color="auto"/>
              <w:bottom w:val="single" w:sz="4" w:space="0" w:color="auto"/>
            </w:tcBorders>
          </w:tcPr>
          <w:p w14:paraId="4334772E" w14:textId="77777777" w:rsidR="00F06F6F" w:rsidRPr="00B57019" w:rsidRDefault="00F06F6F" w:rsidP="00F06F6F">
            <w:pPr>
              <w:pStyle w:val="ListParagraph"/>
              <w:spacing w:after="0" w:line="240" w:lineRule="auto"/>
              <w:ind w:left="0"/>
              <w:jc w:val="both"/>
              <w:rPr>
                <w:rFonts w:ascii="Times New Roman" w:hAnsi="Times New Roman"/>
                <w:sz w:val="24"/>
                <w:szCs w:val="24"/>
                <w:lang w:val="lv-LV"/>
              </w:rPr>
            </w:pPr>
          </w:p>
        </w:tc>
      </w:tr>
    </w:tbl>
    <w:p w14:paraId="2B8DD132" w14:textId="77777777" w:rsidR="003020CF" w:rsidRPr="00B57019" w:rsidRDefault="003020CF" w:rsidP="00DB7395">
      <w:pPr>
        <w:pStyle w:val="naisf"/>
        <w:spacing w:before="0" w:after="0"/>
        <w:ind w:firstLine="720"/>
      </w:pPr>
    </w:p>
    <w:p w14:paraId="7A9F30D8" w14:textId="77777777" w:rsidR="00F51D44" w:rsidRPr="00B57019" w:rsidRDefault="001058D5" w:rsidP="00F51D44">
      <w:pPr>
        <w:pStyle w:val="naisf"/>
        <w:spacing w:before="0" w:after="0"/>
        <w:ind w:firstLine="720"/>
      </w:pPr>
      <w:r w:rsidRPr="00B57019">
        <w:t xml:space="preserve"> </w:t>
      </w:r>
      <w:r w:rsidR="00184479" w:rsidRPr="00B57019">
        <w:t>Piezīme.</w:t>
      </w:r>
      <w:r w:rsidR="001D2FD0" w:rsidRPr="00B57019">
        <w:t xml:space="preserve"> </w:t>
      </w:r>
      <w:r w:rsidR="00FB6C91" w:rsidRPr="00B57019">
        <w:t>*</w:t>
      </w:r>
      <w:r w:rsidR="00317DC7" w:rsidRPr="00B57019">
        <w:t xml:space="preserve"> Dokumenta rekvizītu </w:t>
      </w:r>
      <w:r w:rsidR="00364BB6" w:rsidRPr="00B57019">
        <w:t>"</w:t>
      </w:r>
      <w:r w:rsidR="0018210A" w:rsidRPr="00B57019">
        <w:t>p</w:t>
      </w:r>
      <w:r w:rsidR="00317DC7" w:rsidRPr="00B57019">
        <w:t>araksts</w:t>
      </w:r>
      <w:r w:rsidR="00364BB6" w:rsidRPr="00B57019">
        <w:t>"</w:t>
      </w:r>
      <w:r w:rsidR="00317DC7" w:rsidRPr="00B57019">
        <w:t xml:space="preserve"> neaizpilda, ja elektroniskais dokuments ir </w:t>
      </w:r>
      <w:r w:rsidR="00184479" w:rsidRPr="00B57019">
        <w:t>sagatavots</w:t>
      </w:r>
      <w:r w:rsidR="00317DC7" w:rsidRPr="00B57019">
        <w:t xml:space="preserve"> atbilstoši </w:t>
      </w:r>
      <w:r w:rsidR="00184479" w:rsidRPr="00B57019">
        <w:t xml:space="preserve">normatīvajiem aktiem par </w:t>
      </w:r>
      <w:r w:rsidR="00317DC7" w:rsidRPr="00B57019">
        <w:t>elektronisko dokumentu noformēšan</w:t>
      </w:r>
      <w:r w:rsidR="00184479" w:rsidRPr="00B57019">
        <w:t>u.</w:t>
      </w:r>
    </w:p>
    <w:p w14:paraId="4821CBD3" w14:textId="77777777" w:rsidR="00F51D44" w:rsidRPr="00B57019" w:rsidRDefault="00F51D44" w:rsidP="00F51D44">
      <w:pPr>
        <w:pStyle w:val="naisf"/>
        <w:spacing w:before="0" w:after="0"/>
        <w:ind w:firstLine="720"/>
      </w:pPr>
    </w:p>
    <w:p w14:paraId="53953325" w14:textId="77777777" w:rsidR="004373E1" w:rsidRPr="00B57019" w:rsidRDefault="00CC0994" w:rsidP="00F51D44">
      <w:pPr>
        <w:pStyle w:val="naisf"/>
        <w:spacing w:before="0" w:after="0"/>
        <w:ind w:left="2160" w:firstLine="720"/>
      </w:pPr>
      <w:r w:rsidRPr="00B57019">
        <w:t>Edmunds Beļskis</w:t>
      </w:r>
    </w:p>
    <w:tbl>
      <w:tblPr>
        <w:tblW w:w="0" w:type="auto"/>
        <w:tblLook w:val="00A0" w:firstRow="1" w:lastRow="0" w:firstColumn="1" w:lastColumn="0" w:noHBand="0" w:noVBand="0"/>
      </w:tblPr>
      <w:tblGrid>
        <w:gridCol w:w="8268"/>
      </w:tblGrid>
      <w:tr w:rsidR="00B57019" w:rsidRPr="00B57019" w14:paraId="7101954C" w14:textId="77777777">
        <w:tc>
          <w:tcPr>
            <w:tcW w:w="8268" w:type="dxa"/>
            <w:tcBorders>
              <w:top w:val="single" w:sz="4" w:space="0" w:color="000000"/>
            </w:tcBorders>
          </w:tcPr>
          <w:p w14:paraId="1DD7F5F3" w14:textId="77777777" w:rsidR="008655A2" w:rsidRPr="00B57019" w:rsidRDefault="00184479" w:rsidP="00184479">
            <w:pPr>
              <w:jc w:val="center"/>
            </w:pPr>
            <w:r w:rsidRPr="00B57019">
              <w:t>(</w:t>
            </w:r>
            <w:r w:rsidR="008655A2" w:rsidRPr="00B57019">
              <w:t xml:space="preserve">par projektu atbildīgās amatpersonas </w:t>
            </w:r>
            <w:r w:rsidRPr="00B57019">
              <w:t xml:space="preserve">vārds un </w:t>
            </w:r>
            <w:r w:rsidR="008655A2" w:rsidRPr="00B57019">
              <w:t>uzvārds</w:t>
            </w:r>
            <w:r w:rsidRPr="00B57019">
              <w:t>)</w:t>
            </w:r>
          </w:p>
          <w:p w14:paraId="01032726" w14:textId="77777777" w:rsidR="006A15F7" w:rsidRPr="00B57019" w:rsidRDefault="006A15F7" w:rsidP="00184479">
            <w:pPr>
              <w:jc w:val="center"/>
            </w:pPr>
          </w:p>
        </w:tc>
      </w:tr>
      <w:tr w:rsidR="00B57019" w:rsidRPr="00B57019" w14:paraId="21B9BFB2" w14:textId="77777777">
        <w:tc>
          <w:tcPr>
            <w:tcW w:w="8268" w:type="dxa"/>
            <w:tcBorders>
              <w:bottom w:val="single" w:sz="4" w:space="0" w:color="000000"/>
            </w:tcBorders>
          </w:tcPr>
          <w:p w14:paraId="64C9832A" w14:textId="77777777" w:rsidR="008655A2" w:rsidRPr="00B57019" w:rsidRDefault="006A15F7" w:rsidP="006A15F7">
            <w:pPr>
              <w:jc w:val="center"/>
            </w:pPr>
            <w:r w:rsidRPr="00B57019">
              <w:t>Valsts sekretā</w:t>
            </w:r>
            <w:r w:rsidR="009B0379" w:rsidRPr="00B57019">
              <w:t xml:space="preserve">ra vietnieks IKT jautājumos </w:t>
            </w:r>
          </w:p>
        </w:tc>
      </w:tr>
      <w:tr w:rsidR="00B57019" w:rsidRPr="00B57019" w14:paraId="6CAB79E5" w14:textId="77777777">
        <w:tc>
          <w:tcPr>
            <w:tcW w:w="8268" w:type="dxa"/>
            <w:tcBorders>
              <w:top w:val="single" w:sz="4" w:space="0" w:color="000000"/>
            </w:tcBorders>
          </w:tcPr>
          <w:p w14:paraId="6DFBD68B" w14:textId="77777777" w:rsidR="008655A2" w:rsidRPr="00B57019" w:rsidRDefault="00184479" w:rsidP="00184479">
            <w:pPr>
              <w:jc w:val="center"/>
            </w:pPr>
            <w:r w:rsidRPr="00B57019">
              <w:t>(</w:t>
            </w:r>
            <w:r w:rsidR="008655A2" w:rsidRPr="00B57019">
              <w:t>amats</w:t>
            </w:r>
            <w:r w:rsidRPr="00B57019">
              <w:t>)</w:t>
            </w:r>
          </w:p>
          <w:p w14:paraId="71628C40" w14:textId="77777777" w:rsidR="00F51D44" w:rsidRPr="00B57019" w:rsidRDefault="00F51D44" w:rsidP="00184479">
            <w:pPr>
              <w:jc w:val="center"/>
            </w:pPr>
          </w:p>
        </w:tc>
      </w:tr>
      <w:tr w:rsidR="00B57019" w:rsidRPr="00B57019" w14:paraId="2FE5497F" w14:textId="77777777">
        <w:tc>
          <w:tcPr>
            <w:tcW w:w="8268" w:type="dxa"/>
            <w:tcBorders>
              <w:bottom w:val="single" w:sz="4" w:space="0" w:color="000000"/>
            </w:tcBorders>
          </w:tcPr>
          <w:p w14:paraId="09702FC5" w14:textId="77777777" w:rsidR="008655A2" w:rsidRPr="00B57019" w:rsidRDefault="006A15F7" w:rsidP="009B0379">
            <w:pPr>
              <w:jc w:val="center"/>
            </w:pPr>
            <w:r w:rsidRPr="00B57019">
              <w:t>670269</w:t>
            </w:r>
            <w:r w:rsidR="009B0379" w:rsidRPr="00B57019">
              <w:t>535</w:t>
            </w:r>
          </w:p>
        </w:tc>
      </w:tr>
      <w:tr w:rsidR="00B57019" w:rsidRPr="00B57019" w14:paraId="29FEA8EC" w14:textId="77777777">
        <w:tc>
          <w:tcPr>
            <w:tcW w:w="8268" w:type="dxa"/>
            <w:tcBorders>
              <w:top w:val="single" w:sz="4" w:space="0" w:color="000000"/>
            </w:tcBorders>
          </w:tcPr>
          <w:p w14:paraId="0A415812" w14:textId="77777777" w:rsidR="006A15F7" w:rsidRPr="00B57019" w:rsidRDefault="00184479" w:rsidP="00F51D44">
            <w:pPr>
              <w:jc w:val="center"/>
            </w:pPr>
            <w:r w:rsidRPr="00B57019">
              <w:t>(</w:t>
            </w:r>
            <w:r w:rsidR="008655A2" w:rsidRPr="00B57019">
              <w:t>tālruņa un faksa numurs</w:t>
            </w:r>
            <w:r w:rsidRPr="00B57019">
              <w:t>)</w:t>
            </w:r>
          </w:p>
          <w:p w14:paraId="07DC503B" w14:textId="77777777" w:rsidR="00F51D44" w:rsidRPr="00B57019" w:rsidRDefault="00F51D44" w:rsidP="00F51D44">
            <w:pPr>
              <w:jc w:val="center"/>
            </w:pPr>
          </w:p>
        </w:tc>
      </w:tr>
      <w:tr w:rsidR="00B57019" w:rsidRPr="00B57019" w14:paraId="75608C5E" w14:textId="77777777">
        <w:tc>
          <w:tcPr>
            <w:tcW w:w="8268" w:type="dxa"/>
            <w:tcBorders>
              <w:bottom w:val="single" w:sz="4" w:space="0" w:color="000000"/>
            </w:tcBorders>
          </w:tcPr>
          <w:p w14:paraId="29A33622" w14:textId="77777777" w:rsidR="006A15F7" w:rsidRPr="00B57019" w:rsidRDefault="001C40C3" w:rsidP="00097D60">
            <w:pPr>
              <w:jc w:val="center"/>
            </w:pPr>
            <w:hyperlink r:id="rId14" w:history="1">
              <w:r w:rsidR="00097D60" w:rsidRPr="00B57019">
                <w:rPr>
                  <w:rStyle w:val="Hyperlink"/>
                  <w:color w:val="auto"/>
                </w:rPr>
                <w:t>edmunds.belskis@varam.gov.lv</w:t>
              </w:r>
            </w:hyperlink>
          </w:p>
        </w:tc>
      </w:tr>
      <w:tr w:rsidR="008655A2" w:rsidRPr="00B57019" w14:paraId="5AA1D7FF" w14:textId="77777777">
        <w:tc>
          <w:tcPr>
            <w:tcW w:w="8268" w:type="dxa"/>
            <w:tcBorders>
              <w:top w:val="single" w:sz="4" w:space="0" w:color="000000"/>
            </w:tcBorders>
          </w:tcPr>
          <w:p w14:paraId="13F5E012" w14:textId="77777777" w:rsidR="008655A2" w:rsidRPr="00B57019" w:rsidRDefault="00184479" w:rsidP="00184479">
            <w:pPr>
              <w:jc w:val="center"/>
            </w:pPr>
            <w:r w:rsidRPr="00B57019">
              <w:t>(</w:t>
            </w:r>
            <w:r w:rsidR="008655A2" w:rsidRPr="00B57019">
              <w:t>e-pasta adrese</w:t>
            </w:r>
            <w:r w:rsidRPr="00B57019">
              <w:t>)</w:t>
            </w:r>
          </w:p>
        </w:tc>
      </w:tr>
    </w:tbl>
    <w:p w14:paraId="0DE83A17" w14:textId="77777777" w:rsidR="00924689" w:rsidRPr="00B57019" w:rsidRDefault="00924689" w:rsidP="00E74517">
      <w:pPr>
        <w:pStyle w:val="naisf"/>
        <w:spacing w:before="0" w:after="0"/>
        <w:ind w:firstLine="0"/>
        <w:jc w:val="left"/>
      </w:pPr>
    </w:p>
    <w:p w14:paraId="51709CC6" w14:textId="77777777" w:rsidR="004F0303" w:rsidRPr="00B57019" w:rsidRDefault="004F0303" w:rsidP="00E74517">
      <w:pPr>
        <w:pStyle w:val="naisf"/>
        <w:spacing w:before="0" w:after="0"/>
        <w:ind w:firstLine="0"/>
        <w:jc w:val="left"/>
        <w:rPr>
          <w:sz w:val="20"/>
          <w:szCs w:val="20"/>
        </w:rPr>
      </w:pPr>
    </w:p>
    <w:p w14:paraId="0E5C7C87" w14:textId="77777777" w:rsidR="00924689" w:rsidRPr="00B57019" w:rsidRDefault="00DD571E" w:rsidP="00E74517">
      <w:pPr>
        <w:pStyle w:val="naisf"/>
        <w:spacing w:before="0" w:after="0"/>
        <w:ind w:firstLine="0"/>
        <w:jc w:val="left"/>
        <w:rPr>
          <w:sz w:val="20"/>
          <w:szCs w:val="20"/>
        </w:rPr>
      </w:pPr>
      <w:r w:rsidRPr="00B57019">
        <w:rPr>
          <w:sz w:val="20"/>
          <w:szCs w:val="20"/>
        </w:rPr>
        <w:t>Vineta Brūvere</w:t>
      </w:r>
      <w:r w:rsidR="00924689" w:rsidRPr="00B57019">
        <w:rPr>
          <w:sz w:val="20"/>
          <w:szCs w:val="20"/>
        </w:rPr>
        <w:t>, 67</w:t>
      </w:r>
      <w:r w:rsidRPr="00B57019">
        <w:rPr>
          <w:sz w:val="20"/>
          <w:szCs w:val="20"/>
        </w:rPr>
        <w:t>026575</w:t>
      </w:r>
      <w:r w:rsidR="00A703E2" w:rsidRPr="00B57019">
        <w:rPr>
          <w:sz w:val="20"/>
          <w:szCs w:val="20"/>
        </w:rPr>
        <w:t>,</w:t>
      </w:r>
    </w:p>
    <w:p w14:paraId="0D21F055" w14:textId="77777777" w:rsidR="00A703E2" w:rsidRPr="00B57019" w:rsidRDefault="001C40C3" w:rsidP="00E74517">
      <w:pPr>
        <w:pStyle w:val="naisf"/>
        <w:spacing w:before="0" w:after="0"/>
        <w:ind w:firstLine="0"/>
        <w:jc w:val="left"/>
      </w:pPr>
      <w:hyperlink r:id="rId15" w:history="1">
        <w:r w:rsidR="00DD571E" w:rsidRPr="00B57019">
          <w:rPr>
            <w:rStyle w:val="Hyperlink"/>
            <w:color w:val="auto"/>
            <w:sz w:val="20"/>
            <w:szCs w:val="20"/>
          </w:rPr>
          <w:t>vineta.bruvere@varam.gov.lv</w:t>
        </w:r>
      </w:hyperlink>
    </w:p>
    <w:sectPr w:rsidR="00A703E2" w:rsidRPr="00B57019" w:rsidSect="00B86BB7">
      <w:headerReference w:type="even" r:id="rId16"/>
      <w:headerReference w:type="default" r:id="rId17"/>
      <w:footerReference w:type="default" r:id="rId18"/>
      <w:footerReference w:type="first" r:id="rId19"/>
      <w:pgSz w:w="16838" w:h="11906" w:orient="landscape" w:code="9"/>
      <w:pgMar w:top="1418" w:right="820"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D59C5A" w16cid:durableId="22D6C41C"/>
  <w16cid:commentId w16cid:paraId="0F0F68DB" w16cid:durableId="21013F5D"/>
  <w16cid:commentId w16cid:paraId="5D365C3E" w16cid:durableId="21013F5E"/>
  <w16cid:commentId w16cid:paraId="44486192" w16cid:durableId="18DAA24B"/>
  <w16cid:commentId w16cid:paraId="7BCE503D" w16cid:durableId="757AEE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9E076" w14:textId="77777777" w:rsidR="001C40C3" w:rsidRDefault="001C40C3">
      <w:r>
        <w:separator/>
      </w:r>
    </w:p>
  </w:endnote>
  <w:endnote w:type="continuationSeparator" w:id="0">
    <w:p w14:paraId="1DA1E47A" w14:textId="77777777" w:rsidR="001C40C3" w:rsidRDefault="001C40C3">
      <w:r>
        <w:continuationSeparator/>
      </w:r>
    </w:p>
  </w:endnote>
  <w:endnote w:type="continuationNotice" w:id="1">
    <w:p w14:paraId="777CEFFB" w14:textId="77777777" w:rsidR="001C40C3" w:rsidRDefault="001C4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enQuanYi Zen Hei">
    <w:altName w:val="Times New Roman"/>
    <w:charset w:val="00"/>
    <w:family w:val="roman"/>
    <w:pitch w:val="default"/>
  </w:font>
  <w:font w:name="FreeSans">
    <w:altName w:val="Arial"/>
    <w:charset w:val="00"/>
    <w:family w:val="swiss"/>
    <w:pitch w:val="default"/>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BA"/>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EF63C" w14:textId="25E38895" w:rsidR="00BF33FE" w:rsidRPr="003A4E07" w:rsidRDefault="003A4E07" w:rsidP="003A4E07">
    <w:pPr>
      <w:pStyle w:val="Footer"/>
    </w:pPr>
    <w:r w:rsidRPr="003A4E07">
      <w:rPr>
        <w:sz w:val="20"/>
        <w:szCs w:val="20"/>
      </w:rPr>
      <w:t>VARAMIzz_16082019_platf uztur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F799F" w14:textId="77777777" w:rsidR="00BF33FE" w:rsidRPr="000F78F7" w:rsidRDefault="00BF33FE" w:rsidP="00364BB6">
    <w:pPr>
      <w:pStyle w:val="Footer"/>
      <w:rPr>
        <w:sz w:val="16"/>
        <w:szCs w:val="16"/>
      </w:rPr>
    </w:pPr>
    <w:r w:rsidRPr="000F78F7">
      <w:rPr>
        <w:sz w:val="16"/>
        <w:szCs w:val="16"/>
      </w:rPr>
      <w:t>N0941_9p</w:t>
    </w:r>
    <w:r>
      <w:rPr>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B74EF" w14:textId="77777777" w:rsidR="001C40C3" w:rsidRDefault="001C40C3">
      <w:r>
        <w:separator/>
      </w:r>
    </w:p>
  </w:footnote>
  <w:footnote w:type="continuationSeparator" w:id="0">
    <w:p w14:paraId="4D34CB63" w14:textId="77777777" w:rsidR="001C40C3" w:rsidRDefault="001C40C3">
      <w:r>
        <w:continuationSeparator/>
      </w:r>
    </w:p>
  </w:footnote>
  <w:footnote w:type="continuationNotice" w:id="1">
    <w:p w14:paraId="1F04F54F" w14:textId="77777777" w:rsidR="001C40C3" w:rsidRDefault="001C40C3"/>
  </w:footnote>
  <w:footnote w:id="2">
    <w:p w14:paraId="3DF53044" w14:textId="3A033313" w:rsidR="00BF33FE" w:rsidRPr="00FC7790" w:rsidRDefault="00BF33FE" w:rsidP="001B0756">
      <w:pPr>
        <w:pStyle w:val="FootnoteText"/>
        <w:rPr>
          <w:lang w:val="lv-LV"/>
        </w:rPr>
      </w:pPr>
      <w:r>
        <w:rPr>
          <w:rStyle w:val="FootnoteReference"/>
        </w:rPr>
        <w:footnoteRef/>
      </w:r>
      <w:r>
        <w:t xml:space="preserve"> </w:t>
      </w:r>
      <w:r>
        <w:rPr>
          <w:lang w:val="lv-LV"/>
        </w:rPr>
        <w:t>Ministru kabineta</w:t>
      </w:r>
      <w:r w:rsidRPr="00D15AD1">
        <w:t xml:space="preserve"> </w:t>
      </w:r>
      <w:r w:rsidRPr="00D15AD1">
        <w:rPr>
          <w:lang w:val="lv-LV"/>
        </w:rPr>
        <w:t>2004.</w:t>
      </w:r>
      <w:r>
        <w:rPr>
          <w:lang w:val="lv-LV"/>
        </w:rPr>
        <w:t xml:space="preserve"> </w:t>
      </w:r>
      <w:r w:rsidRPr="00D15AD1">
        <w:rPr>
          <w:lang w:val="lv-LV"/>
        </w:rPr>
        <w:t>gada 27.</w:t>
      </w:r>
      <w:r>
        <w:rPr>
          <w:lang w:val="lv-LV"/>
        </w:rPr>
        <w:t xml:space="preserve"> </w:t>
      </w:r>
      <w:r w:rsidRPr="00D15AD1">
        <w:rPr>
          <w:lang w:val="lv-LV"/>
        </w:rPr>
        <w:t>janvār</w:t>
      </w:r>
      <w:r>
        <w:rPr>
          <w:lang w:val="lv-LV"/>
        </w:rPr>
        <w:t>a noteikumu Nr. 49 “Labklājības ministrijas nolikums” 24.punkts</w:t>
      </w:r>
    </w:p>
  </w:footnote>
  <w:footnote w:id="3">
    <w:p w14:paraId="1FACAD62" w14:textId="77777777" w:rsidR="00BF33FE" w:rsidRPr="00F90C70" w:rsidRDefault="00BF33FE" w:rsidP="00F90C70">
      <w:pPr>
        <w:pStyle w:val="FootnoteText"/>
        <w:rPr>
          <w:lang w:val="lv-LV"/>
        </w:rPr>
      </w:pPr>
      <w:r>
        <w:rPr>
          <w:rStyle w:val="FootnoteReference"/>
        </w:rPr>
        <w:footnoteRef/>
      </w:r>
      <w:r w:rsidRPr="00F90C70">
        <w:rPr>
          <w:lang w:val="lv-LV"/>
        </w:rPr>
        <w:t xml:space="preserve"> Ministru kabineta 2015.</w:t>
      </w:r>
      <w:r>
        <w:rPr>
          <w:lang w:val="lv-LV"/>
        </w:rPr>
        <w:t xml:space="preserve"> </w:t>
      </w:r>
      <w:r w:rsidRPr="00F90C70">
        <w:rPr>
          <w:lang w:val="lv-LV"/>
        </w:rPr>
        <w:t>gada 17.</w:t>
      </w:r>
      <w:r>
        <w:rPr>
          <w:lang w:val="lv-LV"/>
        </w:rPr>
        <w:t xml:space="preserve"> </w:t>
      </w:r>
      <w:r w:rsidRPr="00F90C70">
        <w:rPr>
          <w:lang w:val="lv-LV"/>
        </w:rPr>
        <w:t>novembra noteikumi Nr.653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īstenošanas noteikumi”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423C6" w14:textId="77777777" w:rsidR="00BF33FE" w:rsidRDefault="00BF33F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ED59D8" w14:textId="77777777" w:rsidR="00BF33FE" w:rsidRDefault="00BF33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11FF" w14:textId="404DA4B1" w:rsidR="00BF33FE" w:rsidRDefault="00BF33F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4E07">
      <w:rPr>
        <w:rStyle w:val="PageNumber"/>
        <w:noProof/>
      </w:rPr>
      <w:t>63</w:t>
    </w:r>
    <w:r>
      <w:rPr>
        <w:rStyle w:val="PageNumber"/>
      </w:rPr>
      <w:fldChar w:fldCharType="end"/>
    </w:r>
  </w:p>
  <w:p w14:paraId="0D984C2A" w14:textId="77777777" w:rsidR="00BF33FE" w:rsidRDefault="00BF33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73E0"/>
    <w:multiLevelType w:val="hybridMultilevel"/>
    <w:tmpl w:val="D778A6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sz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0FDF23A6"/>
    <w:multiLevelType w:val="hybridMultilevel"/>
    <w:tmpl w:val="D43217BC"/>
    <w:lvl w:ilvl="0" w:tplc="306C1B26">
      <w:start w:val="1"/>
      <w:numFmt w:val="decimal"/>
      <w:lvlText w:val="%1)"/>
      <w:lvlJc w:val="left"/>
      <w:pPr>
        <w:ind w:left="1440" w:hanging="360"/>
      </w:pPr>
      <w:rPr>
        <w:rFonts w:ascii="Times New Roman" w:eastAsia="Calibri" w:hAnsi="Times New Roman" w:cs="Times New Roman"/>
      </w:rPr>
    </w:lvl>
    <w:lvl w:ilvl="1" w:tplc="EF2C08E0">
      <w:start w:val="1"/>
      <w:numFmt w:val="lowerLetter"/>
      <w:lvlText w:val="%2."/>
      <w:lvlJc w:val="left"/>
      <w:pPr>
        <w:ind w:left="2160" w:hanging="360"/>
      </w:pPr>
    </w:lvl>
    <w:lvl w:ilvl="2" w:tplc="EBACDB04">
      <w:start w:val="1"/>
      <w:numFmt w:val="lowerRoman"/>
      <w:lvlText w:val="%3."/>
      <w:lvlJc w:val="right"/>
      <w:pPr>
        <w:ind w:left="2880" w:hanging="180"/>
      </w:pPr>
    </w:lvl>
    <w:lvl w:ilvl="3" w:tplc="E124BF06">
      <w:start w:val="1"/>
      <w:numFmt w:val="decimal"/>
      <w:lvlText w:val="%4."/>
      <w:lvlJc w:val="left"/>
      <w:pPr>
        <w:ind w:left="3600" w:hanging="360"/>
      </w:pPr>
    </w:lvl>
    <w:lvl w:ilvl="4" w:tplc="BBB817EE">
      <w:start w:val="1"/>
      <w:numFmt w:val="lowerLetter"/>
      <w:lvlText w:val="%5."/>
      <w:lvlJc w:val="left"/>
      <w:pPr>
        <w:ind w:left="4320" w:hanging="360"/>
      </w:pPr>
    </w:lvl>
    <w:lvl w:ilvl="5" w:tplc="6DB8B10A">
      <w:start w:val="1"/>
      <w:numFmt w:val="lowerRoman"/>
      <w:lvlText w:val="%6."/>
      <w:lvlJc w:val="right"/>
      <w:pPr>
        <w:ind w:left="5040" w:hanging="180"/>
      </w:pPr>
    </w:lvl>
    <w:lvl w:ilvl="6" w:tplc="5E4E2F10">
      <w:start w:val="1"/>
      <w:numFmt w:val="decimal"/>
      <w:lvlText w:val="%7."/>
      <w:lvlJc w:val="left"/>
      <w:pPr>
        <w:ind w:left="5760" w:hanging="360"/>
      </w:pPr>
    </w:lvl>
    <w:lvl w:ilvl="7" w:tplc="D0E2E65C">
      <w:start w:val="1"/>
      <w:numFmt w:val="lowerLetter"/>
      <w:lvlText w:val="%8."/>
      <w:lvlJc w:val="left"/>
      <w:pPr>
        <w:ind w:left="6480" w:hanging="360"/>
      </w:pPr>
    </w:lvl>
    <w:lvl w:ilvl="8" w:tplc="ED2E88C8">
      <w:start w:val="1"/>
      <w:numFmt w:val="lowerRoman"/>
      <w:lvlText w:val="%9."/>
      <w:lvlJc w:val="right"/>
      <w:pPr>
        <w:ind w:left="7200" w:hanging="180"/>
      </w:pPr>
    </w:lvl>
  </w:abstractNum>
  <w:abstractNum w:abstractNumId="3" w15:restartNumberingAfterBreak="0">
    <w:nsid w:val="11896AAF"/>
    <w:multiLevelType w:val="hybridMultilevel"/>
    <w:tmpl w:val="AD58AE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2F7324"/>
    <w:multiLevelType w:val="hybridMultilevel"/>
    <w:tmpl w:val="F142304A"/>
    <w:lvl w:ilvl="0" w:tplc="D7009400">
      <w:start w:val="1"/>
      <w:numFmt w:val="bullet"/>
      <w:lvlText w:val=""/>
      <w:lvlJc w:val="left"/>
      <w:pPr>
        <w:ind w:left="720" w:hanging="360"/>
      </w:pPr>
      <w:rPr>
        <w:rFonts w:ascii="Symbol" w:hAnsi="Symbol" w:hint="default"/>
      </w:rPr>
    </w:lvl>
    <w:lvl w:ilvl="1" w:tplc="7082A498">
      <w:start w:val="1"/>
      <w:numFmt w:val="bullet"/>
      <w:lvlText w:val="o"/>
      <w:lvlJc w:val="left"/>
      <w:pPr>
        <w:ind w:left="1440" w:hanging="360"/>
      </w:pPr>
      <w:rPr>
        <w:rFonts w:ascii="Courier New" w:hAnsi="Courier New" w:hint="default"/>
      </w:rPr>
    </w:lvl>
    <w:lvl w:ilvl="2" w:tplc="FDD6A226">
      <w:start w:val="1"/>
      <w:numFmt w:val="bullet"/>
      <w:lvlText w:val=""/>
      <w:lvlJc w:val="left"/>
      <w:pPr>
        <w:ind w:left="2160" w:hanging="360"/>
      </w:pPr>
      <w:rPr>
        <w:rFonts w:ascii="Wingdings" w:hAnsi="Wingdings" w:hint="default"/>
      </w:rPr>
    </w:lvl>
    <w:lvl w:ilvl="3" w:tplc="20F6C5D6">
      <w:start w:val="1"/>
      <w:numFmt w:val="bullet"/>
      <w:lvlText w:val=""/>
      <w:lvlJc w:val="left"/>
      <w:pPr>
        <w:ind w:left="2880" w:hanging="360"/>
      </w:pPr>
      <w:rPr>
        <w:rFonts w:ascii="Symbol" w:hAnsi="Symbol" w:hint="default"/>
      </w:rPr>
    </w:lvl>
    <w:lvl w:ilvl="4" w:tplc="26AE4ADA">
      <w:start w:val="1"/>
      <w:numFmt w:val="bullet"/>
      <w:lvlText w:val="o"/>
      <w:lvlJc w:val="left"/>
      <w:pPr>
        <w:ind w:left="3600" w:hanging="360"/>
      </w:pPr>
      <w:rPr>
        <w:rFonts w:ascii="Courier New" w:hAnsi="Courier New" w:hint="default"/>
      </w:rPr>
    </w:lvl>
    <w:lvl w:ilvl="5" w:tplc="189C82C0">
      <w:start w:val="1"/>
      <w:numFmt w:val="bullet"/>
      <w:lvlText w:val=""/>
      <w:lvlJc w:val="left"/>
      <w:pPr>
        <w:ind w:left="4320" w:hanging="360"/>
      </w:pPr>
      <w:rPr>
        <w:rFonts w:ascii="Wingdings" w:hAnsi="Wingdings" w:hint="default"/>
      </w:rPr>
    </w:lvl>
    <w:lvl w:ilvl="6" w:tplc="884C41DE">
      <w:start w:val="1"/>
      <w:numFmt w:val="bullet"/>
      <w:lvlText w:val=""/>
      <w:lvlJc w:val="left"/>
      <w:pPr>
        <w:ind w:left="5040" w:hanging="360"/>
      </w:pPr>
      <w:rPr>
        <w:rFonts w:ascii="Symbol" w:hAnsi="Symbol" w:hint="default"/>
      </w:rPr>
    </w:lvl>
    <w:lvl w:ilvl="7" w:tplc="63C61E64">
      <w:start w:val="1"/>
      <w:numFmt w:val="bullet"/>
      <w:lvlText w:val="o"/>
      <w:lvlJc w:val="left"/>
      <w:pPr>
        <w:ind w:left="5760" w:hanging="360"/>
      </w:pPr>
      <w:rPr>
        <w:rFonts w:ascii="Courier New" w:hAnsi="Courier New" w:hint="default"/>
      </w:rPr>
    </w:lvl>
    <w:lvl w:ilvl="8" w:tplc="3682A972">
      <w:start w:val="1"/>
      <w:numFmt w:val="bullet"/>
      <w:lvlText w:val=""/>
      <w:lvlJc w:val="left"/>
      <w:pPr>
        <w:ind w:left="6480" w:hanging="360"/>
      </w:pPr>
      <w:rPr>
        <w:rFonts w:ascii="Wingdings" w:hAnsi="Wingdings" w:hint="default"/>
      </w:rPr>
    </w:lvl>
  </w:abstractNum>
  <w:abstractNum w:abstractNumId="5" w15:restartNumberingAfterBreak="0">
    <w:nsid w:val="1924413B"/>
    <w:multiLevelType w:val="hybridMultilevel"/>
    <w:tmpl w:val="3FAE457E"/>
    <w:lvl w:ilvl="0" w:tplc="10001894">
      <w:start w:val="7"/>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9B44950"/>
    <w:multiLevelType w:val="hybridMultilevel"/>
    <w:tmpl w:val="A5EE34D8"/>
    <w:lvl w:ilvl="0" w:tplc="C024BF3C">
      <w:start w:val="1"/>
      <w:numFmt w:val="bullet"/>
      <w:lvlText w:val=""/>
      <w:lvlJc w:val="left"/>
      <w:pPr>
        <w:ind w:left="720" w:hanging="360"/>
      </w:pPr>
      <w:rPr>
        <w:rFonts w:ascii="Symbol" w:hAnsi="Symbol" w:hint="default"/>
      </w:rPr>
    </w:lvl>
    <w:lvl w:ilvl="1" w:tplc="01D6C264">
      <w:start w:val="1"/>
      <w:numFmt w:val="bullet"/>
      <w:lvlText w:val="o"/>
      <w:lvlJc w:val="left"/>
      <w:pPr>
        <w:ind w:left="1440" w:hanging="360"/>
      </w:pPr>
      <w:rPr>
        <w:rFonts w:ascii="Courier New" w:hAnsi="Courier New" w:hint="default"/>
      </w:rPr>
    </w:lvl>
    <w:lvl w:ilvl="2" w:tplc="0498A45A">
      <w:start w:val="1"/>
      <w:numFmt w:val="bullet"/>
      <w:lvlText w:val=""/>
      <w:lvlJc w:val="left"/>
      <w:pPr>
        <w:ind w:left="2160" w:hanging="360"/>
      </w:pPr>
      <w:rPr>
        <w:rFonts w:ascii="Wingdings" w:hAnsi="Wingdings" w:hint="default"/>
      </w:rPr>
    </w:lvl>
    <w:lvl w:ilvl="3" w:tplc="959E523C">
      <w:start w:val="1"/>
      <w:numFmt w:val="bullet"/>
      <w:lvlText w:val=""/>
      <w:lvlJc w:val="left"/>
      <w:pPr>
        <w:ind w:left="2880" w:hanging="360"/>
      </w:pPr>
      <w:rPr>
        <w:rFonts w:ascii="Symbol" w:hAnsi="Symbol" w:hint="default"/>
      </w:rPr>
    </w:lvl>
    <w:lvl w:ilvl="4" w:tplc="41F60ADE">
      <w:start w:val="1"/>
      <w:numFmt w:val="bullet"/>
      <w:lvlText w:val="o"/>
      <w:lvlJc w:val="left"/>
      <w:pPr>
        <w:ind w:left="3600" w:hanging="360"/>
      </w:pPr>
      <w:rPr>
        <w:rFonts w:ascii="Courier New" w:hAnsi="Courier New" w:hint="default"/>
      </w:rPr>
    </w:lvl>
    <w:lvl w:ilvl="5" w:tplc="2320DD5C">
      <w:start w:val="1"/>
      <w:numFmt w:val="bullet"/>
      <w:lvlText w:val=""/>
      <w:lvlJc w:val="left"/>
      <w:pPr>
        <w:ind w:left="4320" w:hanging="360"/>
      </w:pPr>
      <w:rPr>
        <w:rFonts w:ascii="Wingdings" w:hAnsi="Wingdings" w:hint="default"/>
      </w:rPr>
    </w:lvl>
    <w:lvl w:ilvl="6" w:tplc="BBB6BE08">
      <w:start w:val="1"/>
      <w:numFmt w:val="bullet"/>
      <w:lvlText w:val=""/>
      <w:lvlJc w:val="left"/>
      <w:pPr>
        <w:ind w:left="5040" w:hanging="360"/>
      </w:pPr>
      <w:rPr>
        <w:rFonts w:ascii="Symbol" w:hAnsi="Symbol" w:hint="default"/>
      </w:rPr>
    </w:lvl>
    <w:lvl w:ilvl="7" w:tplc="E5E895D8">
      <w:start w:val="1"/>
      <w:numFmt w:val="bullet"/>
      <w:lvlText w:val="o"/>
      <w:lvlJc w:val="left"/>
      <w:pPr>
        <w:ind w:left="5760" w:hanging="360"/>
      </w:pPr>
      <w:rPr>
        <w:rFonts w:ascii="Courier New" w:hAnsi="Courier New" w:hint="default"/>
      </w:rPr>
    </w:lvl>
    <w:lvl w:ilvl="8" w:tplc="FC283E38">
      <w:start w:val="1"/>
      <w:numFmt w:val="bullet"/>
      <w:lvlText w:val=""/>
      <w:lvlJc w:val="left"/>
      <w:pPr>
        <w:ind w:left="6480" w:hanging="360"/>
      </w:pPr>
      <w:rPr>
        <w:rFonts w:ascii="Wingdings" w:hAnsi="Wingdings" w:hint="default"/>
      </w:rPr>
    </w:lvl>
  </w:abstractNum>
  <w:abstractNum w:abstractNumId="7" w15:restartNumberingAfterBreak="0">
    <w:nsid w:val="1B4672E9"/>
    <w:multiLevelType w:val="hybridMultilevel"/>
    <w:tmpl w:val="1D5C94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EC027D"/>
    <w:multiLevelType w:val="hybridMultilevel"/>
    <w:tmpl w:val="51E4026C"/>
    <w:lvl w:ilvl="0" w:tplc="50B0F320">
      <w:start w:val="1"/>
      <w:numFmt w:val="bullet"/>
      <w:lvlText w:val=""/>
      <w:lvlJc w:val="left"/>
      <w:pPr>
        <w:ind w:left="720" w:hanging="360"/>
      </w:pPr>
      <w:rPr>
        <w:rFonts w:ascii="Symbol" w:hAnsi="Symbol" w:hint="default"/>
      </w:rPr>
    </w:lvl>
    <w:lvl w:ilvl="1" w:tplc="D9D0966A">
      <w:start w:val="1"/>
      <w:numFmt w:val="bullet"/>
      <w:lvlText w:val="o"/>
      <w:lvlJc w:val="left"/>
      <w:pPr>
        <w:ind w:left="1440" w:hanging="360"/>
      </w:pPr>
      <w:rPr>
        <w:rFonts w:ascii="Courier New" w:hAnsi="Courier New" w:hint="default"/>
      </w:rPr>
    </w:lvl>
    <w:lvl w:ilvl="2" w:tplc="F1B41D90">
      <w:start w:val="1"/>
      <w:numFmt w:val="bullet"/>
      <w:lvlText w:val=""/>
      <w:lvlJc w:val="left"/>
      <w:pPr>
        <w:ind w:left="2160" w:hanging="360"/>
      </w:pPr>
      <w:rPr>
        <w:rFonts w:ascii="Wingdings" w:hAnsi="Wingdings" w:hint="default"/>
      </w:rPr>
    </w:lvl>
    <w:lvl w:ilvl="3" w:tplc="6C40647A">
      <w:start w:val="1"/>
      <w:numFmt w:val="bullet"/>
      <w:lvlText w:val=""/>
      <w:lvlJc w:val="left"/>
      <w:pPr>
        <w:ind w:left="2880" w:hanging="360"/>
      </w:pPr>
      <w:rPr>
        <w:rFonts w:ascii="Symbol" w:hAnsi="Symbol" w:hint="default"/>
      </w:rPr>
    </w:lvl>
    <w:lvl w:ilvl="4" w:tplc="28A2417C">
      <w:start w:val="1"/>
      <w:numFmt w:val="bullet"/>
      <w:lvlText w:val="o"/>
      <w:lvlJc w:val="left"/>
      <w:pPr>
        <w:ind w:left="3600" w:hanging="360"/>
      </w:pPr>
      <w:rPr>
        <w:rFonts w:ascii="Courier New" w:hAnsi="Courier New" w:hint="default"/>
      </w:rPr>
    </w:lvl>
    <w:lvl w:ilvl="5" w:tplc="BFD0380C">
      <w:start w:val="1"/>
      <w:numFmt w:val="bullet"/>
      <w:lvlText w:val=""/>
      <w:lvlJc w:val="left"/>
      <w:pPr>
        <w:ind w:left="4320" w:hanging="360"/>
      </w:pPr>
      <w:rPr>
        <w:rFonts w:ascii="Wingdings" w:hAnsi="Wingdings" w:hint="default"/>
      </w:rPr>
    </w:lvl>
    <w:lvl w:ilvl="6" w:tplc="8A509D02">
      <w:start w:val="1"/>
      <w:numFmt w:val="bullet"/>
      <w:lvlText w:val=""/>
      <w:lvlJc w:val="left"/>
      <w:pPr>
        <w:ind w:left="5040" w:hanging="360"/>
      </w:pPr>
      <w:rPr>
        <w:rFonts w:ascii="Symbol" w:hAnsi="Symbol" w:hint="default"/>
      </w:rPr>
    </w:lvl>
    <w:lvl w:ilvl="7" w:tplc="DA7C4736">
      <w:start w:val="1"/>
      <w:numFmt w:val="bullet"/>
      <w:lvlText w:val="o"/>
      <w:lvlJc w:val="left"/>
      <w:pPr>
        <w:ind w:left="5760" w:hanging="360"/>
      </w:pPr>
      <w:rPr>
        <w:rFonts w:ascii="Courier New" w:hAnsi="Courier New" w:hint="default"/>
      </w:rPr>
    </w:lvl>
    <w:lvl w:ilvl="8" w:tplc="6F163D6C">
      <w:start w:val="1"/>
      <w:numFmt w:val="bullet"/>
      <w:lvlText w:val=""/>
      <w:lvlJc w:val="left"/>
      <w:pPr>
        <w:ind w:left="6480" w:hanging="360"/>
      </w:pPr>
      <w:rPr>
        <w:rFonts w:ascii="Wingdings" w:hAnsi="Wingdings" w:hint="default"/>
      </w:rPr>
    </w:lvl>
  </w:abstractNum>
  <w:abstractNum w:abstractNumId="9" w15:restartNumberingAfterBreak="0">
    <w:nsid w:val="39302F95"/>
    <w:multiLevelType w:val="hybridMultilevel"/>
    <w:tmpl w:val="50289442"/>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D92476F"/>
    <w:multiLevelType w:val="hybridMultilevel"/>
    <w:tmpl w:val="7CFEB080"/>
    <w:lvl w:ilvl="0" w:tplc="E27E84B8">
      <w:numFmt w:val="bullet"/>
      <w:lvlText w:val="•"/>
      <w:lvlJc w:val="left"/>
      <w:pPr>
        <w:ind w:left="114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15B7A79"/>
    <w:multiLevelType w:val="hybridMultilevel"/>
    <w:tmpl w:val="FFFFFFFF"/>
    <w:lvl w:ilvl="0" w:tplc="A592454A">
      <w:start w:val="1"/>
      <w:numFmt w:val="bullet"/>
      <w:lvlText w:val=""/>
      <w:lvlJc w:val="left"/>
      <w:pPr>
        <w:ind w:left="720" w:hanging="360"/>
      </w:pPr>
      <w:rPr>
        <w:rFonts w:ascii="Symbol" w:hAnsi="Symbol" w:hint="default"/>
      </w:rPr>
    </w:lvl>
    <w:lvl w:ilvl="1" w:tplc="7A2E9BDA">
      <w:start w:val="1"/>
      <w:numFmt w:val="bullet"/>
      <w:lvlText w:val="o"/>
      <w:lvlJc w:val="left"/>
      <w:pPr>
        <w:ind w:left="1440" w:hanging="360"/>
      </w:pPr>
      <w:rPr>
        <w:rFonts w:ascii="Courier New" w:hAnsi="Courier New" w:hint="default"/>
      </w:rPr>
    </w:lvl>
    <w:lvl w:ilvl="2" w:tplc="81CE568C">
      <w:start w:val="1"/>
      <w:numFmt w:val="bullet"/>
      <w:lvlText w:val=""/>
      <w:lvlJc w:val="left"/>
      <w:pPr>
        <w:ind w:left="2160" w:hanging="360"/>
      </w:pPr>
      <w:rPr>
        <w:rFonts w:ascii="Wingdings" w:hAnsi="Wingdings" w:hint="default"/>
      </w:rPr>
    </w:lvl>
    <w:lvl w:ilvl="3" w:tplc="8ED4DFFE">
      <w:start w:val="1"/>
      <w:numFmt w:val="bullet"/>
      <w:lvlText w:val=""/>
      <w:lvlJc w:val="left"/>
      <w:pPr>
        <w:ind w:left="2880" w:hanging="360"/>
      </w:pPr>
      <w:rPr>
        <w:rFonts w:ascii="Symbol" w:hAnsi="Symbol" w:hint="default"/>
      </w:rPr>
    </w:lvl>
    <w:lvl w:ilvl="4" w:tplc="C64E4020">
      <w:start w:val="1"/>
      <w:numFmt w:val="bullet"/>
      <w:lvlText w:val="o"/>
      <w:lvlJc w:val="left"/>
      <w:pPr>
        <w:ind w:left="3600" w:hanging="360"/>
      </w:pPr>
      <w:rPr>
        <w:rFonts w:ascii="Courier New" w:hAnsi="Courier New" w:hint="default"/>
      </w:rPr>
    </w:lvl>
    <w:lvl w:ilvl="5" w:tplc="7572328A">
      <w:start w:val="1"/>
      <w:numFmt w:val="bullet"/>
      <w:lvlText w:val=""/>
      <w:lvlJc w:val="left"/>
      <w:pPr>
        <w:ind w:left="4320" w:hanging="360"/>
      </w:pPr>
      <w:rPr>
        <w:rFonts w:ascii="Wingdings" w:hAnsi="Wingdings" w:hint="default"/>
      </w:rPr>
    </w:lvl>
    <w:lvl w:ilvl="6" w:tplc="4FBA1E56">
      <w:start w:val="1"/>
      <w:numFmt w:val="bullet"/>
      <w:lvlText w:val=""/>
      <w:lvlJc w:val="left"/>
      <w:pPr>
        <w:ind w:left="5040" w:hanging="360"/>
      </w:pPr>
      <w:rPr>
        <w:rFonts w:ascii="Symbol" w:hAnsi="Symbol" w:hint="default"/>
      </w:rPr>
    </w:lvl>
    <w:lvl w:ilvl="7" w:tplc="4F48EEC8">
      <w:start w:val="1"/>
      <w:numFmt w:val="bullet"/>
      <w:lvlText w:val="o"/>
      <w:lvlJc w:val="left"/>
      <w:pPr>
        <w:ind w:left="5760" w:hanging="360"/>
      </w:pPr>
      <w:rPr>
        <w:rFonts w:ascii="Courier New" w:hAnsi="Courier New" w:hint="default"/>
      </w:rPr>
    </w:lvl>
    <w:lvl w:ilvl="8" w:tplc="F2986DD6">
      <w:start w:val="1"/>
      <w:numFmt w:val="bullet"/>
      <w:lvlText w:val=""/>
      <w:lvlJc w:val="left"/>
      <w:pPr>
        <w:ind w:left="6480" w:hanging="360"/>
      </w:pPr>
      <w:rPr>
        <w:rFonts w:ascii="Wingdings" w:hAnsi="Wingdings" w:hint="default"/>
      </w:rPr>
    </w:lvl>
  </w:abstractNum>
  <w:abstractNum w:abstractNumId="12" w15:restartNumberingAfterBreak="1">
    <w:nsid w:val="48244625"/>
    <w:multiLevelType w:val="hybridMultilevel"/>
    <w:tmpl w:val="5DDC5D18"/>
    <w:lvl w:ilvl="0" w:tplc="795422F4">
      <w:start w:val="1"/>
      <w:numFmt w:val="decimal"/>
      <w:lvlText w:val="%1."/>
      <w:lvlJc w:val="left"/>
      <w:pPr>
        <w:ind w:left="1069" w:hanging="360"/>
      </w:pPr>
    </w:lvl>
    <w:lvl w:ilvl="1" w:tplc="435EB8FA">
      <w:start w:val="1"/>
      <w:numFmt w:val="lowerLetter"/>
      <w:lvlText w:val="%2."/>
      <w:lvlJc w:val="left"/>
      <w:pPr>
        <w:ind w:left="1789" w:hanging="360"/>
      </w:pPr>
    </w:lvl>
    <w:lvl w:ilvl="2" w:tplc="E5CA37C8">
      <w:start w:val="1"/>
      <w:numFmt w:val="lowerRoman"/>
      <w:lvlText w:val="%3."/>
      <w:lvlJc w:val="right"/>
      <w:pPr>
        <w:ind w:left="2509" w:hanging="180"/>
      </w:pPr>
    </w:lvl>
    <w:lvl w:ilvl="3" w:tplc="45A2BD1E">
      <w:start w:val="1"/>
      <w:numFmt w:val="decimal"/>
      <w:lvlText w:val="%4."/>
      <w:lvlJc w:val="left"/>
      <w:pPr>
        <w:ind w:left="3229" w:hanging="360"/>
      </w:pPr>
    </w:lvl>
    <w:lvl w:ilvl="4" w:tplc="BA18C708">
      <w:start w:val="1"/>
      <w:numFmt w:val="lowerLetter"/>
      <w:lvlText w:val="%5."/>
      <w:lvlJc w:val="left"/>
      <w:pPr>
        <w:ind w:left="3949" w:hanging="360"/>
      </w:pPr>
    </w:lvl>
    <w:lvl w:ilvl="5" w:tplc="03169A06">
      <w:start w:val="1"/>
      <w:numFmt w:val="lowerRoman"/>
      <w:lvlText w:val="%6."/>
      <w:lvlJc w:val="right"/>
      <w:pPr>
        <w:ind w:left="4669" w:hanging="180"/>
      </w:pPr>
    </w:lvl>
    <w:lvl w:ilvl="6" w:tplc="8684DD1E">
      <w:start w:val="1"/>
      <w:numFmt w:val="decimal"/>
      <w:lvlText w:val="%7."/>
      <w:lvlJc w:val="left"/>
      <w:pPr>
        <w:ind w:left="5389" w:hanging="360"/>
      </w:pPr>
    </w:lvl>
    <w:lvl w:ilvl="7" w:tplc="832CBABC">
      <w:start w:val="1"/>
      <w:numFmt w:val="lowerLetter"/>
      <w:lvlText w:val="%8."/>
      <w:lvlJc w:val="left"/>
      <w:pPr>
        <w:ind w:left="6109" w:hanging="360"/>
      </w:pPr>
    </w:lvl>
    <w:lvl w:ilvl="8" w:tplc="2D8CC2C6">
      <w:start w:val="1"/>
      <w:numFmt w:val="lowerRoman"/>
      <w:lvlText w:val="%9."/>
      <w:lvlJc w:val="right"/>
      <w:pPr>
        <w:ind w:left="6829" w:hanging="180"/>
      </w:pPr>
    </w:lvl>
  </w:abstractNum>
  <w:abstractNum w:abstractNumId="13" w15:restartNumberingAfterBreak="0">
    <w:nsid w:val="50DD6B27"/>
    <w:multiLevelType w:val="hybridMultilevel"/>
    <w:tmpl w:val="9E12B9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FB11D5"/>
    <w:multiLevelType w:val="hybridMultilevel"/>
    <w:tmpl w:val="337CA260"/>
    <w:lvl w:ilvl="0" w:tplc="C4706FB6">
      <w:start w:val="2"/>
      <w:numFmt w:val="decimal"/>
      <w:lvlText w:val="%1)"/>
      <w:lvlJc w:val="left"/>
      <w:pPr>
        <w:ind w:left="1789" w:hanging="360"/>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15" w15:restartNumberingAfterBreak="0">
    <w:nsid w:val="6894412D"/>
    <w:multiLevelType w:val="hybridMultilevel"/>
    <w:tmpl w:val="FFFFFFFF"/>
    <w:lvl w:ilvl="0" w:tplc="347016E6">
      <w:start w:val="1"/>
      <w:numFmt w:val="bullet"/>
      <w:lvlText w:val=""/>
      <w:lvlJc w:val="left"/>
      <w:pPr>
        <w:ind w:left="720" w:hanging="360"/>
      </w:pPr>
      <w:rPr>
        <w:rFonts w:ascii="Symbol" w:hAnsi="Symbol" w:hint="default"/>
      </w:rPr>
    </w:lvl>
    <w:lvl w:ilvl="1" w:tplc="BA1E9F20">
      <w:start w:val="1"/>
      <w:numFmt w:val="bullet"/>
      <w:lvlText w:val="o"/>
      <w:lvlJc w:val="left"/>
      <w:pPr>
        <w:ind w:left="1440" w:hanging="360"/>
      </w:pPr>
      <w:rPr>
        <w:rFonts w:ascii="Courier New" w:hAnsi="Courier New" w:hint="default"/>
      </w:rPr>
    </w:lvl>
    <w:lvl w:ilvl="2" w:tplc="F9828240">
      <w:start w:val="1"/>
      <w:numFmt w:val="bullet"/>
      <w:lvlText w:val=""/>
      <w:lvlJc w:val="left"/>
      <w:pPr>
        <w:ind w:left="2160" w:hanging="360"/>
      </w:pPr>
      <w:rPr>
        <w:rFonts w:ascii="Wingdings" w:hAnsi="Wingdings" w:hint="default"/>
      </w:rPr>
    </w:lvl>
    <w:lvl w:ilvl="3" w:tplc="6E94A50C">
      <w:start w:val="1"/>
      <w:numFmt w:val="bullet"/>
      <w:lvlText w:val=""/>
      <w:lvlJc w:val="left"/>
      <w:pPr>
        <w:ind w:left="2880" w:hanging="360"/>
      </w:pPr>
      <w:rPr>
        <w:rFonts w:ascii="Symbol" w:hAnsi="Symbol" w:hint="default"/>
      </w:rPr>
    </w:lvl>
    <w:lvl w:ilvl="4" w:tplc="6DDCEBF4">
      <w:start w:val="1"/>
      <w:numFmt w:val="bullet"/>
      <w:lvlText w:val="o"/>
      <w:lvlJc w:val="left"/>
      <w:pPr>
        <w:ind w:left="3600" w:hanging="360"/>
      </w:pPr>
      <w:rPr>
        <w:rFonts w:ascii="Courier New" w:hAnsi="Courier New" w:hint="default"/>
      </w:rPr>
    </w:lvl>
    <w:lvl w:ilvl="5" w:tplc="A184AEBA">
      <w:start w:val="1"/>
      <w:numFmt w:val="bullet"/>
      <w:lvlText w:val=""/>
      <w:lvlJc w:val="left"/>
      <w:pPr>
        <w:ind w:left="4320" w:hanging="360"/>
      </w:pPr>
      <w:rPr>
        <w:rFonts w:ascii="Wingdings" w:hAnsi="Wingdings" w:hint="default"/>
      </w:rPr>
    </w:lvl>
    <w:lvl w:ilvl="6" w:tplc="AC189486">
      <w:start w:val="1"/>
      <w:numFmt w:val="bullet"/>
      <w:lvlText w:val=""/>
      <w:lvlJc w:val="left"/>
      <w:pPr>
        <w:ind w:left="5040" w:hanging="360"/>
      </w:pPr>
      <w:rPr>
        <w:rFonts w:ascii="Symbol" w:hAnsi="Symbol" w:hint="default"/>
      </w:rPr>
    </w:lvl>
    <w:lvl w:ilvl="7" w:tplc="3C7A743C">
      <w:start w:val="1"/>
      <w:numFmt w:val="bullet"/>
      <w:lvlText w:val="o"/>
      <w:lvlJc w:val="left"/>
      <w:pPr>
        <w:ind w:left="5760" w:hanging="360"/>
      </w:pPr>
      <w:rPr>
        <w:rFonts w:ascii="Courier New" w:hAnsi="Courier New" w:hint="default"/>
      </w:rPr>
    </w:lvl>
    <w:lvl w:ilvl="8" w:tplc="A0D22A1A">
      <w:start w:val="1"/>
      <w:numFmt w:val="bullet"/>
      <w:lvlText w:val=""/>
      <w:lvlJc w:val="left"/>
      <w:pPr>
        <w:ind w:left="6480" w:hanging="360"/>
      </w:pPr>
      <w:rPr>
        <w:rFonts w:ascii="Wingdings" w:hAnsi="Wingdings" w:hint="default"/>
      </w:rPr>
    </w:lvl>
  </w:abstractNum>
  <w:abstractNum w:abstractNumId="16" w15:restartNumberingAfterBreak="1">
    <w:nsid w:val="6FA0149E"/>
    <w:multiLevelType w:val="hybridMultilevel"/>
    <w:tmpl w:val="394C7BC0"/>
    <w:lvl w:ilvl="0" w:tplc="F236815A">
      <w:start w:val="1"/>
      <w:numFmt w:val="decimal"/>
      <w:lvlText w:val="%1)"/>
      <w:lvlJc w:val="left"/>
      <w:pPr>
        <w:ind w:left="1429" w:hanging="360"/>
      </w:pPr>
      <w:rPr>
        <w:rFonts w:ascii="Times New Roman" w:eastAsia="Calibri" w:hAnsi="Times New Roman" w:cs="Times New Roman"/>
      </w:rPr>
    </w:lvl>
    <w:lvl w:ilvl="1" w:tplc="D8F6E864">
      <w:start w:val="1"/>
      <w:numFmt w:val="bullet"/>
      <w:lvlText w:val="o"/>
      <w:lvlJc w:val="left"/>
      <w:pPr>
        <w:ind w:left="2521" w:hanging="360"/>
      </w:pPr>
      <w:rPr>
        <w:rFonts w:ascii="Courier New" w:hAnsi="Courier New" w:cs="Courier New" w:hint="default"/>
      </w:rPr>
    </w:lvl>
    <w:lvl w:ilvl="2" w:tplc="068A2CE8">
      <w:start w:val="1"/>
      <w:numFmt w:val="bullet"/>
      <w:lvlText w:val=""/>
      <w:lvlJc w:val="left"/>
      <w:pPr>
        <w:ind w:left="3241" w:hanging="360"/>
      </w:pPr>
      <w:rPr>
        <w:rFonts w:ascii="Wingdings" w:hAnsi="Wingdings" w:hint="default"/>
      </w:rPr>
    </w:lvl>
    <w:lvl w:ilvl="3" w:tplc="441A0E30">
      <w:start w:val="1"/>
      <w:numFmt w:val="bullet"/>
      <w:lvlText w:val=""/>
      <w:lvlJc w:val="left"/>
      <w:pPr>
        <w:ind w:left="3961" w:hanging="360"/>
      </w:pPr>
      <w:rPr>
        <w:rFonts w:ascii="Symbol" w:hAnsi="Symbol" w:hint="default"/>
      </w:rPr>
    </w:lvl>
    <w:lvl w:ilvl="4" w:tplc="8E329D52">
      <w:start w:val="1"/>
      <w:numFmt w:val="bullet"/>
      <w:lvlText w:val="o"/>
      <w:lvlJc w:val="left"/>
      <w:pPr>
        <w:ind w:left="4681" w:hanging="360"/>
      </w:pPr>
      <w:rPr>
        <w:rFonts w:ascii="Courier New" w:hAnsi="Courier New" w:cs="Courier New" w:hint="default"/>
      </w:rPr>
    </w:lvl>
    <w:lvl w:ilvl="5" w:tplc="CFA6C35E">
      <w:start w:val="1"/>
      <w:numFmt w:val="bullet"/>
      <w:lvlText w:val=""/>
      <w:lvlJc w:val="left"/>
      <w:pPr>
        <w:ind w:left="5401" w:hanging="360"/>
      </w:pPr>
      <w:rPr>
        <w:rFonts w:ascii="Wingdings" w:hAnsi="Wingdings" w:hint="default"/>
      </w:rPr>
    </w:lvl>
    <w:lvl w:ilvl="6" w:tplc="856ACAC8">
      <w:start w:val="1"/>
      <w:numFmt w:val="bullet"/>
      <w:lvlText w:val=""/>
      <w:lvlJc w:val="left"/>
      <w:pPr>
        <w:ind w:left="6121" w:hanging="360"/>
      </w:pPr>
      <w:rPr>
        <w:rFonts w:ascii="Symbol" w:hAnsi="Symbol" w:hint="default"/>
      </w:rPr>
    </w:lvl>
    <w:lvl w:ilvl="7" w:tplc="CDCCAF4A">
      <w:start w:val="1"/>
      <w:numFmt w:val="bullet"/>
      <w:lvlText w:val="o"/>
      <w:lvlJc w:val="left"/>
      <w:pPr>
        <w:ind w:left="6841" w:hanging="360"/>
      </w:pPr>
      <w:rPr>
        <w:rFonts w:ascii="Courier New" w:hAnsi="Courier New" w:cs="Courier New" w:hint="default"/>
      </w:rPr>
    </w:lvl>
    <w:lvl w:ilvl="8" w:tplc="3AE61950">
      <w:start w:val="1"/>
      <w:numFmt w:val="bullet"/>
      <w:lvlText w:val=""/>
      <w:lvlJc w:val="left"/>
      <w:pPr>
        <w:ind w:left="7561" w:hanging="360"/>
      </w:pPr>
      <w:rPr>
        <w:rFonts w:ascii="Wingdings" w:hAnsi="Wingdings" w:hint="default"/>
      </w:rPr>
    </w:lvl>
  </w:abstractNum>
  <w:abstractNum w:abstractNumId="17" w15:restartNumberingAfterBreak="0">
    <w:nsid w:val="70A37DD7"/>
    <w:multiLevelType w:val="hybridMultilevel"/>
    <w:tmpl w:val="E6EC87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60E3A3B"/>
    <w:multiLevelType w:val="hybridMultilevel"/>
    <w:tmpl w:val="0D721C5C"/>
    <w:lvl w:ilvl="0" w:tplc="FFFFFFFF">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1"/>
  </w:num>
  <w:num w:numId="6">
    <w:abstractNumId w:val="10"/>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18"/>
  </w:num>
  <w:num w:numId="10">
    <w:abstractNumId w:val="17"/>
  </w:num>
  <w:num w:numId="11">
    <w:abstractNumId w:val="5"/>
  </w:num>
  <w:num w:numId="12">
    <w:abstractNumId w:val="13"/>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0"/>
  </w:num>
  <w:num w:numId="18">
    <w:abstractNumId w:val="15"/>
  </w:num>
  <w:num w:numId="19">
    <w:abstractNumId w:val="11"/>
  </w:num>
  <w:num w:numId="2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06B"/>
    <w:rsid w:val="00000FAE"/>
    <w:rsid w:val="000014D8"/>
    <w:rsid w:val="00001F89"/>
    <w:rsid w:val="00002078"/>
    <w:rsid w:val="000031E4"/>
    <w:rsid w:val="00003C53"/>
    <w:rsid w:val="0000434E"/>
    <w:rsid w:val="000044C7"/>
    <w:rsid w:val="0000456E"/>
    <w:rsid w:val="00004DA5"/>
    <w:rsid w:val="000055EA"/>
    <w:rsid w:val="00005A88"/>
    <w:rsid w:val="00006BF1"/>
    <w:rsid w:val="00006C2B"/>
    <w:rsid w:val="00006DEF"/>
    <w:rsid w:val="00007944"/>
    <w:rsid w:val="00007C68"/>
    <w:rsid w:val="00010BE0"/>
    <w:rsid w:val="0001118D"/>
    <w:rsid w:val="0001131F"/>
    <w:rsid w:val="00011663"/>
    <w:rsid w:val="000119E9"/>
    <w:rsid w:val="00011CD8"/>
    <w:rsid w:val="000123C4"/>
    <w:rsid w:val="0001249F"/>
    <w:rsid w:val="000125C0"/>
    <w:rsid w:val="0001270C"/>
    <w:rsid w:val="000136AA"/>
    <w:rsid w:val="00013B4C"/>
    <w:rsid w:val="00013BF6"/>
    <w:rsid w:val="00014803"/>
    <w:rsid w:val="0001554C"/>
    <w:rsid w:val="00015B94"/>
    <w:rsid w:val="00015DE5"/>
    <w:rsid w:val="000166F3"/>
    <w:rsid w:val="00016EB1"/>
    <w:rsid w:val="00016F8C"/>
    <w:rsid w:val="000172E2"/>
    <w:rsid w:val="00017449"/>
    <w:rsid w:val="00017779"/>
    <w:rsid w:val="00017A45"/>
    <w:rsid w:val="00020249"/>
    <w:rsid w:val="00020FC6"/>
    <w:rsid w:val="00021116"/>
    <w:rsid w:val="00021801"/>
    <w:rsid w:val="00022338"/>
    <w:rsid w:val="000226A8"/>
    <w:rsid w:val="0002296A"/>
    <w:rsid w:val="00022B0F"/>
    <w:rsid w:val="00022B9A"/>
    <w:rsid w:val="00022D23"/>
    <w:rsid w:val="00023FCA"/>
    <w:rsid w:val="00023FD6"/>
    <w:rsid w:val="0002416A"/>
    <w:rsid w:val="00024C59"/>
    <w:rsid w:val="00024CCD"/>
    <w:rsid w:val="00024D20"/>
    <w:rsid w:val="00024FFC"/>
    <w:rsid w:val="000253DB"/>
    <w:rsid w:val="000258B7"/>
    <w:rsid w:val="000259FF"/>
    <w:rsid w:val="00025ADB"/>
    <w:rsid w:val="00025BF8"/>
    <w:rsid w:val="00026D1B"/>
    <w:rsid w:val="000278E7"/>
    <w:rsid w:val="00027A63"/>
    <w:rsid w:val="00027F9D"/>
    <w:rsid w:val="000307B5"/>
    <w:rsid w:val="00030FB2"/>
    <w:rsid w:val="000317B0"/>
    <w:rsid w:val="00032457"/>
    <w:rsid w:val="00033ECD"/>
    <w:rsid w:val="0003413A"/>
    <w:rsid w:val="00034195"/>
    <w:rsid w:val="000343E3"/>
    <w:rsid w:val="000349CA"/>
    <w:rsid w:val="00034ED1"/>
    <w:rsid w:val="0003557A"/>
    <w:rsid w:val="00035C06"/>
    <w:rsid w:val="00035E36"/>
    <w:rsid w:val="000366DF"/>
    <w:rsid w:val="000366F7"/>
    <w:rsid w:val="00037065"/>
    <w:rsid w:val="000375E5"/>
    <w:rsid w:val="000376CD"/>
    <w:rsid w:val="00037774"/>
    <w:rsid w:val="00037F14"/>
    <w:rsid w:val="00040234"/>
    <w:rsid w:val="000404F9"/>
    <w:rsid w:val="00040650"/>
    <w:rsid w:val="00040A5C"/>
    <w:rsid w:val="00040AD6"/>
    <w:rsid w:val="00042003"/>
    <w:rsid w:val="0004213C"/>
    <w:rsid w:val="00042C79"/>
    <w:rsid w:val="00043005"/>
    <w:rsid w:val="0004345F"/>
    <w:rsid w:val="00043616"/>
    <w:rsid w:val="000437A7"/>
    <w:rsid w:val="000438AE"/>
    <w:rsid w:val="00043DFD"/>
    <w:rsid w:val="00044026"/>
    <w:rsid w:val="000441D5"/>
    <w:rsid w:val="000455FC"/>
    <w:rsid w:val="00046075"/>
    <w:rsid w:val="00046CAD"/>
    <w:rsid w:val="00046F5C"/>
    <w:rsid w:val="00047385"/>
    <w:rsid w:val="0005048A"/>
    <w:rsid w:val="00050554"/>
    <w:rsid w:val="00050815"/>
    <w:rsid w:val="00050998"/>
    <w:rsid w:val="00051C2E"/>
    <w:rsid w:val="00051C8D"/>
    <w:rsid w:val="00053706"/>
    <w:rsid w:val="00053E04"/>
    <w:rsid w:val="00054DF7"/>
    <w:rsid w:val="00056E48"/>
    <w:rsid w:val="000579E6"/>
    <w:rsid w:val="00057E63"/>
    <w:rsid w:val="0006050A"/>
    <w:rsid w:val="00060E03"/>
    <w:rsid w:val="00061D67"/>
    <w:rsid w:val="00062E33"/>
    <w:rsid w:val="000641CE"/>
    <w:rsid w:val="000650F2"/>
    <w:rsid w:val="00065271"/>
    <w:rsid w:val="00065E9B"/>
    <w:rsid w:val="00066176"/>
    <w:rsid w:val="0006618D"/>
    <w:rsid w:val="000663E1"/>
    <w:rsid w:val="00066885"/>
    <w:rsid w:val="0006694E"/>
    <w:rsid w:val="00066A25"/>
    <w:rsid w:val="00066A37"/>
    <w:rsid w:val="00066BA3"/>
    <w:rsid w:val="00066F05"/>
    <w:rsid w:val="00067081"/>
    <w:rsid w:val="00067761"/>
    <w:rsid w:val="00070828"/>
    <w:rsid w:val="0007209E"/>
    <w:rsid w:val="00072628"/>
    <w:rsid w:val="000728ED"/>
    <w:rsid w:val="00073014"/>
    <w:rsid w:val="000733F5"/>
    <w:rsid w:val="000733FF"/>
    <w:rsid w:val="00073E4D"/>
    <w:rsid w:val="00073EBC"/>
    <w:rsid w:val="0007577A"/>
    <w:rsid w:val="00075C59"/>
    <w:rsid w:val="00076067"/>
    <w:rsid w:val="00076F6E"/>
    <w:rsid w:val="00076FB8"/>
    <w:rsid w:val="000775D0"/>
    <w:rsid w:val="000807B2"/>
    <w:rsid w:val="00080D6C"/>
    <w:rsid w:val="0008107C"/>
    <w:rsid w:val="00081B0F"/>
    <w:rsid w:val="00082305"/>
    <w:rsid w:val="000823F0"/>
    <w:rsid w:val="000824BB"/>
    <w:rsid w:val="000824D0"/>
    <w:rsid w:val="0008262C"/>
    <w:rsid w:val="0008283D"/>
    <w:rsid w:val="00082CF4"/>
    <w:rsid w:val="00083090"/>
    <w:rsid w:val="00083214"/>
    <w:rsid w:val="00083B8F"/>
    <w:rsid w:val="00084B11"/>
    <w:rsid w:val="00085322"/>
    <w:rsid w:val="0008592C"/>
    <w:rsid w:val="00086228"/>
    <w:rsid w:val="0008656F"/>
    <w:rsid w:val="00086AB9"/>
    <w:rsid w:val="00086BCE"/>
    <w:rsid w:val="00086F36"/>
    <w:rsid w:val="00087C56"/>
    <w:rsid w:val="00087F36"/>
    <w:rsid w:val="00090168"/>
    <w:rsid w:val="00090C76"/>
    <w:rsid w:val="00091033"/>
    <w:rsid w:val="000910F3"/>
    <w:rsid w:val="00091AB7"/>
    <w:rsid w:val="00091C52"/>
    <w:rsid w:val="00091C86"/>
    <w:rsid w:val="00091F10"/>
    <w:rsid w:val="0009302B"/>
    <w:rsid w:val="000936CC"/>
    <w:rsid w:val="00093EC2"/>
    <w:rsid w:val="0009461E"/>
    <w:rsid w:val="000950CC"/>
    <w:rsid w:val="000958A2"/>
    <w:rsid w:val="000961D7"/>
    <w:rsid w:val="000965E7"/>
    <w:rsid w:val="000967C1"/>
    <w:rsid w:val="00097D60"/>
    <w:rsid w:val="000A0041"/>
    <w:rsid w:val="000A06FC"/>
    <w:rsid w:val="000A09F6"/>
    <w:rsid w:val="000A17FF"/>
    <w:rsid w:val="000A1A02"/>
    <w:rsid w:val="000A2801"/>
    <w:rsid w:val="000A3067"/>
    <w:rsid w:val="000A315E"/>
    <w:rsid w:val="000A3211"/>
    <w:rsid w:val="000A4035"/>
    <w:rsid w:val="000A483A"/>
    <w:rsid w:val="000A4B7B"/>
    <w:rsid w:val="000A55D2"/>
    <w:rsid w:val="000A647E"/>
    <w:rsid w:val="000A64D3"/>
    <w:rsid w:val="000A700D"/>
    <w:rsid w:val="000A77B9"/>
    <w:rsid w:val="000A7BF2"/>
    <w:rsid w:val="000A7EA7"/>
    <w:rsid w:val="000B0403"/>
    <w:rsid w:val="000B0548"/>
    <w:rsid w:val="000B057B"/>
    <w:rsid w:val="000B05CB"/>
    <w:rsid w:val="000B06E7"/>
    <w:rsid w:val="000B0A39"/>
    <w:rsid w:val="000B0C94"/>
    <w:rsid w:val="000B0EC9"/>
    <w:rsid w:val="000B1343"/>
    <w:rsid w:val="000B15B5"/>
    <w:rsid w:val="000B15E5"/>
    <w:rsid w:val="000B1A04"/>
    <w:rsid w:val="000B1F6A"/>
    <w:rsid w:val="000B225A"/>
    <w:rsid w:val="000B2382"/>
    <w:rsid w:val="000B2959"/>
    <w:rsid w:val="000B2B88"/>
    <w:rsid w:val="000B2FA3"/>
    <w:rsid w:val="000B3171"/>
    <w:rsid w:val="000B34A5"/>
    <w:rsid w:val="000B3A9F"/>
    <w:rsid w:val="000B3BB7"/>
    <w:rsid w:val="000B40DF"/>
    <w:rsid w:val="000B44DD"/>
    <w:rsid w:val="000B45E1"/>
    <w:rsid w:val="000B4746"/>
    <w:rsid w:val="000B4AB7"/>
    <w:rsid w:val="000B4BA0"/>
    <w:rsid w:val="000B4C4D"/>
    <w:rsid w:val="000B4FB5"/>
    <w:rsid w:val="000B6D53"/>
    <w:rsid w:val="000B7966"/>
    <w:rsid w:val="000B7CB1"/>
    <w:rsid w:val="000C04AD"/>
    <w:rsid w:val="000C0AE6"/>
    <w:rsid w:val="000C0D0D"/>
    <w:rsid w:val="000C2555"/>
    <w:rsid w:val="000C265C"/>
    <w:rsid w:val="000C281E"/>
    <w:rsid w:val="000C2853"/>
    <w:rsid w:val="000C3545"/>
    <w:rsid w:val="000C498A"/>
    <w:rsid w:val="000C4C16"/>
    <w:rsid w:val="000C56FC"/>
    <w:rsid w:val="000C5840"/>
    <w:rsid w:val="000C6F7E"/>
    <w:rsid w:val="000C7907"/>
    <w:rsid w:val="000C7A11"/>
    <w:rsid w:val="000C7F12"/>
    <w:rsid w:val="000C7F5E"/>
    <w:rsid w:val="000D00AC"/>
    <w:rsid w:val="000D0AED"/>
    <w:rsid w:val="000D1144"/>
    <w:rsid w:val="000D1441"/>
    <w:rsid w:val="000D1D13"/>
    <w:rsid w:val="000D2A78"/>
    <w:rsid w:val="000D3602"/>
    <w:rsid w:val="000D4982"/>
    <w:rsid w:val="000D4D89"/>
    <w:rsid w:val="000D5CF8"/>
    <w:rsid w:val="000D5FA3"/>
    <w:rsid w:val="000D65D6"/>
    <w:rsid w:val="000D6790"/>
    <w:rsid w:val="000D6BBD"/>
    <w:rsid w:val="000D6D1A"/>
    <w:rsid w:val="000D7751"/>
    <w:rsid w:val="000D7879"/>
    <w:rsid w:val="000D7C23"/>
    <w:rsid w:val="000E055D"/>
    <w:rsid w:val="000E0A16"/>
    <w:rsid w:val="000E0A43"/>
    <w:rsid w:val="000E0C13"/>
    <w:rsid w:val="000E10BC"/>
    <w:rsid w:val="000E134B"/>
    <w:rsid w:val="000E1A66"/>
    <w:rsid w:val="000E1BFA"/>
    <w:rsid w:val="000E212A"/>
    <w:rsid w:val="000E2142"/>
    <w:rsid w:val="000E21D0"/>
    <w:rsid w:val="000E2521"/>
    <w:rsid w:val="000E2A38"/>
    <w:rsid w:val="000E2ACC"/>
    <w:rsid w:val="000E308F"/>
    <w:rsid w:val="000E3555"/>
    <w:rsid w:val="000E3586"/>
    <w:rsid w:val="000E3EA1"/>
    <w:rsid w:val="000E441F"/>
    <w:rsid w:val="000E4DD1"/>
    <w:rsid w:val="000E5509"/>
    <w:rsid w:val="000E585F"/>
    <w:rsid w:val="000E5D51"/>
    <w:rsid w:val="000E5DD9"/>
    <w:rsid w:val="000E629C"/>
    <w:rsid w:val="000E66F8"/>
    <w:rsid w:val="000E6C68"/>
    <w:rsid w:val="000E6D1A"/>
    <w:rsid w:val="000E74A7"/>
    <w:rsid w:val="000E7E42"/>
    <w:rsid w:val="000F054F"/>
    <w:rsid w:val="000F079D"/>
    <w:rsid w:val="000F09A1"/>
    <w:rsid w:val="000F0D9D"/>
    <w:rsid w:val="000F123C"/>
    <w:rsid w:val="000F13E3"/>
    <w:rsid w:val="000F1D56"/>
    <w:rsid w:val="000F247A"/>
    <w:rsid w:val="000F2534"/>
    <w:rsid w:val="000F275B"/>
    <w:rsid w:val="000F28D9"/>
    <w:rsid w:val="000F2D43"/>
    <w:rsid w:val="000F2F9A"/>
    <w:rsid w:val="000F3A9F"/>
    <w:rsid w:val="000F3AA0"/>
    <w:rsid w:val="000F4A0C"/>
    <w:rsid w:val="000F4AEB"/>
    <w:rsid w:val="000F4B40"/>
    <w:rsid w:val="000F4C3B"/>
    <w:rsid w:val="000F4E7B"/>
    <w:rsid w:val="000F56AE"/>
    <w:rsid w:val="000F57C3"/>
    <w:rsid w:val="000F58C0"/>
    <w:rsid w:val="000F59CF"/>
    <w:rsid w:val="000F5C37"/>
    <w:rsid w:val="000F5DF0"/>
    <w:rsid w:val="000F6A0B"/>
    <w:rsid w:val="000F7695"/>
    <w:rsid w:val="000F76DB"/>
    <w:rsid w:val="000F7714"/>
    <w:rsid w:val="001007F7"/>
    <w:rsid w:val="00100D1F"/>
    <w:rsid w:val="00100E87"/>
    <w:rsid w:val="001012E3"/>
    <w:rsid w:val="0010167C"/>
    <w:rsid w:val="00101EEB"/>
    <w:rsid w:val="00102A74"/>
    <w:rsid w:val="001036C1"/>
    <w:rsid w:val="0010375A"/>
    <w:rsid w:val="001038ED"/>
    <w:rsid w:val="00103A04"/>
    <w:rsid w:val="001042B0"/>
    <w:rsid w:val="001044BF"/>
    <w:rsid w:val="00104B0B"/>
    <w:rsid w:val="001058D5"/>
    <w:rsid w:val="00105D53"/>
    <w:rsid w:val="0010600F"/>
    <w:rsid w:val="00106F4F"/>
    <w:rsid w:val="001071D3"/>
    <w:rsid w:val="001075A8"/>
    <w:rsid w:val="00107EA0"/>
    <w:rsid w:val="00110151"/>
    <w:rsid w:val="00110259"/>
    <w:rsid w:val="00110AA9"/>
    <w:rsid w:val="001118E9"/>
    <w:rsid w:val="0011254D"/>
    <w:rsid w:val="0011360A"/>
    <w:rsid w:val="001139C2"/>
    <w:rsid w:val="00113F2D"/>
    <w:rsid w:val="00114559"/>
    <w:rsid w:val="00114766"/>
    <w:rsid w:val="00114B77"/>
    <w:rsid w:val="00114EA9"/>
    <w:rsid w:val="0011534B"/>
    <w:rsid w:val="001156EC"/>
    <w:rsid w:val="00115DCC"/>
    <w:rsid w:val="00115ED0"/>
    <w:rsid w:val="0011683C"/>
    <w:rsid w:val="00116E24"/>
    <w:rsid w:val="001178CD"/>
    <w:rsid w:val="001179E8"/>
    <w:rsid w:val="0012021B"/>
    <w:rsid w:val="0012038D"/>
    <w:rsid w:val="001213C9"/>
    <w:rsid w:val="00121802"/>
    <w:rsid w:val="0012216A"/>
    <w:rsid w:val="0012222D"/>
    <w:rsid w:val="0012347A"/>
    <w:rsid w:val="0012382F"/>
    <w:rsid w:val="00123BC8"/>
    <w:rsid w:val="00123D9C"/>
    <w:rsid w:val="001241F5"/>
    <w:rsid w:val="0012530E"/>
    <w:rsid w:val="001255E6"/>
    <w:rsid w:val="00126D60"/>
    <w:rsid w:val="00126DB5"/>
    <w:rsid w:val="00126E42"/>
    <w:rsid w:val="001270ED"/>
    <w:rsid w:val="00127DF2"/>
    <w:rsid w:val="0013053A"/>
    <w:rsid w:val="0013066A"/>
    <w:rsid w:val="00130EE3"/>
    <w:rsid w:val="00131164"/>
    <w:rsid w:val="001315EF"/>
    <w:rsid w:val="00131F39"/>
    <w:rsid w:val="00132375"/>
    <w:rsid w:val="00132E73"/>
    <w:rsid w:val="00133505"/>
    <w:rsid w:val="00133EE6"/>
    <w:rsid w:val="00134061"/>
    <w:rsid w:val="00134188"/>
    <w:rsid w:val="00135357"/>
    <w:rsid w:val="00135D73"/>
    <w:rsid w:val="00136179"/>
    <w:rsid w:val="001365DD"/>
    <w:rsid w:val="00136709"/>
    <w:rsid w:val="001368D5"/>
    <w:rsid w:val="00136CBF"/>
    <w:rsid w:val="00137403"/>
    <w:rsid w:val="001374B2"/>
    <w:rsid w:val="00140706"/>
    <w:rsid w:val="0014077B"/>
    <w:rsid w:val="0014122A"/>
    <w:rsid w:val="0014147A"/>
    <w:rsid w:val="00141AAF"/>
    <w:rsid w:val="00141E85"/>
    <w:rsid w:val="00142524"/>
    <w:rsid w:val="0014319C"/>
    <w:rsid w:val="001432FA"/>
    <w:rsid w:val="00143313"/>
    <w:rsid w:val="001436B3"/>
    <w:rsid w:val="00143976"/>
    <w:rsid w:val="00143DAC"/>
    <w:rsid w:val="00143FAF"/>
    <w:rsid w:val="0014414F"/>
    <w:rsid w:val="00144622"/>
    <w:rsid w:val="00144781"/>
    <w:rsid w:val="00144917"/>
    <w:rsid w:val="00144CBA"/>
    <w:rsid w:val="00144CE4"/>
    <w:rsid w:val="0014626F"/>
    <w:rsid w:val="00146361"/>
    <w:rsid w:val="00146FCA"/>
    <w:rsid w:val="00146FDF"/>
    <w:rsid w:val="0014702D"/>
    <w:rsid w:val="00147596"/>
    <w:rsid w:val="00150F9C"/>
    <w:rsid w:val="00151148"/>
    <w:rsid w:val="00151607"/>
    <w:rsid w:val="0015163D"/>
    <w:rsid w:val="00151AE1"/>
    <w:rsid w:val="00151CDF"/>
    <w:rsid w:val="00152718"/>
    <w:rsid w:val="00152C86"/>
    <w:rsid w:val="001530CF"/>
    <w:rsid w:val="00153532"/>
    <w:rsid w:val="00153CFF"/>
    <w:rsid w:val="00153F12"/>
    <w:rsid w:val="00154031"/>
    <w:rsid w:val="001543DB"/>
    <w:rsid w:val="0015527F"/>
    <w:rsid w:val="001553F6"/>
    <w:rsid w:val="00155473"/>
    <w:rsid w:val="00155DC2"/>
    <w:rsid w:val="00156C13"/>
    <w:rsid w:val="00156D90"/>
    <w:rsid w:val="00156E9F"/>
    <w:rsid w:val="00157162"/>
    <w:rsid w:val="00157A57"/>
    <w:rsid w:val="00157DB6"/>
    <w:rsid w:val="00157EC2"/>
    <w:rsid w:val="00160D01"/>
    <w:rsid w:val="0016240A"/>
    <w:rsid w:val="00162594"/>
    <w:rsid w:val="00162A68"/>
    <w:rsid w:val="00162E08"/>
    <w:rsid w:val="001633F1"/>
    <w:rsid w:val="001635B8"/>
    <w:rsid w:val="0016390B"/>
    <w:rsid w:val="00163D1D"/>
    <w:rsid w:val="00163E5E"/>
    <w:rsid w:val="0016531E"/>
    <w:rsid w:val="0016544E"/>
    <w:rsid w:val="001654AC"/>
    <w:rsid w:val="0016565C"/>
    <w:rsid w:val="00165AC2"/>
    <w:rsid w:val="00165DFE"/>
    <w:rsid w:val="00166314"/>
    <w:rsid w:val="00166746"/>
    <w:rsid w:val="00166CBE"/>
    <w:rsid w:val="00167537"/>
    <w:rsid w:val="00167590"/>
    <w:rsid w:val="00167918"/>
    <w:rsid w:val="00167C1E"/>
    <w:rsid w:val="001701E1"/>
    <w:rsid w:val="0017024A"/>
    <w:rsid w:val="0017035D"/>
    <w:rsid w:val="0017043B"/>
    <w:rsid w:val="001706A1"/>
    <w:rsid w:val="001706EE"/>
    <w:rsid w:val="0017085D"/>
    <w:rsid w:val="00170914"/>
    <w:rsid w:val="00170DF2"/>
    <w:rsid w:val="00170E77"/>
    <w:rsid w:val="00170F83"/>
    <w:rsid w:val="001710AC"/>
    <w:rsid w:val="00171E34"/>
    <w:rsid w:val="001724C2"/>
    <w:rsid w:val="00172FC0"/>
    <w:rsid w:val="00174841"/>
    <w:rsid w:val="00174D53"/>
    <w:rsid w:val="00174F10"/>
    <w:rsid w:val="001750BF"/>
    <w:rsid w:val="00175214"/>
    <w:rsid w:val="001761FD"/>
    <w:rsid w:val="00176C5F"/>
    <w:rsid w:val="00176E93"/>
    <w:rsid w:val="00177D61"/>
    <w:rsid w:val="00177F13"/>
    <w:rsid w:val="0018008C"/>
    <w:rsid w:val="00180125"/>
    <w:rsid w:val="00180553"/>
    <w:rsid w:val="001808CA"/>
    <w:rsid w:val="00180923"/>
    <w:rsid w:val="00180CE5"/>
    <w:rsid w:val="00180E1F"/>
    <w:rsid w:val="00181263"/>
    <w:rsid w:val="00181A4A"/>
    <w:rsid w:val="00181BAA"/>
    <w:rsid w:val="00181D2D"/>
    <w:rsid w:val="0018210A"/>
    <w:rsid w:val="00182DE0"/>
    <w:rsid w:val="0018386C"/>
    <w:rsid w:val="00184479"/>
    <w:rsid w:val="0018472C"/>
    <w:rsid w:val="00184838"/>
    <w:rsid w:val="00184B9D"/>
    <w:rsid w:val="00185755"/>
    <w:rsid w:val="00185831"/>
    <w:rsid w:val="00187398"/>
    <w:rsid w:val="001879CD"/>
    <w:rsid w:val="00187F73"/>
    <w:rsid w:val="00187FB0"/>
    <w:rsid w:val="001902E9"/>
    <w:rsid w:val="00190327"/>
    <w:rsid w:val="0019042F"/>
    <w:rsid w:val="00190A0A"/>
    <w:rsid w:val="0019234A"/>
    <w:rsid w:val="001926F2"/>
    <w:rsid w:val="00192751"/>
    <w:rsid w:val="0019332D"/>
    <w:rsid w:val="00193823"/>
    <w:rsid w:val="00193B8B"/>
    <w:rsid w:val="00193BCE"/>
    <w:rsid w:val="0019428B"/>
    <w:rsid w:val="00194B87"/>
    <w:rsid w:val="00194FC4"/>
    <w:rsid w:val="0019569A"/>
    <w:rsid w:val="00195962"/>
    <w:rsid w:val="00195DB6"/>
    <w:rsid w:val="00196D63"/>
    <w:rsid w:val="00196E85"/>
    <w:rsid w:val="00197533"/>
    <w:rsid w:val="00197542"/>
    <w:rsid w:val="001977E7"/>
    <w:rsid w:val="00197CBA"/>
    <w:rsid w:val="00197CCA"/>
    <w:rsid w:val="001A057C"/>
    <w:rsid w:val="001A0D8A"/>
    <w:rsid w:val="001A192D"/>
    <w:rsid w:val="001A2818"/>
    <w:rsid w:val="001A35D5"/>
    <w:rsid w:val="001A3D8A"/>
    <w:rsid w:val="001A481C"/>
    <w:rsid w:val="001A4E09"/>
    <w:rsid w:val="001A53FB"/>
    <w:rsid w:val="001A5ECF"/>
    <w:rsid w:val="001A652E"/>
    <w:rsid w:val="001A66AA"/>
    <w:rsid w:val="001A6B45"/>
    <w:rsid w:val="001A7C72"/>
    <w:rsid w:val="001B0254"/>
    <w:rsid w:val="001B0756"/>
    <w:rsid w:val="001B084B"/>
    <w:rsid w:val="001B0CEC"/>
    <w:rsid w:val="001B0FFC"/>
    <w:rsid w:val="001B105B"/>
    <w:rsid w:val="001B1CF2"/>
    <w:rsid w:val="001B2F8E"/>
    <w:rsid w:val="001B4388"/>
    <w:rsid w:val="001B463E"/>
    <w:rsid w:val="001B49E0"/>
    <w:rsid w:val="001B5377"/>
    <w:rsid w:val="001B645A"/>
    <w:rsid w:val="001B6553"/>
    <w:rsid w:val="001B661D"/>
    <w:rsid w:val="001B6647"/>
    <w:rsid w:val="001B6A47"/>
    <w:rsid w:val="001B6B0A"/>
    <w:rsid w:val="001B6C3C"/>
    <w:rsid w:val="001B6C64"/>
    <w:rsid w:val="001B74A6"/>
    <w:rsid w:val="001B7875"/>
    <w:rsid w:val="001B7F7F"/>
    <w:rsid w:val="001C0824"/>
    <w:rsid w:val="001C088B"/>
    <w:rsid w:val="001C0B83"/>
    <w:rsid w:val="001C0DCC"/>
    <w:rsid w:val="001C1119"/>
    <w:rsid w:val="001C122B"/>
    <w:rsid w:val="001C1510"/>
    <w:rsid w:val="001C1989"/>
    <w:rsid w:val="001C21AD"/>
    <w:rsid w:val="001C28FD"/>
    <w:rsid w:val="001C31CC"/>
    <w:rsid w:val="001C3349"/>
    <w:rsid w:val="001C40C3"/>
    <w:rsid w:val="001C4ABA"/>
    <w:rsid w:val="001C546B"/>
    <w:rsid w:val="001C5EA2"/>
    <w:rsid w:val="001C6105"/>
    <w:rsid w:val="001C6608"/>
    <w:rsid w:val="001C6625"/>
    <w:rsid w:val="001C6C7D"/>
    <w:rsid w:val="001C6E27"/>
    <w:rsid w:val="001C73F5"/>
    <w:rsid w:val="001D1312"/>
    <w:rsid w:val="001D1CB1"/>
    <w:rsid w:val="001D1F84"/>
    <w:rsid w:val="001D26B9"/>
    <w:rsid w:val="001D2707"/>
    <w:rsid w:val="001D278E"/>
    <w:rsid w:val="001D2AC0"/>
    <w:rsid w:val="001D2DBA"/>
    <w:rsid w:val="001D2FD0"/>
    <w:rsid w:val="001D3100"/>
    <w:rsid w:val="001D3830"/>
    <w:rsid w:val="001D3AFB"/>
    <w:rsid w:val="001D3BA6"/>
    <w:rsid w:val="001D4430"/>
    <w:rsid w:val="001D48CF"/>
    <w:rsid w:val="001D5564"/>
    <w:rsid w:val="001D5A7F"/>
    <w:rsid w:val="001D60EC"/>
    <w:rsid w:val="001D69F3"/>
    <w:rsid w:val="001D6A7D"/>
    <w:rsid w:val="001D6FAA"/>
    <w:rsid w:val="001D70FA"/>
    <w:rsid w:val="001D7BA9"/>
    <w:rsid w:val="001E039D"/>
    <w:rsid w:val="001E0562"/>
    <w:rsid w:val="001E0F3E"/>
    <w:rsid w:val="001E0F8C"/>
    <w:rsid w:val="001E22E7"/>
    <w:rsid w:val="001E2492"/>
    <w:rsid w:val="001E2714"/>
    <w:rsid w:val="001E2CE8"/>
    <w:rsid w:val="001E3623"/>
    <w:rsid w:val="001E398C"/>
    <w:rsid w:val="001E4456"/>
    <w:rsid w:val="001E487D"/>
    <w:rsid w:val="001E4999"/>
    <w:rsid w:val="001E4DDC"/>
    <w:rsid w:val="001E5D18"/>
    <w:rsid w:val="001E6663"/>
    <w:rsid w:val="001E6EC9"/>
    <w:rsid w:val="001E774F"/>
    <w:rsid w:val="001E7C1D"/>
    <w:rsid w:val="001F0503"/>
    <w:rsid w:val="001F073F"/>
    <w:rsid w:val="001F0C4C"/>
    <w:rsid w:val="001F0E40"/>
    <w:rsid w:val="001F1581"/>
    <w:rsid w:val="001F1DB1"/>
    <w:rsid w:val="001F1E98"/>
    <w:rsid w:val="001F21CA"/>
    <w:rsid w:val="001F3009"/>
    <w:rsid w:val="001F3358"/>
    <w:rsid w:val="001F35CB"/>
    <w:rsid w:val="001F390F"/>
    <w:rsid w:val="001F4C6B"/>
    <w:rsid w:val="001F5CD1"/>
    <w:rsid w:val="001F5EB4"/>
    <w:rsid w:val="001F6ACB"/>
    <w:rsid w:val="001F6BC6"/>
    <w:rsid w:val="001F6E0E"/>
    <w:rsid w:val="001F7257"/>
    <w:rsid w:val="001F7739"/>
    <w:rsid w:val="001F77FF"/>
    <w:rsid w:val="001F7E1E"/>
    <w:rsid w:val="0020011B"/>
    <w:rsid w:val="0020187E"/>
    <w:rsid w:val="00201DC6"/>
    <w:rsid w:val="00202375"/>
    <w:rsid w:val="002025EA"/>
    <w:rsid w:val="00202884"/>
    <w:rsid w:val="00202E44"/>
    <w:rsid w:val="00203305"/>
    <w:rsid w:val="00203556"/>
    <w:rsid w:val="00204559"/>
    <w:rsid w:val="0020491D"/>
    <w:rsid w:val="00204D0F"/>
    <w:rsid w:val="00204DB6"/>
    <w:rsid w:val="00205645"/>
    <w:rsid w:val="002056ED"/>
    <w:rsid w:val="00205C3A"/>
    <w:rsid w:val="00206188"/>
    <w:rsid w:val="0020653A"/>
    <w:rsid w:val="00207867"/>
    <w:rsid w:val="0021086F"/>
    <w:rsid w:val="0021102B"/>
    <w:rsid w:val="0021166F"/>
    <w:rsid w:val="00211793"/>
    <w:rsid w:val="00211C11"/>
    <w:rsid w:val="00211E39"/>
    <w:rsid w:val="00212345"/>
    <w:rsid w:val="00212F49"/>
    <w:rsid w:val="00214809"/>
    <w:rsid w:val="002149A1"/>
    <w:rsid w:val="00214E7A"/>
    <w:rsid w:val="00214ECC"/>
    <w:rsid w:val="00215BFE"/>
    <w:rsid w:val="00215C44"/>
    <w:rsid w:val="00215E43"/>
    <w:rsid w:val="00216846"/>
    <w:rsid w:val="00216E73"/>
    <w:rsid w:val="00217050"/>
    <w:rsid w:val="0021774C"/>
    <w:rsid w:val="00217FF6"/>
    <w:rsid w:val="00220DDD"/>
    <w:rsid w:val="002220B2"/>
    <w:rsid w:val="002222C2"/>
    <w:rsid w:val="00222386"/>
    <w:rsid w:val="00222F51"/>
    <w:rsid w:val="002230E1"/>
    <w:rsid w:val="0022311E"/>
    <w:rsid w:val="00223361"/>
    <w:rsid w:val="00224169"/>
    <w:rsid w:val="00224282"/>
    <w:rsid w:val="002244BA"/>
    <w:rsid w:val="002247AA"/>
    <w:rsid w:val="00224DA7"/>
    <w:rsid w:val="002261CB"/>
    <w:rsid w:val="002262F8"/>
    <w:rsid w:val="002268BF"/>
    <w:rsid w:val="002268C4"/>
    <w:rsid w:val="00227BDE"/>
    <w:rsid w:val="00230045"/>
    <w:rsid w:val="0023014E"/>
    <w:rsid w:val="002308FA"/>
    <w:rsid w:val="00230E67"/>
    <w:rsid w:val="00231128"/>
    <w:rsid w:val="0023132F"/>
    <w:rsid w:val="00231AA5"/>
    <w:rsid w:val="0023228A"/>
    <w:rsid w:val="00232869"/>
    <w:rsid w:val="00232915"/>
    <w:rsid w:val="00232C0D"/>
    <w:rsid w:val="00232F90"/>
    <w:rsid w:val="0023339B"/>
    <w:rsid w:val="00233FE1"/>
    <w:rsid w:val="00234357"/>
    <w:rsid w:val="0023469C"/>
    <w:rsid w:val="002348E4"/>
    <w:rsid w:val="00234C6C"/>
    <w:rsid w:val="00234C71"/>
    <w:rsid w:val="002352E4"/>
    <w:rsid w:val="00235511"/>
    <w:rsid w:val="00235BBC"/>
    <w:rsid w:val="00235D3E"/>
    <w:rsid w:val="00235E04"/>
    <w:rsid w:val="002366E0"/>
    <w:rsid w:val="00236DE1"/>
    <w:rsid w:val="002372EE"/>
    <w:rsid w:val="002372FD"/>
    <w:rsid w:val="0023764D"/>
    <w:rsid w:val="002377FC"/>
    <w:rsid w:val="00237C40"/>
    <w:rsid w:val="002402A7"/>
    <w:rsid w:val="00240C59"/>
    <w:rsid w:val="0024152E"/>
    <w:rsid w:val="002415BC"/>
    <w:rsid w:val="00242BC3"/>
    <w:rsid w:val="002434B2"/>
    <w:rsid w:val="002442F4"/>
    <w:rsid w:val="002444F6"/>
    <w:rsid w:val="002445EA"/>
    <w:rsid w:val="002447A1"/>
    <w:rsid w:val="00244B6E"/>
    <w:rsid w:val="00244D72"/>
    <w:rsid w:val="00244ECE"/>
    <w:rsid w:val="00244FC5"/>
    <w:rsid w:val="00245955"/>
    <w:rsid w:val="00245D1D"/>
    <w:rsid w:val="00246CBB"/>
    <w:rsid w:val="00246DE2"/>
    <w:rsid w:val="002478BF"/>
    <w:rsid w:val="00250493"/>
    <w:rsid w:val="00250655"/>
    <w:rsid w:val="00250EB5"/>
    <w:rsid w:val="00250EDA"/>
    <w:rsid w:val="00251502"/>
    <w:rsid w:val="002518E8"/>
    <w:rsid w:val="00251C10"/>
    <w:rsid w:val="00252212"/>
    <w:rsid w:val="002524B1"/>
    <w:rsid w:val="00252E1E"/>
    <w:rsid w:val="00252F47"/>
    <w:rsid w:val="002533DE"/>
    <w:rsid w:val="002538BA"/>
    <w:rsid w:val="00253992"/>
    <w:rsid w:val="0025469D"/>
    <w:rsid w:val="002552B1"/>
    <w:rsid w:val="00255777"/>
    <w:rsid w:val="00255D01"/>
    <w:rsid w:val="00256E55"/>
    <w:rsid w:val="00256F62"/>
    <w:rsid w:val="00257A86"/>
    <w:rsid w:val="00257A9A"/>
    <w:rsid w:val="00257E0E"/>
    <w:rsid w:val="00257EAC"/>
    <w:rsid w:val="00257FF4"/>
    <w:rsid w:val="0026073C"/>
    <w:rsid w:val="002607F9"/>
    <w:rsid w:val="0026084C"/>
    <w:rsid w:val="00260E9B"/>
    <w:rsid w:val="00260FCB"/>
    <w:rsid w:val="002613B2"/>
    <w:rsid w:val="002615F5"/>
    <w:rsid w:val="002616B9"/>
    <w:rsid w:val="00261F9A"/>
    <w:rsid w:val="0026217B"/>
    <w:rsid w:val="002629E4"/>
    <w:rsid w:val="00263540"/>
    <w:rsid w:val="0026368C"/>
    <w:rsid w:val="00263FE3"/>
    <w:rsid w:val="00264725"/>
    <w:rsid w:val="00265593"/>
    <w:rsid w:val="002659E2"/>
    <w:rsid w:val="0026600C"/>
    <w:rsid w:val="00267004"/>
    <w:rsid w:val="002675EA"/>
    <w:rsid w:val="00267730"/>
    <w:rsid w:val="00267BC5"/>
    <w:rsid w:val="00267CBE"/>
    <w:rsid w:val="00267E0B"/>
    <w:rsid w:val="00270301"/>
    <w:rsid w:val="00270680"/>
    <w:rsid w:val="00270BD9"/>
    <w:rsid w:val="00271103"/>
    <w:rsid w:val="002721FA"/>
    <w:rsid w:val="0027230C"/>
    <w:rsid w:val="00272B99"/>
    <w:rsid w:val="0027380D"/>
    <w:rsid w:val="00273DBD"/>
    <w:rsid w:val="0027468E"/>
    <w:rsid w:val="00274826"/>
    <w:rsid w:val="00275005"/>
    <w:rsid w:val="002752AB"/>
    <w:rsid w:val="002756D6"/>
    <w:rsid w:val="0027573C"/>
    <w:rsid w:val="0027610C"/>
    <w:rsid w:val="002769FB"/>
    <w:rsid w:val="00276B25"/>
    <w:rsid w:val="002778D4"/>
    <w:rsid w:val="00280049"/>
    <w:rsid w:val="002815D0"/>
    <w:rsid w:val="00281676"/>
    <w:rsid w:val="0028189E"/>
    <w:rsid w:val="002820A7"/>
    <w:rsid w:val="002823AC"/>
    <w:rsid w:val="002830C1"/>
    <w:rsid w:val="0028322E"/>
    <w:rsid w:val="0028391C"/>
    <w:rsid w:val="00283B20"/>
    <w:rsid w:val="00283B82"/>
    <w:rsid w:val="00283E13"/>
    <w:rsid w:val="00283F97"/>
    <w:rsid w:val="002849AB"/>
    <w:rsid w:val="00285081"/>
    <w:rsid w:val="002852B6"/>
    <w:rsid w:val="002859D7"/>
    <w:rsid w:val="00286478"/>
    <w:rsid w:val="00286707"/>
    <w:rsid w:val="002867F4"/>
    <w:rsid w:val="00287BD7"/>
    <w:rsid w:val="00287EDD"/>
    <w:rsid w:val="00290745"/>
    <w:rsid w:val="0029121A"/>
    <w:rsid w:val="0029141B"/>
    <w:rsid w:val="00291FDA"/>
    <w:rsid w:val="002921BA"/>
    <w:rsid w:val="0029272B"/>
    <w:rsid w:val="002927D3"/>
    <w:rsid w:val="00292836"/>
    <w:rsid w:val="002937FA"/>
    <w:rsid w:val="00294AD5"/>
    <w:rsid w:val="00294BDE"/>
    <w:rsid w:val="002958D9"/>
    <w:rsid w:val="00295B1F"/>
    <w:rsid w:val="00295DB6"/>
    <w:rsid w:val="00295E9B"/>
    <w:rsid w:val="00296A9B"/>
    <w:rsid w:val="00296FA5"/>
    <w:rsid w:val="0029723D"/>
    <w:rsid w:val="0029788B"/>
    <w:rsid w:val="00297D1B"/>
    <w:rsid w:val="00297F4D"/>
    <w:rsid w:val="002A0226"/>
    <w:rsid w:val="002A05B2"/>
    <w:rsid w:val="002A0661"/>
    <w:rsid w:val="002A082B"/>
    <w:rsid w:val="002A1CF2"/>
    <w:rsid w:val="002A2214"/>
    <w:rsid w:val="002A257B"/>
    <w:rsid w:val="002A26AA"/>
    <w:rsid w:val="002A2761"/>
    <w:rsid w:val="002A2ED0"/>
    <w:rsid w:val="002A3A84"/>
    <w:rsid w:val="002A4497"/>
    <w:rsid w:val="002A4C3E"/>
    <w:rsid w:val="002A52C7"/>
    <w:rsid w:val="002A56BC"/>
    <w:rsid w:val="002A5C53"/>
    <w:rsid w:val="002A68E5"/>
    <w:rsid w:val="002A6AD6"/>
    <w:rsid w:val="002A721B"/>
    <w:rsid w:val="002A72CC"/>
    <w:rsid w:val="002A764F"/>
    <w:rsid w:val="002A76AB"/>
    <w:rsid w:val="002A7713"/>
    <w:rsid w:val="002A7A4F"/>
    <w:rsid w:val="002A7AFE"/>
    <w:rsid w:val="002B0090"/>
    <w:rsid w:val="002B01DB"/>
    <w:rsid w:val="002B03E2"/>
    <w:rsid w:val="002B0664"/>
    <w:rsid w:val="002B09C0"/>
    <w:rsid w:val="002B0A0B"/>
    <w:rsid w:val="002B13B3"/>
    <w:rsid w:val="002B1697"/>
    <w:rsid w:val="002B17A8"/>
    <w:rsid w:val="002B183D"/>
    <w:rsid w:val="002B18C0"/>
    <w:rsid w:val="002B1CA1"/>
    <w:rsid w:val="002B1DBF"/>
    <w:rsid w:val="002B207F"/>
    <w:rsid w:val="002B2A48"/>
    <w:rsid w:val="002B2BEE"/>
    <w:rsid w:val="002B31AD"/>
    <w:rsid w:val="002B333C"/>
    <w:rsid w:val="002B3B48"/>
    <w:rsid w:val="002B3EA7"/>
    <w:rsid w:val="002B47A7"/>
    <w:rsid w:val="002B4BAE"/>
    <w:rsid w:val="002B51A5"/>
    <w:rsid w:val="002B538B"/>
    <w:rsid w:val="002B581B"/>
    <w:rsid w:val="002B67BA"/>
    <w:rsid w:val="002B6824"/>
    <w:rsid w:val="002B7D7C"/>
    <w:rsid w:val="002C0961"/>
    <w:rsid w:val="002C0D9C"/>
    <w:rsid w:val="002C0E82"/>
    <w:rsid w:val="002C1B08"/>
    <w:rsid w:val="002C1B4A"/>
    <w:rsid w:val="002C1F05"/>
    <w:rsid w:val="002C2892"/>
    <w:rsid w:val="002C335F"/>
    <w:rsid w:val="002C41F8"/>
    <w:rsid w:val="002C4EDA"/>
    <w:rsid w:val="002C58AB"/>
    <w:rsid w:val="002C6115"/>
    <w:rsid w:val="002C69A0"/>
    <w:rsid w:val="002C6D84"/>
    <w:rsid w:val="002C7A4E"/>
    <w:rsid w:val="002C7D21"/>
    <w:rsid w:val="002D07BB"/>
    <w:rsid w:val="002D1305"/>
    <w:rsid w:val="002D149F"/>
    <w:rsid w:val="002D1564"/>
    <w:rsid w:val="002D1C4C"/>
    <w:rsid w:val="002D1CA4"/>
    <w:rsid w:val="002D2579"/>
    <w:rsid w:val="002D2784"/>
    <w:rsid w:val="002D2C09"/>
    <w:rsid w:val="002D2C45"/>
    <w:rsid w:val="002D3AA5"/>
    <w:rsid w:val="002D4969"/>
    <w:rsid w:val="002D4B90"/>
    <w:rsid w:val="002D4EE1"/>
    <w:rsid w:val="002D4F49"/>
    <w:rsid w:val="002D66BD"/>
    <w:rsid w:val="002D778E"/>
    <w:rsid w:val="002E04D7"/>
    <w:rsid w:val="002E05BD"/>
    <w:rsid w:val="002E06DD"/>
    <w:rsid w:val="002E171A"/>
    <w:rsid w:val="002E2A24"/>
    <w:rsid w:val="002E2A81"/>
    <w:rsid w:val="002E2F4D"/>
    <w:rsid w:val="002E2FDB"/>
    <w:rsid w:val="002E351A"/>
    <w:rsid w:val="002E3D66"/>
    <w:rsid w:val="002E3F11"/>
    <w:rsid w:val="002E42C8"/>
    <w:rsid w:val="002E4945"/>
    <w:rsid w:val="002E4B11"/>
    <w:rsid w:val="002E4C0B"/>
    <w:rsid w:val="002E4F70"/>
    <w:rsid w:val="002E544F"/>
    <w:rsid w:val="002E5886"/>
    <w:rsid w:val="002E5AD3"/>
    <w:rsid w:val="002E635D"/>
    <w:rsid w:val="002E6545"/>
    <w:rsid w:val="002E6940"/>
    <w:rsid w:val="002E7562"/>
    <w:rsid w:val="002E795D"/>
    <w:rsid w:val="002F0698"/>
    <w:rsid w:val="002F071F"/>
    <w:rsid w:val="002F08FB"/>
    <w:rsid w:val="002F14AD"/>
    <w:rsid w:val="002F14FC"/>
    <w:rsid w:val="002F16D5"/>
    <w:rsid w:val="002F1783"/>
    <w:rsid w:val="002F1A90"/>
    <w:rsid w:val="002F1C2F"/>
    <w:rsid w:val="002F21E4"/>
    <w:rsid w:val="002F385E"/>
    <w:rsid w:val="002F3D1C"/>
    <w:rsid w:val="002F416E"/>
    <w:rsid w:val="002F47F3"/>
    <w:rsid w:val="002F4A09"/>
    <w:rsid w:val="002F4EA1"/>
    <w:rsid w:val="002F52DE"/>
    <w:rsid w:val="002F55C1"/>
    <w:rsid w:val="002F6956"/>
    <w:rsid w:val="002F6BC7"/>
    <w:rsid w:val="002F6E52"/>
    <w:rsid w:val="002F73AA"/>
    <w:rsid w:val="002F762A"/>
    <w:rsid w:val="002F797A"/>
    <w:rsid w:val="00300483"/>
    <w:rsid w:val="003004A7"/>
    <w:rsid w:val="00300CA1"/>
    <w:rsid w:val="00301C91"/>
    <w:rsid w:val="00301D5F"/>
    <w:rsid w:val="003020CF"/>
    <w:rsid w:val="00302B08"/>
    <w:rsid w:val="00303ECA"/>
    <w:rsid w:val="00303F2B"/>
    <w:rsid w:val="00303F70"/>
    <w:rsid w:val="00304607"/>
    <w:rsid w:val="0030467A"/>
    <w:rsid w:val="00304C01"/>
    <w:rsid w:val="00304D4E"/>
    <w:rsid w:val="00304FFD"/>
    <w:rsid w:val="00305608"/>
    <w:rsid w:val="00305B72"/>
    <w:rsid w:val="00305F1F"/>
    <w:rsid w:val="0030610A"/>
    <w:rsid w:val="0030626A"/>
    <w:rsid w:val="00306627"/>
    <w:rsid w:val="003069DD"/>
    <w:rsid w:val="00306CAB"/>
    <w:rsid w:val="00310B26"/>
    <w:rsid w:val="0031146F"/>
    <w:rsid w:val="00311795"/>
    <w:rsid w:val="003117B1"/>
    <w:rsid w:val="00311B70"/>
    <w:rsid w:val="00311CBE"/>
    <w:rsid w:val="00311E3F"/>
    <w:rsid w:val="00312280"/>
    <w:rsid w:val="003123D6"/>
    <w:rsid w:val="00312CD0"/>
    <w:rsid w:val="0031398F"/>
    <w:rsid w:val="00313D9D"/>
    <w:rsid w:val="0031449F"/>
    <w:rsid w:val="003145A5"/>
    <w:rsid w:val="003148B9"/>
    <w:rsid w:val="0031495D"/>
    <w:rsid w:val="00314A2E"/>
    <w:rsid w:val="00314AF6"/>
    <w:rsid w:val="00315266"/>
    <w:rsid w:val="00315459"/>
    <w:rsid w:val="003166C3"/>
    <w:rsid w:val="003167EF"/>
    <w:rsid w:val="0031693B"/>
    <w:rsid w:val="003169CE"/>
    <w:rsid w:val="00316F0A"/>
    <w:rsid w:val="003177D0"/>
    <w:rsid w:val="00317A78"/>
    <w:rsid w:val="00317B34"/>
    <w:rsid w:val="00317DC7"/>
    <w:rsid w:val="003200F9"/>
    <w:rsid w:val="00320F38"/>
    <w:rsid w:val="00321183"/>
    <w:rsid w:val="00321643"/>
    <w:rsid w:val="00321694"/>
    <w:rsid w:val="0032198A"/>
    <w:rsid w:val="00321F0A"/>
    <w:rsid w:val="003223CE"/>
    <w:rsid w:val="00322A2D"/>
    <w:rsid w:val="00322E80"/>
    <w:rsid w:val="0032319A"/>
    <w:rsid w:val="00323617"/>
    <w:rsid w:val="00323CDC"/>
    <w:rsid w:val="0032405F"/>
    <w:rsid w:val="0032468B"/>
    <w:rsid w:val="003247F3"/>
    <w:rsid w:val="00324D5B"/>
    <w:rsid w:val="00325045"/>
    <w:rsid w:val="00325B38"/>
    <w:rsid w:val="00325D91"/>
    <w:rsid w:val="003267B4"/>
    <w:rsid w:val="003278E7"/>
    <w:rsid w:val="003278E9"/>
    <w:rsid w:val="00327B20"/>
    <w:rsid w:val="00331193"/>
    <w:rsid w:val="003321A8"/>
    <w:rsid w:val="0033247F"/>
    <w:rsid w:val="00332B1C"/>
    <w:rsid w:val="003333D4"/>
    <w:rsid w:val="003346BF"/>
    <w:rsid w:val="00334951"/>
    <w:rsid w:val="00336411"/>
    <w:rsid w:val="00336774"/>
    <w:rsid w:val="0033678D"/>
    <w:rsid w:val="003369BF"/>
    <w:rsid w:val="00336A54"/>
    <w:rsid w:val="0033720D"/>
    <w:rsid w:val="003373E8"/>
    <w:rsid w:val="003402EB"/>
    <w:rsid w:val="00340EC4"/>
    <w:rsid w:val="00342B2B"/>
    <w:rsid w:val="00342D8B"/>
    <w:rsid w:val="00343A33"/>
    <w:rsid w:val="00344279"/>
    <w:rsid w:val="003443DD"/>
    <w:rsid w:val="00344730"/>
    <w:rsid w:val="00344D5A"/>
    <w:rsid w:val="00345703"/>
    <w:rsid w:val="00345978"/>
    <w:rsid w:val="00345E1D"/>
    <w:rsid w:val="0034634F"/>
    <w:rsid w:val="00346D3B"/>
    <w:rsid w:val="00346EB6"/>
    <w:rsid w:val="00346FF2"/>
    <w:rsid w:val="00347EDB"/>
    <w:rsid w:val="00350314"/>
    <w:rsid w:val="003505C0"/>
    <w:rsid w:val="00350797"/>
    <w:rsid w:val="0035100A"/>
    <w:rsid w:val="00351088"/>
    <w:rsid w:val="0035189C"/>
    <w:rsid w:val="00351A85"/>
    <w:rsid w:val="00351DCC"/>
    <w:rsid w:val="00351E21"/>
    <w:rsid w:val="003522E8"/>
    <w:rsid w:val="0035234D"/>
    <w:rsid w:val="00353989"/>
    <w:rsid w:val="003539A4"/>
    <w:rsid w:val="00353B50"/>
    <w:rsid w:val="0035421F"/>
    <w:rsid w:val="0035494D"/>
    <w:rsid w:val="00354A52"/>
    <w:rsid w:val="00354C1D"/>
    <w:rsid w:val="003554A0"/>
    <w:rsid w:val="00355688"/>
    <w:rsid w:val="00355B7A"/>
    <w:rsid w:val="0035617C"/>
    <w:rsid w:val="00356313"/>
    <w:rsid w:val="00356A82"/>
    <w:rsid w:val="00356E7E"/>
    <w:rsid w:val="00356EB8"/>
    <w:rsid w:val="00357718"/>
    <w:rsid w:val="00357B83"/>
    <w:rsid w:val="003614A8"/>
    <w:rsid w:val="0036155C"/>
    <w:rsid w:val="0036160E"/>
    <w:rsid w:val="00362072"/>
    <w:rsid w:val="003620D5"/>
    <w:rsid w:val="00362610"/>
    <w:rsid w:val="0036279E"/>
    <w:rsid w:val="00363830"/>
    <w:rsid w:val="00363D2D"/>
    <w:rsid w:val="00363EBE"/>
    <w:rsid w:val="0036436C"/>
    <w:rsid w:val="00364BB6"/>
    <w:rsid w:val="00364D6B"/>
    <w:rsid w:val="00365408"/>
    <w:rsid w:val="00365444"/>
    <w:rsid w:val="0036575E"/>
    <w:rsid w:val="00365CC0"/>
    <w:rsid w:val="00366323"/>
    <w:rsid w:val="003664C8"/>
    <w:rsid w:val="003668DF"/>
    <w:rsid w:val="00367688"/>
    <w:rsid w:val="003713F3"/>
    <w:rsid w:val="00371A5D"/>
    <w:rsid w:val="00372221"/>
    <w:rsid w:val="00372885"/>
    <w:rsid w:val="003729AF"/>
    <w:rsid w:val="00372CF2"/>
    <w:rsid w:val="00372EFD"/>
    <w:rsid w:val="003730B0"/>
    <w:rsid w:val="003731AA"/>
    <w:rsid w:val="00374975"/>
    <w:rsid w:val="00374BD1"/>
    <w:rsid w:val="00374C7E"/>
    <w:rsid w:val="00374C86"/>
    <w:rsid w:val="00375D33"/>
    <w:rsid w:val="00375FCF"/>
    <w:rsid w:val="003765B3"/>
    <w:rsid w:val="003771C1"/>
    <w:rsid w:val="00377353"/>
    <w:rsid w:val="0037736B"/>
    <w:rsid w:val="00377B69"/>
    <w:rsid w:val="00381F57"/>
    <w:rsid w:val="0038216E"/>
    <w:rsid w:val="003822E5"/>
    <w:rsid w:val="00382541"/>
    <w:rsid w:val="0038287F"/>
    <w:rsid w:val="003830B8"/>
    <w:rsid w:val="00383262"/>
    <w:rsid w:val="003839D8"/>
    <w:rsid w:val="003850A1"/>
    <w:rsid w:val="003850AF"/>
    <w:rsid w:val="0038568F"/>
    <w:rsid w:val="00385C00"/>
    <w:rsid w:val="00385C09"/>
    <w:rsid w:val="00387699"/>
    <w:rsid w:val="0038792D"/>
    <w:rsid w:val="00390C31"/>
    <w:rsid w:val="003916ED"/>
    <w:rsid w:val="003916FA"/>
    <w:rsid w:val="003917AA"/>
    <w:rsid w:val="00393649"/>
    <w:rsid w:val="00393DD5"/>
    <w:rsid w:val="0039449A"/>
    <w:rsid w:val="003949BB"/>
    <w:rsid w:val="00395650"/>
    <w:rsid w:val="003969C5"/>
    <w:rsid w:val="00396B23"/>
    <w:rsid w:val="00396EAF"/>
    <w:rsid w:val="003978F0"/>
    <w:rsid w:val="003A051A"/>
    <w:rsid w:val="003A09CA"/>
    <w:rsid w:val="003A157A"/>
    <w:rsid w:val="003A21D3"/>
    <w:rsid w:val="003A283F"/>
    <w:rsid w:val="003A29B5"/>
    <w:rsid w:val="003A2A16"/>
    <w:rsid w:val="003A2FDD"/>
    <w:rsid w:val="003A3895"/>
    <w:rsid w:val="003A3C43"/>
    <w:rsid w:val="003A4386"/>
    <w:rsid w:val="003A4E07"/>
    <w:rsid w:val="003A58FD"/>
    <w:rsid w:val="003A5CCC"/>
    <w:rsid w:val="003A70FF"/>
    <w:rsid w:val="003A73AA"/>
    <w:rsid w:val="003A7429"/>
    <w:rsid w:val="003A74D2"/>
    <w:rsid w:val="003A756B"/>
    <w:rsid w:val="003A7902"/>
    <w:rsid w:val="003B23D7"/>
    <w:rsid w:val="003B34CB"/>
    <w:rsid w:val="003B34CE"/>
    <w:rsid w:val="003B38C4"/>
    <w:rsid w:val="003B3AB4"/>
    <w:rsid w:val="003B3C1C"/>
    <w:rsid w:val="003B3CA8"/>
    <w:rsid w:val="003B45D5"/>
    <w:rsid w:val="003B4678"/>
    <w:rsid w:val="003B5016"/>
    <w:rsid w:val="003B52FE"/>
    <w:rsid w:val="003B572A"/>
    <w:rsid w:val="003B5D2A"/>
    <w:rsid w:val="003B6325"/>
    <w:rsid w:val="003B71E0"/>
    <w:rsid w:val="003B766D"/>
    <w:rsid w:val="003B78A4"/>
    <w:rsid w:val="003B7B21"/>
    <w:rsid w:val="003B7CDB"/>
    <w:rsid w:val="003C1076"/>
    <w:rsid w:val="003C126A"/>
    <w:rsid w:val="003C144E"/>
    <w:rsid w:val="003C1A07"/>
    <w:rsid w:val="003C1E74"/>
    <w:rsid w:val="003C20A2"/>
    <w:rsid w:val="003C25DC"/>
    <w:rsid w:val="003C2673"/>
    <w:rsid w:val="003C27A2"/>
    <w:rsid w:val="003C2929"/>
    <w:rsid w:val="003C3002"/>
    <w:rsid w:val="003C4B08"/>
    <w:rsid w:val="003C567C"/>
    <w:rsid w:val="003C59B8"/>
    <w:rsid w:val="003C5AE4"/>
    <w:rsid w:val="003C60C1"/>
    <w:rsid w:val="003C6774"/>
    <w:rsid w:val="003C6809"/>
    <w:rsid w:val="003C7897"/>
    <w:rsid w:val="003C7ABB"/>
    <w:rsid w:val="003D003E"/>
    <w:rsid w:val="003D045B"/>
    <w:rsid w:val="003D0937"/>
    <w:rsid w:val="003D0F4E"/>
    <w:rsid w:val="003D13AC"/>
    <w:rsid w:val="003D173F"/>
    <w:rsid w:val="003D17E6"/>
    <w:rsid w:val="003D1A20"/>
    <w:rsid w:val="003D1AC9"/>
    <w:rsid w:val="003D1BD0"/>
    <w:rsid w:val="003D2141"/>
    <w:rsid w:val="003D2AC9"/>
    <w:rsid w:val="003D2CD8"/>
    <w:rsid w:val="003D3724"/>
    <w:rsid w:val="003D46A7"/>
    <w:rsid w:val="003D4FC6"/>
    <w:rsid w:val="003D534A"/>
    <w:rsid w:val="003D6376"/>
    <w:rsid w:val="003D652A"/>
    <w:rsid w:val="003D785C"/>
    <w:rsid w:val="003D7AB3"/>
    <w:rsid w:val="003D7E63"/>
    <w:rsid w:val="003E0534"/>
    <w:rsid w:val="003E0B58"/>
    <w:rsid w:val="003E0DB1"/>
    <w:rsid w:val="003E0E89"/>
    <w:rsid w:val="003E1235"/>
    <w:rsid w:val="003E1D06"/>
    <w:rsid w:val="003E255B"/>
    <w:rsid w:val="003E2A35"/>
    <w:rsid w:val="003E2B56"/>
    <w:rsid w:val="003E2CE1"/>
    <w:rsid w:val="003E2DCB"/>
    <w:rsid w:val="003E4179"/>
    <w:rsid w:val="003E4501"/>
    <w:rsid w:val="003E4C3F"/>
    <w:rsid w:val="003E4C62"/>
    <w:rsid w:val="003E4D69"/>
    <w:rsid w:val="003E4D7C"/>
    <w:rsid w:val="003E55C4"/>
    <w:rsid w:val="003E55C6"/>
    <w:rsid w:val="003E5A59"/>
    <w:rsid w:val="003E5D25"/>
    <w:rsid w:val="003E5E81"/>
    <w:rsid w:val="003E5FA8"/>
    <w:rsid w:val="003E6252"/>
    <w:rsid w:val="003E65B1"/>
    <w:rsid w:val="003E7277"/>
    <w:rsid w:val="003E77FD"/>
    <w:rsid w:val="003F051D"/>
    <w:rsid w:val="003F0B28"/>
    <w:rsid w:val="003F0DD8"/>
    <w:rsid w:val="003F1200"/>
    <w:rsid w:val="003F1421"/>
    <w:rsid w:val="003F1844"/>
    <w:rsid w:val="003F241E"/>
    <w:rsid w:val="003F28C0"/>
    <w:rsid w:val="003F290E"/>
    <w:rsid w:val="003F2926"/>
    <w:rsid w:val="003F2D45"/>
    <w:rsid w:val="003F2EE2"/>
    <w:rsid w:val="003F2F2C"/>
    <w:rsid w:val="003F307A"/>
    <w:rsid w:val="003F3E57"/>
    <w:rsid w:val="003F4951"/>
    <w:rsid w:val="003F4D16"/>
    <w:rsid w:val="003F4F73"/>
    <w:rsid w:val="003F52B2"/>
    <w:rsid w:val="003F5340"/>
    <w:rsid w:val="003F53A7"/>
    <w:rsid w:val="003F553D"/>
    <w:rsid w:val="003F6648"/>
    <w:rsid w:val="003F716E"/>
    <w:rsid w:val="00400061"/>
    <w:rsid w:val="0040068A"/>
    <w:rsid w:val="0040070D"/>
    <w:rsid w:val="00400813"/>
    <w:rsid w:val="00400958"/>
    <w:rsid w:val="00400F44"/>
    <w:rsid w:val="004013AD"/>
    <w:rsid w:val="00402215"/>
    <w:rsid w:val="00402C35"/>
    <w:rsid w:val="00402EDE"/>
    <w:rsid w:val="00403701"/>
    <w:rsid w:val="0040405B"/>
    <w:rsid w:val="00404195"/>
    <w:rsid w:val="00404211"/>
    <w:rsid w:val="004042A4"/>
    <w:rsid w:val="00404346"/>
    <w:rsid w:val="004043F3"/>
    <w:rsid w:val="00404992"/>
    <w:rsid w:val="00404DAA"/>
    <w:rsid w:val="00404DDD"/>
    <w:rsid w:val="0040578B"/>
    <w:rsid w:val="00405E79"/>
    <w:rsid w:val="0040624C"/>
    <w:rsid w:val="004065D6"/>
    <w:rsid w:val="0040687D"/>
    <w:rsid w:val="0040709D"/>
    <w:rsid w:val="0040713F"/>
    <w:rsid w:val="0040720D"/>
    <w:rsid w:val="004075A3"/>
    <w:rsid w:val="0041054D"/>
    <w:rsid w:val="00410C48"/>
    <w:rsid w:val="0041106C"/>
    <w:rsid w:val="004133ED"/>
    <w:rsid w:val="004136F2"/>
    <w:rsid w:val="00413765"/>
    <w:rsid w:val="00413BB8"/>
    <w:rsid w:val="00414176"/>
    <w:rsid w:val="0041438E"/>
    <w:rsid w:val="00415739"/>
    <w:rsid w:val="00416277"/>
    <w:rsid w:val="00416AFE"/>
    <w:rsid w:val="00416E24"/>
    <w:rsid w:val="004200DC"/>
    <w:rsid w:val="004203A0"/>
    <w:rsid w:val="0042063D"/>
    <w:rsid w:val="00420A58"/>
    <w:rsid w:val="00421409"/>
    <w:rsid w:val="004216E4"/>
    <w:rsid w:val="00421BC4"/>
    <w:rsid w:val="00422343"/>
    <w:rsid w:val="00422454"/>
    <w:rsid w:val="00422B23"/>
    <w:rsid w:val="00422E15"/>
    <w:rsid w:val="00423A60"/>
    <w:rsid w:val="00423C1D"/>
    <w:rsid w:val="0042559C"/>
    <w:rsid w:val="0042651C"/>
    <w:rsid w:val="00426E9B"/>
    <w:rsid w:val="00427186"/>
    <w:rsid w:val="00427D55"/>
    <w:rsid w:val="004300C2"/>
    <w:rsid w:val="00430A8E"/>
    <w:rsid w:val="00430C3B"/>
    <w:rsid w:val="0043233C"/>
    <w:rsid w:val="00432637"/>
    <w:rsid w:val="00432DAC"/>
    <w:rsid w:val="004345A6"/>
    <w:rsid w:val="004347EF"/>
    <w:rsid w:val="00434CB4"/>
    <w:rsid w:val="00434F0A"/>
    <w:rsid w:val="00435348"/>
    <w:rsid w:val="00435B2F"/>
    <w:rsid w:val="00435E03"/>
    <w:rsid w:val="00435E60"/>
    <w:rsid w:val="00435F53"/>
    <w:rsid w:val="00436BD9"/>
    <w:rsid w:val="004373E1"/>
    <w:rsid w:val="004374A3"/>
    <w:rsid w:val="004377F8"/>
    <w:rsid w:val="00437A7E"/>
    <w:rsid w:val="00437B6C"/>
    <w:rsid w:val="00440144"/>
    <w:rsid w:val="0044064E"/>
    <w:rsid w:val="00440805"/>
    <w:rsid w:val="00440A64"/>
    <w:rsid w:val="004412E1"/>
    <w:rsid w:val="00441361"/>
    <w:rsid w:val="00441554"/>
    <w:rsid w:val="00441A26"/>
    <w:rsid w:val="00442CF3"/>
    <w:rsid w:val="00442D6B"/>
    <w:rsid w:val="00442E48"/>
    <w:rsid w:val="004435A4"/>
    <w:rsid w:val="00443DCD"/>
    <w:rsid w:val="00443E7E"/>
    <w:rsid w:val="0044405E"/>
    <w:rsid w:val="00444528"/>
    <w:rsid w:val="00444C06"/>
    <w:rsid w:val="004454DF"/>
    <w:rsid w:val="00446804"/>
    <w:rsid w:val="00446B0F"/>
    <w:rsid w:val="004478D4"/>
    <w:rsid w:val="00447AF5"/>
    <w:rsid w:val="00450380"/>
    <w:rsid w:val="0045049E"/>
    <w:rsid w:val="004505C6"/>
    <w:rsid w:val="00450873"/>
    <w:rsid w:val="004516A7"/>
    <w:rsid w:val="004520CD"/>
    <w:rsid w:val="00452775"/>
    <w:rsid w:val="00452D89"/>
    <w:rsid w:val="00452DF3"/>
    <w:rsid w:val="00452F48"/>
    <w:rsid w:val="00453037"/>
    <w:rsid w:val="004531A6"/>
    <w:rsid w:val="004534F5"/>
    <w:rsid w:val="00453765"/>
    <w:rsid w:val="004541DB"/>
    <w:rsid w:val="004546D2"/>
    <w:rsid w:val="00454EC3"/>
    <w:rsid w:val="0045530A"/>
    <w:rsid w:val="004554AE"/>
    <w:rsid w:val="004554C3"/>
    <w:rsid w:val="0045555F"/>
    <w:rsid w:val="00455FB6"/>
    <w:rsid w:val="00455FCF"/>
    <w:rsid w:val="00456621"/>
    <w:rsid w:val="00456C0B"/>
    <w:rsid w:val="00457197"/>
    <w:rsid w:val="00457555"/>
    <w:rsid w:val="00457971"/>
    <w:rsid w:val="00457DD8"/>
    <w:rsid w:val="004603D0"/>
    <w:rsid w:val="00460918"/>
    <w:rsid w:val="00460A31"/>
    <w:rsid w:val="004616F1"/>
    <w:rsid w:val="004617CB"/>
    <w:rsid w:val="00461E70"/>
    <w:rsid w:val="00462010"/>
    <w:rsid w:val="004624AE"/>
    <w:rsid w:val="004624EA"/>
    <w:rsid w:val="0046250E"/>
    <w:rsid w:val="00462E05"/>
    <w:rsid w:val="00462E9C"/>
    <w:rsid w:val="004648D4"/>
    <w:rsid w:val="00464B48"/>
    <w:rsid w:val="00465231"/>
    <w:rsid w:val="00465325"/>
    <w:rsid w:val="004662AD"/>
    <w:rsid w:val="00466516"/>
    <w:rsid w:val="00466A42"/>
    <w:rsid w:val="00466AD4"/>
    <w:rsid w:val="00466BDA"/>
    <w:rsid w:val="00466D1A"/>
    <w:rsid w:val="004677F4"/>
    <w:rsid w:val="00467B65"/>
    <w:rsid w:val="00467DAC"/>
    <w:rsid w:val="00467E40"/>
    <w:rsid w:val="0047142D"/>
    <w:rsid w:val="00471EA5"/>
    <w:rsid w:val="004720C9"/>
    <w:rsid w:val="00472257"/>
    <w:rsid w:val="00472E49"/>
    <w:rsid w:val="00472EF8"/>
    <w:rsid w:val="004732BB"/>
    <w:rsid w:val="0047465A"/>
    <w:rsid w:val="00474C60"/>
    <w:rsid w:val="00475944"/>
    <w:rsid w:val="00475DF0"/>
    <w:rsid w:val="00476058"/>
    <w:rsid w:val="00476525"/>
    <w:rsid w:val="004769A6"/>
    <w:rsid w:val="0047712F"/>
    <w:rsid w:val="004772E2"/>
    <w:rsid w:val="0047739F"/>
    <w:rsid w:val="004777D0"/>
    <w:rsid w:val="00477CDA"/>
    <w:rsid w:val="00477F97"/>
    <w:rsid w:val="00480107"/>
    <w:rsid w:val="0048091B"/>
    <w:rsid w:val="00480A2D"/>
    <w:rsid w:val="00480AFB"/>
    <w:rsid w:val="00480E9C"/>
    <w:rsid w:val="00481247"/>
    <w:rsid w:val="004814B7"/>
    <w:rsid w:val="00481A72"/>
    <w:rsid w:val="004828DC"/>
    <w:rsid w:val="00482CE0"/>
    <w:rsid w:val="00482FF7"/>
    <w:rsid w:val="00483098"/>
    <w:rsid w:val="004838F9"/>
    <w:rsid w:val="00483AFB"/>
    <w:rsid w:val="0048402B"/>
    <w:rsid w:val="0048414A"/>
    <w:rsid w:val="00484680"/>
    <w:rsid w:val="004851E4"/>
    <w:rsid w:val="00485C56"/>
    <w:rsid w:val="00485CD0"/>
    <w:rsid w:val="00485F22"/>
    <w:rsid w:val="00486A83"/>
    <w:rsid w:val="00486B79"/>
    <w:rsid w:val="00486CA2"/>
    <w:rsid w:val="0048756C"/>
    <w:rsid w:val="00490B25"/>
    <w:rsid w:val="00490CAA"/>
    <w:rsid w:val="00490E82"/>
    <w:rsid w:val="00490FD6"/>
    <w:rsid w:val="004910EF"/>
    <w:rsid w:val="004911C4"/>
    <w:rsid w:val="004926FF"/>
    <w:rsid w:val="00492BA0"/>
    <w:rsid w:val="00492E71"/>
    <w:rsid w:val="00493972"/>
    <w:rsid w:val="00494CC8"/>
    <w:rsid w:val="00494DD6"/>
    <w:rsid w:val="004955E7"/>
    <w:rsid w:val="00495668"/>
    <w:rsid w:val="0049589C"/>
    <w:rsid w:val="00495EF1"/>
    <w:rsid w:val="00496ED4"/>
    <w:rsid w:val="004976EB"/>
    <w:rsid w:val="00497B39"/>
    <w:rsid w:val="00497D4A"/>
    <w:rsid w:val="004A0441"/>
    <w:rsid w:val="004A0555"/>
    <w:rsid w:val="004A084C"/>
    <w:rsid w:val="004A0D1E"/>
    <w:rsid w:val="004A1598"/>
    <w:rsid w:val="004A15B3"/>
    <w:rsid w:val="004A1C74"/>
    <w:rsid w:val="004A1D01"/>
    <w:rsid w:val="004A2A54"/>
    <w:rsid w:val="004A2EF3"/>
    <w:rsid w:val="004A2F09"/>
    <w:rsid w:val="004A3226"/>
    <w:rsid w:val="004A3B0D"/>
    <w:rsid w:val="004A3CE4"/>
    <w:rsid w:val="004A40A6"/>
    <w:rsid w:val="004A44B0"/>
    <w:rsid w:val="004A52F5"/>
    <w:rsid w:val="004A5B98"/>
    <w:rsid w:val="004A5D3A"/>
    <w:rsid w:val="004A6485"/>
    <w:rsid w:val="004A6897"/>
    <w:rsid w:val="004A692B"/>
    <w:rsid w:val="004A6EB6"/>
    <w:rsid w:val="004A794C"/>
    <w:rsid w:val="004B0875"/>
    <w:rsid w:val="004B129B"/>
    <w:rsid w:val="004B3CEA"/>
    <w:rsid w:val="004B3EC7"/>
    <w:rsid w:val="004B4921"/>
    <w:rsid w:val="004B5121"/>
    <w:rsid w:val="004B5664"/>
    <w:rsid w:val="004B6D7F"/>
    <w:rsid w:val="004C00F5"/>
    <w:rsid w:val="004C04E5"/>
    <w:rsid w:val="004C11BD"/>
    <w:rsid w:val="004C1502"/>
    <w:rsid w:val="004C19EF"/>
    <w:rsid w:val="004C2107"/>
    <w:rsid w:val="004C222F"/>
    <w:rsid w:val="004C2478"/>
    <w:rsid w:val="004C2BE1"/>
    <w:rsid w:val="004C3112"/>
    <w:rsid w:val="004C31A4"/>
    <w:rsid w:val="004C5FC6"/>
    <w:rsid w:val="004C6435"/>
    <w:rsid w:val="004C649B"/>
    <w:rsid w:val="004C7267"/>
    <w:rsid w:val="004C7B9C"/>
    <w:rsid w:val="004C7D55"/>
    <w:rsid w:val="004D0023"/>
    <w:rsid w:val="004D089A"/>
    <w:rsid w:val="004D0D8B"/>
    <w:rsid w:val="004D1DC5"/>
    <w:rsid w:val="004D1F21"/>
    <w:rsid w:val="004D2552"/>
    <w:rsid w:val="004D29D6"/>
    <w:rsid w:val="004D2E79"/>
    <w:rsid w:val="004D3184"/>
    <w:rsid w:val="004D3BCA"/>
    <w:rsid w:val="004D5030"/>
    <w:rsid w:val="004D528A"/>
    <w:rsid w:val="004D6045"/>
    <w:rsid w:val="004D6C24"/>
    <w:rsid w:val="004D72B7"/>
    <w:rsid w:val="004D73ED"/>
    <w:rsid w:val="004D740C"/>
    <w:rsid w:val="004D7546"/>
    <w:rsid w:val="004D77A4"/>
    <w:rsid w:val="004D7EC5"/>
    <w:rsid w:val="004D7F7A"/>
    <w:rsid w:val="004E02B0"/>
    <w:rsid w:val="004E0382"/>
    <w:rsid w:val="004E0B29"/>
    <w:rsid w:val="004E0B97"/>
    <w:rsid w:val="004E0E11"/>
    <w:rsid w:val="004E0F08"/>
    <w:rsid w:val="004E14C8"/>
    <w:rsid w:val="004E1546"/>
    <w:rsid w:val="004E1580"/>
    <w:rsid w:val="004E19DC"/>
    <w:rsid w:val="004E22C8"/>
    <w:rsid w:val="004E2394"/>
    <w:rsid w:val="004E28A5"/>
    <w:rsid w:val="004E35E8"/>
    <w:rsid w:val="004E50F0"/>
    <w:rsid w:val="004E6A03"/>
    <w:rsid w:val="004E6C6A"/>
    <w:rsid w:val="004E723A"/>
    <w:rsid w:val="004F0070"/>
    <w:rsid w:val="004F0303"/>
    <w:rsid w:val="004F0468"/>
    <w:rsid w:val="004F0C51"/>
    <w:rsid w:val="004F0CE5"/>
    <w:rsid w:val="004F2275"/>
    <w:rsid w:val="004F25F8"/>
    <w:rsid w:val="004F263C"/>
    <w:rsid w:val="004F2BB1"/>
    <w:rsid w:val="004F2EC7"/>
    <w:rsid w:val="004F3107"/>
    <w:rsid w:val="004F39C3"/>
    <w:rsid w:val="004F3CE8"/>
    <w:rsid w:val="004F44BD"/>
    <w:rsid w:val="004F4F9A"/>
    <w:rsid w:val="004F55C5"/>
    <w:rsid w:val="004F64F2"/>
    <w:rsid w:val="004F6BFB"/>
    <w:rsid w:val="004F6E90"/>
    <w:rsid w:val="004F6F86"/>
    <w:rsid w:val="004F7E4A"/>
    <w:rsid w:val="0050147C"/>
    <w:rsid w:val="0050182B"/>
    <w:rsid w:val="005018B6"/>
    <w:rsid w:val="0050201E"/>
    <w:rsid w:val="00502248"/>
    <w:rsid w:val="00502579"/>
    <w:rsid w:val="005028AD"/>
    <w:rsid w:val="005029F7"/>
    <w:rsid w:val="0050396D"/>
    <w:rsid w:val="00503B8E"/>
    <w:rsid w:val="00503C51"/>
    <w:rsid w:val="00503D4C"/>
    <w:rsid w:val="00504496"/>
    <w:rsid w:val="00504A42"/>
    <w:rsid w:val="00504A5D"/>
    <w:rsid w:val="00504B8C"/>
    <w:rsid w:val="00504C0C"/>
    <w:rsid w:val="00504C7B"/>
    <w:rsid w:val="00504E48"/>
    <w:rsid w:val="005056C6"/>
    <w:rsid w:val="0050576B"/>
    <w:rsid w:val="005057E8"/>
    <w:rsid w:val="00505CA7"/>
    <w:rsid w:val="00506080"/>
    <w:rsid w:val="005069B5"/>
    <w:rsid w:val="00506A79"/>
    <w:rsid w:val="005070FF"/>
    <w:rsid w:val="00507ADC"/>
    <w:rsid w:val="0051019C"/>
    <w:rsid w:val="00510954"/>
    <w:rsid w:val="00511748"/>
    <w:rsid w:val="00511E3D"/>
    <w:rsid w:val="00512BBC"/>
    <w:rsid w:val="00512C8D"/>
    <w:rsid w:val="00513090"/>
    <w:rsid w:val="0051318C"/>
    <w:rsid w:val="005134FB"/>
    <w:rsid w:val="005135FD"/>
    <w:rsid w:val="0051366C"/>
    <w:rsid w:val="005136A9"/>
    <w:rsid w:val="00514348"/>
    <w:rsid w:val="005146F2"/>
    <w:rsid w:val="00515566"/>
    <w:rsid w:val="005157EE"/>
    <w:rsid w:val="00515F3D"/>
    <w:rsid w:val="0051684F"/>
    <w:rsid w:val="00516A92"/>
    <w:rsid w:val="00516B9F"/>
    <w:rsid w:val="00517693"/>
    <w:rsid w:val="00520206"/>
    <w:rsid w:val="005205AB"/>
    <w:rsid w:val="0052066F"/>
    <w:rsid w:val="00520C4C"/>
    <w:rsid w:val="00520D83"/>
    <w:rsid w:val="005211E8"/>
    <w:rsid w:val="0052129E"/>
    <w:rsid w:val="00522780"/>
    <w:rsid w:val="00523378"/>
    <w:rsid w:val="00524086"/>
    <w:rsid w:val="00524DB2"/>
    <w:rsid w:val="0052550F"/>
    <w:rsid w:val="00526C0F"/>
    <w:rsid w:val="0052702A"/>
    <w:rsid w:val="0052739D"/>
    <w:rsid w:val="00527555"/>
    <w:rsid w:val="00527AF3"/>
    <w:rsid w:val="00530397"/>
    <w:rsid w:val="00530D04"/>
    <w:rsid w:val="00530F73"/>
    <w:rsid w:val="00533597"/>
    <w:rsid w:val="005338B8"/>
    <w:rsid w:val="00533B8E"/>
    <w:rsid w:val="00535417"/>
    <w:rsid w:val="0053558A"/>
    <w:rsid w:val="00535833"/>
    <w:rsid w:val="00536265"/>
    <w:rsid w:val="00536A83"/>
    <w:rsid w:val="00536D28"/>
    <w:rsid w:val="00536FE8"/>
    <w:rsid w:val="005372C5"/>
    <w:rsid w:val="00537A26"/>
    <w:rsid w:val="00540142"/>
    <w:rsid w:val="00540333"/>
    <w:rsid w:val="005404C2"/>
    <w:rsid w:val="005408CD"/>
    <w:rsid w:val="00540A3C"/>
    <w:rsid w:val="00540E47"/>
    <w:rsid w:val="005417D5"/>
    <w:rsid w:val="005420C2"/>
    <w:rsid w:val="00543283"/>
    <w:rsid w:val="0054347C"/>
    <w:rsid w:val="0054364C"/>
    <w:rsid w:val="005436B5"/>
    <w:rsid w:val="005445A9"/>
    <w:rsid w:val="005449AB"/>
    <w:rsid w:val="00546747"/>
    <w:rsid w:val="00546B12"/>
    <w:rsid w:val="00546C59"/>
    <w:rsid w:val="00547510"/>
    <w:rsid w:val="00547ECC"/>
    <w:rsid w:val="00547FF8"/>
    <w:rsid w:val="00551494"/>
    <w:rsid w:val="00551D5A"/>
    <w:rsid w:val="00551EC3"/>
    <w:rsid w:val="00552561"/>
    <w:rsid w:val="00552B83"/>
    <w:rsid w:val="00553E25"/>
    <w:rsid w:val="00554A44"/>
    <w:rsid w:val="00554C53"/>
    <w:rsid w:val="00554F18"/>
    <w:rsid w:val="00555220"/>
    <w:rsid w:val="005554BE"/>
    <w:rsid w:val="005555F0"/>
    <w:rsid w:val="00555739"/>
    <w:rsid w:val="00555AF1"/>
    <w:rsid w:val="00556693"/>
    <w:rsid w:val="00556962"/>
    <w:rsid w:val="0055697F"/>
    <w:rsid w:val="00556E75"/>
    <w:rsid w:val="00557FFC"/>
    <w:rsid w:val="00560080"/>
    <w:rsid w:val="0056069A"/>
    <w:rsid w:val="00560C3B"/>
    <w:rsid w:val="005616A3"/>
    <w:rsid w:val="0056185E"/>
    <w:rsid w:val="00561CED"/>
    <w:rsid w:val="00561EA1"/>
    <w:rsid w:val="00562799"/>
    <w:rsid w:val="005627D4"/>
    <w:rsid w:val="00562FF4"/>
    <w:rsid w:val="00564804"/>
    <w:rsid w:val="00565136"/>
    <w:rsid w:val="005651AD"/>
    <w:rsid w:val="00565598"/>
    <w:rsid w:val="0056586B"/>
    <w:rsid w:val="00565B5A"/>
    <w:rsid w:val="00565EB5"/>
    <w:rsid w:val="005661AB"/>
    <w:rsid w:val="00567857"/>
    <w:rsid w:val="00567E8F"/>
    <w:rsid w:val="00567F4F"/>
    <w:rsid w:val="005702D6"/>
    <w:rsid w:val="00570899"/>
    <w:rsid w:val="00570913"/>
    <w:rsid w:val="005709FC"/>
    <w:rsid w:val="005715EA"/>
    <w:rsid w:val="0057174A"/>
    <w:rsid w:val="00571EE8"/>
    <w:rsid w:val="00572588"/>
    <w:rsid w:val="00572BCB"/>
    <w:rsid w:val="0057328A"/>
    <w:rsid w:val="00573A50"/>
    <w:rsid w:val="00573FF7"/>
    <w:rsid w:val="005746D2"/>
    <w:rsid w:val="00574E8A"/>
    <w:rsid w:val="005766B3"/>
    <w:rsid w:val="005774D8"/>
    <w:rsid w:val="00577648"/>
    <w:rsid w:val="00577775"/>
    <w:rsid w:val="00577C6E"/>
    <w:rsid w:val="00580260"/>
    <w:rsid w:val="005806B5"/>
    <w:rsid w:val="00580EE8"/>
    <w:rsid w:val="0058121A"/>
    <w:rsid w:val="005816B3"/>
    <w:rsid w:val="00581863"/>
    <w:rsid w:val="00581B52"/>
    <w:rsid w:val="00581DF0"/>
    <w:rsid w:val="00581EA3"/>
    <w:rsid w:val="0058205A"/>
    <w:rsid w:val="00582513"/>
    <w:rsid w:val="0058260B"/>
    <w:rsid w:val="0058379F"/>
    <w:rsid w:val="005837A8"/>
    <w:rsid w:val="005837C7"/>
    <w:rsid w:val="0058406E"/>
    <w:rsid w:val="00584088"/>
    <w:rsid w:val="00584D1E"/>
    <w:rsid w:val="00584EBE"/>
    <w:rsid w:val="0058589F"/>
    <w:rsid w:val="00586795"/>
    <w:rsid w:val="00586B82"/>
    <w:rsid w:val="005870D2"/>
    <w:rsid w:val="00587220"/>
    <w:rsid w:val="00587A3E"/>
    <w:rsid w:val="00587CE6"/>
    <w:rsid w:val="00587E13"/>
    <w:rsid w:val="00590CA3"/>
    <w:rsid w:val="005915FD"/>
    <w:rsid w:val="00592A5F"/>
    <w:rsid w:val="005933AA"/>
    <w:rsid w:val="005940AA"/>
    <w:rsid w:val="00594614"/>
    <w:rsid w:val="00594E10"/>
    <w:rsid w:val="00594F94"/>
    <w:rsid w:val="00595494"/>
    <w:rsid w:val="00596306"/>
    <w:rsid w:val="00596487"/>
    <w:rsid w:val="00596EBF"/>
    <w:rsid w:val="005970C2"/>
    <w:rsid w:val="00597519"/>
    <w:rsid w:val="005977FA"/>
    <w:rsid w:val="005A0809"/>
    <w:rsid w:val="005A0B91"/>
    <w:rsid w:val="005A10BB"/>
    <w:rsid w:val="005A12EA"/>
    <w:rsid w:val="005A1304"/>
    <w:rsid w:val="005A1494"/>
    <w:rsid w:val="005A251E"/>
    <w:rsid w:val="005A335F"/>
    <w:rsid w:val="005A3590"/>
    <w:rsid w:val="005A390B"/>
    <w:rsid w:val="005A45E5"/>
    <w:rsid w:val="005A4A1C"/>
    <w:rsid w:val="005A5BD8"/>
    <w:rsid w:val="005A692A"/>
    <w:rsid w:val="005A6AA1"/>
    <w:rsid w:val="005A6AB8"/>
    <w:rsid w:val="005A6CA8"/>
    <w:rsid w:val="005B0EBB"/>
    <w:rsid w:val="005B11C2"/>
    <w:rsid w:val="005B180A"/>
    <w:rsid w:val="005B2606"/>
    <w:rsid w:val="005B3582"/>
    <w:rsid w:val="005B382C"/>
    <w:rsid w:val="005B3C11"/>
    <w:rsid w:val="005B40DA"/>
    <w:rsid w:val="005B4226"/>
    <w:rsid w:val="005B438B"/>
    <w:rsid w:val="005B5AA4"/>
    <w:rsid w:val="005B656B"/>
    <w:rsid w:val="005B71B3"/>
    <w:rsid w:val="005B76A4"/>
    <w:rsid w:val="005B77B8"/>
    <w:rsid w:val="005B7C54"/>
    <w:rsid w:val="005C04A7"/>
    <w:rsid w:val="005C0AD8"/>
    <w:rsid w:val="005C17A4"/>
    <w:rsid w:val="005C1DEC"/>
    <w:rsid w:val="005C274C"/>
    <w:rsid w:val="005C27CC"/>
    <w:rsid w:val="005C3466"/>
    <w:rsid w:val="005C370D"/>
    <w:rsid w:val="005C45AA"/>
    <w:rsid w:val="005C504E"/>
    <w:rsid w:val="005C57B2"/>
    <w:rsid w:val="005C6153"/>
    <w:rsid w:val="005C6D09"/>
    <w:rsid w:val="005C763B"/>
    <w:rsid w:val="005C7876"/>
    <w:rsid w:val="005C78B0"/>
    <w:rsid w:val="005C7B95"/>
    <w:rsid w:val="005D01EB"/>
    <w:rsid w:val="005D0D9D"/>
    <w:rsid w:val="005D0DFB"/>
    <w:rsid w:val="005D1112"/>
    <w:rsid w:val="005D1647"/>
    <w:rsid w:val="005D182D"/>
    <w:rsid w:val="005D237C"/>
    <w:rsid w:val="005D25E2"/>
    <w:rsid w:val="005D25FF"/>
    <w:rsid w:val="005D2632"/>
    <w:rsid w:val="005D26B5"/>
    <w:rsid w:val="005D375E"/>
    <w:rsid w:val="005D38E0"/>
    <w:rsid w:val="005D3F32"/>
    <w:rsid w:val="005D43FF"/>
    <w:rsid w:val="005D4E3E"/>
    <w:rsid w:val="005D4E46"/>
    <w:rsid w:val="005D59BC"/>
    <w:rsid w:val="005D5EF9"/>
    <w:rsid w:val="005D67F7"/>
    <w:rsid w:val="005D6B97"/>
    <w:rsid w:val="005D76B2"/>
    <w:rsid w:val="005D7D7E"/>
    <w:rsid w:val="005D7E76"/>
    <w:rsid w:val="005E0B59"/>
    <w:rsid w:val="005E0F51"/>
    <w:rsid w:val="005E1105"/>
    <w:rsid w:val="005E1343"/>
    <w:rsid w:val="005E15BE"/>
    <w:rsid w:val="005E162F"/>
    <w:rsid w:val="005E1E77"/>
    <w:rsid w:val="005E2C60"/>
    <w:rsid w:val="005E3068"/>
    <w:rsid w:val="005E31F6"/>
    <w:rsid w:val="005E338A"/>
    <w:rsid w:val="005E3622"/>
    <w:rsid w:val="005E3683"/>
    <w:rsid w:val="005E3A0E"/>
    <w:rsid w:val="005E4B47"/>
    <w:rsid w:val="005E5578"/>
    <w:rsid w:val="005E5BAA"/>
    <w:rsid w:val="005E60B3"/>
    <w:rsid w:val="005E676C"/>
    <w:rsid w:val="005E6CB9"/>
    <w:rsid w:val="005E7F14"/>
    <w:rsid w:val="005F0154"/>
    <w:rsid w:val="005F0176"/>
    <w:rsid w:val="005F021D"/>
    <w:rsid w:val="005F05FD"/>
    <w:rsid w:val="005F11F5"/>
    <w:rsid w:val="005F1395"/>
    <w:rsid w:val="005F1DC1"/>
    <w:rsid w:val="005F1EAC"/>
    <w:rsid w:val="005F27E5"/>
    <w:rsid w:val="005F308F"/>
    <w:rsid w:val="005F3495"/>
    <w:rsid w:val="005F3A5D"/>
    <w:rsid w:val="005F4869"/>
    <w:rsid w:val="005F4A24"/>
    <w:rsid w:val="005F4BFD"/>
    <w:rsid w:val="005F52E0"/>
    <w:rsid w:val="005F5748"/>
    <w:rsid w:val="005F5834"/>
    <w:rsid w:val="005F5E11"/>
    <w:rsid w:val="005F6232"/>
    <w:rsid w:val="005F6C5E"/>
    <w:rsid w:val="005F7284"/>
    <w:rsid w:val="00600319"/>
    <w:rsid w:val="006003E5"/>
    <w:rsid w:val="00600E63"/>
    <w:rsid w:val="00600EEC"/>
    <w:rsid w:val="00601561"/>
    <w:rsid w:val="00601E02"/>
    <w:rsid w:val="00601E55"/>
    <w:rsid w:val="00601F0F"/>
    <w:rsid w:val="00602037"/>
    <w:rsid w:val="0060232D"/>
    <w:rsid w:val="006029DD"/>
    <w:rsid w:val="00602C6A"/>
    <w:rsid w:val="00603656"/>
    <w:rsid w:val="00603AF5"/>
    <w:rsid w:val="00604BFB"/>
    <w:rsid w:val="00604D71"/>
    <w:rsid w:val="00604F38"/>
    <w:rsid w:val="006051A3"/>
    <w:rsid w:val="00606C66"/>
    <w:rsid w:val="00607188"/>
    <w:rsid w:val="00607255"/>
    <w:rsid w:val="00607400"/>
    <w:rsid w:val="00610145"/>
    <w:rsid w:val="006105FB"/>
    <w:rsid w:val="00610D1F"/>
    <w:rsid w:val="006123C6"/>
    <w:rsid w:val="00612C02"/>
    <w:rsid w:val="00612CDD"/>
    <w:rsid w:val="006130C7"/>
    <w:rsid w:val="00613273"/>
    <w:rsid w:val="00613D8F"/>
    <w:rsid w:val="00613D94"/>
    <w:rsid w:val="00613FA9"/>
    <w:rsid w:val="006142F2"/>
    <w:rsid w:val="00614DE0"/>
    <w:rsid w:val="0061562E"/>
    <w:rsid w:val="00615FD0"/>
    <w:rsid w:val="00616D41"/>
    <w:rsid w:val="00616E38"/>
    <w:rsid w:val="00617162"/>
    <w:rsid w:val="00617292"/>
    <w:rsid w:val="006179A4"/>
    <w:rsid w:val="006200A9"/>
    <w:rsid w:val="00621F71"/>
    <w:rsid w:val="006220A6"/>
    <w:rsid w:val="00622225"/>
    <w:rsid w:val="00622D03"/>
    <w:rsid w:val="00622DCD"/>
    <w:rsid w:val="00622F57"/>
    <w:rsid w:val="0062321F"/>
    <w:rsid w:val="00623DD5"/>
    <w:rsid w:val="00624269"/>
    <w:rsid w:val="00624A34"/>
    <w:rsid w:val="0062568D"/>
    <w:rsid w:val="006256D3"/>
    <w:rsid w:val="006267F5"/>
    <w:rsid w:val="006268E8"/>
    <w:rsid w:val="006269B8"/>
    <w:rsid w:val="00626D12"/>
    <w:rsid w:val="00627337"/>
    <w:rsid w:val="006278BC"/>
    <w:rsid w:val="00627DA6"/>
    <w:rsid w:val="00630069"/>
    <w:rsid w:val="00630583"/>
    <w:rsid w:val="00630D2E"/>
    <w:rsid w:val="00630D39"/>
    <w:rsid w:val="00630E90"/>
    <w:rsid w:val="00631410"/>
    <w:rsid w:val="00631E19"/>
    <w:rsid w:val="006324FD"/>
    <w:rsid w:val="00632AC7"/>
    <w:rsid w:val="00632B97"/>
    <w:rsid w:val="00633E76"/>
    <w:rsid w:val="00633EC9"/>
    <w:rsid w:val="006340F5"/>
    <w:rsid w:val="00634542"/>
    <w:rsid w:val="00634803"/>
    <w:rsid w:val="00634CE9"/>
    <w:rsid w:val="00635B67"/>
    <w:rsid w:val="00635E4D"/>
    <w:rsid w:val="0063620C"/>
    <w:rsid w:val="00637E18"/>
    <w:rsid w:val="006400A8"/>
    <w:rsid w:val="0064032E"/>
    <w:rsid w:val="0064038D"/>
    <w:rsid w:val="0064093F"/>
    <w:rsid w:val="006415E6"/>
    <w:rsid w:val="00641A0B"/>
    <w:rsid w:val="00641BD7"/>
    <w:rsid w:val="00641D5A"/>
    <w:rsid w:val="00641E06"/>
    <w:rsid w:val="00643007"/>
    <w:rsid w:val="006431D0"/>
    <w:rsid w:val="006432C5"/>
    <w:rsid w:val="006436FA"/>
    <w:rsid w:val="00643852"/>
    <w:rsid w:val="00643976"/>
    <w:rsid w:val="00643C27"/>
    <w:rsid w:val="006455E7"/>
    <w:rsid w:val="00645758"/>
    <w:rsid w:val="0064581E"/>
    <w:rsid w:val="00645BE5"/>
    <w:rsid w:val="0064607E"/>
    <w:rsid w:val="006461A1"/>
    <w:rsid w:val="00646727"/>
    <w:rsid w:val="00647422"/>
    <w:rsid w:val="00647CD0"/>
    <w:rsid w:val="00647E6B"/>
    <w:rsid w:val="00647E92"/>
    <w:rsid w:val="0065081B"/>
    <w:rsid w:val="00650E84"/>
    <w:rsid w:val="0065198B"/>
    <w:rsid w:val="006520E0"/>
    <w:rsid w:val="00652538"/>
    <w:rsid w:val="006525AF"/>
    <w:rsid w:val="0065266A"/>
    <w:rsid w:val="00653F9C"/>
    <w:rsid w:val="0065471F"/>
    <w:rsid w:val="00655470"/>
    <w:rsid w:val="00656665"/>
    <w:rsid w:val="00656FEE"/>
    <w:rsid w:val="0065758F"/>
    <w:rsid w:val="006576EB"/>
    <w:rsid w:val="00657717"/>
    <w:rsid w:val="00657CD4"/>
    <w:rsid w:val="006603F5"/>
    <w:rsid w:val="00660897"/>
    <w:rsid w:val="00660A78"/>
    <w:rsid w:val="00661028"/>
    <w:rsid w:val="006617BD"/>
    <w:rsid w:val="0066194D"/>
    <w:rsid w:val="006622FC"/>
    <w:rsid w:val="006623AA"/>
    <w:rsid w:val="0066313F"/>
    <w:rsid w:val="00663691"/>
    <w:rsid w:val="0066462E"/>
    <w:rsid w:val="00664695"/>
    <w:rsid w:val="00664840"/>
    <w:rsid w:val="0066484D"/>
    <w:rsid w:val="00664B44"/>
    <w:rsid w:val="00664F1D"/>
    <w:rsid w:val="006652BF"/>
    <w:rsid w:val="0066630C"/>
    <w:rsid w:val="00666942"/>
    <w:rsid w:val="00666F53"/>
    <w:rsid w:val="00667580"/>
    <w:rsid w:val="00667BBD"/>
    <w:rsid w:val="00671149"/>
    <w:rsid w:val="0067130D"/>
    <w:rsid w:val="00671615"/>
    <w:rsid w:val="00671741"/>
    <w:rsid w:val="00671766"/>
    <w:rsid w:val="00671A97"/>
    <w:rsid w:val="00671EBF"/>
    <w:rsid w:val="006724B6"/>
    <w:rsid w:val="00672914"/>
    <w:rsid w:val="00673205"/>
    <w:rsid w:val="00673CB8"/>
    <w:rsid w:val="00673DB1"/>
    <w:rsid w:val="00673F1D"/>
    <w:rsid w:val="0067404C"/>
    <w:rsid w:val="006744C3"/>
    <w:rsid w:val="0067537F"/>
    <w:rsid w:val="00676410"/>
    <w:rsid w:val="00676879"/>
    <w:rsid w:val="00676CB0"/>
    <w:rsid w:val="00677024"/>
    <w:rsid w:val="00677D41"/>
    <w:rsid w:val="0068008D"/>
    <w:rsid w:val="006802B0"/>
    <w:rsid w:val="00680509"/>
    <w:rsid w:val="006805CB"/>
    <w:rsid w:val="00680775"/>
    <w:rsid w:val="00680A74"/>
    <w:rsid w:val="00680CBE"/>
    <w:rsid w:val="00681421"/>
    <w:rsid w:val="00681CC1"/>
    <w:rsid w:val="0068233B"/>
    <w:rsid w:val="00682E11"/>
    <w:rsid w:val="00683081"/>
    <w:rsid w:val="0068456D"/>
    <w:rsid w:val="0068470F"/>
    <w:rsid w:val="00684C95"/>
    <w:rsid w:val="006850D3"/>
    <w:rsid w:val="00685249"/>
    <w:rsid w:val="006856B9"/>
    <w:rsid w:val="0068578E"/>
    <w:rsid w:val="00685BDE"/>
    <w:rsid w:val="00686085"/>
    <w:rsid w:val="00687C0D"/>
    <w:rsid w:val="00690CC0"/>
    <w:rsid w:val="00690E81"/>
    <w:rsid w:val="00690FE9"/>
    <w:rsid w:val="00691237"/>
    <w:rsid w:val="006920E6"/>
    <w:rsid w:val="00692555"/>
    <w:rsid w:val="0069269C"/>
    <w:rsid w:val="00692BC9"/>
    <w:rsid w:val="00693A1C"/>
    <w:rsid w:val="00693AE3"/>
    <w:rsid w:val="00693FB7"/>
    <w:rsid w:val="0069425F"/>
    <w:rsid w:val="00694A2E"/>
    <w:rsid w:val="00695127"/>
    <w:rsid w:val="0069576C"/>
    <w:rsid w:val="006960EB"/>
    <w:rsid w:val="00696566"/>
    <w:rsid w:val="006966BA"/>
    <w:rsid w:val="00696B9F"/>
    <w:rsid w:val="00696DA7"/>
    <w:rsid w:val="0069722D"/>
    <w:rsid w:val="006973DE"/>
    <w:rsid w:val="006976C7"/>
    <w:rsid w:val="00697DEF"/>
    <w:rsid w:val="006A0052"/>
    <w:rsid w:val="006A0314"/>
    <w:rsid w:val="006A076F"/>
    <w:rsid w:val="006A0A9E"/>
    <w:rsid w:val="006A13CA"/>
    <w:rsid w:val="006A15F7"/>
    <w:rsid w:val="006A169E"/>
    <w:rsid w:val="006A1F1C"/>
    <w:rsid w:val="006A3156"/>
    <w:rsid w:val="006A35F2"/>
    <w:rsid w:val="006A3836"/>
    <w:rsid w:val="006A3AB6"/>
    <w:rsid w:val="006A3DD3"/>
    <w:rsid w:val="006A42C1"/>
    <w:rsid w:val="006A4625"/>
    <w:rsid w:val="006A4732"/>
    <w:rsid w:val="006A4733"/>
    <w:rsid w:val="006A47AE"/>
    <w:rsid w:val="006A47F2"/>
    <w:rsid w:val="006A4B99"/>
    <w:rsid w:val="006A54FA"/>
    <w:rsid w:val="006A5692"/>
    <w:rsid w:val="006A5B5E"/>
    <w:rsid w:val="006A5E07"/>
    <w:rsid w:val="006A67CB"/>
    <w:rsid w:val="006A7843"/>
    <w:rsid w:val="006A7C58"/>
    <w:rsid w:val="006B0305"/>
    <w:rsid w:val="006B0368"/>
    <w:rsid w:val="006B0F6E"/>
    <w:rsid w:val="006B1415"/>
    <w:rsid w:val="006B1913"/>
    <w:rsid w:val="006B1D7B"/>
    <w:rsid w:val="006B27D4"/>
    <w:rsid w:val="006B2C9C"/>
    <w:rsid w:val="006B2D18"/>
    <w:rsid w:val="006B3510"/>
    <w:rsid w:val="006B3902"/>
    <w:rsid w:val="006B48EB"/>
    <w:rsid w:val="006B490F"/>
    <w:rsid w:val="006B4924"/>
    <w:rsid w:val="006B4C00"/>
    <w:rsid w:val="006B4F24"/>
    <w:rsid w:val="006B5626"/>
    <w:rsid w:val="006B56FC"/>
    <w:rsid w:val="006B6034"/>
    <w:rsid w:val="006B62CE"/>
    <w:rsid w:val="006B6845"/>
    <w:rsid w:val="006B694C"/>
    <w:rsid w:val="006B6D37"/>
    <w:rsid w:val="006B6DAA"/>
    <w:rsid w:val="006B6DDA"/>
    <w:rsid w:val="006B73D9"/>
    <w:rsid w:val="006B76FA"/>
    <w:rsid w:val="006B7DF0"/>
    <w:rsid w:val="006B7E74"/>
    <w:rsid w:val="006C0092"/>
    <w:rsid w:val="006C00C2"/>
    <w:rsid w:val="006C0267"/>
    <w:rsid w:val="006C0D75"/>
    <w:rsid w:val="006C1669"/>
    <w:rsid w:val="006C1748"/>
    <w:rsid w:val="006C1C48"/>
    <w:rsid w:val="006C31A4"/>
    <w:rsid w:val="006C3C1D"/>
    <w:rsid w:val="006C419B"/>
    <w:rsid w:val="006C41FF"/>
    <w:rsid w:val="006C5145"/>
    <w:rsid w:val="006C5A19"/>
    <w:rsid w:val="006C5E5C"/>
    <w:rsid w:val="006C65A8"/>
    <w:rsid w:val="006C68C3"/>
    <w:rsid w:val="006C7D82"/>
    <w:rsid w:val="006C7E7F"/>
    <w:rsid w:val="006D05AD"/>
    <w:rsid w:val="006D0EC1"/>
    <w:rsid w:val="006D12CD"/>
    <w:rsid w:val="006D16F8"/>
    <w:rsid w:val="006D1813"/>
    <w:rsid w:val="006D24A9"/>
    <w:rsid w:val="006D2AF3"/>
    <w:rsid w:val="006D4AFA"/>
    <w:rsid w:val="006D4B64"/>
    <w:rsid w:val="006D4D79"/>
    <w:rsid w:val="006D4FBD"/>
    <w:rsid w:val="006D57EF"/>
    <w:rsid w:val="006D5879"/>
    <w:rsid w:val="006D63FD"/>
    <w:rsid w:val="006D65B4"/>
    <w:rsid w:val="006D73E9"/>
    <w:rsid w:val="006D754A"/>
    <w:rsid w:val="006D76D4"/>
    <w:rsid w:val="006D7B9C"/>
    <w:rsid w:val="006E04C6"/>
    <w:rsid w:val="006E0A65"/>
    <w:rsid w:val="006E0E6C"/>
    <w:rsid w:val="006E1717"/>
    <w:rsid w:val="006E1B01"/>
    <w:rsid w:val="006E33B3"/>
    <w:rsid w:val="006E3E3D"/>
    <w:rsid w:val="006E4836"/>
    <w:rsid w:val="006E4DCB"/>
    <w:rsid w:val="006E5C6F"/>
    <w:rsid w:val="006E5DDD"/>
    <w:rsid w:val="006E6470"/>
    <w:rsid w:val="006E6AF7"/>
    <w:rsid w:val="006E71A9"/>
    <w:rsid w:val="006E752F"/>
    <w:rsid w:val="006E76B7"/>
    <w:rsid w:val="006E7811"/>
    <w:rsid w:val="006E78E3"/>
    <w:rsid w:val="006E7996"/>
    <w:rsid w:val="006F04DA"/>
    <w:rsid w:val="006F0557"/>
    <w:rsid w:val="006F083C"/>
    <w:rsid w:val="006F0ADF"/>
    <w:rsid w:val="006F0EA3"/>
    <w:rsid w:val="006F1754"/>
    <w:rsid w:val="006F1B5D"/>
    <w:rsid w:val="006F212B"/>
    <w:rsid w:val="006F2BCA"/>
    <w:rsid w:val="006F37F7"/>
    <w:rsid w:val="006F3A3E"/>
    <w:rsid w:val="006F49D0"/>
    <w:rsid w:val="006F4A61"/>
    <w:rsid w:val="006F4ADC"/>
    <w:rsid w:val="006F523F"/>
    <w:rsid w:val="006F5CF2"/>
    <w:rsid w:val="006F643D"/>
    <w:rsid w:val="006F65C2"/>
    <w:rsid w:val="006F675C"/>
    <w:rsid w:val="006F6D13"/>
    <w:rsid w:val="006F7759"/>
    <w:rsid w:val="006F7D95"/>
    <w:rsid w:val="00700D41"/>
    <w:rsid w:val="00701073"/>
    <w:rsid w:val="00701B21"/>
    <w:rsid w:val="00702384"/>
    <w:rsid w:val="00704BA8"/>
    <w:rsid w:val="00704BAE"/>
    <w:rsid w:val="00705807"/>
    <w:rsid w:val="00705C74"/>
    <w:rsid w:val="00705C78"/>
    <w:rsid w:val="00706080"/>
    <w:rsid w:val="007060E1"/>
    <w:rsid w:val="0070612C"/>
    <w:rsid w:val="0070656A"/>
    <w:rsid w:val="00706824"/>
    <w:rsid w:val="00706B85"/>
    <w:rsid w:val="0070711B"/>
    <w:rsid w:val="007071FC"/>
    <w:rsid w:val="0070726D"/>
    <w:rsid w:val="0070766B"/>
    <w:rsid w:val="00707C84"/>
    <w:rsid w:val="007100E4"/>
    <w:rsid w:val="00710A59"/>
    <w:rsid w:val="00710D10"/>
    <w:rsid w:val="00710F20"/>
    <w:rsid w:val="00710FDE"/>
    <w:rsid w:val="007116C7"/>
    <w:rsid w:val="0071179D"/>
    <w:rsid w:val="00711C5A"/>
    <w:rsid w:val="00711CD0"/>
    <w:rsid w:val="00711FB2"/>
    <w:rsid w:val="0071218A"/>
    <w:rsid w:val="00712B66"/>
    <w:rsid w:val="0071317B"/>
    <w:rsid w:val="00713450"/>
    <w:rsid w:val="00713C31"/>
    <w:rsid w:val="00713E9C"/>
    <w:rsid w:val="0071428D"/>
    <w:rsid w:val="00714481"/>
    <w:rsid w:val="007144C9"/>
    <w:rsid w:val="007147EE"/>
    <w:rsid w:val="0071524F"/>
    <w:rsid w:val="0071556F"/>
    <w:rsid w:val="007156A1"/>
    <w:rsid w:val="0071571A"/>
    <w:rsid w:val="007158CA"/>
    <w:rsid w:val="00716B3C"/>
    <w:rsid w:val="00716FA2"/>
    <w:rsid w:val="007170C2"/>
    <w:rsid w:val="00717EE4"/>
    <w:rsid w:val="00717F2D"/>
    <w:rsid w:val="00720453"/>
    <w:rsid w:val="0072061C"/>
    <w:rsid w:val="00720853"/>
    <w:rsid w:val="00722129"/>
    <w:rsid w:val="00722930"/>
    <w:rsid w:val="00724173"/>
    <w:rsid w:val="00724ABA"/>
    <w:rsid w:val="007254C8"/>
    <w:rsid w:val="00726730"/>
    <w:rsid w:val="00730598"/>
    <w:rsid w:val="00731C24"/>
    <w:rsid w:val="0073257E"/>
    <w:rsid w:val="00732A32"/>
    <w:rsid w:val="00732C30"/>
    <w:rsid w:val="00733066"/>
    <w:rsid w:val="00733469"/>
    <w:rsid w:val="00733539"/>
    <w:rsid w:val="00733A3C"/>
    <w:rsid w:val="00735284"/>
    <w:rsid w:val="0073539E"/>
    <w:rsid w:val="00735557"/>
    <w:rsid w:val="00735B71"/>
    <w:rsid w:val="00737108"/>
    <w:rsid w:val="007379CE"/>
    <w:rsid w:val="00737F4A"/>
    <w:rsid w:val="007400AB"/>
    <w:rsid w:val="007403C1"/>
    <w:rsid w:val="007419A7"/>
    <w:rsid w:val="00741B21"/>
    <w:rsid w:val="00741DD8"/>
    <w:rsid w:val="00741E49"/>
    <w:rsid w:val="0074225B"/>
    <w:rsid w:val="0074250D"/>
    <w:rsid w:val="007425FB"/>
    <w:rsid w:val="00742C40"/>
    <w:rsid w:val="00743091"/>
    <w:rsid w:val="007432EE"/>
    <w:rsid w:val="007445E2"/>
    <w:rsid w:val="007449F9"/>
    <w:rsid w:val="00745496"/>
    <w:rsid w:val="007460DA"/>
    <w:rsid w:val="00746D04"/>
    <w:rsid w:val="0074705B"/>
    <w:rsid w:val="007470EC"/>
    <w:rsid w:val="007472D3"/>
    <w:rsid w:val="007478A8"/>
    <w:rsid w:val="00747B1D"/>
    <w:rsid w:val="00750015"/>
    <w:rsid w:val="0075020B"/>
    <w:rsid w:val="007502F0"/>
    <w:rsid w:val="00750D47"/>
    <w:rsid w:val="00751017"/>
    <w:rsid w:val="007511F4"/>
    <w:rsid w:val="007517C4"/>
    <w:rsid w:val="00751960"/>
    <w:rsid w:val="00752AA8"/>
    <w:rsid w:val="007535C7"/>
    <w:rsid w:val="007552FC"/>
    <w:rsid w:val="00755795"/>
    <w:rsid w:val="007563FA"/>
    <w:rsid w:val="00756551"/>
    <w:rsid w:val="007565E0"/>
    <w:rsid w:val="00757590"/>
    <w:rsid w:val="00757769"/>
    <w:rsid w:val="00757E2C"/>
    <w:rsid w:val="0076067E"/>
    <w:rsid w:val="00760CFF"/>
    <w:rsid w:val="0076196E"/>
    <w:rsid w:val="00761BFD"/>
    <w:rsid w:val="00761D5C"/>
    <w:rsid w:val="00761FE5"/>
    <w:rsid w:val="007620BF"/>
    <w:rsid w:val="00762476"/>
    <w:rsid w:val="00762A18"/>
    <w:rsid w:val="00762E4B"/>
    <w:rsid w:val="00763AE2"/>
    <w:rsid w:val="007640BD"/>
    <w:rsid w:val="00764530"/>
    <w:rsid w:val="0076467D"/>
    <w:rsid w:val="007649E7"/>
    <w:rsid w:val="007655E9"/>
    <w:rsid w:val="0076632E"/>
    <w:rsid w:val="007669BB"/>
    <w:rsid w:val="00766D90"/>
    <w:rsid w:val="00767C19"/>
    <w:rsid w:val="00767D4E"/>
    <w:rsid w:val="00770AF0"/>
    <w:rsid w:val="00771067"/>
    <w:rsid w:val="00771404"/>
    <w:rsid w:val="007722ED"/>
    <w:rsid w:val="00772CB9"/>
    <w:rsid w:val="007736B6"/>
    <w:rsid w:val="00773A1D"/>
    <w:rsid w:val="0077408B"/>
    <w:rsid w:val="00774531"/>
    <w:rsid w:val="007747C0"/>
    <w:rsid w:val="00774A04"/>
    <w:rsid w:val="00774AF6"/>
    <w:rsid w:val="00774EC8"/>
    <w:rsid w:val="0077579A"/>
    <w:rsid w:val="00776781"/>
    <w:rsid w:val="00776865"/>
    <w:rsid w:val="00776C6B"/>
    <w:rsid w:val="00776EE1"/>
    <w:rsid w:val="0077729B"/>
    <w:rsid w:val="00777328"/>
    <w:rsid w:val="0077743E"/>
    <w:rsid w:val="007776CC"/>
    <w:rsid w:val="00777CE9"/>
    <w:rsid w:val="00780A3C"/>
    <w:rsid w:val="00780D05"/>
    <w:rsid w:val="00780DB0"/>
    <w:rsid w:val="00782726"/>
    <w:rsid w:val="00782D0D"/>
    <w:rsid w:val="00783C7B"/>
    <w:rsid w:val="00784D2A"/>
    <w:rsid w:val="00784F05"/>
    <w:rsid w:val="0078556C"/>
    <w:rsid w:val="007855C5"/>
    <w:rsid w:val="007856D3"/>
    <w:rsid w:val="00785ABD"/>
    <w:rsid w:val="007860C6"/>
    <w:rsid w:val="00786254"/>
    <w:rsid w:val="00786DB0"/>
    <w:rsid w:val="00786ED2"/>
    <w:rsid w:val="00787D47"/>
    <w:rsid w:val="0079014E"/>
    <w:rsid w:val="00790A6E"/>
    <w:rsid w:val="00790E47"/>
    <w:rsid w:val="0079148B"/>
    <w:rsid w:val="00792419"/>
    <w:rsid w:val="00792971"/>
    <w:rsid w:val="00792F48"/>
    <w:rsid w:val="00793457"/>
    <w:rsid w:val="007935C6"/>
    <w:rsid w:val="007940CE"/>
    <w:rsid w:val="00794129"/>
    <w:rsid w:val="00794516"/>
    <w:rsid w:val="00794878"/>
    <w:rsid w:val="00794AF7"/>
    <w:rsid w:val="0079526A"/>
    <w:rsid w:val="00795512"/>
    <w:rsid w:val="00795AB7"/>
    <w:rsid w:val="00795E37"/>
    <w:rsid w:val="0079694C"/>
    <w:rsid w:val="00796BB7"/>
    <w:rsid w:val="00796D89"/>
    <w:rsid w:val="00796DA2"/>
    <w:rsid w:val="00797EBB"/>
    <w:rsid w:val="007A0415"/>
    <w:rsid w:val="007A06BA"/>
    <w:rsid w:val="007A15EE"/>
    <w:rsid w:val="007A161D"/>
    <w:rsid w:val="007A2223"/>
    <w:rsid w:val="007A278F"/>
    <w:rsid w:val="007A27BD"/>
    <w:rsid w:val="007A294A"/>
    <w:rsid w:val="007A3BE9"/>
    <w:rsid w:val="007A45BB"/>
    <w:rsid w:val="007A4C96"/>
    <w:rsid w:val="007A51A6"/>
    <w:rsid w:val="007A523D"/>
    <w:rsid w:val="007A52EE"/>
    <w:rsid w:val="007A5542"/>
    <w:rsid w:val="007A5629"/>
    <w:rsid w:val="007A56E5"/>
    <w:rsid w:val="007A57B9"/>
    <w:rsid w:val="007A58F2"/>
    <w:rsid w:val="007A5DC0"/>
    <w:rsid w:val="007A60CA"/>
    <w:rsid w:val="007A6F0F"/>
    <w:rsid w:val="007A708C"/>
    <w:rsid w:val="007A7444"/>
    <w:rsid w:val="007A75B5"/>
    <w:rsid w:val="007A7985"/>
    <w:rsid w:val="007A7A59"/>
    <w:rsid w:val="007A7ABE"/>
    <w:rsid w:val="007B03C5"/>
    <w:rsid w:val="007B0D05"/>
    <w:rsid w:val="007B0FFC"/>
    <w:rsid w:val="007B23E6"/>
    <w:rsid w:val="007B2487"/>
    <w:rsid w:val="007B26E1"/>
    <w:rsid w:val="007B2995"/>
    <w:rsid w:val="007B2F5C"/>
    <w:rsid w:val="007B3045"/>
    <w:rsid w:val="007B4699"/>
    <w:rsid w:val="007B4C0F"/>
    <w:rsid w:val="007B5E25"/>
    <w:rsid w:val="007B5E66"/>
    <w:rsid w:val="007B624C"/>
    <w:rsid w:val="007B6E0E"/>
    <w:rsid w:val="007B7014"/>
    <w:rsid w:val="007B73FD"/>
    <w:rsid w:val="007B7862"/>
    <w:rsid w:val="007C01A2"/>
    <w:rsid w:val="007C17AA"/>
    <w:rsid w:val="007C27FB"/>
    <w:rsid w:val="007C2CBB"/>
    <w:rsid w:val="007C2D05"/>
    <w:rsid w:val="007C309C"/>
    <w:rsid w:val="007C33D3"/>
    <w:rsid w:val="007C34AC"/>
    <w:rsid w:val="007C4209"/>
    <w:rsid w:val="007C50F5"/>
    <w:rsid w:val="007C5349"/>
    <w:rsid w:val="007C53B0"/>
    <w:rsid w:val="007C5845"/>
    <w:rsid w:val="007C5CA4"/>
    <w:rsid w:val="007C5EB9"/>
    <w:rsid w:val="007C6297"/>
    <w:rsid w:val="007C7449"/>
    <w:rsid w:val="007C76AC"/>
    <w:rsid w:val="007C7EA5"/>
    <w:rsid w:val="007D1A95"/>
    <w:rsid w:val="007D1E36"/>
    <w:rsid w:val="007D1E69"/>
    <w:rsid w:val="007D2266"/>
    <w:rsid w:val="007D245E"/>
    <w:rsid w:val="007D2DF8"/>
    <w:rsid w:val="007D2E3D"/>
    <w:rsid w:val="007D3469"/>
    <w:rsid w:val="007D3764"/>
    <w:rsid w:val="007D43F9"/>
    <w:rsid w:val="007D4419"/>
    <w:rsid w:val="007D485A"/>
    <w:rsid w:val="007D54FF"/>
    <w:rsid w:val="007D5515"/>
    <w:rsid w:val="007D574E"/>
    <w:rsid w:val="007D57D4"/>
    <w:rsid w:val="007D5FB0"/>
    <w:rsid w:val="007D6315"/>
    <w:rsid w:val="007D6691"/>
    <w:rsid w:val="007D724A"/>
    <w:rsid w:val="007D75A3"/>
    <w:rsid w:val="007E082E"/>
    <w:rsid w:val="007E0B22"/>
    <w:rsid w:val="007E16E2"/>
    <w:rsid w:val="007E19FE"/>
    <w:rsid w:val="007E1AAC"/>
    <w:rsid w:val="007E1C16"/>
    <w:rsid w:val="007E2257"/>
    <w:rsid w:val="007E2CDC"/>
    <w:rsid w:val="007E3B9C"/>
    <w:rsid w:val="007E3E80"/>
    <w:rsid w:val="007E4A2F"/>
    <w:rsid w:val="007E5C4A"/>
    <w:rsid w:val="007E5D77"/>
    <w:rsid w:val="007E6915"/>
    <w:rsid w:val="007E6F55"/>
    <w:rsid w:val="007E74CA"/>
    <w:rsid w:val="007E7699"/>
    <w:rsid w:val="007E7AD3"/>
    <w:rsid w:val="007F0070"/>
    <w:rsid w:val="007F0140"/>
    <w:rsid w:val="007F0441"/>
    <w:rsid w:val="007F09A1"/>
    <w:rsid w:val="007F0E99"/>
    <w:rsid w:val="007F1EF0"/>
    <w:rsid w:val="007F20F1"/>
    <w:rsid w:val="007F3452"/>
    <w:rsid w:val="007F3D63"/>
    <w:rsid w:val="007F40FA"/>
    <w:rsid w:val="007F4224"/>
    <w:rsid w:val="007F4298"/>
    <w:rsid w:val="007F4C50"/>
    <w:rsid w:val="007F4DD2"/>
    <w:rsid w:val="007F4F03"/>
    <w:rsid w:val="007F4FB9"/>
    <w:rsid w:val="007F5855"/>
    <w:rsid w:val="007F6F50"/>
    <w:rsid w:val="007F7022"/>
    <w:rsid w:val="007F745B"/>
    <w:rsid w:val="007F7690"/>
    <w:rsid w:val="007F7AB8"/>
    <w:rsid w:val="007F7E24"/>
    <w:rsid w:val="007F7ECE"/>
    <w:rsid w:val="0080084E"/>
    <w:rsid w:val="0080101F"/>
    <w:rsid w:val="008011CC"/>
    <w:rsid w:val="00801404"/>
    <w:rsid w:val="008017AA"/>
    <w:rsid w:val="008019E9"/>
    <w:rsid w:val="00801CBA"/>
    <w:rsid w:val="00801D92"/>
    <w:rsid w:val="00802BE7"/>
    <w:rsid w:val="00803C7F"/>
    <w:rsid w:val="008046C6"/>
    <w:rsid w:val="00804795"/>
    <w:rsid w:val="00804BCF"/>
    <w:rsid w:val="00804FA4"/>
    <w:rsid w:val="00805275"/>
    <w:rsid w:val="008059E8"/>
    <w:rsid w:val="00805FBC"/>
    <w:rsid w:val="00806A62"/>
    <w:rsid w:val="00806ADB"/>
    <w:rsid w:val="00806E55"/>
    <w:rsid w:val="008075CE"/>
    <w:rsid w:val="008104F8"/>
    <w:rsid w:val="008108A7"/>
    <w:rsid w:val="00812179"/>
    <w:rsid w:val="008124E2"/>
    <w:rsid w:val="00813421"/>
    <w:rsid w:val="00813747"/>
    <w:rsid w:val="0081389D"/>
    <w:rsid w:val="00813928"/>
    <w:rsid w:val="00815321"/>
    <w:rsid w:val="008166DB"/>
    <w:rsid w:val="008173E0"/>
    <w:rsid w:val="008175C1"/>
    <w:rsid w:val="008200D4"/>
    <w:rsid w:val="0082023B"/>
    <w:rsid w:val="00820370"/>
    <w:rsid w:val="00820CC6"/>
    <w:rsid w:val="00820CE6"/>
    <w:rsid w:val="00821B6E"/>
    <w:rsid w:val="00822C41"/>
    <w:rsid w:val="008236BA"/>
    <w:rsid w:val="00823E39"/>
    <w:rsid w:val="0082424E"/>
    <w:rsid w:val="00825043"/>
    <w:rsid w:val="00825267"/>
    <w:rsid w:val="00825A56"/>
    <w:rsid w:val="00825F7A"/>
    <w:rsid w:val="00826127"/>
    <w:rsid w:val="00826223"/>
    <w:rsid w:val="008264EC"/>
    <w:rsid w:val="008269F9"/>
    <w:rsid w:val="00827C0D"/>
    <w:rsid w:val="00830642"/>
    <w:rsid w:val="00831207"/>
    <w:rsid w:val="00831250"/>
    <w:rsid w:val="00831812"/>
    <w:rsid w:val="00831D8D"/>
    <w:rsid w:val="00833220"/>
    <w:rsid w:val="008333B7"/>
    <w:rsid w:val="008336EC"/>
    <w:rsid w:val="008337B9"/>
    <w:rsid w:val="00834499"/>
    <w:rsid w:val="00834FD2"/>
    <w:rsid w:val="00835084"/>
    <w:rsid w:val="00835184"/>
    <w:rsid w:val="00835569"/>
    <w:rsid w:val="00835802"/>
    <w:rsid w:val="00836295"/>
    <w:rsid w:val="008370EE"/>
    <w:rsid w:val="00837938"/>
    <w:rsid w:val="0084021F"/>
    <w:rsid w:val="0084047E"/>
    <w:rsid w:val="00840760"/>
    <w:rsid w:val="0084093F"/>
    <w:rsid w:val="0084097B"/>
    <w:rsid w:val="0084098A"/>
    <w:rsid w:val="00840DB0"/>
    <w:rsid w:val="00840EDE"/>
    <w:rsid w:val="0084138E"/>
    <w:rsid w:val="008418A5"/>
    <w:rsid w:val="00842A8C"/>
    <w:rsid w:val="00843548"/>
    <w:rsid w:val="0084383C"/>
    <w:rsid w:val="00843CC0"/>
    <w:rsid w:val="00844322"/>
    <w:rsid w:val="00844ADD"/>
    <w:rsid w:val="00844E24"/>
    <w:rsid w:val="0084534E"/>
    <w:rsid w:val="00845874"/>
    <w:rsid w:val="00846062"/>
    <w:rsid w:val="0084634A"/>
    <w:rsid w:val="008474C1"/>
    <w:rsid w:val="00847C1C"/>
    <w:rsid w:val="0085055E"/>
    <w:rsid w:val="00850C3B"/>
    <w:rsid w:val="008511AD"/>
    <w:rsid w:val="00851605"/>
    <w:rsid w:val="0085266F"/>
    <w:rsid w:val="00852CA0"/>
    <w:rsid w:val="00852D85"/>
    <w:rsid w:val="00852F6C"/>
    <w:rsid w:val="00852F81"/>
    <w:rsid w:val="008537A4"/>
    <w:rsid w:val="008543BE"/>
    <w:rsid w:val="0085465C"/>
    <w:rsid w:val="00854967"/>
    <w:rsid w:val="00854B2A"/>
    <w:rsid w:val="00854D30"/>
    <w:rsid w:val="0085540B"/>
    <w:rsid w:val="00855511"/>
    <w:rsid w:val="00855788"/>
    <w:rsid w:val="0085582C"/>
    <w:rsid w:val="0085590A"/>
    <w:rsid w:val="00855B02"/>
    <w:rsid w:val="00855FD3"/>
    <w:rsid w:val="00856053"/>
    <w:rsid w:val="0085652F"/>
    <w:rsid w:val="00857086"/>
    <w:rsid w:val="00857572"/>
    <w:rsid w:val="00860B32"/>
    <w:rsid w:val="00860F4D"/>
    <w:rsid w:val="008611A7"/>
    <w:rsid w:val="008611DE"/>
    <w:rsid w:val="00861375"/>
    <w:rsid w:val="00861C3A"/>
    <w:rsid w:val="00861C56"/>
    <w:rsid w:val="00861F29"/>
    <w:rsid w:val="008620A2"/>
    <w:rsid w:val="00862741"/>
    <w:rsid w:val="00862BBD"/>
    <w:rsid w:val="0086324A"/>
    <w:rsid w:val="00863678"/>
    <w:rsid w:val="00863C9F"/>
    <w:rsid w:val="00864465"/>
    <w:rsid w:val="008645C4"/>
    <w:rsid w:val="008645D6"/>
    <w:rsid w:val="008647BB"/>
    <w:rsid w:val="00864AF5"/>
    <w:rsid w:val="00864F02"/>
    <w:rsid w:val="00864FFC"/>
    <w:rsid w:val="0086552B"/>
    <w:rsid w:val="008655A2"/>
    <w:rsid w:val="0086584F"/>
    <w:rsid w:val="00866A31"/>
    <w:rsid w:val="00866EEA"/>
    <w:rsid w:val="0086703F"/>
    <w:rsid w:val="008671C7"/>
    <w:rsid w:val="00867EB8"/>
    <w:rsid w:val="008700BC"/>
    <w:rsid w:val="00870335"/>
    <w:rsid w:val="00870AA2"/>
    <w:rsid w:val="00870CB8"/>
    <w:rsid w:val="008711E6"/>
    <w:rsid w:val="00872386"/>
    <w:rsid w:val="008724F5"/>
    <w:rsid w:val="00873D88"/>
    <w:rsid w:val="0087433B"/>
    <w:rsid w:val="00874674"/>
    <w:rsid w:val="008746B1"/>
    <w:rsid w:val="00874743"/>
    <w:rsid w:val="0087521E"/>
    <w:rsid w:val="00875605"/>
    <w:rsid w:val="0087571E"/>
    <w:rsid w:val="0087621E"/>
    <w:rsid w:val="00876255"/>
    <w:rsid w:val="008767B2"/>
    <w:rsid w:val="00876E74"/>
    <w:rsid w:val="00877328"/>
    <w:rsid w:val="0087787A"/>
    <w:rsid w:val="00877AD6"/>
    <w:rsid w:val="00877CF7"/>
    <w:rsid w:val="008802E2"/>
    <w:rsid w:val="008802F0"/>
    <w:rsid w:val="0088095C"/>
    <w:rsid w:val="00880992"/>
    <w:rsid w:val="00880CEF"/>
    <w:rsid w:val="00881210"/>
    <w:rsid w:val="00881332"/>
    <w:rsid w:val="00881692"/>
    <w:rsid w:val="00881A9B"/>
    <w:rsid w:val="00881FE8"/>
    <w:rsid w:val="00883143"/>
    <w:rsid w:val="00883699"/>
    <w:rsid w:val="0088523D"/>
    <w:rsid w:val="00885D72"/>
    <w:rsid w:val="00886154"/>
    <w:rsid w:val="0088622E"/>
    <w:rsid w:val="00886C70"/>
    <w:rsid w:val="008872AD"/>
    <w:rsid w:val="00887755"/>
    <w:rsid w:val="0089002A"/>
    <w:rsid w:val="00890277"/>
    <w:rsid w:val="0089061A"/>
    <w:rsid w:val="00891254"/>
    <w:rsid w:val="008912A1"/>
    <w:rsid w:val="008915C6"/>
    <w:rsid w:val="00891677"/>
    <w:rsid w:val="00891A95"/>
    <w:rsid w:val="00892022"/>
    <w:rsid w:val="00892B81"/>
    <w:rsid w:val="00892C56"/>
    <w:rsid w:val="00892DB5"/>
    <w:rsid w:val="00893978"/>
    <w:rsid w:val="00894B61"/>
    <w:rsid w:val="00894CE0"/>
    <w:rsid w:val="00895255"/>
    <w:rsid w:val="00895544"/>
    <w:rsid w:val="00895DF1"/>
    <w:rsid w:val="00896394"/>
    <w:rsid w:val="00896645"/>
    <w:rsid w:val="00896B0C"/>
    <w:rsid w:val="00896B25"/>
    <w:rsid w:val="0089758D"/>
    <w:rsid w:val="008975D2"/>
    <w:rsid w:val="00897DE6"/>
    <w:rsid w:val="00897ED8"/>
    <w:rsid w:val="008A035B"/>
    <w:rsid w:val="008A0459"/>
    <w:rsid w:val="008A0703"/>
    <w:rsid w:val="008A08DD"/>
    <w:rsid w:val="008A0D2B"/>
    <w:rsid w:val="008A1218"/>
    <w:rsid w:val="008A15B6"/>
    <w:rsid w:val="008A1A6E"/>
    <w:rsid w:val="008A202A"/>
    <w:rsid w:val="008A22EB"/>
    <w:rsid w:val="008A2ECB"/>
    <w:rsid w:val="008A2F31"/>
    <w:rsid w:val="008A36C9"/>
    <w:rsid w:val="008A3ECA"/>
    <w:rsid w:val="008A4EF0"/>
    <w:rsid w:val="008A5858"/>
    <w:rsid w:val="008A5AF9"/>
    <w:rsid w:val="008A5C22"/>
    <w:rsid w:val="008A65C3"/>
    <w:rsid w:val="008A6AC7"/>
    <w:rsid w:val="008A6C1F"/>
    <w:rsid w:val="008A7052"/>
    <w:rsid w:val="008A7519"/>
    <w:rsid w:val="008B1076"/>
    <w:rsid w:val="008B16DE"/>
    <w:rsid w:val="008B2000"/>
    <w:rsid w:val="008B251F"/>
    <w:rsid w:val="008B2602"/>
    <w:rsid w:val="008B2727"/>
    <w:rsid w:val="008B316B"/>
    <w:rsid w:val="008B339C"/>
    <w:rsid w:val="008B3792"/>
    <w:rsid w:val="008B3B4C"/>
    <w:rsid w:val="008B3D70"/>
    <w:rsid w:val="008B42DF"/>
    <w:rsid w:val="008B4571"/>
    <w:rsid w:val="008B4A15"/>
    <w:rsid w:val="008B4FAA"/>
    <w:rsid w:val="008B5059"/>
    <w:rsid w:val="008B5BF2"/>
    <w:rsid w:val="008B6934"/>
    <w:rsid w:val="008B6CF8"/>
    <w:rsid w:val="008B72F6"/>
    <w:rsid w:val="008B73BE"/>
    <w:rsid w:val="008B75E3"/>
    <w:rsid w:val="008B7A6A"/>
    <w:rsid w:val="008B7C83"/>
    <w:rsid w:val="008C02A6"/>
    <w:rsid w:val="008C0788"/>
    <w:rsid w:val="008C119E"/>
    <w:rsid w:val="008C1E24"/>
    <w:rsid w:val="008C1ED1"/>
    <w:rsid w:val="008C296B"/>
    <w:rsid w:val="008C2A46"/>
    <w:rsid w:val="008C30E9"/>
    <w:rsid w:val="008C357D"/>
    <w:rsid w:val="008C3D47"/>
    <w:rsid w:val="008C4278"/>
    <w:rsid w:val="008C48AB"/>
    <w:rsid w:val="008C520E"/>
    <w:rsid w:val="008C563B"/>
    <w:rsid w:val="008C567E"/>
    <w:rsid w:val="008C5DEE"/>
    <w:rsid w:val="008C6285"/>
    <w:rsid w:val="008C695C"/>
    <w:rsid w:val="008C6CF9"/>
    <w:rsid w:val="008C7182"/>
    <w:rsid w:val="008C7268"/>
    <w:rsid w:val="008C729B"/>
    <w:rsid w:val="008C746A"/>
    <w:rsid w:val="008C7C7E"/>
    <w:rsid w:val="008C7CA5"/>
    <w:rsid w:val="008C7D9D"/>
    <w:rsid w:val="008D00B6"/>
    <w:rsid w:val="008D0416"/>
    <w:rsid w:val="008D0812"/>
    <w:rsid w:val="008D0E6A"/>
    <w:rsid w:val="008D13C6"/>
    <w:rsid w:val="008D1B04"/>
    <w:rsid w:val="008D233B"/>
    <w:rsid w:val="008D2D58"/>
    <w:rsid w:val="008D2D86"/>
    <w:rsid w:val="008D301A"/>
    <w:rsid w:val="008D31FA"/>
    <w:rsid w:val="008D3235"/>
    <w:rsid w:val="008D3369"/>
    <w:rsid w:val="008D33C8"/>
    <w:rsid w:val="008D340D"/>
    <w:rsid w:val="008D359C"/>
    <w:rsid w:val="008D3893"/>
    <w:rsid w:val="008D45CD"/>
    <w:rsid w:val="008D50EB"/>
    <w:rsid w:val="008D5152"/>
    <w:rsid w:val="008D55F1"/>
    <w:rsid w:val="008D5635"/>
    <w:rsid w:val="008D5CD7"/>
    <w:rsid w:val="008D64CE"/>
    <w:rsid w:val="008D718E"/>
    <w:rsid w:val="008D7344"/>
    <w:rsid w:val="008E043E"/>
    <w:rsid w:val="008E05B2"/>
    <w:rsid w:val="008E09C5"/>
    <w:rsid w:val="008E0AA7"/>
    <w:rsid w:val="008E0E52"/>
    <w:rsid w:val="008E15FD"/>
    <w:rsid w:val="008E161B"/>
    <w:rsid w:val="008E1C23"/>
    <w:rsid w:val="008E2355"/>
    <w:rsid w:val="008E2F75"/>
    <w:rsid w:val="008E3151"/>
    <w:rsid w:val="008E3292"/>
    <w:rsid w:val="008E3386"/>
    <w:rsid w:val="008E3403"/>
    <w:rsid w:val="008E3EBF"/>
    <w:rsid w:val="008E500C"/>
    <w:rsid w:val="008E5410"/>
    <w:rsid w:val="008E5A3F"/>
    <w:rsid w:val="008E5E31"/>
    <w:rsid w:val="008E603F"/>
    <w:rsid w:val="008E6641"/>
    <w:rsid w:val="008E679E"/>
    <w:rsid w:val="008E7209"/>
    <w:rsid w:val="008E731B"/>
    <w:rsid w:val="008E7448"/>
    <w:rsid w:val="008E775D"/>
    <w:rsid w:val="008E7AC9"/>
    <w:rsid w:val="008F11BB"/>
    <w:rsid w:val="008F16FF"/>
    <w:rsid w:val="008F182F"/>
    <w:rsid w:val="008F19B0"/>
    <w:rsid w:val="008F1E95"/>
    <w:rsid w:val="008F204E"/>
    <w:rsid w:val="008F22F2"/>
    <w:rsid w:val="008F2304"/>
    <w:rsid w:val="008F278A"/>
    <w:rsid w:val="008F2BAB"/>
    <w:rsid w:val="008F3512"/>
    <w:rsid w:val="008F3A75"/>
    <w:rsid w:val="008F4A0D"/>
    <w:rsid w:val="008F57C7"/>
    <w:rsid w:val="008F57DD"/>
    <w:rsid w:val="008F5AEE"/>
    <w:rsid w:val="008F609D"/>
    <w:rsid w:val="008F6B9E"/>
    <w:rsid w:val="008F6EAA"/>
    <w:rsid w:val="008F7800"/>
    <w:rsid w:val="008F7B56"/>
    <w:rsid w:val="008F7BCA"/>
    <w:rsid w:val="009003DE"/>
    <w:rsid w:val="00900C0A"/>
    <w:rsid w:val="00900F4D"/>
    <w:rsid w:val="00900F92"/>
    <w:rsid w:val="00901503"/>
    <w:rsid w:val="0090167B"/>
    <w:rsid w:val="00902DEC"/>
    <w:rsid w:val="0090342E"/>
    <w:rsid w:val="00903A67"/>
    <w:rsid w:val="00903D3A"/>
    <w:rsid w:val="0090421A"/>
    <w:rsid w:val="009044B9"/>
    <w:rsid w:val="00904651"/>
    <w:rsid w:val="009047B1"/>
    <w:rsid w:val="00904C86"/>
    <w:rsid w:val="009054CF"/>
    <w:rsid w:val="0090680D"/>
    <w:rsid w:val="009069EE"/>
    <w:rsid w:val="0091045D"/>
    <w:rsid w:val="00910575"/>
    <w:rsid w:val="00910B06"/>
    <w:rsid w:val="00912303"/>
    <w:rsid w:val="0091281A"/>
    <w:rsid w:val="00912B24"/>
    <w:rsid w:val="00912C41"/>
    <w:rsid w:val="009139B5"/>
    <w:rsid w:val="00914514"/>
    <w:rsid w:val="00914549"/>
    <w:rsid w:val="00914A0B"/>
    <w:rsid w:val="00914C08"/>
    <w:rsid w:val="00914F2F"/>
    <w:rsid w:val="009153C2"/>
    <w:rsid w:val="00916057"/>
    <w:rsid w:val="0091650F"/>
    <w:rsid w:val="00916AD1"/>
    <w:rsid w:val="00916B5D"/>
    <w:rsid w:val="00917637"/>
    <w:rsid w:val="00917903"/>
    <w:rsid w:val="00917A1C"/>
    <w:rsid w:val="00917FEE"/>
    <w:rsid w:val="0092023D"/>
    <w:rsid w:val="00920472"/>
    <w:rsid w:val="00920670"/>
    <w:rsid w:val="009209D3"/>
    <w:rsid w:val="00921251"/>
    <w:rsid w:val="00921861"/>
    <w:rsid w:val="0092189E"/>
    <w:rsid w:val="009219FD"/>
    <w:rsid w:val="00921D25"/>
    <w:rsid w:val="00921DF7"/>
    <w:rsid w:val="009229CF"/>
    <w:rsid w:val="00924689"/>
    <w:rsid w:val="009248FD"/>
    <w:rsid w:val="009257B0"/>
    <w:rsid w:val="009258BD"/>
    <w:rsid w:val="00925DEB"/>
    <w:rsid w:val="00925F67"/>
    <w:rsid w:val="00925FB2"/>
    <w:rsid w:val="009260D1"/>
    <w:rsid w:val="009263C0"/>
    <w:rsid w:val="00926F07"/>
    <w:rsid w:val="009272BD"/>
    <w:rsid w:val="00927C31"/>
    <w:rsid w:val="009302D4"/>
    <w:rsid w:val="009307F2"/>
    <w:rsid w:val="00930CEC"/>
    <w:rsid w:val="00930F4A"/>
    <w:rsid w:val="009311F2"/>
    <w:rsid w:val="00931671"/>
    <w:rsid w:val="00931DBA"/>
    <w:rsid w:val="0093375E"/>
    <w:rsid w:val="00933BEF"/>
    <w:rsid w:val="00934D06"/>
    <w:rsid w:val="00934DD0"/>
    <w:rsid w:val="0093662F"/>
    <w:rsid w:val="00936D08"/>
    <w:rsid w:val="0093787E"/>
    <w:rsid w:val="00940DE1"/>
    <w:rsid w:val="009412CC"/>
    <w:rsid w:val="00941A19"/>
    <w:rsid w:val="00941D0E"/>
    <w:rsid w:val="00942EDE"/>
    <w:rsid w:val="00943220"/>
    <w:rsid w:val="0094388B"/>
    <w:rsid w:val="00943D09"/>
    <w:rsid w:val="009440AE"/>
    <w:rsid w:val="00944826"/>
    <w:rsid w:val="00944D7B"/>
    <w:rsid w:val="00944ED0"/>
    <w:rsid w:val="009457A1"/>
    <w:rsid w:val="00945ABB"/>
    <w:rsid w:val="009470C5"/>
    <w:rsid w:val="0094743F"/>
    <w:rsid w:val="00947B2D"/>
    <w:rsid w:val="00947C5D"/>
    <w:rsid w:val="00947CA9"/>
    <w:rsid w:val="00950478"/>
    <w:rsid w:val="00950888"/>
    <w:rsid w:val="00950AF9"/>
    <w:rsid w:val="00950B5F"/>
    <w:rsid w:val="00950D35"/>
    <w:rsid w:val="0095144C"/>
    <w:rsid w:val="00951581"/>
    <w:rsid w:val="0095165B"/>
    <w:rsid w:val="00951B17"/>
    <w:rsid w:val="00951B8D"/>
    <w:rsid w:val="00952147"/>
    <w:rsid w:val="009534E8"/>
    <w:rsid w:val="009536A8"/>
    <w:rsid w:val="009543DC"/>
    <w:rsid w:val="0095443D"/>
    <w:rsid w:val="00954596"/>
    <w:rsid w:val="00955851"/>
    <w:rsid w:val="00955E67"/>
    <w:rsid w:val="00956018"/>
    <w:rsid w:val="00957257"/>
    <w:rsid w:val="009573BC"/>
    <w:rsid w:val="00957E23"/>
    <w:rsid w:val="00960C54"/>
    <w:rsid w:val="00961487"/>
    <w:rsid w:val="00961BA7"/>
    <w:rsid w:val="00961C9B"/>
    <w:rsid w:val="00961F01"/>
    <w:rsid w:val="00962162"/>
    <w:rsid w:val="009621F9"/>
    <w:rsid w:val="009623BC"/>
    <w:rsid w:val="0096285D"/>
    <w:rsid w:val="009628BE"/>
    <w:rsid w:val="009631C8"/>
    <w:rsid w:val="009633DF"/>
    <w:rsid w:val="00963AE4"/>
    <w:rsid w:val="00963C14"/>
    <w:rsid w:val="009641F4"/>
    <w:rsid w:val="009645CD"/>
    <w:rsid w:val="009658FD"/>
    <w:rsid w:val="00965940"/>
    <w:rsid w:val="00965A4E"/>
    <w:rsid w:val="00966BE5"/>
    <w:rsid w:val="00966EB0"/>
    <w:rsid w:val="00967DDD"/>
    <w:rsid w:val="009701B7"/>
    <w:rsid w:val="00971116"/>
    <w:rsid w:val="009717FC"/>
    <w:rsid w:val="009720D4"/>
    <w:rsid w:val="0097280D"/>
    <w:rsid w:val="00972E28"/>
    <w:rsid w:val="00973030"/>
    <w:rsid w:val="00973120"/>
    <w:rsid w:val="009733F3"/>
    <w:rsid w:val="00973CD6"/>
    <w:rsid w:val="0097428B"/>
    <w:rsid w:val="0097450C"/>
    <w:rsid w:val="009748E4"/>
    <w:rsid w:val="00974B87"/>
    <w:rsid w:val="009753A5"/>
    <w:rsid w:val="009758BA"/>
    <w:rsid w:val="00975EC7"/>
    <w:rsid w:val="00975FC7"/>
    <w:rsid w:val="00976696"/>
    <w:rsid w:val="00976D65"/>
    <w:rsid w:val="009779E5"/>
    <w:rsid w:val="00977A71"/>
    <w:rsid w:val="00977CE6"/>
    <w:rsid w:val="009800EC"/>
    <w:rsid w:val="00980790"/>
    <w:rsid w:val="009807AC"/>
    <w:rsid w:val="00980C18"/>
    <w:rsid w:val="009810E9"/>
    <w:rsid w:val="0098141C"/>
    <w:rsid w:val="00981AA9"/>
    <w:rsid w:val="00981C91"/>
    <w:rsid w:val="00982274"/>
    <w:rsid w:val="00982C3B"/>
    <w:rsid w:val="00982DCB"/>
    <w:rsid w:val="00983132"/>
    <w:rsid w:val="0098315F"/>
    <w:rsid w:val="00983314"/>
    <w:rsid w:val="00983BF9"/>
    <w:rsid w:val="00983C38"/>
    <w:rsid w:val="00983DF2"/>
    <w:rsid w:val="0098409C"/>
    <w:rsid w:val="0098433A"/>
    <w:rsid w:val="00984CEB"/>
    <w:rsid w:val="009851F7"/>
    <w:rsid w:val="009855AE"/>
    <w:rsid w:val="00985675"/>
    <w:rsid w:val="00985939"/>
    <w:rsid w:val="0098637F"/>
    <w:rsid w:val="009864FA"/>
    <w:rsid w:val="00986A9B"/>
    <w:rsid w:val="00986AA9"/>
    <w:rsid w:val="00986B9C"/>
    <w:rsid w:val="00987694"/>
    <w:rsid w:val="00987BAB"/>
    <w:rsid w:val="00987F63"/>
    <w:rsid w:val="009906BF"/>
    <w:rsid w:val="0099093A"/>
    <w:rsid w:val="00990A5A"/>
    <w:rsid w:val="009912AC"/>
    <w:rsid w:val="009913F3"/>
    <w:rsid w:val="00991A85"/>
    <w:rsid w:val="00991DA1"/>
    <w:rsid w:val="00991EF7"/>
    <w:rsid w:val="00992759"/>
    <w:rsid w:val="009927F1"/>
    <w:rsid w:val="00992BCB"/>
    <w:rsid w:val="00993370"/>
    <w:rsid w:val="009934C6"/>
    <w:rsid w:val="009936C4"/>
    <w:rsid w:val="00993C7B"/>
    <w:rsid w:val="00994612"/>
    <w:rsid w:val="009948ED"/>
    <w:rsid w:val="00994BF9"/>
    <w:rsid w:val="00995ADA"/>
    <w:rsid w:val="0099643A"/>
    <w:rsid w:val="00996F66"/>
    <w:rsid w:val="00997959"/>
    <w:rsid w:val="009A00AD"/>
    <w:rsid w:val="009A0546"/>
    <w:rsid w:val="009A0B47"/>
    <w:rsid w:val="009A0BAF"/>
    <w:rsid w:val="009A0FD7"/>
    <w:rsid w:val="009A1431"/>
    <w:rsid w:val="009A153D"/>
    <w:rsid w:val="009A1634"/>
    <w:rsid w:val="009A300D"/>
    <w:rsid w:val="009A3A34"/>
    <w:rsid w:val="009A3FE2"/>
    <w:rsid w:val="009A400C"/>
    <w:rsid w:val="009A4B2C"/>
    <w:rsid w:val="009A4EE5"/>
    <w:rsid w:val="009A5592"/>
    <w:rsid w:val="009A5675"/>
    <w:rsid w:val="009A59BA"/>
    <w:rsid w:val="009A5AB6"/>
    <w:rsid w:val="009A623B"/>
    <w:rsid w:val="009A6321"/>
    <w:rsid w:val="009A6417"/>
    <w:rsid w:val="009A6431"/>
    <w:rsid w:val="009A64D2"/>
    <w:rsid w:val="009A69C5"/>
    <w:rsid w:val="009A7438"/>
    <w:rsid w:val="009A7535"/>
    <w:rsid w:val="009A76A0"/>
    <w:rsid w:val="009B01DF"/>
    <w:rsid w:val="009B020D"/>
    <w:rsid w:val="009B0379"/>
    <w:rsid w:val="009B053A"/>
    <w:rsid w:val="009B072F"/>
    <w:rsid w:val="009B07A1"/>
    <w:rsid w:val="009B09CC"/>
    <w:rsid w:val="009B173B"/>
    <w:rsid w:val="009B19EC"/>
    <w:rsid w:val="009B1A1A"/>
    <w:rsid w:val="009B1ECF"/>
    <w:rsid w:val="009B2440"/>
    <w:rsid w:val="009B2608"/>
    <w:rsid w:val="009B2A71"/>
    <w:rsid w:val="009B35C3"/>
    <w:rsid w:val="009B35C9"/>
    <w:rsid w:val="009B37F9"/>
    <w:rsid w:val="009B3BFE"/>
    <w:rsid w:val="009B3EB8"/>
    <w:rsid w:val="009B4027"/>
    <w:rsid w:val="009B432B"/>
    <w:rsid w:val="009B4975"/>
    <w:rsid w:val="009B561F"/>
    <w:rsid w:val="009B5773"/>
    <w:rsid w:val="009B5AB8"/>
    <w:rsid w:val="009B5D2D"/>
    <w:rsid w:val="009B7511"/>
    <w:rsid w:val="009C056F"/>
    <w:rsid w:val="009C058F"/>
    <w:rsid w:val="009C0E63"/>
    <w:rsid w:val="009C148E"/>
    <w:rsid w:val="009C239F"/>
    <w:rsid w:val="009C2B3E"/>
    <w:rsid w:val="009C2EA2"/>
    <w:rsid w:val="009C2FEB"/>
    <w:rsid w:val="009C3721"/>
    <w:rsid w:val="009C4141"/>
    <w:rsid w:val="009C4223"/>
    <w:rsid w:val="009C4804"/>
    <w:rsid w:val="009C4B55"/>
    <w:rsid w:val="009C4CB3"/>
    <w:rsid w:val="009C53F6"/>
    <w:rsid w:val="009C5623"/>
    <w:rsid w:val="009C5D6E"/>
    <w:rsid w:val="009C5E4A"/>
    <w:rsid w:val="009C5FCC"/>
    <w:rsid w:val="009C61A2"/>
    <w:rsid w:val="009C6677"/>
    <w:rsid w:val="009C6DF6"/>
    <w:rsid w:val="009C6E92"/>
    <w:rsid w:val="009C727C"/>
    <w:rsid w:val="009C7D32"/>
    <w:rsid w:val="009D04F7"/>
    <w:rsid w:val="009D0D77"/>
    <w:rsid w:val="009D11B5"/>
    <w:rsid w:val="009D1589"/>
    <w:rsid w:val="009D2003"/>
    <w:rsid w:val="009D2378"/>
    <w:rsid w:val="009D30B1"/>
    <w:rsid w:val="009D38C2"/>
    <w:rsid w:val="009D417F"/>
    <w:rsid w:val="009D45E5"/>
    <w:rsid w:val="009D4AAE"/>
    <w:rsid w:val="009D4B85"/>
    <w:rsid w:val="009D52D6"/>
    <w:rsid w:val="009D535B"/>
    <w:rsid w:val="009D6121"/>
    <w:rsid w:val="009D630B"/>
    <w:rsid w:val="009D65FF"/>
    <w:rsid w:val="009D6CAA"/>
    <w:rsid w:val="009D6CF6"/>
    <w:rsid w:val="009D6E69"/>
    <w:rsid w:val="009E02DC"/>
    <w:rsid w:val="009E06EC"/>
    <w:rsid w:val="009E0D7B"/>
    <w:rsid w:val="009E19DA"/>
    <w:rsid w:val="009E2040"/>
    <w:rsid w:val="009E2264"/>
    <w:rsid w:val="009E2337"/>
    <w:rsid w:val="009E2339"/>
    <w:rsid w:val="009E28EF"/>
    <w:rsid w:val="009E29BB"/>
    <w:rsid w:val="009E498F"/>
    <w:rsid w:val="009E49AE"/>
    <w:rsid w:val="009E4DC7"/>
    <w:rsid w:val="009E55BF"/>
    <w:rsid w:val="009E660A"/>
    <w:rsid w:val="009E6B64"/>
    <w:rsid w:val="009E72E5"/>
    <w:rsid w:val="009E79F2"/>
    <w:rsid w:val="009E79FC"/>
    <w:rsid w:val="009E7CB9"/>
    <w:rsid w:val="009F064D"/>
    <w:rsid w:val="009F069D"/>
    <w:rsid w:val="009F1B70"/>
    <w:rsid w:val="009F2772"/>
    <w:rsid w:val="009F280B"/>
    <w:rsid w:val="009F3658"/>
    <w:rsid w:val="009F3B28"/>
    <w:rsid w:val="009F46C8"/>
    <w:rsid w:val="009F4F2A"/>
    <w:rsid w:val="009F5395"/>
    <w:rsid w:val="009F565D"/>
    <w:rsid w:val="009F5B97"/>
    <w:rsid w:val="009F5FA8"/>
    <w:rsid w:val="009F660B"/>
    <w:rsid w:val="009F671E"/>
    <w:rsid w:val="009F6BA6"/>
    <w:rsid w:val="009F7A0E"/>
    <w:rsid w:val="009F7ED1"/>
    <w:rsid w:val="009F7FA4"/>
    <w:rsid w:val="00A0149B"/>
    <w:rsid w:val="00A01582"/>
    <w:rsid w:val="00A01607"/>
    <w:rsid w:val="00A016D8"/>
    <w:rsid w:val="00A018D4"/>
    <w:rsid w:val="00A0277B"/>
    <w:rsid w:val="00A02F9D"/>
    <w:rsid w:val="00A030AC"/>
    <w:rsid w:val="00A03154"/>
    <w:rsid w:val="00A03767"/>
    <w:rsid w:val="00A04834"/>
    <w:rsid w:val="00A05314"/>
    <w:rsid w:val="00A05628"/>
    <w:rsid w:val="00A067F6"/>
    <w:rsid w:val="00A06FEE"/>
    <w:rsid w:val="00A07482"/>
    <w:rsid w:val="00A07DCF"/>
    <w:rsid w:val="00A07E21"/>
    <w:rsid w:val="00A106B1"/>
    <w:rsid w:val="00A10C18"/>
    <w:rsid w:val="00A111FA"/>
    <w:rsid w:val="00A1155B"/>
    <w:rsid w:val="00A126F0"/>
    <w:rsid w:val="00A12979"/>
    <w:rsid w:val="00A131A9"/>
    <w:rsid w:val="00A1341F"/>
    <w:rsid w:val="00A13534"/>
    <w:rsid w:val="00A13739"/>
    <w:rsid w:val="00A1374F"/>
    <w:rsid w:val="00A13C4E"/>
    <w:rsid w:val="00A145A6"/>
    <w:rsid w:val="00A148B0"/>
    <w:rsid w:val="00A1496E"/>
    <w:rsid w:val="00A14ACE"/>
    <w:rsid w:val="00A14E7C"/>
    <w:rsid w:val="00A14F84"/>
    <w:rsid w:val="00A1548B"/>
    <w:rsid w:val="00A16D6D"/>
    <w:rsid w:val="00A17C75"/>
    <w:rsid w:val="00A2064F"/>
    <w:rsid w:val="00A211C8"/>
    <w:rsid w:val="00A2121E"/>
    <w:rsid w:val="00A2136F"/>
    <w:rsid w:val="00A21EAC"/>
    <w:rsid w:val="00A221DE"/>
    <w:rsid w:val="00A22A08"/>
    <w:rsid w:val="00A22C70"/>
    <w:rsid w:val="00A22CB2"/>
    <w:rsid w:val="00A23138"/>
    <w:rsid w:val="00A23940"/>
    <w:rsid w:val="00A23ECC"/>
    <w:rsid w:val="00A24120"/>
    <w:rsid w:val="00A24805"/>
    <w:rsid w:val="00A24A17"/>
    <w:rsid w:val="00A24CD3"/>
    <w:rsid w:val="00A24E06"/>
    <w:rsid w:val="00A25461"/>
    <w:rsid w:val="00A258F1"/>
    <w:rsid w:val="00A25CC7"/>
    <w:rsid w:val="00A25E60"/>
    <w:rsid w:val="00A26360"/>
    <w:rsid w:val="00A26367"/>
    <w:rsid w:val="00A2678A"/>
    <w:rsid w:val="00A269E1"/>
    <w:rsid w:val="00A26AB4"/>
    <w:rsid w:val="00A27121"/>
    <w:rsid w:val="00A27237"/>
    <w:rsid w:val="00A27C06"/>
    <w:rsid w:val="00A27C1C"/>
    <w:rsid w:val="00A30EFF"/>
    <w:rsid w:val="00A30F6A"/>
    <w:rsid w:val="00A31147"/>
    <w:rsid w:val="00A32AEA"/>
    <w:rsid w:val="00A32F32"/>
    <w:rsid w:val="00A33168"/>
    <w:rsid w:val="00A336A4"/>
    <w:rsid w:val="00A33E80"/>
    <w:rsid w:val="00A33EFE"/>
    <w:rsid w:val="00A34666"/>
    <w:rsid w:val="00A3470E"/>
    <w:rsid w:val="00A34D2E"/>
    <w:rsid w:val="00A352D8"/>
    <w:rsid w:val="00A35928"/>
    <w:rsid w:val="00A35B60"/>
    <w:rsid w:val="00A35E76"/>
    <w:rsid w:val="00A3692F"/>
    <w:rsid w:val="00A374AD"/>
    <w:rsid w:val="00A376DA"/>
    <w:rsid w:val="00A40403"/>
    <w:rsid w:val="00A405F9"/>
    <w:rsid w:val="00A4148D"/>
    <w:rsid w:val="00A4188F"/>
    <w:rsid w:val="00A41EB7"/>
    <w:rsid w:val="00A42569"/>
    <w:rsid w:val="00A43039"/>
    <w:rsid w:val="00A43888"/>
    <w:rsid w:val="00A4417B"/>
    <w:rsid w:val="00A44755"/>
    <w:rsid w:val="00A44A88"/>
    <w:rsid w:val="00A44D0E"/>
    <w:rsid w:val="00A44D52"/>
    <w:rsid w:val="00A4621D"/>
    <w:rsid w:val="00A46C59"/>
    <w:rsid w:val="00A47AF7"/>
    <w:rsid w:val="00A509FB"/>
    <w:rsid w:val="00A50EDF"/>
    <w:rsid w:val="00A518C8"/>
    <w:rsid w:val="00A51C19"/>
    <w:rsid w:val="00A51E04"/>
    <w:rsid w:val="00A522B5"/>
    <w:rsid w:val="00A52551"/>
    <w:rsid w:val="00A52C31"/>
    <w:rsid w:val="00A52F37"/>
    <w:rsid w:val="00A533C5"/>
    <w:rsid w:val="00A534A1"/>
    <w:rsid w:val="00A5388C"/>
    <w:rsid w:val="00A5397B"/>
    <w:rsid w:val="00A53BE1"/>
    <w:rsid w:val="00A54644"/>
    <w:rsid w:val="00A55127"/>
    <w:rsid w:val="00A55921"/>
    <w:rsid w:val="00A560E3"/>
    <w:rsid w:val="00A5628F"/>
    <w:rsid w:val="00A564AF"/>
    <w:rsid w:val="00A566A8"/>
    <w:rsid w:val="00A56D0B"/>
    <w:rsid w:val="00A573F2"/>
    <w:rsid w:val="00A5775C"/>
    <w:rsid w:val="00A608E5"/>
    <w:rsid w:val="00A609E6"/>
    <w:rsid w:val="00A60D34"/>
    <w:rsid w:val="00A60E72"/>
    <w:rsid w:val="00A6101A"/>
    <w:rsid w:val="00A61F0C"/>
    <w:rsid w:val="00A61FF0"/>
    <w:rsid w:val="00A62580"/>
    <w:rsid w:val="00A62903"/>
    <w:rsid w:val="00A63AC9"/>
    <w:rsid w:val="00A64502"/>
    <w:rsid w:val="00A64B5F"/>
    <w:rsid w:val="00A64E6F"/>
    <w:rsid w:val="00A6545D"/>
    <w:rsid w:val="00A65EA0"/>
    <w:rsid w:val="00A6601C"/>
    <w:rsid w:val="00A66517"/>
    <w:rsid w:val="00A66570"/>
    <w:rsid w:val="00A66879"/>
    <w:rsid w:val="00A6721E"/>
    <w:rsid w:val="00A67B0E"/>
    <w:rsid w:val="00A67C19"/>
    <w:rsid w:val="00A67D01"/>
    <w:rsid w:val="00A70211"/>
    <w:rsid w:val="00A703E2"/>
    <w:rsid w:val="00A718EF"/>
    <w:rsid w:val="00A72134"/>
    <w:rsid w:val="00A726A8"/>
    <w:rsid w:val="00A72951"/>
    <w:rsid w:val="00A73505"/>
    <w:rsid w:val="00A75848"/>
    <w:rsid w:val="00A75CAA"/>
    <w:rsid w:val="00A75E02"/>
    <w:rsid w:val="00A76C69"/>
    <w:rsid w:val="00A76E79"/>
    <w:rsid w:val="00A7771B"/>
    <w:rsid w:val="00A77B53"/>
    <w:rsid w:val="00A811F1"/>
    <w:rsid w:val="00A81C57"/>
    <w:rsid w:val="00A81EC4"/>
    <w:rsid w:val="00A82192"/>
    <w:rsid w:val="00A82887"/>
    <w:rsid w:val="00A83010"/>
    <w:rsid w:val="00A83B04"/>
    <w:rsid w:val="00A83BF5"/>
    <w:rsid w:val="00A83D36"/>
    <w:rsid w:val="00A84CD1"/>
    <w:rsid w:val="00A8538C"/>
    <w:rsid w:val="00A85E2E"/>
    <w:rsid w:val="00A861F3"/>
    <w:rsid w:val="00A8728F"/>
    <w:rsid w:val="00A87378"/>
    <w:rsid w:val="00A8756A"/>
    <w:rsid w:val="00A87F7D"/>
    <w:rsid w:val="00A903E8"/>
    <w:rsid w:val="00A906B7"/>
    <w:rsid w:val="00A9070E"/>
    <w:rsid w:val="00A907A6"/>
    <w:rsid w:val="00A90F1F"/>
    <w:rsid w:val="00A9163C"/>
    <w:rsid w:val="00A91EC3"/>
    <w:rsid w:val="00A92DD4"/>
    <w:rsid w:val="00A93A20"/>
    <w:rsid w:val="00A945BA"/>
    <w:rsid w:val="00A94751"/>
    <w:rsid w:val="00A94D0F"/>
    <w:rsid w:val="00A94E77"/>
    <w:rsid w:val="00A94F13"/>
    <w:rsid w:val="00A9568C"/>
    <w:rsid w:val="00A957AA"/>
    <w:rsid w:val="00A95BED"/>
    <w:rsid w:val="00A95EA2"/>
    <w:rsid w:val="00A9787E"/>
    <w:rsid w:val="00A97AF9"/>
    <w:rsid w:val="00A97DF4"/>
    <w:rsid w:val="00AA0227"/>
    <w:rsid w:val="00AA08E8"/>
    <w:rsid w:val="00AA09BB"/>
    <w:rsid w:val="00AA0A0C"/>
    <w:rsid w:val="00AA0DB4"/>
    <w:rsid w:val="00AA11C5"/>
    <w:rsid w:val="00AA17E2"/>
    <w:rsid w:val="00AA20CB"/>
    <w:rsid w:val="00AA21B7"/>
    <w:rsid w:val="00AA2425"/>
    <w:rsid w:val="00AA24BA"/>
    <w:rsid w:val="00AA2D7A"/>
    <w:rsid w:val="00AA30B8"/>
    <w:rsid w:val="00AA3827"/>
    <w:rsid w:val="00AA382D"/>
    <w:rsid w:val="00AA4864"/>
    <w:rsid w:val="00AA4A2C"/>
    <w:rsid w:val="00AA4FDC"/>
    <w:rsid w:val="00AA59A6"/>
    <w:rsid w:val="00AA6299"/>
    <w:rsid w:val="00AA68C0"/>
    <w:rsid w:val="00AA6E05"/>
    <w:rsid w:val="00AA70DB"/>
    <w:rsid w:val="00AB0262"/>
    <w:rsid w:val="00AB05F5"/>
    <w:rsid w:val="00AB10FF"/>
    <w:rsid w:val="00AB14A1"/>
    <w:rsid w:val="00AB202A"/>
    <w:rsid w:val="00AB21D7"/>
    <w:rsid w:val="00AB2378"/>
    <w:rsid w:val="00AB2955"/>
    <w:rsid w:val="00AB39B9"/>
    <w:rsid w:val="00AB4600"/>
    <w:rsid w:val="00AB5555"/>
    <w:rsid w:val="00AB55AD"/>
    <w:rsid w:val="00AB5D1B"/>
    <w:rsid w:val="00AB62C9"/>
    <w:rsid w:val="00AB63D1"/>
    <w:rsid w:val="00AB6918"/>
    <w:rsid w:val="00AB6B2D"/>
    <w:rsid w:val="00AB6B40"/>
    <w:rsid w:val="00AB740A"/>
    <w:rsid w:val="00AC03F0"/>
    <w:rsid w:val="00AC07DC"/>
    <w:rsid w:val="00AC091A"/>
    <w:rsid w:val="00AC0B4F"/>
    <w:rsid w:val="00AC1DA5"/>
    <w:rsid w:val="00AC216B"/>
    <w:rsid w:val="00AC228B"/>
    <w:rsid w:val="00AC26B1"/>
    <w:rsid w:val="00AC34E5"/>
    <w:rsid w:val="00AC42B8"/>
    <w:rsid w:val="00AC44E5"/>
    <w:rsid w:val="00AC45C5"/>
    <w:rsid w:val="00AC4791"/>
    <w:rsid w:val="00AC4C36"/>
    <w:rsid w:val="00AC4FB6"/>
    <w:rsid w:val="00AC4FD1"/>
    <w:rsid w:val="00AC5FEF"/>
    <w:rsid w:val="00AC6036"/>
    <w:rsid w:val="00AC62E5"/>
    <w:rsid w:val="00AD0328"/>
    <w:rsid w:val="00AD0A96"/>
    <w:rsid w:val="00AD0D5B"/>
    <w:rsid w:val="00AD11DC"/>
    <w:rsid w:val="00AD12B1"/>
    <w:rsid w:val="00AD1966"/>
    <w:rsid w:val="00AD19E8"/>
    <w:rsid w:val="00AD2B03"/>
    <w:rsid w:val="00AD2C08"/>
    <w:rsid w:val="00AD2E07"/>
    <w:rsid w:val="00AD38A9"/>
    <w:rsid w:val="00AD3A5E"/>
    <w:rsid w:val="00AD4071"/>
    <w:rsid w:val="00AD44EA"/>
    <w:rsid w:val="00AD4782"/>
    <w:rsid w:val="00AD4EE3"/>
    <w:rsid w:val="00AD4F1C"/>
    <w:rsid w:val="00AD5143"/>
    <w:rsid w:val="00AD5236"/>
    <w:rsid w:val="00AD527D"/>
    <w:rsid w:val="00AD54AE"/>
    <w:rsid w:val="00AD54E0"/>
    <w:rsid w:val="00AD54E5"/>
    <w:rsid w:val="00AD5678"/>
    <w:rsid w:val="00AD6676"/>
    <w:rsid w:val="00AD6AD7"/>
    <w:rsid w:val="00AD72AB"/>
    <w:rsid w:val="00AD758E"/>
    <w:rsid w:val="00AD7AB5"/>
    <w:rsid w:val="00AE08B7"/>
    <w:rsid w:val="00AE0DBA"/>
    <w:rsid w:val="00AE12CA"/>
    <w:rsid w:val="00AE160F"/>
    <w:rsid w:val="00AE1B99"/>
    <w:rsid w:val="00AE21DC"/>
    <w:rsid w:val="00AE237A"/>
    <w:rsid w:val="00AE239B"/>
    <w:rsid w:val="00AE25D2"/>
    <w:rsid w:val="00AE2AC4"/>
    <w:rsid w:val="00AE2B47"/>
    <w:rsid w:val="00AE2CAD"/>
    <w:rsid w:val="00AE3090"/>
    <w:rsid w:val="00AE33C9"/>
    <w:rsid w:val="00AE380E"/>
    <w:rsid w:val="00AE3AAD"/>
    <w:rsid w:val="00AE3C69"/>
    <w:rsid w:val="00AE4189"/>
    <w:rsid w:val="00AE4559"/>
    <w:rsid w:val="00AE503A"/>
    <w:rsid w:val="00AE68E2"/>
    <w:rsid w:val="00AE6A5A"/>
    <w:rsid w:val="00AE7130"/>
    <w:rsid w:val="00AF0157"/>
    <w:rsid w:val="00AF0CC4"/>
    <w:rsid w:val="00AF1DF1"/>
    <w:rsid w:val="00AF2EC7"/>
    <w:rsid w:val="00AF381E"/>
    <w:rsid w:val="00AF3AC0"/>
    <w:rsid w:val="00AF4119"/>
    <w:rsid w:val="00AF487D"/>
    <w:rsid w:val="00AF4AF8"/>
    <w:rsid w:val="00AF4D0E"/>
    <w:rsid w:val="00AF4F32"/>
    <w:rsid w:val="00AF4F4A"/>
    <w:rsid w:val="00AF4FC4"/>
    <w:rsid w:val="00AF5AD3"/>
    <w:rsid w:val="00AF6184"/>
    <w:rsid w:val="00AF6605"/>
    <w:rsid w:val="00B0064B"/>
    <w:rsid w:val="00B00C24"/>
    <w:rsid w:val="00B00F93"/>
    <w:rsid w:val="00B0159B"/>
    <w:rsid w:val="00B01B96"/>
    <w:rsid w:val="00B01BBE"/>
    <w:rsid w:val="00B02CF3"/>
    <w:rsid w:val="00B02FC7"/>
    <w:rsid w:val="00B0339F"/>
    <w:rsid w:val="00B03F92"/>
    <w:rsid w:val="00B03F98"/>
    <w:rsid w:val="00B0434E"/>
    <w:rsid w:val="00B05113"/>
    <w:rsid w:val="00B055D8"/>
    <w:rsid w:val="00B05A95"/>
    <w:rsid w:val="00B05C77"/>
    <w:rsid w:val="00B061CF"/>
    <w:rsid w:val="00B0657D"/>
    <w:rsid w:val="00B06738"/>
    <w:rsid w:val="00B06CD6"/>
    <w:rsid w:val="00B06EBC"/>
    <w:rsid w:val="00B07016"/>
    <w:rsid w:val="00B0785B"/>
    <w:rsid w:val="00B10145"/>
    <w:rsid w:val="00B10BE2"/>
    <w:rsid w:val="00B11D2D"/>
    <w:rsid w:val="00B123F0"/>
    <w:rsid w:val="00B12891"/>
    <w:rsid w:val="00B130BE"/>
    <w:rsid w:val="00B130CA"/>
    <w:rsid w:val="00B132C1"/>
    <w:rsid w:val="00B1388D"/>
    <w:rsid w:val="00B139B9"/>
    <w:rsid w:val="00B146C1"/>
    <w:rsid w:val="00B146E7"/>
    <w:rsid w:val="00B1506D"/>
    <w:rsid w:val="00B156DF"/>
    <w:rsid w:val="00B15ABB"/>
    <w:rsid w:val="00B16973"/>
    <w:rsid w:val="00B16AFB"/>
    <w:rsid w:val="00B2036A"/>
    <w:rsid w:val="00B20726"/>
    <w:rsid w:val="00B21057"/>
    <w:rsid w:val="00B21194"/>
    <w:rsid w:val="00B21967"/>
    <w:rsid w:val="00B2202B"/>
    <w:rsid w:val="00B22FAA"/>
    <w:rsid w:val="00B23422"/>
    <w:rsid w:val="00B23F79"/>
    <w:rsid w:val="00B23FE5"/>
    <w:rsid w:val="00B24894"/>
    <w:rsid w:val="00B24948"/>
    <w:rsid w:val="00B24CBD"/>
    <w:rsid w:val="00B25A72"/>
    <w:rsid w:val="00B25CA3"/>
    <w:rsid w:val="00B30028"/>
    <w:rsid w:val="00B30AD9"/>
    <w:rsid w:val="00B3176D"/>
    <w:rsid w:val="00B31E8D"/>
    <w:rsid w:val="00B32433"/>
    <w:rsid w:val="00B3313B"/>
    <w:rsid w:val="00B331E8"/>
    <w:rsid w:val="00B331EA"/>
    <w:rsid w:val="00B336F4"/>
    <w:rsid w:val="00B34732"/>
    <w:rsid w:val="00B347FF"/>
    <w:rsid w:val="00B353B8"/>
    <w:rsid w:val="00B35470"/>
    <w:rsid w:val="00B35C56"/>
    <w:rsid w:val="00B36483"/>
    <w:rsid w:val="00B3675D"/>
    <w:rsid w:val="00B36A57"/>
    <w:rsid w:val="00B36F17"/>
    <w:rsid w:val="00B37042"/>
    <w:rsid w:val="00B372ED"/>
    <w:rsid w:val="00B37679"/>
    <w:rsid w:val="00B40500"/>
    <w:rsid w:val="00B405A8"/>
    <w:rsid w:val="00B40603"/>
    <w:rsid w:val="00B40AF6"/>
    <w:rsid w:val="00B40B4E"/>
    <w:rsid w:val="00B40BDE"/>
    <w:rsid w:val="00B41071"/>
    <w:rsid w:val="00B41163"/>
    <w:rsid w:val="00B42178"/>
    <w:rsid w:val="00B424A7"/>
    <w:rsid w:val="00B425C0"/>
    <w:rsid w:val="00B42604"/>
    <w:rsid w:val="00B42A0B"/>
    <w:rsid w:val="00B42DB6"/>
    <w:rsid w:val="00B43005"/>
    <w:rsid w:val="00B43923"/>
    <w:rsid w:val="00B4624B"/>
    <w:rsid w:val="00B4642D"/>
    <w:rsid w:val="00B46957"/>
    <w:rsid w:val="00B46D05"/>
    <w:rsid w:val="00B47218"/>
    <w:rsid w:val="00B4762D"/>
    <w:rsid w:val="00B47B54"/>
    <w:rsid w:val="00B47ECA"/>
    <w:rsid w:val="00B50663"/>
    <w:rsid w:val="00B50E99"/>
    <w:rsid w:val="00B5115A"/>
    <w:rsid w:val="00B51926"/>
    <w:rsid w:val="00B51A2E"/>
    <w:rsid w:val="00B51F9A"/>
    <w:rsid w:val="00B5280B"/>
    <w:rsid w:val="00B5385E"/>
    <w:rsid w:val="00B53C5C"/>
    <w:rsid w:val="00B53CCA"/>
    <w:rsid w:val="00B54966"/>
    <w:rsid w:val="00B54DA7"/>
    <w:rsid w:val="00B5590B"/>
    <w:rsid w:val="00B55B3C"/>
    <w:rsid w:val="00B57019"/>
    <w:rsid w:val="00B57AA9"/>
    <w:rsid w:val="00B600C6"/>
    <w:rsid w:val="00B60167"/>
    <w:rsid w:val="00B60695"/>
    <w:rsid w:val="00B60FC0"/>
    <w:rsid w:val="00B61665"/>
    <w:rsid w:val="00B61DE8"/>
    <w:rsid w:val="00B62074"/>
    <w:rsid w:val="00B62B44"/>
    <w:rsid w:val="00B63528"/>
    <w:rsid w:val="00B63DAF"/>
    <w:rsid w:val="00B63E98"/>
    <w:rsid w:val="00B642D1"/>
    <w:rsid w:val="00B648BC"/>
    <w:rsid w:val="00B64A99"/>
    <w:rsid w:val="00B64C45"/>
    <w:rsid w:val="00B65754"/>
    <w:rsid w:val="00B65F1E"/>
    <w:rsid w:val="00B661AA"/>
    <w:rsid w:val="00B66242"/>
    <w:rsid w:val="00B662DA"/>
    <w:rsid w:val="00B670D3"/>
    <w:rsid w:val="00B67687"/>
    <w:rsid w:val="00B67958"/>
    <w:rsid w:val="00B701D1"/>
    <w:rsid w:val="00B70C6B"/>
    <w:rsid w:val="00B716BB"/>
    <w:rsid w:val="00B716FD"/>
    <w:rsid w:val="00B72522"/>
    <w:rsid w:val="00B72A71"/>
    <w:rsid w:val="00B731A3"/>
    <w:rsid w:val="00B734C2"/>
    <w:rsid w:val="00B7393B"/>
    <w:rsid w:val="00B7393F"/>
    <w:rsid w:val="00B73BDA"/>
    <w:rsid w:val="00B74053"/>
    <w:rsid w:val="00B741D5"/>
    <w:rsid w:val="00B74B88"/>
    <w:rsid w:val="00B74CF2"/>
    <w:rsid w:val="00B75A76"/>
    <w:rsid w:val="00B761FF"/>
    <w:rsid w:val="00B765A0"/>
    <w:rsid w:val="00B768F7"/>
    <w:rsid w:val="00B76C02"/>
    <w:rsid w:val="00B7705E"/>
    <w:rsid w:val="00B77509"/>
    <w:rsid w:val="00B77BD2"/>
    <w:rsid w:val="00B80367"/>
    <w:rsid w:val="00B803A6"/>
    <w:rsid w:val="00B80B51"/>
    <w:rsid w:val="00B8113C"/>
    <w:rsid w:val="00B814CB"/>
    <w:rsid w:val="00B81789"/>
    <w:rsid w:val="00B81B58"/>
    <w:rsid w:val="00B81B6A"/>
    <w:rsid w:val="00B81D40"/>
    <w:rsid w:val="00B820F4"/>
    <w:rsid w:val="00B822E3"/>
    <w:rsid w:val="00B82FBB"/>
    <w:rsid w:val="00B835E0"/>
    <w:rsid w:val="00B8396D"/>
    <w:rsid w:val="00B84D84"/>
    <w:rsid w:val="00B86244"/>
    <w:rsid w:val="00B8657A"/>
    <w:rsid w:val="00B86BB7"/>
    <w:rsid w:val="00B876E6"/>
    <w:rsid w:val="00B87707"/>
    <w:rsid w:val="00B87C88"/>
    <w:rsid w:val="00B90331"/>
    <w:rsid w:val="00B903ED"/>
    <w:rsid w:val="00B90B2D"/>
    <w:rsid w:val="00B90F25"/>
    <w:rsid w:val="00B911DC"/>
    <w:rsid w:val="00B918DB"/>
    <w:rsid w:val="00B928B3"/>
    <w:rsid w:val="00B932D9"/>
    <w:rsid w:val="00B935A1"/>
    <w:rsid w:val="00B949D3"/>
    <w:rsid w:val="00B94E5A"/>
    <w:rsid w:val="00B958E5"/>
    <w:rsid w:val="00B95B03"/>
    <w:rsid w:val="00B95DAD"/>
    <w:rsid w:val="00B9607E"/>
    <w:rsid w:val="00B96499"/>
    <w:rsid w:val="00B967C9"/>
    <w:rsid w:val="00B96C0C"/>
    <w:rsid w:val="00B96FF3"/>
    <w:rsid w:val="00B9734D"/>
    <w:rsid w:val="00B974F8"/>
    <w:rsid w:val="00B97732"/>
    <w:rsid w:val="00BA099F"/>
    <w:rsid w:val="00BA0D71"/>
    <w:rsid w:val="00BA0E83"/>
    <w:rsid w:val="00BA1002"/>
    <w:rsid w:val="00BA27F4"/>
    <w:rsid w:val="00BA28D6"/>
    <w:rsid w:val="00BA2E40"/>
    <w:rsid w:val="00BA3CB7"/>
    <w:rsid w:val="00BA41DE"/>
    <w:rsid w:val="00BA460D"/>
    <w:rsid w:val="00BA487D"/>
    <w:rsid w:val="00BA4DDB"/>
    <w:rsid w:val="00BA556C"/>
    <w:rsid w:val="00BA5B54"/>
    <w:rsid w:val="00BA6CE7"/>
    <w:rsid w:val="00BA7D9F"/>
    <w:rsid w:val="00BB0F31"/>
    <w:rsid w:val="00BB1524"/>
    <w:rsid w:val="00BB15AB"/>
    <w:rsid w:val="00BB189B"/>
    <w:rsid w:val="00BB1AB7"/>
    <w:rsid w:val="00BB1AB9"/>
    <w:rsid w:val="00BB1D21"/>
    <w:rsid w:val="00BB2A2D"/>
    <w:rsid w:val="00BB2E3E"/>
    <w:rsid w:val="00BB2E51"/>
    <w:rsid w:val="00BB3F9C"/>
    <w:rsid w:val="00BB3FA6"/>
    <w:rsid w:val="00BB4BEA"/>
    <w:rsid w:val="00BB4C1A"/>
    <w:rsid w:val="00BB50AB"/>
    <w:rsid w:val="00BB59B3"/>
    <w:rsid w:val="00BB6664"/>
    <w:rsid w:val="00BB671F"/>
    <w:rsid w:val="00BB6B61"/>
    <w:rsid w:val="00BB6C41"/>
    <w:rsid w:val="00BC01FC"/>
    <w:rsid w:val="00BC04CD"/>
    <w:rsid w:val="00BC129C"/>
    <w:rsid w:val="00BC1F79"/>
    <w:rsid w:val="00BC2201"/>
    <w:rsid w:val="00BC3C7A"/>
    <w:rsid w:val="00BC3DC0"/>
    <w:rsid w:val="00BC3E77"/>
    <w:rsid w:val="00BC3E94"/>
    <w:rsid w:val="00BC413A"/>
    <w:rsid w:val="00BC5013"/>
    <w:rsid w:val="00BC54D5"/>
    <w:rsid w:val="00BC62A7"/>
    <w:rsid w:val="00BC62B2"/>
    <w:rsid w:val="00BC680C"/>
    <w:rsid w:val="00BC6D0C"/>
    <w:rsid w:val="00BC7DC6"/>
    <w:rsid w:val="00BD1039"/>
    <w:rsid w:val="00BD13B5"/>
    <w:rsid w:val="00BD1678"/>
    <w:rsid w:val="00BD21B9"/>
    <w:rsid w:val="00BD2421"/>
    <w:rsid w:val="00BD2D07"/>
    <w:rsid w:val="00BD2D57"/>
    <w:rsid w:val="00BD2EFC"/>
    <w:rsid w:val="00BD340E"/>
    <w:rsid w:val="00BD3BA0"/>
    <w:rsid w:val="00BD42CB"/>
    <w:rsid w:val="00BD47C7"/>
    <w:rsid w:val="00BD4D9E"/>
    <w:rsid w:val="00BD4F8C"/>
    <w:rsid w:val="00BD596B"/>
    <w:rsid w:val="00BD60AD"/>
    <w:rsid w:val="00BD6C02"/>
    <w:rsid w:val="00BD6D52"/>
    <w:rsid w:val="00BD7F44"/>
    <w:rsid w:val="00BE0116"/>
    <w:rsid w:val="00BE1244"/>
    <w:rsid w:val="00BE165D"/>
    <w:rsid w:val="00BE1F71"/>
    <w:rsid w:val="00BE22FB"/>
    <w:rsid w:val="00BE2394"/>
    <w:rsid w:val="00BE2702"/>
    <w:rsid w:val="00BE274E"/>
    <w:rsid w:val="00BE2A7A"/>
    <w:rsid w:val="00BE2D70"/>
    <w:rsid w:val="00BE3AA6"/>
    <w:rsid w:val="00BE4326"/>
    <w:rsid w:val="00BE573B"/>
    <w:rsid w:val="00BE5F4F"/>
    <w:rsid w:val="00BE60DB"/>
    <w:rsid w:val="00BE66F6"/>
    <w:rsid w:val="00BE6DC3"/>
    <w:rsid w:val="00BF0191"/>
    <w:rsid w:val="00BF0A3B"/>
    <w:rsid w:val="00BF0B52"/>
    <w:rsid w:val="00BF13EC"/>
    <w:rsid w:val="00BF1BBE"/>
    <w:rsid w:val="00BF1C07"/>
    <w:rsid w:val="00BF281F"/>
    <w:rsid w:val="00BF2A1D"/>
    <w:rsid w:val="00BF2DCC"/>
    <w:rsid w:val="00BF2E2C"/>
    <w:rsid w:val="00BF3198"/>
    <w:rsid w:val="00BF33FE"/>
    <w:rsid w:val="00BF3CAF"/>
    <w:rsid w:val="00BF3DEE"/>
    <w:rsid w:val="00BF472B"/>
    <w:rsid w:val="00BF54AC"/>
    <w:rsid w:val="00BF54BD"/>
    <w:rsid w:val="00BF6B8E"/>
    <w:rsid w:val="00BF6C0E"/>
    <w:rsid w:val="00BF7065"/>
    <w:rsid w:val="00BF7CE7"/>
    <w:rsid w:val="00C017DC"/>
    <w:rsid w:val="00C01D11"/>
    <w:rsid w:val="00C02497"/>
    <w:rsid w:val="00C025A5"/>
    <w:rsid w:val="00C027FC"/>
    <w:rsid w:val="00C0352F"/>
    <w:rsid w:val="00C03C78"/>
    <w:rsid w:val="00C046E9"/>
    <w:rsid w:val="00C047C1"/>
    <w:rsid w:val="00C04878"/>
    <w:rsid w:val="00C04FD3"/>
    <w:rsid w:val="00C051B9"/>
    <w:rsid w:val="00C065A2"/>
    <w:rsid w:val="00C071F0"/>
    <w:rsid w:val="00C07919"/>
    <w:rsid w:val="00C103F9"/>
    <w:rsid w:val="00C104AC"/>
    <w:rsid w:val="00C110DF"/>
    <w:rsid w:val="00C110E1"/>
    <w:rsid w:val="00C11227"/>
    <w:rsid w:val="00C1198F"/>
    <w:rsid w:val="00C11FA1"/>
    <w:rsid w:val="00C12E21"/>
    <w:rsid w:val="00C12E65"/>
    <w:rsid w:val="00C1305B"/>
    <w:rsid w:val="00C13C20"/>
    <w:rsid w:val="00C13F74"/>
    <w:rsid w:val="00C1468F"/>
    <w:rsid w:val="00C146D3"/>
    <w:rsid w:val="00C16B0C"/>
    <w:rsid w:val="00C16BE0"/>
    <w:rsid w:val="00C16CF3"/>
    <w:rsid w:val="00C2061C"/>
    <w:rsid w:val="00C2089F"/>
    <w:rsid w:val="00C20918"/>
    <w:rsid w:val="00C21554"/>
    <w:rsid w:val="00C21A3F"/>
    <w:rsid w:val="00C21C39"/>
    <w:rsid w:val="00C2228A"/>
    <w:rsid w:val="00C23219"/>
    <w:rsid w:val="00C2325C"/>
    <w:rsid w:val="00C23549"/>
    <w:rsid w:val="00C239ED"/>
    <w:rsid w:val="00C24796"/>
    <w:rsid w:val="00C24D9D"/>
    <w:rsid w:val="00C24EB4"/>
    <w:rsid w:val="00C25CF3"/>
    <w:rsid w:val="00C263E9"/>
    <w:rsid w:val="00C27624"/>
    <w:rsid w:val="00C2775A"/>
    <w:rsid w:val="00C3063A"/>
    <w:rsid w:val="00C30A97"/>
    <w:rsid w:val="00C30BAD"/>
    <w:rsid w:val="00C31E8F"/>
    <w:rsid w:val="00C335DA"/>
    <w:rsid w:val="00C33D3E"/>
    <w:rsid w:val="00C362E0"/>
    <w:rsid w:val="00C36ED4"/>
    <w:rsid w:val="00C376CC"/>
    <w:rsid w:val="00C400F7"/>
    <w:rsid w:val="00C40B5A"/>
    <w:rsid w:val="00C40EC6"/>
    <w:rsid w:val="00C419AD"/>
    <w:rsid w:val="00C41B5F"/>
    <w:rsid w:val="00C42EBB"/>
    <w:rsid w:val="00C437BA"/>
    <w:rsid w:val="00C44395"/>
    <w:rsid w:val="00C443B3"/>
    <w:rsid w:val="00C4552E"/>
    <w:rsid w:val="00C45CE8"/>
    <w:rsid w:val="00C46B74"/>
    <w:rsid w:val="00C46E1A"/>
    <w:rsid w:val="00C46F06"/>
    <w:rsid w:val="00C47DA6"/>
    <w:rsid w:val="00C50986"/>
    <w:rsid w:val="00C50ABF"/>
    <w:rsid w:val="00C50AE5"/>
    <w:rsid w:val="00C50EF2"/>
    <w:rsid w:val="00C51256"/>
    <w:rsid w:val="00C51566"/>
    <w:rsid w:val="00C516B7"/>
    <w:rsid w:val="00C516C4"/>
    <w:rsid w:val="00C51C1F"/>
    <w:rsid w:val="00C52433"/>
    <w:rsid w:val="00C529B2"/>
    <w:rsid w:val="00C52D62"/>
    <w:rsid w:val="00C52EF3"/>
    <w:rsid w:val="00C52FAB"/>
    <w:rsid w:val="00C533D4"/>
    <w:rsid w:val="00C53A4C"/>
    <w:rsid w:val="00C53AD5"/>
    <w:rsid w:val="00C54086"/>
    <w:rsid w:val="00C5448D"/>
    <w:rsid w:val="00C5477F"/>
    <w:rsid w:val="00C547B7"/>
    <w:rsid w:val="00C54A7F"/>
    <w:rsid w:val="00C54B1A"/>
    <w:rsid w:val="00C5503B"/>
    <w:rsid w:val="00C55778"/>
    <w:rsid w:val="00C55A32"/>
    <w:rsid w:val="00C564F2"/>
    <w:rsid w:val="00C56A06"/>
    <w:rsid w:val="00C56E2F"/>
    <w:rsid w:val="00C56F11"/>
    <w:rsid w:val="00C573FD"/>
    <w:rsid w:val="00C57872"/>
    <w:rsid w:val="00C57D47"/>
    <w:rsid w:val="00C6041D"/>
    <w:rsid w:val="00C60CE9"/>
    <w:rsid w:val="00C61046"/>
    <w:rsid w:val="00C61056"/>
    <w:rsid w:val="00C6150A"/>
    <w:rsid w:val="00C61F3A"/>
    <w:rsid w:val="00C61FFC"/>
    <w:rsid w:val="00C62625"/>
    <w:rsid w:val="00C629CB"/>
    <w:rsid w:val="00C62A25"/>
    <w:rsid w:val="00C62B75"/>
    <w:rsid w:val="00C63006"/>
    <w:rsid w:val="00C634DD"/>
    <w:rsid w:val="00C63706"/>
    <w:rsid w:val="00C637E0"/>
    <w:rsid w:val="00C63EB0"/>
    <w:rsid w:val="00C649F4"/>
    <w:rsid w:val="00C64B8D"/>
    <w:rsid w:val="00C64C3A"/>
    <w:rsid w:val="00C657B5"/>
    <w:rsid w:val="00C65AB2"/>
    <w:rsid w:val="00C661E1"/>
    <w:rsid w:val="00C66686"/>
    <w:rsid w:val="00C66E9F"/>
    <w:rsid w:val="00C66F2F"/>
    <w:rsid w:val="00C678C4"/>
    <w:rsid w:val="00C703DB"/>
    <w:rsid w:val="00C70951"/>
    <w:rsid w:val="00C70BAD"/>
    <w:rsid w:val="00C70EB6"/>
    <w:rsid w:val="00C71215"/>
    <w:rsid w:val="00C7154E"/>
    <w:rsid w:val="00C716DD"/>
    <w:rsid w:val="00C71845"/>
    <w:rsid w:val="00C7216B"/>
    <w:rsid w:val="00C726C6"/>
    <w:rsid w:val="00C727BE"/>
    <w:rsid w:val="00C732A9"/>
    <w:rsid w:val="00C73448"/>
    <w:rsid w:val="00C73E2E"/>
    <w:rsid w:val="00C74546"/>
    <w:rsid w:val="00C748E2"/>
    <w:rsid w:val="00C74E78"/>
    <w:rsid w:val="00C74EF5"/>
    <w:rsid w:val="00C75691"/>
    <w:rsid w:val="00C75F6C"/>
    <w:rsid w:val="00C766F5"/>
    <w:rsid w:val="00C76BE4"/>
    <w:rsid w:val="00C7776C"/>
    <w:rsid w:val="00C7777C"/>
    <w:rsid w:val="00C80665"/>
    <w:rsid w:val="00C8267F"/>
    <w:rsid w:val="00C8398D"/>
    <w:rsid w:val="00C84BC2"/>
    <w:rsid w:val="00C85139"/>
    <w:rsid w:val="00C85657"/>
    <w:rsid w:val="00C85E74"/>
    <w:rsid w:val="00C86672"/>
    <w:rsid w:val="00C8695F"/>
    <w:rsid w:val="00C873D2"/>
    <w:rsid w:val="00C8771E"/>
    <w:rsid w:val="00C90EA2"/>
    <w:rsid w:val="00C91C88"/>
    <w:rsid w:val="00C9274F"/>
    <w:rsid w:val="00C939C3"/>
    <w:rsid w:val="00C94228"/>
    <w:rsid w:val="00C94C33"/>
    <w:rsid w:val="00C951F9"/>
    <w:rsid w:val="00C953B1"/>
    <w:rsid w:val="00C95EAD"/>
    <w:rsid w:val="00C96439"/>
    <w:rsid w:val="00C96D56"/>
    <w:rsid w:val="00C97778"/>
    <w:rsid w:val="00C977E6"/>
    <w:rsid w:val="00C9785E"/>
    <w:rsid w:val="00C97943"/>
    <w:rsid w:val="00C97AA1"/>
    <w:rsid w:val="00C97B91"/>
    <w:rsid w:val="00CA0020"/>
    <w:rsid w:val="00CA0B2E"/>
    <w:rsid w:val="00CA18CA"/>
    <w:rsid w:val="00CA2557"/>
    <w:rsid w:val="00CA2CCF"/>
    <w:rsid w:val="00CA3B8B"/>
    <w:rsid w:val="00CA5413"/>
    <w:rsid w:val="00CA5674"/>
    <w:rsid w:val="00CA5A77"/>
    <w:rsid w:val="00CA5BDA"/>
    <w:rsid w:val="00CA5C1A"/>
    <w:rsid w:val="00CA633F"/>
    <w:rsid w:val="00CA641E"/>
    <w:rsid w:val="00CA73C1"/>
    <w:rsid w:val="00CA7558"/>
    <w:rsid w:val="00CA7680"/>
    <w:rsid w:val="00CA77CC"/>
    <w:rsid w:val="00CA785F"/>
    <w:rsid w:val="00CA792A"/>
    <w:rsid w:val="00CA7949"/>
    <w:rsid w:val="00CB0C6E"/>
    <w:rsid w:val="00CB0C89"/>
    <w:rsid w:val="00CB206A"/>
    <w:rsid w:val="00CB226B"/>
    <w:rsid w:val="00CB229B"/>
    <w:rsid w:val="00CB31AF"/>
    <w:rsid w:val="00CB33B4"/>
    <w:rsid w:val="00CB3D93"/>
    <w:rsid w:val="00CB3F47"/>
    <w:rsid w:val="00CB4441"/>
    <w:rsid w:val="00CB4B1A"/>
    <w:rsid w:val="00CB4B8D"/>
    <w:rsid w:val="00CB4E1F"/>
    <w:rsid w:val="00CB53B2"/>
    <w:rsid w:val="00CB66D2"/>
    <w:rsid w:val="00CB7C77"/>
    <w:rsid w:val="00CC0994"/>
    <w:rsid w:val="00CC152E"/>
    <w:rsid w:val="00CC2493"/>
    <w:rsid w:val="00CC3222"/>
    <w:rsid w:val="00CC35F1"/>
    <w:rsid w:val="00CC35FF"/>
    <w:rsid w:val="00CC426E"/>
    <w:rsid w:val="00CC496D"/>
    <w:rsid w:val="00CC4E2A"/>
    <w:rsid w:val="00CC6165"/>
    <w:rsid w:val="00CC64E7"/>
    <w:rsid w:val="00CC6896"/>
    <w:rsid w:val="00CD0AE9"/>
    <w:rsid w:val="00CD0D86"/>
    <w:rsid w:val="00CD0E6E"/>
    <w:rsid w:val="00CD1A8A"/>
    <w:rsid w:val="00CD21C1"/>
    <w:rsid w:val="00CD23AE"/>
    <w:rsid w:val="00CD27DF"/>
    <w:rsid w:val="00CD2D8A"/>
    <w:rsid w:val="00CD39A6"/>
    <w:rsid w:val="00CD3BAC"/>
    <w:rsid w:val="00CD3FF2"/>
    <w:rsid w:val="00CD4207"/>
    <w:rsid w:val="00CD4A65"/>
    <w:rsid w:val="00CD4E23"/>
    <w:rsid w:val="00CD50AD"/>
    <w:rsid w:val="00CD531F"/>
    <w:rsid w:val="00CD54A6"/>
    <w:rsid w:val="00CD56FE"/>
    <w:rsid w:val="00CD5775"/>
    <w:rsid w:val="00CD6FA3"/>
    <w:rsid w:val="00CD7DB8"/>
    <w:rsid w:val="00CE056B"/>
    <w:rsid w:val="00CE05C6"/>
    <w:rsid w:val="00CE0CEC"/>
    <w:rsid w:val="00CE0D4C"/>
    <w:rsid w:val="00CE1DBC"/>
    <w:rsid w:val="00CE20F0"/>
    <w:rsid w:val="00CE2184"/>
    <w:rsid w:val="00CE2200"/>
    <w:rsid w:val="00CE3683"/>
    <w:rsid w:val="00CE3B7F"/>
    <w:rsid w:val="00CE3FA2"/>
    <w:rsid w:val="00CE41A0"/>
    <w:rsid w:val="00CE4958"/>
    <w:rsid w:val="00CE5683"/>
    <w:rsid w:val="00CE62BB"/>
    <w:rsid w:val="00CE62E8"/>
    <w:rsid w:val="00CE68E2"/>
    <w:rsid w:val="00CE7049"/>
    <w:rsid w:val="00CE706E"/>
    <w:rsid w:val="00CE70B1"/>
    <w:rsid w:val="00CE77B6"/>
    <w:rsid w:val="00CE7AE4"/>
    <w:rsid w:val="00CF0117"/>
    <w:rsid w:val="00CF0A4C"/>
    <w:rsid w:val="00CF150A"/>
    <w:rsid w:val="00CF15E8"/>
    <w:rsid w:val="00CF1E79"/>
    <w:rsid w:val="00CF2225"/>
    <w:rsid w:val="00CF25E7"/>
    <w:rsid w:val="00CF29DD"/>
    <w:rsid w:val="00CF33B2"/>
    <w:rsid w:val="00CF3C77"/>
    <w:rsid w:val="00CF45A2"/>
    <w:rsid w:val="00CF52E7"/>
    <w:rsid w:val="00CF5B9E"/>
    <w:rsid w:val="00CF64B5"/>
    <w:rsid w:val="00CF65FE"/>
    <w:rsid w:val="00CF7412"/>
    <w:rsid w:val="00CF7853"/>
    <w:rsid w:val="00D00163"/>
    <w:rsid w:val="00D004ED"/>
    <w:rsid w:val="00D01ABF"/>
    <w:rsid w:val="00D01B41"/>
    <w:rsid w:val="00D0260F"/>
    <w:rsid w:val="00D02AD8"/>
    <w:rsid w:val="00D03146"/>
    <w:rsid w:val="00D03708"/>
    <w:rsid w:val="00D03EC3"/>
    <w:rsid w:val="00D0579B"/>
    <w:rsid w:val="00D06776"/>
    <w:rsid w:val="00D06E46"/>
    <w:rsid w:val="00D06F95"/>
    <w:rsid w:val="00D104A1"/>
    <w:rsid w:val="00D1158C"/>
    <w:rsid w:val="00D11600"/>
    <w:rsid w:val="00D11826"/>
    <w:rsid w:val="00D119A2"/>
    <w:rsid w:val="00D12BF7"/>
    <w:rsid w:val="00D12E31"/>
    <w:rsid w:val="00D137EA"/>
    <w:rsid w:val="00D137F9"/>
    <w:rsid w:val="00D13B21"/>
    <w:rsid w:val="00D1458C"/>
    <w:rsid w:val="00D14C9B"/>
    <w:rsid w:val="00D155F3"/>
    <w:rsid w:val="00D15918"/>
    <w:rsid w:val="00D1620E"/>
    <w:rsid w:val="00D16867"/>
    <w:rsid w:val="00D16EEC"/>
    <w:rsid w:val="00D17FB4"/>
    <w:rsid w:val="00D17FEC"/>
    <w:rsid w:val="00D2008E"/>
    <w:rsid w:val="00D2047A"/>
    <w:rsid w:val="00D20631"/>
    <w:rsid w:val="00D207FC"/>
    <w:rsid w:val="00D21978"/>
    <w:rsid w:val="00D2260B"/>
    <w:rsid w:val="00D2279C"/>
    <w:rsid w:val="00D22D49"/>
    <w:rsid w:val="00D23930"/>
    <w:rsid w:val="00D23A23"/>
    <w:rsid w:val="00D23E66"/>
    <w:rsid w:val="00D24D8A"/>
    <w:rsid w:val="00D24DA4"/>
    <w:rsid w:val="00D25235"/>
    <w:rsid w:val="00D25383"/>
    <w:rsid w:val="00D25670"/>
    <w:rsid w:val="00D25733"/>
    <w:rsid w:val="00D25802"/>
    <w:rsid w:val="00D301FF"/>
    <w:rsid w:val="00D30217"/>
    <w:rsid w:val="00D30626"/>
    <w:rsid w:val="00D30981"/>
    <w:rsid w:val="00D32432"/>
    <w:rsid w:val="00D3257F"/>
    <w:rsid w:val="00D32743"/>
    <w:rsid w:val="00D3287D"/>
    <w:rsid w:val="00D33704"/>
    <w:rsid w:val="00D340D5"/>
    <w:rsid w:val="00D340E2"/>
    <w:rsid w:val="00D3474F"/>
    <w:rsid w:val="00D3626B"/>
    <w:rsid w:val="00D36425"/>
    <w:rsid w:val="00D36887"/>
    <w:rsid w:val="00D36AD7"/>
    <w:rsid w:val="00D37563"/>
    <w:rsid w:val="00D37994"/>
    <w:rsid w:val="00D379EB"/>
    <w:rsid w:val="00D37E01"/>
    <w:rsid w:val="00D400B8"/>
    <w:rsid w:val="00D400BD"/>
    <w:rsid w:val="00D4022C"/>
    <w:rsid w:val="00D402BA"/>
    <w:rsid w:val="00D41023"/>
    <w:rsid w:val="00D419CA"/>
    <w:rsid w:val="00D41C6C"/>
    <w:rsid w:val="00D42104"/>
    <w:rsid w:val="00D42465"/>
    <w:rsid w:val="00D42E5B"/>
    <w:rsid w:val="00D439D1"/>
    <w:rsid w:val="00D43C68"/>
    <w:rsid w:val="00D444B2"/>
    <w:rsid w:val="00D44C4E"/>
    <w:rsid w:val="00D44FE4"/>
    <w:rsid w:val="00D453E4"/>
    <w:rsid w:val="00D461FE"/>
    <w:rsid w:val="00D4629A"/>
    <w:rsid w:val="00D47226"/>
    <w:rsid w:val="00D477FE"/>
    <w:rsid w:val="00D47CA3"/>
    <w:rsid w:val="00D47FAF"/>
    <w:rsid w:val="00D50B21"/>
    <w:rsid w:val="00D50E6D"/>
    <w:rsid w:val="00D511B5"/>
    <w:rsid w:val="00D51349"/>
    <w:rsid w:val="00D527AF"/>
    <w:rsid w:val="00D529E1"/>
    <w:rsid w:val="00D52DFD"/>
    <w:rsid w:val="00D534C2"/>
    <w:rsid w:val="00D5360D"/>
    <w:rsid w:val="00D5410F"/>
    <w:rsid w:val="00D55BBE"/>
    <w:rsid w:val="00D564DF"/>
    <w:rsid w:val="00D56B99"/>
    <w:rsid w:val="00D571B3"/>
    <w:rsid w:val="00D575BD"/>
    <w:rsid w:val="00D576DD"/>
    <w:rsid w:val="00D57CB4"/>
    <w:rsid w:val="00D60492"/>
    <w:rsid w:val="00D6099A"/>
    <w:rsid w:val="00D61477"/>
    <w:rsid w:val="00D619E2"/>
    <w:rsid w:val="00D62036"/>
    <w:rsid w:val="00D620CC"/>
    <w:rsid w:val="00D634B8"/>
    <w:rsid w:val="00D63B63"/>
    <w:rsid w:val="00D63D41"/>
    <w:rsid w:val="00D63D56"/>
    <w:rsid w:val="00D63EF3"/>
    <w:rsid w:val="00D6404F"/>
    <w:rsid w:val="00D6426A"/>
    <w:rsid w:val="00D643F4"/>
    <w:rsid w:val="00D64441"/>
    <w:rsid w:val="00D644F0"/>
    <w:rsid w:val="00D6453D"/>
    <w:rsid w:val="00D64A41"/>
    <w:rsid w:val="00D64AAB"/>
    <w:rsid w:val="00D64BD5"/>
    <w:rsid w:val="00D64F53"/>
    <w:rsid w:val="00D65035"/>
    <w:rsid w:val="00D65497"/>
    <w:rsid w:val="00D654DA"/>
    <w:rsid w:val="00D65B6C"/>
    <w:rsid w:val="00D6609E"/>
    <w:rsid w:val="00D66756"/>
    <w:rsid w:val="00D67A9F"/>
    <w:rsid w:val="00D67C20"/>
    <w:rsid w:val="00D70463"/>
    <w:rsid w:val="00D70BF7"/>
    <w:rsid w:val="00D70C1B"/>
    <w:rsid w:val="00D70E5C"/>
    <w:rsid w:val="00D7146C"/>
    <w:rsid w:val="00D718CD"/>
    <w:rsid w:val="00D71E95"/>
    <w:rsid w:val="00D7210C"/>
    <w:rsid w:val="00D73147"/>
    <w:rsid w:val="00D7363A"/>
    <w:rsid w:val="00D73654"/>
    <w:rsid w:val="00D73C66"/>
    <w:rsid w:val="00D7416F"/>
    <w:rsid w:val="00D7473A"/>
    <w:rsid w:val="00D7532E"/>
    <w:rsid w:val="00D755F2"/>
    <w:rsid w:val="00D75B22"/>
    <w:rsid w:val="00D75C53"/>
    <w:rsid w:val="00D762AC"/>
    <w:rsid w:val="00D76432"/>
    <w:rsid w:val="00D775E7"/>
    <w:rsid w:val="00D77B9E"/>
    <w:rsid w:val="00D80260"/>
    <w:rsid w:val="00D81CA9"/>
    <w:rsid w:val="00D823AA"/>
    <w:rsid w:val="00D826AD"/>
    <w:rsid w:val="00D826F6"/>
    <w:rsid w:val="00D83510"/>
    <w:rsid w:val="00D839D8"/>
    <w:rsid w:val="00D83E9C"/>
    <w:rsid w:val="00D83F9E"/>
    <w:rsid w:val="00D840C2"/>
    <w:rsid w:val="00D84405"/>
    <w:rsid w:val="00D84562"/>
    <w:rsid w:val="00D8465F"/>
    <w:rsid w:val="00D84A9F"/>
    <w:rsid w:val="00D85C16"/>
    <w:rsid w:val="00D85C8C"/>
    <w:rsid w:val="00D86047"/>
    <w:rsid w:val="00D86169"/>
    <w:rsid w:val="00D8732E"/>
    <w:rsid w:val="00D87641"/>
    <w:rsid w:val="00D87A60"/>
    <w:rsid w:val="00D87F22"/>
    <w:rsid w:val="00D90C1D"/>
    <w:rsid w:val="00D9121B"/>
    <w:rsid w:val="00D91294"/>
    <w:rsid w:val="00D9186A"/>
    <w:rsid w:val="00D91FF3"/>
    <w:rsid w:val="00D92140"/>
    <w:rsid w:val="00D92D47"/>
    <w:rsid w:val="00D93B59"/>
    <w:rsid w:val="00D93DA6"/>
    <w:rsid w:val="00D940C5"/>
    <w:rsid w:val="00D94213"/>
    <w:rsid w:val="00D94482"/>
    <w:rsid w:val="00D94BEB"/>
    <w:rsid w:val="00D94EA5"/>
    <w:rsid w:val="00D953E5"/>
    <w:rsid w:val="00D959F9"/>
    <w:rsid w:val="00D95F32"/>
    <w:rsid w:val="00D97AAA"/>
    <w:rsid w:val="00DA0189"/>
    <w:rsid w:val="00DA024A"/>
    <w:rsid w:val="00DA07EE"/>
    <w:rsid w:val="00DA0A58"/>
    <w:rsid w:val="00DA0AB8"/>
    <w:rsid w:val="00DA0C09"/>
    <w:rsid w:val="00DA16A8"/>
    <w:rsid w:val="00DA184E"/>
    <w:rsid w:val="00DA1C85"/>
    <w:rsid w:val="00DA1CC9"/>
    <w:rsid w:val="00DA1F2D"/>
    <w:rsid w:val="00DA20F3"/>
    <w:rsid w:val="00DA28C8"/>
    <w:rsid w:val="00DA2E58"/>
    <w:rsid w:val="00DA328E"/>
    <w:rsid w:val="00DA3AA6"/>
    <w:rsid w:val="00DA4187"/>
    <w:rsid w:val="00DA42D0"/>
    <w:rsid w:val="00DA46C1"/>
    <w:rsid w:val="00DA70DD"/>
    <w:rsid w:val="00DA7D53"/>
    <w:rsid w:val="00DA7E89"/>
    <w:rsid w:val="00DB088F"/>
    <w:rsid w:val="00DB0B4A"/>
    <w:rsid w:val="00DB1487"/>
    <w:rsid w:val="00DB19B4"/>
    <w:rsid w:val="00DB19F1"/>
    <w:rsid w:val="00DB26AE"/>
    <w:rsid w:val="00DB2E0B"/>
    <w:rsid w:val="00DB3A38"/>
    <w:rsid w:val="00DB4411"/>
    <w:rsid w:val="00DB461F"/>
    <w:rsid w:val="00DB466D"/>
    <w:rsid w:val="00DB4814"/>
    <w:rsid w:val="00DB4E68"/>
    <w:rsid w:val="00DB5B4A"/>
    <w:rsid w:val="00DB5DBF"/>
    <w:rsid w:val="00DB5FD0"/>
    <w:rsid w:val="00DB67E7"/>
    <w:rsid w:val="00DB6F82"/>
    <w:rsid w:val="00DB7395"/>
    <w:rsid w:val="00DB75C2"/>
    <w:rsid w:val="00DB7E2C"/>
    <w:rsid w:val="00DB7E6B"/>
    <w:rsid w:val="00DC027B"/>
    <w:rsid w:val="00DC05E4"/>
    <w:rsid w:val="00DC0A30"/>
    <w:rsid w:val="00DC0A64"/>
    <w:rsid w:val="00DC0FC4"/>
    <w:rsid w:val="00DC15B5"/>
    <w:rsid w:val="00DC1B9A"/>
    <w:rsid w:val="00DC2344"/>
    <w:rsid w:val="00DC2A30"/>
    <w:rsid w:val="00DC2E4F"/>
    <w:rsid w:val="00DC30D8"/>
    <w:rsid w:val="00DC384C"/>
    <w:rsid w:val="00DC40C4"/>
    <w:rsid w:val="00DC4AFD"/>
    <w:rsid w:val="00DC4D87"/>
    <w:rsid w:val="00DC4D8A"/>
    <w:rsid w:val="00DC6195"/>
    <w:rsid w:val="00DC67E6"/>
    <w:rsid w:val="00DC6A5D"/>
    <w:rsid w:val="00DC6AB6"/>
    <w:rsid w:val="00DC6DF6"/>
    <w:rsid w:val="00DC70EA"/>
    <w:rsid w:val="00DC7BFE"/>
    <w:rsid w:val="00DD08C7"/>
    <w:rsid w:val="00DD0936"/>
    <w:rsid w:val="00DD0E2E"/>
    <w:rsid w:val="00DD15FC"/>
    <w:rsid w:val="00DD1A10"/>
    <w:rsid w:val="00DD1E89"/>
    <w:rsid w:val="00DD200D"/>
    <w:rsid w:val="00DD205D"/>
    <w:rsid w:val="00DD2990"/>
    <w:rsid w:val="00DD2FE9"/>
    <w:rsid w:val="00DD3A7E"/>
    <w:rsid w:val="00DD3CE7"/>
    <w:rsid w:val="00DD434E"/>
    <w:rsid w:val="00DD4359"/>
    <w:rsid w:val="00DD4402"/>
    <w:rsid w:val="00DD4A5A"/>
    <w:rsid w:val="00DD4D50"/>
    <w:rsid w:val="00DD55D1"/>
    <w:rsid w:val="00DD563B"/>
    <w:rsid w:val="00DD571E"/>
    <w:rsid w:val="00DD5B29"/>
    <w:rsid w:val="00DD60D0"/>
    <w:rsid w:val="00DD61A2"/>
    <w:rsid w:val="00DD6200"/>
    <w:rsid w:val="00DD686C"/>
    <w:rsid w:val="00DD6A8C"/>
    <w:rsid w:val="00DD6E86"/>
    <w:rsid w:val="00DE00DB"/>
    <w:rsid w:val="00DE0510"/>
    <w:rsid w:val="00DE0E5D"/>
    <w:rsid w:val="00DE1024"/>
    <w:rsid w:val="00DE3D73"/>
    <w:rsid w:val="00DE3E55"/>
    <w:rsid w:val="00DE447F"/>
    <w:rsid w:val="00DE44C1"/>
    <w:rsid w:val="00DE4525"/>
    <w:rsid w:val="00DE48F0"/>
    <w:rsid w:val="00DE4A77"/>
    <w:rsid w:val="00DE5904"/>
    <w:rsid w:val="00DE5BC7"/>
    <w:rsid w:val="00DE63AF"/>
    <w:rsid w:val="00DE685D"/>
    <w:rsid w:val="00DE68EE"/>
    <w:rsid w:val="00DE6C2D"/>
    <w:rsid w:val="00DE6D24"/>
    <w:rsid w:val="00DE7285"/>
    <w:rsid w:val="00DE753F"/>
    <w:rsid w:val="00DE7C40"/>
    <w:rsid w:val="00DF0788"/>
    <w:rsid w:val="00DF0B4D"/>
    <w:rsid w:val="00DF0EA5"/>
    <w:rsid w:val="00DF17FE"/>
    <w:rsid w:val="00DF1ED3"/>
    <w:rsid w:val="00DF1F1D"/>
    <w:rsid w:val="00DF23A5"/>
    <w:rsid w:val="00DF3CE2"/>
    <w:rsid w:val="00DF406C"/>
    <w:rsid w:val="00DF43E6"/>
    <w:rsid w:val="00DF4599"/>
    <w:rsid w:val="00DF45D7"/>
    <w:rsid w:val="00DF476F"/>
    <w:rsid w:val="00DF4C6E"/>
    <w:rsid w:val="00DF5ACE"/>
    <w:rsid w:val="00DF5C6C"/>
    <w:rsid w:val="00DF6666"/>
    <w:rsid w:val="00DF6704"/>
    <w:rsid w:val="00DF745E"/>
    <w:rsid w:val="00DF762E"/>
    <w:rsid w:val="00DF7A2F"/>
    <w:rsid w:val="00DF7C66"/>
    <w:rsid w:val="00E0044E"/>
    <w:rsid w:val="00E00601"/>
    <w:rsid w:val="00E00816"/>
    <w:rsid w:val="00E01B59"/>
    <w:rsid w:val="00E01FC5"/>
    <w:rsid w:val="00E0239F"/>
    <w:rsid w:val="00E0267B"/>
    <w:rsid w:val="00E0347C"/>
    <w:rsid w:val="00E03B3F"/>
    <w:rsid w:val="00E04441"/>
    <w:rsid w:val="00E0488A"/>
    <w:rsid w:val="00E053E2"/>
    <w:rsid w:val="00E057CC"/>
    <w:rsid w:val="00E05D54"/>
    <w:rsid w:val="00E05F03"/>
    <w:rsid w:val="00E06163"/>
    <w:rsid w:val="00E06312"/>
    <w:rsid w:val="00E06370"/>
    <w:rsid w:val="00E06B7B"/>
    <w:rsid w:val="00E06DDA"/>
    <w:rsid w:val="00E06E20"/>
    <w:rsid w:val="00E07DD9"/>
    <w:rsid w:val="00E102F8"/>
    <w:rsid w:val="00E116BC"/>
    <w:rsid w:val="00E11D02"/>
    <w:rsid w:val="00E12D72"/>
    <w:rsid w:val="00E12FCF"/>
    <w:rsid w:val="00E130C3"/>
    <w:rsid w:val="00E13273"/>
    <w:rsid w:val="00E13379"/>
    <w:rsid w:val="00E139EE"/>
    <w:rsid w:val="00E140EA"/>
    <w:rsid w:val="00E14911"/>
    <w:rsid w:val="00E14D83"/>
    <w:rsid w:val="00E14FA6"/>
    <w:rsid w:val="00E1512C"/>
    <w:rsid w:val="00E15A0D"/>
    <w:rsid w:val="00E16640"/>
    <w:rsid w:val="00E16CF2"/>
    <w:rsid w:val="00E171FE"/>
    <w:rsid w:val="00E1740F"/>
    <w:rsid w:val="00E17D8A"/>
    <w:rsid w:val="00E200CF"/>
    <w:rsid w:val="00E20330"/>
    <w:rsid w:val="00E2068B"/>
    <w:rsid w:val="00E206B6"/>
    <w:rsid w:val="00E21714"/>
    <w:rsid w:val="00E24287"/>
    <w:rsid w:val="00E24928"/>
    <w:rsid w:val="00E24D07"/>
    <w:rsid w:val="00E26C7C"/>
    <w:rsid w:val="00E26CBB"/>
    <w:rsid w:val="00E27BEB"/>
    <w:rsid w:val="00E30BC2"/>
    <w:rsid w:val="00E310DC"/>
    <w:rsid w:val="00E31367"/>
    <w:rsid w:val="00E31393"/>
    <w:rsid w:val="00E313EB"/>
    <w:rsid w:val="00E3162F"/>
    <w:rsid w:val="00E3181C"/>
    <w:rsid w:val="00E31E0A"/>
    <w:rsid w:val="00E3237C"/>
    <w:rsid w:val="00E32EF3"/>
    <w:rsid w:val="00E33E21"/>
    <w:rsid w:val="00E34BC4"/>
    <w:rsid w:val="00E3540C"/>
    <w:rsid w:val="00E35BBC"/>
    <w:rsid w:val="00E36187"/>
    <w:rsid w:val="00E36332"/>
    <w:rsid w:val="00E36795"/>
    <w:rsid w:val="00E36C9B"/>
    <w:rsid w:val="00E371E8"/>
    <w:rsid w:val="00E374EC"/>
    <w:rsid w:val="00E37638"/>
    <w:rsid w:val="00E37694"/>
    <w:rsid w:val="00E37DE1"/>
    <w:rsid w:val="00E37E9D"/>
    <w:rsid w:val="00E41009"/>
    <w:rsid w:val="00E41B71"/>
    <w:rsid w:val="00E422D3"/>
    <w:rsid w:val="00E42569"/>
    <w:rsid w:val="00E434A0"/>
    <w:rsid w:val="00E43AEF"/>
    <w:rsid w:val="00E43BEB"/>
    <w:rsid w:val="00E44808"/>
    <w:rsid w:val="00E44AA3"/>
    <w:rsid w:val="00E44BD3"/>
    <w:rsid w:val="00E44D30"/>
    <w:rsid w:val="00E45422"/>
    <w:rsid w:val="00E4597F"/>
    <w:rsid w:val="00E46446"/>
    <w:rsid w:val="00E46CB7"/>
    <w:rsid w:val="00E4723D"/>
    <w:rsid w:val="00E5077C"/>
    <w:rsid w:val="00E50EC8"/>
    <w:rsid w:val="00E5159B"/>
    <w:rsid w:val="00E515C6"/>
    <w:rsid w:val="00E52A15"/>
    <w:rsid w:val="00E52E0D"/>
    <w:rsid w:val="00E52F26"/>
    <w:rsid w:val="00E52FE2"/>
    <w:rsid w:val="00E54629"/>
    <w:rsid w:val="00E54715"/>
    <w:rsid w:val="00E54AB4"/>
    <w:rsid w:val="00E54D6B"/>
    <w:rsid w:val="00E54E6F"/>
    <w:rsid w:val="00E55338"/>
    <w:rsid w:val="00E55888"/>
    <w:rsid w:val="00E569AF"/>
    <w:rsid w:val="00E5774E"/>
    <w:rsid w:val="00E57EEB"/>
    <w:rsid w:val="00E57F4B"/>
    <w:rsid w:val="00E60021"/>
    <w:rsid w:val="00E60318"/>
    <w:rsid w:val="00E609AB"/>
    <w:rsid w:val="00E60BA8"/>
    <w:rsid w:val="00E61E25"/>
    <w:rsid w:val="00E61E28"/>
    <w:rsid w:val="00E628E4"/>
    <w:rsid w:val="00E63025"/>
    <w:rsid w:val="00E6315A"/>
    <w:rsid w:val="00E631AD"/>
    <w:rsid w:val="00E63400"/>
    <w:rsid w:val="00E63798"/>
    <w:rsid w:val="00E6424A"/>
    <w:rsid w:val="00E647F7"/>
    <w:rsid w:val="00E65F3B"/>
    <w:rsid w:val="00E65FF5"/>
    <w:rsid w:val="00E6612B"/>
    <w:rsid w:val="00E663FD"/>
    <w:rsid w:val="00E66857"/>
    <w:rsid w:val="00E66B2F"/>
    <w:rsid w:val="00E66D35"/>
    <w:rsid w:val="00E67556"/>
    <w:rsid w:val="00E67683"/>
    <w:rsid w:val="00E71CE9"/>
    <w:rsid w:val="00E723A8"/>
    <w:rsid w:val="00E7252F"/>
    <w:rsid w:val="00E73814"/>
    <w:rsid w:val="00E73FC2"/>
    <w:rsid w:val="00E74481"/>
    <w:rsid w:val="00E74517"/>
    <w:rsid w:val="00E74625"/>
    <w:rsid w:val="00E74731"/>
    <w:rsid w:val="00E755D7"/>
    <w:rsid w:val="00E7566D"/>
    <w:rsid w:val="00E76E91"/>
    <w:rsid w:val="00E774B4"/>
    <w:rsid w:val="00E778F5"/>
    <w:rsid w:val="00E77CF0"/>
    <w:rsid w:val="00E800B5"/>
    <w:rsid w:val="00E804AE"/>
    <w:rsid w:val="00E80E7C"/>
    <w:rsid w:val="00E80F33"/>
    <w:rsid w:val="00E81779"/>
    <w:rsid w:val="00E8205B"/>
    <w:rsid w:val="00E82444"/>
    <w:rsid w:val="00E82F4B"/>
    <w:rsid w:val="00E831B9"/>
    <w:rsid w:val="00E83322"/>
    <w:rsid w:val="00E8341C"/>
    <w:rsid w:val="00E83A1F"/>
    <w:rsid w:val="00E83A31"/>
    <w:rsid w:val="00E83FE7"/>
    <w:rsid w:val="00E85A0E"/>
    <w:rsid w:val="00E8602B"/>
    <w:rsid w:val="00E86291"/>
    <w:rsid w:val="00E86599"/>
    <w:rsid w:val="00E86B5F"/>
    <w:rsid w:val="00E87D05"/>
    <w:rsid w:val="00E91390"/>
    <w:rsid w:val="00E91F96"/>
    <w:rsid w:val="00E92164"/>
    <w:rsid w:val="00E92431"/>
    <w:rsid w:val="00E925D9"/>
    <w:rsid w:val="00E92E99"/>
    <w:rsid w:val="00E93104"/>
    <w:rsid w:val="00E93597"/>
    <w:rsid w:val="00E93863"/>
    <w:rsid w:val="00E93EF8"/>
    <w:rsid w:val="00E9491F"/>
    <w:rsid w:val="00E94B59"/>
    <w:rsid w:val="00E95FB0"/>
    <w:rsid w:val="00E9609A"/>
    <w:rsid w:val="00E9682E"/>
    <w:rsid w:val="00E968FD"/>
    <w:rsid w:val="00E96D55"/>
    <w:rsid w:val="00E9763C"/>
    <w:rsid w:val="00E97993"/>
    <w:rsid w:val="00E979C9"/>
    <w:rsid w:val="00E97D34"/>
    <w:rsid w:val="00EA0D5D"/>
    <w:rsid w:val="00EA1192"/>
    <w:rsid w:val="00EA153F"/>
    <w:rsid w:val="00EA2788"/>
    <w:rsid w:val="00EA2A31"/>
    <w:rsid w:val="00EA2C6E"/>
    <w:rsid w:val="00EA33B9"/>
    <w:rsid w:val="00EA4581"/>
    <w:rsid w:val="00EA4964"/>
    <w:rsid w:val="00EA4DD7"/>
    <w:rsid w:val="00EA4F1A"/>
    <w:rsid w:val="00EA632B"/>
    <w:rsid w:val="00EA67C7"/>
    <w:rsid w:val="00EA79E4"/>
    <w:rsid w:val="00EA7D46"/>
    <w:rsid w:val="00EA7E37"/>
    <w:rsid w:val="00EB02DE"/>
    <w:rsid w:val="00EB07BD"/>
    <w:rsid w:val="00EB0A07"/>
    <w:rsid w:val="00EB0D82"/>
    <w:rsid w:val="00EB1B69"/>
    <w:rsid w:val="00EB1C78"/>
    <w:rsid w:val="00EB1F87"/>
    <w:rsid w:val="00EB22DE"/>
    <w:rsid w:val="00EB26AF"/>
    <w:rsid w:val="00EB3B46"/>
    <w:rsid w:val="00EB4876"/>
    <w:rsid w:val="00EB4AAF"/>
    <w:rsid w:val="00EB4BDA"/>
    <w:rsid w:val="00EB4F08"/>
    <w:rsid w:val="00EB5428"/>
    <w:rsid w:val="00EB5DF5"/>
    <w:rsid w:val="00EB6D15"/>
    <w:rsid w:val="00EB6E07"/>
    <w:rsid w:val="00EB71B4"/>
    <w:rsid w:val="00EB76D2"/>
    <w:rsid w:val="00EC09C9"/>
    <w:rsid w:val="00EC2E07"/>
    <w:rsid w:val="00EC3929"/>
    <w:rsid w:val="00EC4279"/>
    <w:rsid w:val="00EC43C7"/>
    <w:rsid w:val="00EC4453"/>
    <w:rsid w:val="00EC465D"/>
    <w:rsid w:val="00EC4AB1"/>
    <w:rsid w:val="00EC59FE"/>
    <w:rsid w:val="00EC5B70"/>
    <w:rsid w:val="00EC5C89"/>
    <w:rsid w:val="00EC62AA"/>
    <w:rsid w:val="00EC66D2"/>
    <w:rsid w:val="00EC67E7"/>
    <w:rsid w:val="00EC6834"/>
    <w:rsid w:val="00EC6CB1"/>
    <w:rsid w:val="00EC6EA0"/>
    <w:rsid w:val="00EC73E4"/>
    <w:rsid w:val="00EC7E47"/>
    <w:rsid w:val="00EC7ED6"/>
    <w:rsid w:val="00ED0A13"/>
    <w:rsid w:val="00ED0A1B"/>
    <w:rsid w:val="00ED1EEF"/>
    <w:rsid w:val="00ED21BC"/>
    <w:rsid w:val="00ED2FEC"/>
    <w:rsid w:val="00ED3D59"/>
    <w:rsid w:val="00ED3D95"/>
    <w:rsid w:val="00ED3F67"/>
    <w:rsid w:val="00ED440A"/>
    <w:rsid w:val="00ED441B"/>
    <w:rsid w:val="00ED6348"/>
    <w:rsid w:val="00ED6948"/>
    <w:rsid w:val="00ED6E31"/>
    <w:rsid w:val="00ED754B"/>
    <w:rsid w:val="00ED7971"/>
    <w:rsid w:val="00ED7D00"/>
    <w:rsid w:val="00EE0748"/>
    <w:rsid w:val="00EE29A0"/>
    <w:rsid w:val="00EE2CEA"/>
    <w:rsid w:val="00EE3365"/>
    <w:rsid w:val="00EE42DE"/>
    <w:rsid w:val="00EE443F"/>
    <w:rsid w:val="00EE48DF"/>
    <w:rsid w:val="00EE4AB3"/>
    <w:rsid w:val="00EE5698"/>
    <w:rsid w:val="00EE5BF8"/>
    <w:rsid w:val="00EE5E43"/>
    <w:rsid w:val="00EE612E"/>
    <w:rsid w:val="00EE6A81"/>
    <w:rsid w:val="00EE7405"/>
    <w:rsid w:val="00EE75CE"/>
    <w:rsid w:val="00EE78CD"/>
    <w:rsid w:val="00EF01CC"/>
    <w:rsid w:val="00EF033E"/>
    <w:rsid w:val="00EF0587"/>
    <w:rsid w:val="00EF06EC"/>
    <w:rsid w:val="00EF14FF"/>
    <w:rsid w:val="00EF178F"/>
    <w:rsid w:val="00EF2BFE"/>
    <w:rsid w:val="00EF2C00"/>
    <w:rsid w:val="00EF2D85"/>
    <w:rsid w:val="00EF3136"/>
    <w:rsid w:val="00EF34D2"/>
    <w:rsid w:val="00EF3C5F"/>
    <w:rsid w:val="00EF3CA9"/>
    <w:rsid w:val="00EF402C"/>
    <w:rsid w:val="00EF45E0"/>
    <w:rsid w:val="00EF4E6F"/>
    <w:rsid w:val="00EF5152"/>
    <w:rsid w:val="00EF5552"/>
    <w:rsid w:val="00EF5C82"/>
    <w:rsid w:val="00EF5FE0"/>
    <w:rsid w:val="00EF632E"/>
    <w:rsid w:val="00EF693B"/>
    <w:rsid w:val="00EF7A15"/>
    <w:rsid w:val="00F015A8"/>
    <w:rsid w:val="00F01F8C"/>
    <w:rsid w:val="00F023A0"/>
    <w:rsid w:val="00F02BCC"/>
    <w:rsid w:val="00F035A6"/>
    <w:rsid w:val="00F03B51"/>
    <w:rsid w:val="00F04AC8"/>
    <w:rsid w:val="00F04AD0"/>
    <w:rsid w:val="00F05DBC"/>
    <w:rsid w:val="00F05F95"/>
    <w:rsid w:val="00F0697A"/>
    <w:rsid w:val="00F06F6F"/>
    <w:rsid w:val="00F10033"/>
    <w:rsid w:val="00F10192"/>
    <w:rsid w:val="00F1083B"/>
    <w:rsid w:val="00F10848"/>
    <w:rsid w:val="00F10997"/>
    <w:rsid w:val="00F10A7C"/>
    <w:rsid w:val="00F10B68"/>
    <w:rsid w:val="00F11624"/>
    <w:rsid w:val="00F11F55"/>
    <w:rsid w:val="00F11F61"/>
    <w:rsid w:val="00F12DEC"/>
    <w:rsid w:val="00F13151"/>
    <w:rsid w:val="00F13546"/>
    <w:rsid w:val="00F13C44"/>
    <w:rsid w:val="00F15523"/>
    <w:rsid w:val="00F16391"/>
    <w:rsid w:val="00F170B5"/>
    <w:rsid w:val="00F179DF"/>
    <w:rsid w:val="00F2062B"/>
    <w:rsid w:val="00F20E5E"/>
    <w:rsid w:val="00F21595"/>
    <w:rsid w:val="00F217FF"/>
    <w:rsid w:val="00F21A18"/>
    <w:rsid w:val="00F21D11"/>
    <w:rsid w:val="00F21E61"/>
    <w:rsid w:val="00F220EA"/>
    <w:rsid w:val="00F222CD"/>
    <w:rsid w:val="00F239A3"/>
    <w:rsid w:val="00F23DCE"/>
    <w:rsid w:val="00F24651"/>
    <w:rsid w:val="00F24EA4"/>
    <w:rsid w:val="00F2625A"/>
    <w:rsid w:val="00F26D49"/>
    <w:rsid w:val="00F26F64"/>
    <w:rsid w:val="00F279AD"/>
    <w:rsid w:val="00F27CEF"/>
    <w:rsid w:val="00F30627"/>
    <w:rsid w:val="00F31A03"/>
    <w:rsid w:val="00F3283C"/>
    <w:rsid w:val="00F32D0F"/>
    <w:rsid w:val="00F32DDE"/>
    <w:rsid w:val="00F341EF"/>
    <w:rsid w:val="00F343F0"/>
    <w:rsid w:val="00F34620"/>
    <w:rsid w:val="00F3490F"/>
    <w:rsid w:val="00F34AAB"/>
    <w:rsid w:val="00F34C4D"/>
    <w:rsid w:val="00F350CF"/>
    <w:rsid w:val="00F3520F"/>
    <w:rsid w:val="00F35582"/>
    <w:rsid w:val="00F355AB"/>
    <w:rsid w:val="00F36168"/>
    <w:rsid w:val="00F36568"/>
    <w:rsid w:val="00F3661A"/>
    <w:rsid w:val="00F37004"/>
    <w:rsid w:val="00F376A1"/>
    <w:rsid w:val="00F379D4"/>
    <w:rsid w:val="00F37B8E"/>
    <w:rsid w:val="00F401D4"/>
    <w:rsid w:val="00F404F2"/>
    <w:rsid w:val="00F4092B"/>
    <w:rsid w:val="00F41553"/>
    <w:rsid w:val="00F41703"/>
    <w:rsid w:val="00F41746"/>
    <w:rsid w:val="00F41E79"/>
    <w:rsid w:val="00F42D3C"/>
    <w:rsid w:val="00F4315F"/>
    <w:rsid w:val="00F43318"/>
    <w:rsid w:val="00F43927"/>
    <w:rsid w:val="00F4404B"/>
    <w:rsid w:val="00F445F6"/>
    <w:rsid w:val="00F44CAE"/>
    <w:rsid w:val="00F4512F"/>
    <w:rsid w:val="00F45763"/>
    <w:rsid w:val="00F45BCF"/>
    <w:rsid w:val="00F45BEA"/>
    <w:rsid w:val="00F45CFE"/>
    <w:rsid w:val="00F45E39"/>
    <w:rsid w:val="00F45FB6"/>
    <w:rsid w:val="00F46877"/>
    <w:rsid w:val="00F47F3E"/>
    <w:rsid w:val="00F50340"/>
    <w:rsid w:val="00F5037F"/>
    <w:rsid w:val="00F51891"/>
    <w:rsid w:val="00F51D44"/>
    <w:rsid w:val="00F52619"/>
    <w:rsid w:val="00F530E6"/>
    <w:rsid w:val="00F532C7"/>
    <w:rsid w:val="00F54D16"/>
    <w:rsid w:val="00F54EE5"/>
    <w:rsid w:val="00F55358"/>
    <w:rsid w:val="00F55FD4"/>
    <w:rsid w:val="00F5603C"/>
    <w:rsid w:val="00F5605C"/>
    <w:rsid w:val="00F564B9"/>
    <w:rsid w:val="00F56ABE"/>
    <w:rsid w:val="00F56D33"/>
    <w:rsid w:val="00F57127"/>
    <w:rsid w:val="00F5715C"/>
    <w:rsid w:val="00F57909"/>
    <w:rsid w:val="00F60DD7"/>
    <w:rsid w:val="00F612D6"/>
    <w:rsid w:val="00F61621"/>
    <w:rsid w:val="00F61856"/>
    <w:rsid w:val="00F6232D"/>
    <w:rsid w:val="00F63295"/>
    <w:rsid w:val="00F63400"/>
    <w:rsid w:val="00F6368F"/>
    <w:rsid w:val="00F636C6"/>
    <w:rsid w:val="00F637E9"/>
    <w:rsid w:val="00F6433D"/>
    <w:rsid w:val="00F646A8"/>
    <w:rsid w:val="00F653B9"/>
    <w:rsid w:val="00F6573E"/>
    <w:rsid w:val="00F662EB"/>
    <w:rsid w:val="00F67397"/>
    <w:rsid w:val="00F67606"/>
    <w:rsid w:val="00F67F24"/>
    <w:rsid w:val="00F70129"/>
    <w:rsid w:val="00F70327"/>
    <w:rsid w:val="00F70E3C"/>
    <w:rsid w:val="00F70FEF"/>
    <w:rsid w:val="00F71861"/>
    <w:rsid w:val="00F72088"/>
    <w:rsid w:val="00F72441"/>
    <w:rsid w:val="00F726A1"/>
    <w:rsid w:val="00F72FA8"/>
    <w:rsid w:val="00F73E1B"/>
    <w:rsid w:val="00F75415"/>
    <w:rsid w:val="00F75E98"/>
    <w:rsid w:val="00F76DE3"/>
    <w:rsid w:val="00F773F9"/>
    <w:rsid w:val="00F77C74"/>
    <w:rsid w:val="00F77E67"/>
    <w:rsid w:val="00F8101C"/>
    <w:rsid w:val="00F817B9"/>
    <w:rsid w:val="00F81CB7"/>
    <w:rsid w:val="00F82280"/>
    <w:rsid w:val="00F8235F"/>
    <w:rsid w:val="00F827BA"/>
    <w:rsid w:val="00F82F0E"/>
    <w:rsid w:val="00F832BE"/>
    <w:rsid w:val="00F83A22"/>
    <w:rsid w:val="00F83A97"/>
    <w:rsid w:val="00F844F0"/>
    <w:rsid w:val="00F84895"/>
    <w:rsid w:val="00F84990"/>
    <w:rsid w:val="00F84E9D"/>
    <w:rsid w:val="00F84FB3"/>
    <w:rsid w:val="00F8659E"/>
    <w:rsid w:val="00F86CE4"/>
    <w:rsid w:val="00F86EA7"/>
    <w:rsid w:val="00F86F42"/>
    <w:rsid w:val="00F87727"/>
    <w:rsid w:val="00F87BFB"/>
    <w:rsid w:val="00F90C70"/>
    <w:rsid w:val="00F9102A"/>
    <w:rsid w:val="00F91031"/>
    <w:rsid w:val="00F91515"/>
    <w:rsid w:val="00F91558"/>
    <w:rsid w:val="00F916C2"/>
    <w:rsid w:val="00F91719"/>
    <w:rsid w:val="00F91820"/>
    <w:rsid w:val="00F91941"/>
    <w:rsid w:val="00F920AE"/>
    <w:rsid w:val="00F92612"/>
    <w:rsid w:val="00F928B6"/>
    <w:rsid w:val="00F92E21"/>
    <w:rsid w:val="00F92E3F"/>
    <w:rsid w:val="00F9318A"/>
    <w:rsid w:val="00F93374"/>
    <w:rsid w:val="00F93434"/>
    <w:rsid w:val="00F938D2"/>
    <w:rsid w:val="00F93A9A"/>
    <w:rsid w:val="00F93F64"/>
    <w:rsid w:val="00F94FC3"/>
    <w:rsid w:val="00F96389"/>
    <w:rsid w:val="00F9650E"/>
    <w:rsid w:val="00F96B73"/>
    <w:rsid w:val="00F977C7"/>
    <w:rsid w:val="00F97FD2"/>
    <w:rsid w:val="00FA0890"/>
    <w:rsid w:val="00FA0AFF"/>
    <w:rsid w:val="00FA164A"/>
    <w:rsid w:val="00FA167D"/>
    <w:rsid w:val="00FA26C1"/>
    <w:rsid w:val="00FA2831"/>
    <w:rsid w:val="00FA2CD4"/>
    <w:rsid w:val="00FA3647"/>
    <w:rsid w:val="00FA3F3E"/>
    <w:rsid w:val="00FA421C"/>
    <w:rsid w:val="00FA4272"/>
    <w:rsid w:val="00FA45F2"/>
    <w:rsid w:val="00FA4855"/>
    <w:rsid w:val="00FA4ACD"/>
    <w:rsid w:val="00FA5386"/>
    <w:rsid w:val="00FA58E2"/>
    <w:rsid w:val="00FA6428"/>
    <w:rsid w:val="00FA655F"/>
    <w:rsid w:val="00FA6B72"/>
    <w:rsid w:val="00FA7144"/>
    <w:rsid w:val="00FA7184"/>
    <w:rsid w:val="00FB08EC"/>
    <w:rsid w:val="00FB1645"/>
    <w:rsid w:val="00FB1D9D"/>
    <w:rsid w:val="00FB22A9"/>
    <w:rsid w:val="00FB3304"/>
    <w:rsid w:val="00FB38E7"/>
    <w:rsid w:val="00FB46B8"/>
    <w:rsid w:val="00FB4B38"/>
    <w:rsid w:val="00FB4FB4"/>
    <w:rsid w:val="00FB54BB"/>
    <w:rsid w:val="00FB5554"/>
    <w:rsid w:val="00FB5AC0"/>
    <w:rsid w:val="00FB5D36"/>
    <w:rsid w:val="00FB5F32"/>
    <w:rsid w:val="00FB62EC"/>
    <w:rsid w:val="00FB6879"/>
    <w:rsid w:val="00FB6C91"/>
    <w:rsid w:val="00FB7099"/>
    <w:rsid w:val="00FB740B"/>
    <w:rsid w:val="00FB74E8"/>
    <w:rsid w:val="00FB757E"/>
    <w:rsid w:val="00FB7BAC"/>
    <w:rsid w:val="00FC0263"/>
    <w:rsid w:val="00FC0348"/>
    <w:rsid w:val="00FC04A0"/>
    <w:rsid w:val="00FC0FB5"/>
    <w:rsid w:val="00FC102A"/>
    <w:rsid w:val="00FC104E"/>
    <w:rsid w:val="00FC1363"/>
    <w:rsid w:val="00FC145A"/>
    <w:rsid w:val="00FC154C"/>
    <w:rsid w:val="00FC1691"/>
    <w:rsid w:val="00FC1963"/>
    <w:rsid w:val="00FC1DBC"/>
    <w:rsid w:val="00FC2637"/>
    <w:rsid w:val="00FC2E91"/>
    <w:rsid w:val="00FC31E2"/>
    <w:rsid w:val="00FC3435"/>
    <w:rsid w:val="00FC393B"/>
    <w:rsid w:val="00FC4052"/>
    <w:rsid w:val="00FC42C8"/>
    <w:rsid w:val="00FC446E"/>
    <w:rsid w:val="00FC4ABC"/>
    <w:rsid w:val="00FC5015"/>
    <w:rsid w:val="00FC5252"/>
    <w:rsid w:val="00FC594A"/>
    <w:rsid w:val="00FC5BC2"/>
    <w:rsid w:val="00FC6356"/>
    <w:rsid w:val="00FC6580"/>
    <w:rsid w:val="00FC70FE"/>
    <w:rsid w:val="00FC773A"/>
    <w:rsid w:val="00FC7D01"/>
    <w:rsid w:val="00FC7D59"/>
    <w:rsid w:val="00FC7DB5"/>
    <w:rsid w:val="00FD0130"/>
    <w:rsid w:val="00FD0373"/>
    <w:rsid w:val="00FD0582"/>
    <w:rsid w:val="00FD064D"/>
    <w:rsid w:val="00FD0C93"/>
    <w:rsid w:val="00FD1062"/>
    <w:rsid w:val="00FD1141"/>
    <w:rsid w:val="00FD22AF"/>
    <w:rsid w:val="00FD2589"/>
    <w:rsid w:val="00FD2D51"/>
    <w:rsid w:val="00FD311D"/>
    <w:rsid w:val="00FD332E"/>
    <w:rsid w:val="00FD3CF2"/>
    <w:rsid w:val="00FD43A3"/>
    <w:rsid w:val="00FD4876"/>
    <w:rsid w:val="00FD514D"/>
    <w:rsid w:val="00FD52A3"/>
    <w:rsid w:val="00FD5CAA"/>
    <w:rsid w:val="00FD65A3"/>
    <w:rsid w:val="00FD68D4"/>
    <w:rsid w:val="00FD744B"/>
    <w:rsid w:val="00FD7E29"/>
    <w:rsid w:val="00FE00D9"/>
    <w:rsid w:val="00FE0149"/>
    <w:rsid w:val="00FE1186"/>
    <w:rsid w:val="00FE14A6"/>
    <w:rsid w:val="00FE177A"/>
    <w:rsid w:val="00FE240A"/>
    <w:rsid w:val="00FE377B"/>
    <w:rsid w:val="00FE3E3C"/>
    <w:rsid w:val="00FE3F78"/>
    <w:rsid w:val="00FE41E9"/>
    <w:rsid w:val="00FE43E7"/>
    <w:rsid w:val="00FE4B66"/>
    <w:rsid w:val="00FE4F6E"/>
    <w:rsid w:val="00FE510F"/>
    <w:rsid w:val="00FE5407"/>
    <w:rsid w:val="00FE583F"/>
    <w:rsid w:val="00FE5885"/>
    <w:rsid w:val="00FE5C30"/>
    <w:rsid w:val="00FE5CC4"/>
    <w:rsid w:val="00FE68A5"/>
    <w:rsid w:val="00FE6B13"/>
    <w:rsid w:val="00FE7575"/>
    <w:rsid w:val="00FF01D8"/>
    <w:rsid w:val="00FF1070"/>
    <w:rsid w:val="00FF13E2"/>
    <w:rsid w:val="00FF1744"/>
    <w:rsid w:val="00FF2237"/>
    <w:rsid w:val="00FF3AC3"/>
    <w:rsid w:val="00FF4953"/>
    <w:rsid w:val="00FF5FA3"/>
    <w:rsid w:val="00FF5FCE"/>
    <w:rsid w:val="00FF6177"/>
    <w:rsid w:val="00FF6433"/>
    <w:rsid w:val="00FF6AD9"/>
    <w:rsid w:val="00FF70F0"/>
    <w:rsid w:val="013277F1"/>
    <w:rsid w:val="014FF8F2"/>
    <w:rsid w:val="048E3582"/>
    <w:rsid w:val="055A0636"/>
    <w:rsid w:val="065DFF0B"/>
    <w:rsid w:val="06A5F62A"/>
    <w:rsid w:val="099CAE71"/>
    <w:rsid w:val="0EFBBFDB"/>
    <w:rsid w:val="0F2FAE84"/>
    <w:rsid w:val="10F3032C"/>
    <w:rsid w:val="129C4DFF"/>
    <w:rsid w:val="13A057A1"/>
    <w:rsid w:val="15CEF60D"/>
    <w:rsid w:val="173715D0"/>
    <w:rsid w:val="1AA397C9"/>
    <w:rsid w:val="1EF06AB5"/>
    <w:rsid w:val="21F4166F"/>
    <w:rsid w:val="22364C50"/>
    <w:rsid w:val="24ACE89F"/>
    <w:rsid w:val="2A690497"/>
    <w:rsid w:val="2BC45278"/>
    <w:rsid w:val="2D53021A"/>
    <w:rsid w:val="2F1AAE5F"/>
    <w:rsid w:val="30D96DDD"/>
    <w:rsid w:val="31F57292"/>
    <w:rsid w:val="374AB654"/>
    <w:rsid w:val="3926EABC"/>
    <w:rsid w:val="397F4031"/>
    <w:rsid w:val="3B817D39"/>
    <w:rsid w:val="3D77D161"/>
    <w:rsid w:val="3E30383F"/>
    <w:rsid w:val="3ECEF9EE"/>
    <w:rsid w:val="40960A9E"/>
    <w:rsid w:val="4104F864"/>
    <w:rsid w:val="410C91F7"/>
    <w:rsid w:val="4296EEBE"/>
    <w:rsid w:val="45A470A2"/>
    <w:rsid w:val="45C4ED30"/>
    <w:rsid w:val="51184336"/>
    <w:rsid w:val="527D07C4"/>
    <w:rsid w:val="55D4B172"/>
    <w:rsid w:val="5760C8E4"/>
    <w:rsid w:val="6236CA46"/>
    <w:rsid w:val="64605ADC"/>
    <w:rsid w:val="672706A0"/>
    <w:rsid w:val="698AA7CC"/>
    <w:rsid w:val="6ABC88D0"/>
    <w:rsid w:val="6D476C56"/>
    <w:rsid w:val="6EC0B0DB"/>
    <w:rsid w:val="70BF58AC"/>
    <w:rsid w:val="773FFAB3"/>
    <w:rsid w:val="786C71A6"/>
    <w:rsid w:val="7B205818"/>
    <w:rsid w:val="7B3BD924"/>
    <w:rsid w:val="7B3CBC0A"/>
    <w:rsid w:val="7C11DC16"/>
    <w:rsid w:val="7DD0A2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2E5863"/>
  <w15:chartTrackingRefBased/>
  <w15:docId w15:val="{8C695B25-6F94-4AE9-A40D-65BA299D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643"/>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6">
    <w:name w:val="heading 6"/>
    <w:basedOn w:val="Normal"/>
    <w:next w:val="Normal"/>
    <w:link w:val="Heading6Char"/>
    <w:semiHidden/>
    <w:unhideWhenUsed/>
    <w:qFormat/>
    <w:locked/>
    <w:rsid w:val="00B648B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H&amp;P List Paragraph,Strip,Punkti ar numuriem,Bullet Points,Bullet Styl,Dot pt,F5 List Paragraph,IFCL - List Paragraph,Indicator Text,List Paragraph Char Char Char,List Paragraph12,MAIN CONTENT,Numbered Para 1,Numurets,OBC Bullet"/>
    <w:basedOn w:val="Normal"/>
    <w:link w:val="ListParagraphChar"/>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VPBullet1">
    <w:name w:val="VP Bullet 1"/>
    <w:basedOn w:val="Normal"/>
    <w:qFormat/>
    <w:rsid w:val="0076632E"/>
    <w:pPr>
      <w:numPr>
        <w:numId w:val="5"/>
      </w:numPr>
      <w:tabs>
        <w:tab w:val="left" w:pos="0"/>
        <w:tab w:val="num" w:pos="720"/>
      </w:tabs>
      <w:spacing w:before="120" w:after="80"/>
      <w:jc w:val="both"/>
    </w:pPr>
    <w:rPr>
      <w:rFonts w:eastAsia="Calibri"/>
      <w:bCs/>
      <w:szCs w:val="22"/>
      <w:lang w:eastAsia="en-US"/>
    </w:rPr>
  </w:style>
  <w:style w:type="paragraph" w:customStyle="1" w:styleId="VPBody">
    <w:name w:val="VP Body"/>
    <w:basedOn w:val="Normal"/>
    <w:autoRedefine/>
    <w:qFormat/>
    <w:rsid w:val="00123BC8"/>
    <w:pPr>
      <w:tabs>
        <w:tab w:val="left" w:pos="0"/>
      </w:tabs>
      <w:ind w:left="60"/>
      <w:jc w:val="both"/>
    </w:pPr>
    <w:rPr>
      <w:rFonts w:eastAsia="Calibri"/>
      <w:b/>
      <w:bCs/>
      <w:sz w:val="22"/>
      <w:u w:val="single"/>
      <w:lang w:eastAsia="en-US"/>
    </w:rPr>
  </w:style>
  <w:style w:type="paragraph" w:customStyle="1" w:styleId="VPMessage">
    <w:name w:val="VP Message"/>
    <w:basedOn w:val="Normal"/>
    <w:next w:val="VPBody"/>
    <w:qFormat/>
    <w:rsid w:val="0076632E"/>
    <w:pPr>
      <w:spacing w:before="80" w:after="80"/>
    </w:pPr>
    <w:rPr>
      <w:rFonts w:eastAsia="Calibri"/>
      <w:b/>
      <w:i/>
      <w:sz w:val="26"/>
      <w:szCs w:val="22"/>
      <w:lang w:eastAsia="en-US"/>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Char10 Char"/>
    <w:link w:val="FootnoteText"/>
    <w:uiPriority w:val="99"/>
    <w:locked/>
    <w:rsid w:val="009054CF"/>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Char10,Char1,fn,FT"/>
    <w:basedOn w:val="Normal"/>
    <w:link w:val="FootnoteTextChar"/>
    <w:uiPriority w:val="99"/>
    <w:unhideWhenUsed/>
    <w:rsid w:val="009054CF"/>
    <w:pPr>
      <w:jc w:val="both"/>
    </w:pPr>
    <w:rPr>
      <w:sz w:val="20"/>
      <w:szCs w:val="20"/>
      <w:lang w:val="en-GB" w:eastAsia="en-GB"/>
    </w:rPr>
  </w:style>
  <w:style w:type="character" w:customStyle="1" w:styleId="FootnoteTextChar1">
    <w:name w:val="Footnote Text Char1"/>
    <w:uiPriority w:val="99"/>
    <w:semiHidden/>
    <w:rsid w:val="009054CF"/>
    <w:rPr>
      <w:lang w:val="lv-LV"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9054CF"/>
    <w:rPr>
      <w:vertAlign w:val="superscript"/>
    </w:rPr>
  </w:style>
  <w:style w:type="paragraph" w:customStyle="1" w:styleId="CharCharCharChar">
    <w:name w:val="Char Char Char Char"/>
    <w:aliases w:val="Char2"/>
    <w:basedOn w:val="Normal"/>
    <w:link w:val="FootnoteReference"/>
    <w:uiPriority w:val="99"/>
    <w:rsid w:val="009054CF"/>
    <w:pPr>
      <w:spacing w:after="160" w:line="240" w:lineRule="exact"/>
      <w:jc w:val="both"/>
    </w:pPr>
    <w:rPr>
      <w:sz w:val="20"/>
      <w:szCs w:val="20"/>
      <w:vertAlign w:val="superscript"/>
      <w:lang w:val="x-none" w:eastAsia="x-none"/>
    </w:rPr>
  </w:style>
  <w:style w:type="paragraph" w:styleId="PlainText">
    <w:name w:val="Plain Text"/>
    <w:basedOn w:val="Normal"/>
    <w:link w:val="PlainTextChar"/>
    <w:uiPriority w:val="99"/>
    <w:unhideWhenUsed/>
    <w:rsid w:val="00110151"/>
    <w:rPr>
      <w:rFonts w:ascii="Calibri" w:eastAsia="Calibri" w:hAnsi="Calibri"/>
      <w:sz w:val="22"/>
      <w:szCs w:val="21"/>
      <w:lang w:val="x-none" w:eastAsia="en-US"/>
    </w:rPr>
  </w:style>
  <w:style w:type="character" w:customStyle="1" w:styleId="PlainTextChar">
    <w:name w:val="Plain Text Char"/>
    <w:link w:val="PlainText"/>
    <w:uiPriority w:val="99"/>
    <w:rsid w:val="00110151"/>
    <w:rPr>
      <w:rFonts w:ascii="Calibri" w:eastAsia="Calibri" w:hAnsi="Calibri"/>
      <w:sz w:val="22"/>
      <w:szCs w:val="21"/>
      <w:lang w:eastAsia="en-US"/>
    </w:rPr>
  </w:style>
  <w:style w:type="character" w:customStyle="1" w:styleId="ListParagraphChar">
    <w:name w:val="List Paragraph Char"/>
    <w:aliases w:val="2 Char,H&amp;P List Paragraph Char,Strip Char,Punkti ar numuriem Char,Bullet Points Char,Bullet Styl Char,Dot pt Char,F5 List Paragraph Char,IFCL - List Paragraph Char,Indicator Text Char,List Paragraph Char Char Char Char,Numurets Char"/>
    <w:link w:val="ListParagraph"/>
    <w:qFormat/>
    <w:rsid w:val="0091650F"/>
    <w:rPr>
      <w:rFonts w:ascii="Calibri" w:hAnsi="Calibri"/>
      <w:sz w:val="22"/>
      <w:szCs w:val="22"/>
      <w:lang w:eastAsia="en-US"/>
    </w:rPr>
  </w:style>
  <w:style w:type="character" w:customStyle="1" w:styleId="apple-converted-space">
    <w:name w:val="apple-converted-space"/>
    <w:rsid w:val="008E3292"/>
  </w:style>
  <w:style w:type="character" w:customStyle="1" w:styleId="st1">
    <w:name w:val="st1"/>
    <w:rsid w:val="006C00C2"/>
  </w:style>
  <w:style w:type="paragraph" w:customStyle="1" w:styleId="VPBodyTable">
    <w:name w:val="VP Body Table"/>
    <w:basedOn w:val="Normal"/>
    <w:qFormat/>
    <w:rsid w:val="0051019C"/>
    <w:pPr>
      <w:tabs>
        <w:tab w:val="left" w:pos="0"/>
      </w:tabs>
      <w:spacing w:line="259" w:lineRule="auto"/>
    </w:pPr>
    <w:rPr>
      <w:rFonts w:eastAsia="Calibri"/>
      <w:bCs/>
      <w:sz w:val="20"/>
      <w:szCs w:val="22"/>
      <w:lang w:val="en-US" w:eastAsia="en-US"/>
    </w:rPr>
  </w:style>
  <w:style w:type="character" w:customStyle="1" w:styleId="Heading6Char">
    <w:name w:val="Heading 6 Char"/>
    <w:link w:val="Heading6"/>
    <w:rsid w:val="00B648BC"/>
    <w:rPr>
      <w:rFonts w:ascii="Calibri" w:eastAsia="Times New Roman" w:hAnsi="Calibri" w:cs="Times New Roman"/>
      <w:b/>
      <w:bCs/>
      <w:sz w:val="22"/>
      <w:szCs w:val="22"/>
    </w:rPr>
  </w:style>
  <w:style w:type="paragraph" w:customStyle="1" w:styleId="Standard">
    <w:name w:val="Standard"/>
    <w:rsid w:val="008C729B"/>
    <w:pPr>
      <w:widowControl w:val="0"/>
      <w:suppressAutoHyphens/>
      <w:autoSpaceDN w:val="0"/>
      <w:textAlignment w:val="baseline"/>
    </w:pPr>
    <w:rPr>
      <w:rFonts w:eastAsia="WenQuanYi Zen Hei" w:cs="FreeSans"/>
      <w:kern w:val="3"/>
      <w:sz w:val="24"/>
      <w:szCs w:val="24"/>
      <w:lang w:val="lv-LV" w:eastAsia="zh-CN" w:bidi="hi-IN"/>
    </w:rPr>
  </w:style>
  <w:style w:type="paragraph" w:styleId="Title">
    <w:name w:val="Title"/>
    <w:basedOn w:val="Normal"/>
    <w:next w:val="Normal"/>
    <w:link w:val="TitleChar"/>
    <w:uiPriority w:val="10"/>
    <w:qFormat/>
    <w:locked/>
    <w:rsid w:val="00DF43E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F43E6"/>
    <w:rPr>
      <w:rFonts w:ascii="Cambria" w:hAnsi="Cambria"/>
      <w:color w:val="17365D"/>
      <w:spacing w:val="5"/>
      <w:kern w:val="28"/>
      <w:sz w:val="52"/>
      <w:szCs w:val="52"/>
    </w:rPr>
  </w:style>
  <w:style w:type="character" w:customStyle="1" w:styleId="st">
    <w:name w:val="st"/>
    <w:rsid w:val="001706EE"/>
  </w:style>
  <w:style w:type="paragraph" w:styleId="NoSpacing">
    <w:name w:val="No Spacing"/>
    <w:uiPriority w:val="1"/>
    <w:qFormat/>
    <w:rsid w:val="002A764F"/>
    <w:pPr>
      <w:widowControl w:val="0"/>
    </w:pPr>
    <w:rPr>
      <w:rFonts w:ascii="Calibri" w:eastAsia="Calibri" w:hAnsi="Calibri"/>
      <w:sz w:val="22"/>
      <w:szCs w:val="22"/>
      <w:lang w:eastAsia="en-US"/>
    </w:rPr>
  </w:style>
  <w:style w:type="paragraph" w:customStyle="1" w:styleId="paragraph">
    <w:name w:val="paragraph"/>
    <w:basedOn w:val="Normal"/>
    <w:rsid w:val="005057E8"/>
    <w:pPr>
      <w:spacing w:before="100" w:beforeAutospacing="1" w:after="100" w:afterAutospacing="1"/>
    </w:pPr>
  </w:style>
  <w:style w:type="character" w:customStyle="1" w:styleId="normaltextrun">
    <w:name w:val="normaltextrun"/>
    <w:basedOn w:val="DefaultParagraphFont"/>
    <w:rsid w:val="005057E8"/>
  </w:style>
  <w:style w:type="character" w:customStyle="1" w:styleId="eop">
    <w:name w:val="eop"/>
    <w:basedOn w:val="DefaultParagraphFont"/>
    <w:rsid w:val="005057E8"/>
  </w:style>
  <w:style w:type="character" w:customStyle="1" w:styleId="spellingerror">
    <w:name w:val="spellingerror"/>
    <w:basedOn w:val="DefaultParagraphFont"/>
    <w:rsid w:val="00505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9932">
      <w:bodyDiv w:val="1"/>
      <w:marLeft w:val="0"/>
      <w:marRight w:val="0"/>
      <w:marTop w:val="0"/>
      <w:marBottom w:val="0"/>
      <w:divBdr>
        <w:top w:val="none" w:sz="0" w:space="0" w:color="auto"/>
        <w:left w:val="none" w:sz="0" w:space="0" w:color="auto"/>
        <w:bottom w:val="none" w:sz="0" w:space="0" w:color="auto"/>
        <w:right w:val="none" w:sz="0" w:space="0" w:color="auto"/>
      </w:divBdr>
    </w:div>
    <w:div w:id="137185779">
      <w:bodyDiv w:val="1"/>
      <w:marLeft w:val="0"/>
      <w:marRight w:val="0"/>
      <w:marTop w:val="0"/>
      <w:marBottom w:val="0"/>
      <w:divBdr>
        <w:top w:val="none" w:sz="0" w:space="0" w:color="auto"/>
        <w:left w:val="none" w:sz="0" w:space="0" w:color="auto"/>
        <w:bottom w:val="none" w:sz="0" w:space="0" w:color="auto"/>
        <w:right w:val="none" w:sz="0" w:space="0" w:color="auto"/>
      </w:divBdr>
    </w:div>
    <w:div w:id="342711259">
      <w:bodyDiv w:val="1"/>
      <w:marLeft w:val="0"/>
      <w:marRight w:val="0"/>
      <w:marTop w:val="0"/>
      <w:marBottom w:val="0"/>
      <w:divBdr>
        <w:top w:val="none" w:sz="0" w:space="0" w:color="auto"/>
        <w:left w:val="none" w:sz="0" w:space="0" w:color="auto"/>
        <w:bottom w:val="none" w:sz="0" w:space="0" w:color="auto"/>
        <w:right w:val="none" w:sz="0" w:space="0" w:color="auto"/>
      </w:divBdr>
    </w:div>
    <w:div w:id="344526578">
      <w:bodyDiv w:val="1"/>
      <w:marLeft w:val="0"/>
      <w:marRight w:val="0"/>
      <w:marTop w:val="0"/>
      <w:marBottom w:val="0"/>
      <w:divBdr>
        <w:top w:val="none" w:sz="0" w:space="0" w:color="auto"/>
        <w:left w:val="none" w:sz="0" w:space="0" w:color="auto"/>
        <w:bottom w:val="none" w:sz="0" w:space="0" w:color="auto"/>
        <w:right w:val="none" w:sz="0" w:space="0" w:color="auto"/>
      </w:divBdr>
    </w:div>
    <w:div w:id="362437316">
      <w:bodyDiv w:val="1"/>
      <w:marLeft w:val="0"/>
      <w:marRight w:val="0"/>
      <w:marTop w:val="0"/>
      <w:marBottom w:val="0"/>
      <w:divBdr>
        <w:top w:val="none" w:sz="0" w:space="0" w:color="auto"/>
        <w:left w:val="none" w:sz="0" w:space="0" w:color="auto"/>
        <w:bottom w:val="none" w:sz="0" w:space="0" w:color="auto"/>
        <w:right w:val="none" w:sz="0" w:space="0" w:color="auto"/>
      </w:divBdr>
    </w:div>
    <w:div w:id="367142691">
      <w:bodyDiv w:val="1"/>
      <w:marLeft w:val="0"/>
      <w:marRight w:val="0"/>
      <w:marTop w:val="0"/>
      <w:marBottom w:val="0"/>
      <w:divBdr>
        <w:top w:val="none" w:sz="0" w:space="0" w:color="auto"/>
        <w:left w:val="none" w:sz="0" w:space="0" w:color="auto"/>
        <w:bottom w:val="none" w:sz="0" w:space="0" w:color="auto"/>
        <w:right w:val="none" w:sz="0" w:space="0" w:color="auto"/>
      </w:divBdr>
    </w:div>
    <w:div w:id="43937640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26723647">
      <w:bodyDiv w:val="1"/>
      <w:marLeft w:val="0"/>
      <w:marRight w:val="0"/>
      <w:marTop w:val="0"/>
      <w:marBottom w:val="0"/>
      <w:divBdr>
        <w:top w:val="none" w:sz="0" w:space="0" w:color="auto"/>
        <w:left w:val="none" w:sz="0" w:space="0" w:color="auto"/>
        <w:bottom w:val="none" w:sz="0" w:space="0" w:color="auto"/>
        <w:right w:val="none" w:sz="0" w:space="0" w:color="auto"/>
      </w:divBdr>
      <w:divsChild>
        <w:div w:id="544634203">
          <w:marLeft w:val="0"/>
          <w:marRight w:val="0"/>
          <w:marTop w:val="0"/>
          <w:marBottom w:val="0"/>
          <w:divBdr>
            <w:top w:val="none" w:sz="0" w:space="0" w:color="auto"/>
            <w:left w:val="none" w:sz="0" w:space="0" w:color="auto"/>
            <w:bottom w:val="none" w:sz="0" w:space="0" w:color="auto"/>
            <w:right w:val="none" w:sz="0" w:space="0" w:color="auto"/>
          </w:divBdr>
        </w:div>
        <w:div w:id="1010714064">
          <w:marLeft w:val="0"/>
          <w:marRight w:val="0"/>
          <w:marTop w:val="0"/>
          <w:marBottom w:val="0"/>
          <w:divBdr>
            <w:top w:val="none" w:sz="0" w:space="0" w:color="auto"/>
            <w:left w:val="none" w:sz="0" w:space="0" w:color="auto"/>
            <w:bottom w:val="none" w:sz="0" w:space="0" w:color="auto"/>
            <w:right w:val="none" w:sz="0" w:space="0" w:color="auto"/>
          </w:divBdr>
        </w:div>
        <w:div w:id="1282297645">
          <w:marLeft w:val="0"/>
          <w:marRight w:val="0"/>
          <w:marTop w:val="0"/>
          <w:marBottom w:val="0"/>
          <w:divBdr>
            <w:top w:val="none" w:sz="0" w:space="0" w:color="auto"/>
            <w:left w:val="none" w:sz="0" w:space="0" w:color="auto"/>
            <w:bottom w:val="none" w:sz="0" w:space="0" w:color="auto"/>
            <w:right w:val="none" w:sz="0" w:space="0" w:color="auto"/>
          </w:divBdr>
        </w:div>
      </w:divsChild>
    </w:div>
    <w:div w:id="600450480">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94574770">
      <w:bodyDiv w:val="1"/>
      <w:marLeft w:val="0"/>
      <w:marRight w:val="0"/>
      <w:marTop w:val="0"/>
      <w:marBottom w:val="0"/>
      <w:divBdr>
        <w:top w:val="none" w:sz="0" w:space="0" w:color="auto"/>
        <w:left w:val="none" w:sz="0" w:space="0" w:color="auto"/>
        <w:bottom w:val="none" w:sz="0" w:space="0" w:color="auto"/>
        <w:right w:val="none" w:sz="0" w:space="0" w:color="auto"/>
      </w:divBdr>
    </w:div>
    <w:div w:id="728110099">
      <w:bodyDiv w:val="1"/>
      <w:marLeft w:val="0"/>
      <w:marRight w:val="0"/>
      <w:marTop w:val="0"/>
      <w:marBottom w:val="0"/>
      <w:divBdr>
        <w:top w:val="none" w:sz="0" w:space="0" w:color="auto"/>
        <w:left w:val="none" w:sz="0" w:space="0" w:color="auto"/>
        <w:bottom w:val="none" w:sz="0" w:space="0" w:color="auto"/>
        <w:right w:val="none" w:sz="0" w:space="0" w:color="auto"/>
      </w:divBdr>
    </w:div>
    <w:div w:id="748841998">
      <w:bodyDiv w:val="1"/>
      <w:marLeft w:val="0"/>
      <w:marRight w:val="0"/>
      <w:marTop w:val="0"/>
      <w:marBottom w:val="0"/>
      <w:divBdr>
        <w:top w:val="none" w:sz="0" w:space="0" w:color="auto"/>
        <w:left w:val="none" w:sz="0" w:space="0" w:color="auto"/>
        <w:bottom w:val="none" w:sz="0" w:space="0" w:color="auto"/>
        <w:right w:val="none" w:sz="0" w:space="0" w:color="auto"/>
      </w:divBdr>
    </w:div>
    <w:div w:id="797841919">
      <w:bodyDiv w:val="1"/>
      <w:marLeft w:val="0"/>
      <w:marRight w:val="0"/>
      <w:marTop w:val="0"/>
      <w:marBottom w:val="0"/>
      <w:divBdr>
        <w:top w:val="none" w:sz="0" w:space="0" w:color="auto"/>
        <w:left w:val="none" w:sz="0" w:space="0" w:color="auto"/>
        <w:bottom w:val="none" w:sz="0" w:space="0" w:color="auto"/>
        <w:right w:val="none" w:sz="0" w:space="0" w:color="auto"/>
      </w:divBdr>
    </w:div>
    <w:div w:id="828325261">
      <w:bodyDiv w:val="1"/>
      <w:marLeft w:val="0"/>
      <w:marRight w:val="0"/>
      <w:marTop w:val="0"/>
      <w:marBottom w:val="0"/>
      <w:divBdr>
        <w:top w:val="none" w:sz="0" w:space="0" w:color="auto"/>
        <w:left w:val="none" w:sz="0" w:space="0" w:color="auto"/>
        <w:bottom w:val="none" w:sz="0" w:space="0" w:color="auto"/>
        <w:right w:val="none" w:sz="0" w:space="0" w:color="auto"/>
      </w:divBdr>
    </w:div>
    <w:div w:id="838227250">
      <w:bodyDiv w:val="1"/>
      <w:marLeft w:val="0"/>
      <w:marRight w:val="0"/>
      <w:marTop w:val="0"/>
      <w:marBottom w:val="0"/>
      <w:divBdr>
        <w:top w:val="none" w:sz="0" w:space="0" w:color="auto"/>
        <w:left w:val="none" w:sz="0" w:space="0" w:color="auto"/>
        <w:bottom w:val="none" w:sz="0" w:space="0" w:color="auto"/>
        <w:right w:val="none" w:sz="0" w:space="0" w:color="auto"/>
      </w:divBdr>
    </w:div>
    <w:div w:id="978656054">
      <w:bodyDiv w:val="1"/>
      <w:marLeft w:val="0"/>
      <w:marRight w:val="0"/>
      <w:marTop w:val="0"/>
      <w:marBottom w:val="0"/>
      <w:divBdr>
        <w:top w:val="none" w:sz="0" w:space="0" w:color="auto"/>
        <w:left w:val="none" w:sz="0" w:space="0" w:color="auto"/>
        <w:bottom w:val="none" w:sz="0" w:space="0" w:color="auto"/>
        <w:right w:val="none" w:sz="0" w:space="0" w:color="auto"/>
      </w:divBdr>
    </w:div>
    <w:div w:id="1051659552">
      <w:bodyDiv w:val="1"/>
      <w:marLeft w:val="0"/>
      <w:marRight w:val="0"/>
      <w:marTop w:val="0"/>
      <w:marBottom w:val="0"/>
      <w:divBdr>
        <w:top w:val="none" w:sz="0" w:space="0" w:color="auto"/>
        <w:left w:val="none" w:sz="0" w:space="0" w:color="auto"/>
        <w:bottom w:val="none" w:sz="0" w:space="0" w:color="auto"/>
        <w:right w:val="none" w:sz="0" w:space="0" w:color="auto"/>
      </w:divBdr>
      <w:divsChild>
        <w:div w:id="84308244">
          <w:marLeft w:val="0"/>
          <w:marRight w:val="0"/>
          <w:marTop w:val="0"/>
          <w:marBottom w:val="0"/>
          <w:divBdr>
            <w:top w:val="none" w:sz="0" w:space="0" w:color="auto"/>
            <w:left w:val="none" w:sz="0" w:space="0" w:color="auto"/>
            <w:bottom w:val="none" w:sz="0" w:space="0" w:color="auto"/>
            <w:right w:val="none" w:sz="0" w:space="0" w:color="auto"/>
          </w:divBdr>
        </w:div>
        <w:div w:id="889728527">
          <w:marLeft w:val="0"/>
          <w:marRight w:val="0"/>
          <w:marTop w:val="0"/>
          <w:marBottom w:val="0"/>
          <w:divBdr>
            <w:top w:val="none" w:sz="0" w:space="0" w:color="auto"/>
            <w:left w:val="none" w:sz="0" w:space="0" w:color="auto"/>
            <w:bottom w:val="none" w:sz="0" w:space="0" w:color="auto"/>
            <w:right w:val="none" w:sz="0" w:space="0" w:color="auto"/>
          </w:divBdr>
        </w:div>
        <w:div w:id="192890659">
          <w:marLeft w:val="0"/>
          <w:marRight w:val="0"/>
          <w:marTop w:val="0"/>
          <w:marBottom w:val="0"/>
          <w:divBdr>
            <w:top w:val="none" w:sz="0" w:space="0" w:color="auto"/>
            <w:left w:val="none" w:sz="0" w:space="0" w:color="auto"/>
            <w:bottom w:val="none" w:sz="0" w:space="0" w:color="auto"/>
            <w:right w:val="none" w:sz="0" w:space="0" w:color="auto"/>
          </w:divBdr>
        </w:div>
        <w:div w:id="665398854">
          <w:marLeft w:val="0"/>
          <w:marRight w:val="0"/>
          <w:marTop w:val="0"/>
          <w:marBottom w:val="0"/>
          <w:divBdr>
            <w:top w:val="none" w:sz="0" w:space="0" w:color="auto"/>
            <w:left w:val="none" w:sz="0" w:space="0" w:color="auto"/>
            <w:bottom w:val="none" w:sz="0" w:space="0" w:color="auto"/>
            <w:right w:val="none" w:sz="0" w:space="0" w:color="auto"/>
          </w:divBdr>
        </w:div>
      </w:divsChild>
    </w:div>
    <w:div w:id="106418391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66045416">
      <w:bodyDiv w:val="1"/>
      <w:marLeft w:val="0"/>
      <w:marRight w:val="0"/>
      <w:marTop w:val="0"/>
      <w:marBottom w:val="0"/>
      <w:divBdr>
        <w:top w:val="none" w:sz="0" w:space="0" w:color="auto"/>
        <w:left w:val="none" w:sz="0" w:space="0" w:color="auto"/>
        <w:bottom w:val="none" w:sz="0" w:space="0" w:color="auto"/>
        <w:right w:val="none" w:sz="0" w:space="0" w:color="auto"/>
      </w:divBdr>
    </w:div>
    <w:div w:id="124618386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81512136">
      <w:bodyDiv w:val="1"/>
      <w:marLeft w:val="0"/>
      <w:marRight w:val="0"/>
      <w:marTop w:val="0"/>
      <w:marBottom w:val="0"/>
      <w:divBdr>
        <w:top w:val="none" w:sz="0" w:space="0" w:color="auto"/>
        <w:left w:val="none" w:sz="0" w:space="0" w:color="auto"/>
        <w:bottom w:val="none" w:sz="0" w:space="0" w:color="auto"/>
        <w:right w:val="none" w:sz="0" w:space="0" w:color="auto"/>
      </w:divBdr>
    </w:div>
    <w:div w:id="1408109415">
      <w:bodyDiv w:val="1"/>
      <w:marLeft w:val="0"/>
      <w:marRight w:val="0"/>
      <w:marTop w:val="0"/>
      <w:marBottom w:val="0"/>
      <w:divBdr>
        <w:top w:val="none" w:sz="0" w:space="0" w:color="auto"/>
        <w:left w:val="none" w:sz="0" w:space="0" w:color="auto"/>
        <w:bottom w:val="none" w:sz="0" w:space="0" w:color="auto"/>
        <w:right w:val="none" w:sz="0" w:space="0" w:color="auto"/>
      </w:divBdr>
      <w:divsChild>
        <w:div w:id="1940329409">
          <w:marLeft w:val="0"/>
          <w:marRight w:val="0"/>
          <w:marTop w:val="0"/>
          <w:marBottom w:val="0"/>
          <w:divBdr>
            <w:top w:val="none" w:sz="0" w:space="0" w:color="auto"/>
            <w:left w:val="none" w:sz="0" w:space="0" w:color="auto"/>
            <w:bottom w:val="none" w:sz="0" w:space="0" w:color="auto"/>
            <w:right w:val="none" w:sz="0" w:space="0" w:color="auto"/>
          </w:divBdr>
        </w:div>
        <w:div w:id="1524124382">
          <w:marLeft w:val="0"/>
          <w:marRight w:val="0"/>
          <w:marTop w:val="0"/>
          <w:marBottom w:val="0"/>
          <w:divBdr>
            <w:top w:val="none" w:sz="0" w:space="0" w:color="auto"/>
            <w:left w:val="none" w:sz="0" w:space="0" w:color="auto"/>
            <w:bottom w:val="none" w:sz="0" w:space="0" w:color="auto"/>
            <w:right w:val="none" w:sz="0" w:space="0" w:color="auto"/>
          </w:divBdr>
        </w:div>
      </w:divsChild>
    </w:div>
    <w:div w:id="1424107358">
      <w:bodyDiv w:val="1"/>
      <w:marLeft w:val="0"/>
      <w:marRight w:val="0"/>
      <w:marTop w:val="0"/>
      <w:marBottom w:val="0"/>
      <w:divBdr>
        <w:top w:val="none" w:sz="0" w:space="0" w:color="auto"/>
        <w:left w:val="none" w:sz="0" w:space="0" w:color="auto"/>
        <w:bottom w:val="none" w:sz="0" w:space="0" w:color="auto"/>
        <w:right w:val="none" w:sz="0" w:space="0" w:color="auto"/>
      </w:divBdr>
    </w:div>
    <w:div w:id="1434326228">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607972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58345147">
      <w:bodyDiv w:val="1"/>
      <w:marLeft w:val="0"/>
      <w:marRight w:val="0"/>
      <w:marTop w:val="0"/>
      <w:marBottom w:val="0"/>
      <w:divBdr>
        <w:top w:val="none" w:sz="0" w:space="0" w:color="auto"/>
        <w:left w:val="none" w:sz="0" w:space="0" w:color="auto"/>
        <w:bottom w:val="none" w:sz="0" w:space="0" w:color="auto"/>
        <w:right w:val="none" w:sz="0" w:space="0" w:color="auto"/>
      </w:divBdr>
    </w:div>
    <w:div w:id="1750812761">
      <w:bodyDiv w:val="1"/>
      <w:marLeft w:val="0"/>
      <w:marRight w:val="0"/>
      <w:marTop w:val="0"/>
      <w:marBottom w:val="0"/>
      <w:divBdr>
        <w:top w:val="none" w:sz="0" w:space="0" w:color="auto"/>
        <w:left w:val="none" w:sz="0" w:space="0" w:color="auto"/>
        <w:bottom w:val="none" w:sz="0" w:space="0" w:color="auto"/>
        <w:right w:val="none" w:sz="0" w:space="0" w:color="auto"/>
      </w:divBdr>
    </w:div>
    <w:div w:id="1777554316">
      <w:bodyDiv w:val="1"/>
      <w:marLeft w:val="0"/>
      <w:marRight w:val="0"/>
      <w:marTop w:val="0"/>
      <w:marBottom w:val="0"/>
      <w:divBdr>
        <w:top w:val="none" w:sz="0" w:space="0" w:color="auto"/>
        <w:left w:val="none" w:sz="0" w:space="0" w:color="auto"/>
        <w:bottom w:val="none" w:sz="0" w:space="0" w:color="auto"/>
        <w:right w:val="none" w:sz="0" w:space="0" w:color="auto"/>
      </w:divBdr>
    </w:div>
    <w:div w:id="1804276020">
      <w:bodyDiv w:val="1"/>
      <w:marLeft w:val="0"/>
      <w:marRight w:val="0"/>
      <w:marTop w:val="0"/>
      <w:marBottom w:val="0"/>
      <w:divBdr>
        <w:top w:val="none" w:sz="0" w:space="0" w:color="auto"/>
        <w:left w:val="none" w:sz="0" w:space="0" w:color="auto"/>
        <w:bottom w:val="none" w:sz="0" w:space="0" w:color="auto"/>
        <w:right w:val="none" w:sz="0" w:space="0" w:color="auto"/>
      </w:divBdr>
    </w:div>
    <w:div w:id="1812333331">
      <w:bodyDiv w:val="1"/>
      <w:marLeft w:val="0"/>
      <w:marRight w:val="0"/>
      <w:marTop w:val="0"/>
      <w:marBottom w:val="0"/>
      <w:divBdr>
        <w:top w:val="none" w:sz="0" w:space="0" w:color="auto"/>
        <w:left w:val="none" w:sz="0" w:space="0" w:color="auto"/>
        <w:bottom w:val="none" w:sz="0" w:space="0" w:color="auto"/>
        <w:right w:val="none" w:sz="0" w:space="0" w:color="auto"/>
      </w:divBdr>
    </w:div>
    <w:div w:id="1865247579">
      <w:bodyDiv w:val="1"/>
      <w:marLeft w:val="0"/>
      <w:marRight w:val="0"/>
      <w:marTop w:val="0"/>
      <w:marBottom w:val="0"/>
      <w:divBdr>
        <w:top w:val="none" w:sz="0" w:space="0" w:color="auto"/>
        <w:left w:val="none" w:sz="0" w:space="0" w:color="auto"/>
        <w:bottom w:val="none" w:sz="0" w:space="0" w:color="auto"/>
        <w:right w:val="none" w:sz="0" w:space="0" w:color="auto"/>
      </w:divBdr>
    </w:div>
    <w:div w:id="1883520842">
      <w:bodyDiv w:val="1"/>
      <w:marLeft w:val="0"/>
      <w:marRight w:val="0"/>
      <w:marTop w:val="0"/>
      <w:marBottom w:val="0"/>
      <w:divBdr>
        <w:top w:val="none" w:sz="0" w:space="0" w:color="auto"/>
        <w:left w:val="none" w:sz="0" w:space="0" w:color="auto"/>
        <w:bottom w:val="none" w:sz="0" w:space="0" w:color="auto"/>
        <w:right w:val="none" w:sz="0" w:space="0" w:color="auto"/>
      </w:divBdr>
    </w:div>
    <w:div w:id="1945188601">
      <w:bodyDiv w:val="1"/>
      <w:marLeft w:val="0"/>
      <w:marRight w:val="0"/>
      <w:marTop w:val="0"/>
      <w:marBottom w:val="0"/>
      <w:divBdr>
        <w:top w:val="none" w:sz="0" w:space="0" w:color="auto"/>
        <w:left w:val="none" w:sz="0" w:space="0" w:color="auto"/>
        <w:bottom w:val="none" w:sz="0" w:space="0" w:color="auto"/>
        <w:right w:val="none" w:sz="0" w:space="0" w:color="auto"/>
      </w:divBdr>
      <w:divsChild>
        <w:div w:id="1008562102">
          <w:marLeft w:val="0"/>
          <w:marRight w:val="0"/>
          <w:marTop w:val="0"/>
          <w:marBottom w:val="0"/>
          <w:divBdr>
            <w:top w:val="none" w:sz="0" w:space="0" w:color="auto"/>
            <w:left w:val="none" w:sz="0" w:space="0" w:color="auto"/>
            <w:bottom w:val="none" w:sz="0" w:space="0" w:color="auto"/>
            <w:right w:val="none" w:sz="0" w:space="0" w:color="auto"/>
          </w:divBdr>
        </w:div>
        <w:div w:id="888999160">
          <w:marLeft w:val="0"/>
          <w:marRight w:val="0"/>
          <w:marTop w:val="0"/>
          <w:marBottom w:val="0"/>
          <w:divBdr>
            <w:top w:val="none" w:sz="0" w:space="0" w:color="auto"/>
            <w:left w:val="none" w:sz="0" w:space="0" w:color="auto"/>
            <w:bottom w:val="none" w:sz="0" w:space="0" w:color="auto"/>
            <w:right w:val="none" w:sz="0" w:space="0" w:color="auto"/>
          </w:divBdr>
        </w:div>
        <w:div w:id="9537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lv/sm/content/?cat=44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atvijasnotars.lv/"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0278-starptautisko-un-latvijas-republikas-nacionalo-sankciju-likums" TargetMode="External"/><Relationship Id="rId5" Type="http://schemas.openxmlformats.org/officeDocument/2006/relationships/numbering" Target="numbering.xml"/><Relationship Id="rId15" Type="http://schemas.openxmlformats.org/officeDocument/2006/relationships/hyperlink" Target="mailto:vineta.bruvere@varam.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munds.belski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A5C477A4B0F30A4BB8D3C54F91F5E0B1" ma:contentTypeVersion="4" ma:contentTypeDescription="Izveidot jaunu dokumentu." ma:contentTypeScope="" ma:versionID="120170068a105e965c96a37bf57bb411">
  <xsd:schema xmlns:xsd="http://www.w3.org/2001/XMLSchema" xmlns:xs="http://www.w3.org/2001/XMLSchema" xmlns:p="http://schemas.microsoft.com/office/2006/metadata/properties" xmlns:ns2="4f7bb0e4-d84d-42bb-8185-b9e08c061718" xmlns:ns3="2a386ca4-57b9-4aa0-81a2-c2744e152efe" targetNamespace="http://schemas.microsoft.com/office/2006/metadata/properties" ma:root="true" ma:fieldsID="706976080797fe86847ff8a87248bd23" ns2:_="" ns3:_="">
    <xsd:import namespace="4f7bb0e4-d84d-42bb-8185-b9e08c061718"/>
    <xsd:import namespace="2a386ca4-57b9-4aa0-81a2-c2744e152e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bb0e4-d84d-42bb-8185-b9e08c061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386ca4-57b9-4aa0-81a2-c2744e152efe"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A349D-58FF-4E49-A060-4089C0711AE3}">
  <ds:schemaRefs>
    <ds:schemaRef ds:uri="http://schemas.microsoft.com/sharepoint/v3/contenttype/forms"/>
  </ds:schemaRefs>
</ds:datastoreItem>
</file>

<file path=customXml/itemProps2.xml><?xml version="1.0" encoding="utf-8"?>
<ds:datastoreItem xmlns:ds="http://schemas.openxmlformats.org/officeDocument/2006/customXml" ds:itemID="{D6A4CED6-E48C-4F41-A789-A1B061C80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bb0e4-d84d-42bb-8185-b9e08c061718"/>
    <ds:schemaRef ds:uri="2a386ca4-57b9-4aa0-81a2-c2744e152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73D85-A92B-4922-A56A-957E4D2BA7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CC09BF-3BB7-40BB-97A1-C6BA5DE1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64</Pages>
  <Words>100603</Words>
  <Characters>57344</Characters>
  <Application>Microsoft Office Word</Application>
  <DocSecurity>0</DocSecurity>
  <Lines>477</Lines>
  <Paragraphs>315</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Vides aizsardzības un reģionālās attīstības aģentūra</Company>
  <LinksUpToDate>false</LinksUpToDate>
  <CharactersWithSpaces>157632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dc:subject>
  <dc:creator>Vineta Brūvere</dc:creator>
  <cp:keywords/>
  <dc:description>67026575, vineta.bruvere@varam.gov.lv</dc:description>
  <cp:lastModifiedBy>Vineta Brūvere</cp:lastModifiedBy>
  <cp:revision>17</cp:revision>
  <cp:lastPrinted>2019-08-19T11:56:00Z</cp:lastPrinted>
  <dcterms:created xsi:type="dcterms:W3CDTF">2019-08-19T08:31:00Z</dcterms:created>
  <dcterms:modified xsi:type="dcterms:W3CDTF">2019-08-19T12:00:00Z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0x010100A5C477A4B0F30A4BB8D3C54F91F5E0B1</vt:lpwstr>
  </property>
</Properties>
</file>