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8FA8" w14:textId="77777777" w:rsidR="007116C7" w:rsidRPr="00F276CA" w:rsidRDefault="007116C7" w:rsidP="00DB7395">
      <w:pPr>
        <w:pStyle w:val="naisnod"/>
        <w:spacing w:before="0" w:after="0"/>
        <w:ind w:firstLine="720"/>
        <w:rPr>
          <w:sz w:val="28"/>
          <w:szCs w:val="28"/>
        </w:rPr>
      </w:pPr>
      <w:r w:rsidRPr="00F276CA">
        <w:rPr>
          <w:sz w:val="28"/>
          <w:szCs w:val="28"/>
        </w:rPr>
        <w:t>Izziņa par atzinumos sniegtajiem iebildumiem</w:t>
      </w:r>
    </w:p>
    <w:p w14:paraId="3EBDF081" w14:textId="77777777" w:rsidR="007116C7" w:rsidRPr="00F276CA"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F276CA" w14:paraId="4A76ABA1" w14:textId="77777777">
        <w:trPr>
          <w:jc w:val="center"/>
        </w:trPr>
        <w:tc>
          <w:tcPr>
            <w:tcW w:w="10188" w:type="dxa"/>
            <w:tcBorders>
              <w:bottom w:val="single" w:sz="6" w:space="0" w:color="000000"/>
            </w:tcBorders>
          </w:tcPr>
          <w:p w14:paraId="17C061DA" w14:textId="427079CC" w:rsidR="007116C7" w:rsidRPr="00F276CA" w:rsidRDefault="00D4300B" w:rsidP="00FD7452">
            <w:pPr>
              <w:shd w:val="clear" w:color="auto" w:fill="FFFFFF"/>
              <w:jc w:val="center"/>
            </w:pPr>
            <w:r w:rsidRPr="00D4300B">
              <w:t>Ministru kabineta noteikumu projekts “</w:t>
            </w:r>
            <w:r w:rsidR="00B07519" w:rsidRPr="00B07519">
              <w:t xml:space="preserve">Grozījumi Ministru kabineta 2006.gada 4.aprīļa noteikumos Nr.265 </w:t>
            </w:r>
            <w:r w:rsidR="00B07519">
              <w:t>“</w:t>
            </w:r>
            <w:r w:rsidR="00B07519" w:rsidRPr="00B07519">
              <w:t>Medicīnisko dokumentu lietvedības kārtība</w:t>
            </w:r>
            <w:r w:rsidRPr="00D4300B">
              <w:t>”</w:t>
            </w:r>
            <w:r w:rsidR="00B07519">
              <w:t>”</w:t>
            </w:r>
            <w:r w:rsidRPr="00D4300B">
              <w:t xml:space="preserve"> (VSS-</w:t>
            </w:r>
            <w:r w:rsidR="00B07519">
              <w:t>1037</w:t>
            </w:r>
            <w:r w:rsidRPr="00D4300B">
              <w:t>)</w:t>
            </w:r>
          </w:p>
        </w:tc>
      </w:tr>
    </w:tbl>
    <w:p w14:paraId="45A32B9C" w14:textId="77777777" w:rsidR="007116C7" w:rsidRPr="00F276CA" w:rsidRDefault="007116C7" w:rsidP="009623BC">
      <w:pPr>
        <w:pStyle w:val="naisc"/>
        <w:spacing w:before="0" w:after="0"/>
        <w:ind w:firstLine="1080"/>
      </w:pPr>
      <w:r w:rsidRPr="00F276CA">
        <w:t>(dokumenta veids un nosaukums)</w:t>
      </w:r>
    </w:p>
    <w:p w14:paraId="1FCCDDA2" w14:textId="77777777" w:rsidR="007B4C0F" w:rsidRPr="00F276CA" w:rsidRDefault="007B4C0F" w:rsidP="00DB7395">
      <w:pPr>
        <w:pStyle w:val="naisf"/>
        <w:spacing w:before="0" w:after="0"/>
        <w:ind w:firstLine="720"/>
      </w:pPr>
    </w:p>
    <w:p w14:paraId="115F6127" w14:textId="77777777" w:rsidR="007B4C0F" w:rsidRPr="00F276CA" w:rsidRDefault="007B4C0F" w:rsidP="00184479">
      <w:pPr>
        <w:pStyle w:val="naisf"/>
        <w:spacing w:before="0" w:after="0"/>
        <w:ind w:firstLine="0"/>
        <w:jc w:val="center"/>
        <w:rPr>
          <w:b/>
        </w:rPr>
      </w:pPr>
      <w:r w:rsidRPr="00F276CA">
        <w:rPr>
          <w:b/>
        </w:rPr>
        <w:t xml:space="preserve">I. Jautājumi, par kuriem saskaņošanā </w:t>
      </w:r>
      <w:r w:rsidR="00134188" w:rsidRPr="00F276CA">
        <w:rPr>
          <w:b/>
        </w:rPr>
        <w:t xml:space="preserve">vienošanās </w:t>
      </w:r>
      <w:r w:rsidRPr="00F276CA">
        <w:rPr>
          <w:b/>
        </w:rPr>
        <w:t>nav panākta</w:t>
      </w:r>
    </w:p>
    <w:p w14:paraId="131ECBB8" w14:textId="77777777" w:rsidR="007B4C0F" w:rsidRPr="00F276CA"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003"/>
        <w:gridCol w:w="2268"/>
        <w:gridCol w:w="2085"/>
      </w:tblGrid>
      <w:tr w:rsidR="005F4BFD" w:rsidRPr="00F276CA" w14:paraId="30643FCA" w14:textId="77777777" w:rsidTr="00692575">
        <w:tc>
          <w:tcPr>
            <w:tcW w:w="708" w:type="dxa"/>
            <w:tcBorders>
              <w:top w:val="single" w:sz="6" w:space="0" w:color="000000"/>
              <w:left w:val="single" w:sz="6" w:space="0" w:color="000000"/>
              <w:bottom w:val="single" w:sz="6" w:space="0" w:color="000000"/>
              <w:right w:val="single" w:sz="6" w:space="0" w:color="000000"/>
            </w:tcBorders>
            <w:vAlign w:val="center"/>
          </w:tcPr>
          <w:p w14:paraId="1F7A0E50" w14:textId="77777777" w:rsidR="005F4BFD" w:rsidRPr="00F276CA" w:rsidRDefault="005F4BFD" w:rsidP="0036160E">
            <w:pPr>
              <w:pStyle w:val="naisc"/>
              <w:spacing w:before="0" w:after="0"/>
            </w:pPr>
            <w:r w:rsidRPr="00F276C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883DCF2" w14:textId="77777777" w:rsidR="005F4BFD" w:rsidRPr="00F276CA" w:rsidRDefault="005F4BFD" w:rsidP="00364BB6">
            <w:pPr>
              <w:pStyle w:val="naisc"/>
              <w:spacing w:before="0" w:after="0"/>
              <w:ind w:firstLine="12"/>
            </w:pPr>
            <w:r w:rsidRPr="00F276C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BFE722" w14:textId="77777777" w:rsidR="005F4BFD" w:rsidRPr="00F276CA" w:rsidRDefault="005F4BFD" w:rsidP="00364BB6">
            <w:pPr>
              <w:pStyle w:val="naisc"/>
              <w:spacing w:before="0" w:after="0"/>
              <w:ind w:right="3"/>
            </w:pPr>
            <w:r w:rsidRPr="00F276CA">
              <w:t>Atzinumā norādītais ministrijas (citas institūcijas) iebildums</w:t>
            </w:r>
            <w:r w:rsidR="00184479" w:rsidRPr="00F276CA">
              <w:t>,</w:t>
            </w:r>
            <w:r w:rsidR="000E5509" w:rsidRPr="00F276CA">
              <w:t xml:space="preserve"> kā arī saskaņošanā papildus izteiktais iebildums</w:t>
            </w:r>
            <w:r w:rsidRPr="00F276CA">
              <w:t xml:space="preserve"> par projekta konkrēto punktu (pantu)</w:t>
            </w:r>
          </w:p>
        </w:tc>
        <w:tc>
          <w:tcPr>
            <w:tcW w:w="3003" w:type="dxa"/>
            <w:tcBorders>
              <w:top w:val="single" w:sz="6" w:space="0" w:color="000000"/>
              <w:left w:val="single" w:sz="6" w:space="0" w:color="000000"/>
              <w:bottom w:val="single" w:sz="6" w:space="0" w:color="000000"/>
              <w:right w:val="single" w:sz="6" w:space="0" w:color="000000"/>
            </w:tcBorders>
            <w:vAlign w:val="center"/>
          </w:tcPr>
          <w:p w14:paraId="0E12FE89" w14:textId="77777777" w:rsidR="005F4BFD" w:rsidRPr="00F276CA" w:rsidRDefault="005F4BFD" w:rsidP="00364BB6">
            <w:pPr>
              <w:pStyle w:val="naisc"/>
              <w:spacing w:before="0" w:after="0"/>
              <w:ind w:firstLine="21"/>
            </w:pPr>
            <w:r w:rsidRPr="00F276CA">
              <w:t>Atbildīgās ministrijas pamatojums</w:t>
            </w:r>
            <w:r w:rsidR="009307F2" w:rsidRPr="00F276CA">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09BB98ED" w14:textId="77777777" w:rsidR="005F4BFD" w:rsidRPr="00F276CA" w:rsidRDefault="005F4BFD" w:rsidP="00364BB6">
            <w:pPr>
              <w:jc w:val="center"/>
            </w:pPr>
            <w:r w:rsidRPr="00F276CA">
              <w:t>Atzinuma sniedzēja uzturētais iebildums, ja tas atšķiras no atzinumā norādītā iebilduma pamatojuma</w:t>
            </w:r>
          </w:p>
        </w:tc>
        <w:tc>
          <w:tcPr>
            <w:tcW w:w="2085" w:type="dxa"/>
            <w:tcBorders>
              <w:top w:val="single" w:sz="4" w:space="0" w:color="auto"/>
              <w:left w:val="single" w:sz="4" w:space="0" w:color="auto"/>
              <w:bottom w:val="single" w:sz="4" w:space="0" w:color="auto"/>
            </w:tcBorders>
            <w:vAlign w:val="center"/>
          </w:tcPr>
          <w:p w14:paraId="7CE676B0" w14:textId="77777777" w:rsidR="005F4BFD" w:rsidRPr="00F276CA" w:rsidRDefault="005F4BFD" w:rsidP="00364BB6">
            <w:pPr>
              <w:jc w:val="center"/>
            </w:pPr>
            <w:r w:rsidRPr="00F276CA">
              <w:t>Projekta attiecīgā punkta (panta) galīgā redakcija</w:t>
            </w:r>
          </w:p>
        </w:tc>
      </w:tr>
      <w:tr w:rsidR="005F4BFD" w:rsidRPr="00F276CA" w14:paraId="05C3FED3" w14:textId="77777777" w:rsidTr="00692575">
        <w:tc>
          <w:tcPr>
            <w:tcW w:w="708" w:type="dxa"/>
            <w:tcBorders>
              <w:top w:val="single" w:sz="6" w:space="0" w:color="000000"/>
              <w:left w:val="single" w:sz="6" w:space="0" w:color="000000"/>
              <w:bottom w:val="single" w:sz="6" w:space="0" w:color="000000"/>
              <w:right w:val="single" w:sz="6" w:space="0" w:color="000000"/>
            </w:tcBorders>
          </w:tcPr>
          <w:p w14:paraId="10EFF9FC" w14:textId="77777777" w:rsidR="005F4BFD" w:rsidRPr="00F276CA" w:rsidRDefault="008A36C9" w:rsidP="008A36C9">
            <w:pPr>
              <w:pStyle w:val="naisc"/>
              <w:spacing w:before="0" w:after="0"/>
              <w:rPr>
                <w:sz w:val="20"/>
                <w:szCs w:val="20"/>
              </w:rPr>
            </w:pPr>
            <w:r w:rsidRPr="00F276C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155E49A" w14:textId="77777777" w:rsidR="005F4BFD" w:rsidRPr="00F276CA" w:rsidRDefault="008A36C9" w:rsidP="008A36C9">
            <w:pPr>
              <w:pStyle w:val="naisc"/>
              <w:spacing w:before="0" w:after="0"/>
              <w:ind w:firstLine="720"/>
              <w:rPr>
                <w:sz w:val="20"/>
                <w:szCs w:val="20"/>
              </w:rPr>
            </w:pPr>
            <w:r w:rsidRPr="00F276C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72FE0A8" w14:textId="77777777" w:rsidR="005F4BFD" w:rsidRPr="00F276CA" w:rsidRDefault="008A36C9" w:rsidP="008A36C9">
            <w:pPr>
              <w:pStyle w:val="naisc"/>
              <w:spacing w:before="0" w:after="0"/>
              <w:ind w:firstLine="720"/>
              <w:rPr>
                <w:sz w:val="20"/>
                <w:szCs w:val="20"/>
              </w:rPr>
            </w:pPr>
            <w:r w:rsidRPr="00F276CA">
              <w:rPr>
                <w:sz w:val="20"/>
                <w:szCs w:val="20"/>
              </w:rPr>
              <w:t>3</w:t>
            </w:r>
          </w:p>
        </w:tc>
        <w:tc>
          <w:tcPr>
            <w:tcW w:w="3003" w:type="dxa"/>
            <w:tcBorders>
              <w:top w:val="single" w:sz="6" w:space="0" w:color="000000"/>
              <w:left w:val="single" w:sz="6" w:space="0" w:color="000000"/>
              <w:bottom w:val="single" w:sz="6" w:space="0" w:color="000000"/>
              <w:right w:val="single" w:sz="6" w:space="0" w:color="000000"/>
            </w:tcBorders>
          </w:tcPr>
          <w:p w14:paraId="42CA5869" w14:textId="77777777" w:rsidR="005F4BFD" w:rsidRPr="00F276CA" w:rsidRDefault="008A36C9" w:rsidP="008A36C9">
            <w:pPr>
              <w:pStyle w:val="naisc"/>
              <w:spacing w:before="0" w:after="0"/>
              <w:ind w:firstLine="720"/>
              <w:rPr>
                <w:sz w:val="20"/>
                <w:szCs w:val="20"/>
              </w:rPr>
            </w:pPr>
            <w:r w:rsidRPr="00F276CA">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67AE83A4" w14:textId="77777777" w:rsidR="005F4BFD" w:rsidRPr="00F276CA" w:rsidRDefault="008A36C9" w:rsidP="008A36C9">
            <w:pPr>
              <w:jc w:val="center"/>
              <w:rPr>
                <w:sz w:val="20"/>
                <w:szCs w:val="20"/>
              </w:rPr>
            </w:pPr>
            <w:r w:rsidRPr="00F276CA">
              <w:rPr>
                <w:sz w:val="20"/>
                <w:szCs w:val="20"/>
              </w:rPr>
              <w:t>5</w:t>
            </w:r>
          </w:p>
        </w:tc>
        <w:tc>
          <w:tcPr>
            <w:tcW w:w="2085" w:type="dxa"/>
            <w:tcBorders>
              <w:top w:val="single" w:sz="4" w:space="0" w:color="auto"/>
              <w:left w:val="single" w:sz="4" w:space="0" w:color="auto"/>
              <w:bottom w:val="single" w:sz="4" w:space="0" w:color="auto"/>
            </w:tcBorders>
          </w:tcPr>
          <w:p w14:paraId="2CFD2011" w14:textId="77777777" w:rsidR="005F4BFD" w:rsidRPr="00F276CA" w:rsidRDefault="008A36C9" w:rsidP="008A36C9">
            <w:pPr>
              <w:jc w:val="center"/>
              <w:rPr>
                <w:sz w:val="20"/>
                <w:szCs w:val="20"/>
              </w:rPr>
            </w:pPr>
            <w:r w:rsidRPr="00F276CA">
              <w:rPr>
                <w:sz w:val="20"/>
                <w:szCs w:val="20"/>
              </w:rPr>
              <w:t>6</w:t>
            </w:r>
          </w:p>
        </w:tc>
      </w:tr>
      <w:tr w:rsidR="00692575" w:rsidRPr="00F276CA" w14:paraId="103FED92" w14:textId="77777777" w:rsidTr="00692575">
        <w:tc>
          <w:tcPr>
            <w:tcW w:w="708" w:type="dxa"/>
            <w:tcBorders>
              <w:top w:val="single" w:sz="6" w:space="0" w:color="000000"/>
              <w:left w:val="single" w:sz="6" w:space="0" w:color="000000"/>
              <w:bottom w:val="single" w:sz="6" w:space="0" w:color="000000"/>
              <w:right w:val="single" w:sz="6" w:space="0" w:color="000000"/>
            </w:tcBorders>
          </w:tcPr>
          <w:p w14:paraId="416B4063" w14:textId="5791F7EF" w:rsidR="00692575" w:rsidRPr="00F276CA" w:rsidRDefault="006E414D" w:rsidP="00692575">
            <w:pPr>
              <w:pStyle w:val="naisc"/>
              <w:spacing w:before="0" w:after="0"/>
              <w:rPr>
                <w:sz w:val="20"/>
                <w:szCs w:val="20"/>
              </w:rPr>
            </w:pPr>
            <w:r>
              <w:rPr>
                <w:sz w:val="20"/>
                <w:szCs w:val="20"/>
              </w:rPr>
              <w:t>1</w:t>
            </w:r>
            <w:r w:rsidR="00692575">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4A91E71D" w14:textId="476A71E6" w:rsidR="00692575" w:rsidRPr="00692575" w:rsidRDefault="00692575" w:rsidP="00692575">
            <w:r>
              <w:t xml:space="preserve">(..) Piezīmes (..) </w:t>
            </w:r>
            <w:r w:rsidRPr="00557383">
              <w:rPr>
                <w:vertAlign w:val="superscript"/>
              </w:rPr>
              <w:t xml:space="preserve">2 </w:t>
            </w:r>
            <w:r w:rsidRPr="00557383">
              <w:t>Norādot informāciju par medikamentiem tiek lietots zāļu aktīvās vielas starptautiskais nepatentētais nosaukums (SNN). Papildus SNN var norādīt zāļu komerciālo nosaukumu tikai gadījumā, ja tiek norādīta medicīniski pamatota nepieciešamība lietot konkrēta zāļu reģistrācijas īpašnieka medikamentu.</w:t>
            </w:r>
            <w:r>
              <w:t xml:space="preserve"> (..)</w:t>
            </w:r>
          </w:p>
        </w:tc>
        <w:tc>
          <w:tcPr>
            <w:tcW w:w="3118" w:type="dxa"/>
            <w:tcBorders>
              <w:top w:val="single" w:sz="6" w:space="0" w:color="000000"/>
              <w:left w:val="single" w:sz="6" w:space="0" w:color="000000"/>
              <w:bottom w:val="single" w:sz="6" w:space="0" w:color="000000"/>
              <w:right w:val="single" w:sz="6" w:space="0" w:color="000000"/>
            </w:tcBorders>
          </w:tcPr>
          <w:p w14:paraId="01F7A5B3" w14:textId="5AAF37FC" w:rsidR="00692575" w:rsidRPr="00692575" w:rsidRDefault="00692575" w:rsidP="00692575">
            <w:pPr>
              <w:pStyle w:val="naisc"/>
              <w:jc w:val="both"/>
              <w:rPr>
                <w:b/>
              </w:rPr>
            </w:pPr>
            <w:r w:rsidRPr="00692575">
              <w:rPr>
                <w:b/>
              </w:rPr>
              <w:t>Latvijas Brīvo arodbiedrību savienība:</w:t>
            </w:r>
          </w:p>
          <w:p w14:paraId="149C7901" w14:textId="77777777" w:rsidR="00692575" w:rsidRDefault="00692575" w:rsidP="00692575">
            <w:pPr>
              <w:pStyle w:val="naisc"/>
              <w:jc w:val="both"/>
            </w:pPr>
          </w:p>
          <w:p w14:paraId="51DADEF3" w14:textId="747A857E" w:rsidR="00692575" w:rsidRPr="00557383" w:rsidRDefault="00692575" w:rsidP="00692575">
            <w:pPr>
              <w:pStyle w:val="naisc"/>
              <w:jc w:val="both"/>
            </w:pPr>
            <w:r w:rsidRPr="00557383">
              <w:t>1.</w:t>
            </w:r>
            <w:r w:rsidRPr="00557383">
              <w:tab/>
              <w:t xml:space="preserve">Noteikumu projekta 1.5. punktā 12. pielikuma otrās piezīmes redakcija “2 Norādot informāciju par medikamentiem tiek lietots zāļu aktīvās vielas starptautiskais nepatentētais nosaukums (SNN). Papildus SNN var norādīt zāļu komerciālo nosaukumu tikai gadījumā, ja tiek norādīta medicīniski pamatota nepieciešamība lietot konkrētā zāļu reģistrācijas īpašnieka medikamentu.” </w:t>
            </w:r>
            <w:r w:rsidR="006E414D" w:rsidRPr="00557383">
              <w:t>I</w:t>
            </w:r>
            <w:r w:rsidRPr="00557383">
              <w:t xml:space="preserve">r </w:t>
            </w:r>
            <w:r w:rsidRPr="00557383">
              <w:lastRenderedPageBreak/>
              <w:t>pretrunā ar Ārstniecības likuma 38. pantu, kā arī apgrūtina dokumenta aizpildīšanu:</w:t>
            </w:r>
          </w:p>
          <w:p w14:paraId="54A7FAF9" w14:textId="77777777" w:rsidR="00692575" w:rsidRPr="00557383" w:rsidRDefault="00692575" w:rsidP="00692575">
            <w:pPr>
              <w:pStyle w:val="naisc"/>
              <w:jc w:val="both"/>
            </w:pPr>
            <w:r w:rsidRPr="00557383">
              <w:t>1.1.</w:t>
            </w:r>
            <w:r w:rsidRPr="00557383">
              <w:tab/>
              <w:t>Ārstniecības likuma 38. pants nosaka: “Savā profesionālajā darba ārsts ir brīvs: Katram ārstam ir tiesības dot atzinumu par pacienta veselības stāvokli un ārstēšanu”;</w:t>
            </w:r>
          </w:p>
          <w:p w14:paraId="4B541579" w14:textId="77777777" w:rsidR="00692575" w:rsidRPr="00557383" w:rsidRDefault="00692575" w:rsidP="00692575">
            <w:pPr>
              <w:pStyle w:val="naisc"/>
              <w:jc w:val="both"/>
            </w:pPr>
            <w:r w:rsidRPr="00557383">
              <w:t>1.2.</w:t>
            </w:r>
            <w:r w:rsidRPr="00557383">
              <w:tab/>
              <w:t xml:space="preserve">zāļu aktīvās vielas nosaukums bieži vien ir garāks un sarežģītāks par komerciālo nosaukumu (piem., acetilsalicilskābe / aspirīns; audu </w:t>
            </w:r>
            <w:proofErr w:type="spellStart"/>
            <w:r w:rsidRPr="00557383">
              <w:t>plazminogēna</w:t>
            </w:r>
            <w:proofErr w:type="spellEnd"/>
            <w:r w:rsidRPr="00557383">
              <w:t xml:space="preserve"> </w:t>
            </w:r>
            <w:proofErr w:type="spellStart"/>
            <w:r w:rsidRPr="00557383">
              <w:t>aktivators</w:t>
            </w:r>
            <w:proofErr w:type="spellEnd"/>
            <w:r w:rsidRPr="00557383">
              <w:t xml:space="preserve"> / </w:t>
            </w:r>
            <w:proofErr w:type="spellStart"/>
            <w:r w:rsidRPr="00557383">
              <w:t>aktilīze</w:t>
            </w:r>
            <w:proofErr w:type="spellEnd"/>
            <w:r w:rsidRPr="00557383">
              <w:t>).</w:t>
            </w:r>
          </w:p>
          <w:p w14:paraId="5A5C1282" w14:textId="73C895D3" w:rsidR="00692575" w:rsidRPr="00692575" w:rsidRDefault="00692575" w:rsidP="00692575">
            <w:pPr>
              <w:pStyle w:val="naisc"/>
              <w:spacing w:before="0" w:after="0"/>
              <w:jc w:val="both"/>
              <w:rPr>
                <w:b/>
              </w:rPr>
            </w:pPr>
            <w:r w:rsidRPr="00557383">
              <w:t>2.</w:t>
            </w:r>
            <w:r w:rsidRPr="00557383">
              <w:tab/>
              <w:t xml:space="preserve"> Lai novērstu konstatēto nepilnību, LVSADA, ņemot vērā Noteikumu projekta anotācijā ietverto grozījuma pamatojumu, iesaka Noteikumu projekta 1.5. punktā izteikt 12. pielikuma otro piezīmi sekojošā redakcijā: “2 Norādot informāciju par medikamentiem, vēlams lietot zāļu aktīvās vielas starptautisko nepatentēto nosaukumu.”</w:t>
            </w:r>
          </w:p>
        </w:tc>
        <w:tc>
          <w:tcPr>
            <w:tcW w:w="3003" w:type="dxa"/>
            <w:tcBorders>
              <w:top w:val="single" w:sz="6" w:space="0" w:color="000000"/>
              <w:left w:val="single" w:sz="6" w:space="0" w:color="000000"/>
              <w:bottom w:val="single" w:sz="6" w:space="0" w:color="000000"/>
              <w:right w:val="single" w:sz="6" w:space="0" w:color="000000"/>
            </w:tcBorders>
          </w:tcPr>
          <w:p w14:paraId="7A5BD725" w14:textId="77777777" w:rsidR="00692575" w:rsidRDefault="00692575" w:rsidP="00692575">
            <w:pPr>
              <w:jc w:val="both"/>
            </w:pPr>
            <w:r>
              <w:lastRenderedPageBreak/>
              <w:t>Veselības ministrija vērš uzmanību, ka Latvijas Ārstu biedrība ir atbalstījusi šāda veida grozījumus attiecībā uz SNN lietojumu. Savukārt ģimenes ārstus pārstāvošās organizācijas ir lūgušas šāda veida izmaiņas, lai atvieglotu kompensējamo zāļu izrakstīšanu gadījumos, kad pacients vēršas pie ģimenes ārsta ar izrakstu no stacionāra vai ambulatorās ārstniecības iestādes (ārsta speciālista konsultācija).</w:t>
            </w:r>
          </w:p>
          <w:p w14:paraId="30598FDE" w14:textId="77777777" w:rsidR="00692575" w:rsidRDefault="00692575" w:rsidP="00692575">
            <w:pPr>
              <w:jc w:val="both"/>
            </w:pPr>
          </w:p>
          <w:p w14:paraId="76F10100" w14:textId="77777777" w:rsidR="00692575" w:rsidRDefault="00692575" w:rsidP="00692575">
            <w:pPr>
              <w:jc w:val="both"/>
            </w:pPr>
            <w:r>
              <w:t xml:space="preserve">Ārsti zāles vispirms atpazīst un nozīmē pēc to aktīvās vielas, savukārt zāļu </w:t>
            </w:r>
            <w:r>
              <w:lastRenderedPageBreak/>
              <w:t>komerciālais nosaukums ietver konkrēta ražotāja piedāvāto zāļu atpazīstamību (mārketingu), katrā valstī tas var būt atšķirīgs un vērsts uz pārdošanas apjoma veicināšanu.</w:t>
            </w:r>
          </w:p>
          <w:p w14:paraId="16C05689" w14:textId="77777777" w:rsidR="00692575" w:rsidRDefault="00692575" w:rsidP="00692575">
            <w:pPr>
              <w:jc w:val="both"/>
            </w:pPr>
          </w:p>
          <w:p w14:paraId="6BC49138" w14:textId="77777777" w:rsidR="00692575" w:rsidRDefault="00692575" w:rsidP="00692575">
            <w:pPr>
              <w:jc w:val="both"/>
            </w:pPr>
            <w:r>
              <w:t>SNN lietojums atvieglo sadarbību starp ārstniecības personām, farmaceitiem, zinātniekiem un citām institūcijām, jo īpaši sadarbībā ar ārvalstīm (ES ietvarā un globalizācijas procesu ietekmē).</w:t>
            </w:r>
          </w:p>
          <w:p w14:paraId="6F040E2C" w14:textId="77777777" w:rsidR="00692575" w:rsidRDefault="00692575" w:rsidP="00692575">
            <w:pPr>
              <w:jc w:val="both"/>
            </w:pPr>
          </w:p>
          <w:p w14:paraId="09A09F81" w14:textId="77777777" w:rsidR="00692575" w:rsidRDefault="00692575" w:rsidP="00692575">
            <w:pPr>
              <w:jc w:val="both"/>
            </w:pPr>
            <w:r>
              <w:t>Ar izraksta aizpildīšanu valsts neiejaucas ārstniecībā, bet gan precizē sniedzamās informācijas (kvalitatīvo) apjomu. Ārsts aizvien ir tiesīgs profesijas ietvarā noteikt pacientam nepieciešamo terapiju, tai skaitā arī izrakstā lietot zāļu komerciālo nosaukumu, ja ir medicīniska rakstura pamatojums, to norādot izrakstā.</w:t>
            </w:r>
          </w:p>
          <w:p w14:paraId="7213D288" w14:textId="77777777" w:rsidR="00692575" w:rsidRDefault="00692575" w:rsidP="00692575">
            <w:pPr>
              <w:jc w:val="both"/>
            </w:pPr>
          </w:p>
          <w:p w14:paraId="7D808DDC" w14:textId="77777777" w:rsidR="00692575" w:rsidRDefault="00692575" w:rsidP="00692575">
            <w:pPr>
              <w:jc w:val="both"/>
            </w:pPr>
            <w:r>
              <w:t xml:space="preserve">Ar projektu tiks veicināta gan pacientu veselības drošība – mazinot dubultās </w:t>
            </w:r>
            <w:r>
              <w:lastRenderedPageBreak/>
              <w:t>ārstēšanas risku ar vienām un to pašām zālēm viena SSN ietvarā, gan arī veicināta sabiedrības izpratni par racionālu zāļu lietošanu.</w:t>
            </w:r>
          </w:p>
          <w:p w14:paraId="47CF24D6" w14:textId="77777777" w:rsidR="00692575" w:rsidRDefault="00692575" w:rsidP="00692575">
            <w:pPr>
              <w:jc w:val="both"/>
            </w:pPr>
          </w:p>
          <w:p w14:paraId="193EF04D" w14:textId="70C4FF94" w:rsidR="00692575" w:rsidRPr="00692575" w:rsidRDefault="00692575" w:rsidP="00692575">
            <w:pPr>
              <w:pStyle w:val="NormalWeb"/>
              <w:shd w:val="clear" w:color="auto" w:fill="FFFFFF"/>
              <w:spacing w:before="0" w:beforeAutospacing="0" w:after="0" w:afterAutospacing="0"/>
              <w:jc w:val="both"/>
              <w:rPr>
                <w:color w:val="000000"/>
              </w:rPr>
            </w:pPr>
            <w:r>
              <w:t>Papildus tam juridiskās tehnikas prasības nepieļauj tiesisko nosacījumu noteikšanu vēlamības formā un pat šādu izmaiņu apstiprināšanas gadījumā, tās nemainītu esošo situāciju, jo jau šobrīd liela daļa no ārstniecības personām izrakstā minot informāciju par zālēm lieto SNN. Līdz ar to paredzētās izmaiņas sakārto tiesisko vidi attiecībā uz sniedzamo (norādāmo) informāciju visiem izrakstiem un nerada (mazina) potenciālo apjukumu zāļu terapijā izraksta saņēmējiem</w:t>
            </w:r>
          </w:p>
        </w:tc>
        <w:tc>
          <w:tcPr>
            <w:tcW w:w="2268" w:type="dxa"/>
            <w:tcBorders>
              <w:top w:val="single" w:sz="4" w:space="0" w:color="auto"/>
              <w:left w:val="single" w:sz="4" w:space="0" w:color="auto"/>
              <w:bottom w:val="single" w:sz="4" w:space="0" w:color="auto"/>
              <w:right w:val="single" w:sz="4" w:space="0" w:color="auto"/>
            </w:tcBorders>
          </w:tcPr>
          <w:p w14:paraId="1E95831B" w14:textId="173ED0EC" w:rsidR="00692575" w:rsidRPr="00692575" w:rsidRDefault="006E414D" w:rsidP="00692575">
            <w:pPr>
              <w:jc w:val="center"/>
            </w:pPr>
            <w:r>
              <w:lastRenderedPageBreak/>
              <w:t>Neatšķiras</w:t>
            </w:r>
          </w:p>
        </w:tc>
        <w:tc>
          <w:tcPr>
            <w:tcW w:w="2085" w:type="dxa"/>
            <w:tcBorders>
              <w:top w:val="single" w:sz="4" w:space="0" w:color="auto"/>
              <w:left w:val="single" w:sz="4" w:space="0" w:color="auto"/>
              <w:bottom w:val="single" w:sz="4" w:space="0" w:color="auto"/>
            </w:tcBorders>
          </w:tcPr>
          <w:p w14:paraId="68D36112" w14:textId="30C8E66A" w:rsidR="00692575" w:rsidRPr="00692575" w:rsidRDefault="00692575" w:rsidP="00692575">
            <w:pPr>
              <w:jc w:val="center"/>
            </w:pPr>
            <w:r>
              <w:t>Paliek nemainīga</w:t>
            </w:r>
          </w:p>
        </w:tc>
      </w:tr>
    </w:tbl>
    <w:p w14:paraId="18C32B5C" w14:textId="77777777" w:rsidR="007B4C0F" w:rsidRPr="00F276CA" w:rsidRDefault="007B4C0F" w:rsidP="007B4C0F">
      <w:pPr>
        <w:pStyle w:val="naisf"/>
        <w:spacing w:before="0" w:after="0"/>
        <w:ind w:firstLine="0"/>
      </w:pPr>
    </w:p>
    <w:p w14:paraId="12631DEC" w14:textId="77777777" w:rsidR="005D67F7" w:rsidRPr="00F276CA" w:rsidRDefault="005D67F7" w:rsidP="005D67F7">
      <w:pPr>
        <w:pStyle w:val="naisf"/>
        <w:spacing w:before="0" w:after="0"/>
        <w:ind w:firstLine="0"/>
        <w:rPr>
          <w:b/>
        </w:rPr>
      </w:pPr>
      <w:r w:rsidRPr="00F276CA">
        <w:rPr>
          <w:b/>
        </w:rPr>
        <w:t>Informācija par starpministriju (starpinstitūciju) sanāksmi vai elektronisko saskaņošanu</w:t>
      </w:r>
    </w:p>
    <w:p w14:paraId="7F7FB4BB" w14:textId="77777777" w:rsidR="005D67F7" w:rsidRPr="00F276CA" w:rsidRDefault="005D67F7" w:rsidP="005D67F7">
      <w:pPr>
        <w:pStyle w:val="naisf"/>
        <w:spacing w:before="0" w:after="0"/>
        <w:ind w:firstLine="0"/>
        <w:rPr>
          <w:b/>
        </w:rPr>
      </w:pPr>
    </w:p>
    <w:tbl>
      <w:tblPr>
        <w:tblW w:w="12582" w:type="dxa"/>
        <w:tblLook w:val="00A0" w:firstRow="1" w:lastRow="0" w:firstColumn="1" w:lastColumn="0" w:noHBand="0" w:noVBand="0"/>
      </w:tblPr>
      <w:tblGrid>
        <w:gridCol w:w="5778"/>
        <w:gridCol w:w="1770"/>
        <w:gridCol w:w="5034"/>
      </w:tblGrid>
      <w:tr w:rsidR="007B4C0F" w:rsidRPr="00F276CA" w14:paraId="362E566F" w14:textId="77777777" w:rsidTr="00E553C5">
        <w:tc>
          <w:tcPr>
            <w:tcW w:w="5778" w:type="dxa"/>
          </w:tcPr>
          <w:p w14:paraId="61456D82" w14:textId="77777777" w:rsidR="007B4C0F" w:rsidRPr="00F276CA" w:rsidRDefault="005D67F7" w:rsidP="005D67F7">
            <w:pPr>
              <w:pStyle w:val="naisf"/>
              <w:spacing w:before="0" w:after="0"/>
              <w:ind w:firstLine="0"/>
            </w:pPr>
            <w:r w:rsidRPr="00F276CA">
              <w:t>D</w:t>
            </w:r>
            <w:r w:rsidR="007B4C0F" w:rsidRPr="00F276CA">
              <w:t>atums</w:t>
            </w:r>
          </w:p>
        </w:tc>
        <w:tc>
          <w:tcPr>
            <w:tcW w:w="6804" w:type="dxa"/>
            <w:gridSpan w:val="2"/>
            <w:tcBorders>
              <w:bottom w:val="single" w:sz="4" w:space="0" w:color="auto"/>
            </w:tcBorders>
          </w:tcPr>
          <w:p w14:paraId="3F86EC91" w14:textId="77777777" w:rsidR="007B4C0F" w:rsidRPr="00F276CA" w:rsidRDefault="007B4C0F" w:rsidP="00577607">
            <w:pPr>
              <w:pStyle w:val="NormalWeb"/>
              <w:spacing w:before="0" w:beforeAutospacing="0" w:after="0" w:afterAutospacing="0"/>
              <w:ind w:firstLine="720"/>
            </w:pPr>
          </w:p>
        </w:tc>
      </w:tr>
      <w:tr w:rsidR="003C27A2" w:rsidRPr="00F276CA" w14:paraId="2554AE33" w14:textId="77777777" w:rsidTr="00E553C5">
        <w:tc>
          <w:tcPr>
            <w:tcW w:w="5778" w:type="dxa"/>
          </w:tcPr>
          <w:p w14:paraId="2AB6BF69" w14:textId="77777777" w:rsidR="003C27A2" w:rsidRPr="00F276CA" w:rsidRDefault="003C27A2" w:rsidP="007B4C0F">
            <w:pPr>
              <w:pStyle w:val="naisf"/>
              <w:spacing w:before="0" w:after="0"/>
              <w:ind w:firstLine="0"/>
            </w:pPr>
          </w:p>
        </w:tc>
        <w:tc>
          <w:tcPr>
            <w:tcW w:w="6804" w:type="dxa"/>
            <w:gridSpan w:val="2"/>
            <w:tcBorders>
              <w:top w:val="single" w:sz="4" w:space="0" w:color="auto"/>
            </w:tcBorders>
          </w:tcPr>
          <w:p w14:paraId="3FD9E5E1" w14:textId="77777777" w:rsidR="003C27A2" w:rsidRPr="00F276CA" w:rsidRDefault="003C27A2" w:rsidP="0036160E">
            <w:pPr>
              <w:pStyle w:val="NormalWeb"/>
              <w:spacing w:before="0" w:beforeAutospacing="0" w:after="0" w:afterAutospacing="0"/>
              <w:ind w:firstLine="720"/>
            </w:pPr>
          </w:p>
        </w:tc>
      </w:tr>
      <w:tr w:rsidR="007B4C0F" w:rsidRPr="00F276CA" w14:paraId="17BF7157" w14:textId="77777777" w:rsidTr="00E553C5">
        <w:tc>
          <w:tcPr>
            <w:tcW w:w="5778" w:type="dxa"/>
          </w:tcPr>
          <w:p w14:paraId="3CAB9C9D" w14:textId="77777777" w:rsidR="007B4C0F" w:rsidRPr="00F276CA" w:rsidRDefault="00365CC0" w:rsidP="003C27A2">
            <w:pPr>
              <w:pStyle w:val="naiskr"/>
              <w:spacing w:before="0" w:after="0"/>
            </w:pPr>
            <w:r w:rsidRPr="00F276CA">
              <w:t>Saskaņošanas dalībnieki</w:t>
            </w:r>
          </w:p>
        </w:tc>
        <w:tc>
          <w:tcPr>
            <w:tcW w:w="6804" w:type="dxa"/>
            <w:gridSpan w:val="2"/>
          </w:tcPr>
          <w:p w14:paraId="1EA414D2" w14:textId="77777777" w:rsidR="007B4C0F" w:rsidRPr="00F276CA" w:rsidRDefault="007B4C0F" w:rsidP="0036160E">
            <w:pPr>
              <w:pStyle w:val="NormalWeb"/>
              <w:spacing w:before="0" w:beforeAutospacing="0" w:after="0" w:afterAutospacing="0"/>
              <w:ind w:firstLine="720"/>
            </w:pPr>
          </w:p>
        </w:tc>
      </w:tr>
      <w:tr w:rsidR="007B4C0F" w:rsidRPr="00F276CA" w14:paraId="700A1EAF" w14:textId="77777777" w:rsidTr="00E553C5">
        <w:tc>
          <w:tcPr>
            <w:tcW w:w="5778" w:type="dxa"/>
          </w:tcPr>
          <w:p w14:paraId="266BE129" w14:textId="77777777" w:rsidR="007B4C0F" w:rsidRPr="00F276CA" w:rsidRDefault="007B4C0F" w:rsidP="0036160E">
            <w:pPr>
              <w:pStyle w:val="naiskr"/>
              <w:spacing w:before="0" w:after="0"/>
              <w:ind w:firstLine="720"/>
            </w:pPr>
            <w:r w:rsidRPr="00F276CA">
              <w:t>  </w:t>
            </w:r>
          </w:p>
        </w:tc>
        <w:tc>
          <w:tcPr>
            <w:tcW w:w="6804" w:type="dxa"/>
            <w:gridSpan w:val="2"/>
            <w:tcBorders>
              <w:top w:val="single" w:sz="6" w:space="0" w:color="000000"/>
              <w:bottom w:val="single" w:sz="6" w:space="0" w:color="000000"/>
            </w:tcBorders>
          </w:tcPr>
          <w:p w14:paraId="13A9B179" w14:textId="1B24CD2E" w:rsidR="007F1CCD" w:rsidRPr="00F276CA" w:rsidRDefault="00B07519" w:rsidP="008B2026">
            <w:pPr>
              <w:ind w:left="720"/>
            </w:pPr>
            <w:r w:rsidRPr="00B07519">
              <w:t>Tieslietu ministrij</w:t>
            </w:r>
            <w:r>
              <w:t>a</w:t>
            </w:r>
            <w:r w:rsidRPr="00B07519">
              <w:t>, Finanšu ministrij</w:t>
            </w:r>
            <w:r>
              <w:t>a</w:t>
            </w:r>
            <w:r w:rsidRPr="00B07519">
              <w:t>, Aizsardzības ministrij</w:t>
            </w:r>
            <w:r>
              <w:t>a</w:t>
            </w:r>
            <w:r w:rsidRPr="00B07519">
              <w:t>, Iekšlietu ministrij</w:t>
            </w:r>
            <w:r>
              <w:t>a</w:t>
            </w:r>
            <w:r w:rsidRPr="00B07519">
              <w:t>, Izglītības un zinātnes ministrij</w:t>
            </w:r>
            <w:r>
              <w:t>a</w:t>
            </w:r>
            <w:r w:rsidRPr="00B07519">
              <w:t>, Labklājības ministrij</w:t>
            </w:r>
            <w:r>
              <w:t>a</w:t>
            </w:r>
            <w:r w:rsidRPr="00B07519">
              <w:t xml:space="preserve">, Vides aizsardzības un </w:t>
            </w:r>
            <w:r w:rsidRPr="00B07519">
              <w:lastRenderedPageBreak/>
              <w:t>reģionālās attīstības ministrij</w:t>
            </w:r>
            <w:r>
              <w:t>a</w:t>
            </w:r>
            <w:r w:rsidR="00FF56EA">
              <w:t>, Kultūras ministrija (pēc Tieslietu ministrijas lūguma)</w:t>
            </w:r>
            <w:r w:rsidRPr="00B07519">
              <w:t xml:space="preserve"> un Latvijas Brīvo arodbiedrību savienība</w:t>
            </w:r>
            <w:r w:rsidR="00FF56EA">
              <w:t xml:space="preserve">. </w:t>
            </w:r>
          </w:p>
        </w:tc>
      </w:tr>
      <w:tr w:rsidR="000D0AED" w:rsidRPr="00F276CA" w14:paraId="4E6B03DE" w14:textId="77777777" w:rsidTr="00E553C5">
        <w:trPr>
          <w:trHeight w:val="285"/>
        </w:trPr>
        <w:tc>
          <w:tcPr>
            <w:tcW w:w="5778" w:type="dxa"/>
          </w:tcPr>
          <w:p w14:paraId="4F481476" w14:textId="77777777" w:rsidR="000D0AED" w:rsidRPr="00F276CA" w:rsidRDefault="000D0AED" w:rsidP="000D0AED">
            <w:pPr>
              <w:pStyle w:val="naiskr"/>
              <w:spacing w:before="0" w:after="0"/>
            </w:pPr>
          </w:p>
        </w:tc>
        <w:tc>
          <w:tcPr>
            <w:tcW w:w="1770" w:type="dxa"/>
          </w:tcPr>
          <w:p w14:paraId="1B45DA7F" w14:textId="77777777" w:rsidR="000D0AED" w:rsidRPr="00F276CA" w:rsidRDefault="005622D1" w:rsidP="005622D1">
            <w:pPr>
              <w:pStyle w:val="naiskr"/>
              <w:spacing w:before="0" w:after="0"/>
              <w:ind w:firstLine="720"/>
            </w:pPr>
            <w:r w:rsidRPr="00F276CA">
              <w:t xml:space="preserve"> </w:t>
            </w:r>
          </w:p>
        </w:tc>
        <w:tc>
          <w:tcPr>
            <w:tcW w:w="5034" w:type="dxa"/>
          </w:tcPr>
          <w:p w14:paraId="61DBF5A1" w14:textId="77777777" w:rsidR="000D0AED" w:rsidRPr="00F276CA" w:rsidRDefault="000D0AED" w:rsidP="0036160E">
            <w:pPr>
              <w:pStyle w:val="naiskr"/>
              <w:spacing w:before="0" w:after="0"/>
              <w:ind w:firstLine="12"/>
            </w:pPr>
          </w:p>
        </w:tc>
      </w:tr>
    </w:tbl>
    <w:p w14:paraId="001766CD" w14:textId="1CCF67F8" w:rsidR="00F276CA" w:rsidRDefault="00F276CA" w:rsidP="00F276CA">
      <w:pPr>
        <w:jc w:val="right"/>
      </w:pPr>
    </w:p>
    <w:p w14:paraId="5BD44FFD" w14:textId="77777777" w:rsidR="008A36C9" w:rsidRPr="00F276CA" w:rsidRDefault="008A36C9">
      <w:r w:rsidRPr="00F276CA">
        <w:br w:type="page"/>
      </w:r>
    </w:p>
    <w:tbl>
      <w:tblPr>
        <w:tblW w:w="12582" w:type="dxa"/>
        <w:tblLook w:val="00A0" w:firstRow="1" w:lastRow="0" w:firstColumn="1" w:lastColumn="0" w:noHBand="0" w:noVBand="0"/>
      </w:tblPr>
      <w:tblGrid>
        <w:gridCol w:w="6548"/>
        <w:gridCol w:w="5751"/>
        <w:gridCol w:w="283"/>
      </w:tblGrid>
      <w:tr w:rsidR="007B4C0F" w:rsidRPr="00F276CA" w14:paraId="15A7C0C4" w14:textId="77777777" w:rsidTr="00F70051">
        <w:trPr>
          <w:trHeight w:val="285"/>
        </w:trPr>
        <w:tc>
          <w:tcPr>
            <w:tcW w:w="6548" w:type="dxa"/>
          </w:tcPr>
          <w:p w14:paraId="26680D5D" w14:textId="77777777" w:rsidR="007B4C0F" w:rsidRPr="00F276CA" w:rsidRDefault="00365CC0" w:rsidP="000D0AED">
            <w:pPr>
              <w:pStyle w:val="naiskr"/>
              <w:spacing w:before="0" w:after="0"/>
            </w:pPr>
            <w:r w:rsidRPr="00F276CA">
              <w:lastRenderedPageBreak/>
              <w:t xml:space="preserve">Saskaņošanas dalībnieki </w:t>
            </w:r>
            <w:r w:rsidR="007B4C0F" w:rsidRPr="00F276CA">
              <w:t>izskatīja</w:t>
            </w:r>
            <w:r w:rsidR="005D67F7" w:rsidRPr="00F276CA">
              <w:t xml:space="preserve"> šādu ministriju </w:t>
            </w:r>
            <w:r w:rsidR="003E4C3F" w:rsidRPr="00F276CA">
              <w:t>(c</w:t>
            </w:r>
            <w:r w:rsidR="005D67F7" w:rsidRPr="00F276CA">
              <w:t>itu institūciju</w:t>
            </w:r>
            <w:r w:rsidR="003E4C3F" w:rsidRPr="00F276CA">
              <w:t>)</w:t>
            </w:r>
            <w:r w:rsidR="005D67F7" w:rsidRPr="00F276CA">
              <w:t xml:space="preserve"> iebildumus</w:t>
            </w:r>
          </w:p>
        </w:tc>
        <w:tc>
          <w:tcPr>
            <w:tcW w:w="5751" w:type="dxa"/>
          </w:tcPr>
          <w:p w14:paraId="18ED1237" w14:textId="10F62900" w:rsidR="008B470F" w:rsidRPr="00F276CA" w:rsidRDefault="00B07519" w:rsidP="003542DA">
            <w:pPr>
              <w:pStyle w:val="naiskr"/>
              <w:spacing w:before="0" w:after="0"/>
            </w:pPr>
            <w:r w:rsidRPr="00B07519">
              <w:t>Izglītības un zinātnes ministrij</w:t>
            </w:r>
            <w:r>
              <w:t>a</w:t>
            </w:r>
            <w:r w:rsidRPr="00B07519">
              <w:t>, Labklājības ministrij</w:t>
            </w:r>
            <w:r>
              <w:t>a</w:t>
            </w:r>
            <w:r w:rsidR="00C10019">
              <w:t>, Tieslietu ministrija</w:t>
            </w:r>
            <w:bookmarkStart w:id="0" w:name="_GoBack"/>
            <w:bookmarkEnd w:id="0"/>
            <w:r>
              <w:t xml:space="preserve"> </w:t>
            </w:r>
            <w:r w:rsidRPr="00B07519">
              <w:t>un Latvijas Brīvo arodbiedrību savienība</w:t>
            </w:r>
            <w:r w:rsidR="0061113D" w:rsidRPr="0061113D">
              <w:t xml:space="preserve"> </w:t>
            </w:r>
          </w:p>
        </w:tc>
        <w:tc>
          <w:tcPr>
            <w:tcW w:w="283" w:type="dxa"/>
          </w:tcPr>
          <w:p w14:paraId="59E086FF" w14:textId="77777777" w:rsidR="007B4C0F" w:rsidRPr="00F276CA" w:rsidRDefault="007B4C0F" w:rsidP="00F70051">
            <w:pPr>
              <w:pStyle w:val="naiskr"/>
              <w:spacing w:before="0" w:after="0"/>
              <w:ind w:firstLine="12"/>
            </w:pPr>
          </w:p>
        </w:tc>
      </w:tr>
      <w:tr w:rsidR="007B4C0F" w:rsidRPr="00F276CA" w14:paraId="73459D38" w14:textId="77777777" w:rsidTr="00F70051">
        <w:tc>
          <w:tcPr>
            <w:tcW w:w="6548" w:type="dxa"/>
          </w:tcPr>
          <w:p w14:paraId="5F9ACC02" w14:textId="77777777" w:rsidR="007B4C0F" w:rsidRPr="00F276CA" w:rsidRDefault="007B4C0F" w:rsidP="0036160E">
            <w:pPr>
              <w:pStyle w:val="naiskr"/>
              <w:spacing w:before="0" w:after="0"/>
            </w:pPr>
            <w:r w:rsidRPr="00F276CA">
              <w:t>Ministrijas (citas institūcijas), kuras nav ieradušās uz sanāksmi vai kuras nav atbildējušas uz uzaicinājumu piedalīties elektroniskajā saskaņošanā</w:t>
            </w:r>
          </w:p>
        </w:tc>
        <w:tc>
          <w:tcPr>
            <w:tcW w:w="6034" w:type="dxa"/>
            <w:gridSpan w:val="2"/>
          </w:tcPr>
          <w:p w14:paraId="50915A64" w14:textId="77777777" w:rsidR="007B4C0F" w:rsidRPr="00F276CA" w:rsidRDefault="007B4C0F" w:rsidP="0036160E">
            <w:pPr>
              <w:pStyle w:val="naiskr"/>
              <w:spacing w:before="0" w:after="0"/>
              <w:ind w:firstLine="720"/>
            </w:pPr>
          </w:p>
        </w:tc>
      </w:tr>
      <w:tr w:rsidR="007B4C0F" w:rsidRPr="00F276CA" w14:paraId="4722654A" w14:textId="77777777" w:rsidTr="00F70051">
        <w:tc>
          <w:tcPr>
            <w:tcW w:w="6548" w:type="dxa"/>
          </w:tcPr>
          <w:p w14:paraId="50AD66F4" w14:textId="77777777" w:rsidR="007B4C0F" w:rsidRPr="00F276CA" w:rsidRDefault="007B4C0F" w:rsidP="0036160E">
            <w:pPr>
              <w:pStyle w:val="naiskr"/>
              <w:spacing w:before="0" w:after="0"/>
              <w:ind w:firstLine="720"/>
            </w:pPr>
            <w:r w:rsidRPr="00F276CA">
              <w:t>  </w:t>
            </w:r>
          </w:p>
        </w:tc>
        <w:tc>
          <w:tcPr>
            <w:tcW w:w="6034" w:type="dxa"/>
            <w:gridSpan w:val="2"/>
            <w:tcBorders>
              <w:top w:val="single" w:sz="6" w:space="0" w:color="000000"/>
              <w:bottom w:val="single" w:sz="6" w:space="0" w:color="000000"/>
            </w:tcBorders>
          </w:tcPr>
          <w:p w14:paraId="275370FD" w14:textId="77777777" w:rsidR="007B4C0F" w:rsidRPr="00F276CA" w:rsidRDefault="007B4C0F" w:rsidP="0036160E">
            <w:pPr>
              <w:pStyle w:val="naiskr"/>
              <w:spacing w:before="0" w:after="0"/>
              <w:ind w:firstLine="720"/>
            </w:pPr>
          </w:p>
        </w:tc>
      </w:tr>
      <w:tr w:rsidR="007B4C0F" w:rsidRPr="00F276CA" w14:paraId="0EFF0738" w14:textId="77777777" w:rsidTr="00F70051">
        <w:tc>
          <w:tcPr>
            <w:tcW w:w="6548" w:type="dxa"/>
          </w:tcPr>
          <w:p w14:paraId="0D949763" w14:textId="77777777" w:rsidR="007B4C0F" w:rsidRPr="00F276CA" w:rsidRDefault="007B4C0F" w:rsidP="0036160E">
            <w:pPr>
              <w:pStyle w:val="naiskr"/>
              <w:spacing w:before="0" w:after="0"/>
              <w:ind w:firstLine="720"/>
            </w:pPr>
            <w:r w:rsidRPr="00F276CA">
              <w:t>  </w:t>
            </w:r>
          </w:p>
        </w:tc>
        <w:tc>
          <w:tcPr>
            <w:tcW w:w="6034" w:type="dxa"/>
            <w:gridSpan w:val="2"/>
            <w:tcBorders>
              <w:bottom w:val="single" w:sz="6" w:space="0" w:color="000000"/>
            </w:tcBorders>
          </w:tcPr>
          <w:p w14:paraId="188059BB" w14:textId="77777777" w:rsidR="007B4C0F" w:rsidRPr="00F276CA" w:rsidRDefault="007B4C0F" w:rsidP="0036160E">
            <w:pPr>
              <w:pStyle w:val="naiskr"/>
              <w:spacing w:before="0" w:after="0"/>
              <w:ind w:firstLine="720"/>
            </w:pPr>
          </w:p>
        </w:tc>
      </w:tr>
    </w:tbl>
    <w:p w14:paraId="68C4B03B" w14:textId="77777777" w:rsidR="00683081" w:rsidRPr="00F276CA" w:rsidRDefault="00683081" w:rsidP="00683081">
      <w:pPr>
        <w:pStyle w:val="naisf"/>
        <w:spacing w:before="0" w:after="0"/>
        <w:ind w:firstLine="720"/>
      </w:pPr>
    </w:p>
    <w:p w14:paraId="5CA9ACCF" w14:textId="77777777" w:rsidR="007B4C0F" w:rsidRPr="00F276CA" w:rsidRDefault="007B4C0F" w:rsidP="00184479">
      <w:pPr>
        <w:pStyle w:val="naisf"/>
        <w:spacing w:before="0" w:after="0"/>
        <w:ind w:firstLine="0"/>
        <w:jc w:val="center"/>
        <w:rPr>
          <w:b/>
        </w:rPr>
      </w:pPr>
      <w:r w:rsidRPr="00F276CA">
        <w:rPr>
          <w:b/>
        </w:rPr>
        <w:t>II. </w:t>
      </w:r>
      <w:r w:rsidR="00134188" w:rsidRPr="00F276CA">
        <w:rPr>
          <w:b/>
        </w:rPr>
        <w:t>Jautājumi, par kuriem saskaņošanā vienošan</w:t>
      </w:r>
      <w:r w:rsidR="00144622" w:rsidRPr="00F276CA">
        <w:rPr>
          <w:b/>
        </w:rPr>
        <w:t>ā</w:t>
      </w:r>
      <w:r w:rsidR="00134188" w:rsidRPr="00F276CA">
        <w:rPr>
          <w:b/>
        </w:rPr>
        <w:t>s ir panākta</w:t>
      </w:r>
    </w:p>
    <w:p w14:paraId="7457782F" w14:textId="77777777" w:rsidR="007B4C0F" w:rsidRPr="00F276CA" w:rsidRDefault="007B4C0F" w:rsidP="00DB7395">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4"/>
        <w:gridCol w:w="828"/>
        <w:gridCol w:w="3543"/>
        <w:gridCol w:w="1808"/>
        <w:gridCol w:w="1311"/>
        <w:gridCol w:w="3544"/>
      </w:tblGrid>
      <w:tr w:rsidR="00134188" w:rsidRPr="00F276CA" w14:paraId="53ADDFAD" w14:textId="77777777" w:rsidTr="006E414D">
        <w:tc>
          <w:tcPr>
            <w:tcW w:w="534" w:type="dxa"/>
            <w:tcBorders>
              <w:top w:val="single" w:sz="6" w:space="0" w:color="000000"/>
              <w:left w:val="single" w:sz="6" w:space="0" w:color="000000"/>
              <w:bottom w:val="single" w:sz="6" w:space="0" w:color="000000"/>
              <w:right w:val="single" w:sz="6" w:space="0" w:color="000000"/>
            </w:tcBorders>
            <w:vAlign w:val="center"/>
          </w:tcPr>
          <w:p w14:paraId="5AAA8DFF" w14:textId="77777777" w:rsidR="00134188" w:rsidRPr="00F276CA" w:rsidRDefault="00134188" w:rsidP="009623BC">
            <w:pPr>
              <w:pStyle w:val="naisc"/>
              <w:spacing w:before="0" w:after="0"/>
            </w:pPr>
            <w:r w:rsidRPr="00F276CA">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C165144" w14:textId="77777777" w:rsidR="00134188" w:rsidRPr="00F276CA" w:rsidRDefault="00134188" w:rsidP="009623BC">
            <w:pPr>
              <w:pStyle w:val="naisc"/>
              <w:spacing w:before="0" w:after="0"/>
              <w:ind w:firstLine="12"/>
            </w:pPr>
            <w:r w:rsidRPr="00F276CA">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14:paraId="5F38918A" w14:textId="77777777" w:rsidR="00134188" w:rsidRPr="00F276CA" w:rsidRDefault="00134188" w:rsidP="009623BC">
            <w:pPr>
              <w:pStyle w:val="naisc"/>
              <w:spacing w:before="0" w:after="0"/>
              <w:ind w:right="3"/>
            </w:pPr>
            <w:r w:rsidRPr="00F276CA">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1834544B" w14:textId="77777777" w:rsidR="00134188" w:rsidRPr="00F276CA" w:rsidRDefault="00134188" w:rsidP="009623BC">
            <w:pPr>
              <w:pStyle w:val="naisc"/>
              <w:spacing w:before="0" w:after="0"/>
              <w:ind w:firstLine="21"/>
            </w:pPr>
            <w:r w:rsidRPr="00F276CA">
              <w:t>Atbildīgās ministrijas norāde</w:t>
            </w:r>
            <w:r w:rsidR="006C1C48" w:rsidRPr="00F276CA">
              <w:t xml:space="preserve"> par to, ka </w:t>
            </w:r>
            <w:r w:rsidRPr="00F276CA">
              <w:t>iebildums ir ņemts vērā</w:t>
            </w:r>
            <w:r w:rsidR="006455E7" w:rsidRPr="00F276CA">
              <w:t>,</w:t>
            </w:r>
            <w:r w:rsidRPr="00F276CA">
              <w:t xml:space="preserve"> vai </w:t>
            </w:r>
            <w:r w:rsidR="006C1C48" w:rsidRPr="00F276CA">
              <w:t xml:space="preserve">informācija par saskaņošanā </w:t>
            </w:r>
            <w:r w:rsidR="00022B0F" w:rsidRPr="00F276CA">
              <w:t>panākto alternatīvo risinājumu</w:t>
            </w:r>
          </w:p>
        </w:tc>
        <w:tc>
          <w:tcPr>
            <w:tcW w:w="3544" w:type="dxa"/>
            <w:tcBorders>
              <w:top w:val="single" w:sz="4" w:space="0" w:color="auto"/>
              <w:left w:val="single" w:sz="4" w:space="0" w:color="auto"/>
              <w:bottom w:val="single" w:sz="4" w:space="0" w:color="auto"/>
            </w:tcBorders>
            <w:vAlign w:val="center"/>
          </w:tcPr>
          <w:p w14:paraId="2A929013" w14:textId="77777777" w:rsidR="00134188" w:rsidRPr="00F276CA" w:rsidRDefault="00134188" w:rsidP="009623BC">
            <w:pPr>
              <w:jc w:val="center"/>
            </w:pPr>
            <w:r w:rsidRPr="00F276CA">
              <w:t>Projekta attiecīgā punkta (panta) galīgā redakcija</w:t>
            </w:r>
          </w:p>
        </w:tc>
      </w:tr>
      <w:tr w:rsidR="00134188" w:rsidRPr="00F276CA" w14:paraId="0CD26485" w14:textId="77777777" w:rsidTr="006E414D">
        <w:tc>
          <w:tcPr>
            <w:tcW w:w="534" w:type="dxa"/>
            <w:tcBorders>
              <w:top w:val="single" w:sz="6" w:space="0" w:color="000000"/>
              <w:left w:val="single" w:sz="6" w:space="0" w:color="000000"/>
              <w:bottom w:val="single" w:sz="6" w:space="0" w:color="000000"/>
              <w:right w:val="single" w:sz="6" w:space="0" w:color="000000"/>
            </w:tcBorders>
          </w:tcPr>
          <w:p w14:paraId="506AC138" w14:textId="77777777" w:rsidR="00134188" w:rsidRPr="00F276CA" w:rsidRDefault="003B71E0" w:rsidP="003B71E0">
            <w:pPr>
              <w:pStyle w:val="naisc"/>
              <w:spacing w:before="0" w:after="0"/>
              <w:rPr>
                <w:sz w:val="20"/>
                <w:szCs w:val="20"/>
              </w:rPr>
            </w:pPr>
            <w:r w:rsidRPr="00F276CA">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2A83653A" w14:textId="77777777" w:rsidR="00134188" w:rsidRPr="00F276CA" w:rsidRDefault="00F34AAB" w:rsidP="003B71E0">
            <w:pPr>
              <w:pStyle w:val="naisc"/>
              <w:spacing w:before="0" w:after="0"/>
              <w:ind w:firstLine="720"/>
            </w:pPr>
            <w:r w:rsidRPr="00F276CA">
              <w:t>2</w:t>
            </w:r>
          </w:p>
        </w:tc>
        <w:tc>
          <w:tcPr>
            <w:tcW w:w="3543" w:type="dxa"/>
            <w:tcBorders>
              <w:top w:val="single" w:sz="6" w:space="0" w:color="000000"/>
              <w:left w:val="single" w:sz="6" w:space="0" w:color="000000"/>
              <w:bottom w:val="single" w:sz="6" w:space="0" w:color="000000"/>
              <w:right w:val="single" w:sz="6" w:space="0" w:color="000000"/>
            </w:tcBorders>
          </w:tcPr>
          <w:p w14:paraId="0DCF1A6B" w14:textId="77777777" w:rsidR="00134188" w:rsidRPr="00F276CA" w:rsidRDefault="003B71E0" w:rsidP="003B71E0">
            <w:pPr>
              <w:pStyle w:val="naisc"/>
              <w:spacing w:before="0" w:after="0"/>
              <w:ind w:firstLine="720"/>
            </w:pPr>
            <w:r w:rsidRPr="00F276CA">
              <w:t>3</w:t>
            </w:r>
          </w:p>
        </w:tc>
        <w:tc>
          <w:tcPr>
            <w:tcW w:w="3119" w:type="dxa"/>
            <w:gridSpan w:val="2"/>
            <w:tcBorders>
              <w:top w:val="single" w:sz="6" w:space="0" w:color="000000"/>
              <w:left w:val="single" w:sz="6" w:space="0" w:color="000000"/>
              <w:bottom w:val="single" w:sz="6" w:space="0" w:color="000000"/>
              <w:right w:val="single" w:sz="6" w:space="0" w:color="000000"/>
            </w:tcBorders>
          </w:tcPr>
          <w:p w14:paraId="5D354520" w14:textId="77777777" w:rsidR="00134188" w:rsidRPr="00F276CA" w:rsidRDefault="003B71E0" w:rsidP="003B71E0">
            <w:pPr>
              <w:pStyle w:val="naisc"/>
              <w:spacing w:before="0" w:after="0"/>
              <w:ind w:firstLine="720"/>
            </w:pPr>
            <w:r w:rsidRPr="00F276CA">
              <w:t>4</w:t>
            </w:r>
          </w:p>
        </w:tc>
        <w:tc>
          <w:tcPr>
            <w:tcW w:w="3544" w:type="dxa"/>
            <w:tcBorders>
              <w:top w:val="single" w:sz="4" w:space="0" w:color="auto"/>
              <w:left w:val="single" w:sz="4" w:space="0" w:color="auto"/>
              <w:bottom w:val="single" w:sz="4" w:space="0" w:color="auto"/>
            </w:tcBorders>
          </w:tcPr>
          <w:p w14:paraId="5FA9B6B0" w14:textId="77777777" w:rsidR="00134188" w:rsidRPr="00F276CA" w:rsidRDefault="003B71E0" w:rsidP="003B71E0">
            <w:pPr>
              <w:jc w:val="center"/>
            </w:pPr>
            <w:r w:rsidRPr="00F276CA">
              <w:t>5</w:t>
            </w:r>
          </w:p>
        </w:tc>
      </w:tr>
      <w:tr w:rsidR="00BF7F81" w:rsidRPr="00F276CA" w14:paraId="102AEB84" w14:textId="77777777" w:rsidTr="006E414D">
        <w:tc>
          <w:tcPr>
            <w:tcW w:w="534" w:type="dxa"/>
            <w:tcBorders>
              <w:top w:val="single" w:sz="6" w:space="0" w:color="000000"/>
              <w:left w:val="single" w:sz="6" w:space="0" w:color="000000"/>
              <w:bottom w:val="single" w:sz="6" w:space="0" w:color="000000"/>
              <w:right w:val="single" w:sz="6" w:space="0" w:color="000000"/>
            </w:tcBorders>
          </w:tcPr>
          <w:p w14:paraId="7CEAB050" w14:textId="5D5B4D4B" w:rsidR="00BF7F81" w:rsidRDefault="00692575" w:rsidP="003B71E0">
            <w:pPr>
              <w:pStyle w:val="naisc"/>
              <w:spacing w:before="0" w:after="0"/>
              <w:rPr>
                <w:sz w:val="20"/>
                <w:szCs w:val="20"/>
              </w:rPr>
            </w:pPr>
            <w:r>
              <w:rPr>
                <w:sz w:val="20"/>
                <w:szCs w:val="20"/>
              </w:rPr>
              <w:t>1.</w:t>
            </w:r>
          </w:p>
          <w:p w14:paraId="13F17C67" w14:textId="5999D0C3" w:rsidR="00BF7F81" w:rsidRPr="00F276CA" w:rsidRDefault="00BF7F81" w:rsidP="003B71E0">
            <w:pPr>
              <w:pStyle w:val="naisc"/>
              <w:spacing w:before="0" w:after="0"/>
              <w:rPr>
                <w:sz w:val="20"/>
                <w:szCs w:val="20"/>
              </w:rPr>
            </w:pPr>
          </w:p>
        </w:tc>
        <w:tc>
          <w:tcPr>
            <w:tcW w:w="3402" w:type="dxa"/>
            <w:gridSpan w:val="2"/>
            <w:tcBorders>
              <w:top w:val="single" w:sz="6" w:space="0" w:color="000000"/>
              <w:left w:val="single" w:sz="6" w:space="0" w:color="000000"/>
              <w:bottom w:val="single" w:sz="6" w:space="0" w:color="000000"/>
              <w:right w:val="single" w:sz="6" w:space="0" w:color="000000"/>
            </w:tcBorders>
          </w:tcPr>
          <w:p w14:paraId="50581525" w14:textId="159071D6" w:rsidR="00BF7F81" w:rsidRPr="00BF7F81" w:rsidRDefault="00BF7F81" w:rsidP="00BF7F81">
            <w:pPr>
              <w:shd w:val="clear" w:color="auto" w:fill="FFFFFF"/>
              <w:spacing w:after="200"/>
              <w:contextualSpacing/>
              <w:jc w:val="both"/>
              <w:rPr>
                <w:rFonts w:eastAsia="Calibri"/>
                <w:lang w:eastAsia="en-US"/>
              </w:rPr>
            </w:pPr>
            <w:r w:rsidRPr="00BF7F81">
              <w:rPr>
                <w:rFonts w:eastAsia="Calibri"/>
                <w:lang w:eastAsia="en-US"/>
              </w:rPr>
              <w:t>Anotācijas I sadaļas 2.punkts (..)</w:t>
            </w:r>
            <w:r>
              <w:rPr>
                <w:rFonts w:eastAsia="Calibri"/>
                <w:lang w:eastAsia="en-US"/>
              </w:rPr>
              <w:t xml:space="preserve"> </w:t>
            </w:r>
            <w:r w:rsidRPr="00BF7F81">
              <w:rPr>
                <w:rFonts w:eastAsia="Calibri"/>
                <w:lang w:eastAsia="en-US"/>
              </w:rPr>
              <w:t>Ņemot vērā ārstniecības iestāžu priekšlikumus un praktisko darbu attiecībā uz medicīnisko ierakstu iznīcināšanu, kā arī problemātiku attiecībā uz medicīniskās dokumentācijas kartotēkas ierakstiem, kas veikti līdz 2009.gadam, grozījumi MK noteikumos Nr.265 (turpmāk –noteikumu projekts) paredz izteikt noteikumu 35.</w:t>
            </w:r>
            <w:r w:rsidRPr="00BF7F81">
              <w:rPr>
                <w:rFonts w:eastAsia="Calibri"/>
                <w:vertAlign w:val="superscript"/>
                <w:lang w:eastAsia="en-US"/>
              </w:rPr>
              <w:t>2</w:t>
            </w:r>
            <w:r w:rsidRPr="00BF7F81">
              <w:rPr>
                <w:rFonts w:eastAsia="Calibri"/>
                <w:lang w:eastAsia="en-US"/>
              </w:rPr>
              <w:t xml:space="preserve"> punktu precizētā redakcijā, nosakot, ka pēc MK noteikumos Nr.265 noteiktā medicīnisko ierakstu uzglabāšanas laika tos iznīcina saskaņā ar Arhīvu likumu un </w:t>
            </w:r>
            <w:r w:rsidRPr="00BF7F81">
              <w:rPr>
                <w:rFonts w:eastAsia="Calibri"/>
                <w:lang w:eastAsia="en-US"/>
              </w:rPr>
              <w:lastRenderedPageBreak/>
              <w:t>normatīvo aktu regulējumu par dokumentu un arhīvu pārvaldību, tādējādi nenosakot atšķirīgus nosacījumus dokumentu un arhīvu pārvaldībai. (</w:t>
            </w:r>
            <w:r w:rsidRPr="00BF7F81">
              <w:rPr>
                <w:rFonts w:eastAsia="Calibri"/>
                <w:i/>
                <w:lang w:eastAsia="en-US"/>
              </w:rPr>
              <w:t>Noteikumu projekta</w:t>
            </w:r>
            <w:r w:rsidRPr="00BF7F81">
              <w:rPr>
                <w:rFonts w:eastAsia="Calibri"/>
                <w:lang w:eastAsia="en-US"/>
              </w:rPr>
              <w:t xml:space="preserve"> </w:t>
            </w:r>
            <w:r w:rsidRPr="00BF7F81">
              <w:rPr>
                <w:rFonts w:eastAsia="Calibri"/>
                <w:i/>
                <w:lang w:eastAsia="en-US"/>
              </w:rPr>
              <w:t>1.1.apakšpunkts)</w:t>
            </w:r>
            <w:r>
              <w:rPr>
                <w:rFonts w:eastAsia="Calibri"/>
                <w:i/>
                <w:lang w:eastAsia="en-US"/>
              </w:rPr>
              <w:t xml:space="preserve"> </w:t>
            </w:r>
            <w:r w:rsidRPr="00BF7F81">
              <w:rPr>
                <w:rFonts w:eastAsia="Calibri"/>
                <w:lang w:eastAsia="en-US"/>
              </w:rPr>
              <w:t>(..)</w:t>
            </w:r>
          </w:p>
          <w:p w14:paraId="323E30B1" w14:textId="77777777" w:rsidR="00BF7F81" w:rsidRPr="00F276CA" w:rsidRDefault="00BF7F81" w:rsidP="003B71E0">
            <w:pPr>
              <w:pStyle w:val="naisc"/>
              <w:spacing w:before="0" w:after="0"/>
              <w:ind w:firstLine="720"/>
            </w:pPr>
          </w:p>
        </w:tc>
        <w:tc>
          <w:tcPr>
            <w:tcW w:w="3543" w:type="dxa"/>
            <w:tcBorders>
              <w:top w:val="single" w:sz="6" w:space="0" w:color="000000"/>
              <w:left w:val="single" w:sz="6" w:space="0" w:color="000000"/>
              <w:bottom w:val="single" w:sz="6" w:space="0" w:color="000000"/>
              <w:right w:val="single" w:sz="6" w:space="0" w:color="000000"/>
            </w:tcBorders>
          </w:tcPr>
          <w:p w14:paraId="2602EB91" w14:textId="2581A5B4" w:rsidR="00BF7F81" w:rsidRPr="00BF7F81" w:rsidRDefault="00BF7F81" w:rsidP="00BF7F81">
            <w:pPr>
              <w:pStyle w:val="naisc"/>
              <w:spacing w:before="0" w:after="0"/>
              <w:ind w:firstLine="720"/>
              <w:jc w:val="both"/>
              <w:rPr>
                <w:b/>
              </w:rPr>
            </w:pPr>
            <w:r w:rsidRPr="00BF7F81">
              <w:rPr>
                <w:b/>
              </w:rPr>
              <w:lastRenderedPageBreak/>
              <w:t>Tieslietu ministrija</w:t>
            </w:r>
          </w:p>
          <w:p w14:paraId="6BA03593" w14:textId="77777777" w:rsidR="00BF7F81" w:rsidRDefault="00BF7F81" w:rsidP="00BF7F81">
            <w:pPr>
              <w:pStyle w:val="naisc"/>
              <w:spacing w:before="0" w:after="0"/>
              <w:ind w:firstLine="720"/>
              <w:jc w:val="both"/>
            </w:pPr>
          </w:p>
          <w:p w14:paraId="16DED5C3" w14:textId="390F0498" w:rsidR="00BF7F81" w:rsidRPr="00F276CA" w:rsidRDefault="00BF7F81" w:rsidP="00BF7F81">
            <w:pPr>
              <w:pStyle w:val="naisc"/>
              <w:spacing w:before="0" w:after="0"/>
              <w:ind w:firstLine="720"/>
              <w:jc w:val="both"/>
            </w:pPr>
            <w:r w:rsidRPr="00BF7F81">
              <w:t>1.</w:t>
            </w:r>
            <w:r w:rsidRPr="00BF7F81">
              <w:tab/>
              <w:t xml:space="preserve">Projekta 1.1. apakšpunktā tiek paredzēts Ministru kabineta 2006. gada 4. aprīļa noteikumu Nr. 265 </w:t>
            </w:r>
            <w:r w:rsidR="006E414D">
              <w:t>“</w:t>
            </w:r>
            <w:r w:rsidRPr="00BF7F81">
              <w:t>Medicīnisko dokumentu lietvedības kārtība</w:t>
            </w:r>
            <w:r w:rsidR="006E414D">
              <w:t>”</w:t>
            </w:r>
            <w:r w:rsidRPr="00BF7F81">
              <w:t xml:space="preserve"> (turpmāk – MK noteikumi Nr. 265) 35.2 punktu izteikt šādā redakcijā: “Pēc šo noteikumu 35. punktā minētā medicīnisko ierakstu uzglabāšanas laika tos iznīcina saskaņā ar Arhīvu likumu un normatīvajiem aktiem par dokumentu un arhīvu pārvaldību.” Lūdzam anotācijā norādīt, saskaņā ar kuriem </w:t>
            </w:r>
            <w:r w:rsidRPr="00BF7F81">
              <w:lastRenderedPageBreak/>
              <w:t>normatīviem aktiem plānots iznīcināt šos dokumentus. Spēkā esošajā redakcijā medicīniskos dokumentus iznīcina, sastādot medicīnisko ierakstu iznīcināšanas aktu, kuru pēc tam glabā pastāvīgi, iznīcināšanas aktā iekļaujot informāciju par pacienta identifikāciju, pēdējā ieraksta datumu, iznīcināšanas datumu un ierakstu. Vēršam uzmanību, ka no anotācijas neizriet, kāpēc jāmaina pastāvošais regulējums, lūdzam anotācijā raksturot nepieciešamību pēc jauna regulējuma, norādot arī pašreizējās situācijas raksturojumu un pastāvošā regulējuma trūkumu.</w:t>
            </w:r>
          </w:p>
        </w:tc>
        <w:tc>
          <w:tcPr>
            <w:tcW w:w="3119" w:type="dxa"/>
            <w:gridSpan w:val="2"/>
            <w:tcBorders>
              <w:top w:val="single" w:sz="6" w:space="0" w:color="000000"/>
              <w:left w:val="single" w:sz="6" w:space="0" w:color="000000"/>
              <w:bottom w:val="single" w:sz="6" w:space="0" w:color="000000"/>
              <w:right w:val="single" w:sz="6" w:space="0" w:color="000000"/>
            </w:tcBorders>
          </w:tcPr>
          <w:p w14:paraId="30CE3F69" w14:textId="77777777" w:rsidR="00BF7F81" w:rsidRDefault="00BF7F81" w:rsidP="00BF7F81">
            <w:pPr>
              <w:pStyle w:val="naisc"/>
              <w:spacing w:before="0" w:after="0"/>
              <w:ind w:firstLine="720"/>
              <w:jc w:val="left"/>
              <w:rPr>
                <w:b/>
              </w:rPr>
            </w:pPr>
            <w:r w:rsidRPr="00BF7F81">
              <w:rPr>
                <w:b/>
              </w:rPr>
              <w:lastRenderedPageBreak/>
              <w:t>Ņemts vērā</w:t>
            </w:r>
          </w:p>
          <w:p w14:paraId="458202A1" w14:textId="77777777" w:rsidR="00BF7F81" w:rsidRDefault="00BF7F81" w:rsidP="003B71E0">
            <w:pPr>
              <w:pStyle w:val="naisc"/>
              <w:spacing w:before="0" w:after="0"/>
              <w:ind w:firstLine="720"/>
              <w:rPr>
                <w:b/>
              </w:rPr>
            </w:pPr>
          </w:p>
          <w:p w14:paraId="7DBB5D0C" w14:textId="2F78D908" w:rsidR="00BF7F81" w:rsidRPr="00BF7F81" w:rsidRDefault="00BF7F81" w:rsidP="00BF7F81">
            <w:r w:rsidRPr="00BF7F81">
              <w:t>Precizēta anotācija</w:t>
            </w:r>
          </w:p>
        </w:tc>
        <w:tc>
          <w:tcPr>
            <w:tcW w:w="3544" w:type="dxa"/>
            <w:tcBorders>
              <w:top w:val="single" w:sz="4" w:space="0" w:color="auto"/>
              <w:left w:val="single" w:sz="4" w:space="0" w:color="auto"/>
              <w:bottom w:val="single" w:sz="4" w:space="0" w:color="auto"/>
            </w:tcBorders>
          </w:tcPr>
          <w:p w14:paraId="069B1B13" w14:textId="479BC8DA" w:rsidR="00BF7F81" w:rsidRDefault="00BF7F81" w:rsidP="00BF7F81">
            <w:pPr>
              <w:shd w:val="clear" w:color="auto" w:fill="FFFFFF"/>
              <w:spacing w:after="200"/>
              <w:contextualSpacing/>
              <w:jc w:val="both"/>
              <w:rPr>
                <w:rFonts w:eastAsia="Calibri"/>
                <w:lang w:eastAsia="en-US"/>
              </w:rPr>
            </w:pPr>
            <w:r w:rsidRPr="00BF7F81">
              <w:rPr>
                <w:rFonts w:eastAsia="Calibri"/>
                <w:lang w:eastAsia="en-US"/>
              </w:rPr>
              <w:t>Anotācijas I sadaļas 2.punkts (..)</w:t>
            </w:r>
            <w:r>
              <w:rPr>
                <w:rFonts w:eastAsia="Calibri"/>
                <w:lang w:eastAsia="en-US"/>
              </w:rPr>
              <w:t xml:space="preserve"> </w:t>
            </w:r>
            <w:r w:rsidR="002B37E6" w:rsidRPr="00C317AB">
              <w:rPr>
                <w:rFonts w:eastAsia="Calibri"/>
                <w:u w:val="single"/>
                <w:lang w:eastAsia="en-US"/>
              </w:rPr>
              <w:t xml:space="preserve">Ar </w:t>
            </w:r>
            <w:r w:rsidR="002B753A" w:rsidRPr="00C317AB">
              <w:rPr>
                <w:rFonts w:eastAsia="Calibri"/>
                <w:u w:val="single"/>
                <w:lang w:eastAsia="en-US"/>
              </w:rPr>
              <w:t>2019.gada</w:t>
            </w:r>
            <w:r w:rsidR="001226B2" w:rsidRPr="00C317AB">
              <w:rPr>
                <w:rFonts w:eastAsia="Calibri"/>
                <w:u w:val="single"/>
                <w:lang w:eastAsia="en-US"/>
              </w:rPr>
              <w:t xml:space="preserve"> 2.jūlija grozījumiem MK noteikumos Nr.265 tika ieviesta jauna prasība attiecībā uz medicīniskās dokumentācijas iznīcināšanu, ko iesaistītās institūcijas</w:t>
            </w:r>
            <w:r w:rsidR="00FD4748" w:rsidRPr="00C317AB">
              <w:rPr>
                <w:rFonts w:eastAsia="Calibri"/>
                <w:u w:val="single"/>
                <w:lang w:eastAsia="en-US"/>
              </w:rPr>
              <w:t xml:space="preserve">, tajā skaitā stacionārās ārstniecības iestādes, </w:t>
            </w:r>
            <w:r w:rsidR="001226B2" w:rsidRPr="00C317AB">
              <w:rPr>
                <w:rFonts w:eastAsia="Calibri"/>
                <w:u w:val="single"/>
                <w:lang w:eastAsia="en-US"/>
              </w:rPr>
              <w:t xml:space="preserve">saskaņoja. Taču praktiskajā darbā tika konstatēts, ka pastāv problemātika attiecībā uz iznīcināšanas akta sastādīšanu, ietverot personas datus (vārdu, uzvārdu un personas kodu) attiecībā uz kartotēkas ierakstiem, kas veikti līdz 2009.gadam, piemēram, medicīniskā dokumentācija līdz </w:t>
            </w:r>
            <w:r w:rsidR="001226B2" w:rsidRPr="00C317AB">
              <w:rPr>
                <w:rFonts w:eastAsia="Calibri"/>
                <w:u w:val="single"/>
                <w:lang w:eastAsia="en-US"/>
              </w:rPr>
              <w:lastRenderedPageBreak/>
              <w:t>1990.gadam aizpild</w:t>
            </w:r>
            <w:r w:rsidR="00FD4748" w:rsidRPr="00C317AB">
              <w:rPr>
                <w:rFonts w:eastAsia="Calibri"/>
                <w:u w:val="single"/>
                <w:lang w:eastAsia="en-US"/>
              </w:rPr>
              <w:t>īta</w:t>
            </w:r>
            <w:r w:rsidR="001226B2" w:rsidRPr="00C317AB">
              <w:rPr>
                <w:rFonts w:eastAsia="Calibri"/>
                <w:u w:val="single"/>
                <w:lang w:eastAsia="en-US"/>
              </w:rPr>
              <w:t xml:space="preserve"> krievu valodā, ar roku, nereti nesalasāmiem burtiem, un neietverot personas kodu, bet piemēram, tikai vārdu un tēva vārdu. </w:t>
            </w:r>
            <w:r w:rsidR="00FD4748" w:rsidRPr="00C317AB">
              <w:rPr>
                <w:rFonts w:eastAsia="Calibri"/>
                <w:u w:val="single"/>
                <w:lang w:eastAsia="en-US"/>
              </w:rPr>
              <w:t>Saskaņā ar stacionāro ārstniecības iestāžu sniegto informāciju, medicīniskā dokumentācija tajās arī līdz šim tikusi iznīcināta atbilstoši Arhīvu likumā un  normatīvajiem aktiem par dokumentu un arhīvu pārvaldību noteiktajam.</w:t>
            </w:r>
            <w:r w:rsidR="001226B2" w:rsidRPr="00C317AB">
              <w:rPr>
                <w:rFonts w:eastAsia="Calibri"/>
                <w:lang w:eastAsia="en-US"/>
              </w:rPr>
              <w:t xml:space="preserve"> </w:t>
            </w:r>
            <w:r w:rsidRPr="00BF7F81">
              <w:rPr>
                <w:rFonts w:eastAsia="Calibri"/>
                <w:lang w:eastAsia="en-US"/>
              </w:rPr>
              <w:t>Ņemot vērā ārstniecības iestāžu priekšlikumus un praktisko darbu attiecībā uz medicīnisko ierakstu iznīcināšanu, kā arī problemātiku attiecībā uz medicīniskās dokumentācijas kartotēkas ierakstiem, kas veikti līdz 2009.gadam, grozījumi MK noteikumos Nr.265 (turpmāk –noteikumu projekts) paredz izteikt noteikumu 35.</w:t>
            </w:r>
            <w:r w:rsidRPr="00BF7F81">
              <w:rPr>
                <w:rFonts w:eastAsia="Calibri"/>
                <w:vertAlign w:val="superscript"/>
                <w:lang w:eastAsia="en-US"/>
              </w:rPr>
              <w:t>2</w:t>
            </w:r>
            <w:r w:rsidRPr="00BF7F81">
              <w:rPr>
                <w:rFonts w:eastAsia="Calibri"/>
                <w:lang w:eastAsia="en-US"/>
              </w:rPr>
              <w:t xml:space="preserve"> punktu precizētā redakcijā, nosakot, ka pēc MK noteikumos Nr.265 noteiktā medicīnisko ierakstu uzglabāšanas laika tos iznīcina saskaņā ar Arhīvu likumu un normatīvo aktu regulējumu par dokumentu un arhīvu pārvaldību, tādējādi </w:t>
            </w:r>
            <w:r w:rsidR="002B753A">
              <w:rPr>
                <w:rFonts w:eastAsia="Calibri"/>
                <w:lang w:eastAsia="en-US"/>
              </w:rPr>
              <w:t>paredzot vispārēju (vienādu ar citiem dokumentiem) dokumentu iznīcināšanas kārtību</w:t>
            </w:r>
            <w:r w:rsidRPr="00FD4748">
              <w:rPr>
                <w:rFonts w:eastAsia="Calibri"/>
                <w:color w:val="FF0000"/>
                <w:lang w:eastAsia="en-US"/>
              </w:rPr>
              <w:t>.</w:t>
            </w:r>
            <w:r>
              <w:rPr>
                <w:rFonts w:eastAsia="Calibri"/>
                <w:lang w:eastAsia="en-US"/>
              </w:rPr>
              <w:t xml:space="preserve"> </w:t>
            </w:r>
            <w:r w:rsidRPr="00BF7F81">
              <w:rPr>
                <w:rFonts w:eastAsia="Calibri"/>
                <w:u w:val="single"/>
                <w:lang w:eastAsia="en-US"/>
              </w:rPr>
              <w:t xml:space="preserve">Šobrīd </w:t>
            </w:r>
            <w:r w:rsidRPr="00BF7F81">
              <w:rPr>
                <w:rFonts w:eastAsia="Calibri"/>
                <w:u w:val="single"/>
                <w:lang w:eastAsia="en-US"/>
              </w:rPr>
              <w:lastRenderedPageBreak/>
              <w:t>dokumentu iznīcināšanas kārtību nosaka Ministru kabineta 2012.gada 6.novembra noteikumu Nr.748 “Dokumentu un arhīvu pārvaldības noteikumi” piektā nodaļa</w:t>
            </w:r>
            <w:r>
              <w:rPr>
                <w:rFonts w:eastAsia="Calibri"/>
                <w:u w:val="single"/>
                <w:lang w:eastAsia="en-US"/>
              </w:rPr>
              <w:t>, kas ar grozījumu pieņemšanu attieksies arī uz medicīnisko dokumentu iznīcināšanas kārtību.</w:t>
            </w:r>
          </w:p>
          <w:p w14:paraId="61B12071" w14:textId="6B71C4E3" w:rsidR="00BF7F81" w:rsidRDefault="00BF7F81" w:rsidP="00BF7F81">
            <w:pPr>
              <w:shd w:val="clear" w:color="auto" w:fill="FFFFFF"/>
              <w:spacing w:after="200"/>
              <w:contextualSpacing/>
              <w:jc w:val="both"/>
              <w:rPr>
                <w:rFonts w:eastAsia="Calibri"/>
                <w:lang w:eastAsia="en-US"/>
              </w:rPr>
            </w:pPr>
            <w:r w:rsidRPr="00BF7F81">
              <w:rPr>
                <w:rFonts w:eastAsia="Calibri"/>
                <w:lang w:eastAsia="en-US"/>
              </w:rPr>
              <w:t xml:space="preserve"> (</w:t>
            </w:r>
            <w:r w:rsidRPr="00BF7F81">
              <w:rPr>
                <w:rFonts w:eastAsia="Calibri"/>
                <w:i/>
                <w:lang w:eastAsia="en-US"/>
              </w:rPr>
              <w:t>Noteikumu projekta</w:t>
            </w:r>
            <w:r w:rsidRPr="00BF7F81">
              <w:rPr>
                <w:rFonts w:eastAsia="Calibri"/>
                <w:lang w:eastAsia="en-US"/>
              </w:rPr>
              <w:t xml:space="preserve"> </w:t>
            </w:r>
            <w:r w:rsidRPr="00BF7F81">
              <w:rPr>
                <w:rFonts w:eastAsia="Calibri"/>
                <w:i/>
                <w:lang w:eastAsia="en-US"/>
              </w:rPr>
              <w:t>1.1.apakšpunkts)</w:t>
            </w:r>
            <w:r>
              <w:rPr>
                <w:rFonts w:eastAsia="Calibri"/>
                <w:i/>
                <w:lang w:eastAsia="en-US"/>
              </w:rPr>
              <w:t xml:space="preserve"> </w:t>
            </w:r>
            <w:r w:rsidRPr="00BF7F81">
              <w:rPr>
                <w:rFonts w:eastAsia="Calibri"/>
                <w:lang w:eastAsia="en-US"/>
              </w:rPr>
              <w:t>(..)</w:t>
            </w:r>
          </w:p>
          <w:p w14:paraId="17ED92F1" w14:textId="4605A5A9" w:rsidR="00BF7F81" w:rsidRPr="00BF7F81" w:rsidRDefault="00BF7F81" w:rsidP="00BF7F81">
            <w:pPr>
              <w:shd w:val="clear" w:color="auto" w:fill="FFFFFF"/>
              <w:spacing w:after="200"/>
              <w:contextualSpacing/>
              <w:jc w:val="both"/>
              <w:rPr>
                <w:rFonts w:eastAsia="Calibri"/>
                <w:lang w:eastAsia="en-US"/>
              </w:rPr>
            </w:pPr>
          </w:p>
        </w:tc>
      </w:tr>
      <w:tr w:rsidR="00BF7F81" w:rsidRPr="00F276CA" w14:paraId="6E7F532C" w14:textId="77777777" w:rsidTr="006E414D">
        <w:tc>
          <w:tcPr>
            <w:tcW w:w="534" w:type="dxa"/>
            <w:tcBorders>
              <w:top w:val="single" w:sz="6" w:space="0" w:color="000000"/>
              <w:left w:val="single" w:sz="6" w:space="0" w:color="000000"/>
              <w:bottom w:val="single" w:sz="6" w:space="0" w:color="000000"/>
              <w:right w:val="single" w:sz="6" w:space="0" w:color="000000"/>
            </w:tcBorders>
          </w:tcPr>
          <w:p w14:paraId="7B953589" w14:textId="31EA7DD1" w:rsidR="00BF7F81" w:rsidRDefault="00692575" w:rsidP="003B71E0">
            <w:pPr>
              <w:pStyle w:val="naisc"/>
              <w:spacing w:before="0" w:after="0"/>
              <w:rPr>
                <w:sz w:val="20"/>
                <w:szCs w:val="20"/>
              </w:rPr>
            </w:pPr>
            <w:r>
              <w:rPr>
                <w:sz w:val="20"/>
                <w:szCs w:val="20"/>
              </w:rPr>
              <w:lastRenderedPageBreak/>
              <w:t>2.</w:t>
            </w:r>
          </w:p>
        </w:tc>
        <w:tc>
          <w:tcPr>
            <w:tcW w:w="3402" w:type="dxa"/>
            <w:gridSpan w:val="2"/>
            <w:tcBorders>
              <w:top w:val="single" w:sz="6" w:space="0" w:color="000000"/>
              <w:left w:val="single" w:sz="6" w:space="0" w:color="000000"/>
              <w:bottom w:val="single" w:sz="6" w:space="0" w:color="000000"/>
              <w:right w:val="single" w:sz="6" w:space="0" w:color="000000"/>
            </w:tcBorders>
          </w:tcPr>
          <w:p w14:paraId="2633B890" w14:textId="77777777" w:rsidR="00BF7F81" w:rsidRPr="00F276CA" w:rsidRDefault="00BF7F81" w:rsidP="003B71E0">
            <w:pPr>
              <w:pStyle w:val="naisc"/>
              <w:spacing w:before="0" w:after="0"/>
              <w:ind w:firstLine="720"/>
            </w:pPr>
          </w:p>
        </w:tc>
        <w:tc>
          <w:tcPr>
            <w:tcW w:w="3543" w:type="dxa"/>
            <w:tcBorders>
              <w:top w:val="single" w:sz="6" w:space="0" w:color="000000"/>
              <w:left w:val="single" w:sz="6" w:space="0" w:color="000000"/>
              <w:bottom w:val="single" w:sz="6" w:space="0" w:color="000000"/>
              <w:right w:val="single" w:sz="6" w:space="0" w:color="000000"/>
            </w:tcBorders>
          </w:tcPr>
          <w:p w14:paraId="3D764477" w14:textId="41929B73" w:rsidR="00BF7F81" w:rsidRPr="00BF7F81" w:rsidRDefault="00BF7F81" w:rsidP="00BF7F81">
            <w:pPr>
              <w:pStyle w:val="naisc"/>
              <w:spacing w:before="0" w:after="0"/>
              <w:ind w:firstLine="720"/>
              <w:jc w:val="both"/>
              <w:rPr>
                <w:b/>
              </w:rPr>
            </w:pPr>
            <w:r w:rsidRPr="00BF7F81">
              <w:rPr>
                <w:b/>
              </w:rPr>
              <w:t>Tieslietu ministrija</w:t>
            </w:r>
          </w:p>
          <w:p w14:paraId="293C4674" w14:textId="22C367EA" w:rsidR="00BF7F81" w:rsidRPr="00BF7F81" w:rsidRDefault="00BF7F81" w:rsidP="00BF7F81">
            <w:pPr>
              <w:pStyle w:val="naisc"/>
              <w:spacing w:before="0" w:after="0"/>
              <w:ind w:firstLine="720"/>
              <w:jc w:val="both"/>
            </w:pPr>
            <w:r w:rsidRPr="00BF7F81">
              <w:t>2.</w:t>
            </w:r>
            <w:r w:rsidRPr="00BF7F81">
              <w:tab/>
              <w:t xml:space="preserve">Vēršam uzmanību, ka, ja normatīvie akti par dokumentu un arhīvu pārvaldību ietver Ministru kabineta 2012. gada 6. novembra noteikumus Nr. 748 “Dokumentu un arhīvu pārvaldības noteikumi” (turpmāk – MK noteikumi Nr. 748), kas izdoti saskaņā ar Arhīvu likumu, paredzot dokumentu iznīcināšanu šādā kārtībā, būtu jāuzsver, ka šo noteikumu 110. punkts paredz, ka dokumentu iznīcināšanas aktu sagatavo un nosūta Latvijas Nacionālajam arhīvam, un šādā gadījumā jāvērtē, vai netiks radīts slogs Latvijas nacionālajam arhīvam, kuram būs jāveic konkrēto dokumentu saskaņošana. Paredzot dokumentu iznīcināšanu saskaņā ar MK noteikumiem Nr. </w:t>
            </w:r>
            <w:r w:rsidRPr="00BF7F81">
              <w:lastRenderedPageBreak/>
              <w:t>748 lūdzam saskaņot projektu ar Kultūras ministriju.</w:t>
            </w:r>
          </w:p>
        </w:tc>
        <w:tc>
          <w:tcPr>
            <w:tcW w:w="3119" w:type="dxa"/>
            <w:gridSpan w:val="2"/>
            <w:tcBorders>
              <w:top w:val="single" w:sz="6" w:space="0" w:color="000000"/>
              <w:left w:val="single" w:sz="6" w:space="0" w:color="000000"/>
              <w:bottom w:val="single" w:sz="6" w:space="0" w:color="000000"/>
              <w:right w:val="single" w:sz="6" w:space="0" w:color="000000"/>
            </w:tcBorders>
          </w:tcPr>
          <w:p w14:paraId="08679754" w14:textId="52958C52" w:rsidR="00BF7F81" w:rsidRPr="00BF7F81" w:rsidRDefault="00BF7F81" w:rsidP="00BF7F81">
            <w:pPr>
              <w:pStyle w:val="naisc"/>
              <w:spacing w:before="0" w:after="0"/>
              <w:ind w:firstLine="720"/>
              <w:jc w:val="left"/>
              <w:rPr>
                <w:b/>
              </w:rPr>
            </w:pPr>
            <w:r w:rsidRPr="00BF7F81">
              <w:rPr>
                <w:b/>
              </w:rPr>
              <w:lastRenderedPageBreak/>
              <w:t>Ņemts vērā</w:t>
            </w:r>
          </w:p>
        </w:tc>
        <w:tc>
          <w:tcPr>
            <w:tcW w:w="3544" w:type="dxa"/>
            <w:tcBorders>
              <w:top w:val="single" w:sz="4" w:space="0" w:color="auto"/>
              <w:left w:val="single" w:sz="4" w:space="0" w:color="auto"/>
              <w:bottom w:val="single" w:sz="4" w:space="0" w:color="auto"/>
            </w:tcBorders>
          </w:tcPr>
          <w:p w14:paraId="5D31AC2D" w14:textId="77777777" w:rsidR="00BF7F81" w:rsidRDefault="00BF7F81" w:rsidP="00BF7F81">
            <w:pPr>
              <w:jc w:val="both"/>
            </w:pPr>
            <w:r>
              <w:t>Nosūtīts saskaņošanai arī Kultūras ministrijai</w:t>
            </w:r>
            <w:r w:rsidR="00FF56EA">
              <w:t>.</w:t>
            </w:r>
          </w:p>
          <w:p w14:paraId="09789C2D" w14:textId="77777777" w:rsidR="00FF56EA" w:rsidRDefault="00FF56EA" w:rsidP="00BF7F81">
            <w:pPr>
              <w:jc w:val="both"/>
            </w:pPr>
          </w:p>
          <w:p w14:paraId="09251410" w14:textId="3E239090" w:rsidR="00FF56EA" w:rsidRPr="00F276CA" w:rsidRDefault="00FF56EA" w:rsidP="00BF7F81">
            <w:pPr>
              <w:jc w:val="both"/>
            </w:pPr>
            <w:r>
              <w:t xml:space="preserve">Normas izstrādē attiecībā uz dokumentu iznīcināšanu bija iesaistīts Latvijas Nacionālais arhīvs, kas minēto potenciālo sloga risku nesaskatīja. </w:t>
            </w:r>
          </w:p>
        </w:tc>
      </w:tr>
      <w:tr w:rsidR="00D733E2" w:rsidRPr="00F276CA" w14:paraId="41DD1ED1" w14:textId="77777777" w:rsidTr="006E414D">
        <w:tc>
          <w:tcPr>
            <w:tcW w:w="534" w:type="dxa"/>
            <w:tcBorders>
              <w:top w:val="single" w:sz="6" w:space="0" w:color="000000"/>
              <w:left w:val="single" w:sz="6" w:space="0" w:color="000000"/>
              <w:bottom w:val="single" w:sz="6" w:space="0" w:color="000000"/>
              <w:right w:val="single" w:sz="6" w:space="0" w:color="000000"/>
            </w:tcBorders>
          </w:tcPr>
          <w:p w14:paraId="7E66E8FA" w14:textId="52929130" w:rsidR="00D733E2" w:rsidRPr="00F276CA" w:rsidRDefault="00692575" w:rsidP="00D733E2">
            <w:pPr>
              <w:pStyle w:val="naisc"/>
              <w:spacing w:before="0" w:after="0"/>
              <w:rPr>
                <w:sz w:val="20"/>
                <w:szCs w:val="20"/>
              </w:rPr>
            </w:pPr>
            <w:r>
              <w:rPr>
                <w:sz w:val="20"/>
                <w:szCs w:val="20"/>
              </w:rPr>
              <w:t>3.</w:t>
            </w:r>
          </w:p>
        </w:tc>
        <w:tc>
          <w:tcPr>
            <w:tcW w:w="3402" w:type="dxa"/>
            <w:gridSpan w:val="2"/>
            <w:tcBorders>
              <w:top w:val="single" w:sz="6" w:space="0" w:color="000000"/>
              <w:left w:val="single" w:sz="6" w:space="0" w:color="000000"/>
              <w:bottom w:val="single" w:sz="6" w:space="0" w:color="000000"/>
              <w:right w:val="single" w:sz="6" w:space="0" w:color="000000"/>
            </w:tcBorders>
          </w:tcPr>
          <w:p w14:paraId="0566103C" w14:textId="0FDF12B5" w:rsidR="00D733E2" w:rsidRPr="00F276CA" w:rsidRDefault="00B07519" w:rsidP="00D733E2">
            <w:pPr>
              <w:jc w:val="both"/>
            </w:pPr>
            <w:r w:rsidRPr="00B07519">
              <w:t>1.6. Svītrot 51.pielikuma nosaukumā vārdu “internātskolai”</w:t>
            </w:r>
          </w:p>
        </w:tc>
        <w:tc>
          <w:tcPr>
            <w:tcW w:w="3543" w:type="dxa"/>
            <w:tcBorders>
              <w:top w:val="single" w:sz="6" w:space="0" w:color="000000"/>
              <w:left w:val="single" w:sz="6" w:space="0" w:color="000000"/>
              <w:bottom w:val="single" w:sz="6" w:space="0" w:color="000000"/>
              <w:right w:val="single" w:sz="6" w:space="0" w:color="000000"/>
            </w:tcBorders>
          </w:tcPr>
          <w:p w14:paraId="49982467" w14:textId="1CED3325" w:rsidR="00D733E2" w:rsidRDefault="00B07519" w:rsidP="00D733E2">
            <w:pPr>
              <w:pStyle w:val="naisc"/>
              <w:spacing w:before="0" w:after="0"/>
              <w:jc w:val="both"/>
              <w:rPr>
                <w:b/>
              </w:rPr>
            </w:pPr>
            <w:r w:rsidRPr="00B07519">
              <w:rPr>
                <w:b/>
              </w:rPr>
              <w:t>Izglītības un zinātnes ministrija</w:t>
            </w:r>
            <w:r>
              <w:rPr>
                <w:b/>
              </w:rPr>
              <w:t>:</w:t>
            </w:r>
          </w:p>
          <w:p w14:paraId="52CFCD42" w14:textId="77777777" w:rsidR="00B07519" w:rsidRPr="00D733E2" w:rsidRDefault="00B07519" w:rsidP="00D733E2">
            <w:pPr>
              <w:pStyle w:val="naisc"/>
              <w:spacing w:before="0" w:after="0"/>
              <w:jc w:val="both"/>
              <w:rPr>
                <w:b/>
              </w:rPr>
            </w:pPr>
          </w:p>
          <w:p w14:paraId="10111A25" w14:textId="77777777" w:rsidR="00B07519" w:rsidRPr="00B876B9" w:rsidRDefault="00B07519" w:rsidP="00B07519">
            <w:pPr>
              <w:ind w:firstLine="567"/>
              <w:jc w:val="both"/>
            </w:pPr>
            <w:r w:rsidRPr="00B876B9">
              <w:t xml:space="preserve">1) lūdzam svītrot </w:t>
            </w:r>
            <w:r>
              <w:t>Ministru kabineta 2006. gada 4. aprīļa noteikumu Nr. 265 “Medicīnisko dokumentu lietvedības kārtība”</w:t>
            </w:r>
            <w:r w:rsidRPr="00B876B9">
              <w:t xml:space="preserve"> </w:t>
            </w:r>
            <w:r>
              <w:t xml:space="preserve">(turpmāk – noteikumi Nr. 265) </w:t>
            </w:r>
            <w:r w:rsidRPr="00B876B9">
              <w:t xml:space="preserve">51. pielikuma nosaukumā arī vārdus “pirmsskolas izglītības iestādei”. Izglītības likuma 1. panta 7. punkts nosaka, ka izglītības iestāde ir valsts, pašvaldību, valsts augstskolu vai citu juridisko vai fizisko personu dibināta iestāde, kuras uzdevums ir izglītības programmu īstenošana, vai komercsabiedrība, kuram izglītības programmu īstenošana ir viens no darbības veidiem. Ņemot vērā minēto, arī pirmsskolas izglītības iestāde ir izglītības iestāde, tādējādi minētā 51. pielikuma nosaukumā to nav nepieciešams atsevišķi norādīt. Lūdzam atbilstoši minētajam precizēt arī noteikumu projekta sākotnējās ietekmes novērtējuma ziņojumu (anotāciju);  </w:t>
            </w:r>
          </w:p>
          <w:p w14:paraId="039B64BE" w14:textId="1833A7FD" w:rsidR="00D733E2" w:rsidRPr="00F276CA" w:rsidRDefault="00D733E2" w:rsidP="00D733E2">
            <w:pPr>
              <w:pStyle w:val="naisc"/>
              <w:spacing w:before="0" w:after="0"/>
              <w:jc w:val="both"/>
            </w:pPr>
          </w:p>
        </w:tc>
        <w:tc>
          <w:tcPr>
            <w:tcW w:w="3119" w:type="dxa"/>
            <w:gridSpan w:val="2"/>
            <w:tcBorders>
              <w:top w:val="single" w:sz="6" w:space="0" w:color="000000"/>
              <w:left w:val="single" w:sz="6" w:space="0" w:color="000000"/>
              <w:bottom w:val="single" w:sz="6" w:space="0" w:color="000000"/>
              <w:right w:val="single" w:sz="6" w:space="0" w:color="000000"/>
            </w:tcBorders>
          </w:tcPr>
          <w:p w14:paraId="679C4354" w14:textId="1D9D7B73" w:rsidR="00D733E2" w:rsidRDefault="00D733E2" w:rsidP="00D9032F">
            <w:pPr>
              <w:pStyle w:val="naisc"/>
              <w:spacing w:before="0" w:after="0"/>
              <w:rPr>
                <w:b/>
              </w:rPr>
            </w:pPr>
            <w:r w:rsidRPr="00D733E2">
              <w:rPr>
                <w:b/>
              </w:rPr>
              <w:t>Ņemts vērā</w:t>
            </w:r>
          </w:p>
          <w:p w14:paraId="732D4588" w14:textId="086383F8" w:rsidR="00D733E2" w:rsidRPr="00D9032F" w:rsidRDefault="00D9032F" w:rsidP="00D733E2">
            <w:pPr>
              <w:pStyle w:val="naisc"/>
              <w:spacing w:before="0" w:after="0"/>
              <w:jc w:val="both"/>
            </w:pPr>
            <w:r w:rsidRPr="00D9032F">
              <w:t>Precizēta tiesību norma un anotācija</w:t>
            </w:r>
          </w:p>
          <w:p w14:paraId="2BA1F892" w14:textId="364826EB" w:rsidR="00D733E2" w:rsidRPr="00D733E2" w:rsidRDefault="00D733E2" w:rsidP="00D733E2">
            <w:pPr>
              <w:pStyle w:val="naisc"/>
              <w:spacing w:before="0" w:after="0"/>
              <w:jc w:val="both"/>
            </w:pPr>
          </w:p>
        </w:tc>
        <w:tc>
          <w:tcPr>
            <w:tcW w:w="3544" w:type="dxa"/>
            <w:tcBorders>
              <w:top w:val="single" w:sz="4" w:space="0" w:color="auto"/>
              <w:left w:val="single" w:sz="4" w:space="0" w:color="auto"/>
              <w:bottom w:val="single" w:sz="4" w:space="0" w:color="auto"/>
            </w:tcBorders>
          </w:tcPr>
          <w:p w14:paraId="008F7D27" w14:textId="77777777" w:rsidR="00D733E2" w:rsidRDefault="00B07519" w:rsidP="0061113D">
            <w:pPr>
              <w:jc w:val="both"/>
            </w:pPr>
            <w:r w:rsidRPr="00B07519">
              <w:t>1.6. Svītrot 51.pielikuma nosaukumā vārdus “pirmsskolas izglītības iestādei” un vārdu “internātskolai”</w:t>
            </w:r>
          </w:p>
          <w:p w14:paraId="1E4DDF3E" w14:textId="77777777" w:rsidR="00D9032F" w:rsidRDefault="00D9032F" w:rsidP="0061113D">
            <w:pPr>
              <w:jc w:val="both"/>
            </w:pPr>
          </w:p>
          <w:p w14:paraId="1A40C548" w14:textId="14E11EDB" w:rsidR="00D9032F" w:rsidRPr="00F276CA" w:rsidRDefault="00D9032F" w:rsidP="0061113D">
            <w:pPr>
              <w:jc w:val="both"/>
            </w:pPr>
            <w:r>
              <w:t xml:space="preserve">Anotācijas I sadaļas 2.punkts (..) </w:t>
            </w:r>
            <w:r w:rsidRPr="00C317AB">
              <w:rPr>
                <w:u w:val="single"/>
              </w:rPr>
              <w:t>Vienlaikus saskaņā ar Izglītības un zinātnes ministrijas ierosinājumu svītroti pielikuma nosaukumā vārdi “pirmsskolas izglītības iestādei”. Izglītības likuma 1.panta 7. punkts nosaka, ka izglītības iestāde ir valsts, pašvaldību, valsts augstskolu vai citu juridisko vai fizisko personu dibināta iestāde, kuras uzdevums ir izglītības programmu īstenošana, vai komercsabiedrība, kuram izglītības programmu īstenošana ir viens no darbības veidiem. Ņemot vērā minēto, arī pirmsskolas izglītības iestāde ir izglītības iestāde, tādējādi minētā 51. pielikuma nosaukumā to nav nepieciešams atsevišķi norādīt.</w:t>
            </w:r>
          </w:p>
        </w:tc>
      </w:tr>
      <w:tr w:rsidR="00B07519" w:rsidRPr="00F276CA" w14:paraId="48D07B84" w14:textId="77777777" w:rsidTr="006E414D">
        <w:tc>
          <w:tcPr>
            <w:tcW w:w="534" w:type="dxa"/>
            <w:tcBorders>
              <w:top w:val="single" w:sz="6" w:space="0" w:color="000000"/>
              <w:left w:val="single" w:sz="6" w:space="0" w:color="000000"/>
              <w:bottom w:val="single" w:sz="6" w:space="0" w:color="000000"/>
              <w:right w:val="single" w:sz="6" w:space="0" w:color="000000"/>
            </w:tcBorders>
          </w:tcPr>
          <w:p w14:paraId="1A5FD7B0" w14:textId="239B338C" w:rsidR="00B07519" w:rsidRPr="00F276CA" w:rsidRDefault="00692575" w:rsidP="00D733E2">
            <w:pPr>
              <w:pStyle w:val="naisc"/>
              <w:spacing w:before="0" w:after="0"/>
              <w:rPr>
                <w:sz w:val="20"/>
                <w:szCs w:val="20"/>
              </w:rPr>
            </w:pPr>
            <w:r>
              <w:rPr>
                <w:sz w:val="20"/>
                <w:szCs w:val="20"/>
              </w:rPr>
              <w:t>4.</w:t>
            </w:r>
          </w:p>
        </w:tc>
        <w:tc>
          <w:tcPr>
            <w:tcW w:w="3402" w:type="dxa"/>
            <w:gridSpan w:val="2"/>
            <w:tcBorders>
              <w:top w:val="single" w:sz="6" w:space="0" w:color="000000"/>
              <w:left w:val="single" w:sz="6" w:space="0" w:color="000000"/>
              <w:bottom w:val="single" w:sz="6" w:space="0" w:color="000000"/>
              <w:right w:val="single" w:sz="6" w:space="0" w:color="000000"/>
            </w:tcBorders>
          </w:tcPr>
          <w:p w14:paraId="774229C7" w14:textId="77777777" w:rsidR="00B07519" w:rsidRDefault="00B07519" w:rsidP="0030674B">
            <w:pPr>
              <w:jc w:val="both"/>
            </w:pPr>
            <w:r>
              <w:t>1.7. Izteikt 51.pielikuma 2.piezīmi šādā redakcijā:</w:t>
            </w:r>
          </w:p>
          <w:p w14:paraId="4049BCF7" w14:textId="6AD9EAC3" w:rsidR="00B07519" w:rsidRDefault="00B07519" w:rsidP="0030674B">
            <w:pPr>
              <w:jc w:val="both"/>
            </w:pPr>
            <w:r>
              <w:lastRenderedPageBreak/>
              <w:t>“</w:t>
            </w:r>
            <w:r w:rsidRPr="008F037E">
              <w:rPr>
                <w:vertAlign w:val="superscript"/>
              </w:rPr>
              <w:t xml:space="preserve">2 </w:t>
            </w:r>
            <w:r>
              <w:t>Aizpilda tikai iesniegšanai bērnu aprūpes iestādē un izglītības iestādē, ja izglītojamais saņem internāta pakalpojumus.”</w:t>
            </w:r>
          </w:p>
          <w:p w14:paraId="69E22964" w14:textId="77777777" w:rsidR="00B07519" w:rsidRDefault="00B07519" w:rsidP="00D733E2">
            <w:pPr>
              <w:jc w:val="both"/>
            </w:pPr>
          </w:p>
        </w:tc>
        <w:tc>
          <w:tcPr>
            <w:tcW w:w="3543" w:type="dxa"/>
            <w:tcBorders>
              <w:top w:val="single" w:sz="6" w:space="0" w:color="000000"/>
              <w:left w:val="single" w:sz="6" w:space="0" w:color="000000"/>
              <w:bottom w:val="single" w:sz="6" w:space="0" w:color="000000"/>
              <w:right w:val="single" w:sz="6" w:space="0" w:color="000000"/>
            </w:tcBorders>
          </w:tcPr>
          <w:p w14:paraId="5604A036" w14:textId="2304DDFB" w:rsidR="0030674B" w:rsidRPr="0030674B" w:rsidRDefault="0030674B" w:rsidP="00B07519">
            <w:pPr>
              <w:ind w:firstLine="567"/>
              <w:jc w:val="both"/>
              <w:rPr>
                <w:b/>
              </w:rPr>
            </w:pPr>
            <w:r w:rsidRPr="0030674B">
              <w:rPr>
                <w:b/>
              </w:rPr>
              <w:lastRenderedPageBreak/>
              <w:t>Izglītības un zinātnes ministrija:</w:t>
            </w:r>
          </w:p>
          <w:p w14:paraId="39428F3B" w14:textId="39859DD4" w:rsidR="00B07519" w:rsidRPr="00B876B9" w:rsidRDefault="00B07519" w:rsidP="00B07519">
            <w:pPr>
              <w:ind w:firstLine="567"/>
              <w:jc w:val="both"/>
            </w:pPr>
            <w:r w:rsidRPr="00B876B9">
              <w:lastRenderedPageBreak/>
              <w:t xml:space="preserve">2) lūdzam izteikt </w:t>
            </w:r>
            <w:r>
              <w:t>noteikumu Nr. 265</w:t>
            </w:r>
            <w:r w:rsidRPr="00B876B9">
              <w:t xml:space="preserve"> 51. pielikuma 2. piezīmi šādā redakcijā: “</w:t>
            </w:r>
            <w:r w:rsidRPr="00B876B9">
              <w:rPr>
                <w:vertAlign w:val="superscript"/>
              </w:rPr>
              <w:t>2 </w:t>
            </w:r>
            <w:r w:rsidRPr="00B876B9">
              <w:t>Aizpilda tikai iesniegšanai bērnu aprūpes iestādē un izglītības iestādē, kas nodrošina internāta pakalpojumus, ja izglītojamais tajā saņem internāta pakalpojumus.”.</w:t>
            </w:r>
          </w:p>
          <w:p w14:paraId="245AD2D9" w14:textId="77777777" w:rsidR="00B07519" w:rsidRPr="00B07519" w:rsidRDefault="00B07519" w:rsidP="00D733E2">
            <w:pPr>
              <w:pStyle w:val="naisc"/>
              <w:spacing w:before="0" w:after="0"/>
              <w:jc w:val="both"/>
              <w:rPr>
                <w:b/>
              </w:rPr>
            </w:pPr>
          </w:p>
        </w:tc>
        <w:tc>
          <w:tcPr>
            <w:tcW w:w="3119" w:type="dxa"/>
            <w:gridSpan w:val="2"/>
            <w:tcBorders>
              <w:top w:val="single" w:sz="6" w:space="0" w:color="000000"/>
              <w:left w:val="single" w:sz="6" w:space="0" w:color="000000"/>
              <w:bottom w:val="single" w:sz="6" w:space="0" w:color="000000"/>
              <w:right w:val="single" w:sz="6" w:space="0" w:color="000000"/>
            </w:tcBorders>
          </w:tcPr>
          <w:p w14:paraId="4E831692" w14:textId="77777777" w:rsidR="00B07519" w:rsidRDefault="0030674B" w:rsidP="00D9032F">
            <w:pPr>
              <w:pStyle w:val="naisc"/>
              <w:spacing w:before="0" w:after="0"/>
              <w:rPr>
                <w:b/>
              </w:rPr>
            </w:pPr>
            <w:r>
              <w:rPr>
                <w:b/>
              </w:rPr>
              <w:lastRenderedPageBreak/>
              <w:t>Ņemts vērā</w:t>
            </w:r>
          </w:p>
          <w:p w14:paraId="4B57896D" w14:textId="597E2649" w:rsidR="00D9032F" w:rsidRPr="00D9032F" w:rsidRDefault="00D9032F" w:rsidP="00D9032F">
            <w:pPr>
              <w:pStyle w:val="naisc"/>
              <w:spacing w:before="0" w:after="0"/>
            </w:pPr>
            <w:r w:rsidRPr="00D9032F">
              <w:t>Precizēta tiesību norma</w:t>
            </w:r>
          </w:p>
        </w:tc>
        <w:tc>
          <w:tcPr>
            <w:tcW w:w="3544" w:type="dxa"/>
            <w:tcBorders>
              <w:top w:val="single" w:sz="4" w:space="0" w:color="auto"/>
              <w:left w:val="single" w:sz="4" w:space="0" w:color="auto"/>
              <w:bottom w:val="single" w:sz="4" w:space="0" w:color="auto"/>
            </w:tcBorders>
          </w:tcPr>
          <w:p w14:paraId="39AAB97A" w14:textId="77777777" w:rsidR="00B07519" w:rsidRDefault="00B07519" w:rsidP="00B07519">
            <w:pPr>
              <w:jc w:val="both"/>
            </w:pPr>
            <w:r>
              <w:t>1.7. Izteikt 51.pielikuma 2.piezīmi šādā redakcijā:</w:t>
            </w:r>
          </w:p>
          <w:p w14:paraId="783FF615" w14:textId="659A3FEE" w:rsidR="00B07519" w:rsidRPr="00F276CA" w:rsidRDefault="00B07519" w:rsidP="00B07519">
            <w:pPr>
              <w:jc w:val="both"/>
            </w:pPr>
            <w:r>
              <w:lastRenderedPageBreak/>
              <w:t>“2 Aizpilda tikai iesniegšanai bērnu aprūpes iestādē un izglītības iestādē, kas nodrošina internāta pakalpojumus, ja izglītojamais tajā saņem internāta pakalpojumus.”</w:t>
            </w:r>
          </w:p>
        </w:tc>
      </w:tr>
      <w:tr w:rsidR="006E414D" w:rsidRPr="00F276CA" w14:paraId="09A29E08" w14:textId="77777777" w:rsidTr="006E414D">
        <w:tc>
          <w:tcPr>
            <w:tcW w:w="534" w:type="dxa"/>
            <w:tcBorders>
              <w:top w:val="single" w:sz="6" w:space="0" w:color="000000"/>
              <w:left w:val="single" w:sz="6" w:space="0" w:color="000000"/>
              <w:bottom w:val="single" w:sz="6" w:space="0" w:color="000000"/>
              <w:right w:val="single" w:sz="6" w:space="0" w:color="000000"/>
            </w:tcBorders>
          </w:tcPr>
          <w:p w14:paraId="7EA0744A" w14:textId="54A0A9EE" w:rsidR="006E414D" w:rsidRDefault="006E414D" w:rsidP="00D733E2">
            <w:pPr>
              <w:pStyle w:val="naisc"/>
              <w:spacing w:before="0" w:after="0"/>
              <w:rPr>
                <w:sz w:val="20"/>
                <w:szCs w:val="20"/>
              </w:rPr>
            </w:pPr>
            <w:r>
              <w:rPr>
                <w:sz w:val="20"/>
                <w:szCs w:val="20"/>
              </w:rPr>
              <w:lastRenderedPageBreak/>
              <w:t>5.</w:t>
            </w:r>
          </w:p>
          <w:p w14:paraId="7C3C18F4" w14:textId="3E953F0C" w:rsidR="006E414D" w:rsidRDefault="006E414D" w:rsidP="00D733E2">
            <w:pPr>
              <w:pStyle w:val="naisc"/>
              <w:spacing w:before="0" w:after="0"/>
              <w:rPr>
                <w:sz w:val="20"/>
                <w:szCs w:val="20"/>
              </w:rPr>
            </w:pPr>
          </w:p>
        </w:tc>
        <w:tc>
          <w:tcPr>
            <w:tcW w:w="3402" w:type="dxa"/>
            <w:gridSpan w:val="2"/>
            <w:tcBorders>
              <w:top w:val="single" w:sz="6" w:space="0" w:color="000000"/>
              <w:left w:val="single" w:sz="6" w:space="0" w:color="000000"/>
              <w:bottom w:val="single" w:sz="6" w:space="0" w:color="000000"/>
              <w:right w:val="single" w:sz="6" w:space="0" w:color="000000"/>
            </w:tcBorders>
          </w:tcPr>
          <w:p w14:paraId="64F9F9F3" w14:textId="77777777" w:rsidR="006E414D" w:rsidRPr="00692575" w:rsidRDefault="006E414D" w:rsidP="006E414D">
            <w:r w:rsidRPr="00692575">
              <w:t xml:space="preserve">(..) “Piezīmes. </w:t>
            </w:r>
          </w:p>
          <w:p w14:paraId="28964EB0" w14:textId="64F6CED8" w:rsidR="006E414D" w:rsidRDefault="006E414D" w:rsidP="006E414D">
            <w:pPr>
              <w:jc w:val="both"/>
            </w:pPr>
            <w:r w:rsidRPr="00692575">
              <w:rPr>
                <w:vertAlign w:val="superscript"/>
              </w:rPr>
              <w:t>1</w:t>
            </w:r>
            <w:r w:rsidRPr="00692575">
              <w:t xml:space="preserve"> Ja izrakstu izsniedz pēc personas pieprasījuma, aizpilda tikai 1., 2., 3., 10., 11. un 12.punktu</w:t>
            </w:r>
          </w:p>
        </w:tc>
        <w:tc>
          <w:tcPr>
            <w:tcW w:w="3543" w:type="dxa"/>
            <w:tcBorders>
              <w:top w:val="single" w:sz="6" w:space="0" w:color="000000"/>
              <w:left w:val="single" w:sz="6" w:space="0" w:color="000000"/>
              <w:bottom w:val="single" w:sz="6" w:space="0" w:color="000000"/>
              <w:right w:val="single" w:sz="6" w:space="0" w:color="000000"/>
            </w:tcBorders>
          </w:tcPr>
          <w:p w14:paraId="1C52804B" w14:textId="77777777" w:rsidR="006E414D" w:rsidRPr="00692575" w:rsidRDefault="006E414D" w:rsidP="006E414D">
            <w:pPr>
              <w:pStyle w:val="naisc"/>
              <w:spacing w:before="0" w:after="0"/>
              <w:jc w:val="both"/>
              <w:rPr>
                <w:b/>
              </w:rPr>
            </w:pPr>
            <w:r w:rsidRPr="00692575">
              <w:rPr>
                <w:b/>
              </w:rPr>
              <w:t>Labklājības ministrija:</w:t>
            </w:r>
          </w:p>
          <w:p w14:paraId="2410779E" w14:textId="77777777" w:rsidR="006E414D" w:rsidRPr="00692575" w:rsidRDefault="006E414D" w:rsidP="006E414D">
            <w:pPr>
              <w:pStyle w:val="naisc"/>
              <w:spacing w:before="0" w:after="0"/>
              <w:ind w:firstLine="720"/>
              <w:jc w:val="both"/>
            </w:pPr>
          </w:p>
          <w:p w14:paraId="29558E21" w14:textId="26C9AEFC" w:rsidR="006E414D" w:rsidRPr="0030674B" w:rsidRDefault="006E414D" w:rsidP="006E414D">
            <w:pPr>
              <w:ind w:firstLine="567"/>
              <w:jc w:val="both"/>
              <w:rPr>
                <w:b/>
              </w:rPr>
            </w:pPr>
            <w:r w:rsidRPr="00692575">
              <w:t>atbalsta minētā projekta tālāku virzību, ja tiek veiktas izmaiņas noteikumu projekta 1.5. punktā,  precizējot 12.pielikuma pirmo piezīmi šādā redakcijā: “Ja izrakstu izsniedz pēc personas pieprasījuma, aizpilda tikai 1., 2., 3., 9., 10., 11. un 12.punktu.”’</w:t>
            </w:r>
          </w:p>
        </w:tc>
        <w:tc>
          <w:tcPr>
            <w:tcW w:w="3119" w:type="dxa"/>
            <w:gridSpan w:val="2"/>
            <w:tcBorders>
              <w:top w:val="single" w:sz="6" w:space="0" w:color="000000"/>
              <w:left w:val="single" w:sz="6" w:space="0" w:color="000000"/>
              <w:bottom w:val="single" w:sz="6" w:space="0" w:color="000000"/>
              <w:right w:val="single" w:sz="6" w:space="0" w:color="000000"/>
            </w:tcBorders>
          </w:tcPr>
          <w:p w14:paraId="4842AA2E" w14:textId="77777777" w:rsidR="006E414D" w:rsidRPr="00692575" w:rsidRDefault="006E414D" w:rsidP="006E414D">
            <w:pPr>
              <w:pStyle w:val="NormalWeb"/>
              <w:shd w:val="clear" w:color="auto" w:fill="FFFFFF"/>
              <w:spacing w:before="0" w:beforeAutospacing="0" w:after="0" w:afterAutospacing="0"/>
              <w:jc w:val="both"/>
              <w:rPr>
                <w:rFonts w:ascii="Segoe UI" w:hAnsi="Segoe UI" w:cs="Segoe UI"/>
                <w:color w:val="212121"/>
              </w:rPr>
            </w:pPr>
            <w:r w:rsidRPr="00692575">
              <w:rPr>
                <w:color w:val="000000"/>
              </w:rPr>
              <w:t>Iebildums paredz noteikt papildus prasību, ka gadījumā, ja MK noteikumu Nr.265 12.pielikumu jeb izrakstu no stacionārā/ambulatorā pacienta medicīniskās kartes izsniedz pēc personas pieprasījuma, aizpildāms papildus arī izraksta 9.punkts, kas paredz norādīt īsu anamnēzi, diagnostiskos izmeklējumus, slimības gaitu, ārstēšanu, pacienta veselības stāvokli</w:t>
            </w:r>
            <w:r w:rsidRPr="00692575">
              <w:rPr>
                <w:color w:val="212121"/>
              </w:rPr>
              <w:t xml:space="preserve">, nosūtot uz stacionāru un izrakstot no tā, nosūtot pacientu pie cita ārsta (speciālista vai ģimenes ārsta) atzinuma sniegšanai par darbnespējas turpināšanu vai pārtraukšanu. Tādējādi Labklājības ministrija rosinājusi attiecīgajā punktā noteikto informācijas apjomu, kas šobrīd paredzēts informācijas nodošanai starp </w:t>
            </w:r>
            <w:r w:rsidRPr="00692575">
              <w:rPr>
                <w:color w:val="212121"/>
              </w:rPr>
              <w:lastRenderedPageBreak/>
              <w:t>ārstniecības personām, norādīt visos gadījumos, kad pacientam tiek izsniegts attiecīgais izraksts no medicīniskās dokumentācijas, piemēram, par saslimšanas periodu izglītības iestādei.</w:t>
            </w:r>
          </w:p>
          <w:p w14:paraId="40877B28" w14:textId="77777777" w:rsidR="006E414D" w:rsidRPr="00692575" w:rsidRDefault="006E414D" w:rsidP="006E414D">
            <w:pPr>
              <w:pStyle w:val="NormalWeb"/>
              <w:shd w:val="clear" w:color="auto" w:fill="FFFFFF"/>
              <w:spacing w:before="0" w:beforeAutospacing="0" w:after="0" w:afterAutospacing="0"/>
              <w:jc w:val="both"/>
              <w:rPr>
                <w:color w:val="212121"/>
              </w:rPr>
            </w:pPr>
            <w:r w:rsidRPr="00692575">
              <w:rPr>
                <w:color w:val="212121"/>
              </w:rPr>
              <w:t xml:space="preserve">Vēršam uzmanību, ka attiecīgās veidlapas izmantošana paredzēta ne tikai sociālo dienestu vajadzībām, bet galvenokārt saziņai starp ārstniecības personām. Nereti izraksts tiek sniegts dažāda veida organizācijām vai izrakstiem, lai attaisnotu prombūtnes faktu (piemēram, darba devējam, </w:t>
            </w:r>
            <w:proofErr w:type="spellStart"/>
            <w:r w:rsidRPr="00692575">
              <w:rPr>
                <w:color w:val="212121"/>
              </w:rPr>
              <w:t>tiesībsargājošajām</w:t>
            </w:r>
            <w:proofErr w:type="spellEnd"/>
            <w:r w:rsidRPr="00692575">
              <w:rPr>
                <w:color w:val="212121"/>
              </w:rPr>
              <w:t xml:space="preserve"> institūcijām vai izglītības iestādēm), ja netiek atvērta darbnespējas lapa. </w:t>
            </w:r>
          </w:p>
          <w:p w14:paraId="3085CC74" w14:textId="77777777" w:rsidR="006E414D" w:rsidRPr="00692575" w:rsidRDefault="006E414D" w:rsidP="006E414D">
            <w:pPr>
              <w:pStyle w:val="NormalWeb"/>
              <w:shd w:val="clear" w:color="auto" w:fill="FFFFFF"/>
              <w:jc w:val="both"/>
              <w:rPr>
                <w:color w:val="212121"/>
              </w:rPr>
            </w:pPr>
            <w:r w:rsidRPr="00692575">
              <w:rPr>
                <w:color w:val="212121"/>
              </w:rPr>
              <w:t xml:space="preserve">Līdz ar to šādas informācijas iekļaušana kā obligāta visos gadījumos tiktu veikta nepamatoti plaša personas datu apstrāde un būtu pretrunā Vispārīgās datu aizsardzības regula 5. panta (Personas datu apstrādes principi) pirmās daļas </w:t>
            </w:r>
            <w:proofErr w:type="spellStart"/>
            <w:r w:rsidRPr="00692575">
              <w:rPr>
                <w:color w:val="212121"/>
              </w:rPr>
              <w:t>c.punktam</w:t>
            </w:r>
            <w:proofErr w:type="spellEnd"/>
            <w:r w:rsidRPr="00692575">
              <w:rPr>
                <w:color w:val="212121"/>
              </w:rPr>
              <w:t xml:space="preserve"> – </w:t>
            </w:r>
            <w:r w:rsidRPr="00692575">
              <w:rPr>
                <w:i/>
                <w:color w:val="212121"/>
              </w:rPr>
              <w:t xml:space="preserve">Personas dati ir adekvāti, atbilstīgi un ietver tikai to, kas </w:t>
            </w:r>
            <w:r w:rsidRPr="00692575">
              <w:rPr>
                <w:i/>
                <w:color w:val="212121"/>
              </w:rPr>
              <w:lastRenderedPageBreak/>
              <w:t>nepieciešams to apstrādes nolūkos (“datu minimizēšana”).</w:t>
            </w:r>
          </w:p>
          <w:p w14:paraId="7A3D5202" w14:textId="77777777" w:rsidR="006E414D" w:rsidRDefault="006E414D" w:rsidP="006E414D">
            <w:pPr>
              <w:pStyle w:val="NormalWeb"/>
              <w:shd w:val="clear" w:color="auto" w:fill="FFFFFF"/>
              <w:spacing w:before="0" w:beforeAutospacing="0" w:after="0" w:afterAutospacing="0"/>
              <w:jc w:val="both"/>
              <w:rPr>
                <w:color w:val="000000"/>
              </w:rPr>
            </w:pPr>
            <w:r w:rsidRPr="00692575">
              <w:rPr>
                <w:color w:val="000000"/>
              </w:rPr>
              <w:t xml:space="preserve">Turklāt šāda papildus informācijas apjoma norādīšana sociālo pakalpojumu saņemšanai būtu pretrunā ar normatīvo regulējumu, kas nosaka sociālo pakalpojumu un sociālās palīdzības saņemšanu (Ministru kabineta 2019. gada 2. aprīļa noteikumos Nr. 138 “Noteikumi par sociālo pakalpojumu un sociālās palīdzības saņemšanu”), kas attiecīgi nosaka, ka sociālajā dienestā  personai jāiesniedz ģimenes ārsta izsniegtu izziņu par personas veselības stāvokli, kurā norādīts(-i) </w:t>
            </w:r>
            <w:r w:rsidRPr="00692575">
              <w:rPr>
                <w:b/>
                <w:bCs/>
                <w:color w:val="000000"/>
              </w:rPr>
              <w:t>funkcionālo traucējumu veids(-i) un akūtas infekcijas</w:t>
            </w:r>
            <w:r w:rsidRPr="00692575">
              <w:rPr>
                <w:color w:val="000000"/>
              </w:rPr>
              <w:t xml:space="preserve"> (piemēram, plaušu tuberkuloze aktīvajā stadijā, akūtas infekcijas slimības) pazīmes (ja tādas ir), kas var ietekmēt sociālo pakalpojumu sniegšanas kārtību. Izziņā papildus norāda </w:t>
            </w:r>
            <w:r w:rsidRPr="00692575">
              <w:rPr>
                <w:b/>
                <w:bCs/>
                <w:color w:val="000000"/>
              </w:rPr>
              <w:t>rekomendācijas aprūpei un profilaksei, ja</w:t>
            </w:r>
            <w:r w:rsidRPr="00692575">
              <w:rPr>
                <w:color w:val="000000"/>
              </w:rPr>
              <w:t xml:space="preserve"> persona vēlas saņemt aprūpi mājās (tai </w:t>
            </w:r>
            <w:r w:rsidRPr="00692575">
              <w:rPr>
                <w:color w:val="000000"/>
              </w:rPr>
              <w:lastRenderedPageBreak/>
              <w:t xml:space="preserve">skaitā drošības pogas pakalpojumu), pakalpojumu grupu mājā (dzīvoklī), pusceļa mājā, dienas aprūpes centrā, specializētās darbnīcas pakalpojumu, īslaicīgās sociālās aprūpes jeb atelpas brīža pakalpojumu vai ilgstošas sociālās aprūpes un sociālās rehabilitācijas pakalpojumu institūcijā. Tāpat sociālajā dienestā jāiesniedz </w:t>
            </w:r>
            <w:r w:rsidRPr="00692575">
              <w:rPr>
                <w:color w:val="212121"/>
              </w:rPr>
              <w:t xml:space="preserve">psihiatra atzinumu par personas psihisko veselību un speciālajām (psihiatriskajām) kontrindikācijām sociālo pakalpojumu saņemšanai </w:t>
            </w:r>
            <w:r w:rsidRPr="00692575">
              <w:rPr>
                <w:color w:val="000000"/>
              </w:rPr>
              <w:t xml:space="preserve">(attiecināms tikai uz personām ar garīga rakstura traucējumiem, ja tās vēlas saņemt aprūpi mājās (tai skaitā drošības pogas pakalpojumu), pakalpojumu grupu mājā (dzīvoklī), pusceļa mājā, dienas aprūpes centrā, specializētās darbnīcas pakalpojumu, īslaicīgās sociālās aprūpes jeb atelpas brīža pakalpojumu vai pakalpojumu ilgstošas sociālās aprūpes un sociālās rehabilitācijas institūcijā). Tādējādi attiecīgais normatīvais regulējums </w:t>
            </w:r>
            <w:r w:rsidRPr="00692575">
              <w:rPr>
                <w:color w:val="000000"/>
              </w:rPr>
              <w:lastRenderedPageBreak/>
              <w:t>nemaz nenosaka, ka iesniedzama tieši</w:t>
            </w:r>
            <w:r w:rsidRPr="00692575">
              <w:rPr>
                <w:color w:val="212121"/>
              </w:rPr>
              <w:t xml:space="preserve"> MK noteikumu Nr.265 12.pielikumā iekļautā izziņa, un ģimenes ārsts var izvēlēties veidu, kā viņš sniedz attiecīgo informāciju, piemēram, vai un kādā apjomā aizpildāma MK 265 12.pielikumā ietvertā izziņa</w:t>
            </w:r>
            <w:r w:rsidRPr="00692575">
              <w:rPr>
                <w:color w:val="000000"/>
              </w:rPr>
              <w:t xml:space="preserve">. </w:t>
            </w:r>
          </w:p>
          <w:p w14:paraId="48739DC2" w14:textId="77777777" w:rsidR="006E414D" w:rsidRDefault="006E414D" w:rsidP="006E414D">
            <w:pPr>
              <w:pStyle w:val="NormalWeb"/>
              <w:shd w:val="clear" w:color="auto" w:fill="FFFFFF"/>
              <w:spacing w:before="0" w:beforeAutospacing="0" w:after="0" w:afterAutospacing="0"/>
              <w:jc w:val="both"/>
              <w:rPr>
                <w:color w:val="000000"/>
              </w:rPr>
            </w:pPr>
            <w:r w:rsidRPr="00692575">
              <w:rPr>
                <w:color w:val="000000"/>
              </w:rPr>
              <w:t xml:space="preserve">Tāpat arī vēršam uzmanību, ka sociālajam dienestam nav paredzēts saņemt informāciju par pacienta anamnēzi, diagnostiskajiem izmeklējumiem, slimības gaitu un ārstēšanu, ko Labklājības ministrija rosinājusi ietvert kā normu visos gadījumos, kad veidlapa aizpildāma. </w:t>
            </w:r>
          </w:p>
          <w:p w14:paraId="159A589D" w14:textId="77777777" w:rsidR="006E414D" w:rsidRDefault="006E414D" w:rsidP="006E414D">
            <w:pPr>
              <w:pStyle w:val="NormalWeb"/>
              <w:shd w:val="clear" w:color="auto" w:fill="FFFFFF"/>
              <w:spacing w:before="0" w:beforeAutospacing="0" w:after="0" w:afterAutospacing="0"/>
              <w:jc w:val="both"/>
              <w:rPr>
                <w:color w:val="000000"/>
              </w:rPr>
            </w:pPr>
          </w:p>
          <w:p w14:paraId="1405F156" w14:textId="16780667" w:rsidR="006E414D" w:rsidRPr="006E414D" w:rsidRDefault="006E414D" w:rsidP="006E414D">
            <w:pPr>
              <w:pStyle w:val="NormalWeb"/>
              <w:shd w:val="clear" w:color="auto" w:fill="FFFFFF"/>
              <w:spacing w:before="0" w:beforeAutospacing="0" w:after="0" w:afterAutospacing="0"/>
              <w:jc w:val="both"/>
              <w:rPr>
                <w:color w:val="000000"/>
              </w:rPr>
            </w:pPr>
            <w:r w:rsidRPr="00692575">
              <w:rPr>
                <w:color w:val="000000"/>
              </w:rPr>
              <w:t>Ņemot vērā minēto šāda veida ierosinājums nevar tikt virzīts.</w:t>
            </w:r>
          </w:p>
          <w:p w14:paraId="180157C2" w14:textId="77777777" w:rsidR="006E414D" w:rsidRPr="00692575" w:rsidRDefault="006E414D" w:rsidP="006E414D">
            <w:pPr>
              <w:pStyle w:val="NormalWeb"/>
              <w:shd w:val="clear" w:color="auto" w:fill="FFFFFF"/>
              <w:spacing w:before="0" w:beforeAutospacing="0" w:after="0" w:afterAutospacing="0"/>
              <w:jc w:val="both"/>
              <w:rPr>
                <w:color w:val="000000"/>
              </w:rPr>
            </w:pPr>
          </w:p>
          <w:p w14:paraId="523A59CF" w14:textId="77777777" w:rsidR="006E414D" w:rsidRDefault="006E414D" w:rsidP="00D9032F">
            <w:pPr>
              <w:pStyle w:val="naisc"/>
              <w:spacing w:before="0" w:after="0"/>
              <w:rPr>
                <w:b/>
              </w:rPr>
            </w:pPr>
          </w:p>
        </w:tc>
        <w:tc>
          <w:tcPr>
            <w:tcW w:w="3544" w:type="dxa"/>
            <w:tcBorders>
              <w:top w:val="single" w:sz="4" w:space="0" w:color="auto"/>
              <w:left w:val="single" w:sz="4" w:space="0" w:color="auto"/>
              <w:bottom w:val="single" w:sz="4" w:space="0" w:color="auto"/>
            </w:tcBorders>
          </w:tcPr>
          <w:p w14:paraId="23944187" w14:textId="74D72249" w:rsidR="006E414D" w:rsidRDefault="006E414D" w:rsidP="00B07519">
            <w:pPr>
              <w:jc w:val="both"/>
            </w:pPr>
            <w:r w:rsidRPr="00692575">
              <w:lastRenderedPageBreak/>
              <w:t>Paliek nemainīga</w:t>
            </w:r>
          </w:p>
        </w:tc>
      </w:tr>
      <w:tr w:rsidR="00D733E2" w:rsidRPr="00F276CA" w14:paraId="24DF9898"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75A8C019" w14:textId="77777777" w:rsidR="00D733E2" w:rsidRPr="00F276CA" w:rsidRDefault="00D733E2" w:rsidP="00D733E2">
            <w:pPr>
              <w:pStyle w:val="naiskr"/>
              <w:spacing w:before="0" w:after="0"/>
            </w:pPr>
          </w:p>
        </w:tc>
        <w:tc>
          <w:tcPr>
            <w:tcW w:w="6179" w:type="dxa"/>
            <w:gridSpan w:val="3"/>
          </w:tcPr>
          <w:p w14:paraId="65DE86A0" w14:textId="77777777" w:rsidR="00D733E2" w:rsidRPr="00F276CA" w:rsidRDefault="00D733E2" w:rsidP="00D733E2">
            <w:pPr>
              <w:pStyle w:val="naiskr"/>
              <w:spacing w:before="0" w:after="0"/>
              <w:ind w:firstLine="720"/>
            </w:pPr>
          </w:p>
        </w:tc>
      </w:tr>
      <w:tr w:rsidR="00B07519" w:rsidRPr="00F276CA" w14:paraId="178F2126"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04EE6066" w14:textId="77777777" w:rsidR="00B07519" w:rsidRPr="00F276CA" w:rsidRDefault="00B07519" w:rsidP="00D733E2">
            <w:pPr>
              <w:pStyle w:val="naiskr"/>
              <w:spacing w:before="0" w:after="0"/>
            </w:pPr>
          </w:p>
        </w:tc>
        <w:tc>
          <w:tcPr>
            <w:tcW w:w="6179" w:type="dxa"/>
            <w:gridSpan w:val="3"/>
          </w:tcPr>
          <w:p w14:paraId="47F4DB55" w14:textId="77777777" w:rsidR="00B07519" w:rsidRPr="00F276CA" w:rsidRDefault="00B07519" w:rsidP="00D733E2">
            <w:pPr>
              <w:pStyle w:val="naiskr"/>
              <w:spacing w:before="0" w:after="0"/>
              <w:ind w:firstLine="720"/>
            </w:pPr>
          </w:p>
        </w:tc>
      </w:tr>
      <w:tr w:rsidR="00D733E2" w:rsidRPr="00F276CA" w14:paraId="42AF5AA9"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0EDCB59" w14:textId="77777777" w:rsidR="00D733E2" w:rsidRPr="00F276CA" w:rsidRDefault="00D733E2" w:rsidP="00D733E2">
            <w:pPr>
              <w:pStyle w:val="naiskr"/>
              <w:spacing w:before="0" w:after="0"/>
            </w:pPr>
          </w:p>
        </w:tc>
        <w:tc>
          <w:tcPr>
            <w:tcW w:w="6179" w:type="dxa"/>
            <w:gridSpan w:val="3"/>
          </w:tcPr>
          <w:p w14:paraId="2D9EDDCA" w14:textId="77777777" w:rsidR="00D733E2" w:rsidRPr="00F276CA" w:rsidRDefault="00D733E2" w:rsidP="00D733E2">
            <w:pPr>
              <w:pStyle w:val="naiskr"/>
              <w:spacing w:before="0" w:after="0"/>
              <w:ind w:firstLine="720"/>
            </w:pPr>
          </w:p>
        </w:tc>
      </w:tr>
      <w:tr w:rsidR="00D733E2" w:rsidRPr="00F276CA" w14:paraId="705F0E71"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193D986C" w14:textId="77777777" w:rsidR="00D733E2" w:rsidRPr="00F276CA" w:rsidRDefault="00D733E2" w:rsidP="00D733E2">
            <w:pPr>
              <w:pStyle w:val="naiskr"/>
              <w:spacing w:before="0" w:after="0"/>
            </w:pPr>
            <w:r w:rsidRPr="00F276CA">
              <w:t>Atbildīgā amatpersona</w:t>
            </w:r>
          </w:p>
        </w:tc>
        <w:tc>
          <w:tcPr>
            <w:tcW w:w="6179" w:type="dxa"/>
            <w:gridSpan w:val="3"/>
          </w:tcPr>
          <w:p w14:paraId="6B0D1803" w14:textId="77777777" w:rsidR="00D733E2" w:rsidRPr="00F276CA" w:rsidRDefault="00D733E2" w:rsidP="00D733E2">
            <w:pPr>
              <w:pStyle w:val="naiskr"/>
              <w:spacing w:before="0" w:after="0"/>
              <w:ind w:firstLine="720"/>
            </w:pPr>
            <w:r w:rsidRPr="00F276CA">
              <w:t>  </w:t>
            </w:r>
          </w:p>
        </w:tc>
      </w:tr>
      <w:tr w:rsidR="00D733E2" w:rsidRPr="00F276CA" w14:paraId="7B77C1A6"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09B9FFDD" w14:textId="77777777" w:rsidR="00D733E2" w:rsidRPr="00F276CA" w:rsidRDefault="00D733E2" w:rsidP="00D733E2">
            <w:pPr>
              <w:pStyle w:val="naiskr"/>
              <w:spacing w:before="0" w:after="0"/>
            </w:pPr>
          </w:p>
        </w:tc>
        <w:tc>
          <w:tcPr>
            <w:tcW w:w="6179" w:type="dxa"/>
            <w:gridSpan w:val="3"/>
          </w:tcPr>
          <w:p w14:paraId="3F9969AC" w14:textId="77777777" w:rsidR="00D733E2" w:rsidRPr="00F276CA" w:rsidRDefault="00D733E2" w:rsidP="00D733E2">
            <w:pPr>
              <w:pStyle w:val="naiskr"/>
              <w:spacing w:before="0" w:after="0"/>
              <w:ind w:firstLine="720"/>
            </w:pPr>
          </w:p>
        </w:tc>
      </w:tr>
      <w:tr w:rsidR="00D733E2" w:rsidRPr="00F276CA" w14:paraId="377D7428" w14:textId="77777777" w:rsidTr="006E414D">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C4CF929" w14:textId="77777777" w:rsidR="00D733E2" w:rsidRPr="00F276CA" w:rsidRDefault="00D733E2" w:rsidP="00D733E2">
            <w:pPr>
              <w:pStyle w:val="naiskr"/>
              <w:spacing w:before="0" w:after="0"/>
              <w:ind w:firstLine="720"/>
            </w:pPr>
          </w:p>
        </w:tc>
        <w:tc>
          <w:tcPr>
            <w:tcW w:w="6179" w:type="dxa"/>
            <w:gridSpan w:val="3"/>
            <w:tcBorders>
              <w:top w:val="single" w:sz="6" w:space="0" w:color="000000"/>
            </w:tcBorders>
          </w:tcPr>
          <w:p w14:paraId="6FFF7D79" w14:textId="77777777" w:rsidR="00D733E2" w:rsidRPr="00F276CA" w:rsidRDefault="00D733E2" w:rsidP="00D733E2">
            <w:pPr>
              <w:pStyle w:val="naisc"/>
              <w:spacing w:before="0" w:after="0"/>
              <w:ind w:firstLine="720"/>
            </w:pPr>
            <w:r w:rsidRPr="00F276CA">
              <w:t>(paraksts)*</w:t>
            </w:r>
          </w:p>
        </w:tc>
      </w:tr>
    </w:tbl>
    <w:p w14:paraId="62DDFD45" w14:textId="77777777" w:rsidR="007116C7" w:rsidRPr="00F276CA" w:rsidRDefault="007116C7" w:rsidP="00436DEE">
      <w:pPr>
        <w:pStyle w:val="naisf"/>
        <w:spacing w:before="0" w:after="0"/>
      </w:pPr>
    </w:p>
    <w:p w14:paraId="794A18A1" w14:textId="77777777" w:rsidR="003D49E0" w:rsidRPr="00F276CA" w:rsidRDefault="00184479" w:rsidP="003D49E0">
      <w:pPr>
        <w:pStyle w:val="naisf"/>
        <w:spacing w:before="0" w:after="0"/>
        <w:ind w:firstLine="720"/>
      </w:pPr>
      <w:r w:rsidRPr="00F276CA">
        <w:lastRenderedPageBreak/>
        <w:t>Piezīme.</w:t>
      </w:r>
      <w:r w:rsidR="001D2FD0" w:rsidRPr="00F276CA">
        <w:t xml:space="preserve"> </w:t>
      </w:r>
      <w:r w:rsidR="00FB6C91" w:rsidRPr="00F276CA">
        <w:t>*</w:t>
      </w:r>
      <w:r w:rsidR="00317DC7" w:rsidRPr="00F276CA">
        <w:t xml:space="preserve"> Dokumenta rekvizītu </w:t>
      </w:r>
      <w:r w:rsidR="00364BB6" w:rsidRPr="00F276CA">
        <w:t>"</w:t>
      </w:r>
      <w:r w:rsidR="0018210A" w:rsidRPr="00F276CA">
        <w:t>p</w:t>
      </w:r>
      <w:r w:rsidR="00317DC7" w:rsidRPr="00F276CA">
        <w:t>araksts</w:t>
      </w:r>
      <w:r w:rsidR="00364BB6" w:rsidRPr="00F276CA">
        <w:t>"</w:t>
      </w:r>
      <w:r w:rsidR="00317DC7" w:rsidRPr="00F276CA">
        <w:t xml:space="preserve"> neaizpilda, ja elektroniskais dokuments ir </w:t>
      </w:r>
      <w:r w:rsidRPr="00F276CA">
        <w:t>sagatavots</w:t>
      </w:r>
      <w:r w:rsidR="00317DC7" w:rsidRPr="00F276CA">
        <w:t xml:space="preserve"> atbilstoši </w:t>
      </w:r>
      <w:r w:rsidRPr="00F276CA">
        <w:t xml:space="preserve">normatīvajiem aktiem par </w:t>
      </w:r>
      <w:r w:rsidR="00317DC7" w:rsidRPr="00F276CA">
        <w:t>elektronisko dokumentu noformēšan</w:t>
      </w:r>
      <w:r w:rsidRPr="00F276CA">
        <w:t>u.</w:t>
      </w:r>
    </w:p>
    <w:p w14:paraId="2A9FCD27" w14:textId="77777777" w:rsidR="003D49E0" w:rsidRPr="00F276CA" w:rsidRDefault="003D49E0" w:rsidP="003D49E0">
      <w:pPr>
        <w:pStyle w:val="naisf"/>
        <w:spacing w:before="0" w:after="0"/>
        <w:ind w:firstLine="720"/>
      </w:pPr>
    </w:p>
    <w:p w14:paraId="4F8E23F7" w14:textId="77777777" w:rsidR="003D49E0" w:rsidRPr="00F276CA" w:rsidRDefault="003D49E0" w:rsidP="003D49E0">
      <w:pPr>
        <w:pStyle w:val="naisf"/>
        <w:spacing w:before="0" w:after="0"/>
        <w:ind w:firstLine="720"/>
      </w:pPr>
    </w:p>
    <w:p w14:paraId="1B06898F" w14:textId="77777777" w:rsidR="003D49E0" w:rsidRPr="00F276CA" w:rsidRDefault="003D49E0" w:rsidP="003D49E0">
      <w:pPr>
        <w:pStyle w:val="naisf"/>
        <w:spacing w:before="0" w:after="0"/>
        <w:ind w:firstLine="720"/>
      </w:pPr>
    </w:p>
    <w:p w14:paraId="64D7E9B8" w14:textId="77777777" w:rsidR="003D49E0" w:rsidRPr="00F276CA" w:rsidRDefault="003D49E0" w:rsidP="003D49E0">
      <w:pPr>
        <w:pStyle w:val="naisf"/>
        <w:spacing w:before="0" w:after="0"/>
        <w:ind w:firstLine="720"/>
      </w:pPr>
    </w:p>
    <w:p w14:paraId="4A2E2F94" w14:textId="77777777" w:rsidR="003D49E0" w:rsidRPr="00F276CA" w:rsidRDefault="003D49E0" w:rsidP="003D49E0">
      <w:pPr>
        <w:pStyle w:val="naisf"/>
        <w:spacing w:before="0" w:after="0"/>
        <w:ind w:firstLine="720"/>
      </w:pPr>
      <w:r w:rsidRPr="00F276CA">
        <w:t xml:space="preserve">                                               Artūrs Grīgs</w:t>
      </w:r>
    </w:p>
    <w:tbl>
      <w:tblPr>
        <w:tblW w:w="0" w:type="auto"/>
        <w:tblLook w:val="00A0" w:firstRow="1" w:lastRow="0" w:firstColumn="1" w:lastColumn="0" w:noHBand="0" w:noVBand="0"/>
      </w:tblPr>
      <w:tblGrid>
        <w:gridCol w:w="8268"/>
      </w:tblGrid>
      <w:tr w:rsidR="003D49E0" w:rsidRPr="00F276CA" w14:paraId="135EACA7" w14:textId="77777777" w:rsidTr="00C1056E">
        <w:tc>
          <w:tcPr>
            <w:tcW w:w="8268" w:type="dxa"/>
            <w:tcBorders>
              <w:top w:val="single" w:sz="4" w:space="0" w:color="000000"/>
              <w:left w:val="nil"/>
              <w:bottom w:val="nil"/>
              <w:right w:val="nil"/>
            </w:tcBorders>
            <w:hideMark/>
          </w:tcPr>
          <w:p w14:paraId="68E424A5" w14:textId="77777777" w:rsidR="003D49E0" w:rsidRPr="00F276CA" w:rsidRDefault="003D49E0" w:rsidP="00C1056E">
            <w:pPr>
              <w:jc w:val="center"/>
            </w:pPr>
          </w:p>
        </w:tc>
      </w:tr>
      <w:tr w:rsidR="003D49E0" w:rsidRPr="00F276CA" w14:paraId="031DD3CD" w14:textId="77777777" w:rsidTr="00C1056E">
        <w:tc>
          <w:tcPr>
            <w:tcW w:w="8268" w:type="dxa"/>
            <w:tcBorders>
              <w:top w:val="nil"/>
              <w:left w:val="nil"/>
              <w:bottom w:val="single" w:sz="4" w:space="0" w:color="000000"/>
              <w:right w:val="nil"/>
            </w:tcBorders>
            <w:hideMark/>
          </w:tcPr>
          <w:p w14:paraId="32124CEC" w14:textId="77777777" w:rsidR="003D49E0" w:rsidRPr="00F276CA" w:rsidRDefault="003D49E0" w:rsidP="00C1056E">
            <w:pPr>
              <w:jc w:val="center"/>
            </w:pPr>
            <w:r w:rsidRPr="00F276CA">
              <w:t xml:space="preserve">Farmācijas departaments vecākais eksperts </w:t>
            </w:r>
          </w:p>
        </w:tc>
      </w:tr>
      <w:tr w:rsidR="003D49E0" w:rsidRPr="00F276CA" w14:paraId="51F36FF7" w14:textId="77777777" w:rsidTr="00C1056E">
        <w:tc>
          <w:tcPr>
            <w:tcW w:w="8268" w:type="dxa"/>
            <w:tcBorders>
              <w:top w:val="single" w:sz="4" w:space="0" w:color="000000"/>
              <w:left w:val="nil"/>
              <w:bottom w:val="nil"/>
              <w:right w:val="nil"/>
            </w:tcBorders>
            <w:hideMark/>
          </w:tcPr>
          <w:p w14:paraId="2A531FB0" w14:textId="77777777" w:rsidR="003D49E0" w:rsidRPr="00F276CA" w:rsidRDefault="003D49E0" w:rsidP="00C1056E"/>
        </w:tc>
      </w:tr>
      <w:tr w:rsidR="003D49E0" w:rsidRPr="00F276CA" w14:paraId="47032D1D" w14:textId="77777777" w:rsidTr="00C1056E">
        <w:tc>
          <w:tcPr>
            <w:tcW w:w="8268" w:type="dxa"/>
            <w:tcBorders>
              <w:top w:val="nil"/>
              <w:left w:val="nil"/>
              <w:bottom w:val="single" w:sz="4" w:space="0" w:color="000000"/>
              <w:right w:val="nil"/>
            </w:tcBorders>
            <w:hideMark/>
          </w:tcPr>
          <w:p w14:paraId="031B3D16" w14:textId="77777777" w:rsidR="003D49E0" w:rsidRPr="00F276CA" w:rsidRDefault="003D49E0" w:rsidP="00C1056E">
            <w:pPr>
              <w:tabs>
                <w:tab w:val="left" w:pos="3555"/>
              </w:tabs>
            </w:pPr>
            <w:r w:rsidRPr="00F276CA">
              <w:tab/>
              <w:t>67876116</w:t>
            </w:r>
          </w:p>
        </w:tc>
      </w:tr>
      <w:tr w:rsidR="003D49E0" w:rsidRPr="00F276CA" w14:paraId="2AC5A751" w14:textId="77777777" w:rsidTr="00C1056E">
        <w:tc>
          <w:tcPr>
            <w:tcW w:w="8268" w:type="dxa"/>
            <w:tcBorders>
              <w:top w:val="single" w:sz="4" w:space="0" w:color="000000"/>
              <w:left w:val="nil"/>
              <w:bottom w:val="nil"/>
              <w:right w:val="nil"/>
            </w:tcBorders>
            <w:hideMark/>
          </w:tcPr>
          <w:p w14:paraId="5FE68D40" w14:textId="77777777" w:rsidR="003D49E0" w:rsidRPr="00F276CA" w:rsidRDefault="003D49E0" w:rsidP="00C1056E">
            <w:pPr>
              <w:jc w:val="center"/>
            </w:pPr>
            <w:r w:rsidRPr="00F276CA">
              <w:t>(tālruņa un faksa numurs)</w:t>
            </w:r>
          </w:p>
        </w:tc>
      </w:tr>
      <w:tr w:rsidR="003D49E0" w:rsidRPr="00F276CA" w14:paraId="4395C5FA" w14:textId="77777777" w:rsidTr="00C1056E">
        <w:tc>
          <w:tcPr>
            <w:tcW w:w="8268" w:type="dxa"/>
            <w:tcBorders>
              <w:top w:val="nil"/>
              <w:left w:val="nil"/>
              <w:bottom w:val="single" w:sz="4" w:space="0" w:color="000000"/>
              <w:right w:val="nil"/>
            </w:tcBorders>
            <w:hideMark/>
          </w:tcPr>
          <w:p w14:paraId="7BB0AACF" w14:textId="77777777" w:rsidR="003D49E0" w:rsidRPr="00F276CA" w:rsidRDefault="003D49E0" w:rsidP="00C1056E">
            <w:pPr>
              <w:jc w:val="center"/>
            </w:pPr>
            <w:r w:rsidRPr="00F276CA">
              <w:t>arturs.grigs@vm.gov.lv</w:t>
            </w:r>
          </w:p>
        </w:tc>
      </w:tr>
      <w:tr w:rsidR="003D49E0" w:rsidRPr="00334BD0" w14:paraId="14444BD3" w14:textId="77777777" w:rsidTr="00C1056E">
        <w:trPr>
          <w:trHeight w:val="158"/>
        </w:trPr>
        <w:tc>
          <w:tcPr>
            <w:tcW w:w="8268" w:type="dxa"/>
            <w:tcBorders>
              <w:top w:val="single" w:sz="4" w:space="0" w:color="000000"/>
              <w:left w:val="nil"/>
              <w:bottom w:val="nil"/>
              <w:right w:val="nil"/>
            </w:tcBorders>
            <w:hideMark/>
          </w:tcPr>
          <w:p w14:paraId="63D8EE8C" w14:textId="77777777" w:rsidR="003D49E0" w:rsidRPr="00334BD0" w:rsidRDefault="003D49E0" w:rsidP="00C1056E">
            <w:pPr>
              <w:jc w:val="center"/>
            </w:pPr>
            <w:r w:rsidRPr="00F276CA">
              <w:t>(e-pasta adrese)</w:t>
            </w:r>
          </w:p>
        </w:tc>
      </w:tr>
    </w:tbl>
    <w:p w14:paraId="1B1DA4C3" w14:textId="77777777" w:rsidR="003D49E0" w:rsidRPr="00334BD0" w:rsidRDefault="003D49E0" w:rsidP="003D49E0">
      <w:pPr>
        <w:pStyle w:val="naisf"/>
        <w:spacing w:before="0" w:after="0"/>
        <w:ind w:firstLine="720"/>
        <w:rPr>
          <w:sz w:val="28"/>
          <w:szCs w:val="28"/>
        </w:rPr>
      </w:pPr>
    </w:p>
    <w:p w14:paraId="5B468EC7" w14:textId="77777777" w:rsidR="005C0E5A" w:rsidRPr="00334BD0" w:rsidRDefault="005C0E5A" w:rsidP="00210445">
      <w:pPr>
        <w:pStyle w:val="naisf"/>
        <w:tabs>
          <w:tab w:val="left" w:pos="6840"/>
        </w:tabs>
        <w:spacing w:before="0" w:after="0"/>
        <w:ind w:firstLine="0"/>
        <w:rPr>
          <w:sz w:val="28"/>
          <w:szCs w:val="28"/>
        </w:rPr>
      </w:pPr>
    </w:p>
    <w:sectPr w:rsidR="005C0E5A" w:rsidRPr="00334BD0" w:rsidSect="00210445">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9C8D" w14:textId="77777777" w:rsidR="007879BD" w:rsidRDefault="007879BD">
      <w:r>
        <w:separator/>
      </w:r>
    </w:p>
  </w:endnote>
  <w:endnote w:type="continuationSeparator" w:id="0">
    <w:p w14:paraId="7C2AA65C" w14:textId="77777777" w:rsidR="007879BD" w:rsidRDefault="0078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1141" w14:textId="033D7C36" w:rsidR="006455E7" w:rsidRPr="00B07519" w:rsidRDefault="00B07519" w:rsidP="00B07519">
    <w:pPr>
      <w:pStyle w:val="Footer"/>
    </w:pPr>
    <w:r w:rsidRPr="00B07519">
      <w:rPr>
        <w:sz w:val="16"/>
        <w:szCs w:val="16"/>
      </w:rPr>
      <w:t>VMIzz_0</w:t>
    </w:r>
    <w:r w:rsidR="00FF56EA">
      <w:rPr>
        <w:sz w:val="16"/>
        <w:szCs w:val="16"/>
      </w:rPr>
      <w:t>6</w:t>
    </w:r>
    <w:r w:rsidRPr="00B07519">
      <w:rPr>
        <w:sz w:val="16"/>
        <w:szCs w:val="16"/>
      </w:rPr>
      <w:t>1119_VSS_ 1037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5726" w14:textId="7BA9845B" w:rsidR="006455E7" w:rsidRPr="00DA6168" w:rsidRDefault="00DA6168" w:rsidP="00DA6168">
    <w:pPr>
      <w:pStyle w:val="Footer"/>
    </w:pPr>
    <w:bookmarkStart w:id="1" w:name="_Hlk12604857"/>
    <w:bookmarkStart w:id="2" w:name="_Hlk23840467"/>
    <w:bookmarkStart w:id="3" w:name="_Hlk23840468"/>
    <w:bookmarkStart w:id="4" w:name="_Hlk23840469"/>
    <w:bookmarkStart w:id="5" w:name="_Hlk23840470"/>
    <w:bookmarkStart w:id="6" w:name="_Hlk23840471"/>
    <w:bookmarkStart w:id="7" w:name="_Hlk23840472"/>
    <w:r w:rsidRPr="00DA6168">
      <w:rPr>
        <w:sz w:val="16"/>
        <w:szCs w:val="16"/>
      </w:rPr>
      <w:t>VMIzz_</w:t>
    </w:r>
    <w:r w:rsidR="0093687E">
      <w:rPr>
        <w:sz w:val="16"/>
        <w:szCs w:val="16"/>
      </w:rPr>
      <w:t>0</w:t>
    </w:r>
    <w:r w:rsidR="00FF56EA">
      <w:rPr>
        <w:sz w:val="16"/>
        <w:szCs w:val="16"/>
      </w:rPr>
      <w:t>6</w:t>
    </w:r>
    <w:r w:rsidR="00B07519">
      <w:rPr>
        <w:sz w:val="16"/>
        <w:szCs w:val="16"/>
      </w:rPr>
      <w:t>11</w:t>
    </w:r>
    <w:r w:rsidR="00511460" w:rsidRPr="00DA6168">
      <w:rPr>
        <w:sz w:val="16"/>
        <w:szCs w:val="16"/>
      </w:rPr>
      <w:t>19</w:t>
    </w:r>
    <w:r w:rsidR="00F276CA">
      <w:rPr>
        <w:sz w:val="16"/>
        <w:szCs w:val="16"/>
      </w:rPr>
      <w:t>_</w:t>
    </w:r>
    <w:r w:rsidR="00F72B81">
      <w:rPr>
        <w:sz w:val="16"/>
        <w:szCs w:val="16"/>
      </w:rPr>
      <w:t>VSS</w:t>
    </w:r>
    <w:r w:rsidRPr="00DA6168">
      <w:rPr>
        <w:sz w:val="16"/>
        <w:szCs w:val="16"/>
      </w:rPr>
      <w:t>_</w:t>
    </w:r>
    <w:r w:rsidR="00205896">
      <w:rPr>
        <w:sz w:val="16"/>
        <w:szCs w:val="16"/>
      </w:rPr>
      <w:t xml:space="preserve"> </w:t>
    </w:r>
    <w:bookmarkEnd w:id="1"/>
    <w:r w:rsidR="00B07519">
      <w:rPr>
        <w:sz w:val="16"/>
        <w:szCs w:val="16"/>
      </w:rPr>
      <w:t>1037</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E0BB" w14:textId="77777777" w:rsidR="007879BD" w:rsidRDefault="007879BD">
      <w:r>
        <w:separator/>
      </w:r>
    </w:p>
  </w:footnote>
  <w:footnote w:type="continuationSeparator" w:id="0">
    <w:p w14:paraId="018F50EB" w14:textId="77777777" w:rsidR="007879BD" w:rsidRDefault="0078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98E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4C59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2460"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5A1">
      <w:rPr>
        <w:rStyle w:val="PageNumber"/>
        <w:noProof/>
      </w:rPr>
      <w:t>22</w:t>
    </w:r>
    <w:r>
      <w:rPr>
        <w:rStyle w:val="PageNumber"/>
      </w:rPr>
      <w:fldChar w:fldCharType="end"/>
    </w:r>
  </w:p>
  <w:p w14:paraId="62C96564"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3BAF"/>
    <w:multiLevelType w:val="hybridMultilevel"/>
    <w:tmpl w:val="A01266B0"/>
    <w:lvl w:ilvl="0" w:tplc="A8509C1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737D56"/>
    <w:multiLevelType w:val="hybridMultilevel"/>
    <w:tmpl w:val="BB56587C"/>
    <w:lvl w:ilvl="0" w:tplc="FA6A362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2105262"/>
    <w:multiLevelType w:val="hybridMultilevel"/>
    <w:tmpl w:val="6F742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312901"/>
    <w:multiLevelType w:val="hybridMultilevel"/>
    <w:tmpl w:val="625E1906"/>
    <w:lvl w:ilvl="0" w:tplc="CB24AD86">
      <w:start w:val="1"/>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3"/>
  </w:num>
  <w:num w:numId="5">
    <w:abstractNumId w:val="2"/>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BD2"/>
    <w:rsid w:val="00001F89"/>
    <w:rsid w:val="0000286E"/>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AC"/>
    <w:rsid w:val="00015DE5"/>
    <w:rsid w:val="000172E2"/>
    <w:rsid w:val="00017449"/>
    <w:rsid w:val="00020249"/>
    <w:rsid w:val="00022338"/>
    <w:rsid w:val="0002296A"/>
    <w:rsid w:val="00022B0F"/>
    <w:rsid w:val="00022B9A"/>
    <w:rsid w:val="00023FD6"/>
    <w:rsid w:val="0002416A"/>
    <w:rsid w:val="00024CCD"/>
    <w:rsid w:val="00024D20"/>
    <w:rsid w:val="000253DB"/>
    <w:rsid w:val="00027880"/>
    <w:rsid w:val="000278E7"/>
    <w:rsid w:val="00027A63"/>
    <w:rsid w:val="00027F9D"/>
    <w:rsid w:val="000307B5"/>
    <w:rsid w:val="00032457"/>
    <w:rsid w:val="0003413A"/>
    <w:rsid w:val="000349CA"/>
    <w:rsid w:val="0003557A"/>
    <w:rsid w:val="00035C06"/>
    <w:rsid w:val="000366DF"/>
    <w:rsid w:val="000376CD"/>
    <w:rsid w:val="00040A5C"/>
    <w:rsid w:val="00042A9E"/>
    <w:rsid w:val="00043005"/>
    <w:rsid w:val="0004345F"/>
    <w:rsid w:val="00044026"/>
    <w:rsid w:val="00046075"/>
    <w:rsid w:val="000463CB"/>
    <w:rsid w:val="00046CAD"/>
    <w:rsid w:val="00046F5C"/>
    <w:rsid w:val="00047385"/>
    <w:rsid w:val="00050554"/>
    <w:rsid w:val="00053706"/>
    <w:rsid w:val="00053E04"/>
    <w:rsid w:val="000579E6"/>
    <w:rsid w:val="00060E03"/>
    <w:rsid w:val="0006245F"/>
    <w:rsid w:val="000641CE"/>
    <w:rsid w:val="0006477B"/>
    <w:rsid w:val="00065271"/>
    <w:rsid w:val="00066176"/>
    <w:rsid w:val="0006618D"/>
    <w:rsid w:val="00066885"/>
    <w:rsid w:val="0006694E"/>
    <w:rsid w:val="00066A37"/>
    <w:rsid w:val="00066F05"/>
    <w:rsid w:val="00072628"/>
    <w:rsid w:val="000728ED"/>
    <w:rsid w:val="000733F5"/>
    <w:rsid w:val="000733FF"/>
    <w:rsid w:val="00074CE9"/>
    <w:rsid w:val="0007577A"/>
    <w:rsid w:val="000775D0"/>
    <w:rsid w:val="00077B6B"/>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C93"/>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FE1"/>
    <w:rsid w:val="000B2382"/>
    <w:rsid w:val="000B3171"/>
    <w:rsid w:val="000B34A5"/>
    <w:rsid w:val="000B4746"/>
    <w:rsid w:val="000B7966"/>
    <w:rsid w:val="000B7CB1"/>
    <w:rsid w:val="000C01B5"/>
    <w:rsid w:val="000C0AE6"/>
    <w:rsid w:val="000C0D0D"/>
    <w:rsid w:val="000C2555"/>
    <w:rsid w:val="000C3545"/>
    <w:rsid w:val="000C498A"/>
    <w:rsid w:val="000C4C16"/>
    <w:rsid w:val="000C56FC"/>
    <w:rsid w:val="000C60FC"/>
    <w:rsid w:val="000C7907"/>
    <w:rsid w:val="000C7A11"/>
    <w:rsid w:val="000C7F5E"/>
    <w:rsid w:val="000D00AC"/>
    <w:rsid w:val="000D0AED"/>
    <w:rsid w:val="000D3018"/>
    <w:rsid w:val="000D3602"/>
    <w:rsid w:val="000D4D89"/>
    <w:rsid w:val="000D6269"/>
    <w:rsid w:val="000D6BBD"/>
    <w:rsid w:val="000D7751"/>
    <w:rsid w:val="000D7C23"/>
    <w:rsid w:val="000E0A16"/>
    <w:rsid w:val="000E1BFA"/>
    <w:rsid w:val="000E2142"/>
    <w:rsid w:val="000E21D0"/>
    <w:rsid w:val="000E2A38"/>
    <w:rsid w:val="000E2ACC"/>
    <w:rsid w:val="000E5509"/>
    <w:rsid w:val="000E585F"/>
    <w:rsid w:val="000E66F8"/>
    <w:rsid w:val="000E7DCB"/>
    <w:rsid w:val="000F054F"/>
    <w:rsid w:val="000F079D"/>
    <w:rsid w:val="000F0D9D"/>
    <w:rsid w:val="000F1D56"/>
    <w:rsid w:val="000F2534"/>
    <w:rsid w:val="000F28D9"/>
    <w:rsid w:val="000F2D43"/>
    <w:rsid w:val="000F2F9A"/>
    <w:rsid w:val="000F3AA0"/>
    <w:rsid w:val="000F4AEB"/>
    <w:rsid w:val="000F4B40"/>
    <w:rsid w:val="000F4C3B"/>
    <w:rsid w:val="000F4E7B"/>
    <w:rsid w:val="000F5493"/>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6E6"/>
    <w:rsid w:val="0011254D"/>
    <w:rsid w:val="001139C2"/>
    <w:rsid w:val="00114559"/>
    <w:rsid w:val="00114EA9"/>
    <w:rsid w:val="00115ED0"/>
    <w:rsid w:val="0011683C"/>
    <w:rsid w:val="00116DF6"/>
    <w:rsid w:val="001179E8"/>
    <w:rsid w:val="0012021B"/>
    <w:rsid w:val="0012222D"/>
    <w:rsid w:val="001226B2"/>
    <w:rsid w:val="001245C3"/>
    <w:rsid w:val="001255E6"/>
    <w:rsid w:val="001270F8"/>
    <w:rsid w:val="0012742A"/>
    <w:rsid w:val="0013053A"/>
    <w:rsid w:val="0013066A"/>
    <w:rsid w:val="001315EF"/>
    <w:rsid w:val="00131F39"/>
    <w:rsid w:val="00132375"/>
    <w:rsid w:val="00132E73"/>
    <w:rsid w:val="00133505"/>
    <w:rsid w:val="00134188"/>
    <w:rsid w:val="00134211"/>
    <w:rsid w:val="00137403"/>
    <w:rsid w:val="0014045D"/>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A42"/>
    <w:rsid w:val="0016425E"/>
    <w:rsid w:val="0016531E"/>
    <w:rsid w:val="0016565C"/>
    <w:rsid w:val="00166314"/>
    <w:rsid w:val="00166746"/>
    <w:rsid w:val="00167590"/>
    <w:rsid w:val="001678B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789"/>
    <w:rsid w:val="0018386C"/>
    <w:rsid w:val="00184479"/>
    <w:rsid w:val="0018472C"/>
    <w:rsid w:val="00184838"/>
    <w:rsid w:val="00185755"/>
    <w:rsid w:val="00185ECB"/>
    <w:rsid w:val="0018700F"/>
    <w:rsid w:val="00187398"/>
    <w:rsid w:val="00187F73"/>
    <w:rsid w:val="00187FB0"/>
    <w:rsid w:val="001902E9"/>
    <w:rsid w:val="00190327"/>
    <w:rsid w:val="00190A0A"/>
    <w:rsid w:val="001926F2"/>
    <w:rsid w:val="00193BCE"/>
    <w:rsid w:val="00194B87"/>
    <w:rsid w:val="0019569A"/>
    <w:rsid w:val="001958A7"/>
    <w:rsid w:val="00195962"/>
    <w:rsid w:val="00197533"/>
    <w:rsid w:val="001977E7"/>
    <w:rsid w:val="00197CCA"/>
    <w:rsid w:val="001A0D8A"/>
    <w:rsid w:val="001A192D"/>
    <w:rsid w:val="001A2849"/>
    <w:rsid w:val="001A3607"/>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283"/>
    <w:rsid w:val="001C6608"/>
    <w:rsid w:val="001C6C7D"/>
    <w:rsid w:val="001D1CB1"/>
    <w:rsid w:val="001D2AC0"/>
    <w:rsid w:val="001D2DBA"/>
    <w:rsid w:val="001D2FD0"/>
    <w:rsid w:val="001D3830"/>
    <w:rsid w:val="001D3BA6"/>
    <w:rsid w:val="001D5564"/>
    <w:rsid w:val="001D6FAA"/>
    <w:rsid w:val="001D70FA"/>
    <w:rsid w:val="001D782D"/>
    <w:rsid w:val="001D7BA9"/>
    <w:rsid w:val="001E039D"/>
    <w:rsid w:val="001E22E7"/>
    <w:rsid w:val="001E2714"/>
    <w:rsid w:val="001E282F"/>
    <w:rsid w:val="001E398C"/>
    <w:rsid w:val="001E4456"/>
    <w:rsid w:val="001E4DDC"/>
    <w:rsid w:val="001E774F"/>
    <w:rsid w:val="001E7C1D"/>
    <w:rsid w:val="001F073F"/>
    <w:rsid w:val="001F3009"/>
    <w:rsid w:val="001F3358"/>
    <w:rsid w:val="001F35CB"/>
    <w:rsid w:val="001F390F"/>
    <w:rsid w:val="001F51FC"/>
    <w:rsid w:val="001F5CD1"/>
    <w:rsid w:val="001F7257"/>
    <w:rsid w:val="001F7739"/>
    <w:rsid w:val="0020011B"/>
    <w:rsid w:val="002014AA"/>
    <w:rsid w:val="0020187E"/>
    <w:rsid w:val="00201DC6"/>
    <w:rsid w:val="00202375"/>
    <w:rsid w:val="002025EA"/>
    <w:rsid w:val="00202884"/>
    <w:rsid w:val="00202E44"/>
    <w:rsid w:val="00203556"/>
    <w:rsid w:val="00204D0F"/>
    <w:rsid w:val="00204DB6"/>
    <w:rsid w:val="002056ED"/>
    <w:rsid w:val="00205896"/>
    <w:rsid w:val="00205C3A"/>
    <w:rsid w:val="00210445"/>
    <w:rsid w:val="00211793"/>
    <w:rsid w:val="00211C11"/>
    <w:rsid w:val="00212345"/>
    <w:rsid w:val="002138B5"/>
    <w:rsid w:val="00214809"/>
    <w:rsid w:val="002149A1"/>
    <w:rsid w:val="00214E7A"/>
    <w:rsid w:val="00215BFE"/>
    <w:rsid w:val="00215C44"/>
    <w:rsid w:val="00216E73"/>
    <w:rsid w:val="0021774C"/>
    <w:rsid w:val="00217FF6"/>
    <w:rsid w:val="00221532"/>
    <w:rsid w:val="00222204"/>
    <w:rsid w:val="00222386"/>
    <w:rsid w:val="00222F51"/>
    <w:rsid w:val="002230E1"/>
    <w:rsid w:val="00223361"/>
    <w:rsid w:val="002236C0"/>
    <w:rsid w:val="002244BA"/>
    <w:rsid w:val="002247AA"/>
    <w:rsid w:val="00224DA7"/>
    <w:rsid w:val="00225FAF"/>
    <w:rsid w:val="002261CB"/>
    <w:rsid w:val="002268BF"/>
    <w:rsid w:val="00227BDE"/>
    <w:rsid w:val="00230045"/>
    <w:rsid w:val="0023014E"/>
    <w:rsid w:val="002308FA"/>
    <w:rsid w:val="0023132F"/>
    <w:rsid w:val="00231AA5"/>
    <w:rsid w:val="00232F90"/>
    <w:rsid w:val="0023339B"/>
    <w:rsid w:val="00233F4D"/>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BF5"/>
    <w:rsid w:val="00250EDA"/>
    <w:rsid w:val="00251502"/>
    <w:rsid w:val="002518E8"/>
    <w:rsid w:val="00251C10"/>
    <w:rsid w:val="00252E1E"/>
    <w:rsid w:val="002538BA"/>
    <w:rsid w:val="0025469D"/>
    <w:rsid w:val="002552B1"/>
    <w:rsid w:val="00255D01"/>
    <w:rsid w:val="00256306"/>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165"/>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E6"/>
    <w:rsid w:val="002B3EA7"/>
    <w:rsid w:val="002B4BAE"/>
    <w:rsid w:val="002B538B"/>
    <w:rsid w:val="002B581B"/>
    <w:rsid w:val="002B753A"/>
    <w:rsid w:val="002C2892"/>
    <w:rsid w:val="002C58AB"/>
    <w:rsid w:val="002C6D84"/>
    <w:rsid w:val="002C7D21"/>
    <w:rsid w:val="002D1564"/>
    <w:rsid w:val="002D1CA4"/>
    <w:rsid w:val="002D2C09"/>
    <w:rsid w:val="002D2C45"/>
    <w:rsid w:val="002D4969"/>
    <w:rsid w:val="002D4EE1"/>
    <w:rsid w:val="002D4F49"/>
    <w:rsid w:val="002D62CA"/>
    <w:rsid w:val="002D778E"/>
    <w:rsid w:val="002D7F4F"/>
    <w:rsid w:val="002E04D7"/>
    <w:rsid w:val="002E06DD"/>
    <w:rsid w:val="002E171A"/>
    <w:rsid w:val="002E2A24"/>
    <w:rsid w:val="002E3D66"/>
    <w:rsid w:val="002E3F11"/>
    <w:rsid w:val="002E4B11"/>
    <w:rsid w:val="002E4F70"/>
    <w:rsid w:val="002E5886"/>
    <w:rsid w:val="002E5AD3"/>
    <w:rsid w:val="002E635D"/>
    <w:rsid w:val="002E6F9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74B"/>
    <w:rsid w:val="003069DD"/>
    <w:rsid w:val="00306B96"/>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1FF7"/>
    <w:rsid w:val="003223CE"/>
    <w:rsid w:val="00322A2D"/>
    <w:rsid w:val="00322E80"/>
    <w:rsid w:val="00322F73"/>
    <w:rsid w:val="00324D5B"/>
    <w:rsid w:val="00325045"/>
    <w:rsid w:val="00325D91"/>
    <w:rsid w:val="003267B4"/>
    <w:rsid w:val="00331193"/>
    <w:rsid w:val="00331DD6"/>
    <w:rsid w:val="003333D4"/>
    <w:rsid w:val="00334951"/>
    <w:rsid w:val="00334BD0"/>
    <w:rsid w:val="0033591E"/>
    <w:rsid w:val="00336411"/>
    <w:rsid w:val="0033678D"/>
    <w:rsid w:val="0033720D"/>
    <w:rsid w:val="003373E8"/>
    <w:rsid w:val="003379D9"/>
    <w:rsid w:val="003443DD"/>
    <w:rsid w:val="00344680"/>
    <w:rsid w:val="00344D5A"/>
    <w:rsid w:val="00346EB6"/>
    <w:rsid w:val="00347EDB"/>
    <w:rsid w:val="00350797"/>
    <w:rsid w:val="00350E68"/>
    <w:rsid w:val="00351A85"/>
    <w:rsid w:val="003522E8"/>
    <w:rsid w:val="00352C2A"/>
    <w:rsid w:val="00353989"/>
    <w:rsid w:val="003542DA"/>
    <w:rsid w:val="00355B7A"/>
    <w:rsid w:val="00355D1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8AB"/>
    <w:rsid w:val="00372221"/>
    <w:rsid w:val="00372CF2"/>
    <w:rsid w:val="00374C7E"/>
    <w:rsid w:val="00377353"/>
    <w:rsid w:val="0037736B"/>
    <w:rsid w:val="003801A6"/>
    <w:rsid w:val="00381F57"/>
    <w:rsid w:val="0038216E"/>
    <w:rsid w:val="003822E5"/>
    <w:rsid w:val="003830B8"/>
    <w:rsid w:val="00383262"/>
    <w:rsid w:val="00387179"/>
    <w:rsid w:val="00393E7B"/>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3F"/>
    <w:rsid w:val="003B52FE"/>
    <w:rsid w:val="003B572A"/>
    <w:rsid w:val="003B6325"/>
    <w:rsid w:val="003B71E0"/>
    <w:rsid w:val="003B78A4"/>
    <w:rsid w:val="003C07C2"/>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9E0"/>
    <w:rsid w:val="003D6376"/>
    <w:rsid w:val="003E1235"/>
    <w:rsid w:val="003E2A35"/>
    <w:rsid w:val="003E2B56"/>
    <w:rsid w:val="003E2CE1"/>
    <w:rsid w:val="003E2DCB"/>
    <w:rsid w:val="003E4C3F"/>
    <w:rsid w:val="003E4D7C"/>
    <w:rsid w:val="003E5FA8"/>
    <w:rsid w:val="003E6252"/>
    <w:rsid w:val="003F0343"/>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933"/>
    <w:rsid w:val="004065D6"/>
    <w:rsid w:val="0040687D"/>
    <w:rsid w:val="0040709D"/>
    <w:rsid w:val="0040713F"/>
    <w:rsid w:val="004075A3"/>
    <w:rsid w:val="00410C48"/>
    <w:rsid w:val="00416277"/>
    <w:rsid w:val="00416748"/>
    <w:rsid w:val="00416E24"/>
    <w:rsid w:val="0042063D"/>
    <w:rsid w:val="00422B23"/>
    <w:rsid w:val="00423A60"/>
    <w:rsid w:val="0042651C"/>
    <w:rsid w:val="00426E9B"/>
    <w:rsid w:val="00427B7B"/>
    <w:rsid w:val="00427D55"/>
    <w:rsid w:val="0043233C"/>
    <w:rsid w:val="004345A6"/>
    <w:rsid w:val="00435B2F"/>
    <w:rsid w:val="00435E03"/>
    <w:rsid w:val="00436DEE"/>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707"/>
    <w:rsid w:val="00452DF3"/>
    <w:rsid w:val="00452F3B"/>
    <w:rsid w:val="004534F5"/>
    <w:rsid w:val="00453765"/>
    <w:rsid w:val="004544D7"/>
    <w:rsid w:val="00454EC3"/>
    <w:rsid w:val="0045530A"/>
    <w:rsid w:val="004554AE"/>
    <w:rsid w:val="004554C3"/>
    <w:rsid w:val="00455FB6"/>
    <w:rsid w:val="00457197"/>
    <w:rsid w:val="00457555"/>
    <w:rsid w:val="00457971"/>
    <w:rsid w:val="00457DD8"/>
    <w:rsid w:val="00460126"/>
    <w:rsid w:val="004603D0"/>
    <w:rsid w:val="004624AE"/>
    <w:rsid w:val="0046250E"/>
    <w:rsid w:val="00462E9C"/>
    <w:rsid w:val="00463EF1"/>
    <w:rsid w:val="00464B48"/>
    <w:rsid w:val="00465231"/>
    <w:rsid w:val="00465520"/>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1A"/>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31A"/>
    <w:rsid w:val="004955E7"/>
    <w:rsid w:val="0049589C"/>
    <w:rsid w:val="00495EF1"/>
    <w:rsid w:val="00496ED4"/>
    <w:rsid w:val="00497D4A"/>
    <w:rsid w:val="004A009A"/>
    <w:rsid w:val="004A0441"/>
    <w:rsid w:val="004A084C"/>
    <w:rsid w:val="004A15B3"/>
    <w:rsid w:val="004A1D01"/>
    <w:rsid w:val="004A2A54"/>
    <w:rsid w:val="004A2EF3"/>
    <w:rsid w:val="004A3B0D"/>
    <w:rsid w:val="004A3D4E"/>
    <w:rsid w:val="004A4AC4"/>
    <w:rsid w:val="004A52F5"/>
    <w:rsid w:val="004A5D3A"/>
    <w:rsid w:val="004A6897"/>
    <w:rsid w:val="004A692B"/>
    <w:rsid w:val="004A6EB6"/>
    <w:rsid w:val="004A737A"/>
    <w:rsid w:val="004A794C"/>
    <w:rsid w:val="004B3EC7"/>
    <w:rsid w:val="004B4E7C"/>
    <w:rsid w:val="004B5664"/>
    <w:rsid w:val="004C2107"/>
    <w:rsid w:val="004C5FC6"/>
    <w:rsid w:val="004C6435"/>
    <w:rsid w:val="004C649B"/>
    <w:rsid w:val="004C7B9C"/>
    <w:rsid w:val="004C7D55"/>
    <w:rsid w:val="004D089A"/>
    <w:rsid w:val="004D2CEA"/>
    <w:rsid w:val="004D3184"/>
    <w:rsid w:val="004D5030"/>
    <w:rsid w:val="004D6045"/>
    <w:rsid w:val="004D7546"/>
    <w:rsid w:val="004D7EC5"/>
    <w:rsid w:val="004E02B0"/>
    <w:rsid w:val="004E0B29"/>
    <w:rsid w:val="004E0C4F"/>
    <w:rsid w:val="004E0E11"/>
    <w:rsid w:val="004E0F08"/>
    <w:rsid w:val="004E1546"/>
    <w:rsid w:val="004E19DC"/>
    <w:rsid w:val="004E35E8"/>
    <w:rsid w:val="004E3C88"/>
    <w:rsid w:val="004E50F0"/>
    <w:rsid w:val="004E6A03"/>
    <w:rsid w:val="004E70F3"/>
    <w:rsid w:val="004F0070"/>
    <w:rsid w:val="004F01B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096D"/>
    <w:rsid w:val="00511460"/>
    <w:rsid w:val="00512BBC"/>
    <w:rsid w:val="005134FB"/>
    <w:rsid w:val="005135FD"/>
    <w:rsid w:val="0051366C"/>
    <w:rsid w:val="0051684F"/>
    <w:rsid w:val="00516A92"/>
    <w:rsid w:val="00516B9F"/>
    <w:rsid w:val="005170F7"/>
    <w:rsid w:val="00517693"/>
    <w:rsid w:val="005205AB"/>
    <w:rsid w:val="00520A7B"/>
    <w:rsid w:val="00523378"/>
    <w:rsid w:val="0052550F"/>
    <w:rsid w:val="00526C0F"/>
    <w:rsid w:val="0052702A"/>
    <w:rsid w:val="00530397"/>
    <w:rsid w:val="00530806"/>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511"/>
    <w:rsid w:val="00554A44"/>
    <w:rsid w:val="00554C53"/>
    <w:rsid w:val="00554F18"/>
    <w:rsid w:val="00555220"/>
    <w:rsid w:val="005555F0"/>
    <w:rsid w:val="00555739"/>
    <w:rsid w:val="00556E75"/>
    <w:rsid w:val="00557383"/>
    <w:rsid w:val="0056069A"/>
    <w:rsid w:val="00560C3B"/>
    <w:rsid w:val="00561EA1"/>
    <w:rsid w:val="005622D1"/>
    <w:rsid w:val="00562799"/>
    <w:rsid w:val="00564804"/>
    <w:rsid w:val="00565598"/>
    <w:rsid w:val="00565B5A"/>
    <w:rsid w:val="00567E8F"/>
    <w:rsid w:val="005702D6"/>
    <w:rsid w:val="00572588"/>
    <w:rsid w:val="00573A50"/>
    <w:rsid w:val="005746D2"/>
    <w:rsid w:val="00574E8A"/>
    <w:rsid w:val="00577607"/>
    <w:rsid w:val="00577775"/>
    <w:rsid w:val="00577C1A"/>
    <w:rsid w:val="00580675"/>
    <w:rsid w:val="0058121A"/>
    <w:rsid w:val="00581863"/>
    <w:rsid w:val="00581EA3"/>
    <w:rsid w:val="0058205A"/>
    <w:rsid w:val="0058260B"/>
    <w:rsid w:val="00584D1E"/>
    <w:rsid w:val="00586795"/>
    <w:rsid w:val="00586B82"/>
    <w:rsid w:val="00587A21"/>
    <w:rsid w:val="00587E13"/>
    <w:rsid w:val="00590E11"/>
    <w:rsid w:val="00592A95"/>
    <w:rsid w:val="005933AA"/>
    <w:rsid w:val="005940AA"/>
    <w:rsid w:val="00594614"/>
    <w:rsid w:val="00594E10"/>
    <w:rsid w:val="00596306"/>
    <w:rsid w:val="00596487"/>
    <w:rsid w:val="0059759F"/>
    <w:rsid w:val="005A0809"/>
    <w:rsid w:val="005A0B91"/>
    <w:rsid w:val="005A1494"/>
    <w:rsid w:val="005A192A"/>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3B7"/>
    <w:rsid w:val="005B76A4"/>
    <w:rsid w:val="005C04A7"/>
    <w:rsid w:val="005C0E5A"/>
    <w:rsid w:val="005C17A4"/>
    <w:rsid w:val="005C27CC"/>
    <w:rsid w:val="005C370D"/>
    <w:rsid w:val="005C504E"/>
    <w:rsid w:val="005C5C02"/>
    <w:rsid w:val="005C6153"/>
    <w:rsid w:val="005C78B0"/>
    <w:rsid w:val="005C7B95"/>
    <w:rsid w:val="005D01EB"/>
    <w:rsid w:val="005D0DFB"/>
    <w:rsid w:val="005D1112"/>
    <w:rsid w:val="005D237C"/>
    <w:rsid w:val="005D25E2"/>
    <w:rsid w:val="005D25FF"/>
    <w:rsid w:val="005D2632"/>
    <w:rsid w:val="005D38E0"/>
    <w:rsid w:val="005D3F32"/>
    <w:rsid w:val="005D43CF"/>
    <w:rsid w:val="005D4E3E"/>
    <w:rsid w:val="005D67F7"/>
    <w:rsid w:val="005D7D7E"/>
    <w:rsid w:val="005E0225"/>
    <w:rsid w:val="005E0B59"/>
    <w:rsid w:val="005E1105"/>
    <w:rsid w:val="005E162F"/>
    <w:rsid w:val="005E2C60"/>
    <w:rsid w:val="005E31F6"/>
    <w:rsid w:val="005E3622"/>
    <w:rsid w:val="005E56AE"/>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2B3"/>
    <w:rsid w:val="006003E5"/>
    <w:rsid w:val="00600E63"/>
    <w:rsid w:val="00601561"/>
    <w:rsid w:val="00601E55"/>
    <w:rsid w:val="00602037"/>
    <w:rsid w:val="006029DD"/>
    <w:rsid w:val="00602C6A"/>
    <w:rsid w:val="00603AF5"/>
    <w:rsid w:val="00606C66"/>
    <w:rsid w:val="00610145"/>
    <w:rsid w:val="00610D1F"/>
    <w:rsid w:val="0061113D"/>
    <w:rsid w:val="006123C6"/>
    <w:rsid w:val="00612C02"/>
    <w:rsid w:val="00612CDD"/>
    <w:rsid w:val="00612EEC"/>
    <w:rsid w:val="00613A75"/>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6AC5"/>
    <w:rsid w:val="00627337"/>
    <w:rsid w:val="00630069"/>
    <w:rsid w:val="00630583"/>
    <w:rsid w:val="00630D2E"/>
    <w:rsid w:val="00630D39"/>
    <w:rsid w:val="00630FEE"/>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7E4"/>
    <w:rsid w:val="00650E84"/>
    <w:rsid w:val="0065198B"/>
    <w:rsid w:val="006525AF"/>
    <w:rsid w:val="0065266A"/>
    <w:rsid w:val="00653F9C"/>
    <w:rsid w:val="00655470"/>
    <w:rsid w:val="00656FEE"/>
    <w:rsid w:val="0065758F"/>
    <w:rsid w:val="0065776C"/>
    <w:rsid w:val="00660897"/>
    <w:rsid w:val="00661028"/>
    <w:rsid w:val="006617BD"/>
    <w:rsid w:val="0066194D"/>
    <w:rsid w:val="00664695"/>
    <w:rsid w:val="00664840"/>
    <w:rsid w:val="00664B44"/>
    <w:rsid w:val="006652BF"/>
    <w:rsid w:val="0066630C"/>
    <w:rsid w:val="006676EF"/>
    <w:rsid w:val="00667BBD"/>
    <w:rsid w:val="00671149"/>
    <w:rsid w:val="00671615"/>
    <w:rsid w:val="00671741"/>
    <w:rsid w:val="00671766"/>
    <w:rsid w:val="00671B27"/>
    <w:rsid w:val="00672914"/>
    <w:rsid w:val="006744C3"/>
    <w:rsid w:val="00675045"/>
    <w:rsid w:val="0067537F"/>
    <w:rsid w:val="00676410"/>
    <w:rsid w:val="00680509"/>
    <w:rsid w:val="006805CB"/>
    <w:rsid w:val="00681CC1"/>
    <w:rsid w:val="0068233B"/>
    <w:rsid w:val="00682E11"/>
    <w:rsid w:val="00683081"/>
    <w:rsid w:val="00684C95"/>
    <w:rsid w:val="006850D3"/>
    <w:rsid w:val="00685249"/>
    <w:rsid w:val="00685648"/>
    <w:rsid w:val="006856B9"/>
    <w:rsid w:val="00685BDE"/>
    <w:rsid w:val="00686085"/>
    <w:rsid w:val="00687C0D"/>
    <w:rsid w:val="00690CD7"/>
    <w:rsid w:val="00691237"/>
    <w:rsid w:val="006920E6"/>
    <w:rsid w:val="00692555"/>
    <w:rsid w:val="00692575"/>
    <w:rsid w:val="006963E1"/>
    <w:rsid w:val="00696566"/>
    <w:rsid w:val="006966BA"/>
    <w:rsid w:val="0069722D"/>
    <w:rsid w:val="006A0052"/>
    <w:rsid w:val="006A0A9E"/>
    <w:rsid w:val="006A1F1C"/>
    <w:rsid w:val="006A3836"/>
    <w:rsid w:val="006A3DD3"/>
    <w:rsid w:val="006A4625"/>
    <w:rsid w:val="006A47AE"/>
    <w:rsid w:val="006A5B5E"/>
    <w:rsid w:val="006A67CB"/>
    <w:rsid w:val="006A6A96"/>
    <w:rsid w:val="006B0368"/>
    <w:rsid w:val="006B0F6E"/>
    <w:rsid w:val="006B1D7B"/>
    <w:rsid w:val="006B27D4"/>
    <w:rsid w:val="006B2C9C"/>
    <w:rsid w:val="006B3B50"/>
    <w:rsid w:val="006B48EB"/>
    <w:rsid w:val="006B4C00"/>
    <w:rsid w:val="006B56FC"/>
    <w:rsid w:val="006B63D1"/>
    <w:rsid w:val="006B6DDA"/>
    <w:rsid w:val="006B73D9"/>
    <w:rsid w:val="006B7DF0"/>
    <w:rsid w:val="006B7E74"/>
    <w:rsid w:val="006C0D75"/>
    <w:rsid w:val="006C1C48"/>
    <w:rsid w:val="006C24BB"/>
    <w:rsid w:val="006C3C1D"/>
    <w:rsid w:val="006C41FF"/>
    <w:rsid w:val="006C5145"/>
    <w:rsid w:val="006C65A8"/>
    <w:rsid w:val="006C7019"/>
    <w:rsid w:val="006C78D6"/>
    <w:rsid w:val="006C7B01"/>
    <w:rsid w:val="006D05AD"/>
    <w:rsid w:val="006D0EC1"/>
    <w:rsid w:val="006D16F8"/>
    <w:rsid w:val="006D1813"/>
    <w:rsid w:val="006D2346"/>
    <w:rsid w:val="006D24A9"/>
    <w:rsid w:val="006D2AF3"/>
    <w:rsid w:val="006D4D79"/>
    <w:rsid w:val="006D4FBD"/>
    <w:rsid w:val="006D5879"/>
    <w:rsid w:val="006D63FD"/>
    <w:rsid w:val="006D65B4"/>
    <w:rsid w:val="006D754A"/>
    <w:rsid w:val="006D7B9C"/>
    <w:rsid w:val="006E04C6"/>
    <w:rsid w:val="006E04D7"/>
    <w:rsid w:val="006E0A65"/>
    <w:rsid w:val="006E1B01"/>
    <w:rsid w:val="006E1B73"/>
    <w:rsid w:val="006E3E3D"/>
    <w:rsid w:val="006E414D"/>
    <w:rsid w:val="006E4836"/>
    <w:rsid w:val="006E5DDD"/>
    <w:rsid w:val="006E7811"/>
    <w:rsid w:val="006F04DA"/>
    <w:rsid w:val="006F0557"/>
    <w:rsid w:val="006F0EA3"/>
    <w:rsid w:val="006F1B5D"/>
    <w:rsid w:val="006F212B"/>
    <w:rsid w:val="006F37F7"/>
    <w:rsid w:val="006F396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2ED"/>
    <w:rsid w:val="00710A59"/>
    <w:rsid w:val="00710FDE"/>
    <w:rsid w:val="007116C7"/>
    <w:rsid w:val="00711C5A"/>
    <w:rsid w:val="00712B66"/>
    <w:rsid w:val="007130D9"/>
    <w:rsid w:val="00713C31"/>
    <w:rsid w:val="0071428D"/>
    <w:rsid w:val="007144C9"/>
    <w:rsid w:val="00715475"/>
    <w:rsid w:val="00716B3C"/>
    <w:rsid w:val="007170C2"/>
    <w:rsid w:val="00717EE4"/>
    <w:rsid w:val="00717F2D"/>
    <w:rsid w:val="00720453"/>
    <w:rsid w:val="00720853"/>
    <w:rsid w:val="00721EE8"/>
    <w:rsid w:val="00722129"/>
    <w:rsid w:val="00724173"/>
    <w:rsid w:val="00726730"/>
    <w:rsid w:val="00727319"/>
    <w:rsid w:val="00727574"/>
    <w:rsid w:val="00730598"/>
    <w:rsid w:val="00731C24"/>
    <w:rsid w:val="0073257E"/>
    <w:rsid w:val="00732A32"/>
    <w:rsid w:val="00733066"/>
    <w:rsid w:val="00733469"/>
    <w:rsid w:val="00733539"/>
    <w:rsid w:val="0073492C"/>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AA6"/>
    <w:rsid w:val="00756551"/>
    <w:rsid w:val="00757769"/>
    <w:rsid w:val="0076067E"/>
    <w:rsid w:val="00760C83"/>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A35"/>
    <w:rsid w:val="00786DB0"/>
    <w:rsid w:val="007879BD"/>
    <w:rsid w:val="00787D47"/>
    <w:rsid w:val="0079014E"/>
    <w:rsid w:val="00791095"/>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4EF"/>
    <w:rsid w:val="007B26E1"/>
    <w:rsid w:val="007B2BC1"/>
    <w:rsid w:val="007B3045"/>
    <w:rsid w:val="007B4C0F"/>
    <w:rsid w:val="007B5E25"/>
    <w:rsid w:val="007B6E0E"/>
    <w:rsid w:val="007C27FB"/>
    <w:rsid w:val="007C2CBB"/>
    <w:rsid w:val="007C309C"/>
    <w:rsid w:val="007C4196"/>
    <w:rsid w:val="007C4209"/>
    <w:rsid w:val="007C5EB9"/>
    <w:rsid w:val="007C7449"/>
    <w:rsid w:val="007C7EA5"/>
    <w:rsid w:val="007D1A95"/>
    <w:rsid w:val="007D245E"/>
    <w:rsid w:val="007D3764"/>
    <w:rsid w:val="007D4319"/>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CCD"/>
    <w:rsid w:val="007F20F1"/>
    <w:rsid w:val="007F21ED"/>
    <w:rsid w:val="007F2CE2"/>
    <w:rsid w:val="007F4224"/>
    <w:rsid w:val="007F4DD2"/>
    <w:rsid w:val="007F4FB9"/>
    <w:rsid w:val="007F7022"/>
    <w:rsid w:val="007F7326"/>
    <w:rsid w:val="007F7690"/>
    <w:rsid w:val="008011CC"/>
    <w:rsid w:val="00801404"/>
    <w:rsid w:val="00801510"/>
    <w:rsid w:val="008017AA"/>
    <w:rsid w:val="00801CBA"/>
    <w:rsid w:val="00801D92"/>
    <w:rsid w:val="00804BCF"/>
    <w:rsid w:val="00804FA4"/>
    <w:rsid w:val="00805275"/>
    <w:rsid w:val="00806A62"/>
    <w:rsid w:val="00806E55"/>
    <w:rsid w:val="00807527"/>
    <w:rsid w:val="008075CE"/>
    <w:rsid w:val="00812179"/>
    <w:rsid w:val="008124E2"/>
    <w:rsid w:val="00812BE2"/>
    <w:rsid w:val="00813080"/>
    <w:rsid w:val="00813928"/>
    <w:rsid w:val="00815321"/>
    <w:rsid w:val="008166DB"/>
    <w:rsid w:val="008173E0"/>
    <w:rsid w:val="008175C1"/>
    <w:rsid w:val="008200D4"/>
    <w:rsid w:val="00820370"/>
    <w:rsid w:val="00820CC6"/>
    <w:rsid w:val="00822C2F"/>
    <w:rsid w:val="00822C41"/>
    <w:rsid w:val="00825043"/>
    <w:rsid w:val="00825267"/>
    <w:rsid w:val="008252E3"/>
    <w:rsid w:val="008264EC"/>
    <w:rsid w:val="00827886"/>
    <w:rsid w:val="00827C0D"/>
    <w:rsid w:val="00830642"/>
    <w:rsid w:val="00831250"/>
    <w:rsid w:val="00831D8D"/>
    <w:rsid w:val="008333B7"/>
    <w:rsid w:val="008336EC"/>
    <w:rsid w:val="008337B9"/>
    <w:rsid w:val="00834FD2"/>
    <w:rsid w:val="00835084"/>
    <w:rsid w:val="00835184"/>
    <w:rsid w:val="00835569"/>
    <w:rsid w:val="00835802"/>
    <w:rsid w:val="00836295"/>
    <w:rsid w:val="00836757"/>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3D69"/>
    <w:rsid w:val="00853E97"/>
    <w:rsid w:val="0085465C"/>
    <w:rsid w:val="00854967"/>
    <w:rsid w:val="0085540B"/>
    <w:rsid w:val="00855511"/>
    <w:rsid w:val="0085582C"/>
    <w:rsid w:val="00855FD3"/>
    <w:rsid w:val="00857086"/>
    <w:rsid w:val="00857572"/>
    <w:rsid w:val="008575A1"/>
    <w:rsid w:val="00860F4D"/>
    <w:rsid w:val="008611DE"/>
    <w:rsid w:val="00861375"/>
    <w:rsid w:val="00861C56"/>
    <w:rsid w:val="00861F29"/>
    <w:rsid w:val="008620A2"/>
    <w:rsid w:val="00862741"/>
    <w:rsid w:val="00862BBD"/>
    <w:rsid w:val="00863C9F"/>
    <w:rsid w:val="008645D6"/>
    <w:rsid w:val="0086552B"/>
    <w:rsid w:val="008655A2"/>
    <w:rsid w:val="0086584F"/>
    <w:rsid w:val="00866768"/>
    <w:rsid w:val="008671C7"/>
    <w:rsid w:val="0086745B"/>
    <w:rsid w:val="00867EB8"/>
    <w:rsid w:val="00870335"/>
    <w:rsid w:val="00870AA2"/>
    <w:rsid w:val="008732B6"/>
    <w:rsid w:val="00873D88"/>
    <w:rsid w:val="0087433B"/>
    <w:rsid w:val="0087621E"/>
    <w:rsid w:val="008767B2"/>
    <w:rsid w:val="00876B17"/>
    <w:rsid w:val="00877328"/>
    <w:rsid w:val="0087787A"/>
    <w:rsid w:val="008802F0"/>
    <w:rsid w:val="00880992"/>
    <w:rsid w:val="00881692"/>
    <w:rsid w:val="00883143"/>
    <w:rsid w:val="0088360B"/>
    <w:rsid w:val="00883EE0"/>
    <w:rsid w:val="00884364"/>
    <w:rsid w:val="008858FD"/>
    <w:rsid w:val="00886154"/>
    <w:rsid w:val="00890277"/>
    <w:rsid w:val="0089061A"/>
    <w:rsid w:val="008915C6"/>
    <w:rsid w:val="00891677"/>
    <w:rsid w:val="008922CF"/>
    <w:rsid w:val="00892DB5"/>
    <w:rsid w:val="00894B61"/>
    <w:rsid w:val="00894CD1"/>
    <w:rsid w:val="00895255"/>
    <w:rsid w:val="008953F9"/>
    <w:rsid w:val="0089562A"/>
    <w:rsid w:val="00895DF1"/>
    <w:rsid w:val="00896645"/>
    <w:rsid w:val="008975D2"/>
    <w:rsid w:val="008A035B"/>
    <w:rsid w:val="008A0459"/>
    <w:rsid w:val="008A0C99"/>
    <w:rsid w:val="008A1218"/>
    <w:rsid w:val="008A15B6"/>
    <w:rsid w:val="008A1A6E"/>
    <w:rsid w:val="008A1B50"/>
    <w:rsid w:val="008A202A"/>
    <w:rsid w:val="008A36C9"/>
    <w:rsid w:val="008A44F3"/>
    <w:rsid w:val="008A5AF9"/>
    <w:rsid w:val="008A721F"/>
    <w:rsid w:val="008B16DE"/>
    <w:rsid w:val="008B2026"/>
    <w:rsid w:val="008B251F"/>
    <w:rsid w:val="008B2602"/>
    <w:rsid w:val="008B2727"/>
    <w:rsid w:val="008B316B"/>
    <w:rsid w:val="008B470F"/>
    <w:rsid w:val="008B5059"/>
    <w:rsid w:val="008B5BF2"/>
    <w:rsid w:val="008B6934"/>
    <w:rsid w:val="008B6CF8"/>
    <w:rsid w:val="008B72F6"/>
    <w:rsid w:val="008C119E"/>
    <w:rsid w:val="008C1E24"/>
    <w:rsid w:val="008C2892"/>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D62"/>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631F"/>
    <w:rsid w:val="008E7209"/>
    <w:rsid w:val="008E7448"/>
    <w:rsid w:val="008F11BB"/>
    <w:rsid w:val="008F16FF"/>
    <w:rsid w:val="008F182F"/>
    <w:rsid w:val="008F1B6C"/>
    <w:rsid w:val="008F1E95"/>
    <w:rsid w:val="008F2304"/>
    <w:rsid w:val="008F57DD"/>
    <w:rsid w:val="008F5AEE"/>
    <w:rsid w:val="008F6EAA"/>
    <w:rsid w:val="008F7800"/>
    <w:rsid w:val="008F7BCA"/>
    <w:rsid w:val="00900F4D"/>
    <w:rsid w:val="0090167B"/>
    <w:rsid w:val="00902DEC"/>
    <w:rsid w:val="0090342E"/>
    <w:rsid w:val="00903953"/>
    <w:rsid w:val="00903D3A"/>
    <w:rsid w:val="009044B9"/>
    <w:rsid w:val="009047B1"/>
    <w:rsid w:val="00904C86"/>
    <w:rsid w:val="0090680D"/>
    <w:rsid w:val="0091045D"/>
    <w:rsid w:val="00911B8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BF8"/>
    <w:rsid w:val="009302D4"/>
    <w:rsid w:val="009307F2"/>
    <w:rsid w:val="00930CEC"/>
    <w:rsid w:val="00930F4A"/>
    <w:rsid w:val="0093375E"/>
    <w:rsid w:val="00933BEF"/>
    <w:rsid w:val="00934CFF"/>
    <w:rsid w:val="0093687E"/>
    <w:rsid w:val="0093787E"/>
    <w:rsid w:val="00940262"/>
    <w:rsid w:val="009412CC"/>
    <w:rsid w:val="0094388B"/>
    <w:rsid w:val="00943D09"/>
    <w:rsid w:val="00944826"/>
    <w:rsid w:val="009457A1"/>
    <w:rsid w:val="0094644D"/>
    <w:rsid w:val="00947C5D"/>
    <w:rsid w:val="00947CA9"/>
    <w:rsid w:val="00950478"/>
    <w:rsid w:val="00950888"/>
    <w:rsid w:val="00950AF9"/>
    <w:rsid w:val="00950B5F"/>
    <w:rsid w:val="00950D35"/>
    <w:rsid w:val="0095144C"/>
    <w:rsid w:val="0095165B"/>
    <w:rsid w:val="00951B17"/>
    <w:rsid w:val="00951B8D"/>
    <w:rsid w:val="009536A8"/>
    <w:rsid w:val="00954596"/>
    <w:rsid w:val="00954B26"/>
    <w:rsid w:val="00955851"/>
    <w:rsid w:val="00957613"/>
    <w:rsid w:val="00957E23"/>
    <w:rsid w:val="00961487"/>
    <w:rsid w:val="00961BA7"/>
    <w:rsid w:val="00961F01"/>
    <w:rsid w:val="00962162"/>
    <w:rsid w:val="009623BC"/>
    <w:rsid w:val="009628BE"/>
    <w:rsid w:val="009631C8"/>
    <w:rsid w:val="00963AE4"/>
    <w:rsid w:val="00963C14"/>
    <w:rsid w:val="009645BE"/>
    <w:rsid w:val="009645CD"/>
    <w:rsid w:val="00965940"/>
    <w:rsid w:val="00965A4E"/>
    <w:rsid w:val="00965A9D"/>
    <w:rsid w:val="00966BE5"/>
    <w:rsid w:val="00966EB0"/>
    <w:rsid w:val="009676CF"/>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9EF"/>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ECE"/>
    <w:rsid w:val="009B4027"/>
    <w:rsid w:val="009B4975"/>
    <w:rsid w:val="009B4E30"/>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7D2"/>
    <w:rsid w:val="009D38C2"/>
    <w:rsid w:val="009D417F"/>
    <w:rsid w:val="009D45E5"/>
    <w:rsid w:val="009D4B85"/>
    <w:rsid w:val="009D535B"/>
    <w:rsid w:val="009D630B"/>
    <w:rsid w:val="009D6CAA"/>
    <w:rsid w:val="009D6CF6"/>
    <w:rsid w:val="009D6E69"/>
    <w:rsid w:val="009E02DC"/>
    <w:rsid w:val="009E09F6"/>
    <w:rsid w:val="009E2040"/>
    <w:rsid w:val="009E49AE"/>
    <w:rsid w:val="009E4DC7"/>
    <w:rsid w:val="009E660A"/>
    <w:rsid w:val="009E6B64"/>
    <w:rsid w:val="009E72E5"/>
    <w:rsid w:val="009E7C32"/>
    <w:rsid w:val="009F46C8"/>
    <w:rsid w:val="009F4F2A"/>
    <w:rsid w:val="009F660B"/>
    <w:rsid w:val="009F671E"/>
    <w:rsid w:val="009F7ED1"/>
    <w:rsid w:val="00A00A96"/>
    <w:rsid w:val="00A0149B"/>
    <w:rsid w:val="00A01607"/>
    <w:rsid w:val="00A018D4"/>
    <w:rsid w:val="00A02CD6"/>
    <w:rsid w:val="00A02F9D"/>
    <w:rsid w:val="00A03767"/>
    <w:rsid w:val="00A04834"/>
    <w:rsid w:val="00A05628"/>
    <w:rsid w:val="00A07DCF"/>
    <w:rsid w:val="00A12979"/>
    <w:rsid w:val="00A131A9"/>
    <w:rsid w:val="00A14742"/>
    <w:rsid w:val="00A1496E"/>
    <w:rsid w:val="00A14F84"/>
    <w:rsid w:val="00A16D6D"/>
    <w:rsid w:val="00A17C75"/>
    <w:rsid w:val="00A2110A"/>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0D55"/>
    <w:rsid w:val="00A51C19"/>
    <w:rsid w:val="00A51E04"/>
    <w:rsid w:val="00A522B5"/>
    <w:rsid w:val="00A52C31"/>
    <w:rsid w:val="00A52F37"/>
    <w:rsid w:val="00A533C5"/>
    <w:rsid w:val="00A5360C"/>
    <w:rsid w:val="00A5388C"/>
    <w:rsid w:val="00A5397B"/>
    <w:rsid w:val="00A53BE1"/>
    <w:rsid w:val="00A54644"/>
    <w:rsid w:val="00A54730"/>
    <w:rsid w:val="00A54C2D"/>
    <w:rsid w:val="00A55921"/>
    <w:rsid w:val="00A560E3"/>
    <w:rsid w:val="00A5628F"/>
    <w:rsid w:val="00A564AF"/>
    <w:rsid w:val="00A566A8"/>
    <w:rsid w:val="00A56D0B"/>
    <w:rsid w:val="00A5775C"/>
    <w:rsid w:val="00A60E72"/>
    <w:rsid w:val="00A61F0C"/>
    <w:rsid w:val="00A61F18"/>
    <w:rsid w:val="00A61FF0"/>
    <w:rsid w:val="00A62580"/>
    <w:rsid w:val="00A63AC9"/>
    <w:rsid w:val="00A64502"/>
    <w:rsid w:val="00A64B5F"/>
    <w:rsid w:val="00A65EA0"/>
    <w:rsid w:val="00A66517"/>
    <w:rsid w:val="00A66729"/>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65F8"/>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1AB0"/>
    <w:rsid w:val="00AB202A"/>
    <w:rsid w:val="00AB5555"/>
    <w:rsid w:val="00AB55AD"/>
    <w:rsid w:val="00AB5D1B"/>
    <w:rsid w:val="00AB6918"/>
    <w:rsid w:val="00AB6B40"/>
    <w:rsid w:val="00AB740A"/>
    <w:rsid w:val="00AC1DA5"/>
    <w:rsid w:val="00AC216B"/>
    <w:rsid w:val="00AC26B1"/>
    <w:rsid w:val="00AC303F"/>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A97"/>
    <w:rsid w:val="00AE503A"/>
    <w:rsid w:val="00AE68E2"/>
    <w:rsid w:val="00AE7418"/>
    <w:rsid w:val="00AF0157"/>
    <w:rsid w:val="00AF2EC7"/>
    <w:rsid w:val="00AF3AC0"/>
    <w:rsid w:val="00AF3E83"/>
    <w:rsid w:val="00AF4F4A"/>
    <w:rsid w:val="00AF7985"/>
    <w:rsid w:val="00B00C24"/>
    <w:rsid w:val="00B00F93"/>
    <w:rsid w:val="00B01BBE"/>
    <w:rsid w:val="00B03F92"/>
    <w:rsid w:val="00B055D8"/>
    <w:rsid w:val="00B06CD6"/>
    <w:rsid w:val="00B06EBC"/>
    <w:rsid w:val="00B07519"/>
    <w:rsid w:val="00B11763"/>
    <w:rsid w:val="00B11D13"/>
    <w:rsid w:val="00B11D2D"/>
    <w:rsid w:val="00B123F0"/>
    <w:rsid w:val="00B12891"/>
    <w:rsid w:val="00B12AFD"/>
    <w:rsid w:val="00B146C1"/>
    <w:rsid w:val="00B146E7"/>
    <w:rsid w:val="00B156DF"/>
    <w:rsid w:val="00B15ABB"/>
    <w:rsid w:val="00B16973"/>
    <w:rsid w:val="00B2036A"/>
    <w:rsid w:val="00B21057"/>
    <w:rsid w:val="00B2202B"/>
    <w:rsid w:val="00B232BE"/>
    <w:rsid w:val="00B23422"/>
    <w:rsid w:val="00B24948"/>
    <w:rsid w:val="00B24CBD"/>
    <w:rsid w:val="00B25CA3"/>
    <w:rsid w:val="00B30028"/>
    <w:rsid w:val="00B31E8D"/>
    <w:rsid w:val="00B31EB6"/>
    <w:rsid w:val="00B3313B"/>
    <w:rsid w:val="00B331E8"/>
    <w:rsid w:val="00B331EA"/>
    <w:rsid w:val="00B34732"/>
    <w:rsid w:val="00B353B8"/>
    <w:rsid w:val="00B35C56"/>
    <w:rsid w:val="00B36F17"/>
    <w:rsid w:val="00B372ED"/>
    <w:rsid w:val="00B40603"/>
    <w:rsid w:val="00B40AF6"/>
    <w:rsid w:val="00B41071"/>
    <w:rsid w:val="00B418B9"/>
    <w:rsid w:val="00B425C0"/>
    <w:rsid w:val="00B42DB6"/>
    <w:rsid w:val="00B43C65"/>
    <w:rsid w:val="00B44681"/>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003"/>
    <w:rsid w:val="00B814CB"/>
    <w:rsid w:val="00B818B6"/>
    <w:rsid w:val="00B81B6A"/>
    <w:rsid w:val="00B820F4"/>
    <w:rsid w:val="00B835E0"/>
    <w:rsid w:val="00B8396D"/>
    <w:rsid w:val="00B86E80"/>
    <w:rsid w:val="00B875DB"/>
    <w:rsid w:val="00B879ED"/>
    <w:rsid w:val="00B90331"/>
    <w:rsid w:val="00B903ED"/>
    <w:rsid w:val="00B90B2D"/>
    <w:rsid w:val="00B9173C"/>
    <w:rsid w:val="00B935A1"/>
    <w:rsid w:val="00B95DAD"/>
    <w:rsid w:val="00B96C0C"/>
    <w:rsid w:val="00B9734D"/>
    <w:rsid w:val="00B97732"/>
    <w:rsid w:val="00BA27F4"/>
    <w:rsid w:val="00BA2E40"/>
    <w:rsid w:val="00BA2EB3"/>
    <w:rsid w:val="00BA2FBD"/>
    <w:rsid w:val="00BA3CB7"/>
    <w:rsid w:val="00BA41DE"/>
    <w:rsid w:val="00BA556C"/>
    <w:rsid w:val="00BA6CE2"/>
    <w:rsid w:val="00BB0F31"/>
    <w:rsid w:val="00BB15AB"/>
    <w:rsid w:val="00BB189B"/>
    <w:rsid w:val="00BB1D21"/>
    <w:rsid w:val="00BB2E51"/>
    <w:rsid w:val="00BB4BEA"/>
    <w:rsid w:val="00BB4C1A"/>
    <w:rsid w:val="00BB50AB"/>
    <w:rsid w:val="00BB6664"/>
    <w:rsid w:val="00BC01FC"/>
    <w:rsid w:val="00BC1F79"/>
    <w:rsid w:val="00BC2201"/>
    <w:rsid w:val="00BC3C7A"/>
    <w:rsid w:val="00BC5CFB"/>
    <w:rsid w:val="00BC7DC6"/>
    <w:rsid w:val="00BD020F"/>
    <w:rsid w:val="00BD1039"/>
    <w:rsid w:val="00BD13B5"/>
    <w:rsid w:val="00BD2EFC"/>
    <w:rsid w:val="00BD340E"/>
    <w:rsid w:val="00BD60AD"/>
    <w:rsid w:val="00BD6C02"/>
    <w:rsid w:val="00BE1244"/>
    <w:rsid w:val="00BE13F1"/>
    <w:rsid w:val="00BE165D"/>
    <w:rsid w:val="00BE2394"/>
    <w:rsid w:val="00BE2702"/>
    <w:rsid w:val="00BE316C"/>
    <w:rsid w:val="00BE3C41"/>
    <w:rsid w:val="00BE3FD2"/>
    <w:rsid w:val="00BE4326"/>
    <w:rsid w:val="00BE5F4F"/>
    <w:rsid w:val="00BE60DB"/>
    <w:rsid w:val="00BF0191"/>
    <w:rsid w:val="00BF13EC"/>
    <w:rsid w:val="00BF18B6"/>
    <w:rsid w:val="00BF1C07"/>
    <w:rsid w:val="00BF3DEE"/>
    <w:rsid w:val="00BF54AC"/>
    <w:rsid w:val="00BF54BD"/>
    <w:rsid w:val="00BF562B"/>
    <w:rsid w:val="00BF6B8E"/>
    <w:rsid w:val="00BF7F81"/>
    <w:rsid w:val="00C025A5"/>
    <w:rsid w:val="00C03C78"/>
    <w:rsid w:val="00C04FD3"/>
    <w:rsid w:val="00C065A2"/>
    <w:rsid w:val="00C07919"/>
    <w:rsid w:val="00C07CC5"/>
    <w:rsid w:val="00C07EFB"/>
    <w:rsid w:val="00C10019"/>
    <w:rsid w:val="00C103F9"/>
    <w:rsid w:val="00C104AC"/>
    <w:rsid w:val="00C1056E"/>
    <w:rsid w:val="00C110E1"/>
    <w:rsid w:val="00C1198F"/>
    <w:rsid w:val="00C11FA1"/>
    <w:rsid w:val="00C129FB"/>
    <w:rsid w:val="00C12E21"/>
    <w:rsid w:val="00C12E65"/>
    <w:rsid w:val="00C13B27"/>
    <w:rsid w:val="00C13C20"/>
    <w:rsid w:val="00C13F74"/>
    <w:rsid w:val="00C146D3"/>
    <w:rsid w:val="00C1629A"/>
    <w:rsid w:val="00C16BE0"/>
    <w:rsid w:val="00C21C39"/>
    <w:rsid w:val="00C2325C"/>
    <w:rsid w:val="00C239ED"/>
    <w:rsid w:val="00C24D9D"/>
    <w:rsid w:val="00C25CF3"/>
    <w:rsid w:val="00C263E9"/>
    <w:rsid w:val="00C2690A"/>
    <w:rsid w:val="00C2775A"/>
    <w:rsid w:val="00C3063A"/>
    <w:rsid w:val="00C309C1"/>
    <w:rsid w:val="00C30BAD"/>
    <w:rsid w:val="00C317AB"/>
    <w:rsid w:val="00C31E8F"/>
    <w:rsid w:val="00C335DA"/>
    <w:rsid w:val="00C33D3E"/>
    <w:rsid w:val="00C3409F"/>
    <w:rsid w:val="00C362E0"/>
    <w:rsid w:val="00C36ED4"/>
    <w:rsid w:val="00C376CC"/>
    <w:rsid w:val="00C400F7"/>
    <w:rsid w:val="00C40EC6"/>
    <w:rsid w:val="00C419AD"/>
    <w:rsid w:val="00C41B5F"/>
    <w:rsid w:val="00C437BA"/>
    <w:rsid w:val="00C44395"/>
    <w:rsid w:val="00C443B3"/>
    <w:rsid w:val="00C45CE8"/>
    <w:rsid w:val="00C464D6"/>
    <w:rsid w:val="00C46F06"/>
    <w:rsid w:val="00C47DA6"/>
    <w:rsid w:val="00C50986"/>
    <w:rsid w:val="00C50ABF"/>
    <w:rsid w:val="00C50EF2"/>
    <w:rsid w:val="00C51256"/>
    <w:rsid w:val="00C51566"/>
    <w:rsid w:val="00C516B7"/>
    <w:rsid w:val="00C516C4"/>
    <w:rsid w:val="00C51C1F"/>
    <w:rsid w:val="00C5222C"/>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C41"/>
    <w:rsid w:val="00C657B5"/>
    <w:rsid w:val="00C661E1"/>
    <w:rsid w:val="00C66686"/>
    <w:rsid w:val="00C678C4"/>
    <w:rsid w:val="00C70935"/>
    <w:rsid w:val="00C71215"/>
    <w:rsid w:val="00C7216B"/>
    <w:rsid w:val="00C727BE"/>
    <w:rsid w:val="00C732A9"/>
    <w:rsid w:val="00C73448"/>
    <w:rsid w:val="00C73E2E"/>
    <w:rsid w:val="00C74546"/>
    <w:rsid w:val="00C748E2"/>
    <w:rsid w:val="00C75B12"/>
    <w:rsid w:val="00C7776C"/>
    <w:rsid w:val="00C82F13"/>
    <w:rsid w:val="00C835CF"/>
    <w:rsid w:val="00C8398D"/>
    <w:rsid w:val="00C84BC2"/>
    <w:rsid w:val="00C85139"/>
    <w:rsid w:val="00C85657"/>
    <w:rsid w:val="00C86237"/>
    <w:rsid w:val="00C904B9"/>
    <w:rsid w:val="00C91C88"/>
    <w:rsid w:val="00C939C3"/>
    <w:rsid w:val="00C94228"/>
    <w:rsid w:val="00C95C86"/>
    <w:rsid w:val="00C96D56"/>
    <w:rsid w:val="00C977E6"/>
    <w:rsid w:val="00CA0020"/>
    <w:rsid w:val="00CA0B2E"/>
    <w:rsid w:val="00CA18CA"/>
    <w:rsid w:val="00CA2557"/>
    <w:rsid w:val="00CA5413"/>
    <w:rsid w:val="00CA5674"/>
    <w:rsid w:val="00CA5BDA"/>
    <w:rsid w:val="00CA5C1A"/>
    <w:rsid w:val="00CA633F"/>
    <w:rsid w:val="00CA641E"/>
    <w:rsid w:val="00CA6EF6"/>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10E"/>
    <w:rsid w:val="00CD4A65"/>
    <w:rsid w:val="00CD531F"/>
    <w:rsid w:val="00CD6FA3"/>
    <w:rsid w:val="00CE2184"/>
    <w:rsid w:val="00CE3B7F"/>
    <w:rsid w:val="00CE3FA2"/>
    <w:rsid w:val="00CE41A0"/>
    <w:rsid w:val="00CE4958"/>
    <w:rsid w:val="00CE6189"/>
    <w:rsid w:val="00CE68E2"/>
    <w:rsid w:val="00CE706E"/>
    <w:rsid w:val="00CE70B1"/>
    <w:rsid w:val="00CE7AE4"/>
    <w:rsid w:val="00CF0A4C"/>
    <w:rsid w:val="00CF150A"/>
    <w:rsid w:val="00CF2225"/>
    <w:rsid w:val="00CF25E7"/>
    <w:rsid w:val="00CF3C77"/>
    <w:rsid w:val="00CF45A2"/>
    <w:rsid w:val="00CF52E7"/>
    <w:rsid w:val="00CF58CE"/>
    <w:rsid w:val="00CF64B5"/>
    <w:rsid w:val="00CF7853"/>
    <w:rsid w:val="00D004ED"/>
    <w:rsid w:val="00D00DC8"/>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069"/>
    <w:rsid w:val="00D42465"/>
    <w:rsid w:val="00D42E5B"/>
    <w:rsid w:val="00D4300B"/>
    <w:rsid w:val="00D439D1"/>
    <w:rsid w:val="00D43C68"/>
    <w:rsid w:val="00D444B2"/>
    <w:rsid w:val="00D453E4"/>
    <w:rsid w:val="00D47226"/>
    <w:rsid w:val="00D50B21"/>
    <w:rsid w:val="00D51349"/>
    <w:rsid w:val="00D51C05"/>
    <w:rsid w:val="00D527AF"/>
    <w:rsid w:val="00D529E1"/>
    <w:rsid w:val="00D534C2"/>
    <w:rsid w:val="00D5410F"/>
    <w:rsid w:val="00D54A94"/>
    <w:rsid w:val="00D564DF"/>
    <w:rsid w:val="00D576DD"/>
    <w:rsid w:val="00D57CB4"/>
    <w:rsid w:val="00D61477"/>
    <w:rsid w:val="00D619E2"/>
    <w:rsid w:val="00D62036"/>
    <w:rsid w:val="00D620CC"/>
    <w:rsid w:val="00D625EB"/>
    <w:rsid w:val="00D634B8"/>
    <w:rsid w:val="00D63EF3"/>
    <w:rsid w:val="00D63F26"/>
    <w:rsid w:val="00D64441"/>
    <w:rsid w:val="00D65497"/>
    <w:rsid w:val="00D654DA"/>
    <w:rsid w:val="00D6609E"/>
    <w:rsid w:val="00D67A9F"/>
    <w:rsid w:val="00D67C20"/>
    <w:rsid w:val="00D70C1B"/>
    <w:rsid w:val="00D70E5C"/>
    <w:rsid w:val="00D7146C"/>
    <w:rsid w:val="00D718CD"/>
    <w:rsid w:val="00D733E2"/>
    <w:rsid w:val="00D7416F"/>
    <w:rsid w:val="00D755F2"/>
    <w:rsid w:val="00D762AC"/>
    <w:rsid w:val="00D775E7"/>
    <w:rsid w:val="00D77A74"/>
    <w:rsid w:val="00D77B9E"/>
    <w:rsid w:val="00D81CA9"/>
    <w:rsid w:val="00D839D8"/>
    <w:rsid w:val="00D83F9E"/>
    <w:rsid w:val="00D840C2"/>
    <w:rsid w:val="00D84562"/>
    <w:rsid w:val="00D85C16"/>
    <w:rsid w:val="00D86169"/>
    <w:rsid w:val="00D8732E"/>
    <w:rsid w:val="00D9032F"/>
    <w:rsid w:val="00D91294"/>
    <w:rsid w:val="00D9186A"/>
    <w:rsid w:val="00D92D47"/>
    <w:rsid w:val="00D94213"/>
    <w:rsid w:val="00D94BEB"/>
    <w:rsid w:val="00D94EA5"/>
    <w:rsid w:val="00D95F32"/>
    <w:rsid w:val="00DA024A"/>
    <w:rsid w:val="00DA07EE"/>
    <w:rsid w:val="00DA0A58"/>
    <w:rsid w:val="00DA0F22"/>
    <w:rsid w:val="00DA1C85"/>
    <w:rsid w:val="00DA1CC9"/>
    <w:rsid w:val="00DA2E58"/>
    <w:rsid w:val="00DA328E"/>
    <w:rsid w:val="00DA3AA6"/>
    <w:rsid w:val="00DA46C1"/>
    <w:rsid w:val="00DA6168"/>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EE5"/>
    <w:rsid w:val="00DD60D0"/>
    <w:rsid w:val="00DD6200"/>
    <w:rsid w:val="00DD66DB"/>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7E5"/>
    <w:rsid w:val="00E06B7B"/>
    <w:rsid w:val="00E06E20"/>
    <w:rsid w:val="00E07DD9"/>
    <w:rsid w:val="00E102F8"/>
    <w:rsid w:val="00E12B7D"/>
    <w:rsid w:val="00E12FCF"/>
    <w:rsid w:val="00E13273"/>
    <w:rsid w:val="00E13379"/>
    <w:rsid w:val="00E139EE"/>
    <w:rsid w:val="00E14568"/>
    <w:rsid w:val="00E14D83"/>
    <w:rsid w:val="00E14FA6"/>
    <w:rsid w:val="00E15A0D"/>
    <w:rsid w:val="00E16640"/>
    <w:rsid w:val="00E1740F"/>
    <w:rsid w:val="00E200CF"/>
    <w:rsid w:val="00E23DF6"/>
    <w:rsid w:val="00E24197"/>
    <w:rsid w:val="00E24287"/>
    <w:rsid w:val="00E26AFD"/>
    <w:rsid w:val="00E271FF"/>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6DFB"/>
    <w:rsid w:val="00E4723D"/>
    <w:rsid w:val="00E501D6"/>
    <w:rsid w:val="00E5077C"/>
    <w:rsid w:val="00E50EC8"/>
    <w:rsid w:val="00E5159B"/>
    <w:rsid w:val="00E515C6"/>
    <w:rsid w:val="00E52E0D"/>
    <w:rsid w:val="00E52FE2"/>
    <w:rsid w:val="00E54629"/>
    <w:rsid w:val="00E54715"/>
    <w:rsid w:val="00E54D6B"/>
    <w:rsid w:val="00E54E6F"/>
    <w:rsid w:val="00E55338"/>
    <w:rsid w:val="00E553C5"/>
    <w:rsid w:val="00E555BB"/>
    <w:rsid w:val="00E563F1"/>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195"/>
    <w:rsid w:val="00E755D7"/>
    <w:rsid w:val="00E7566D"/>
    <w:rsid w:val="00E76571"/>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3F0"/>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3EF7"/>
    <w:rsid w:val="00EE48DF"/>
    <w:rsid w:val="00EE4AB3"/>
    <w:rsid w:val="00EE692F"/>
    <w:rsid w:val="00EE7338"/>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770"/>
    <w:rsid w:val="00F11A7B"/>
    <w:rsid w:val="00F11F55"/>
    <w:rsid w:val="00F12DEC"/>
    <w:rsid w:val="00F13151"/>
    <w:rsid w:val="00F15523"/>
    <w:rsid w:val="00F16391"/>
    <w:rsid w:val="00F2062B"/>
    <w:rsid w:val="00F20D98"/>
    <w:rsid w:val="00F21193"/>
    <w:rsid w:val="00F21A18"/>
    <w:rsid w:val="00F21E61"/>
    <w:rsid w:val="00F220EA"/>
    <w:rsid w:val="00F222CD"/>
    <w:rsid w:val="00F24EA4"/>
    <w:rsid w:val="00F2625A"/>
    <w:rsid w:val="00F276CA"/>
    <w:rsid w:val="00F31A03"/>
    <w:rsid w:val="00F3283C"/>
    <w:rsid w:val="00F32D0F"/>
    <w:rsid w:val="00F343F0"/>
    <w:rsid w:val="00F34620"/>
    <w:rsid w:val="00F34AAB"/>
    <w:rsid w:val="00F34C4D"/>
    <w:rsid w:val="00F350CF"/>
    <w:rsid w:val="00F35582"/>
    <w:rsid w:val="00F3662D"/>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6E6"/>
    <w:rsid w:val="00F612D6"/>
    <w:rsid w:val="00F63400"/>
    <w:rsid w:val="00F636C6"/>
    <w:rsid w:val="00F6433D"/>
    <w:rsid w:val="00F6459F"/>
    <w:rsid w:val="00F6573E"/>
    <w:rsid w:val="00F662EB"/>
    <w:rsid w:val="00F67606"/>
    <w:rsid w:val="00F6792A"/>
    <w:rsid w:val="00F70051"/>
    <w:rsid w:val="00F70327"/>
    <w:rsid w:val="00F70FEF"/>
    <w:rsid w:val="00F72B81"/>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9"/>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3E64"/>
    <w:rsid w:val="00FD4748"/>
    <w:rsid w:val="00FD4876"/>
    <w:rsid w:val="00FD52A3"/>
    <w:rsid w:val="00FD68D4"/>
    <w:rsid w:val="00FD7452"/>
    <w:rsid w:val="00FD7700"/>
    <w:rsid w:val="00FE00D9"/>
    <w:rsid w:val="00FE1186"/>
    <w:rsid w:val="00FE166F"/>
    <w:rsid w:val="00FE177A"/>
    <w:rsid w:val="00FE1CD2"/>
    <w:rsid w:val="00FE240A"/>
    <w:rsid w:val="00FE39C1"/>
    <w:rsid w:val="00FE3E3C"/>
    <w:rsid w:val="00FE43E7"/>
    <w:rsid w:val="00FE4B66"/>
    <w:rsid w:val="00FE4F6E"/>
    <w:rsid w:val="00FE583F"/>
    <w:rsid w:val="00FE5CC4"/>
    <w:rsid w:val="00FE6999"/>
    <w:rsid w:val="00FE6B13"/>
    <w:rsid w:val="00FE7575"/>
    <w:rsid w:val="00FF0D41"/>
    <w:rsid w:val="00FF1070"/>
    <w:rsid w:val="00FF13E2"/>
    <w:rsid w:val="00FF2237"/>
    <w:rsid w:val="00FF4953"/>
    <w:rsid w:val="00FF56EA"/>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975CA4"/>
  <w15:chartTrackingRefBased/>
  <w15:docId w15:val="{BBE48226-FA4A-48FC-A039-AFFB04F6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F8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2">
    <w:name w:val="tv2132"/>
    <w:basedOn w:val="Normal"/>
    <w:rsid w:val="00D625EB"/>
    <w:pPr>
      <w:spacing w:line="360" w:lineRule="auto"/>
      <w:ind w:firstLine="300"/>
    </w:pPr>
    <w:rPr>
      <w:color w:val="414142"/>
      <w:sz w:val="20"/>
      <w:szCs w:val="20"/>
      <w:lang w:val="en-GB" w:eastAsia="en-GB"/>
    </w:rPr>
  </w:style>
  <w:style w:type="paragraph" w:customStyle="1" w:styleId="pamattekststabul">
    <w:name w:val="pamattekststabul"/>
    <w:basedOn w:val="Normal"/>
    <w:rsid w:val="008A1B50"/>
    <w:pPr>
      <w:spacing w:before="100" w:beforeAutospacing="1" w:after="100" w:afterAutospacing="1"/>
    </w:pPr>
    <w:rPr>
      <w:lang w:val="en-US" w:eastAsia="en-US"/>
    </w:rPr>
  </w:style>
  <w:style w:type="character" w:styleId="UnresolvedMention">
    <w:name w:val="Unresolved Mention"/>
    <w:uiPriority w:val="99"/>
    <w:semiHidden/>
    <w:unhideWhenUsed/>
    <w:rsid w:val="00E12B7D"/>
    <w:rPr>
      <w:color w:val="808080"/>
      <w:shd w:val="clear" w:color="auto" w:fill="E6E6E6"/>
    </w:rPr>
  </w:style>
  <w:style w:type="paragraph" w:styleId="NoSpacing">
    <w:name w:val="No Spacing"/>
    <w:uiPriority w:val="1"/>
    <w:qFormat/>
    <w:rsid w:val="009B4E3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1969">
      <w:bodyDiv w:val="1"/>
      <w:marLeft w:val="0"/>
      <w:marRight w:val="0"/>
      <w:marTop w:val="0"/>
      <w:marBottom w:val="0"/>
      <w:divBdr>
        <w:top w:val="none" w:sz="0" w:space="0" w:color="auto"/>
        <w:left w:val="none" w:sz="0" w:space="0" w:color="auto"/>
        <w:bottom w:val="none" w:sz="0" w:space="0" w:color="auto"/>
        <w:right w:val="none" w:sz="0" w:space="0" w:color="auto"/>
      </w:divBdr>
    </w:div>
    <w:div w:id="404256619">
      <w:bodyDiv w:val="1"/>
      <w:marLeft w:val="0"/>
      <w:marRight w:val="0"/>
      <w:marTop w:val="0"/>
      <w:marBottom w:val="0"/>
      <w:divBdr>
        <w:top w:val="none" w:sz="0" w:space="0" w:color="auto"/>
        <w:left w:val="none" w:sz="0" w:space="0" w:color="auto"/>
        <w:bottom w:val="none" w:sz="0" w:space="0" w:color="auto"/>
        <w:right w:val="none" w:sz="0" w:space="0" w:color="auto"/>
      </w:divBdr>
      <w:divsChild>
        <w:div w:id="1463886456">
          <w:marLeft w:val="0"/>
          <w:marRight w:val="0"/>
          <w:marTop w:val="0"/>
          <w:marBottom w:val="0"/>
          <w:divBdr>
            <w:top w:val="none" w:sz="0" w:space="0" w:color="auto"/>
            <w:left w:val="none" w:sz="0" w:space="0" w:color="auto"/>
            <w:bottom w:val="none" w:sz="0" w:space="0" w:color="auto"/>
            <w:right w:val="none" w:sz="0" w:space="0" w:color="auto"/>
          </w:divBdr>
        </w:div>
        <w:div w:id="1824468125">
          <w:marLeft w:val="0"/>
          <w:marRight w:val="0"/>
          <w:marTop w:val="0"/>
          <w:marBottom w:val="0"/>
          <w:divBdr>
            <w:top w:val="none" w:sz="0" w:space="0" w:color="auto"/>
            <w:left w:val="none" w:sz="0" w:space="0" w:color="auto"/>
            <w:bottom w:val="none" w:sz="0" w:space="0" w:color="auto"/>
            <w:right w:val="none" w:sz="0" w:space="0" w:color="auto"/>
          </w:divBdr>
        </w:div>
      </w:divsChild>
    </w:div>
    <w:div w:id="4170236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717535">
      <w:bodyDiv w:val="1"/>
      <w:marLeft w:val="0"/>
      <w:marRight w:val="0"/>
      <w:marTop w:val="0"/>
      <w:marBottom w:val="0"/>
      <w:divBdr>
        <w:top w:val="none" w:sz="0" w:space="0" w:color="auto"/>
        <w:left w:val="none" w:sz="0" w:space="0" w:color="auto"/>
        <w:bottom w:val="none" w:sz="0" w:space="0" w:color="auto"/>
        <w:right w:val="none" w:sz="0" w:space="0" w:color="auto"/>
      </w:divBdr>
      <w:divsChild>
        <w:div w:id="1064529148">
          <w:marLeft w:val="0"/>
          <w:marRight w:val="0"/>
          <w:marTop w:val="0"/>
          <w:marBottom w:val="0"/>
          <w:divBdr>
            <w:top w:val="none" w:sz="0" w:space="0" w:color="auto"/>
            <w:left w:val="none" w:sz="0" w:space="0" w:color="auto"/>
            <w:bottom w:val="none" w:sz="0" w:space="0" w:color="auto"/>
            <w:right w:val="none" w:sz="0" w:space="0" w:color="auto"/>
          </w:divBdr>
        </w:div>
        <w:div w:id="1864325518">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5674314">
      <w:bodyDiv w:val="1"/>
      <w:marLeft w:val="0"/>
      <w:marRight w:val="0"/>
      <w:marTop w:val="0"/>
      <w:marBottom w:val="0"/>
      <w:divBdr>
        <w:top w:val="none" w:sz="0" w:space="0" w:color="auto"/>
        <w:left w:val="none" w:sz="0" w:space="0" w:color="auto"/>
        <w:bottom w:val="none" w:sz="0" w:space="0" w:color="auto"/>
        <w:right w:val="none" w:sz="0" w:space="0" w:color="auto"/>
      </w:divBdr>
    </w:div>
    <w:div w:id="595788784">
      <w:bodyDiv w:val="1"/>
      <w:marLeft w:val="0"/>
      <w:marRight w:val="0"/>
      <w:marTop w:val="0"/>
      <w:marBottom w:val="0"/>
      <w:divBdr>
        <w:top w:val="none" w:sz="0" w:space="0" w:color="auto"/>
        <w:left w:val="none" w:sz="0" w:space="0" w:color="auto"/>
        <w:bottom w:val="none" w:sz="0" w:space="0" w:color="auto"/>
        <w:right w:val="none" w:sz="0" w:space="0" w:color="auto"/>
      </w:divBdr>
      <w:divsChild>
        <w:div w:id="382288264">
          <w:marLeft w:val="0"/>
          <w:marRight w:val="0"/>
          <w:marTop w:val="0"/>
          <w:marBottom w:val="0"/>
          <w:divBdr>
            <w:top w:val="none" w:sz="0" w:space="0" w:color="auto"/>
            <w:left w:val="none" w:sz="0" w:space="0" w:color="auto"/>
            <w:bottom w:val="none" w:sz="0" w:space="0" w:color="auto"/>
            <w:right w:val="none" w:sz="0" w:space="0" w:color="auto"/>
          </w:divBdr>
        </w:div>
        <w:div w:id="930242781">
          <w:marLeft w:val="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8631747">
      <w:bodyDiv w:val="1"/>
      <w:marLeft w:val="0"/>
      <w:marRight w:val="0"/>
      <w:marTop w:val="0"/>
      <w:marBottom w:val="0"/>
      <w:divBdr>
        <w:top w:val="none" w:sz="0" w:space="0" w:color="auto"/>
        <w:left w:val="none" w:sz="0" w:space="0" w:color="auto"/>
        <w:bottom w:val="none" w:sz="0" w:space="0" w:color="auto"/>
        <w:right w:val="none" w:sz="0" w:space="0" w:color="auto"/>
      </w:divBdr>
      <w:divsChild>
        <w:div w:id="1192917415">
          <w:marLeft w:val="0"/>
          <w:marRight w:val="0"/>
          <w:marTop w:val="0"/>
          <w:marBottom w:val="0"/>
          <w:divBdr>
            <w:top w:val="none" w:sz="0" w:space="0" w:color="auto"/>
            <w:left w:val="none" w:sz="0" w:space="0" w:color="auto"/>
            <w:bottom w:val="none" w:sz="0" w:space="0" w:color="auto"/>
            <w:right w:val="none" w:sz="0" w:space="0" w:color="auto"/>
          </w:divBdr>
          <w:divsChild>
            <w:div w:id="1799251396">
              <w:marLeft w:val="0"/>
              <w:marRight w:val="0"/>
              <w:marTop w:val="0"/>
              <w:marBottom w:val="0"/>
              <w:divBdr>
                <w:top w:val="none" w:sz="0" w:space="0" w:color="auto"/>
                <w:left w:val="none" w:sz="0" w:space="0" w:color="auto"/>
                <w:bottom w:val="none" w:sz="0" w:space="0" w:color="auto"/>
                <w:right w:val="none" w:sz="0" w:space="0" w:color="auto"/>
              </w:divBdr>
              <w:divsChild>
                <w:div w:id="1553270263">
                  <w:marLeft w:val="0"/>
                  <w:marRight w:val="0"/>
                  <w:marTop w:val="0"/>
                  <w:marBottom w:val="0"/>
                  <w:divBdr>
                    <w:top w:val="none" w:sz="0" w:space="0" w:color="auto"/>
                    <w:left w:val="none" w:sz="0" w:space="0" w:color="auto"/>
                    <w:bottom w:val="none" w:sz="0" w:space="0" w:color="auto"/>
                    <w:right w:val="none" w:sz="0" w:space="0" w:color="auto"/>
                  </w:divBdr>
                  <w:divsChild>
                    <w:div w:id="815486454">
                      <w:marLeft w:val="0"/>
                      <w:marRight w:val="0"/>
                      <w:marTop w:val="0"/>
                      <w:marBottom w:val="0"/>
                      <w:divBdr>
                        <w:top w:val="none" w:sz="0" w:space="0" w:color="auto"/>
                        <w:left w:val="none" w:sz="0" w:space="0" w:color="auto"/>
                        <w:bottom w:val="none" w:sz="0" w:space="0" w:color="auto"/>
                        <w:right w:val="none" w:sz="0" w:space="0" w:color="auto"/>
                      </w:divBdr>
                      <w:divsChild>
                        <w:div w:id="1422491031">
                          <w:marLeft w:val="0"/>
                          <w:marRight w:val="0"/>
                          <w:marTop w:val="0"/>
                          <w:marBottom w:val="0"/>
                          <w:divBdr>
                            <w:top w:val="none" w:sz="0" w:space="0" w:color="auto"/>
                            <w:left w:val="none" w:sz="0" w:space="0" w:color="auto"/>
                            <w:bottom w:val="none" w:sz="0" w:space="0" w:color="auto"/>
                            <w:right w:val="none" w:sz="0" w:space="0" w:color="auto"/>
                          </w:divBdr>
                          <w:divsChild>
                            <w:div w:id="249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1205">
      <w:bodyDiv w:val="1"/>
      <w:marLeft w:val="0"/>
      <w:marRight w:val="0"/>
      <w:marTop w:val="0"/>
      <w:marBottom w:val="0"/>
      <w:divBdr>
        <w:top w:val="none" w:sz="0" w:space="0" w:color="auto"/>
        <w:left w:val="none" w:sz="0" w:space="0" w:color="auto"/>
        <w:bottom w:val="none" w:sz="0" w:space="0" w:color="auto"/>
        <w:right w:val="none" w:sz="0" w:space="0" w:color="auto"/>
      </w:divBdr>
      <w:divsChild>
        <w:div w:id="831215599">
          <w:marLeft w:val="0"/>
          <w:marRight w:val="0"/>
          <w:marTop w:val="0"/>
          <w:marBottom w:val="0"/>
          <w:divBdr>
            <w:top w:val="none" w:sz="0" w:space="0" w:color="auto"/>
            <w:left w:val="none" w:sz="0" w:space="0" w:color="auto"/>
            <w:bottom w:val="none" w:sz="0" w:space="0" w:color="auto"/>
            <w:right w:val="none" w:sz="0" w:space="0" w:color="auto"/>
          </w:divBdr>
        </w:div>
        <w:div w:id="2099329059">
          <w:marLeft w:val="0"/>
          <w:marRight w:val="0"/>
          <w:marTop w:val="0"/>
          <w:marBottom w:val="0"/>
          <w:divBdr>
            <w:top w:val="none" w:sz="0" w:space="0" w:color="auto"/>
            <w:left w:val="none" w:sz="0" w:space="0" w:color="auto"/>
            <w:bottom w:val="none" w:sz="0" w:space="0" w:color="auto"/>
            <w:right w:val="none" w:sz="0" w:space="0" w:color="auto"/>
          </w:divBdr>
        </w:div>
      </w:divsChild>
    </w:div>
    <w:div w:id="681736854">
      <w:bodyDiv w:val="1"/>
      <w:marLeft w:val="0"/>
      <w:marRight w:val="0"/>
      <w:marTop w:val="0"/>
      <w:marBottom w:val="0"/>
      <w:divBdr>
        <w:top w:val="none" w:sz="0" w:space="0" w:color="auto"/>
        <w:left w:val="none" w:sz="0" w:space="0" w:color="auto"/>
        <w:bottom w:val="none" w:sz="0" w:space="0" w:color="auto"/>
        <w:right w:val="none" w:sz="0" w:space="0" w:color="auto"/>
      </w:divBdr>
    </w:div>
    <w:div w:id="750197611">
      <w:bodyDiv w:val="1"/>
      <w:marLeft w:val="0"/>
      <w:marRight w:val="0"/>
      <w:marTop w:val="0"/>
      <w:marBottom w:val="0"/>
      <w:divBdr>
        <w:top w:val="none" w:sz="0" w:space="0" w:color="auto"/>
        <w:left w:val="none" w:sz="0" w:space="0" w:color="auto"/>
        <w:bottom w:val="none" w:sz="0" w:space="0" w:color="auto"/>
        <w:right w:val="none" w:sz="0" w:space="0" w:color="auto"/>
      </w:divBdr>
    </w:div>
    <w:div w:id="815031162">
      <w:bodyDiv w:val="1"/>
      <w:marLeft w:val="0"/>
      <w:marRight w:val="0"/>
      <w:marTop w:val="0"/>
      <w:marBottom w:val="0"/>
      <w:divBdr>
        <w:top w:val="none" w:sz="0" w:space="0" w:color="auto"/>
        <w:left w:val="none" w:sz="0" w:space="0" w:color="auto"/>
        <w:bottom w:val="none" w:sz="0" w:space="0" w:color="auto"/>
        <w:right w:val="none" w:sz="0" w:space="0" w:color="auto"/>
      </w:divBdr>
    </w:div>
    <w:div w:id="980041232">
      <w:bodyDiv w:val="1"/>
      <w:marLeft w:val="0"/>
      <w:marRight w:val="0"/>
      <w:marTop w:val="0"/>
      <w:marBottom w:val="0"/>
      <w:divBdr>
        <w:top w:val="none" w:sz="0" w:space="0" w:color="auto"/>
        <w:left w:val="none" w:sz="0" w:space="0" w:color="auto"/>
        <w:bottom w:val="none" w:sz="0" w:space="0" w:color="auto"/>
        <w:right w:val="none" w:sz="0" w:space="0" w:color="auto"/>
      </w:divBdr>
      <w:divsChild>
        <w:div w:id="2124877823">
          <w:marLeft w:val="0"/>
          <w:marRight w:val="0"/>
          <w:marTop w:val="0"/>
          <w:marBottom w:val="0"/>
          <w:divBdr>
            <w:top w:val="none" w:sz="0" w:space="0" w:color="auto"/>
            <w:left w:val="none" w:sz="0" w:space="0" w:color="auto"/>
            <w:bottom w:val="none" w:sz="0" w:space="0" w:color="auto"/>
            <w:right w:val="none" w:sz="0" w:space="0" w:color="auto"/>
          </w:divBdr>
        </w:div>
        <w:div w:id="2141149107">
          <w:marLeft w:val="0"/>
          <w:marRight w:val="0"/>
          <w:marTop w:val="0"/>
          <w:marBottom w:val="0"/>
          <w:divBdr>
            <w:top w:val="none" w:sz="0" w:space="0" w:color="auto"/>
            <w:left w:val="none" w:sz="0" w:space="0" w:color="auto"/>
            <w:bottom w:val="none" w:sz="0" w:space="0" w:color="auto"/>
            <w:right w:val="none" w:sz="0" w:space="0" w:color="auto"/>
          </w:divBdr>
        </w:div>
      </w:divsChild>
    </w:div>
    <w:div w:id="103600380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5826440">
      <w:bodyDiv w:val="1"/>
      <w:marLeft w:val="0"/>
      <w:marRight w:val="0"/>
      <w:marTop w:val="0"/>
      <w:marBottom w:val="0"/>
      <w:divBdr>
        <w:top w:val="none" w:sz="0" w:space="0" w:color="auto"/>
        <w:left w:val="none" w:sz="0" w:space="0" w:color="auto"/>
        <w:bottom w:val="none" w:sz="0" w:space="0" w:color="auto"/>
        <w:right w:val="none" w:sz="0" w:space="0" w:color="auto"/>
      </w:divBdr>
    </w:div>
    <w:div w:id="1273635498">
      <w:bodyDiv w:val="1"/>
      <w:marLeft w:val="0"/>
      <w:marRight w:val="0"/>
      <w:marTop w:val="0"/>
      <w:marBottom w:val="0"/>
      <w:divBdr>
        <w:top w:val="none" w:sz="0" w:space="0" w:color="auto"/>
        <w:left w:val="none" w:sz="0" w:space="0" w:color="auto"/>
        <w:bottom w:val="none" w:sz="0" w:space="0" w:color="auto"/>
        <w:right w:val="none" w:sz="0" w:space="0" w:color="auto"/>
      </w:divBdr>
      <w:divsChild>
        <w:div w:id="388842281">
          <w:marLeft w:val="0"/>
          <w:marRight w:val="0"/>
          <w:marTop w:val="0"/>
          <w:marBottom w:val="0"/>
          <w:divBdr>
            <w:top w:val="none" w:sz="0" w:space="0" w:color="auto"/>
            <w:left w:val="none" w:sz="0" w:space="0" w:color="auto"/>
            <w:bottom w:val="none" w:sz="0" w:space="0" w:color="auto"/>
            <w:right w:val="none" w:sz="0" w:space="0" w:color="auto"/>
          </w:divBdr>
        </w:div>
        <w:div w:id="405616786">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571966">
      <w:bodyDiv w:val="1"/>
      <w:marLeft w:val="0"/>
      <w:marRight w:val="0"/>
      <w:marTop w:val="0"/>
      <w:marBottom w:val="0"/>
      <w:divBdr>
        <w:top w:val="none" w:sz="0" w:space="0" w:color="auto"/>
        <w:left w:val="none" w:sz="0" w:space="0" w:color="auto"/>
        <w:bottom w:val="none" w:sz="0" w:space="0" w:color="auto"/>
        <w:right w:val="none" w:sz="0" w:space="0" w:color="auto"/>
      </w:divBdr>
    </w:div>
    <w:div w:id="1471746226">
      <w:bodyDiv w:val="1"/>
      <w:marLeft w:val="0"/>
      <w:marRight w:val="0"/>
      <w:marTop w:val="0"/>
      <w:marBottom w:val="0"/>
      <w:divBdr>
        <w:top w:val="none" w:sz="0" w:space="0" w:color="auto"/>
        <w:left w:val="none" w:sz="0" w:space="0" w:color="auto"/>
        <w:bottom w:val="none" w:sz="0" w:space="0" w:color="auto"/>
        <w:right w:val="none" w:sz="0" w:space="0" w:color="auto"/>
      </w:divBdr>
      <w:divsChild>
        <w:div w:id="766970086">
          <w:marLeft w:val="0"/>
          <w:marRight w:val="0"/>
          <w:marTop w:val="0"/>
          <w:marBottom w:val="0"/>
          <w:divBdr>
            <w:top w:val="none" w:sz="0" w:space="0" w:color="auto"/>
            <w:left w:val="none" w:sz="0" w:space="0" w:color="auto"/>
            <w:bottom w:val="none" w:sz="0" w:space="0" w:color="auto"/>
            <w:right w:val="none" w:sz="0" w:space="0" w:color="auto"/>
          </w:divBdr>
        </w:div>
        <w:div w:id="1001391919">
          <w:marLeft w:val="0"/>
          <w:marRight w:val="0"/>
          <w:marTop w:val="0"/>
          <w:marBottom w:val="0"/>
          <w:divBdr>
            <w:top w:val="none" w:sz="0" w:space="0" w:color="auto"/>
            <w:left w:val="none" w:sz="0" w:space="0" w:color="auto"/>
            <w:bottom w:val="none" w:sz="0" w:space="0" w:color="auto"/>
            <w:right w:val="none" w:sz="0" w:space="0" w:color="auto"/>
          </w:divBdr>
        </w:div>
      </w:divsChild>
    </w:div>
    <w:div w:id="154810844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470069">
      <w:bodyDiv w:val="1"/>
      <w:marLeft w:val="0"/>
      <w:marRight w:val="0"/>
      <w:marTop w:val="0"/>
      <w:marBottom w:val="0"/>
      <w:divBdr>
        <w:top w:val="none" w:sz="0" w:space="0" w:color="auto"/>
        <w:left w:val="none" w:sz="0" w:space="0" w:color="auto"/>
        <w:bottom w:val="none" w:sz="0" w:space="0" w:color="auto"/>
        <w:right w:val="none" w:sz="0" w:space="0" w:color="auto"/>
      </w:divBdr>
      <w:divsChild>
        <w:div w:id="638924980">
          <w:marLeft w:val="0"/>
          <w:marRight w:val="0"/>
          <w:marTop w:val="0"/>
          <w:marBottom w:val="0"/>
          <w:divBdr>
            <w:top w:val="none" w:sz="0" w:space="0" w:color="auto"/>
            <w:left w:val="none" w:sz="0" w:space="0" w:color="auto"/>
            <w:bottom w:val="none" w:sz="0" w:space="0" w:color="auto"/>
            <w:right w:val="none" w:sz="0" w:space="0" w:color="auto"/>
          </w:divBdr>
        </w:div>
        <w:div w:id="151430257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148963">
      <w:bodyDiv w:val="1"/>
      <w:marLeft w:val="0"/>
      <w:marRight w:val="0"/>
      <w:marTop w:val="0"/>
      <w:marBottom w:val="0"/>
      <w:divBdr>
        <w:top w:val="none" w:sz="0" w:space="0" w:color="auto"/>
        <w:left w:val="none" w:sz="0" w:space="0" w:color="auto"/>
        <w:bottom w:val="none" w:sz="0" w:space="0" w:color="auto"/>
        <w:right w:val="none" w:sz="0" w:space="0" w:color="auto"/>
      </w:divBdr>
      <w:divsChild>
        <w:div w:id="209807977">
          <w:marLeft w:val="0"/>
          <w:marRight w:val="0"/>
          <w:marTop w:val="0"/>
          <w:marBottom w:val="0"/>
          <w:divBdr>
            <w:top w:val="none" w:sz="0" w:space="0" w:color="auto"/>
            <w:left w:val="none" w:sz="0" w:space="0" w:color="auto"/>
            <w:bottom w:val="none" w:sz="0" w:space="0" w:color="auto"/>
            <w:right w:val="none" w:sz="0" w:space="0" w:color="auto"/>
          </w:divBdr>
        </w:div>
        <w:div w:id="1781336198">
          <w:marLeft w:val="0"/>
          <w:marRight w:val="0"/>
          <w:marTop w:val="0"/>
          <w:marBottom w:val="0"/>
          <w:divBdr>
            <w:top w:val="none" w:sz="0" w:space="0" w:color="auto"/>
            <w:left w:val="none" w:sz="0" w:space="0" w:color="auto"/>
            <w:bottom w:val="none" w:sz="0" w:space="0" w:color="auto"/>
            <w:right w:val="none" w:sz="0" w:space="0" w:color="auto"/>
          </w:divBdr>
        </w:div>
      </w:divsChild>
    </w:div>
    <w:div w:id="1670868689">
      <w:bodyDiv w:val="1"/>
      <w:marLeft w:val="0"/>
      <w:marRight w:val="0"/>
      <w:marTop w:val="0"/>
      <w:marBottom w:val="0"/>
      <w:divBdr>
        <w:top w:val="none" w:sz="0" w:space="0" w:color="auto"/>
        <w:left w:val="none" w:sz="0" w:space="0" w:color="auto"/>
        <w:bottom w:val="none" w:sz="0" w:space="0" w:color="auto"/>
        <w:right w:val="none" w:sz="0" w:space="0" w:color="auto"/>
      </w:divBdr>
    </w:div>
    <w:div w:id="1781218715">
      <w:bodyDiv w:val="1"/>
      <w:marLeft w:val="0"/>
      <w:marRight w:val="0"/>
      <w:marTop w:val="0"/>
      <w:marBottom w:val="0"/>
      <w:divBdr>
        <w:top w:val="none" w:sz="0" w:space="0" w:color="auto"/>
        <w:left w:val="none" w:sz="0" w:space="0" w:color="auto"/>
        <w:bottom w:val="none" w:sz="0" w:space="0" w:color="auto"/>
        <w:right w:val="none" w:sz="0" w:space="0" w:color="auto"/>
      </w:divBdr>
    </w:div>
    <w:div w:id="1884519804">
      <w:bodyDiv w:val="1"/>
      <w:marLeft w:val="0"/>
      <w:marRight w:val="0"/>
      <w:marTop w:val="0"/>
      <w:marBottom w:val="0"/>
      <w:divBdr>
        <w:top w:val="none" w:sz="0" w:space="0" w:color="auto"/>
        <w:left w:val="none" w:sz="0" w:space="0" w:color="auto"/>
        <w:bottom w:val="none" w:sz="0" w:space="0" w:color="auto"/>
        <w:right w:val="none" w:sz="0" w:space="0" w:color="auto"/>
      </w:divBdr>
    </w:div>
    <w:div w:id="19595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C9AB-C2FE-40F5-B763-23BEF402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2059</Words>
  <Characters>14901</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16927</CharactersWithSpaces>
  <SharedDoc>false</SharedDoc>
  <HLinks>
    <vt:vector size="12" baseType="variant">
      <vt:variant>
        <vt:i4>2359340</vt:i4>
      </vt:variant>
      <vt:variant>
        <vt:i4>3</vt:i4>
      </vt:variant>
      <vt:variant>
        <vt:i4>0</vt:i4>
      </vt:variant>
      <vt:variant>
        <vt:i4>5</vt:i4>
      </vt:variant>
      <vt:variant>
        <vt:lpwstr>http://tezaurs.lv/</vt:lpwstr>
      </vt:variant>
      <vt:variant>
        <vt:lpwstr>/sv/noform%C4%93t</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Artūrs Grīgs</dc:creator>
  <cp:keywords/>
  <dc:description>Grīgs,  67876116_x000d_
Arturs.Grigs@vm.gov.lv</dc:description>
  <cp:lastModifiedBy>Marika Petroviča</cp:lastModifiedBy>
  <cp:revision>4</cp:revision>
  <cp:lastPrinted>2009-04-08T08:39:00Z</cp:lastPrinted>
  <dcterms:created xsi:type="dcterms:W3CDTF">2019-11-21T08:25:00Z</dcterms:created>
  <dcterms:modified xsi:type="dcterms:W3CDTF">2019-11-21T13:11:00Z</dcterms:modified>
</cp:coreProperties>
</file>