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4D" w:rsidRPr="00351640" w:rsidRDefault="00C54B4D" w:rsidP="00C54B4D">
      <w:pPr>
        <w:spacing w:after="0"/>
        <w:jc w:val="center"/>
        <w:rPr>
          <w:rFonts w:ascii="Times New Roman" w:eastAsia="Times New Roman" w:hAnsi="Times New Roman" w:cs="Times New Roman"/>
          <w:b/>
          <w:sz w:val="28"/>
          <w:szCs w:val="28"/>
          <w:lang w:eastAsia="lv-LV"/>
        </w:rPr>
      </w:pPr>
      <w:smartTag w:uri="schemas-tilde-lv/tildestengine" w:element="veidnes">
        <w:smartTagPr>
          <w:attr w:name="id" w:val="-1"/>
          <w:attr w:name="baseform" w:val="Izziņa"/>
          <w:attr w:name="text" w:val="Izziņa"/>
        </w:smartTagPr>
        <w:r w:rsidRPr="00351640">
          <w:rPr>
            <w:rFonts w:ascii="Times New Roman" w:eastAsia="Times New Roman" w:hAnsi="Times New Roman" w:cs="Times New Roman"/>
            <w:b/>
            <w:sz w:val="28"/>
            <w:szCs w:val="28"/>
            <w:lang w:eastAsia="lv-LV"/>
          </w:rPr>
          <w:t>Izziņa</w:t>
        </w:r>
      </w:smartTag>
      <w:r w:rsidRPr="00351640">
        <w:rPr>
          <w:rFonts w:ascii="Times New Roman" w:eastAsia="Times New Roman" w:hAnsi="Times New Roman" w:cs="Times New Roman"/>
          <w:b/>
          <w:sz w:val="28"/>
          <w:szCs w:val="28"/>
          <w:lang w:eastAsia="lv-LV"/>
        </w:rPr>
        <w:t xml:space="preserve"> par atzinumos sniegtajiem iebildumiem </w:t>
      </w:r>
    </w:p>
    <w:p w:rsidR="00C54B4D" w:rsidRPr="00351640" w:rsidRDefault="00C54B4D" w:rsidP="00C54B4D">
      <w:pPr>
        <w:spacing w:after="0"/>
        <w:jc w:val="center"/>
        <w:rPr>
          <w:rFonts w:ascii="Times New Roman" w:eastAsia="Times New Roman" w:hAnsi="Times New Roman" w:cs="Times New Roman"/>
          <w:sz w:val="28"/>
          <w:szCs w:val="28"/>
          <w:lang w:eastAsia="lv-LV"/>
        </w:rPr>
      </w:pPr>
      <w:r w:rsidRPr="00351640">
        <w:rPr>
          <w:rFonts w:ascii="Times New Roman" w:eastAsia="Times New Roman" w:hAnsi="Times New Roman" w:cs="Times New Roman"/>
          <w:b/>
          <w:sz w:val="28"/>
          <w:szCs w:val="28"/>
          <w:lang w:eastAsia="lv-LV"/>
        </w:rPr>
        <w:t xml:space="preserve">par Ministru kabineta noteikumu </w:t>
      </w:r>
      <w:r w:rsidRPr="00351640">
        <w:rPr>
          <w:rFonts w:ascii="Times New Roman" w:eastAsia="Times New Roman" w:hAnsi="Times New Roman" w:cs="Times New Roman"/>
          <w:b/>
          <w:bCs/>
          <w:color w:val="000000"/>
          <w:sz w:val="28"/>
          <w:szCs w:val="28"/>
          <w:lang w:eastAsia="lv-LV"/>
        </w:rPr>
        <w:t>„</w:t>
      </w:r>
      <w:r w:rsidR="00570AE1" w:rsidRPr="00351640">
        <w:rPr>
          <w:rFonts w:ascii="Times New Roman" w:eastAsia="Times New Roman" w:hAnsi="Times New Roman" w:cs="Times New Roman"/>
          <w:b/>
          <w:bCs/>
          <w:color w:val="000000"/>
          <w:sz w:val="28"/>
          <w:szCs w:val="28"/>
          <w:lang w:eastAsia="lv-LV"/>
        </w:rPr>
        <w:t>Grozījums Ministru kabineta 2014. gada 22. jūlija noteikumos Nr. 421 “Medību noteikumi”</w:t>
      </w:r>
      <w:r w:rsidRPr="00351640">
        <w:rPr>
          <w:rFonts w:ascii="Times New Roman" w:eastAsia="Times New Roman" w:hAnsi="Times New Roman" w:cs="Times New Roman"/>
          <w:b/>
          <w:sz w:val="28"/>
          <w:szCs w:val="28"/>
          <w:lang w:eastAsia="lv-LV"/>
        </w:rPr>
        <w:t>” projektu</w:t>
      </w:r>
      <w:r w:rsidRPr="00351640">
        <w:rPr>
          <w:rFonts w:ascii="Times New Roman" w:eastAsia="Times New Roman" w:hAnsi="Times New Roman" w:cs="Times New Roman"/>
          <w:sz w:val="28"/>
          <w:szCs w:val="28"/>
          <w:lang w:eastAsia="lv-LV"/>
        </w:rPr>
        <w:t> </w:t>
      </w:r>
    </w:p>
    <w:p w:rsidR="00C54B4D" w:rsidRPr="00351640" w:rsidRDefault="00C54B4D" w:rsidP="00C54B4D">
      <w:pPr>
        <w:spacing w:after="0"/>
        <w:jc w:val="center"/>
        <w:rPr>
          <w:rFonts w:ascii="Times New Roman" w:eastAsia="Times New Roman" w:hAnsi="Times New Roman" w:cs="Times New Roman"/>
          <w:sz w:val="28"/>
          <w:szCs w:val="28"/>
          <w:lang w:eastAsia="lv-LV"/>
        </w:rPr>
      </w:pPr>
      <w:r w:rsidRPr="00351640">
        <w:rPr>
          <w:rFonts w:ascii="Times New Roman" w:eastAsia="Times New Roman" w:hAnsi="Times New Roman" w:cs="Times New Roman"/>
          <w:sz w:val="28"/>
          <w:szCs w:val="28"/>
          <w:lang w:eastAsia="lv-LV"/>
        </w:rPr>
        <w:t>(VSS-</w:t>
      </w:r>
      <w:r w:rsidR="00570AE1" w:rsidRPr="00351640">
        <w:rPr>
          <w:rFonts w:ascii="Times New Roman" w:eastAsia="Times New Roman" w:hAnsi="Times New Roman" w:cs="Times New Roman"/>
          <w:sz w:val="28"/>
          <w:szCs w:val="28"/>
          <w:lang w:eastAsia="lv-LV"/>
        </w:rPr>
        <w:t>1065</w:t>
      </w:r>
      <w:r w:rsidRPr="00351640">
        <w:rPr>
          <w:rFonts w:ascii="Times New Roman" w:eastAsia="Times New Roman" w:hAnsi="Times New Roman" w:cs="Times New Roman"/>
          <w:sz w:val="28"/>
          <w:szCs w:val="28"/>
          <w:lang w:eastAsia="lv-LV"/>
        </w:rPr>
        <w:t xml:space="preserve">, </w:t>
      </w:r>
      <w:r w:rsidR="00570AE1" w:rsidRPr="00351640">
        <w:rPr>
          <w:rFonts w:ascii="Times New Roman" w:eastAsia="Times New Roman" w:hAnsi="Times New Roman" w:cs="Times New Roman"/>
          <w:sz w:val="28"/>
          <w:szCs w:val="28"/>
          <w:lang w:eastAsia="lv-LV"/>
        </w:rPr>
        <w:t>24.10.2019</w:t>
      </w:r>
      <w:r w:rsidRPr="00351640">
        <w:rPr>
          <w:rFonts w:ascii="Times New Roman" w:eastAsia="Times New Roman" w:hAnsi="Times New Roman" w:cs="Times New Roman"/>
          <w:sz w:val="28"/>
          <w:szCs w:val="28"/>
          <w:lang w:eastAsia="lv-LV"/>
        </w:rPr>
        <w:t>., Nr.4</w:t>
      </w:r>
      <w:r w:rsidR="00570AE1" w:rsidRPr="00351640">
        <w:rPr>
          <w:rFonts w:ascii="Times New Roman" w:eastAsia="Times New Roman" w:hAnsi="Times New Roman" w:cs="Times New Roman"/>
          <w:sz w:val="28"/>
          <w:szCs w:val="28"/>
          <w:lang w:eastAsia="lv-LV"/>
        </w:rPr>
        <w:t>0</w:t>
      </w:r>
      <w:r w:rsidRPr="00351640">
        <w:rPr>
          <w:rFonts w:ascii="Times New Roman" w:eastAsia="Times New Roman" w:hAnsi="Times New Roman" w:cs="Times New Roman"/>
          <w:sz w:val="28"/>
          <w:szCs w:val="28"/>
          <w:lang w:eastAsia="lv-LV"/>
        </w:rPr>
        <w:t xml:space="preserve">, </w:t>
      </w:r>
      <w:r w:rsidR="00570AE1" w:rsidRPr="00351640">
        <w:rPr>
          <w:rFonts w:ascii="Times New Roman" w:eastAsia="Times New Roman" w:hAnsi="Times New Roman" w:cs="Times New Roman"/>
          <w:sz w:val="28"/>
          <w:szCs w:val="28"/>
          <w:lang w:eastAsia="lv-LV"/>
        </w:rPr>
        <w:t>9</w:t>
      </w:r>
      <w:r w:rsidRPr="00351640">
        <w:rPr>
          <w:rFonts w:ascii="Times New Roman" w:eastAsia="Times New Roman" w:hAnsi="Times New Roman" w:cs="Times New Roman"/>
          <w:sz w:val="28"/>
          <w:szCs w:val="28"/>
          <w:lang w:eastAsia="lv-LV"/>
        </w:rPr>
        <w:t>.§)</w:t>
      </w:r>
    </w:p>
    <w:p w:rsidR="00C54B4D" w:rsidRPr="00351640" w:rsidRDefault="00C54B4D" w:rsidP="00C54B4D">
      <w:pPr>
        <w:spacing w:before="150" w:after="150" w:line="240" w:lineRule="auto"/>
        <w:jc w:val="center"/>
        <w:rPr>
          <w:rFonts w:ascii="Times New Roman" w:eastAsia="Times New Roman" w:hAnsi="Times New Roman" w:cs="Times New Roman"/>
          <w:b/>
          <w:bCs/>
          <w:sz w:val="24"/>
          <w:szCs w:val="24"/>
          <w:lang w:eastAsia="lv-LV"/>
        </w:rPr>
      </w:pPr>
      <w:r w:rsidRPr="00351640">
        <w:rPr>
          <w:rFonts w:ascii="Times New Roman" w:eastAsia="Times New Roman" w:hAnsi="Times New Roman" w:cs="Times New Roman"/>
          <w:b/>
          <w:bCs/>
          <w:sz w:val="24"/>
          <w:szCs w:val="24"/>
          <w:lang w:eastAsia="lv-LV"/>
        </w:rPr>
        <w:t>I. Jautājumi, par kuriem saskaņošanā vienošanās nav panākta</w:t>
      </w:r>
    </w:p>
    <w:tbl>
      <w:tblPr>
        <w:tblW w:w="13907" w:type="dxa"/>
        <w:tblCellSpacing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000" w:firstRow="0" w:lastRow="0" w:firstColumn="0" w:lastColumn="0" w:noHBand="0" w:noVBand="0"/>
      </w:tblPr>
      <w:tblGrid>
        <w:gridCol w:w="716"/>
        <w:gridCol w:w="2395"/>
        <w:gridCol w:w="3118"/>
        <w:gridCol w:w="3686"/>
        <w:gridCol w:w="1559"/>
        <w:gridCol w:w="2433"/>
      </w:tblGrid>
      <w:tr w:rsidR="00C54B4D" w:rsidRPr="00351640" w:rsidTr="00120553">
        <w:trPr>
          <w:tblCellSpacing w:w="0" w:type="dxa"/>
        </w:trPr>
        <w:tc>
          <w:tcPr>
            <w:tcW w:w="716" w:type="dxa"/>
            <w:vAlign w:val="center"/>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 Nr.</w:t>
            </w:r>
            <w:r w:rsidRPr="00351640">
              <w:rPr>
                <w:rFonts w:ascii="Times New Roman" w:eastAsia="Times New Roman" w:hAnsi="Times New Roman" w:cs="Times New Roman"/>
                <w:sz w:val="24"/>
                <w:szCs w:val="24"/>
                <w:lang w:eastAsia="lv-LV"/>
              </w:rPr>
              <w:br/>
              <w:t> p.k.</w:t>
            </w:r>
          </w:p>
        </w:tc>
        <w:tc>
          <w:tcPr>
            <w:tcW w:w="2395" w:type="dxa"/>
            <w:vAlign w:val="center"/>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Saskaņošanai nosūtītā projekta redakcija (konkrēta punkta (panta) redakcija)</w:t>
            </w:r>
          </w:p>
        </w:tc>
        <w:tc>
          <w:tcPr>
            <w:tcW w:w="3118" w:type="dxa"/>
            <w:vAlign w:val="center"/>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686" w:type="dxa"/>
            <w:vAlign w:val="center"/>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Atbildīgās ministrijas pamatojums iebilduma noraidījumam</w:t>
            </w:r>
          </w:p>
        </w:tc>
        <w:tc>
          <w:tcPr>
            <w:tcW w:w="1559" w:type="dxa"/>
            <w:vAlign w:val="center"/>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433" w:type="dxa"/>
            <w:vAlign w:val="center"/>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Projekta attiecīgā punkta (panta) galīgā redakcija</w:t>
            </w:r>
          </w:p>
        </w:tc>
      </w:tr>
      <w:tr w:rsidR="00C54B4D" w:rsidRPr="00351640" w:rsidTr="00120553">
        <w:trPr>
          <w:tblCellSpacing w:w="0" w:type="dxa"/>
        </w:trPr>
        <w:tc>
          <w:tcPr>
            <w:tcW w:w="716" w:type="dxa"/>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1</w:t>
            </w:r>
          </w:p>
        </w:tc>
        <w:tc>
          <w:tcPr>
            <w:tcW w:w="2395" w:type="dxa"/>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2</w:t>
            </w:r>
          </w:p>
        </w:tc>
        <w:tc>
          <w:tcPr>
            <w:tcW w:w="3118" w:type="dxa"/>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3</w:t>
            </w:r>
          </w:p>
        </w:tc>
        <w:tc>
          <w:tcPr>
            <w:tcW w:w="3686" w:type="dxa"/>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4</w:t>
            </w:r>
          </w:p>
        </w:tc>
        <w:tc>
          <w:tcPr>
            <w:tcW w:w="1559" w:type="dxa"/>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5</w:t>
            </w:r>
          </w:p>
        </w:tc>
        <w:tc>
          <w:tcPr>
            <w:tcW w:w="2433" w:type="dxa"/>
          </w:tcPr>
          <w:p w:rsidR="00C54B4D" w:rsidRPr="00351640" w:rsidRDefault="00C54B4D" w:rsidP="0098137C">
            <w:pPr>
              <w:spacing w:before="75" w:after="75"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6</w:t>
            </w:r>
          </w:p>
        </w:tc>
      </w:tr>
      <w:tr w:rsidR="00120553" w:rsidRPr="00351640" w:rsidTr="00120553">
        <w:trPr>
          <w:tblCellSpacing w:w="0" w:type="dxa"/>
        </w:trPr>
        <w:tc>
          <w:tcPr>
            <w:tcW w:w="716" w:type="dxa"/>
          </w:tcPr>
          <w:p w:rsidR="00C54B4D" w:rsidRPr="00351640" w:rsidRDefault="00C54B4D" w:rsidP="000F7DBA">
            <w:pPr>
              <w:pStyle w:val="Bezatstarpm"/>
              <w:jc w:val="both"/>
              <w:rPr>
                <w:rFonts w:ascii="Times New Roman" w:hAnsi="Times New Roman" w:cs="Times New Roman"/>
                <w:sz w:val="24"/>
                <w:lang w:eastAsia="lv-LV"/>
              </w:rPr>
            </w:pPr>
            <w:r w:rsidRPr="00351640">
              <w:rPr>
                <w:rFonts w:ascii="Times New Roman" w:hAnsi="Times New Roman" w:cs="Times New Roman"/>
                <w:sz w:val="24"/>
                <w:lang w:eastAsia="lv-LV"/>
              </w:rPr>
              <w:t>1.</w:t>
            </w:r>
          </w:p>
        </w:tc>
        <w:tc>
          <w:tcPr>
            <w:tcW w:w="2395" w:type="dxa"/>
          </w:tcPr>
          <w:p w:rsidR="00C54B4D" w:rsidRPr="00351640" w:rsidRDefault="00570AE1" w:rsidP="000F7DBA">
            <w:pPr>
              <w:pStyle w:val="Bezatstarpm"/>
              <w:jc w:val="both"/>
              <w:rPr>
                <w:rFonts w:ascii="Times New Roman" w:hAnsi="Times New Roman" w:cs="Times New Roman"/>
                <w:sz w:val="24"/>
                <w:lang w:eastAsia="lv-LV"/>
              </w:rPr>
            </w:pPr>
            <w:r w:rsidRPr="00351640">
              <w:rPr>
                <w:rFonts w:ascii="Times New Roman" w:hAnsi="Times New Roman" w:cs="Times New Roman"/>
                <w:sz w:val="24"/>
                <w:lang w:eastAsia="lv-LV"/>
              </w:rPr>
              <w:t>Izdarīt Ministru kabineta 2014. gada 22. jūlija noteikumos Nr. 421</w:t>
            </w:r>
            <w:r w:rsidR="00374234" w:rsidRPr="00351640">
              <w:rPr>
                <w:rFonts w:ascii="Times New Roman" w:hAnsi="Times New Roman" w:cs="Times New Roman"/>
                <w:sz w:val="24"/>
                <w:lang w:eastAsia="lv-LV"/>
              </w:rPr>
              <w:t xml:space="preserve"> </w:t>
            </w:r>
            <w:r w:rsidRPr="00351640">
              <w:rPr>
                <w:rFonts w:ascii="Times New Roman" w:hAnsi="Times New Roman" w:cs="Times New Roman"/>
                <w:sz w:val="24"/>
                <w:lang w:eastAsia="lv-LV"/>
              </w:rPr>
              <w:t xml:space="preserve">“Medību noteikumi” (Latvijas Vēstnesis, 2014, 150. nr.; 2016, 174. nr.) grozījumu un svītrot 3.2.12. apakšpunktā vārdus “brūnkakļi </w:t>
            </w:r>
            <w:r w:rsidRPr="00351640">
              <w:rPr>
                <w:rFonts w:ascii="Times New Roman" w:hAnsi="Times New Roman" w:cs="Times New Roman"/>
                <w:i/>
                <w:sz w:val="24"/>
                <w:lang w:eastAsia="lv-LV"/>
              </w:rPr>
              <w:t>(</w:t>
            </w:r>
            <w:proofErr w:type="spellStart"/>
            <w:r w:rsidRPr="00351640">
              <w:rPr>
                <w:rFonts w:ascii="Times New Roman" w:hAnsi="Times New Roman" w:cs="Times New Roman"/>
                <w:i/>
                <w:sz w:val="24"/>
                <w:lang w:eastAsia="lv-LV"/>
              </w:rPr>
              <w:t>Aythya</w:t>
            </w:r>
            <w:proofErr w:type="spellEnd"/>
            <w:r w:rsidRPr="00351640">
              <w:rPr>
                <w:rFonts w:ascii="Times New Roman" w:hAnsi="Times New Roman" w:cs="Times New Roman"/>
                <w:i/>
                <w:sz w:val="24"/>
                <w:lang w:eastAsia="lv-LV"/>
              </w:rPr>
              <w:t xml:space="preserve"> </w:t>
            </w:r>
            <w:proofErr w:type="spellStart"/>
            <w:r w:rsidRPr="00351640">
              <w:rPr>
                <w:rFonts w:ascii="Times New Roman" w:hAnsi="Times New Roman" w:cs="Times New Roman"/>
                <w:i/>
                <w:sz w:val="24"/>
                <w:lang w:eastAsia="lv-LV"/>
              </w:rPr>
              <w:t>ferina</w:t>
            </w:r>
            <w:proofErr w:type="spellEnd"/>
            <w:r w:rsidRPr="00351640">
              <w:rPr>
                <w:rFonts w:ascii="Times New Roman" w:hAnsi="Times New Roman" w:cs="Times New Roman"/>
                <w:i/>
                <w:sz w:val="24"/>
                <w:lang w:eastAsia="lv-LV"/>
              </w:rPr>
              <w:t>)</w:t>
            </w:r>
            <w:r w:rsidRPr="00351640">
              <w:rPr>
                <w:rFonts w:ascii="Times New Roman" w:hAnsi="Times New Roman" w:cs="Times New Roman"/>
                <w:sz w:val="24"/>
                <w:lang w:eastAsia="lv-LV"/>
              </w:rPr>
              <w:t>”.</w:t>
            </w:r>
          </w:p>
          <w:p w:rsidR="008166AF" w:rsidRPr="00351640" w:rsidRDefault="008166AF" w:rsidP="000F7DBA">
            <w:pPr>
              <w:pStyle w:val="Bezatstarpm"/>
              <w:jc w:val="both"/>
              <w:rPr>
                <w:rFonts w:ascii="Times New Roman" w:hAnsi="Times New Roman" w:cs="Times New Roman"/>
                <w:sz w:val="24"/>
                <w:lang w:eastAsia="lv-LV"/>
              </w:rPr>
            </w:pPr>
          </w:p>
        </w:tc>
        <w:tc>
          <w:tcPr>
            <w:tcW w:w="3118" w:type="dxa"/>
          </w:tcPr>
          <w:p w:rsidR="00F72A02" w:rsidRPr="00351640" w:rsidRDefault="00F72A02" w:rsidP="00B604BB">
            <w:pPr>
              <w:pStyle w:val="Bezatstarpm"/>
              <w:jc w:val="center"/>
              <w:rPr>
                <w:rFonts w:ascii="Times New Roman" w:hAnsi="Times New Roman" w:cs="Times New Roman"/>
                <w:b/>
                <w:sz w:val="24"/>
                <w:lang w:eastAsia="lv-LV"/>
              </w:rPr>
            </w:pPr>
            <w:r w:rsidRPr="00351640">
              <w:rPr>
                <w:rFonts w:ascii="Times New Roman" w:hAnsi="Times New Roman" w:cs="Times New Roman"/>
                <w:b/>
                <w:sz w:val="24"/>
                <w:lang w:eastAsia="lv-LV"/>
              </w:rPr>
              <w:t>Biedrība “Latvijas mednieku asociācija”</w:t>
            </w:r>
          </w:p>
          <w:p w:rsidR="00F72A02" w:rsidRPr="00351640" w:rsidRDefault="00F72A02" w:rsidP="000F7DBA">
            <w:pPr>
              <w:pStyle w:val="Bezatstarpm"/>
              <w:jc w:val="both"/>
              <w:rPr>
                <w:rFonts w:ascii="Times New Roman" w:hAnsi="Times New Roman" w:cs="Times New Roman"/>
                <w:sz w:val="24"/>
                <w:lang w:eastAsia="lv-LV"/>
              </w:rPr>
            </w:pPr>
            <w:r w:rsidRPr="00351640">
              <w:rPr>
                <w:rFonts w:ascii="Times New Roman" w:hAnsi="Times New Roman" w:cs="Times New Roman"/>
                <w:sz w:val="24"/>
                <w:lang w:eastAsia="lv-LV"/>
              </w:rPr>
              <w:t xml:space="preserve">1. Latvijas Mednieku asociācija iebilst pret projekta tālāku virzību esošajā redakcijā. </w:t>
            </w:r>
          </w:p>
          <w:p w:rsidR="00F72A02" w:rsidRPr="00351640" w:rsidRDefault="00F72A02" w:rsidP="000F7DBA">
            <w:pPr>
              <w:pStyle w:val="Bezatstarpm"/>
              <w:jc w:val="both"/>
              <w:rPr>
                <w:rFonts w:ascii="Times New Roman" w:hAnsi="Times New Roman" w:cs="Times New Roman"/>
                <w:sz w:val="24"/>
                <w:lang w:eastAsia="lv-LV"/>
              </w:rPr>
            </w:pPr>
          </w:p>
          <w:p w:rsidR="00F72A02" w:rsidRPr="00351640" w:rsidRDefault="00F72A02" w:rsidP="000F7DBA">
            <w:pPr>
              <w:pStyle w:val="Bezatstarpm"/>
              <w:jc w:val="both"/>
              <w:rPr>
                <w:rFonts w:ascii="Times New Roman" w:hAnsi="Times New Roman" w:cs="Times New Roman"/>
                <w:sz w:val="24"/>
                <w:lang w:eastAsia="lv-LV"/>
              </w:rPr>
            </w:pPr>
            <w:r w:rsidRPr="00351640">
              <w:rPr>
                <w:rFonts w:ascii="Times New Roman" w:hAnsi="Times New Roman" w:cs="Times New Roman"/>
                <w:sz w:val="24"/>
                <w:lang w:eastAsia="lv-LV"/>
              </w:rPr>
              <w:t xml:space="preserve">2. Ņemot vērā iepriekšējo negatīvo pieredzi attiecībā uz grozījumiem medījamo dzīvnieku sarakstā, kad pēc kādas sugas izsvītrošanas ir praktiski neiespējami atjaunot attiecīgo sugu vai arī citas sugas </w:t>
            </w:r>
            <w:r w:rsidRPr="00351640">
              <w:rPr>
                <w:rFonts w:ascii="Times New Roman" w:hAnsi="Times New Roman" w:cs="Times New Roman"/>
                <w:sz w:val="24"/>
                <w:lang w:eastAsia="lv-LV"/>
              </w:rPr>
              <w:lastRenderedPageBreak/>
              <w:t>medījamo dzīvnieku sarakstā, ja šo sugu indivīdiem atkal ir ieguvuši labvēlīgu aizsardzības statusu, aicinām nevis veikt grozījumus noteikumos, bet ar Val</w:t>
            </w:r>
            <w:r w:rsidR="00CB6902" w:rsidRPr="00351640">
              <w:rPr>
                <w:rFonts w:ascii="Times New Roman" w:hAnsi="Times New Roman" w:cs="Times New Roman"/>
                <w:sz w:val="24"/>
                <w:lang w:eastAsia="lv-LV"/>
              </w:rPr>
              <w:t>s</w:t>
            </w:r>
            <w:r w:rsidRPr="00351640">
              <w:rPr>
                <w:rFonts w:ascii="Times New Roman" w:hAnsi="Times New Roman" w:cs="Times New Roman"/>
                <w:sz w:val="24"/>
                <w:lang w:eastAsia="lv-LV"/>
              </w:rPr>
              <w:t xml:space="preserve">ts meža dienesta rīkojumu apturēt brūnkakļa medības, kā to paredz noteikumu 10. punkts. Noteikumu 10.punkts pasaka, ka Valsts meža dienestam ir tiesības noteikt papildus ierobežojumus medību organizēšanai, ja tiek konstatētas īpatņu skaita izmaiņas populācijā. </w:t>
            </w:r>
          </w:p>
          <w:p w:rsidR="00F72A02" w:rsidRPr="00351640" w:rsidRDefault="00F72A02" w:rsidP="000F7DBA">
            <w:pPr>
              <w:pStyle w:val="Bezatstarpm"/>
              <w:jc w:val="both"/>
              <w:rPr>
                <w:rFonts w:ascii="Times New Roman" w:hAnsi="Times New Roman" w:cs="Times New Roman"/>
                <w:sz w:val="24"/>
                <w:lang w:eastAsia="lv-LV"/>
              </w:rPr>
            </w:pPr>
          </w:p>
          <w:p w:rsidR="00C54B4D" w:rsidRPr="00351640" w:rsidRDefault="00F72A02" w:rsidP="000F7DBA">
            <w:pPr>
              <w:pStyle w:val="Bezatstarpm"/>
              <w:jc w:val="both"/>
              <w:rPr>
                <w:rFonts w:ascii="Times New Roman" w:hAnsi="Times New Roman" w:cs="Times New Roman"/>
                <w:b/>
                <w:sz w:val="24"/>
                <w:lang w:eastAsia="lv-LV"/>
              </w:rPr>
            </w:pPr>
            <w:r w:rsidRPr="00351640">
              <w:rPr>
                <w:rFonts w:ascii="Times New Roman" w:hAnsi="Times New Roman" w:cs="Times New Roman"/>
                <w:sz w:val="24"/>
                <w:lang w:eastAsia="lv-LV"/>
              </w:rPr>
              <w:t>2. Tāpat ierosinām izvērtēt, cik pamatoti ir izņemt brūnkakli no medījamo dzīvnieku saraksta, ņemot vērā Latvijā veiktā un no Medību saimniecības attīstības fonda finansētā projekta Latvijas ūdensputnu monitoringa rezultātus.  Ūdensputnu monitoringa dati varētu liecināt par to, ka Latvijā nomedīto brūnkakļu skaits nekādā veidā nevar negatīvi ietekmēt globālo brūnkakļu populāciju.</w:t>
            </w:r>
          </w:p>
        </w:tc>
        <w:tc>
          <w:tcPr>
            <w:tcW w:w="3686" w:type="dxa"/>
          </w:tcPr>
          <w:p w:rsidR="002265A7" w:rsidRPr="00351640" w:rsidRDefault="00570AE1" w:rsidP="000F7DBA">
            <w:pPr>
              <w:pStyle w:val="Bezatstarpm"/>
              <w:jc w:val="both"/>
              <w:rPr>
                <w:rFonts w:ascii="Times New Roman" w:hAnsi="Times New Roman" w:cs="Times New Roman"/>
                <w:color w:val="000000"/>
                <w:sz w:val="24"/>
                <w:lang w:eastAsia="lv-LV"/>
              </w:rPr>
            </w:pPr>
            <w:r w:rsidRPr="00351640">
              <w:rPr>
                <w:rFonts w:ascii="Times New Roman" w:hAnsi="Times New Roman" w:cs="Times New Roman"/>
                <w:color w:val="000000"/>
                <w:sz w:val="24"/>
                <w:lang w:eastAsia="lv-LV"/>
              </w:rPr>
              <w:lastRenderedPageBreak/>
              <w:t xml:space="preserve">Starptautiskā līguma “Par Āfrikas-Eirāzijas migrējošo ūdensputnu aizsardzību” (turpmāk –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līgums) 7. </w:t>
            </w:r>
            <w:proofErr w:type="spellStart"/>
            <w:r w:rsidRPr="00351640">
              <w:rPr>
                <w:rFonts w:ascii="Times New Roman" w:hAnsi="Times New Roman" w:cs="Times New Roman"/>
                <w:color w:val="000000"/>
                <w:sz w:val="24"/>
                <w:lang w:eastAsia="lv-LV"/>
              </w:rPr>
              <w:t>dalībpušu</w:t>
            </w:r>
            <w:proofErr w:type="spellEnd"/>
            <w:r w:rsidRPr="00351640">
              <w:rPr>
                <w:rFonts w:ascii="Times New Roman" w:hAnsi="Times New Roman" w:cs="Times New Roman"/>
                <w:color w:val="000000"/>
                <w:sz w:val="24"/>
                <w:lang w:eastAsia="lv-LV"/>
              </w:rPr>
              <w:t xml:space="preserve"> sanāksmē</w:t>
            </w:r>
            <w:r w:rsidR="000F7DBA" w:rsidRPr="00351640">
              <w:rPr>
                <w:rFonts w:ascii="Times New Roman" w:hAnsi="Times New Roman" w:cs="Times New Roman"/>
                <w:color w:val="000000"/>
                <w:sz w:val="24"/>
                <w:lang w:eastAsia="lv-LV"/>
              </w:rPr>
              <w:t xml:space="preserve"> </w:t>
            </w:r>
            <w:r w:rsidRPr="00351640">
              <w:rPr>
                <w:rFonts w:ascii="Times New Roman" w:hAnsi="Times New Roman" w:cs="Times New Roman"/>
                <w:color w:val="000000"/>
                <w:sz w:val="24"/>
                <w:lang w:eastAsia="lv-LV"/>
              </w:rPr>
              <w:t xml:space="preserve">tika grozīts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līguma pielikums.</w:t>
            </w:r>
          </w:p>
          <w:p w:rsidR="00C54B4D" w:rsidRPr="00351640" w:rsidRDefault="00570AE1" w:rsidP="000F7DBA">
            <w:pPr>
              <w:pStyle w:val="Bezatstarpm"/>
              <w:jc w:val="both"/>
              <w:rPr>
                <w:rFonts w:ascii="Times New Roman" w:hAnsi="Times New Roman" w:cs="Times New Roman"/>
                <w:color w:val="000000"/>
                <w:sz w:val="24"/>
                <w:lang w:eastAsia="lv-LV"/>
              </w:rPr>
            </w:pPr>
            <w:r w:rsidRPr="00351640">
              <w:rPr>
                <w:rFonts w:ascii="Times New Roman" w:hAnsi="Times New Roman" w:cs="Times New Roman"/>
                <w:color w:val="000000"/>
                <w:sz w:val="24"/>
                <w:lang w:eastAsia="lv-LV"/>
              </w:rPr>
              <w:t xml:space="preserve">Ar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līguma rezolūciju 7.3 “Par izmaiņu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pielikumos apstiprināšanu” tika izdarīti grozījumi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līguma 3. pielikumā ietvertā rīcības plāna 1. tabulā “Migrējošo ūdensputnu populāciju statuss”. Kopumā statuss tika mainīts deviņām ūdensputnu sugām, kas iekļautas </w:t>
            </w:r>
            <w:r w:rsidRPr="00351640">
              <w:rPr>
                <w:rFonts w:ascii="Times New Roman" w:hAnsi="Times New Roman" w:cs="Times New Roman"/>
                <w:color w:val="000000"/>
                <w:sz w:val="24"/>
                <w:lang w:eastAsia="lv-LV"/>
              </w:rPr>
              <w:lastRenderedPageBreak/>
              <w:t xml:space="preserve">Eiropas Parlamenta un Padomes 2009. gada 30. novembra Direktīvas 2009/147/EK par savvaļas putnu aizsardzību II pielikuma A un B daļā kā medījamas sugas. No šīm sugām tikai viena – brūnkaklis </w:t>
            </w:r>
            <w:r w:rsidRPr="00351640">
              <w:rPr>
                <w:rFonts w:ascii="Times New Roman" w:hAnsi="Times New Roman" w:cs="Times New Roman"/>
                <w:i/>
                <w:color w:val="000000"/>
                <w:sz w:val="24"/>
                <w:lang w:eastAsia="lv-LV"/>
              </w:rPr>
              <w:t>(</w:t>
            </w:r>
            <w:proofErr w:type="spellStart"/>
            <w:r w:rsidRPr="00351640">
              <w:rPr>
                <w:rFonts w:ascii="Times New Roman" w:hAnsi="Times New Roman" w:cs="Times New Roman"/>
                <w:i/>
                <w:color w:val="000000"/>
                <w:sz w:val="24"/>
                <w:lang w:eastAsia="lv-LV"/>
              </w:rPr>
              <w:t>Aythya</w:t>
            </w:r>
            <w:proofErr w:type="spellEnd"/>
            <w:r w:rsidRPr="00351640">
              <w:rPr>
                <w:rFonts w:ascii="Times New Roman" w:hAnsi="Times New Roman" w:cs="Times New Roman"/>
                <w:i/>
                <w:color w:val="000000"/>
                <w:sz w:val="24"/>
                <w:lang w:eastAsia="lv-LV"/>
              </w:rPr>
              <w:t xml:space="preserve"> </w:t>
            </w:r>
            <w:proofErr w:type="spellStart"/>
            <w:r w:rsidRPr="00351640">
              <w:rPr>
                <w:rFonts w:ascii="Times New Roman" w:hAnsi="Times New Roman" w:cs="Times New Roman"/>
                <w:i/>
                <w:color w:val="000000"/>
                <w:sz w:val="24"/>
                <w:lang w:eastAsia="lv-LV"/>
              </w:rPr>
              <w:t>ferina</w:t>
            </w:r>
            <w:proofErr w:type="spellEnd"/>
            <w:r w:rsidRPr="00351640">
              <w:rPr>
                <w:rFonts w:ascii="Times New Roman" w:hAnsi="Times New Roman" w:cs="Times New Roman"/>
                <w:i/>
                <w:color w:val="000000"/>
                <w:sz w:val="24"/>
                <w:lang w:eastAsia="lv-LV"/>
              </w:rPr>
              <w:t>)</w:t>
            </w:r>
            <w:r w:rsidRPr="00351640">
              <w:rPr>
                <w:rFonts w:ascii="Times New Roman" w:hAnsi="Times New Roman" w:cs="Times New Roman"/>
                <w:color w:val="000000"/>
                <w:sz w:val="24"/>
                <w:lang w:eastAsia="lv-LV"/>
              </w:rPr>
              <w:t xml:space="preserve"> – ir medījama suga Latvijā. Brūnkakļa </w:t>
            </w:r>
            <w:r w:rsidRPr="00351640">
              <w:rPr>
                <w:rFonts w:ascii="Times New Roman" w:hAnsi="Times New Roman" w:cs="Times New Roman"/>
                <w:i/>
                <w:color w:val="000000"/>
                <w:sz w:val="24"/>
                <w:lang w:eastAsia="lv-LV"/>
              </w:rPr>
              <w:t>(</w:t>
            </w:r>
            <w:proofErr w:type="spellStart"/>
            <w:r w:rsidRPr="00351640">
              <w:rPr>
                <w:rFonts w:ascii="Times New Roman" w:hAnsi="Times New Roman" w:cs="Times New Roman"/>
                <w:i/>
                <w:color w:val="000000"/>
                <w:sz w:val="24"/>
                <w:lang w:eastAsia="lv-LV"/>
              </w:rPr>
              <w:t>Aythya</w:t>
            </w:r>
            <w:proofErr w:type="spellEnd"/>
            <w:r w:rsidRPr="00351640">
              <w:rPr>
                <w:rFonts w:ascii="Times New Roman" w:hAnsi="Times New Roman" w:cs="Times New Roman"/>
                <w:i/>
                <w:color w:val="000000"/>
                <w:sz w:val="24"/>
                <w:lang w:eastAsia="lv-LV"/>
              </w:rPr>
              <w:t xml:space="preserve"> </w:t>
            </w:r>
            <w:proofErr w:type="spellStart"/>
            <w:r w:rsidRPr="00351640">
              <w:rPr>
                <w:rFonts w:ascii="Times New Roman" w:hAnsi="Times New Roman" w:cs="Times New Roman"/>
                <w:i/>
                <w:color w:val="000000"/>
                <w:sz w:val="24"/>
                <w:lang w:eastAsia="lv-LV"/>
              </w:rPr>
              <w:t>ferina</w:t>
            </w:r>
            <w:proofErr w:type="spellEnd"/>
            <w:r w:rsidRPr="00351640">
              <w:rPr>
                <w:rFonts w:ascii="Times New Roman" w:hAnsi="Times New Roman" w:cs="Times New Roman"/>
                <w:i/>
                <w:color w:val="000000"/>
                <w:sz w:val="24"/>
                <w:lang w:eastAsia="lv-LV"/>
              </w:rPr>
              <w:t>)</w:t>
            </w:r>
            <w:r w:rsidRPr="00351640">
              <w:rPr>
                <w:rFonts w:ascii="Times New Roman" w:hAnsi="Times New Roman" w:cs="Times New Roman"/>
                <w:color w:val="000000"/>
                <w:sz w:val="24"/>
                <w:lang w:eastAsia="lv-LV"/>
              </w:rPr>
              <w:t xml:space="preserve"> populācijas ir iekļautas A kolonnas 1.b kategorijā (</w:t>
            </w:r>
            <w:r w:rsidRPr="00351640">
              <w:rPr>
                <w:rFonts w:ascii="Times New Roman" w:hAnsi="Times New Roman" w:cs="Times New Roman"/>
                <w:color w:val="000000"/>
                <w:sz w:val="24"/>
                <w:u w:val="single"/>
                <w:lang w:eastAsia="lv-LV"/>
              </w:rPr>
              <w:t>strikta aizsardzība, jebkurš izmantošanas, tostarp medību, aizliegums</w:t>
            </w:r>
            <w:r w:rsidRPr="00351640">
              <w:rPr>
                <w:rFonts w:ascii="Times New Roman" w:hAnsi="Times New Roman" w:cs="Times New Roman"/>
                <w:color w:val="000000"/>
                <w:sz w:val="24"/>
                <w:lang w:eastAsia="lv-LV"/>
              </w:rPr>
              <w:t xml:space="preserve">). Ievērojot Latvijas un Eiropas Savienības (Eiropas Komisija ir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līguma dalībniece) starptautiskās saistības un pašreizējo iepriekšminētās sugas starptautisko aizsardzības statusu, izdarāmi grozījumi Ministru kabineta 2014. gada 22. jūlija noteikumu Nr. 421 “Medību noteikumi”</w:t>
            </w:r>
            <w:r w:rsidR="00E558DB" w:rsidRPr="00351640">
              <w:rPr>
                <w:rFonts w:ascii="Times New Roman" w:hAnsi="Times New Roman" w:cs="Times New Roman"/>
                <w:color w:val="000000"/>
                <w:sz w:val="24"/>
                <w:lang w:eastAsia="lv-LV"/>
              </w:rPr>
              <w:t xml:space="preserve"> (turpmāk – noteikumi)</w:t>
            </w:r>
            <w:r w:rsidRPr="00351640">
              <w:rPr>
                <w:rFonts w:ascii="Times New Roman" w:hAnsi="Times New Roman" w:cs="Times New Roman"/>
                <w:color w:val="000000"/>
                <w:sz w:val="24"/>
                <w:lang w:eastAsia="lv-LV"/>
              </w:rPr>
              <w:t xml:space="preserve"> 3.2.12. apakšpunktā, svītrojot brūnkakli </w:t>
            </w:r>
            <w:r w:rsidRPr="00351640">
              <w:rPr>
                <w:rFonts w:ascii="Times New Roman" w:hAnsi="Times New Roman" w:cs="Times New Roman"/>
                <w:i/>
                <w:color w:val="000000"/>
                <w:sz w:val="24"/>
                <w:lang w:eastAsia="lv-LV"/>
              </w:rPr>
              <w:t>(</w:t>
            </w:r>
            <w:proofErr w:type="spellStart"/>
            <w:r w:rsidRPr="00351640">
              <w:rPr>
                <w:rFonts w:ascii="Times New Roman" w:hAnsi="Times New Roman" w:cs="Times New Roman"/>
                <w:i/>
                <w:color w:val="000000"/>
                <w:sz w:val="24"/>
                <w:lang w:eastAsia="lv-LV"/>
              </w:rPr>
              <w:t>Aythya</w:t>
            </w:r>
            <w:proofErr w:type="spellEnd"/>
            <w:r w:rsidRPr="00351640">
              <w:rPr>
                <w:rFonts w:ascii="Times New Roman" w:hAnsi="Times New Roman" w:cs="Times New Roman"/>
                <w:i/>
                <w:color w:val="000000"/>
                <w:sz w:val="24"/>
                <w:lang w:eastAsia="lv-LV"/>
              </w:rPr>
              <w:t xml:space="preserve"> </w:t>
            </w:r>
            <w:proofErr w:type="spellStart"/>
            <w:r w:rsidRPr="00351640">
              <w:rPr>
                <w:rFonts w:ascii="Times New Roman" w:hAnsi="Times New Roman" w:cs="Times New Roman"/>
                <w:i/>
                <w:color w:val="000000"/>
                <w:sz w:val="24"/>
                <w:lang w:eastAsia="lv-LV"/>
              </w:rPr>
              <w:t>ferina</w:t>
            </w:r>
            <w:proofErr w:type="spellEnd"/>
            <w:r w:rsidRPr="00351640">
              <w:rPr>
                <w:rFonts w:ascii="Times New Roman" w:hAnsi="Times New Roman" w:cs="Times New Roman"/>
                <w:i/>
                <w:color w:val="000000"/>
                <w:sz w:val="24"/>
                <w:lang w:eastAsia="lv-LV"/>
              </w:rPr>
              <w:t>)</w:t>
            </w:r>
            <w:r w:rsidRPr="00351640">
              <w:rPr>
                <w:rFonts w:ascii="Times New Roman" w:hAnsi="Times New Roman" w:cs="Times New Roman"/>
                <w:color w:val="000000"/>
                <w:sz w:val="24"/>
                <w:lang w:eastAsia="lv-LV"/>
              </w:rPr>
              <w:t xml:space="preserve"> no medījamo dzīvnieku saraksta.</w:t>
            </w:r>
          </w:p>
          <w:p w:rsidR="00E558DB" w:rsidRPr="00351640" w:rsidRDefault="00E558DB" w:rsidP="000F7DBA">
            <w:pPr>
              <w:pStyle w:val="Bezatstarpm"/>
              <w:jc w:val="both"/>
              <w:rPr>
                <w:rFonts w:ascii="Times New Roman" w:hAnsi="Times New Roman" w:cs="Times New Roman"/>
                <w:color w:val="000000"/>
                <w:sz w:val="24"/>
                <w:lang w:eastAsia="lv-LV"/>
              </w:rPr>
            </w:pPr>
            <w:r w:rsidRPr="00351640">
              <w:rPr>
                <w:rFonts w:ascii="Times New Roman" w:hAnsi="Times New Roman" w:cs="Times New Roman"/>
                <w:color w:val="000000"/>
                <w:sz w:val="24"/>
                <w:lang w:eastAsia="lv-LV"/>
              </w:rPr>
              <w:t>Noteikumu 10.punkts ir attiecināms tikai uz zīdītājiem, bet ne uz putniem.</w:t>
            </w:r>
          </w:p>
          <w:p w:rsidR="00E558DB" w:rsidRPr="00351640" w:rsidRDefault="00E558DB" w:rsidP="000F7DBA">
            <w:pPr>
              <w:pStyle w:val="Bezatstarpm"/>
              <w:jc w:val="both"/>
              <w:rPr>
                <w:rFonts w:ascii="Times New Roman" w:hAnsi="Times New Roman" w:cs="Times New Roman"/>
                <w:color w:val="000000"/>
                <w:sz w:val="24"/>
                <w:lang w:eastAsia="lv-LV"/>
              </w:rPr>
            </w:pPr>
            <w:r w:rsidRPr="00351640">
              <w:rPr>
                <w:rFonts w:ascii="Times New Roman" w:hAnsi="Times New Roman" w:cs="Times New Roman"/>
                <w:color w:val="000000"/>
                <w:sz w:val="24"/>
                <w:lang w:eastAsia="lv-LV"/>
              </w:rPr>
              <w:t xml:space="preserve">Ministrija piekrīt, ka Latvijā nomedīto brūnkakļu </w:t>
            </w:r>
            <w:r w:rsidRPr="00351640">
              <w:rPr>
                <w:rFonts w:ascii="Times New Roman" w:hAnsi="Times New Roman" w:cs="Times New Roman"/>
                <w:i/>
                <w:color w:val="000000"/>
                <w:sz w:val="24"/>
                <w:lang w:eastAsia="lv-LV"/>
              </w:rPr>
              <w:t>(</w:t>
            </w:r>
            <w:proofErr w:type="spellStart"/>
            <w:r w:rsidRPr="00351640">
              <w:rPr>
                <w:rFonts w:ascii="Times New Roman" w:hAnsi="Times New Roman" w:cs="Times New Roman"/>
                <w:i/>
                <w:color w:val="000000"/>
                <w:sz w:val="24"/>
                <w:lang w:eastAsia="lv-LV"/>
              </w:rPr>
              <w:t>Aythya</w:t>
            </w:r>
            <w:proofErr w:type="spellEnd"/>
            <w:r w:rsidRPr="00351640">
              <w:rPr>
                <w:rFonts w:ascii="Times New Roman" w:hAnsi="Times New Roman" w:cs="Times New Roman"/>
                <w:i/>
                <w:color w:val="000000"/>
                <w:sz w:val="24"/>
                <w:lang w:eastAsia="lv-LV"/>
              </w:rPr>
              <w:t xml:space="preserve"> </w:t>
            </w:r>
            <w:proofErr w:type="spellStart"/>
            <w:r w:rsidRPr="00351640">
              <w:rPr>
                <w:rFonts w:ascii="Times New Roman" w:hAnsi="Times New Roman" w:cs="Times New Roman"/>
                <w:i/>
                <w:color w:val="000000"/>
                <w:sz w:val="24"/>
                <w:lang w:eastAsia="lv-LV"/>
              </w:rPr>
              <w:t>ferina</w:t>
            </w:r>
            <w:proofErr w:type="spellEnd"/>
            <w:r w:rsidRPr="00351640">
              <w:rPr>
                <w:rFonts w:ascii="Times New Roman" w:hAnsi="Times New Roman" w:cs="Times New Roman"/>
                <w:i/>
                <w:color w:val="000000"/>
                <w:sz w:val="24"/>
                <w:lang w:eastAsia="lv-LV"/>
              </w:rPr>
              <w:t>)</w:t>
            </w:r>
            <w:r w:rsidRPr="00351640">
              <w:rPr>
                <w:rFonts w:ascii="Times New Roman" w:hAnsi="Times New Roman" w:cs="Times New Roman"/>
                <w:color w:val="000000"/>
                <w:sz w:val="24"/>
                <w:lang w:eastAsia="lv-LV"/>
              </w:rPr>
              <w:t xml:space="preserve"> </w:t>
            </w:r>
            <w:r w:rsidR="000B09B2" w:rsidRPr="00351640">
              <w:rPr>
                <w:rFonts w:ascii="Times New Roman" w:hAnsi="Times New Roman" w:cs="Times New Roman"/>
                <w:color w:val="000000"/>
                <w:sz w:val="24"/>
                <w:lang w:eastAsia="lv-LV"/>
              </w:rPr>
              <w:t>daudzums</w:t>
            </w:r>
            <w:r w:rsidRPr="00351640">
              <w:rPr>
                <w:rFonts w:ascii="Times New Roman" w:hAnsi="Times New Roman" w:cs="Times New Roman"/>
                <w:color w:val="000000"/>
                <w:sz w:val="24"/>
                <w:lang w:eastAsia="lv-LV"/>
              </w:rPr>
              <w:t xml:space="preserve"> ir niecīg</w:t>
            </w:r>
            <w:r w:rsidR="000B09B2" w:rsidRPr="00351640">
              <w:rPr>
                <w:rFonts w:ascii="Times New Roman" w:hAnsi="Times New Roman" w:cs="Times New Roman"/>
                <w:color w:val="000000"/>
                <w:sz w:val="24"/>
                <w:lang w:eastAsia="lv-LV"/>
              </w:rPr>
              <w:t>s</w:t>
            </w:r>
            <w:r w:rsidRPr="00351640">
              <w:rPr>
                <w:rFonts w:ascii="Times New Roman" w:hAnsi="Times New Roman" w:cs="Times New Roman"/>
                <w:color w:val="000000"/>
                <w:sz w:val="24"/>
                <w:lang w:eastAsia="lv-LV"/>
              </w:rPr>
              <w:t xml:space="preserve"> un nevar ietekmēt to populāciju, tomēr </w:t>
            </w:r>
            <w:r w:rsidRPr="00351640">
              <w:rPr>
                <w:rFonts w:ascii="Times New Roman" w:hAnsi="Times New Roman" w:cs="Times New Roman"/>
                <w:i/>
                <w:color w:val="000000"/>
                <w:sz w:val="24"/>
                <w:lang w:eastAsia="lv-LV"/>
              </w:rPr>
              <w:t>AEWA</w:t>
            </w:r>
            <w:r w:rsidRPr="00351640">
              <w:rPr>
                <w:rFonts w:ascii="Times New Roman" w:hAnsi="Times New Roman" w:cs="Times New Roman"/>
                <w:color w:val="000000"/>
                <w:sz w:val="24"/>
                <w:lang w:eastAsia="lv-LV"/>
              </w:rPr>
              <w:t xml:space="preserve"> līgums Latvijai ir saistošs.</w:t>
            </w:r>
          </w:p>
        </w:tc>
        <w:tc>
          <w:tcPr>
            <w:tcW w:w="1559" w:type="dxa"/>
          </w:tcPr>
          <w:p w:rsidR="00C54B4D" w:rsidRPr="00351640" w:rsidRDefault="00C54B4D" w:rsidP="000F7DBA">
            <w:pPr>
              <w:pStyle w:val="Bezatstarpm"/>
              <w:jc w:val="both"/>
              <w:rPr>
                <w:rFonts w:ascii="Times New Roman" w:hAnsi="Times New Roman" w:cs="Times New Roman"/>
                <w:sz w:val="24"/>
                <w:lang w:eastAsia="lv-LV"/>
              </w:rPr>
            </w:pPr>
          </w:p>
        </w:tc>
        <w:tc>
          <w:tcPr>
            <w:tcW w:w="2433" w:type="dxa"/>
          </w:tcPr>
          <w:p w:rsidR="00C54B4D" w:rsidRPr="00351640" w:rsidRDefault="00570AE1" w:rsidP="000F7DBA">
            <w:pPr>
              <w:pStyle w:val="Bezatstarpm"/>
              <w:jc w:val="both"/>
              <w:rPr>
                <w:rFonts w:ascii="Times New Roman" w:hAnsi="Times New Roman" w:cs="Times New Roman"/>
                <w:sz w:val="24"/>
                <w:lang w:eastAsia="lv-LV"/>
              </w:rPr>
            </w:pPr>
            <w:r w:rsidRPr="00351640">
              <w:rPr>
                <w:rFonts w:ascii="Times New Roman" w:hAnsi="Times New Roman" w:cs="Times New Roman"/>
                <w:sz w:val="24"/>
                <w:lang w:eastAsia="lv-LV"/>
              </w:rPr>
              <w:t>Izdarīt Ministru kabineta 2014. gada 22. jūlija noteikumos Nr.</w:t>
            </w:r>
            <w:r w:rsidR="00374234" w:rsidRPr="00351640">
              <w:rPr>
                <w:rFonts w:ascii="Times New Roman" w:hAnsi="Times New Roman" w:cs="Times New Roman"/>
                <w:sz w:val="24"/>
                <w:lang w:eastAsia="lv-LV"/>
              </w:rPr>
              <w:t xml:space="preserve"> </w:t>
            </w:r>
            <w:r w:rsidRPr="00351640">
              <w:rPr>
                <w:rFonts w:ascii="Times New Roman" w:hAnsi="Times New Roman" w:cs="Times New Roman"/>
                <w:sz w:val="24"/>
                <w:lang w:eastAsia="lv-LV"/>
              </w:rPr>
              <w:t xml:space="preserve">421 “Medību noteikumi” (Latvijas Vēstnesis, 2014, 150. nr.; 2016, 174. nr.) grozījumu un svītrot 3.2.12. apakšpunktā vārdus “brūnkakļi </w:t>
            </w:r>
            <w:r w:rsidRPr="00351640">
              <w:rPr>
                <w:rFonts w:ascii="Times New Roman" w:hAnsi="Times New Roman" w:cs="Times New Roman"/>
                <w:i/>
                <w:sz w:val="24"/>
                <w:lang w:eastAsia="lv-LV"/>
              </w:rPr>
              <w:t>(</w:t>
            </w:r>
            <w:proofErr w:type="spellStart"/>
            <w:r w:rsidRPr="00351640">
              <w:rPr>
                <w:rFonts w:ascii="Times New Roman" w:hAnsi="Times New Roman" w:cs="Times New Roman"/>
                <w:i/>
                <w:sz w:val="24"/>
                <w:lang w:eastAsia="lv-LV"/>
              </w:rPr>
              <w:t>Aythya</w:t>
            </w:r>
            <w:proofErr w:type="spellEnd"/>
            <w:r w:rsidRPr="00351640">
              <w:rPr>
                <w:rFonts w:ascii="Times New Roman" w:hAnsi="Times New Roman" w:cs="Times New Roman"/>
                <w:i/>
                <w:sz w:val="24"/>
                <w:lang w:eastAsia="lv-LV"/>
              </w:rPr>
              <w:t xml:space="preserve"> </w:t>
            </w:r>
            <w:proofErr w:type="spellStart"/>
            <w:r w:rsidRPr="00351640">
              <w:rPr>
                <w:rFonts w:ascii="Times New Roman" w:hAnsi="Times New Roman" w:cs="Times New Roman"/>
                <w:i/>
                <w:sz w:val="24"/>
                <w:lang w:eastAsia="lv-LV"/>
              </w:rPr>
              <w:t>ferina</w:t>
            </w:r>
            <w:proofErr w:type="spellEnd"/>
            <w:r w:rsidRPr="00351640">
              <w:rPr>
                <w:rFonts w:ascii="Times New Roman" w:hAnsi="Times New Roman" w:cs="Times New Roman"/>
                <w:i/>
                <w:sz w:val="24"/>
                <w:lang w:eastAsia="lv-LV"/>
              </w:rPr>
              <w:t>)</w:t>
            </w:r>
            <w:r w:rsidRPr="00351640">
              <w:rPr>
                <w:rFonts w:ascii="Times New Roman" w:hAnsi="Times New Roman" w:cs="Times New Roman"/>
                <w:sz w:val="24"/>
                <w:lang w:eastAsia="lv-LV"/>
              </w:rPr>
              <w:t>”.</w:t>
            </w:r>
          </w:p>
        </w:tc>
      </w:tr>
    </w:tbl>
    <w:p w:rsidR="00351640" w:rsidRDefault="00351640" w:rsidP="00C54B4D">
      <w:pPr>
        <w:spacing w:before="75" w:after="75" w:line="240" w:lineRule="auto"/>
        <w:jc w:val="both"/>
        <w:rPr>
          <w:rFonts w:ascii="Times New Roman" w:eastAsia="Times New Roman" w:hAnsi="Times New Roman" w:cs="Times New Roman"/>
          <w:b/>
          <w:sz w:val="24"/>
          <w:szCs w:val="24"/>
          <w:lang w:eastAsia="lv-LV"/>
        </w:rPr>
      </w:pPr>
    </w:p>
    <w:p w:rsidR="00C54B4D" w:rsidRPr="00351640" w:rsidRDefault="00C54B4D" w:rsidP="00C54B4D">
      <w:pPr>
        <w:spacing w:before="75" w:after="75" w:line="240" w:lineRule="auto"/>
        <w:jc w:val="both"/>
        <w:rPr>
          <w:rFonts w:ascii="Times New Roman" w:eastAsia="Times New Roman" w:hAnsi="Times New Roman" w:cs="Times New Roman"/>
          <w:b/>
          <w:sz w:val="24"/>
          <w:szCs w:val="24"/>
          <w:lang w:eastAsia="lv-LV"/>
        </w:rPr>
      </w:pPr>
      <w:r w:rsidRPr="00351640">
        <w:rPr>
          <w:rFonts w:ascii="Times New Roman" w:eastAsia="Times New Roman" w:hAnsi="Times New Roman" w:cs="Times New Roman"/>
          <w:b/>
          <w:sz w:val="24"/>
          <w:szCs w:val="24"/>
          <w:lang w:eastAsia="lv-LV"/>
        </w:rPr>
        <w:lastRenderedPageBreak/>
        <w:t>Informācija par starpministriju (starpinstitūciju) sanāksmi vai elektronisko saskaņošanu</w:t>
      </w:r>
    </w:p>
    <w:tbl>
      <w:tblPr>
        <w:tblW w:w="0" w:type="auto"/>
        <w:tblLook w:val="04A0" w:firstRow="1" w:lastRow="0" w:firstColumn="1" w:lastColumn="0" w:noHBand="0" w:noVBand="1"/>
      </w:tblPr>
      <w:tblGrid>
        <w:gridCol w:w="392"/>
        <w:gridCol w:w="6379"/>
        <w:gridCol w:w="7448"/>
      </w:tblGrid>
      <w:tr w:rsidR="00C54B4D" w:rsidRPr="00351640" w:rsidTr="0098137C">
        <w:tc>
          <w:tcPr>
            <w:tcW w:w="392"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p>
        </w:tc>
        <w:tc>
          <w:tcPr>
            <w:tcW w:w="6379"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Datums</w:t>
            </w:r>
          </w:p>
        </w:tc>
        <w:tc>
          <w:tcPr>
            <w:tcW w:w="7448" w:type="dxa"/>
          </w:tcPr>
          <w:p w:rsidR="00C54B4D" w:rsidRPr="00351640" w:rsidRDefault="002701C7"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12.11.2019.</w:t>
            </w:r>
          </w:p>
        </w:tc>
      </w:tr>
      <w:tr w:rsidR="00C54B4D" w:rsidRPr="00351640" w:rsidTr="0098137C">
        <w:tc>
          <w:tcPr>
            <w:tcW w:w="392"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p>
        </w:tc>
        <w:tc>
          <w:tcPr>
            <w:tcW w:w="6379"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 xml:space="preserve">Saskaņošanas dalībnieki </w:t>
            </w:r>
          </w:p>
        </w:tc>
        <w:tc>
          <w:tcPr>
            <w:tcW w:w="7448"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Tieslietu ministrija, Finanšu ministrija, Vides aizsardzības un reģionālās attīstības ministrija</w:t>
            </w:r>
            <w:r w:rsidR="002701C7" w:rsidRPr="00351640">
              <w:rPr>
                <w:rFonts w:ascii="Times New Roman" w:eastAsia="Times New Roman" w:hAnsi="Times New Roman" w:cs="Times New Roman"/>
                <w:sz w:val="24"/>
                <w:szCs w:val="24"/>
                <w:lang w:eastAsia="lv-LV"/>
              </w:rPr>
              <w:t>, Iekšlietu ministrija</w:t>
            </w:r>
            <w:r w:rsidRPr="00351640">
              <w:rPr>
                <w:rFonts w:ascii="Times New Roman" w:eastAsia="Times New Roman" w:hAnsi="Times New Roman" w:cs="Times New Roman"/>
                <w:sz w:val="24"/>
                <w:szCs w:val="24"/>
                <w:lang w:eastAsia="lv-LV"/>
              </w:rPr>
              <w:t>.</w:t>
            </w:r>
          </w:p>
        </w:tc>
      </w:tr>
      <w:tr w:rsidR="00C54B4D" w:rsidRPr="00351640" w:rsidTr="0098137C">
        <w:tc>
          <w:tcPr>
            <w:tcW w:w="392"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p>
        </w:tc>
        <w:tc>
          <w:tcPr>
            <w:tcW w:w="6379"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Saskaņošanas dalībnieki izskatīja šādu ministriju (citu) institūciju iebildumus</w:t>
            </w:r>
          </w:p>
        </w:tc>
        <w:tc>
          <w:tcPr>
            <w:tcW w:w="7448" w:type="dxa"/>
          </w:tcPr>
          <w:p w:rsidR="00C54B4D" w:rsidRPr="00351640" w:rsidRDefault="002701C7"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Biedrība “Latvijas mednieku asociācija”.</w:t>
            </w:r>
          </w:p>
        </w:tc>
      </w:tr>
      <w:tr w:rsidR="00C54B4D" w:rsidRPr="00351640" w:rsidTr="0098137C">
        <w:tc>
          <w:tcPr>
            <w:tcW w:w="392"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p>
        </w:tc>
        <w:tc>
          <w:tcPr>
            <w:tcW w:w="6379"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 xml:space="preserve">Ministrijas (citas) institūcijas, kuras nav ieradušās uz sanāksmi vai kuras nav atbildējušās uz uzaicinājumu piedalīties elektroniskajā saskaņošanā </w:t>
            </w:r>
          </w:p>
        </w:tc>
        <w:tc>
          <w:tcPr>
            <w:tcW w:w="7448" w:type="dxa"/>
          </w:tcPr>
          <w:p w:rsidR="00C54B4D" w:rsidRPr="00351640" w:rsidRDefault="00C54B4D" w:rsidP="0098137C">
            <w:pPr>
              <w:spacing w:before="75" w:after="75" w:line="240" w:lineRule="auto"/>
              <w:jc w:val="both"/>
              <w:rPr>
                <w:rFonts w:ascii="Times New Roman" w:eastAsia="Times New Roman" w:hAnsi="Times New Roman" w:cs="Times New Roman"/>
                <w:sz w:val="24"/>
                <w:szCs w:val="24"/>
                <w:lang w:eastAsia="lv-LV"/>
              </w:rPr>
            </w:pPr>
          </w:p>
        </w:tc>
      </w:tr>
    </w:tbl>
    <w:p w:rsidR="00C54B4D" w:rsidRPr="00351640" w:rsidRDefault="00C54B4D" w:rsidP="000D6DA5">
      <w:pPr>
        <w:pStyle w:val="Bezatstarpm"/>
        <w:rPr>
          <w:lang w:eastAsia="lv-LV"/>
        </w:rPr>
      </w:pPr>
    </w:p>
    <w:p w:rsidR="00C54B4D" w:rsidRPr="00351640" w:rsidRDefault="00C54B4D" w:rsidP="00C54B4D">
      <w:pPr>
        <w:spacing w:before="150" w:after="150" w:line="240" w:lineRule="auto"/>
        <w:jc w:val="center"/>
        <w:rPr>
          <w:rFonts w:ascii="Times New Roman" w:eastAsia="Times New Roman" w:hAnsi="Times New Roman" w:cs="Times New Roman"/>
          <w:b/>
          <w:bCs/>
          <w:sz w:val="24"/>
          <w:szCs w:val="24"/>
          <w:lang w:eastAsia="lv-LV"/>
        </w:rPr>
      </w:pPr>
      <w:r w:rsidRPr="00351640">
        <w:rPr>
          <w:rFonts w:ascii="Times New Roman" w:eastAsia="Times New Roman" w:hAnsi="Times New Roman" w:cs="Times New Roman"/>
          <w:b/>
          <w:bCs/>
          <w:sz w:val="24"/>
          <w:szCs w:val="24"/>
          <w:lang w:eastAsia="lv-LV"/>
        </w:rPr>
        <w:t>II. Jautājumi, par kuriem saskaņošanā vienošanās ir panākta</w:t>
      </w:r>
    </w:p>
    <w:tbl>
      <w:tblPr>
        <w:tblW w:w="13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53"/>
        <w:gridCol w:w="4403"/>
        <w:gridCol w:w="2268"/>
        <w:gridCol w:w="3112"/>
      </w:tblGrid>
      <w:tr w:rsidR="00C54B4D" w:rsidRPr="00351640" w:rsidTr="00351640">
        <w:tc>
          <w:tcPr>
            <w:tcW w:w="708" w:type="dxa"/>
          </w:tcPr>
          <w:p w:rsidR="00C54B4D" w:rsidRPr="00351640" w:rsidRDefault="00C54B4D" w:rsidP="0098137C">
            <w:pPr>
              <w:spacing w:after="0" w:line="240" w:lineRule="auto"/>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 Nr. p.k.</w:t>
            </w:r>
          </w:p>
        </w:tc>
        <w:tc>
          <w:tcPr>
            <w:tcW w:w="3253" w:type="dxa"/>
          </w:tcPr>
          <w:p w:rsidR="00C54B4D" w:rsidRPr="00351640" w:rsidRDefault="00C54B4D" w:rsidP="0098137C">
            <w:pPr>
              <w:spacing w:after="0" w:line="240" w:lineRule="auto"/>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Saskaņošanai nosūtītā projekta redakcija (konkrēta punkta (panta) redakcija)</w:t>
            </w:r>
          </w:p>
        </w:tc>
        <w:tc>
          <w:tcPr>
            <w:tcW w:w="4403" w:type="dxa"/>
          </w:tcPr>
          <w:p w:rsidR="00C54B4D" w:rsidRPr="00351640" w:rsidRDefault="00C54B4D" w:rsidP="0098137C">
            <w:pPr>
              <w:spacing w:after="0" w:line="240" w:lineRule="auto"/>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268" w:type="dxa"/>
          </w:tcPr>
          <w:p w:rsidR="00C54B4D" w:rsidRPr="00351640" w:rsidRDefault="00C54B4D" w:rsidP="0098137C">
            <w:pPr>
              <w:spacing w:after="0" w:line="240" w:lineRule="auto"/>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112" w:type="dxa"/>
          </w:tcPr>
          <w:p w:rsidR="00C54B4D" w:rsidRPr="00351640" w:rsidRDefault="00C54B4D" w:rsidP="0098137C">
            <w:pPr>
              <w:spacing w:after="0" w:line="240" w:lineRule="auto"/>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Projekta attiecīgā punkta (panta) galīgā redakcija</w:t>
            </w:r>
          </w:p>
        </w:tc>
      </w:tr>
      <w:tr w:rsidR="00C54B4D" w:rsidRPr="00351640" w:rsidTr="00351640">
        <w:tc>
          <w:tcPr>
            <w:tcW w:w="708"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1</w:t>
            </w:r>
          </w:p>
        </w:tc>
        <w:tc>
          <w:tcPr>
            <w:tcW w:w="3253"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2</w:t>
            </w:r>
          </w:p>
        </w:tc>
        <w:tc>
          <w:tcPr>
            <w:tcW w:w="4403"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3</w:t>
            </w:r>
          </w:p>
        </w:tc>
        <w:tc>
          <w:tcPr>
            <w:tcW w:w="2268"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4</w:t>
            </w:r>
          </w:p>
        </w:tc>
        <w:tc>
          <w:tcPr>
            <w:tcW w:w="3112"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r w:rsidRPr="00351640">
              <w:rPr>
                <w:rFonts w:ascii="Times New Roman" w:eastAsia="Times New Roman" w:hAnsi="Times New Roman" w:cs="Times New Roman"/>
                <w:sz w:val="24"/>
                <w:szCs w:val="24"/>
                <w:lang w:eastAsia="lv-LV"/>
              </w:rPr>
              <w:t>5</w:t>
            </w:r>
          </w:p>
        </w:tc>
      </w:tr>
      <w:tr w:rsidR="00C54B4D" w:rsidRPr="00351640" w:rsidTr="00351640">
        <w:tc>
          <w:tcPr>
            <w:tcW w:w="708"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p>
        </w:tc>
        <w:tc>
          <w:tcPr>
            <w:tcW w:w="3253"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p>
        </w:tc>
        <w:tc>
          <w:tcPr>
            <w:tcW w:w="4403"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p>
        </w:tc>
        <w:tc>
          <w:tcPr>
            <w:tcW w:w="2268"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p>
        </w:tc>
        <w:tc>
          <w:tcPr>
            <w:tcW w:w="3112" w:type="dxa"/>
          </w:tcPr>
          <w:p w:rsidR="00C54B4D" w:rsidRPr="00351640" w:rsidRDefault="00C54B4D" w:rsidP="0098137C">
            <w:pPr>
              <w:spacing w:after="0" w:line="240" w:lineRule="auto"/>
              <w:jc w:val="center"/>
              <w:rPr>
                <w:rFonts w:ascii="Times New Roman" w:eastAsia="Times New Roman" w:hAnsi="Times New Roman" w:cs="Times New Roman"/>
                <w:sz w:val="24"/>
                <w:szCs w:val="24"/>
                <w:lang w:eastAsia="lv-LV"/>
              </w:rPr>
            </w:pPr>
          </w:p>
        </w:tc>
      </w:tr>
    </w:tbl>
    <w:p w:rsidR="00351640" w:rsidRPr="00351640" w:rsidRDefault="00351640" w:rsidP="00C54B4D">
      <w:pPr>
        <w:pStyle w:val="naisf"/>
        <w:rPr>
          <w:color w:val="000000"/>
        </w:rPr>
      </w:pPr>
    </w:p>
    <w:tbl>
      <w:tblPr>
        <w:tblW w:w="7797" w:type="dxa"/>
        <w:tblLayout w:type="fixed"/>
        <w:tblLook w:val="00A0" w:firstRow="1" w:lastRow="0" w:firstColumn="1" w:lastColumn="0" w:noHBand="0" w:noVBand="0"/>
      </w:tblPr>
      <w:tblGrid>
        <w:gridCol w:w="2977"/>
        <w:gridCol w:w="4820"/>
      </w:tblGrid>
      <w:tr w:rsidR="00351640" w:rsidRPr="00351640" w:rsidTr="00351640">
        <w:tc>
          <w:tcPr>
            <w:tcW w:w="2977" w:type="dxa"/>
          </w:tcPr>
          <w:p w:rsidR="00351640" w:rsidRPr="00351640" w:rsidRDefault="00351640" w:rsidP="003470F7">
            <w:pPr>
              <w:pStyle w:val="naiskr"/>
              <w:spacing w:before="0" w:after="0"/>
            </w:pPr>
            <w:r w:rsidRPr="00351640">
              <w:t>Atbildīgā amatpersona</w:t>
            </w:r>
          </w:p>
        </w:tc>
        <w:tc>
          <w:tcPr>
            <w:tcW w:w="4820" w:type="dxa"/>
          </w:tcPr>
          <w:p w:rsidR="00351640" w:rsidRPr="00351640" w:rsidRDefault="00351640" w:rsidP="003470F7">
            <w:pPr>
              <w:pStyle w:val="naiskr"/>
              <w:spacing w:before="0" w:after="0"/>
              <w:ind w:firstLine="720"/>
            </w:pPr>
            <w:r w:rsidRPr="00351640">
              <w:t>  </w:t>
            </w:r>
          </w:p>
        </w:tc>
      </w:tr>
      <w:tr w:rsidR="00351640" w:rsidRPr="00351640" w:rsidTr="00351640">
        <w:tc>
          <w:tcPr>
            <w:tcW w:w="2977" w:type="dxa"/>
          </w:tcPr>
          <w:p w:rsidR="00351640" w:rsidRPr="00351640" w:rsidRDefault="00351640" w:rsidP="003470F7">
            <w:pPr>
              <w:pStyle w:val="naiskr"/>
              <w:spacing w:before="0" w:after="0"/>
              <w:ind w:firstLine="720"/>
            </w:pPr>
          </w:p>
        </w:tc>
        <w:tc>
          <w:tcPr>
            <w:tcW w:w="4820" w:type="dxa"/>
            <w:tcBorders>
              <w:top w:val="single" w:sz="6" w:space="0" w:color="000000"/>
            </w:tcBorders>
          </w:tcPr>
          <w:p w:rsidR="00351640" w:rsidRPr="00351640" w:rsidRDefault="00351640" w:rsidP="00351640">
            <w:pPr>
              <w:pStyle w:val="naisc"/>
              <w:spacing w:before="0" w:after="0"/>
              <w:ind w:hanging="255"/>
            </w:pPr>
            <w:r w:rsidRPr="00351640">
              <w:t>(paraksts*)</w:t>
            </w:r>
          </w:p>
        </w:tc>
      </w:tr>
    </w:tbl>
    <w:p w:rsidR="00C54B4D" w:rsidRPr="00351640" w:rsidRDefault="00C54B4D" w:rsidP="00C54B4D">
      <w:pPr>
        <w:pStyle w:val="naisf"/>
        <w:rPr>
          <w:color w:val="000000"/>
        </w:rPr>
      </w:pPr>
      <w:r w:rsidRPr="00351640">
        <w:rPr>
          <w:color w:val="000000"/>
        </w:rPr>
        <w:t>Piezīme. * Dokumenta rekvizītu "paraksts" neaizpilda, ja elektroniskais dokuments ir sagatavots atbilstoši normatīvajiem aktiem par elektronisko dokumentu noformēšanu.</w:t>
      </w:r>
    </w:p>
    <w:p w:rsidR="00351640" w:rsidRDefault="00351640" w:rsidP="00351640">
      <w:pPr>
        <w:pStyle w:val="naisf"/>
        <w:spacing w:before="0" w:after="0"/>
        <w:ind w:firstLine="3686"/>
        <w:jc w:val="left"/>
        <w:rPr>
          <w:color w:val="000000"/>
        </w:rPr>
      </w:pPr>
    </w:p>
    <w:p w:rsidR="00C54B4D" w:rsidRPr="00351640" w:rsidRDefault="00C54B4D" w:rsidP="00351640">
      <w:pPr>
        <w:pStyle w:val="naisf"/>
        <w:spacing w:before="0" w:after="0"/>
        <w:ind w:firstLine="3686"/>
        <w:jc w:val="left"/>
        <w:rPr>
          <w:color w:val="000000"/>
        </w:rPr>
      </w:pPr>
      <w:bookmarkStart w:id="0" w:name="_GoBack"/>
      <w:bookmarkEnd w:id="0"/>
      <w:r w:rsidRPr="00351640">
        <w:rPr>
          <w:color w:val="000000"/>
        </w:rPr>
        <w:lastRenderedPageBreak/>
        <w:t>Jānis Bārs</w:t>
      </w:r>
    </w:p>
    <w:tbl>
      <w:tblPr>
        <w:tblW w:w="0" w:type="auto"/>
        <w:tblCellSpacing w:w="0" w:type="dxa"/>
        <w:tblCellMar>
          <w:left w:w="0" w:type="dxa"/>
          <w:right w:w="0" w:type="dxa"/>
        </w:tblCellMar>
        <w:tblLook w:val="04A0" w:firstRow="1" w:lastRow="0" w:firstColumn="1" w:lastColumn="0" w:noHBand="0" w:noVBand="1"/>
      </w:tblPr>
      <w:tblGrid>
        <w:gridCol w:w="8265"/>
      </w:tblGrid>
      <w:tr w:rsidR="00C54B4D" w:rsidRPr="00351640" w:rsidTr="0098137C">
        <w:trPr>
          <w:tblCellSpacing w:w="0" w:type="dxa"/>
        </w:trPr>
        <w:tc>
          <w:tcPr>
            <w:tcW w:w="8265" w:type="dxa"/>
            <w:tcBorders>
              <w:top w:val="single" w:sz="8" w:space="0" w:color="000000"/>
              <w:left w:val="nil"/>
              <w:bottom w:val="nil"/>
              <w:right w:val="nil"/>
            </w:tcBorders>
            <w:hideMark/>
          </w:tcPr>
          <w:p w:rsidR="00C54B4D" w:rsidRDefault="00C54B4D" w:rsidP="00351640">
            <w:pPr>
              <w:pStyle w:val="naisc"/>
              <w:spacing w:before="0" w:after="0"/>
              <w:rPr>
                <w:color w:val="000000"/>
                <w:lang w:eastAsia="en-US"/>
              </w:rPr>
            </w:pPr>
            <w:r w:rsidRPr="00351640">
              <w:rPr>
                <w:color w:val="000000"/>
                <w:lang w:eastAsia="en-US"/>
              </w:rPr>
              <w:t>(par projektu atbildīgās amatpersonas vārds un uzvārds)</w:t>
            </w:r>
          </w:p>
          <w:p w:rsidR="00351640" w:rsidRPr="00351640" w:rsidRDefault="00351640" w:rsidP="00351640">
            <w:pPr>
              <w:pStyle w:val="naisc"/>
              <w:spacing w:before="0" w:after="0"/>
              <w:rPr>
                <w:color w:val="000000"/>
                <w:lang w:eastAsia="en-US"/>
              </w:rPr>
            </w:pPr>
          </w:p>
          <w:p w:rsidR="00351640" w:rsidRPr="00351640" w:rsidRDefault="00351640" w:rsidP="00351640">
            <w:pPr>
              <w:pStyle w:val="naisc"/>
              <w:spacing w:before="0" w:after="0"/>
              <w:rPr>
                <w:color w:val="000000"/>
                <w:lang w:eastAsia="en-US"/>
              </w:rPr>
            </w:pPr>
          </w:p>
        </w:tc>
      </w:tr>
      <w:tr w:rsidR="00C54B4D" w:rsidRPr="00351640" w:rsidTr="0098137C">
        <w:trPr>
          <w:tblCellSpacing w:w="0" w:type="dxa"/>
        </w:trPr>
        <w:tc>
          <w:tcPr>
            <w:tcW w:w="8265" w:type="dxa"/>
            <w:tcBorders>
              <w:top w:val="nil"/>
              <w:left w:val="nil"/>
              <w:bottom w:val="single" w:sz="8" w:space="0" w:color="000000"/>
              <w:right w:val="nil"/>
            </w:tcBorders>
            <w:hideMark/>
          </w:tcPr>
          <w:p w:rsidR="00C54B4D" w:rsidRPr="00351640" w:rsidRDefault="00C54B4D" w:rsidP="00351640">
            <w:pPr>
              <w:pStyle w:val="naisf"/>
              <w:spacing w:before="0" w:after="0"/>
              <w:ind w:firstLine="0"/>
              <w:jc w:val="center"/>
              <w:rPr>
                <w:color w:val="000000"/>
                <w:lang w:eastAsia="en-US"/>
              </w:rPr>
            </w:pPr>
            <w:r w:rsidRPr="00351640">
              <w:rPr>
                <w:color w:val="000000"/>
                <w:lang w:eastAsia="en-US"/>
              </w:rPr>
              <w:t>Meža departamenta Meža resursu un medību nodaļas vecākais referents</w:t>
            </w:r>
          </w:p>
        </w:tc>
      </w:tr>
      <w:tr w:rsidR="00C54B4D" w:rsidRPr="00351640" w:rsidTr="0098137C">
        <w:trPr>
          <w:tblCellSpacing w:w="0" w:type="dxa"/>
        </w:trPr>
        <w:tc>
          <w:tcPr>
            <w:tcW w:w="0" w:type="auto"/>
            <w:vAlign w:val="center"/>
            <w:hideMark/>
          </w:tcPr>
          <w:p w:rsidR="00C54B4D" w:rsidRDefault="00C54B4D" w:rsidP="00351640">
            <w:pPr>
              <w:pStyle w:val="naisc"/>
              <w:spacing w:before="0" w:after="0"/>
              <w:rPr>
                <w:color w:val="000000"/>
                <w:lang w:eastAsia="en-US"/>
              </w:rPr>
            </w:pPr>
            <w:r w:rsidRPr="00351640">
              <w:rPr>
                <w:color w:val="000000"/>
                <w:lang w:eastAsia="en-US"/>
              </w:rPr>
              <w:t>(amats)</w:t>
            </w:r>
          </w:p>
          <w:p w:rsidR="00351640" w:rsidRPr="00351640" w:rsidRDefault="00351640" w:rsidP="00351640">
            <w:pPr>
              <w:pStyle w:val="naisc"/>
              <w:spacing w:before="0" w:after="0"/>
              <w:rPr>
                <w:color w:val="000000"/>
                <w:lang w:eastAsia="en-US"/>
              </w:rPr>
            </w:pPr>
          </w:p>
          <w:p w:rsidR="00351640" w:rsidRPr="00351640" w:rsidRDefault="00351640" w:rsidP="00351640">
            <w:pPr>
              <w:pStyle w:val="naisc"/>
              <w:spacing w:before="0" w:after="0"/>
              <w:rPr>
                <w:color w:val="000000"/>
                <w:lang w:eastAsia="en-US"/>
              </w:rPr>
            </w:pPr>
          </w:p>
        </w:tc>
      </w:tr>
      <w:tr w:rsidR="00C54B4D" w:rsidRPr="00351640" w:rsidTr="0098137C">
        <w:trPr>
          <w:tblCellSpacing w:w="0" w:type="dxa"/>
        </w:trPr>
        <w:tc>
          <w:tcPr>
            <w:tcW w:w="0" w:type="auto"/>
            <w:tcBorders>
              <w:top w:val="nil"/>
              <w:left w:val="nil"/>
              <w:bottom w:val="single" w:sz="8" w:space="0" w:color="000000"/>
              <w:right w:val="nil"/>
            </w:tcBorders>
            <w:vAlign w:val="center"/>
            <w:hideMark/>
          </w:tcPr>
          <w:p w:rsidR="00C54B4D" w:rsidRPr="00351640" w:rsidRDefault="00C54B4D" w:rsidP="00351640">
            <w:pPr>
              <w:pStyle w:val="naisf"/>
              <w:spacing w:before="0" w:after="0"/>
              <w:ind w:firstLine="0"/>
              <w:jc w:val="center"/>
              <w:rPr>
                <w:color w:val="000000"/>
                <w:lang w:eastAsia="en-US"/>
              </w:rPr>
            </w:pPr>
            <w:r w:rsidRPr="00351640">
              <w:rPr>
                <w:color w:val="000000"/>
                <w:lang w:eastAsia="en-US"/>
              </w:rPr>
              <w:t>67027554</w:t>
            </w:r>
          </w:p>
        </w:tc>
      </w:tr>
      <w:tr w:rsidR="00C54B4D" w:rsidRPr="00351640" w:rsidTr="0098137C">
        <w:trPr>
          <w:tblCellSpacing w:w="0" w:type="dxa"/>
        </w:trPr>
        <w:tc>
          <w:tcPr>
            <w:tcW w:w="0" w:type="auto"/>
            <w:vAlign w:val="center"/>
            <w:hideMark/>
          </w:tcPr>
          <w:p w:rsidR="00C54B4D" w:rsidRDefault="00C54B4D" w:rsidP="00351640">
            <w:pPr>
              <w:pStyle w:val="naisc"/>
              <w:spacing w:before="0" w:after="0"/>
              <w:rPr>
                <w:color w:val="000000"/>
                <w:lang w:eastAsia="en-US"/>
              </w:rPr>
            </w:pPr>
            <w:r w:rsidRPr="00351640">
              <w:rPr>
                <w:color w:val="000000"/>
                <w:lang w:eastAsia="en-US"/>
              </w:rPr>
              <w:t>(tālruņa un faksa numurs)</w:t>
            </w:r>
          </w:p>
          <w:p w:rsidR="00351640" w:rsidRPr="00351640" w:rsidRDefault="00351640" w:rsidP="00351640">
            <w:pPr>
              <w:pStyle w:val="naisc"/>
              <w:spacing w:before="0" w:after="0"/>
              <w:rPr>
                <w:color w:val="000000"/>
                <w:lang w:eastAsia="en-US"/>
              </w:rPr>
            </w:pPr>
          </w:p>
          <w:p w:rsidR="00351640" w:rsidRPr="00351640" w:rsidRDefault="00351640" w:rsidP="00351640">
            <w:pPr>
              <w:pStyle w:val="naisc"/>
              <w:spacing w:before="0" w:after="0"/>
              <w:rPr>
                <w:color w:val="000000"/>
                <w:lang w:eastAsia="en-US"/>
              </w:rPr>
            </w:pPr>
          </w:p>
        </w:tc>
      </w:tr>
      <w:tr w:rsidR="00C54B4D" w:rsidRPr="00351640" w:rsidTr="0098137C">
        <w:trPr>
          <w:tblCellSpacing w:w="0" w:type="dxa"/>
        </w:trPr>
        <w:tc>
          <w:tcPr>
            <w:tcW w:w="0" w:type="auto"/>
            <w:tcBorders>
              <w:top w:val="nil"/>
              <w:left w:val="nil"/>
              <w:bottom w:val="single" w:sz="8" w:space="0" w:color="000000"/>
              <w:right w:val="nil"/>
            </w:tcBorders>
            <w:vAlign w:val="center"/>
            <w:hideMark/>
          </w:tcPr>
          <w:p w:rsidR="00C54B4D" w:rsidRPr="00351640" w:rsidRDefault="00C54B4D" w:rsidP="00351640">
            <w:pPr>
              <w:pStyle w:val="naisf"/>
              <w:spacing w:before="0" w:after="0"/>
              <w:ind w:firstLine="0"/>
              <w:jc w:val="center"/>
              <w:rPr>
                <w:color w:val="000000"/>
                <w:lang w:eastAsia="en-US"/>
              </w:rPr>
            </w:pPr>
            <w:r w:rsidRPr="00351640">
              <w:rPr>
                <w:color w:val="000000"/>
                <w:lang w:eastAsia="en-US"/>
              </w:rPr>
              <w:t>janis.bars@zm.gov.lv</w:t>
            </w:r>
          </w:p>
        </w:tc>
      </w:tr>
    </w:tbl>
    <w:p w:rsidR="00C54B4D" w:rsidRPr="00351640" w:rsidRDefault="00C54B4D" w:rsidP="00C54B4D">
      <w:pPr>
        <w:rPr>
          <w:sz w:val="24"/>
          <w:szCs w:val="24"/>
        </w:rPr>
      </w:pPr>
    </w:p>
    <w:p w:rsidR="00C54B4D" w:rsidRPr="00351640" w:rsidRDefault="00C54B4D" w:rsidP="00C54B4D">
      <w:pPr>
        <w:rPr>
          <w:sz w:val="24"/>
          <w:szCs w:val="24"/>
        </w:rPr>
      </w:pPr>
    </w:p>
    <w:p w:rsidR="00C54B4D" w:rsidRPr="00351640" w:rsidRDefault="00C54B4D" w:rsidP="00C54B4D">
      <w:pPr>
        <w:tabs>
          <w:tab w:val="left" w:pos="3788"/>
        </w:tabs>
        <w:rPr>
          <w:sz w:val="24"/>
          <w:szCs w:val="24"/>
        </w:rPr>
      </w:pPr>
      <w:r w:rsidRPr="00351640">
        <w:rPr>
          <w:sz w:val="24"/>
          <w:szCs w:val="24"/>
        </w:rPr>
        <w:tab/>
      </w:r>
    </w:p>
    <w:p w:rsidR="00ED3F6E" w:rsidRPr="00351640" w:rsidRDefault="00ED3F6E"/>
    <w:sectPr w:rsidR="00ED3F6E" w:rsidRPr="00351640" w:rsidSect="00351640">
      <w:headerReference w:type="even" r:id="rId6"/>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AF" w:rsidRDefault="008166AF" w:rsidP="008166AF">
      <w:pPr>
        <w:spacing w:after="0" w:line="240" w:lineRule="auto"/>
      </w:pPr>
      <w:r>
        <w:separator/>
      </w:r>
    </w:p>
  </w:endnote>
  <w:endnote w:type="continuationSeparator" w:id="0">
    <w:p w:rsidR="008166AF" w:rsidRDefault="008166AF" w:rsidP="0081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B7" w:rsidRPr="00351640" w:rsidRDefault="00351640" w:rsidP="00351640">
    <w:pPr>
      <w:pStyle w:val="Kjene"/>
      <w:rPr>
        <w:rFonts w:ascii="Times New Roman" w:hAnsi="Times New Roman"/>
      </w:rPr>
    </w:pPr>
    <w:r w:rsidRPr="00351640">
      <w:rPr>
        <w:rFonts w:ascii="Times New Roman" w:eastAsiaTheme="minorHAnsi" w:hAnsi="Times New Roman"/>
        <w:bCs/>
        <w:color w:val="000000"/>
        <w:sz w:val="20"/>
        <w:szCs w:val="20"/>
      </w:rPr>
      <w:t>ZMIzz_211119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B7" w:rsidRPr="00351640" w:rsidRDefault="00351640" w:rsidP="00057EB7">
    <w:pPr>
      <w:jc w:val="both"/>
      <w:rPr>
        <w:rFonts w:ascii="Times New Roman" w:hAnsi="Times New Roman" w:cs="Times New Roman"/>
        <w:sz w:val="20"/>
        <w:szCs w:val="20"/>
      </w:rPr>
    </w:pPr>
    <w:r w:rsidRPr="00351640">
      <w:rPr>
        <w:rFonts w:ascii="Times New Roman" w:hAnsi="Times New Roman" w:cs="Times New Roman"/>
        <w:sz w:val="20"/>
        <w:szCs w:val="20"/>
      </w:rPr>
      <w:t>ZMIzz_211119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AF" w:rsidRDefault="008166AF" w:rsidP="008166AF">
      <w:pPr>
        <w:spacing w:after="0" w:line="240" w:lineRule="auto"/>
      </w:pPr>
      <w:r>
        <w:separator/>
      </w:r>
    </w:p>
  </w:footnote>
  <w:footnote w:type="continuationSeparator" w:id="0">
    <w:p w:rsidR="008166AF" w:rsidRDefault="008166AF" w:rsidP="0081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B7" w:rsidRDefault="00187CCE" w:rsidP="00057E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7EB7" w:rsidRDefault="0035164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B7" w:rsidRPr="00351640" w:rsidRDefault="00187CCE" w:rsidP="00057EB7">
    <w:pPr>
      <w:pStyle w:val="Galvene"/>
      <w:framePr w:wrap="around" w:vAnchor="text" w:hAnchor="margin" w:xAlign="center" w:y="1"/>
      <w:rPr>
        <w:rStyle w:val="Lappusesnumurs"/>
        <w:rFonts w:ascii="Times New Roman" w:hAnsi="Times New Roman"/>
        <w:sz w:val="24"/>
        <w:szCs w:val="24"/>
      </w:rPr>
    </w:pPr>
    <w:r w:rsidRPr="00351640">
      <w:rPr>
        <w:rStyle w:val="Lappusesnumurs"/>
        <w:rFonts w:ascii="Times New Roman" w:hAnsi="Times New Roman"/>
        <w:sz w:val="24"/>
        <w:szCs w:val="24"/>
      </w:rPr>
      <w:fldChar w:fldCharType="begin"/>
    </w:r>
    <w:r w:rsidRPr="00351640">
      <w:rPr>
        <w:rStyle w:val="Lappusesnumurs"/>
        <w:rFonts w:ascii="Times New Roman" w:hAnsi="Times New Roman"/>
        <w:sz w:val="24"/>
        <w:szCs w:val="24"/>
      </w:rPr>
      <w:instrText xml:space="preserve">PAGE  </w:instrText>
    </w:r>
    <w:r w:rsidRPr="00351640">
      <w:rPr>
        <w:rStyle w:val="Lappusesnumurs"/>
        <w:rFonts w:ascii="Times New Roman" w:hAnsi="Times New Roman"/>
        <w:sz w:val="24"/>
        <w:szCs w:val="24"/>
      </w:rPr>
      <w:fldChar w:fldCharType="separate"/>
    </w:r>
    <w:r w:rsidRPr="00351640">
      <w:rPr>
        <w:rStyle w:val="Lappusesnumurs"/>
        <w:rFonts w:ascii="Times New Roman" w:hAnsi="Times New Roman"/>
        <w:noProof/>
        <w:sz w:val="24"/>
        <w:szCs w:val="24"/>
      </w:rPr>
      <w:t>2</w:t>
    </w:r>
    <w:r w:rsidRPr="00351640">
      <w:rPr>
        <w:rStyle w:val="Lappusesnumurs"/>
        <w:rFonts w:ascii="Times New Roman" w:hAnsi="Times New Roman"/>
        <w:sz w:val="24"/>
        <w:szCs w:val="24"/>
      </w:rPr>
      <w:fldChar w:fldCharType="end"/>
    </w:r>
  </w:p>
  <w:p w:rsidR="00057EB7" w:rsidRDefault="0035164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4D"/>
    <w:rsid w:val="000B09B2"/>
    <w:rsid w:val="000D6DA5"/>
    <w:rsid w:val="000F7DBA"/>
    <w:rsid w:val="00120553"/>
    <w:rsid w:val="00187CCE"/>
    <w:rsid w:val="002265A7"/>
    <w:rsid w:val="002701C7"/>
    <w:rsid w:val="002A6FCD"/>
    <w:rsid w:val="00351640"/>
    <w:rsid w:val="00374234"/>
    <w:rsid w:val="00570AE1"/>
    <w:rsid w:val="008166AF"/>
    <w:rsid w:val="00B604BB"/>
    <w:rsid w:val="00C54B4D"/>
    <w:rsid w:val="00CB6902"/>
    <w:rsid w:val="00CD4967"/>
    <w:rsid w:val="00E558DB"/>
    <w:rsid w:val="00ED3F6E"/>
    <w:rsid w:val="00F20412"/>
    <w:rsid w:val="00F72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0B09C4"/>
  <w15:chartTrackingRefBased/>
  <w15:docId w15:val="{0D67B2EF-9D9F-4296-91B0-84B92F8E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4B4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54B4D"/>
    <w:pPr>
      <w:tabs>
        <w:tab w:val="center" w:pos="4153"/>
        <w:tab w:val="right" w:pos="8306"/>
      </w:tabs>
    </w:pPr>
    <w:rPr>
      <w:rFonts w:ascii="Calibri" w:eastAsia="Calibri" w:hAnsi="Calibri" w:cs="Times New Roman"/>
    </w:rPr>
  </w:style>
  <w:style w:type="character" w:customStyle="1" w:styleId="GalveneRakstz">
    <w:name w:val="Galvene Rakstz."/>
    <w:basedOn w:val="Noklusjumarindkopasfonts"/>
    <w:link w:val="Galvene"/>
    <w:uiPriority w:val="99"/>
    <w:rsid w:val="00C54B4D"/>
    <w:rPr>
      <w:rFonts w:ascii="Calibri" w:eastAsia="Calibri" w:hAnsi="Calibri" w:cs="Times New Roman"/>
    </w:rPr>
  </w:style>
  <w:style w:type="paragraph" w:styleId="Kjene">
    <w:name w:val="footer"/>
    <w:basedOn w:val="Parasts"/>
    <w:link w:val="KjeneRakstz"/>
    <w:uiPriority w:val="99"/>
    <w:unhideWhenUsed/>
    <w:rsid w:val="00C54B4D"/>
    <w:pPr>
      <w:tabs>
        <w:tab w:val="center" w:pos="4153"/>
        <w:tab w:val="right" w:pos="8306"/>
      </w:tabs>
    </w:pPr>
    <w:rPr>
      <w:rFonts w:ascii="Calibri" w:eastAsia="Calibri" w:hAnsi="Calibri" w:cs="Times New Roman"/>
    </w:rPr>
  </w:style>
  <w:style w:type="character" w:customStyle="1" w:styleId="KjeneRakstz">
    <w:name w:val="Kājene Rakstz."/>
    <w:basedOn w:val="Noklusjumarindkopasfonts"/>
    <w:link w:val="Kjene"/>
    <w:uiPriority w:val="99"/>
    <w:rsid w:val="00C54B4D"/>
    <w:rPr>
      <w:rFonts w:ascii="Calibri" w:eastAsia="Calibri" w:hAnsi="Calibri" w:cs="Times New Roman"/>
    </w:rPr>
  </w:style>
  <w:style w:type="character" w:styleId="Lappusesnumurs">
    <w:name w:val="page number"/>
    <w:rsid w:val="00C54B4D"/>
  </w:style>
  <w:style w:type="paragraph" w:customStyle="1" w:styleId="naisf">
    <w:name w:val="naisf"/>
    <w:basedOn w:val="Parasts"/>
    <w:rsid w:val="00C54B4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Parasts"/>
    <w:rsid w:val="00C54B4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C54B4D"/>
    <w:pPr>
      <w:spacing w:before="75" w:after="75" w:line="240" w:lineRule="auto"/>
      <w:jc w:val="center"/>
    </w:pPr>
    <w:rPr>
      <w:rFonts w:ascii="Times New Roman" w:eastAsia="Times New Roman" w:hAnsi="Times New Roman" w:cs="Times New Roman"/>
      <w:sz w:val="24"/>
      <w:szCs w:val="24"/>
      <w:lang w:eastAsia="lv-LV"/>
    </w:rPr>
  </w:style>
  <w:style w:type="paragraph" w:styleId="Bezatstarpm">
    <w:name w:val="No Spacing"/>
    <w:uiPriority w:val="1"/>
    <w:qFormat/>
    <w:rsid w:val="000F7DBA"/>
    <w:pPr>
      <w:spacing w:after="0" w:line="240" w:lineRule="auto"/>
    </w:pPr>
  </w:style>
  <w:style w:type="paragraph" w:styleId="Balonteksts">
    <w:name w:val="Balloon Text"/>
    <w:basedOn w:val="Parasts"/>
    <w:link w:val="BalontekstsRakstz"/>
    <w:uiPriority w:val="99"/>
    <w:semiHidden/>
    <w:unhideWhenUsed/>
    <w:rsid w:val="002A6F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6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3308</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Jānis Bārs</dc:creator>
  <cp:keywords/>
  <dc:description>Bārs 67027554_x000d_
J.Bars2@zm.gov.lv</dc:description>
  <cp:lastModifiedBy>Kristiāna Sebre</cp:lastModifiedBy>
  <cp:revision>3</cp:revision>
  <dcterms:created xsi:type="dcterms:W3CDTF">2019-11-21T11:43:00Z</dcterms:created>
  <dcterms:modified xsi:type="dcterms:W3CDTF">2019-11-21T12:23:00Z</dcterms:modified>
</cp:coreProperties>
</file>