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27CB" w14:textId="77777777" w:rsidR="000330A2" w:rsidRPr="00377716" w:rsidRDefault="00422589" w:rsidP="0076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377716">
        <w:rPr>
          <w:rFonts w:ascii="Times New Roman" w:hAnsi="Times New Roman"/>
          <w:b/>
          <w:sz w:val="28"/>
          <w:szCs w:val="28"/>
        </w:rPr>
        <w:t xml:space="preserve">Ministru kabineta noteikumu projekts </w:t>
      </w:r>
      <w:r w:rsidR="00CC0F36" w:rsidRPr="00377716">
        <w:rPr>
          <w:rFonts w:ascii="Times New Roman" w:hAnsi="Times New Roman"/>
          <w:b/>
          <w:sz w:val="28"/>
          <w:szCs w:val="28"/>
        </w:rPr>
        <w:t>„Grozījumi Ministru kabineta 2013.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>gada 17.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>decembra noteikumos Nr.</w:t>
      </w:r>
      <w:r w:rsidR="00A533E7" w:rsidRPr="00377716">
        <w:rPr>
          <w:rFonts w:ascii="Times New Roman" w:hAnsi="Times New Roman"/>
          <w:b/>
          <w:sz w:val="28"/>
          <w:szCs w:val="28"/>
        </w:rPr>
        <w:t> </w:t>
      </w:r>
      <w:r w:rsidR="00CC0F36" w:rsidRPr="00377716">
        <w:rPr>
          <w:rFonts w:ascii="Times New Roman" w:hAnsi="Times New Roman"/>
          <w:b/>
          <w:sz w:val="28"/>
          <w:szCs w:val="28"/>
        </w:rPr>
        <w:t xml:space="preserve">1524 </w:t>
      </w:r>
      <w:r w:rsidRPr="00377716">
        <w:rPr>
          <w:rFonts w:ascii="Times New Roman" w:hAnsi="Times New Roman"/>
          <w:b/>
          <w:sz w:val="28"/>
          <w:szCs w:val="28"/>
        </w:rPr>
        <w:t>„Noteikumi par valsts atbalstu lauksaimniecībai”</w:t>
      </w:r>
      <w:r w:rsidR="00CC0F36" w:rsidRPr="00377716">
        <w:rPr>
          <w:rFonts w:ascii="Times New Roman" w:hAnsi="Times New Roman"/>
          <w:b/>
          <w:sz w:val="28"/>
          <w:szCs w:val="28"/>
        </w:rPr>
        <w:t>”</w:t>
      </w:r>
      <w:r w:rsidRPr="00377716">
        <w:rPr>
          <w:rFonts w:ascii="Times New Roman" w:hAnsi="Times New Roman"/>
          <w:b/>
          <w:sz w:val="28"/>
          <w:szCs w:val="28"/>
        </w:rPr>
        <w:t xml:space="preserve"> </w:t>
      </w:r>
      <w:r w:rsidRPr="00377716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377716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p w14:paraId="75658FC1" w14:textId="77777777" w:rsidR="00552011" w:rsidRDefault="00552011" w:rsidP="0076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3"/>
        <w:gridCol w:w="6072"/>
      </w:tblGrid>
      <w:tr w:rsidR="00B91A42" w:rsidRPr="00B91A42" w14:paraId="06EEC351" w14:textId="77777777" w:rsidTr="003C3744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8C65D" w14:textId="77777777" w:rsidR="00B91A42" w:rsidRPr="0073509D" w:rsidRDefault="00B91A42" w:rsidP="00B9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91A42" w:rsidRPr="00B91A42" w14:paraId="53ACB15B" w14:textId="77777777" w:rsidTr="003C3744"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7B2A0" w14:textId="77777777" w:rsidR="00B91A42" w:rsidRPr="0073509D" w:rsidRDefault="00B91A42" w:rsidP="0073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C6071" w14:textId="47E175A4" w:rsidR="00A12344" w:rsidRPr="0073509D" w:rsidRDefault="0073509D" w:rsidP="00900DA1">
            <w:pPr>
              <w:spacing w:after="0" w:line="240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 xml:space="preserve"> „Grozījumi Ministru kabineta 2013.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d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ecembra noteikumos Nr.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09D">
              <w:rPr>
                <w:rFonts w:ascii="Times New Roman" w:hAnsi="Times New Roman" w:cs="Times New Roman"/>
                <w:sz w:val="24"/>
                <w:szCs w:val="24"/>
              </w:rPr>
              <w:t>1524 „Noteikumi par valsts atbalstu lauksaimniecībai””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mērķis ir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dalīt 201</w:t>
            </w:r>
            <w:r w:rsidR="00F50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 xml:space="preserve">m piešķirto 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>finansējum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735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3E7">
              <w:rPr>
                <w:rFonts w:ascii="Times New Roman" w:hAnsi="Times New Roman" w:cs="Times New Roman"/>
                <w:bCs/>
                <w:sz w:val="24"/>
                <w:szCs w:val="24"/>
              </w:rPr>
              <w:t>starp apstiprinātiem atbalsta pasākumiem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Noteikumu projektā </w:t>
            </w:r>
            <w:r w:rsidR="00A533E7">
              <w:rPr>
                <w:rFonts w:ascii="Times New Roman" w:hAnsi="Times New Roman" w:cs="Times New Roman"/>
                <w:sz w:val="24"/>
                <w:szCs w:val="24"/>
              </w:rPr>
              <w:t>pārdalītais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finansējums ir </w:t>
            </w:r>
            <w:r w:rsidRPr="005C1705">
              <w:rPr>
                <w:rFonts w:ascii="Times New Roman" w:hAnsi="Times New Roman" w:cs="Times New Roman"/>
                <w:sz w:val="24"/>
                <w:szCs w:val="24"/>
              </w:rPr>
              <w:t>paredzēts lopkopības</w:t>
            </w:r>
            <w:r w:rsidR="00A533E7" w:rsidRPr="005C1705">
              <w:rPr>
                <w:rFonts w:ascii="Times New Roman" w:hAnsi="Times New Roman" w:cs="Times New Roman"/>
                <w:sz w:val="24"/>
                <w:szCs w:val="24"/>
              </w:rPr>
              <w:t xml:space="preserve"> atbalstam</w:t>
            </w:r>
            <w:r w:rsidR="00BA05C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F50513" w:rsidRPr="005C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A3">
              <w:rPr>
                <w:rFonts w:ascii="Times New Roman" w:hAnsi="Times New Roman" w:cs="Times New Roman"/>
                <w:sz w:val="24"/>
                <w:szCs w:val="24"/>
              </w:rPr>
              <w:t xml:space="preserve">dalībai </w:t>
            </w:r>
            <w:r w:rsidR="00F50513" w:rsidRPr="005C1705">
              <w:rPr>
                <w:rFonts w:ascii="Times New Roman" w:hAnsi="Times New Roman" w:cs="Times New Roman"/>
                <w:sz w:val="24"/>
                <w:szCs w:val="24"/>
              </w:rPr>
              <w:t>pārtikas kvalitātes shēmā</w:t>
            </w:r>
            <w:r w:rsidR="00DE66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33E7" w:rsidRPr="005C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CD5E3" w14:textId="77777777" w:rsidR="00472586" w:rsidRPr="008D5756" w:rsidRDefault="00472586" w:rsidP="00760B61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420"/>
        <w:gridCol w:w="6381"/>
      </w:tblGrid>
      <w:tr w:rsidR="000330A2" w:rsidRPr="00DD49B6" w14:paraId="351A0EF8" w14:textId="77777777" w:rsidTr="00900DA1">
        <w:trPr>
          <w:trHeight w:val="419"/>
        </w:trPr>
        <w:tc>
          <w:tcPr>
            <w:tcW w:w="5000" w:type="pct"/>
            <w:gridSpan w:val="3"/>
            <w:vAlign w:val="center"/>
          </w:tcPr>
          <w:p w14:paraId="24463989" w14:textId="77777777"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0330A2" w:rsidRPr="00DD49B6" w14:paraId="1723B86C" w14:textId="77777777" w:rsidTr="00900DA1">
        <w:trPr>
          <w:trHeight w:val="415"/>
        </w:trPr>
        <w:tc>
          <w:tcPr>
            <w:tcW w:w="222" w:type="pct"/>
          </w:tcPr>
          <w:p w14:paraId="43BCFD89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314" w:type="pct"/>
          </w:tcPr>
          <w:p w14:paraId="44574883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461" w:type="pct"/>
          </w:tcPr>
          <w:p w14:paraId="638597F7" w14:textId="77777777" w:rsidR="000330A2" w:rsidRPr="00DD49B6" w:rsidRDefault="00A533E7" w:rsidP="00900DA1">
            <w:pPr>
              <w:spacing w:after="0" w:line="240" w:lineRule="auto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projekts „Grozījumi Ministru kabineta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gada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1524 „Noteikumi par valsts atbalstu lauksaimniecībai”” (turpmāk – noteikumu projekts) ir sagatavots, pamatojoties uz Lauksaimniecības un lauku attīstības likuma 5.panta 3.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533E7">
              <w:rPr>
                <w:rFonts w:ascii="Times New Roman" w:eastAsia="Times New Roman" w:hAnsi="Times New Roman" w:cs="Times New Roman"/>
                <w:sz w:val="24"/>
                <w:szCs w:val="24"/>
              </w:rPr>
              <w:t> un ceturto daļu.</w:t>
            </w:r>
          </w:p>
        </w:tc>
      </w:tr>
      <w:tr w:rsidR="000330A2" w:rsidRPr="00DD49B6" w14:paraId="0BF8B81B" w14:textId="77777777" w:rsidTr="00900DA1">
        <w:trPr>
          <w:trHeight w:val="472"/>
        </w:trPr>
        <w:tc>
          <w:tcPr>
            <w:tcW w:w="222" w:type="pct"/>
          </w:tcPr>
          <w:p w14:paraId="5066CAF8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314" w:type="pct"/>
          </w:tcPr>
          <w:p w14:paraId="12856DBA" w14:textId="77777777" w:rsidR="00377716" w:rsidRDefault="00726B5C" w:rsidP="00726B5C">
            <w:pPr>
              <w:spacing w:line="240" w:lineRule="auto"/>
            </w:pPr>
            <w:r w:rsidRPr="0072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projekts izstrādāts, tiesiskā regulējuma mērķis un būtība </w:t>
            </w:r>
          </w:p>
          <w:p w14:paraId="23CF460C" w14:textId="77777777" w:rsidR="00377716" w:rsidRPr="00377716" w:rsidRDefault="00377716" w:rsidP="00377716"/>
          <w:p w14:paraId="61BF0D27" w14:textId="77777777" w:rsidR="00377716" w:rsidRPr="00377716" w:rsidRDefault="00377716" w:rsidP="00377716"/>
          <w:p w14:paraId="7968865A" w14:textId="77777777" w:rsidR="00377716" w:rsidRPr="00377716" w:rsidRDefault="00377716" w:rsidP="00377716"/>
          <w:p w14:paraId="39F72E32" w14:textId="77777777" w:rsidR="00377716" w:rsidRPr="00377716" w:rsidRDefault="00377716" w:rsidP="00377716"/>
          <w:p w14:paraId="5AB4059C" w14:textId="77777777" w:rsidR="00377716" w:rsidRDefault="00377716" w:rsidP="00377716"/>
          <w:p w14:paraId="47481C85" w14:textId="77777777" w:rsidR="000330A2" w:rsidRPr="00377716" w:rsidRDefault="000330A2" w:rsidP="00377716"/>
        </w:tc>
        <w:tc>
          <w:tcPr>
            <w:tcW w:w="3461" w:type="pct"/>
          </w:tcPr>
          <w:p w14:paraId="347AF4E8" w14:textId="77777777" w:rsidR="00726B5C" w:rsidRDefault="00726B5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26B5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Sagatavotais </w:t>
            </w:r>
            <w:r w:rsidR="00A12344" w:rsidRPr="0073509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6C48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2344" w:rsidRPr="0073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5C">
              <w:rPr>
                <w:rFonts w:ascii="Times New Roman" w:eastAsia="Calibri" w:hAnsi="Times New Roman" w:cs="Times New Roman"/>
                <w:sz w:val="24"/>
                <w:lang w:eastAsia="en-US"/>
              </w:rPr>
              <w:t>attiecas uz dabas resursu, lauksaimnieciskās ražošanas un pārstrādes politikas jomu.</w:t>
            </w:r>
          </w:p>
          <w:p w14:paraId="6C1232E8" w14:textId="77777777" w:rsidR="00DC02EC" w:rsidRPr="00DC02EC" w:rsidRDefault="00DC02E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esošajos Ministru kabineta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gada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1524 „Noteikumi par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lsts atbalstu lauksaimniecībai”</w:t>
            </w:r>
            <w:r w:rsidR="0064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noteikumi Nr. 1524)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ir noteikti valsts atbalsta pasākumi lauksaimniecības attīstībai, valsts atbalsta apmērs, piešķiršanas kritēriji un kārtība 201</w:t>
            </w:r>
            <w:r w:rsidR="00F505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gadam.</w:t>
            </w:r>
          </w:p>
          <w:p w14:paraId="1137EB31" w14:textId="77777777" w:rsidR="00016DCA" w:rsidRDefault="00DC02E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Lauku atbalsta dienesta sniegtās informācijas, </w:t>
            </w:r>
            <w:r w:rsidR="00016DCA">
              <w:rPr>
                <w:rFonts w:ascii="Times New Roman" w:eastAsia="Times New Roman" w:hAnsi="Times New Roman" w:cs="Times New Roman"/>
                <w:sz w:val="24"/>
                <w:szCs w:val="24"/>
              </w:rPr>
              <w:t>dažos noteikumu</w:t>
            </w:r>
            <w:r w:rsidR="00016DCA"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016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6DCA"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1524 </w:t>
            </w:r>
            <w:r w:rsidR="0001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atbalsta pasākumos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līdz 201</w:t>
            </w:r>
            <w:r w:rsidR="00F505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Pr="00917C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1422" w:rsidRPr="00917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1169">
              <w:rPr>
                <w:rFonts w:ascii="Times New Roman" w:eastAsia="Times New Roman" w:hAnsi="Times New Roman" w:cs="Times New Roman"/>
                <w:sz w:val="24"/>
                <w:szCs w:val="24"/>
              </w:rPr>
              <w:t>oktobrim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izveidojušies ne</w:t>
            </w:r>
            <w:r w:rsidR="008A046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ti finanšu līdzekļi</w:t>
            </w:r>
            <w:r w:rsidR="00016DCA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016DCA"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avukārt citos pasākumos ir nepieciešams finansējuma palielinājums.</w:t>
            </w:r>
            <w:r w:rsidR="0001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Tādēļ noteikumu projektā precizētas atbalsta summas.</w:t>
            </w:r>
          </w:p>
          <w:p w14:paraId="2946627C" w14:textId="08524646" w:rsidR="003C7CB9" w:rsidRPr="00097A6C" w:rsidRDefault="00016DCA" w:rsidP="003C7CB9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Neizmantoti finanšu līdzekļi ir izveidojušies </w:t>
            </w:r>
            <w:r w:rsidR="00DC02EC"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atbalsta pasākum</w:t>
            </w:r>
            <w:r w:rsidR="003C7CB9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DC02EC"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513">
              <w:rPr>
                <w:rFonts w:ascii="Times New Roman" w:eastAsia="Times New Roman" w:hAnsi="Times New Roman" w:cs="Times New Roman"/>
                <w:sz w:val="24"/>
                <w:szCs w:val="24"/>
              </w:rPr>
              <w:t>“Ciltsdarba pasākumiem cūkkopības nozarē” 194 </w:t>
            </w:r>
            <w:r w:rsidR="00E2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  <w:r w:rsidR="00F50513" w:rsidRPr="00F505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429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paredzams, ka līdz gada beigām daļa no šī neizlietotā finansējuma </w:t>
            </w:r>
            <w:r w:rsidR="003C7CB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netiks 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="003C7CB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ta. Tādēļ noteikumu projekta</w:t>
            </w:r>
            <w:r w:rsidR="005A0451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3C7CB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 punktā</w:t>
            </w:r>
            <w:r w:rsidR="0058492E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 summa </w:t>
            </w:r>
            <w:r w:rsidR="003C7CB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samazināta par </w:t>
            </w:r>
            <w:r w:rsidR="00E2116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CD5E8B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116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  <w:r w:rsidR="003C7CB9" w:rsidRPr="00097A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C7CB9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3C7CB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3D04EB" w14:textId="575EACB1" w:rsidR="00E21169" w:rsidRPr="00097A6C" w:rsidRDefault="00E21169" w:rsidP="00E21169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Finanšu līdzekļu atlikums 4570 </w:t>
            </w:r>
            <w:r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 izveidojies pasākumā “Lauksaimniecības dzīvnieku ģenētisko resursu saglabāšanai”, 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tāpēc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 summa noteikumu projekta 8.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punktā samazināta par 4570</w:t>
            </w:r>
            <w:r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euro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AFE346" w14:textId="41253725" w:rsidR="007A2564" w:rsidRPr="007A2564" w:rsidRDefault="00157E47" w:rsidP="007A2564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Tāpat finanšu līdzekļu atlikums 85 72</w:t>
            </w:r>
            <w:r w:rsidR="00E2116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euro 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apmērā  izveidojies atbalsta pasākumā</w:t>
            </w:r>
            <w:r w:rsidR="00F50513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2EC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“201</w:t>
            </w:r>
            <w:r w:rsidR="00F50513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02EC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.gadā uzsākto atbalsta pasākumu</w:t>
            </w:r>
            <w:r w:rsidR="0058492E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izpildes finansējumam”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="0094128B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ādēļ noteikumu projekta</w:t>
            </w:r>
            <w:r w:rsidR="005D04F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16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D04F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 punktā</w:t>
            </w:r>
            <w:r w:rsidR="0058492E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 summa </w:t>
            </w:r>
            <w:r w:rsidR="005D04F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ir samazināta par</w:t>
            </w:r>
            <w:r w:rsidR="005A0451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80 000</w:t>
            </w:r>
            <w:r w:rsidR="005D04F9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4F9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7A2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3D1931E6" w14:textId="00F0A473" w:rsidR="00E21169" w:rsidRDefault="00E21169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Attiecīgi ar noteikumu projekta </w:t>
            </w:r>
            <w:r w:rsidR="00BE66E7">
              <w:rPr>
                <w:rFonts w:ascii="Times New Roman" w:eastAsia="Times New Roman" w:hAnsi="Times New Roman" w:cs="Times New Roman"/>
                <w:sz w:val="24"/>
                <w:szCs w:val="24"/>
              </w:rPr>
              <w:t>4., 8. un 11. punktu samazinātas noteikumu Nr. 1524 2.1.1.3., 2.1.7. un 2.6. apakšpunkt</w:t>
            </w:r>
            <w:r w:rsidR="00D42917">
              <w:rPr>
                <w:rFonts w:ascii="Times New Roman" w:eastAsia="Times New Roman" w:hAnsi="Times New Roman" w:cs="Times New Roman"/>
                <w:sz w:val="24"/>
                <w:szCs w:val="24"/>
              </w:rPr>
              <w:t>ā norādītās atbalsta summas</w:t>
            </w:r>
            <w:r w:rsidR="00BE6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2.6. apakšpunktā atbilstoši 2019.gadā izmantotajai naudas summai precizēta </w:t>
            </w:r>
            <w:r w:rsidR="000D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="007A2564">
              <w:rPr>
                <w:rFonts w:ascii="Times New Roman" w:eastAsia="Times New Roman" w:hAnsi="Times New Roman" w:cs="Times New Roman"/>
                <w:sz w:val="24"/>
                <w:szCs w:val="24"/>
              </w:rPr>
              <w:t>summa cūkkopības nozarei.</w:t>
            </w:r>
          </w:p>
          <w:p w14:paraId="0A9C254A" w14:textId="4D85C0E7" w:rsidR="00597E97" w:rsidRPr="00097A6C" w:rsidRDefault="00DC02EC" w:rsidP="00597E97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Lauku atbalsta dienestam, izmaksājot atbalstu, 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atsevišķos atbalsta pasākumos </w:t>
            </w:r>
            <w:r w:rsidRPr="00DC02EC">
              <w:rPr>
                <w:rFonts w:ascii="Times New Roman" w:eastAsia="Times New Roman" w:hAnsi="Times New Roman" w:cs="Times New Roman"/>
                <w:sz w:val="24"/>
                <w:szCs w:val="24"/>
              </w:rPr>
              <w:t>nebūtu jāpiemēro proporcionālais samazinājums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4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2.,</w:t>
            </w:r>
            <w:r w:rsidR="00597E97" w:rsidRPr="00A3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5., 6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7., </w:t>
            </w:r>
            <w:r w:rsidR="00BE66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</w:t>
            </w:r>
            <w:r w:rsidR="00BE66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>punkt</w:t>
            </w:r>
            <w:r w:rsidR="00D14D9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9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E9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precizētas atbalsta summas noteikumu Nr. 1524 2.1.1., </w:t>
            </w:r>
            <w:r w:rsidR="00BE66E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2.1.1.1., 2.1.1.7., </w:t>
            </w:r>
            <w:r w:rsidR="00597E9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2.1.3., </w:t>
            </w:r>
            <w:r w:rsidR="00BE66E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  <w:r w:rsidR="00B21093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6E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597E9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  <w:r w:rsidR="00546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7E9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 apakšpunktā</w:t>
            </w:r>
            <w:r w:rsidR="00D14D9D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34F4E78" w14:textId="23CBFA24" w:rsidR="00D14D9D" w:rsidRPr="00097A6C" w:rsidRDefault="00C95C7E" w:rsidP="00C95C7E">
            <w:pPr>
              <w:tabs>
                <w:tab w:val="left" w:pos="142"/>
                <w:tab w:val="left" w:pos="327"/>
                <w:tab w:val="left" w:pos="505"/>
              </w:tabs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14D9D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tbalst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ciltsdarba pasākumiem piensaimniecības nozarē ir palielināts par 2</w:t>
            </w:r>
            <w:r w:rsidR="00CD5E8B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 000 </w:t>
            </w:r>
            <w:r w:rsidR="006F1016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14D9D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82091E" w14:textId="29D91250" w:rsidR="00D14D9D" w:rsidRPr="00097A6C" w:rsidRDefault="00D14D9D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ciltsdarba pasākumiem netradicionālajās no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arēs ir palielināts par 3217 </w:t>
            </w:r>
            <w:r w:rsidR="006F1016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A48E39" w14:textId="0858DAB8" w:rsidR="00D14D9D" w:rsidRPr="00097A6C" w:rsidRDefault="00D14D9D" w:rsidP="00D14D9D">
            <w:pPr>
              <w:tabs>
                <w:tab w:val="left" w:pos="431"/>
                <w:tab w:val="left" w:pos="480"/>
              </w:tabs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dzīvnieku līķu savākšan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, transportēšan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, pārstrād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i un likvidēšan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ai ir palielināts par 20 000 </w:t>
            </w:r>
            <w:r w:rsidR="006F1016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F1281A" w14:textId="1FCCF5A3" w:rsidR="00C95C7E" w:rsidRPr="00097A6C" w:rsidRDefault="00C95C7E" w:rsidP="00D14D9D">
            <w:pPr>
              <w:tabs>
                <w:tab w:val="left" w:pos="431"/>
                <w:tab w:val="left" w:pos="480"/>
              </w:tabs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4) atbalst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biškopības nozares attīstībai ir palielināts par 64</w:t>
            </w:r>
            <w:r w:rsidR="00B21093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939 </w:t>
            </w:r>
            <w:r w:rsidR="00B21093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B21093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9C4FFA" w14:textId="70F79E33" w:rsidR="00DC02EC" w:rsidRPr="00097A6C" w:rsidRDefault="00D42917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D9D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atbalst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dalīb</w:t>
            </w:r>
            <w:r w:rsidR="006F101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kvalitātes shēmās </w:t>
            </w:r>
            <w:r w:rsidR="00DC02EC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palielināts </w:t>
            </w:r>
            <w:r w:rsidR="00FF6E56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A973E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80 000 </w:t>
            </w:r>
            <w:r w:rsidR="00DC02EC" w:rsidRPr="00097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DD0931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B4FE45" w14:textId="62D32AC9" w:rsidR="00B21093" w:rsidRPr="00097A6C" w:rsidRDefault="00B21093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finansējuma pārdalei ar noteikumu projekta 1. un 9. punktu ir precizētas atbalsta summas noteikumu Nr. 1524 2.1.1.un 2.5. apakšpunkt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B4561" w14:textId="5CC2A300" w:rsidR="003547ED" w:rsidRDefault="003547ED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Papildus 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minētajiem grozījumiem </w:t>
            </w:r>
            <w:r w:rsidR="0056577B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2F4530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un </w:t>
            </w:r>
            <w:r w:rsidR="00BA05CF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.punktu 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izdarī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grozījumi noteikumu Nr. 1524 </w:t>
            </w:r>
            <w:r w:rsidR="002F4530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2.1.1.1. un 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2.1.1.2. apakšpunkt</w:t>
            </w:r>
            <w:r w:rsidR="0056577B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016DCA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svītrojot iekavās norādītās naudas summas ciltsgrāmatas uzturēšanai un govju lineārai vērtēšanai. Tādējādi piensaimniecības un liellopu gaļas ražošanas nozarē būs iespējams pārdalīt nozar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="00A104B2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pieejamo naudas summu dažādiem ciltsdarba pasākumiem pēc nepieciešamības.</w:t>
            </w:r>
          </w:p>
          <w:p w14:paraId="25091C5C" w14:textId="54DDD615" w:rsidR="008634F2" w:rsidRDefault="008634F2" w:rsidP="008634F2">
            <w:pPr>
              <w:spacing w:after="0" w:line="240" w:lineRule="auto"/>
              <w:ind w:left="143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 atbalsts komercdarbība</w:t>
            </w:r>
            <w:r>
              <w:rPr>
                <w:rFonts w:ascii="Times New Roman" w:hAnsi="Times New Roman"/>
                <w:sz w:val="24"/>
                <w:szCs w:val="24"/>
              </w:rPr>
              <w:t>i saskaņā ar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noteikumiem</w:t>
            </w:r>
            <w:r>
              <w:t xml:space="preserve"> 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1524 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tiek sniegts </w:t>
            </w:r>
            <w:r>
              <w:rPr>
                <w:rFonts w:ascii="Times New Roman" w:hAnsi="Times New Roman"/>
                <w:sz w:val="24"/>
                <w:szCs w:val="24"/>
              </w:rPr>
              <w:t>atbilstoši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8B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regulām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noteikumu projekts papildināts ar 12.punktu, ievērojot arī</w:t>
            </w:r>
            <w:r w:rsidRPr="00C2168B">
              <w:rPr>
                <w:rFonts w:ascii="Times New Roman" w:hAnsi="Times New Roman"/>
                <w:sz w:val="24"/>
                <w:szCs w:val="24"/>
              </w:rPr>
              <w:t xml:space="preserve"> aktuālo Eiropas Savienības tiesas judikatūru (sk. Eiropas Savienības Tiesas 2019.gada 5.marta spriedumu lietā Nr.C-349/17 (ECLI:EU:C:2019:172))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2F16970" w14:textId="6AB3EB4E" w:rsidR="00BF404A" w:rsidRDefault="00727CCF" w:rsidP="00BF404A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projekta 1</w:t>
            </w:r>
            <w:r w:rsidR="00642B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punktu </w:t>
            </w:r>
            <w:r w:rsidR="00D42917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izdarī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ti grozījumi noteikumu Nr. 1524 18.2.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apakšpunktā, </w:t>
            </w:r>
            <w:r w:rsidR="00041BE0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palielinot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C84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naudas </w:t>
            </w:r>
            <w:r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summu un papildinot finanšu līdzekļu izlietojuma mērķi.</w:t>
            </w:r>
            <w:r w:rsidR="00BD41CA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Pašlaik noteikumos Nr. 1524 noteikts, ka atbalsts paredzēts DNS analīzēm dzīvnieku izcelsmes ticamības noteikšanai. Grozījumi paredz, ka atbalsts tiks piešķirts arī sarkano šķirņu </w:t>
            </w:r>
            <w:r w:rsidR="005077D8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vaislas buļļu</w:t>
            </w:r>
            <w:r w:rsidR="00BD41CA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genoma jeb gēnu kopuma </w:t>
            </w:r>
            <w:r w:rsidR="005077D8" w:rsidRPr="00097A6C">
              <w:rPr>
                <w:rFonts w:ascii="Times New Roman" w:eastAsia="Times New Roman" w:hAnsi="Times New Roman" w:cs="Times New Roman"/>
                <w:sz w:val="24"/>
                <w:szCs w:val="24"/>
              </w:rPr>
              <w:t>noteikšanas</w:t>
            </w:r>
            <w:r w:rsidR="0050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kopējo izmaksu segšanai</w:t>
            </w:r>
            <w:r w:rsidR="00BD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Šķirnes lauksaimniecības dzīvnieku audzētāju organizācija “Latvijas Šķirnes dzīvnieku audzētāju savienība” piedalās </w:t>
            </w:r>
            <w:r w:rsidR="004F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vairāku Eiropas valstu </w:t>
            </w:r>
            <w:r w:rsidR="00CC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dzīvnieku audzēšanas </w:t>
            </w:r>
            <w:r w:rsidR="004F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speciālistu organizētā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sarkano </w:t>
            </w:r>
            <w:r w:rsidR="0050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govju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>šķirņu</w:t>
            </w:r>
            <w:r w:rsidR="0050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dzīvnieku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ciltsvērtības noteikšanā pēc g</w:t>
            </w:r>
            <w:r w:rsidR="00C36B23">
              <w:rPr>
                <w:rFonts w:ascii="Times New Roman" w:eastAsia="Times New Roman" w:hAnsi="Times New Roman" w:cs="Times New Roman"/>
                <w:sz w:val="24"/>
                <w:szCs w:val="24"/>
              </w:rPr>
              <w:t>enoma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F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Šī ir salīdzinoši jauna metode, kas ļauj prognozēt dzīvnieka vērtību.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 w:rsidR="00C3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iegūtu informāciju par genomu,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C36B23">
              <w:rPr>
                <w:rFonts w:ascii="Times New Roman" w:eastAsia="Times New Roman" w:hAnsi="Times New Roman" w:cs="Times New Roman"/>
                <w:sz w:val="24"/>
                <w:szCs w:val="24"/>
              </w:rPr>
              <w:t>jāveic dzīvnieka DNS analīzes</w:t>
            </w:r>
            <w:r w:rsidR="00D429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pielietojot genoma </w:t>
            </w:r>
            <w:r w:rsidR="00BF4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analīzes metodi.</w:t>
            </w:r>
            <w:r w:rsidR="00BD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Tāpēc atbalsta summa šajā pozīcijā palielināta par 1000 </w:t>
            </w:r>
            <w:r w:rsidR="00BD41CA" w:rsidRPr="00BD4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BD4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66C74E" w14:textId="77777777" w:rsidR="00077EB0" w:rsidRPr="00DD49B6" w:rsidRDefault="00431E7C" w:rsidP="00900DA1">
            <w:pPr>
              <w:pStyle w:val="Virsraksts3"/>
              <w:shd w:val="clear" w:color="auto" w:fill="FFFFFF"/>
              <w:spacing w:before="0" w:beforeAutospacing="0" w:after="0" w:afterAutospacing="0"/>
              <w:ind w:left="148" w:right="133" w:hanging="6"/>
              <w:jc w:val="both"/>
              <w:rPr>
                <w:b w:val="0"/>
                <w:sz w:val="24"/>
                <w:szCs w:val="24"/>
              </w:rPr>
            </w:pPr>
            <w:r w:rsidRPr="007B1F91">
              <w:rPr>
                <w:b w:val="0"/>
                <w:sz w:val="24"/>
                <w:szCs w:val="24"/>
              </w:rPr>
              <w:t xml:space="preserve">Minētie grozījumi ļaus </w:t>
            </w:r>
            <w:r>
              <w:rPr>
                <w:b w:val="0"/>
                <w:sz w:val="24"/>
                <w:szCs w:val="24"/>
              </w:rPr>
              <w:t>p</w:t>
            </w:r>
            <w:r w:rsidRPr="00367875">
              <w:rPr>
                <w:b w:val="0"/>
                <w:sz w:val="24"/>
                <w:szCs w:val="24"/>
              </w:rPr>
              <w:t>lānveid</w:t>
            </w:r>
            <w:r>
              <w:rPr>
                <w:b w:val="0"/>
                <w:sz w:val="24"/>
                <w:szCs w:val="24"/>
              </w:rPr>
              <w:t>īgi</w:t>
            </w:r>
            <w:r w:rsidRPr="00367875">
              <w:rPr>
                <w:b w:val="0"/>
                <w:sz w:val="24"/>
                <w:szCs w:val="24"/>
              </w:rPr>
              <w:t xml:space="preserve"> </w:t>
            </w:r>
            <w:r w:rsidR="006C485A">
              <w:rPr>
                <w:b w:val="0"/>
                <w:sz w:val="24"/>
                <w:szCs w:val="24"/>
              </w:rPr>
              <w:t>izmantot</w:t>
            </w:r>
            <w:r w:rsidRPr="00367875">
              <w:rPr>
                <w:b w:val="0"/>
                <w:sz w:val="24"/>
                <w:szCs w:val="24"/>
              </w:rPr>
              <w:t xml:space="preserve"> valsts atbalstam piešķirtos finanšu līdzekļus </w:t>
            </w:r>
            <w:r w:rsidRPr="007B1F91">
              <w:rPr>
                <w:b w:val="0"/>
                <w:sz w:val="24"/>
                <w:szCs w:val="24"/>
              </w:rPr>
              <w:t>201</w:t>
            </w:r>
            <w:r w:rsidR="003C44C7">
              <w:rPr>
                <w:b w:val="0"/>
                <w:sz w:val="24"/>
                <w:szCs w:val="24"/>
              </w:rPr>
              <w:t>9</w:t>
            </w:r>
            <w:r w:rsidRPr="007B1F91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330A2" w:rsidRPr="00DD49B6" w14:paraId="6C990843" w14:textId="77777777" w:rsidTr="00900DA1">
        <w:trPr>
          <w:trHeight w:val="476"/>
        </w:trPr>
        <w:tc>
          <w:tcPr>
            <w:tcW w:w="222" w:type="pct"/>
          </w:tcPr>
          <w:p w14:paraId="5FBBA332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314" w:type="pct"/>
          </w:tcPr>
          <w:p w14:paraId="3C70A8A1" w14:textId="77777777"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Projekta izstrādē iesaistītās institūcijas un publiskas personas kapitālsabiedrības</w:t>
            </w:r>
          </w:p>
        </w:tc>
        <w:tc>
          <w:tcPr>
            <w:tcW w:w="3461" w:type="pct"/>
          </w:tcPr>
          <w:p w14:paraId="4901FECE" w14:textId="77777777" w:rsidR="000330A2" w:rsidRPr="00DD49B6" w:rsidRDefault="003C07D1" w:rsidP="003C07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7F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F0225">
              <w:rPr>
                <w:rFonts w:ascii="Times New Roman" w:hAnsi="Times New Roman"/>
                <w:sz w:val="24"/>
                <w:szCs w:val="24"/>
              </w:rPr>
              <w:t>Lauku atbalsta dienests</w:t>
            </w:r>
          </w:p>
        </w:tc>
      </w:tr>
      <w:tr w:rsidR="000330A2" w:rsidRPr="00DD49B6" w14:paraId="68CC57F2" w14:textId="77777777" w:rsidTr="00900DA1">
        <w:tc>
          <w:tcPr>
            <w:tcW w:w="222" w:type="pct"/>
          </w:tcPr>
          <w:p w14:paraId="45DEF3F7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314" w:type="pct"/>
          </w:tcPr>
          <w:p w14:paraId="15422DDD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461" w:type="pct"/>
          </w:tcPr>
          <w:p w14:paraId="26E636AD" w14:textId="77777777" w:rsidR="000330A2" w:rsidRPr="003C07D1" w:rsidRDefault="003C07D1" w:rsidP="003C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07D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256DB99" w14:textId="77777777" w:rsidR="000330A2" w:rsidRPr="00DD49B6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60"/>
      </w:tblGrid>
      <w:tr w:rsidR="000330A2" w:rsidRPr="00DD49B6" w14:paraId="1D377092" w14:textId="77777777" w:rsidTr="00472586">
        <w:trPr>
          <w:trHeight w:val="556"/>
        </w:trPr>
        <w:tc>
          <w:tcPr>
            <w:tcW w:w="9067" w:type="dxa"/>
            <w:gridSpan w:val="3"/>
            <w:vAlign w:val="center"/>
          </w:tcPr>
          <w:p w14:paraId="593339A6" w14:textId="77777777" w:rsidR="000330A2" w:rsidRPr="00DD49B6" w:rsidRDefault="009F3688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F3688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330A2" w:rsidRPr="00DD49B6" w14:paraId="433CC246" w14:textId="77777777" w:rsidTr="00472586">
        <w:trPr>
          <w:trHeight w:val="467"/>
        </w:trPr>
        <w:tc>
          <w:tcPr>
            <w:tcW w:w="431" w:type="dxa"/>
          </w:tcPr>
          <w:p w14:paraId="72E664A8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14:paraId="0BB07626" w14:textId="77777777"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Sabiedrības mērķgrupas, kuras tiesiskais regulējums ietekmē vai varētu ietekmēt</w:t>
            </w:r>
          </w:p>
        </w:tc>
        <w:tc>
          <w:tcPr>
            <w:tcW w:w="5660" w:type="dxa"/>
          </w:tcPr>
          <w:p w14:paraId="0BB13FB0" w14:textId="443AC2DF" w:rsidR="000330A2" w:rsidRDefault="00466533" w:rsidP="0058492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bookmarkStart w:id="2" w:name="p21"/>
            <w:bookmarkEnd w:id="2"/>
            <w:r>
              <w:rPr>
                <w:rFonts w:ascii="Times New Roman" w:hAnsi="Times New Roman"/>
                <w:sz w:val="24"/>
              </w:rPr>
              <w:t xml:space="preserve">Personas, kas sniedz dzīvnieku </w:t>
            </w:r>
            <w:r w:rsidR="0045155A">
              <w:rPr>
                <w:rFonts w:ascii="Times New Roman" w:hAnsi="Times New Roman"/>
                <w:sz w:val="24"/>
              </w:rPr>
              <w:t>līķu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savākšanas, transportēšanas, pārstrādes un likvidēšanas pakalpojumus</w:t>
            </w:r>
            <w:r w:rsidR="00D4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53934">
              <w:rPr>
                <w:rFonts w:ascii="Times New Roman" w:hAnsi="Times New Roman"/>
                <w:sz w:val="24"/>
              </w:rPr>
              <w:t>Pārtikas apritē iesaistītie primārā produkta ražotāji</w:t>
            </w:r>
            <w:r w:rsidR="00B4783A">
              <w:rPr>
                <w:rFonts w:ascii="Times New Roman" w:hAnsi="Times New Roman"/>
                <w:sz w:val="24"/>
              </w:rPr>
              <w:t xml:space="preserve"> un</w:t>
            </w:r>
            <w:r w:rsidR="00AD5994">
              <w:rPr>
                <w:rFonts w:ascii="Times New Roman" w:hAnsi="Times New Roman"/>
                <w:sz w:val="24"/>
              </w:rPr>
              <w:t xml:space="preserve"> </w:t>
            </w:r>
            <w:r w:rsidR="00B4783A">
              <w:rPr>
                <w:rFonts w:ascii="Times New Roman" w:hAnsi="Times New Roman"/>
                <w:sz w:val="24"/>
              </w:rPr>
              <w:t>uzņēmumi,</w:t>
            </w:r>
            <w:r w:rsidR="00053934">
              <w:rPr>
                <w:rFonts w:ascii="Times New Roman" w:hAnsi="Times New Roman"/>
                <w:sz w:val="24"/>
              </w:rPr>
              <w:t xml:space="preserve"> kas iesaistās pārtikas kvalitātes shēmās</w:t>
            </w:r>
            <w:r w:rsidR="00B4783A">
              <w:rPr>
                <w:rFonts w:ascii="Times New Roman" w:hAnsi="Times New Roman"/>
                <w:sz w:val="24"/>
              </w:rPr>
              <w:t>.</w:t>
            </w:r>
          </w:p>
          <w:p w14:paraId="29E4F90A" w14:textId="77777777" w:rsidR="003517C3" w:rsidRDefault="003517C3" w:rsidP="0058492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Šķirnes </w:t>
            </w:r>
            <w:r w:rsidR="00BF404A">
              <w:rPr>
                <w:rFonts w:ascii="Times New Roman" w:hAnsi="Times New Roman"/>
                <w:sz w:val="24"/>
              </w:rPr>
              <w:t xml:space="preserve">lauksaimniecības </w:t>
            </w:r>
            <w:r>
              <w:rPr>
                <w:rFonts w:ascii="Times New Roman" w:hAnsi="Times New Roman"/>
                <w:sz w:val="24"/>
              </w:rPr>
              <w:t xml:space="preserve">dzīvnieku audzētāju </w:t>
            </w:r>
            <w:r w:rsidR="00BF404A">
              <w:rPr>
                <w:rFonts w:ascii="Times New Roman" w:hAnsi="Times New Roman"/>
                <w:sz w:val="24"/>
              </w:rPr>
              <w:t>organizācijas</w:t>
            </w:r>
            <w:r>
              <w:rPr>
                <w:rFonts w:ascii="Times New Roman" w:hAnsi="Times New Roman"/>
                <w:sz w:val="24"/>
              </w:rPr>
              <w:t xml:space="preserve">, kas darbojas piena un gaļas liellopu </w:t>
            </w:r>
            <w:r w:rsidR="005E0045">
              <w:rPr>
                <w:rFonts w:ascii="Times New Roman" w:hAnsi="Times New Roman"/>
                <w:sz w:val="24"/>
              </w:rPr>
              <w:t>audzēšanas nozarē</w:t>
            </w:r>
            <w:r w:rsidR="001A134F">
              <w:rPr>
                <w:rFonts w:ascii="Times New Roman" w:hAnsi="Times New Roman"/>
                <w:sz w:val="24"/>
              </w:rPr>
              <w:t xml:space="preserve"> un netradicionālajās nozarēs</w:t>
            </w:r>
            <w:r w:rsidR="005E0045">
              <w:rPr>
                <w:rFonts w:ascii="Times New Roman" w:hAnsi="Times New Roman"/>
                <w:sz w:val="24"/>
              </w:rPr>
              <w:t>.</w:t>
            </w:r>
          </w:p>
          <w:p w14:paraId="5032ADA7" w14:textId="77777777" w:rsidR="00E244BF" w:rsidRPr="0058492E" w:rsidRDefault="00E244BF" w:rsidP="0058492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Bišu saimju īpašnieki</w:t>
            </w:r>
            <w:r w:rsidR="008B3589">
              <w:rPr>
                <w:rFonts w:ascii="Times New Roman" w:hAnsi="Times New Roman"/>
                <w:sz w:val="24"/>
              </w:rPr>
              <w:t xml:space="preserve"> – aptuveni 600.</w:t>
            </w:r>
          </w:p>
        </w:tc>
      </w:tr>
      <w:tr w:rsidR="000330A2" w:rsidRPr="00DD49B6" w14:paraId="1C4D7E01" w14:textId="77777777" w:rsidTr="00472586">
        <w:trPr>
          <w:trHeight w:val="523"/>
        </w:trPr>
        <w:tc>
          <w:tcPr>
            <w:tcW w:w="431" w:type="dxa"/>
          </w:tcPr>
          <w:p w14:paraId="0CF5D2C5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14:paraId="4DA39327" w14:textId="77777777"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Tiesiskā regulējuma ietekme uz tautsaimniecību un administratīvo slogu</w:t>
            </w:r>
          </w:p>
        </w:tc>
        <w:tc>
          <w:tcPr>
            <w:tcW w:w="5660" w:type="dxa"/>
          </w:tcPr>
          <w:p w14:paraId="175112DE" w14:textId="77777777"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14:paraId="52682587" w14:textId="77777777" w:rsidTr="00472586">
        <w:trPr>
          <w:trHeight w:val="523"/>
        </w:trPr>
        <w:tc>
          <w:tcPr>
            <w:tcW w:w="431" w:type="dxa"/>
          </w:tcPr>
          <w:p w14:paraId="63E7BE68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14:paraId="4C809803" w14:textId="77777777"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Administratīvo izmaksu monetārs novērtējums</w:t>
            </w:r>
          </w:p>
        </w:tc>
        <w:tc>
          <w:tcPr>
            <w:tcW w:w="5660" w:type="dxa"/>
          </w:tcPr>
          <w:p w14:paraId="7C548B12" w14:textId="77777777" w:rsidR="000330A2" w:rsidRPr="00DD49B6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9F3688" w:rsidRPr="00DD49B6" w14:paraId="01BF472D" w14:textId="77777777" w:rsidTr="00472586">
        <w:trPr>
          <w:trHeight w:val="523"/>
        </w:trPr>
        <w:tc>
          <w:tcPr>
            <w:tcW w:w="431" w:type="dxa"/>
          </w:tcPr>
          <w:p w14:paraId="00748CC8" w14:textId="77777777" w:rsidR="009F3688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4.</w:t>
            </w:r>
          </w:p>
        </w:tc>
        <w:tc>
          <w:tcPr>
            <w:tcW w:w="2976" w:type="dxa"/>
          </w:tcPr>
          <w:p w14:paraId="124974E1" w14:textId="77777777" w:rsidR="009F3688" w:rsidRPr="009F3688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9F3688">
              <w:t>Atbilstības izmaksu monetārs novērtējums</w:t>
            </w:r>
          </w:p>
        </w:tc>
        <w:tc>
          <w:tcPr>
            <w:tcW w:w="5660" w:type="dxa"/>
          </w:tcPr>
          <w:p w14:paraId="27159343" w14:textId="77777777" w:rsidR="009F3688" w:rsidRDefault="009F3688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68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DD49B6" w14:paraId="7255A745" w14:textId="77777777" w:rsidTr="00472586">
        <w:trPr>
          <w:trHeight w:val="357"/>
        </w:trPr>
        <w:tc>
          <w:tcPr>
            <w:tcW w:w="431" w:type="dxa"/>
          </w:tcPr>
          <w:p w14:paraId="221A2C4E" w14:textId="77777777" w:rsidR="000330A2" w:rsidRPr="00DD49B6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5</w:t>
            </w:r>
            <w:r w:rsidR="000330A2" w:rsidRPr="00DD49B6">
              <w:t>.</w:t>
            </w:r>
          </w:p>
        </w:tc>
        <w:tc>
          <w:tcPr>
            <w:tcW w:w="2976" w:type="dxa"/>
          </w:tcPr>
          <w:p w14:paraId="612268D7" w14:textId="77777777" w:rsidR="000330A2" w:rsidRPr="00DD49B6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660" w:type="dxa"/>
          </w:tcPr>
          <w:p w14:paraId="001CF7A8" w14:textId="77777777" w:rsidR="000330A2" w:rsidRPr="00DD49B6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FEE798" w14:textId="77777777"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6F50" w:rsidRPr="00596F50" w14:paraId="3F74CC04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00079F3E" w14:textId="77777777"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96F50" w:rsidRPr="00596F50" w14:paraId="2C6BF171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7EC37BA9" w14:textId="77777777" w:rsidR="00596F50" w:rsidRPr="00596F50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5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441A3705" w14:textId="77777777" w:rsidR="00472586" w:rsidRDefault="00472586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14:paraId="4FB4E5F0" w14:textId="77777777" w:rsidTr="00800322">
        <w:tc>
          <w:tcPr>
            <w:tcW w:w="9061" w:type="dxa"/>
          </w:tcPr>
          <w:p w14:paraId="3CBD92C8" w14:textId="77777777"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00322" w14:paraId="36088DD0" w14:textId="77777777" w:rsidTr="00800322">
        <w:tc>
          <w:tcPr>
            <w:tcW w:w="9061" w:type="dxa"/>
          </w:tcPr>
          <w:p w14:paraId="69E5F583" w14:textId="77777777" w:rsidR="00800322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1353BA2" w14:textId="77777777"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7"/>
        <w:gridCol w:w="971"/>
        <w:gridCol w:w="2128"/>
        <w:gridCol w:w="2129"/>
        <w:gridCol w:w="2690"/>
      </w:tblGrid>
      <w:tr w:rsidR="005040F9" w:rsidRPr="005040F9" w14:paraId="3252173C" w14:textId="77777777" w:rsidTr="00640BC7">
        <w:trPr>
          <w:trHeight w:val="279"/>
        </w:trPr>
        <w:tc>
          <w:tcPr>
            <w:tcW w:w="9072" w:type="dxa"/>
            <w:gridSpan w:val="6"/>
          </w:tcPr>
          <w:p w14:paraId="3EDCA927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0F9">
              <w:rPr>
                <w:rFonts w:ascii="Times New Roman" w:eastAsia="Times New Roman" w:hAnsi="Times New Roman" w:cs="Times New Roman"/>
                <w:b/>
              </w:rPr>
              <w:t>V. Tiesību akta projekta atbilstība Latvijas Republikas starptautiskajām saistībām</w:t>
            </w:r>
          </w:p>
        </w:tc>
      </w:tr>
      <w:tr w:rsidR="005040F9" w:rsidRPr="005040F9" w14:paraId="3AD26272" w14:textId="77777777" w:rsidTr="00640BC7">
        <w:trPr>
          <w:trHeight w:val="279"/>
        </w:trPr>
        <w:tc>
          <w:tcPr>
            <w:tcW w:w="567" w:type="dxa"/>
          </w:tcPr>
          <w:p w14:paraId="12521903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14:paraId="7296551D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947" w:type="dxa"/>
            <w:gridSpan w:val="3"/>
          </w:tcPr>
          <w:p w14:paraId="226A9FDD" w14:textId="22F9EB53" w:rsidR="005040F9" w:rsidRDefault="005040F9" w:rsidP="0050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0B">
              <w:rPr>
                <w:rFonts w:ascii="Times New Roman" w:hAnsi="Times New Roman"/>
                <w:sz w:val="24"/>
                <w:szCs w:val="24"/>
              </w:rPr>
              <w:t>Komisijas 2013.gada 18.decembra Regula (EK) Nr.</w:t>
            </w:r>
            <w:hyperlink r:id="rId7" w:tgtFrame="_blank" w:history="1">
              <w:r w:rsidRPr="00E2230B">
                <w:rPr>
                  <w:rFonts w:ascii="Times New Roman" w:hAnsi="Times New Roman"/>
                  <w:sz w:val="24"/>
                  <w:szCs w:val="24"/>
                </w:rPr>
                <w:t>1407/2013</w:t>
              </w:r>
            </w:hyperlink>
            <w:r w:rsidRPr="00E2230B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108.panta piemērošanu </w:t>
            </w:r>
            <w:r w:rsidRPr="00E2230B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 xml:space="preserve"> atbalstam (Eiropas Savienības Oficiālais Vēstnesis, 2013.gada 24.decembris, Nr. L 352)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</w:t>
            </w:r>
            <w:r w:rsidR="00C1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 Nr. 1407/2013);</w:t>
            </w:r>
          </w:p>
          <w:p w14:paraId="4BCC0D8F" w14:textId="61A1C0C3" w:rsidR="005040F9" w:rsidRDefault="005040F9" w:rsidP="0050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0B">
              <w:rPr>
                <w:rFonts w:ascii="Times New Roman" w:hAnsi="Times New Roman"/>
                <w:sz w:val="24"/>
                <w:szCs w:val="24"/>
              </w:rPr>
              <w:t>Komisijas 2013.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>gada 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>decembra Regula (EK) Nr.</w:t>
            </w:r>
            <w:hyperlink r:id="rId8" w:tgtFrame="_blank" w:history="1">
              <w:r w:rsidRPr="00E2230B">
                <w:rPr>
                  <w:rFonts w:ascii="Times New Roman" w:hAnsi="Times New Roman"/>
                  <w:sz w:val="24"/>
                  <w:szCs w:val="24"/>
                </w:rPr>
                <w:t>1408/2013</w:t>
              </w:r>
            </w:hyperlink>
            <w:r w:rsidRPr="00E2230B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 xml:space="preserve">panta piemērošanu </w:t>
            </w:r>
            <w:r w:rsidRPr="00E2230B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 xml:space="preserve"> atbalstam lauksaimniecības nozarē (Eiropas Savienības Oficiālais Vēstnesis, 2013.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>gada 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30B">
              <w:rPr>
                <w:rFonts w:ascii="Times New Roman" w:hAnsi="Times New Roman"/>
                <w:sz w:val="24"/>
                <w:szCs w:val="24"/>
              </w:rPr>
              <w:t>decembris, Nr. L 352)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 regula Nr. 1408/2013);</w:t>
            </w:r>
          </w:p>
          <w:p w14:paraId="61BD6B83" w14:textId="1856DB16" w:rsidR="00C10E3A" w:rsidRPr="005040F9" w:rsidRDefault="005040F9" w:rsidP="0050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22">
              <w:rPr>
                <w:rFonts w:ascii="Times New Roman" w:hAnsi="Times New Roman"/>
                <w:iCs/>
                <w:sz w:val="24"/>
                <w:szCs w:val="24"/>
              </w:rPr>
              <w:t xml:space="preserve">Komisijas 2004. gada 21. aprīļa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Pr="003D1C22">
              <w:rPr>
                <w:rFonts w:ascii="Times New Roman" w:hAnsi="Times New Roman"/>
                <w:iCs/>
                <w:sz w:val="24"/>
                <w:szCs w:val="24"/>
              </w:rPr>
              <w:t xml:space="preserve">egula (EK) Nr. 794/2004, ar ko īsteno Padomes Regulu (ES) 2015/1589, ar ko nosaka sīki izstrādātus noteikumus Līguma par Eiropas Savienības darbību 108. panta </w:t>
            </w:r>
            <w:r w:rsidRPr="003D1C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piemērošanai (Eiropas Savienības Oficiālais Vēstnesis, 2004.gada 30.aprīlis, Nr. L 140)</w:t>
            </w:r>
            <w:r w:rsidR="00C10E3A">
              <w:rPr>
                <w:rFonts w:ascii="Times New Roman" w:hAnsi="Times New Roman"/>
                <w:sz w:val="24"/>
                <w:szCs w:val="24"/>
              </w:rPr>
              <w:t xml:space="preserve"> (turpmāk </w:t>
            </w:r>
            <w:r w:rsidR="004A3AEE">
              <w:rPr>
                <w:rFonts w:ascii="Times New Roman" w:hAnsi="Times New Roman"/>
                <w:sz w:val="24"/>
                <w:szCs w:val="24"/>
              </w:rPr>
              <w:t>–</w:t>
            </w:r>
            <w:r w:rsidR="00C1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AEE">
              <w:rPr>
                <w:rFonts w:ascii="Times New Roman" w:hAnsi="Times New Roman"/>
                <w:sz w:val="24"/>
                <w:szCs w:val="24"/>
              </w:rPr>
              <w:t>regula Nr. </w:t>
            </w:r>
            <w:r w:rsidR="004A3AEE" w:rsidRPr="003D1C22">
              <w:rPr>
                <w:rFonts w:ascii="Times New Roman" w:hAnsi="Times New Roman"/>
                <w:iCs/>
                <w:sz w:val="24"/>
                <w:szCs w:val="24"/>
              </w:rPr>
              <w:t>794/2004</w:t>
            </w:r>
            <w:r w:rsidR="004A3AEE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  <w:tr w:rsidR="005040F9" w:rsidRPr="005040F9" w14:paraId="626C68FC" w14:textId="77777777" w:rsidTr="00640BC7">
        <w:trPr>
          <w:trHeight w:val="279"/>
        </w:trPr>
        <w:tc>
          <w:tcPr>
            <w:tcW w:w="567" w:type="dxa"/>
          </w:tcPr>
          <w:p w14:paraId="341791CC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" w:type="dxa"/>
            <w:gridSpan w:val="2"/>
          </w:tcPr>
          <w:p w14:paraId="0741058C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947" w:type="dxa"/>
            <w:gridSpan w:val="3"/>
          </w:tcPr>
          <w:p w14:paraId="647E7571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040F9" w:rsidRPr="005040F9" w14:paraId="59B47FF8" w14:textId="77777777" w:rsidTr="00640BC7">
        <w:trPr>
          <w:trHeight w:val="279"/>
        </w:trPr>
        <w:tc>
          <w:tcPr>
            <w:tcW w:w="567" w:type="dxa"/>
          </w:tcPr>
          <w:p w14:paraId="74046BD4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</w:tcPr>
          <w:p w14:paraId="68A98D83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4BA6D133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040F9" w:rsidRPr="005040F9" w14:paraId="7C08EC32" w14:textId="77777777" w:rsidTr="00640BC7">
        <w:trPr>
          <w:trHeight w:val="279"/>
        </w:trPr>
        <w:tc>
          <w:tcPr>
            <w:tcW w:w="9072" w:type="dxa"/>
            <w:gridSpan w:val="6"/>
          </w:tcPr>
          <w:p w14:paraId="7C9E4341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1.tabula </w:t>
            </w:r>
          </w:p>
          <w:p w14:paraId="5E86FF9C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5040F9" w:rsidRPr="005040F9" w14:paraId="1E4573A0" w14:textId="77777777" w:rsidTr="00640BC7">
        <w:trPr>
          <w:trHeight w:val="279"/>
        </w:trPr>
        <w:tc>
          <w:tcPr>
            <w:tcW w:w="1154" w:type="dxa"/>
            <w:gridSpan w:val="2"/>
          </w:tcPr>
          <w:p w14:paraId="7D5A22E9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7918" w:type="dxa"/>
            <w:gridSpan w:val="4"/>
          </w:tcPr>
          <w:p w14:paraId="3E62C818" w14:textId="523A5276" w:rsidR="005040F9" w:rsidRDefault="00886FED" w:rsidP="0050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 Nr. 1407/2013;</w:t>
            </w:r>
          </w:p>
          <w:p w14:paraId="64ECC092" w14:textId="3419861A" w:rsidR="00886FED" w:rsidRDefault="00886FED" w:rsidP="00504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 Nr. 1408/2013;</w:t>
            </w:r>
          </w:p>
          <w:p w14:paraId="6CD40EB7" w14:textId="24B2B832" w:rsidR="00886FED" w:rsidRPr="005040F9" w:rsidRDefault="00886FED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 Nr. </w:t>
            </w:r>
            <w:r w:rsidRPr="003D1C22">
              <w:rPr>
                <w:rFonts w:ascii="Times New Roman" w:hAnsi="Times New Roman"/>
                <w:iCs/>
                <w:sz w:val="24"/>
                <w:szCs w:val="24"/>
              </w:rPr>
              <w:t>794/2004</w:t>
            </w:r>
          </w:p>
        </w:tc>
      </w:tr>
      <w:tr w:rsidR="005040F9" w:rsidRPr="005040F9" w14:paraId="4230F6FF" w14:textId="77777777" w:rsidTr="00640BC7">
        <w:trPr>
          <w:trHeight w:val="279"/>
        </w:trPr>
        <w:tc>
          <w:tcPr>
            <w:tcW w:w="9072" w:type="dxa"/>
            <w:gridSpan w:val="6"/>
          </w:tcPr>
          <w:p w14:paraId="69717F63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0F9" w:rsidRPr="005040F9" w14:paraId="2E52A187" w14:textId="77777777" w:rsidTr="00640BC7">
        <w:trPr>
          <w:trHeight w:val="279"/>
        </w:trPr>
        <w:tc>
          <w:tcPr>
            <w:tcW w:w="2125" w:type="dxa"/>
            <w:gridSpan w:val="3"/>
          </w:tcPr>
          <w:p w14:paraId="6B805C0B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8" w:type="dxa"/>
          </w:tcPr>
          <w:p w14:paraId="3657EFCF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9" w:type="dxa"/>
          </w:tcPr>
          <w:p w14:paraId="66979B8F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0" w:type="dxa"/>
          </w:tcPr>
          <w:p w14:paraId="6137A21A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040F9" w:rsidRPr="005040F9" w14:paraId="146C4760" w14:textId="77777777" w:rsidTr="00640BC7">
        <w:trPr>
          <w:trHeight w:val="279"/>
        </w:trPr>
        <w:tc>
          <w:tcPr>
            <w:tcW w:w="2125" w:type="dxa"/>
            <w:gridSpan w:val="3"/>
          </w:tcPr>
          <w:p w14:paraId="330B88F7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Attiecīgā ES tiesību akta panta numurs (uzskaitot katru tiesību akta </w:t>
            </w: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vienību – pantu, daļu, punktu, apakšpunktu)</w:t>
            </w:r>
          </w:p>
        </w:tc>
        <w:tc>
          <w:tcPr>
            <w:tcW w:w="2128" w:type="dxa"/>
          </w:tcPr>
          <w:p w14:paraId="5C924C29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129" w:type="dxa"/>
          </w:tcPr>
          <w:p w14:paraId="7380B854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 ailē minētās ES tiesību akta vienības tiek pārņemtas vai ieviestas pilnībā vai daļēji.</w:t>
            </w:r>
          </w:p>
          <w:p w14:paraId="2C2C5CE3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3CF4395F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690" w:type="dxa"/>
          </w:tcPr>
          <w:p w14:paraId="0049C13D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2886FED4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5040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, – norāda pamatojumu un samērīgumu.</w:t>
            </w:r>
          </w:p>
          <w:p w14:paraId="5DEAD14C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D3089" w:rsidRPr="005040F9" w14:paraId="30762CE1" w14:textId="77777777" w:rsidTr="00640BC7">
        <w:trPr>
          <w:trHeight w:val="772"/>
        </w:trPr>
        <w:tc>
          <w:tcPr>
            <w:tcW w:w="2125" w:type="dxa"/>
            <w:gridSpan w:val="3"/>
          </w:tcPr>
          <w:p w14:paraId="18FADD88" w14:textId="38DC8AE4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D3089" w:rsidRPr="00254871">
              <w:rPr>
                <w:rFonts w:ascii="Times New Roman" w:hAnsi="Times New Roman"/>
                <w:sz w:val="24"/>
                <w:szCs w:val="24"/>
              </w:rPr>
              <w:t>egula Nr. 1408/2013</w:t>
            </w:r>
          </w:p>
        </w:tc>
        <w:tc>
          <w:tcPr>
            <w:tcW w:w="2128" w:type="dxa"/>
          </w:tcPr>
          <w:p w14:paraId="6B1171F6" w14:textId="3B0617B7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/>
                <w:sz w:val="24"/>
                <w:szCs w:val="24"/>
              </w:rPr>
              <w:t>Noteikumu projekta 1</w:t>
            </w:r>
            <w:r w:rsidR="00D659C0">
              <w:rPr>
                <w:rFonts w:ascii="Times New Roman" w:hAnsi="Times New Roman"/>
                <w:sz w:val="24"/>
                <w:szCs w:val="24"/>
              </w:rPr>
              <w:t>2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2129" w:type="dxa"/>
          </w:tcPr>
          <w:p w14:paraId="174DD61E" w14:textId="46BCBFBC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D3089" w:rsidRPr="00254871">
              <w:rPr>
                <w:rFonts w:ascii="Times New Roman" w:hAnsi="Times New Roman"/>
                <w:sz w:val="24"/>
                <w:szCs w:val="24"/>
              </w:rPr>
              <w:t>egulas Nr. 1408/2013 prasības tiek ieviestas pilnībā.</w:t>
            </w:r>
          </w:p>
        </w:tc>
        <w:tc>
          <w:tcPr>
            <w:tcW w:w="2690" w:type="dxa"/>
          </w:tcPr>
          <w:p w14:paraId="6C0C5718" w14:textId="2FD2CC40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2D3089" w:rsidRPr="005040F9" w14:paraId="3B4384D0" w14:textId="77777777" w:rsidTr="00640BC7">
        <w:trPr>
          <w:trHeight w:val="772"/>
        </w:trPr>
        <w:tc>
          <w:tcPr>
            <w:tcW w:w="2125" w:type="dxa"/>
            <w:gridSpan w:val="3"/>
          </w:tcPr>
          <w:p w14:paraId="396C8195" w14:textId="11F7971C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="002D3089" w:rsidRPr="00254871">
              <w:rPr>
                <w:rFonts w:ascii="Times New Roman" w:hAnsi="Times New Roman"/>
                <w:sz w:val="24"/>
                <w:szCs w:val="24"/>
              </w:rPr>
              <w:t>egula Nr. 1407/2013</w:t>
            </w:r>
          </w:p>
        </w:tc>
        <w:tc>
          <w:tcPr>
            <w:tcW w:w="2128" w:type="dxa"/>
          </w:tcPr>
          <w:p w14:paraId="12B40607" w14:textId="51D9D499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/>
                <w:sz w:val="24"/>
                <w:szCs w:val="24"/>
              </w:rPr>
              <w:t>Noteikumu projekta 1</w:t>
            </w:r>
            <w:r w:rsidR="00D659C0">
              <w:rPr>
                <w:rFonts w:ascii="Times New Roman" w:hAnsi="Times New Roman"/>
                <w:sz w:val="24"/>
                <w:szCs w:val="24"/>
              </w:rPr>
              <w:t>2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2129" w:type="dxa"/>
          </w:tcPr>
          <w:p w14:paraId="1F57E64E" w14:textId="7A1CADB2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D3089" w:rsidRPr="00254871">
              <w:rPr>
                <w:rFonts w:ascii="Times New Roman" w:hAnsi="Times New Roman"/>
                <w:sz w:val="24"/>
                <w:szCs w:val="24"/>
              </w:rPr>
              <w:t>egulas Nr. 1407/2013 prasības tiek ieviestas pilnībā.</w:t>
            </w:r>
          </w:p>
        </w:tc>
        <w:tc>
          <w:tcPr>
            <w:tcW w:w="2690" w:type="dxa"/>
          </w:tcPr>
          <w:p w14:paraId="2CFE8510" w14:textId="7FB97FE4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2D3089" w:rsidRPr="005040F9" w14:paraId="4EF1DA41" w14:textId="77777777" w:rsidTr="00640BC7">
        <w:trPr>
          <w:trHeight w:val="772"/>
        </w:trPr>
        <w:tc>
          <w:tcPr>
            <w:tcW w:w="2125" w:type="dxa"/>
            <w:gridSpan w:val="3"/>
          </w:tcPr>
          <w:p w14:paraId="284AFCC6" w14:textId="31B46A1A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D3089" w:rsidRPr="00D95C77">
              <w:rPr>
                <w:rFonts w:ascii="Times New Roman" w:hAnsi="Times New Roman"/>
                <w:sz w:val="24"/>
                <w:szCs w:val="24"/>
              </w:rPr>
              <w:t>egula</w:t>
            </w:r>
            <w:r w:rsidR="002D3089">
              <w:rPr>
                <w:rFonts w:ascii="Times New Roman" w:hAnsi="Times New Roman"/>
                <w:sz w:val="24"/>
                <w:szCs w:val="24"/>
              </w:rPr>
              <w:t>s</w:t>
            </w:r>
            <w:r w:rsidR="002D3089" w:rsidRPr="00D95C77">
              <w:rPr>
                <w:rFonts w:ascii="Times New Roman" w:hAnsi="Times New Roman"/>
                <w:sz w:val="24"/>
                <w:szCs w:val="24"/>
              </w:rPr>
              <w:t xml:space="preserve"> Nr. 794/2004</w:t>
            </w:r>
            <w:r w:rsidR="002D3089">
              <w:rPr>
                <w:rFonts w:ascii="Times New Roman" w:hAnsi="Times New Roman"/>
                <w:sz w:val="24"/>
                <w:szCs w:val="24"/>
              </w:rPr>
              <w:t xml:space="preserve"> 10. un 11. pants</w:t>
            </w:r>
          </w:p>
        </w:tc>
        <w:tc>
          <w:tcPr>
            <w:tcW w:w="2128" w:type="dxa"/>
          </w:tcPr>
          <w:p w14:paraId="5FD01045" w14:textId="6675BC11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77">
              <w:rPr>
                <w:rFonts w:ascii="Times New Roman" w:hAnsi="Times New Roman"/>
                <w:sz w:val="24"/>
                <w:szCs w:val="24"/>
              </w:rPr>
              <w:t>Noteikumu projekta 1</w:t>
            </w:r>
            <w:r w:rsidR="004A3AEE">
              <w:rPr>
                <w:rFonts w:ascii="Times New Roman" w:hAnsi="Times New Roman"/>
                <w:sz w:val="24"/>
                <w:szCs w:val="24"/>
              </w:rPr>
              <w:t>2</w:t>
            </w:r>
            <w:r w:rsidRPr="00D95C77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2129" w:type="dxa"/>
          </w:tcPr>
          <w:p w14:paraId="4C0D06D3" w14:textId="769DFF34" w:rsidR="002D3089" w:rsidRPr="005040F9" w:rsidRDefault="004A3AEE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D3089" w:rsidRPr="00D95C77">
              <w:rPr>
                <w:rFonts w:ascii="Times New Roman" w:hAnsi="Times New Roman"/>
                <w:sz w:val="24"/>
                <w:szCs w:val="24"/>
              </w:rPr>
              <w:t>egulas Nr. 794/2004 prasības tiek ieviestas pilnībā.</w:t>
            </w:r>
          </w:p>
        </w:tc>
        <w:tc>
          <w:tcPr>
            <w:tcW w:w="2690" w:type="dxa"/>
          </w:tcPr>
          <w:p w14:paraId="1EE84027" w14:textId="646A0ACF" w:rsidR="002D3089" w:rsidRPr="005040F9" w:rsidRDefault="002D3089" w:rsidP="002D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77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5040F9" w:rsidRPr="005040F9" w14:paraId="57A97375" w14:textId="77777777" w:rsidTr="00640BC7">
        <w:trPr>
          <w:trHeight w:val="279"/>
        </w:trPr>
        <w:tc>
          <w:tcPr>
            <w:tcW w:w="2125" w:type="dxa"/>
            <w:gridSpan w:val="3"/>
          </w:tcPr>
          <w:p w14:paraId="24AD7682" w14:textId="77777777" w:rsidR="005040F9" w:rsidRPr="005040F9" w:rsidRDefault="005040F9" w:rsidP="005040F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normas.</w:t>
            </w:r>
          </w:p>
          <w:p w14:paraId="2DA81C4A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6947" w:type="dxa"/>
            <w:gridSpan w:val="3"/>
          </w:tcPr>
          <w:p w14:paraId="25520C2A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040F9" w:rsidRPr="005040F9" w14:paraId="34B24430" w14:textId="77777777" w:rsidTr="00640BC7">
        <w:trPr>
          <w:trHeight w:val="279"/>
        </w:trPr>
        <w:tc>
          <w:tcPr>
            <w:tcW w:w="2125" w:type="dxa"/>
            <w:gridSpan w:val="3"/>
          </w:tcPr>
          <w:p w14:paraId="1ABF454B" w14:textId="77777777" w:rsidR="005040F9" w:rsidRPr="005040F9" w:rsidRDefault="005040F9" w:rsidP="0050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47" w:type="dxa"/>
            <w:gridSpan w:val="3"/>
          </w:tcPr>
          <w:p w14:paraId="36D21667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040F9" w:rsidRPr="005040F9" w14:paraId="71815793" w14:textId="77777777" w:rsidTr="00640BC7">
        <w:trPr>
          <w:trHeight w:val="279"/>
        </w:trPr>
        <w:tc>
          <w:tcPr>
            <w:tcW w:w="2125" w:type="dxa"/>
            <w:gridSpan w:val="3"/>
          </w:tcPr>
          <w:p w14:paraId="35EEA5F4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1F61442E" w14:textId="77777777" w:rsidR="005040F9" w:rsidRPr="005040F9" w:rsidRDefault="005040F9" w:rsidP="0050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A098B75" w14:textId="77777777" w:rsidR="005040F9" w:rsidRPr="005040F9" w:rsidRDefault="005040F9" w:rsidP="0050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040F9" w:rsidRPr="005040F9" w14:paraId="61F317A0" w14:textId="77777777" w:rsidTr="00421B86">
        <w:trPr>
          <w:trHeight w:val="279"/>
        </w:trPr>
        <w:tc>
          <w:tcPr>
            <w:tcW w:w="9540" w:type="dxa"/>
          </w:tcPr>
          <w:p w14:paraId="2B37AE18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2.tabula</w:t>
            </w:r>
          </w:p>
          <w:p w14:paraId="121E971A" w14:textId="77777777" w:rsidR="005040F9" w:rsidRPr="005040F9" w:rsidRDefault="005040F9" w:rsidP="0050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3A9785C1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5040F9" w:rsidRPr="005040F9" w14:paraId="7A296F77" w14:textId="77777777" w:rsidTr="00421B86">
        <w:trPr>
          <w:trHeight w:val="279"/>
        </w:trPr>
        <w:tc>
          <w:tcPr>
            <w:tcW w:w="9540" w:type="dxa"/>
          </w:tcPr>
          <w:p w14:paraId="45DE3F26" w14:textId="77777777" w:rsidR="005040F9" w:rsidRPr="005040F9" w:rsidRDefault="005040F9" w:rsidP="0050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F9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61065FD" w14:textId="259BD268" w:rsidR="0047258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3A576" w14:textId="77777777" w:rsidR="005040F9" w:rsidRDefault="005040F9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5749"/>
      </w:tblGrid>
      <w:tr w:rsidR="000330A2" w:rsidRPr="00DD49B6" w14:paraId="378DA587" w14:textId="77777777" w:rsidTr="000D5268">
        <w:trPr>
          <w:trHeight w:val="421"/>
          <w:jc w:val="center"/>
        </w:trPr>
        <w:tc>
          <w:tcPr>
            <w:tcW w:w="9067" w:type="dxa"/>
            <w:gridSpan w:val="3"/>
            <w:vAlign w:val="center"/>
          </w:tcPr>
          <w:p w14:paraId="3E2549D1" w14:textId="77777777"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0330A2" w:rsidRPr="00DD49B6" w14:paraId="7562495C" w14:textId="77777777" w:rsidTr="000D5268">
        <w:trPr>
          <w:trHeight w:val="553"/>
          <w:jc w:val="center"/>
        </w:trPr>
        <w:tc>
          <w:tcPr>
            <w:tcW w:w="476" w:type="dxa"/>
          </w:tcPr>
          <w:p w14:paraId="5013F446" w14:textId="77777777"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14:paraId="288EFF2B" w14:textId="77777777" w:rsidR="000330A2" w:rsidRPr="00DD49B6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49" w:type="dxa"/>
          </w:tcPr>
          <w:p w14:paraId="10DFD104" w14:textId="169AAD33" w:rsidR="000330A2" w:rsidRPr="00312C08" w:rsidRDefault="00843CF3" w:rsidP="00312C08">
            <w:pPr>
              <w:spacing w:after="0" w:line="240" w:lineRule="auto"/>
              <w:ind w:left="7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61"/>
            <w:bookmarkEnd w:id="3"/>
            <w:r w:rsidRPr="00843CF3">
              <w:rPr>
                <w:rFonts w:ascii="Times New Roman" w:hAnsi="Times New Roman" w:cs="Times New Roman"/>
                <w:sz w:val="24"/>
                <w:szCs w:val="24"/>
              </w:rPr>
              <w:t>Informācija par noteikumu projektu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3CF3">
              <w:rPr>
                <w:rFonts w:ascii="Times New Roman" w:hAnsi="Times New Roman" w:cs="Times New Roman"/>
                <w:sz w:val="24"/>
                <w:szCs w:val="24"/>
              </w:rPr>
              <w:t xml:space="preserve">.2019. ievietota tīmekļvietnē </w:t>
            </w:r>
            <w:r w:rsidR="000D5268" w:rsidRPr="000D5268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r w:rsidR="000D5268">
              <w:rPr>
                <w:rFonts w:ascii="Times New Roman" w:hAnsi="Times New Roman" w:cs="Times New Roman"/>
                <w:sz w:val="24"/>
                <w:szCs w:val="24"/>
              </w:rPr>
              <w:t xml:space="preserve">. Noteikumu projekts </w:t>
            </w:r>
            <w:r w:rsidR="00312C08">
              <w:rPr>
                <w:rFonts w:ascii="Times New Roman" w:hAnsi="Times New Roman" w:cs="Times New Roman"/>
                <w:sz w:val="24"/>
                <w:szCs w:val="24"/>
              </w:rPr>
              <w:t>14.1.2019. no</w:t>
            </w:r>
            <w:r w:rsidR="000D5268">
              <w:rPr>
                <w:rFonts w:ascii="Times New Roman" w:hAnsi="Times New Roman" w:cs="Times New Roman"/>
                <w:sz w:val="24"/>
                <w:szCs w:val="24"/>
              </w:rPr>
              <w:t>sūtīts elektroniskai saskaņošanai ar</w:t>
            </w:r>
            <w:r w:rsidR="00E4544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0D5268">
              <w:rPr>
                <w:rFonts w:ascii="Times New Roman" w:hAnsi="Times New Roman" w:cs="Times New Roman"/>
                <w:sz w:val="24"/>
                <w:szCs w:val="24"/>
              </w:rPr>
              <w:t xml:space="preserve"> biedrīb</w:t>
            </w:r>
            <w:r w:rsidR="00E4544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„Lauksaimnieku organizāciju sadarbības 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padome”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„Zemnieku saeima”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>„Latvijas Lauksaimniecības kooperatīvu asociācija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”,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„Lauksaimniecības statūtsabiedrību asociācija”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„Latvijas Bioloģiskās lauksaimniecības asociācija”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„Latvijas Jauno zemnieku klubs”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>„Latvijas Zemnieku federācija”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„Lauksaimnieku apvienība” </w:t>
            </w:r>
            <w:r w:rsidR="000D5268"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 w:rsidR="000D5268" w:rsidRPr="00B5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C08">
              <w:rPr>
                <w:rFonts w:ascii="Times New Roman" w:eastAsia="Calibri" w:hAnsi="Times New Roman" w:cs="Times New Roman"/>
                <w:sz w:val="24"/>
                <w:szCs w:val="24"/>
              </w:rPr>
              <w:t>“Latvijas lauksaimniecības, mežsaimniecības un zivsaimniecības kamera”.</w:t>
            </w:r>
          </w:p>
        </w:tc>
      </w:tr>
      <w:tr w:rsidR="000330A2" w:rsidRPr="00DD49B6" w14:paraId="3BE43525" w14:textId="77777777" w:rsidTr="000D5268">
        <w:trPr>
          <w:trHeight w:val="339"/>
          <w:jc w:val="center"/>
        </w:trPr>
        <w:tc>
          <w:tcPr>
            <w:tcW w:w="476" w:type="dxa"/>
          </w:tcPr>
          <w:p w14:paraId="56A5567E" w14:textId="77777777"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</w:tcPr>
          <w:p w14:paraId="1FF3F438" w14:textId="77777777"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49" w:type="dxa"/>
            <w:shd w:val="clear" w:color="auto" w:fill="auto"/>
          </w:tcPr>
          <w:p w14:paraId="6CECD704" w14:textId="77777777" w:rsidR="000D5268" w:rsidRDefault="000D5268" w:rsidP="00EA3696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Lauksaimnieku organizāciju sadarbības padome elektroniski informēja, ka saskaņo noteikumu projektu bez iebildumiem.</w:t>
            </w:r>
          </w:p>
          <w:p w14:paraId="5501AA04" w14:textId="2D6416CA" w:rsidR="000330A2" w:rsidRPr="00683687" w:rsidRDefault="000D5268" w:rsidP="00EA3696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Biškopības biedrība vēstulē izteica priekšlikumu novirzīt neizmantotos valsts atbalsta līdzekļus biškopības nozares atbalstam.</w:t>
            </w:r>
          </w:p>
        </w:tc>
      </w:tr>
      <w:tr w:rsidR="000330A2" w:rsidRPr="00DD49B6" w14:paraId="20B34F31" w14:textId="77777777" w:rsidTr="000D5268">
        <w:trPr>
          <w:trHeight w:val="476"/>
          <w:jc w:val="center"/>
        </w:trPr>
        <w:tc>
          <w:tcPr>
            <w:tcW w:w="476" w:type="dxa"/>
          </w:tcPr>
          <w:p w14:paraId="3CD7902D" w14:textId="77777777"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14:paraId="34C2EFFB" w14:textId="77777777"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49" w:type="dxa"/>
            <w:shd w:val="clear" w:color="auto" w:fill="auto"/>
          </w:tcPr>
          <w:p w14:paraId="357D3DA9" w14:textId="1D52C17A" w:rsidR="007A5BC5" w:rsidRPr="00683687" w:rsidRDefault="000D5268" w:rsidP="00AD7D94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Biškopības biedrības izteiktais priekšlikums ņemts vērā</w:t>
            </w:r>
            <w:r w:rsidR="00D42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atbalsta summa biškopības nozares attīstībai palielināta par 64 939 </w:t>
            </w:r>
            <w:r w:rsidRPr="000D52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A2" w:rsidRPr="00DD49B6" w14:paraId="10E0C526" w14:textId="77777777" w:rsidTr="000D5268">
        <w:trPr>
          <w:trHeight w:val="476"/>
          <w:jc w:val="center"/>
        </w:trPr>
        <w:tc>
          <w:tcPr>
            <w:tcW w:w="476" w:type="dxa"/>
          </w:tcPr>
          <w:p w14:paraId="19F1D9A1" w14:textId="77777777" w:rsidR="000330A2" w:rsidRPr="00DD49B6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14:paraId="6E36AC42" w14:textId="77777777" w:rsidR="000330A2" w:rsidRPr="00DD49B6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49" w:type="dxa"/>
          </w:tcPr>
          <w:p w14:paraId="427B57B6" w14:textId="77777777" w:rsidR="000330A2" w:rsidRPr="00DD49B6" w:rsidRDefault="000D5268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F80917" w14:textId="77777777"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795E" w14:textId="77777777" w:rsidR="00472586" w:rsidRPr="00DD49B6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015"/>
      </w:tblGrid>
      <w:tr w:rsidR="000330A2" w:rsidRPr="00DD49B6" w14:paraId="2997EDE7" w14:textId="77777777" w:rsidTr="00472586">
        <w:trPr>
          <w:trHeight w:val="381"/>
          <w:jc w:val="center"/>
        </w:trPr>
        <w:tc>
          <w:tcPr>
            <w:tcW w:w="9067" w:type="dxa"/>
            <w:gridSpan w:val="3"/>
            <w:vAlign w:val="center"/>
          </w:tcPr>
          <w:p w14:paraId="1119E5F7" w14:textId="77777777"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DD49B6" w14:paraId="44A62503" w14:textId="77777777" w:rsidTr="00472586">
        <w:trPr>
          <w:trHeight w:val="427"/>
          <w:jc w:val="center"/>
        </w:trPr>
        <w:tc>
          <w:tcPr>
            <w:tcW w:w="437" w:type="dxa"/>
          </w:tcPr>
          <w:p w14:paraId="448E8119" w14:textId="77777777"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14:paraId="29FB6F2E" w14:textId="77777777"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015" w:type="dxa"/>
          </w:tcPr>
          <w:p w14:paraId="2DE4FC0C" w14:textId="77777777" w:rsidR="00897834" w:rsidRPr="00E24A36" w:rsidRDefault="00897834" w:rsidP="00BB41D0">
            <w:pPr>
              <w:pStyle w:val="naisnod"/>
              <w:spacing w:before="0" w:after="0"/>
              <w:ind w:left="57" w:right="57" w:hanging="57"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DD49B6" w14:paraId="4371E2B0" w14:textId="77777777" w:rsidTr="00472586">
        <w:trPr>
          <w:trHeight w:val="463"/>
          <w:jc w:val="center"/>
        </w:trPr>
        <w:tc>
          <w:tcPr>
            <w:tcW w:w="437" w:type="dxa"/>
          </w:tcPr>
          <w:p w14:paraId="34E6B6F6" w14:textId="77777777" w:rsidR="00897834" w:rsidRPr="00DD49B6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14:paraId="1205D12A" w14:textId="77777777"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14:paraId="0435EAEA" w14:textId="77777777" w:rsidR="00897834" w:rsidRPr="00DD49B6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015" w:type="dxa"/>
          </w:tcPr>
          <w:p w14:paraId="2381BE65" w14:textId="77777777" w:rsidR="00897834" w:rsidRPr="00E24A36" w:rsidRDefault="00897834" w:rsidP="00BB41D0">
            <w:pPr>
              <w:pStyle w:val="naisnod"/>
              <w:spacing w:before="0" w:after="0"/>
              <w:ind w:left="57" w:right="57" w:hanging="57"/>
              <w:jc w:val="both"/>
            </w:pPr>
            <w:r w:rsidRPr="00E24A36">
              <w:t xml:space="preserve">Projekts </w:t>
            </w:r>
            <w:r w:rsidR="008544EA" w:rsidRPr="008544EA">
              <w:t xml:space="preserve">neietekmē pārvaldes funkcijas un uzdevumus, </w:t>
            </w:r>
            <w:r w:rsidR="006C485A">
              <w:t>ne</w:t>
            </w:r>
            <w:r w:rsidR="008544EA" w:rsidRPr="008544EA">
              <w:t xml:space="preserve"> arī institucionālo struktūru</w:t>
            </w:r>
            <w:r w:rsidR="008544EA">
              <w:t>.</w:t>
            </w:r>
          </w:p>
        </w:tc>
      </w:tr>
      <w:tr w:rsidR="000330A2" w:rsidRPr="00DD49B6" w14:paraId="6367A2E8" w14:textId="77777777" w:rsidTr="0047258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40C" w14:textId="77777777" w:rsidR="000330A2" w:rsidRPr="00DD49B6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61F" w14:textId="77777777" w:rsidR="000330A2" w:rsidRPr="00DD49B6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215" w14:textId="77777777" w:rsidR="000330A2" w:rsidRPr="00DD49B6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E191F9" w14:textId="77777777" w:rsidR="00C56B69" w:rsidRDefault="00C56B69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7DA9C250" w14:textId="77777777" w:rsidR="00C744C6" w:rsidRDefault="00C744C6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7490747D" w14:textId="77777777" w:rsidR="00D60CAE" w:rsidRDefault="00D60CAE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64D1E24F" w14:textId="13E31180" w:rsidR="00360EDE" w:rsidRPr="00377716" w:rsidRDefault="00377716" w:rsidP="00C56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Zemkopības ministrs</w:t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377716">
        <w:rPr>
          <w:rFonts w:ascii="Times New Roman" w:eastAsia="Times New Roman" w:hAnsi="Times New Roman" w:cs="Times New Roman"/>
          <w:sz w:val="28"/>
          <w:szCs w:val="28"/>
        </w:rPr>
        <w:tab/>
      </w:r>
      <w:r w:rsidR="002828B4">
        <w:rPr>
          <w:rFonts w:ascii="Times New Roman" w:eastAsia="Times New Roman" w:hAnsi="Times New Roman" w:cs="Times New Roman"/>
          <w:sz w:val="28"/>
          <w:szCs w:val="28"/>
        </w:rPr>
        <w:tab/>
      </w:r>
      <w:r w:rsidR="00E738DE">
        <w:rPr>
          <w:rFonts w:ascii="Times New Roman" w:eastAsia="Times New Roman" w:hAnsi="Times New Roman" w:cs="Times New Roman"/>
          <w:sz w:val="28"/>
          <w:szCs w:val="28"/>
        </w:rPr>
        <w:t>K</w:t>
      </w:r>
      <w:r w:rsidR="00282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8DE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62E3D720" w14:textId="77777777"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0CC14" w14:textId="77777777" w:rsidR="007F2196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1F2DB" w14:textId="77777777"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EA25C" w14:textId="77777777"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7855A" w14:textId="77777777"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3B70B" w14:textId="77777777"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209AB" w14:textId="77777777"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7D457" w14:textId="77777777" w:rsidR="00D60CAE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9D983" w14:textId="77777777" w:rsidR="00591097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EA2A24" w14:textId="77777777"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F7FB7" w14:textId="77777777" w:rsidR="00472586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414B0" w14:textId="77777777" w:rsidR="00377716" w:rsidRPr="00377716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Ozoliņa</w:t>
      </w:r>
      <w:r w:rsidR="00377716" w:rsidRPr="00377716">
        <w:rPr>
          <w:rFonts w:ascii="Times New Roman" w:hAnsi="Times New Roman" w:cs="Times New Roman"/>
          <w:sz w:val="24"/>
          <w:szCs w:val="24"/>
        </w:rPr>
        <w:t xml:space="preserve"> 67027</w:t>
      </w:r>
      <w:r>
        <w:rPr>
          <w:rFonts w:ascii="Times New Roman" w:hAnsi="Times New Roman" w:cs="Times New Roman"/>
          <w:sz w:val="24"/>
          <w:szCs w:val="24"/>
        </w:rPr>
        <w:t>301</w:t>
      </w:r>
    </w:p>
    <w:p w14:paraId="1C8A796F" w14:textId="77777777" w:rsidR="000330A2" w:rsidRPr="00377716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Ligija.Ozolina</w:t>
      </w:r>
      <w:r w:rsidR="00760B61" w:rsidRPr="00377716">
        <w:rPr>
          <w:rFonts w:ascii="Times New Roman" w:hAnsi="Times New Roman" w:cs="Times New Roman"/>
          <w:sz w:val="24"/>
          <w:szCs w:val="24"/>
        </w:rPr>
        <w:t>@zm.gov.lv</w:t>
      </w:r>
    </w:p>
    <w:sectPr w:rsidR="000330A2" w:rsidRPr="00377716" w:rsidSect="002828B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CCF6" w14:textId="77777777" w:rsidR="001F6F8A" w:rsidRDefault="001F6F8A" w:rsidP="00B43E45">
      <w:pPr>
        <w:spacing w:after="0" w:line="240" w:lineRule="auto"/>
      </w:pPr>
      <w:r>
        <w:separator/>
      </w:r>
    </w:p>
  </w:endnote>
  <w:endnote w:type="continuationSeparator" w:id="0">
    <w:p w14:paraId="2EBC5C7A" w14:textId="77777777" w:rsidR="001F6F8A" w:rsidRDefault="001F6F8A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B64E" w14:textId="037F7BE0" w:rsidR="00AD293B" w:rsidRPr="002828B4" w:rsidRDefault="002828B4" w:rsidP="002828B4">
    <w:pPr>
      <w:pStyle w:val="Kjene"/>
    </w:pPr>
    <w:r w:rsidRPr="002828B4">
      <w:rPr>
        <w:rFonts w:ascii="Times New Roman" w:hAnsi="Times New Roman" w:cs="Times New Roman"/>
        <w:sz w:val="20"/>
        <w:szCs w:val="20"/>
      </w:rPr>
      <w:t>ZManot_191119_valstsatba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3E9" w14:textId="0EBAB812" w:rsidR="00AD293B" w:rsidRPr="002828B4" w:rsidRDefault="002828B4" w:rsidP="002828B4">
    <w:pPr>
      <w:pStyle w:val="Kjene"/>
    </w:pPr>
    <w:r w:rsidRPr="002828B4">
      <w:rPr>
        <w:rFonts w:ascii="Times New Roman" w:hAnsi="Times New Roman" w:cs="Times New Roman"/>
        <w:sz w:val="20"/>
        <w:szCs w:val="20"/>
      </w:rPr>
      <w:t>ZManot_191119_valstsatba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BD27" w14:textId="77777777" w:rsidR="001F6F8A" w:rsidRDefault="001F6F8A" w:rsidP="00B43E45">
      <w:pPr>
        <w:spacing w:after="0" w:line="240" w:lineRule="auto"/>
      </w:pPr>
      <w:r>
        <w:separator/>
      </w:r>
    </w:p>
  </w:footnote>
  <w:footnote w:type="continuationSeparator" w:id="0">
    <w:p w14:paraId="3049B105" w14:textId="77777777" w:rsidR="001F6F8A" w:rsidRDefault="001F6F8A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14:paraId="56DFFCBA" w14:textId="77777777" w:rsidR="00AD293B" w:rsidRPr="00760B61" w:rsidRDefault="00AD293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9877C0">
          <w:rPr>
            <w:rFonts w:ascii="Times New Roman" w:hAnsi="Times New Roman" w:cs="Times New Roman"/>
            <w:noProof/>
            <w:sz w:val="24"/>
          </w:rPr>
          <w:t>3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EF43C2" w14:textId="77777777" w:rsidR="00AD293B" w:rsidRPr="00760B61" w:rsidRDefault="00AD293B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17"/>
    <w:rsid w:val="00002603"/>
    <w:rsid w:val="00016DCA"/>
    <w:rsid w:val="0002122B"/>
    <w:rsid w:val="000304CB"/>
    <w:rsid w:val="000330A2"/>
    <w:rsid w:val="000368BB"/>
    <w:rsid w:val="00041BE0"/>
    <w:rsid w:val="00047B6E"/>
    <w:rsid w:val="00051F44"/>
    <w:rsid w:val="00053934"/>
    <w:rsid w:val="0005547A"/>
    <w:rsid w:val="00066361"/>
    <w:rsid w:val="0007195C"/>
    <w:rsid w:val="00077EB0"/>
    <w:rsid w:val="00081898"/>
    <w:rsid w:val="000862B0"/>
    <w:rsid w:val="00097A6C"/>
    <w:rsid w:val="000C7505"/>
    <w:rsid w:val="000D4676"/>
    <w:rsid w:val="000D5268"/>
    <w:rsid w:val="000D6F4B"/>
    <w:rsid w:val="000E1DDA"/>
    <w:rsid w:val="000E2095"/>
    <w:rsid w:val="000F173E"/>
    <w:rsid w:val="00100DBE"/>
    <w:rsid w:val="001022EF"/>
    <w:rsid w:val="0010345A"/>
    <w:rsid w:val="0010407A"/>
    <w:rsid w:val="0010792A"/>
    <w:rsid w:val="0011459C"/>
    <w:rsid w:val="00114A10"/>
    <w:rsid w:val="001174FE"/>
    <w:rsid w:val="00123517"/>
    <w:rsid w:val="001266D5"/>
    <w:rsid w:val="00130FCE"/>
    <w:rsid w:val="00131F83"/>
    <w:rsid w:val="00140A54"/>
    <w:rsid w:val="001469F7"/>
    <w:rsid w:val="001546D7"/>
    <w:rsid w:val="00156501"/>
    <w:rsid w:val="00156EE9"/>
    <w:rsid w:val="00157E47"/>
    <w:rsid w:val="0016492B"/>
    <w:rsid w:val="00166EFF"/>
    <w:rsid w:val="001671C6"/>
    <w:rsid w:val="00176AB8"/>
    <w:rsid w:val="001779A2"/>
    <w:rsid w:val="001866AA"/>
    <w:rsid w:val="001A134F"/>
    <w:rsid w:val="001B1B67"/>
    <w:rsid w:val="001B7BBB"/>
    <w:rsid w:val="001B7E30"/>
    <w:rsid w:val="001B7FD9"/>
    <w:rsid w:val="001C17CB"/>
    <w:rsid w:val="001C27D3"/>
    <w:rsid w:val="001C749C"/>
    <w:rsid w:val="001D2AEF"/>
    <w:rsid w:val="001D456D"/>
    <w:rsid w:val="001D7E88"/>
    <w:rsid w:val="001F0487"/>
    <w:rsid w:val="001F0D3D"/>
    <w:rsid w:val="001F15ED"/>
    <w:rsid w:val="001F6F8A"/>
    <w:rsid w:val="00204853"/>
    <w:rsid w:val="0021290C"/>
    <w:rsid w:val="00225DCD"/>
    <w:rsid w:val="00233632"/>
    <w:rsid w:val="00242BED"/>
    <w:rsid w:val="00261B1D"/>
    <w:rsid w:val="0027190F"/>
    <w:rsid w:val="00272762"/>
    <w:rsid w:val="00276757"/>
    <w:rsid w:val="002828B4"/>
    <w:rsid w:val="00293920"/>
    <w:rsid w:val="002B08C5"/>
    <w:rsid w:val="002B1267"/>
    <w:rsid w:val="002D3089"/>
    <w:rsid w:val="002E109D"/>
    <w:rsid w:val="002E5F72"/>
    <w:rsid w:val="002F2347"/>
    <w:rsid w:val="002F2BF5"/>
    <w:rsid w:val="002F3A45"/>
    <w:rsid w:val="002F4530"/>
    <w:rsid w:val="002F6AAA"/>
    <w:rsid w:val="003021EA"/>
    <w:rsid w:val="00307596"/>
    <w:rsid w:val="0030796C"/>
    <w:rsid w:val="00311B8D"/>
    <w:rsid w:val="00312C08"/>
    <w:rsid w:val="00312DC4"/>
    <w:rsid w:val="00316A48"/>
    <w:rsid w:val="003201E3"/>
    <w:rsid w:val="0032029F"/>
    <w:rsid w:val="00323AC7"/>
    <w:rsid w:val="00327E35"/>
    <w:rsid w:val="00335CC6"/>
    <w:rsid w:val="00343905"/>
    <w:rsid w:val="003476C3"/>
    <w:rsid w:val="003517C3"/>
    <w:rsid w:val="00351DA0"/>
    <w:rsid w:val="003547ED"/>
    <w:rsid w:val="00360EDE"/>
    <w:rsid w:val="00362D35"/>
    <w:rsid w:val="003665A2"/>
    <w:rsid w:val="00367875"/>
    <w:rsid w:val="00374E0B"/>
    <w:rsid w:val="00375524"/>
    <w:rsid w:val="00377716"/>
    <w:rsid w:val="00377CDE"/>
    <w:rsid w:val="00382933"/>
    <w:rsid w:val="00385344"/>
    <w:rsid w:val="003857DB"/>
    <w:rsid w:val="003A0D10"/>
    <w:rsid w:val="003A3420"/>
    <w:rsid w:val="003B4EB6"/>
    <w:rsid w:val="003C07D1"/>
    <w:rsid w:val="003C3744"/>
    <w:rsid w:val="003C44C7"/>
    <w:rsid w:val="003C7CB9"/>
    <w:rsid w:val="003D01F4"/>
    <w:rsid w:val="003D42CB"/>
    <w:rsid w:val="003E064E"/>
    <w:rsid w:val="00402FEA"/>
    <w:rsid w:val="004122BC"/>
    <w:rsid w:val="00422589"/>
    <w:rsid w:val="004250D0"/>
    <w:rsid w:val="00431E7C"/>
    <w:rsid w:val="00445F16"/>
    <w:rsid w:val="004465D8"/>
    <w:rsid w:val="0045155A"/>
    <w:rsid w:val="00455344"/>
    <w:rsid w:val="00456875"/>
    <w:rsid w:val="00457C02"/>
    <w:rsid w:val="0046075E"/>
    <w:rsid w:val="00463697"/>
    <w:rsid w:val="0046442D"/>
    <w:rsid w:val="00466533"/>
    <w:rsid w:val="00472586"/>
    <w:rsid w:val="004A3780"/>
    <w:rsid w:val="004A3AEE"/>
    <w:rsid w:val="004B5266"/>
    <w:rsid w:val="004C70B3"/>
    <w:rsid w:val="004D0AA9"/>
    <w:rsid w:val="004E0136"/>
    <w:rsid w:val="004E1493"/>
    <w:rsid w:val="004E39AE"/>
    <w:rsid w:val="004F7A5C"/>
    <w:rsid w:val="005040F9"/>
    <w:rsid w:val="00504190"/>
    <w:rsid w:val="00506514"/>
    <w:rsid w:val="005065C4"/>
    <w:rsid w:val="00507388"/>
    <w:rsid w:val="005077D8"/>
    <w:rsid w:val="0051009C"/>
    <w:rsid w:val="0051477B"/>
    <w:rsid w:val="00515C1B"/>
    <w:rsid w:val="005206FF"/>
    <w:rsid w:val="00521CC2"/>
    <w:rsid w:val="00522DA8"/>
    <w:rsid w:val="00523895"/>
    <w:rsid w:val="00530BD6"/>
    <w:rsid w:val="00531E80"/>
    <w:rsid w:val="00532397"/>
    <w:rsid w:val="00546130"/>
    <w:rsid w:val="005467B6"/>
    <w:rsid w:val="00552011"/>
    <w:rsid w:val="00564F5A"/>
    <w:rsid w:val="0056577B"/>
    <w:rsid w:val="00572E20"/>
    <w:rsid w:val="005739D0"/>
    <w:rsid w:val="00583D4F"/>
    <w:rsid w:val="0058492E"/>
    <w:rsid w:val="00591097"/>
    <w:rsid w:val="00596D2C"/>
    <w:rsid w:val="00596F50"/>
    <w:rsid w:val="00597E97"/>
    <w:rsid w:val="005A0451"/>
    <w:rsid w:val="005A2113"/>
    <w:rsid w:val="005C1705"/>
    <w:rsid w:val="005C496A"/>
    <w:rsid w:val="005D04F9"/>
    <w:rsid w:val="005E0045"/>
    <w:rsid w:val="005E56C9"/>
    <w:rsid w:val="00601A77"/>
    <w:rsid w:val="00607C5B"/>
    <w:rsid w:val="00623DC5"/>
    <w:rsid w:val="00624918"/>
    <w:rsid w:val="00624D41"/>
    <w:rsid w:val="00633B2D"/>
    <w:rsid w:val="00640BC7"/>
    <w:rsid w:val="0064117C"/>
    <w:rsid w:val="00642BD2"/>
    <w:rsid w:val="00642E31"/>
    <w:rsid w:val="0064407D"/>
    <w:rsid w:val="00645703"/>
    <w:rsid w:val="00654BD5"/>
    <w:rsid w:val="00655B18"/>
    <w:rsid w:val="0065721F"/>
    <w:rsid w:val="00661528"/>
    <w:rsid w:val="00665C0B"/>
    <w:rsid w:val="0067349C"/>
    <w:rsid w:val="0068244A"/>
    <w:rsid w:val="0068294F"/>
    <w:rsid w:val="00683687"/>
    <w:rsid w:val="00684952"/>
    <w:rsid w:val="0068772C"/>
    <w:rsid w:val="0069590E"/>
    <w:rsid w:val="006A1247"/>
    <w:rsid w:val="006A4D02"/>
    <w:rsid w:val="006A5178"/>
    <w:rsid w:val="006C2BC1"/>
    <w:rsid w:val="006C485A"/>
    <w:rsid w:val="006D1591"/>
    <w:rsid w:val="006D41F8"/>
    <w:rsid w:val="006D439E"/>
    <w:rsid w:val="006D6341"/>
    <w:rsid w:val="006D6DBC"/>
    <w:rsid w:val="006F1016"/>
    <w:rsid w:val="006F134D"/>
    <w:rsid w:val="006F14EA"/>
    <w:rsid w:val="006F5397"/>
    <w:rsid w:val="006F69C8"/>
    <w:rsid w:val="00703F24"/>
    <w:rsid w:val="00712682"/>
    <w:rsid w:val="00723E24"/>
    <w:rsid w:val="00726B5C"/>
    <w:rsid w:val="00727CCF"/>
    <w:rsid w:val="0073509D"/>
    <w:rsid w:val="00751CC0"/>
    <w:rsid w:val="00753F17"/>
    <w:rsid w:val="00760B61"/>
    <w:rsid w:val="0076284F"/>
    <w:rsid w:val="00766305"/>
    <w:rsid w:val="0077301B"/>
    <w:rsid w:val="007766D1"/>
    <w:rsid w:val="0077671A"/>
    <w:rsid w:val="007816A7"/>
    <w:rsid w:val="007826A8"/>
    <w:rsid w:val="007845F1"/>
    <w:rsid w:val="007A2564"/>
    <w:rsid w:val="007A5BC5"/>
    <w:rsid w:val="007A6B0A"/>
    <w:rsid w:val="007B1F91"/>
    <w:rsid w:val="007C2124"/>
    <w:rsid w:val="007C49C9"/>
    <w:rsid w:val="007C50E2"/>
    <w:rsid w:val="007C55A0"/>
    <w:rsid w:val="007D0225"/>
    <w:rsid w:val="007E2251"/>
    <w:rsid w:val="007E282D"/>
    <w:rsid w:val="007F0225"/>
    <w:rsid w:val="007F2196"/>
    <w:rsid w:val="007F71B9"/>
    <w:rsid w:val="007F7908"/>
    <w:rsid w:val="00800322"/>
    <w:rsid w:val="00802476"/>
    <w:rsid w:val="0082562F"/>
    <w:rsid w:val="008344F1"/>
    <w:rsid w:val="00843751"/>
    <w:rsid w:val="00843CF3"/>
    <w:rsid w:val="0085229A"/>
    <w:rsid w:val="00852FAD"/>
    <w:rsid w:val="008544EA"/>
    <w:rsid w:val="008553BF"/>
    <w:rsid w:val="008634F2"/>
    <w:rsid w:val="00874BDB"/>
    <w:rsid w:val="0088353A"/>
    <w:rsid w:val="00883BBD"/>
    <w:rsid w:val="00883CE9"/>
    <w:rsid w:val="00886FED"/>
    <w:rsid w:val="00890B7D"/>
    <w:rsid w:val="0089183A"/>
    <w:rsid w:val="00892C45"/>
    <w:rsid w:val="00897834"/>
    <w:rsid w:val="008A046E"/>
    <w:rsid w:val="008A0A22"/>
    <w:rsid w:val="008A2B99"/>
    <w:rsid w:val="008B3589"/>
    <w:rsid w:val="008B4DF4"/>
    <w:rsid w:val="008B784F"/>
    <w:rsid w:val="008D4188"/>
    <w:rsid w:val="008D5756"/>
    <w:rsid w:val="008E5E00"/>
    <w:rsid w:val="008E730A"/>
    <w:rsid w:val="008E7993"/>
    <w:rsid w:val="008F6324"/>
    <w:rsid w:val="00900DA1"/>
    <w:rsid w:val="00906770"/>
    <w:rsid w:val="00907DCD"/>
    <w:rsid w:val="00910456"/>
    <w:rsid w:val="009114A5"/>
    <w:rsid w:val="009154FF"/>
    <w:rsid w:val="00917C72"/>
    <w:rsid w:val="0092023D"/>
    <w:rsid w:val="00926510"/>
    <w:rsid w:val="00930C19"/>
    <w:rsid w:val="009401C7"/>
    <w:rsid w:val="0094128B"/>
    <w:rsid w:val="009422A3"/>
    <w:rsid w:val="009425B9"/>
    <w:rsid w:val="00945E3B"/>
    <w:rsid w:val="00960020"/>
    <w:rsid w:val="009704F7"/>
    <w:rsid w:val="00980384"/>
    <w:rsid w:val="009831EE"/>
    <w:rsid w:val="0098336F"/>
    <w:rsid w:val="009877C0"/>
    <w:rsid w:val="0099288B"/>
    <w:rsid w:val="00996783"/>
    <w:rsid w:val="009975AA"/>
    <w:rsid w:val="009B1422"/>
    <w:rsid w:val="009B7E48"/>
    <w:rsid w:val="009C4405"/>
    <w:rsid w:val="009D36DC"/>
    <w:rsid w:val="009E4773"/>
    <w:rsid w:val="009F3688"/>
    <w:rsid w:val="009F3C65"/>
    <w:rsid w:val="00A104B2"/>
    <w:rsid w:val="00A12344"/>
    <w:rsid w:val="00A20552"/>
    <w:rsid w:val="00A2629E"/>
    <w:rsid w:val="00A321FC"/>
    <w:rsid w:val="00A32C1B"/>
    <w:rsid w:val="00A3463A"/>
    <w:rsid w:val="00A406A0"/>
    <w:rsid w:val="00A44157"/>
    <w:rsid w:val="00A463F5"/>
    <w:rsid w:val="00A467D1"/>
    <w:rsid w:val="00A533E7"/>
    <w:rsid w:val="00A53F68"/>
    <w:rsid w:val="00A57484"/>
    <w:rsid w:val="00A626C6"/>
    <w:rsid w:val="00A72F0F"/>
    <w:rsid w:val="00A7472A"/>
    <w:rsid w:val="00A92E75"/>
    <w:rsid w:val="00A973E7"/>
    <w:rsid w:val="00AA5504"/>
    <w:rsid w:val="00AB620C"/>
    <w:rsid w:val="00AD2186"/>
    <w:rsid w:val="00AD293B"/>
    <w:rsid w:val="00AD5994"/>
    <w:rsid w:val="00AD7D94"/>
    <w:rsid w:val="00AE2A5D"/>
    <w:rsid w:val="00AE4C84"/>
    <w:rsid w:val="00AF1AC7"/>
    <w:rsid w:val="00AF501E"/>
    <w:rsid w:val="00AF509A"/>
    <w:rsid w:val="00B00DAC"/>
    <w:rsid w:val="00B01F70"/>
    <w:rsid w:val="00B12EC7"/>
    <w:rsid w:val="00B20472"/>
    <w:rsid w:val="00B21093"/>
    <w:rsid w:val="00B223E3"/>
    <w:rsid w:val="00B36BEC"/>
    <w:rsid w:val="00B43E45"/>
    <w:rsid w:val="00B469DE"/>
    <w:rsid w:val="00B4783A"/>
    <w:rsid w:val="00B50131"/>
    <w:rsid w:val="00B51075"/>
    <w:rsid w:val="00B515C9"/>
    <w:rsid w:val="00B570D0"/>
    <w:rsid w:val="00B60291"/>
    <w:rsid w:val="00B63703"/>
    <w:rsid w:val="00B675A1"/>
    <w:rsid w:val="00B84678"/>
    <w:rsid w:val="00B8765B"/>
    <w:rsid w:val="00B91A42"/>
    <w:rsid w:val="00B95608"/>
    <w:rsid w:val="00B97A44"/>
    <w:rsid w:val="00BA05CF"/>
    <w:rsid w:val="00BA2802"/>
    <w:rsid w:val="00BA28FF"/>
    <w:rsid w:val="00BB0EA1"/>
    <w:rsid w:val="00BB41D0"/>
    <w:rsid w:val="00BB699C"/>
    <w:rsid w:val="00BC5440"/>
    <w:rsid w:val="00BD242A"/>
    <w:rsid w:val="00BD3C6F"/>
    <w:rsid w:val="00BD41CA"/>
    <w:rsid w:val="00BD7262"/>
    <w:rsid w:val="00BD7A8D"/>
    <w:rsid w:val="00BE66E7"/>
    <w:rsid w:val="00BE76E1"/>
    <w:rsid w:val="00BF0816"/>
    <w:rsid w:val="00BF23E4"/>
    <w:rsid w:val="00BF404A"/>
    <w:rsid w:val="00C0203F"/>
    <w:rsid w:val="00C10E3A"/>
    <w:rsid w:val="00C1549C"/>
    <w:rsid w:val="00C36B23"/>
    <w:rsid w:val="00C54405"/>
    <w:rsid w:val="00C56B69"/>
    <w:rsid w:val="00C65C25"/>
    <w:rsid w:val="00C70E93"/>
    <w:rsid w:val="00C729F9"/>
    <w:rsid w:val="00C744C6"/>
    <w:rsid w:val="00C95C7E"/>
    <w:rsid w:val="00C965C9"/>
    <w:rsid w:val="00CA0A47"/>
    <w:rsid w:val="00CA1638"/>
    <w:rsid w:val="00CA441C"/>
    <w:rsid w:val="00CA4C24"/>
    <w:rsid w:val="00CA79A8"/>
    <w:rsid w:val="00CB33C7"/>
    <w:rsid w:val="00CC0F36"/>
    <w:rsid w:val="00CC1126"/>
    <w:rsid w:val="00CC232A"/>
    <w:rsid w:val="00CC3BD8"/>
    <w:rsid w:val="00CC5644"/>
    <w:rsid w:val="00CC60AB"/>
    <w:rsid w:val="00CC61C0"/>
    <w:rsid w:val="00CD1AF2"/>
    <w:rsid w:val="00CD5E8B"/>
    <w:rsid w:val="00CE27F6"/>
    <w:rsid w:val="00CE64E7"/>
    <w:rsid w:val="00CE6EAF"/>
    <w:rsid w:val="00D1129C"/>
    <w:rsid w:val="00D14D9D"/>
    <w:rsid w:val="00D24EBD"/>
    <w:rsid w:val="00D26751"/>
    <w:rsid w:val="00D42917"/>
    <w:rsid w:val="00D432BF"/>
    <w:rsid w:val="00D52FF0"/>
    <w:rsid w:val="00D60CAE"/>
    <w:rsid w:val="00D659C0"/>
    <w:rsid w:val="00D90DA2"/>
    <w:rsid w:val="00D96C7F"/>
    <w:rsid w:val="00D96F94"/>
    <w:rsid w:val="00DA04A3"/>
    <w:rsid w:val="00DB40DF"/>
    <w:rsid w:val="00DC02EC"/>
    <w:rsid w:val="00DC0942"/>
    <w:rsid w:val="00DC16AB"/>
    <w:rsid w:val="00DC2734"/>
    <w:rsid w:val="00DC7087"/>
    <w:rsid w:val="00DD0931"/>
    <w:rsid w:val="00DD7622"/>
    <w:rsid w:val="00DE4275"/>
    <w:rsid w:val="00DE6537"/>
    <w:rsid w:val="00DE66A3"/>
    <w:rsid w:val="00DF4AC9"/>
    <w:rsid w:val="00E01F43"/>
    <w:rsid w:val="00E0319C"/>
    <w:rsid w:val="00E03BF3"/>
    <w:rsid w:val="00E21169"/>
    <w:rsid w:val="00E244BF"/>
    <w:rsid w:val="00E30E5D"/>
    <w:rsid w:val="00E323E5"/>
    <w:rsid w:val="00E34B81"/>
    <w:rsid w:val="00E35434"/>
    <w:rsid w:val="00E36846"/>
    <w:rsid w:val="00E36CF7"/>
    <w:rsid w:val="00E4544A"/>
    <w:rsid w:val="00E46780"/>
    <w:rsid w:val="00E46804"/>
    <w:rsid w:val="00E5143B"/>
    <w:rsid w:val="00E53A44"/>
    <w:rsid w:val="00E5607A"/>
    <w:rsid w:val="00E6531E"/>
    <w:rsid w:val="00E67931"/>
    <w:rsid w:val="00E738DE"/>
    <w:rsid w:val="00E73C75"/>
    <w:rsid w:val="00E744DB"/>
    <w:rsid w:val="00E85767"/>
    <w:rsid w:val="00EA2C82"/>
    <w:rsid w:val="00EA2DBD"/>
    <w:rsid w:val="00EA3696"/>
    <w:rsid w:val="00EA39DF"/>
    <w:rsid w:val="00EC04DB"/>
    <w:rsid w:val="00EC56F7"/>
    <w:rsid w:val="00ED42AE"/>
    <w:rsid w:val="00EE1762"/>
    <w:rsid w:val="00EE482F"/>
    <w:rsid w:val="00EE65BD"/>
    <w:rsid w:val="00EF11FA"/>
    <w:rsid w:val="00EF2106"/>
    <w:rsid w:val="00F0537F"/>
    <w:rsid w:val="00F07FF6"/>
    <w:rsid w:val="00F103CD"/>
    <w:rsid w:val="00F1743B"/>
    <w:rsid w:val="00F21594"/>
    <w:rsid w:val="00F21E85"/>
    <w:rsid w:val="00F276B1"/>
    <w:rsid w:val="00F45297"/>
    <w:rsid w:val="00F4672A"/>
    <w:rsid w:val="00F50513"/>
    <w:rsid w:val="00F57401"/>
    <w:rsid w:val="00F75F4A"/>
    <w:rsid w:val="00F81B1D"/>
    <w:rsid w:val="00F8293B"/>
    <w:rsid w:val="00F91423"/>
    <w:rsid w:val="00F92F96"/>
    <w:rsid w:val="00FB3181"/>
    <w:rsid w:val="00FB389B"/>
    <w:rsid w:val="00FC1BA6"/>
    <w:rsid w:val="00FE72ED"/>
    <w:rsid w:val="00FF3A2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F7B8B9E"/>
  <w15:docId w15:val="{BEEF66F3-E5BB-4A55-AC5C-AB00994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00DBE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C1BA6"/>
    <w:pPr>
      <w:ind w:left="720"/>
      <w:contextualSpacing/>
    </w:pPr>
  </w:style>
  <w:style w:type="table" w:styleId="Reatabula">
    <w:name w:val="Table Grid"/>
    <w:basedOn w:val="Parastatabula"/>
    <w:uiPriority w:val="59"/>
    <w:rsid w:val="0080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0D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6:379:0005:01:LV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06:379:0005:01:LV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9A3A-CE5B-4730-AE3C-E7F0D13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8015</Words>
  <Characters>4570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Par Ministru kabineta noteikumu projektu „Grozījumi Ministru kabineta 2013. gada 17. decembra noteikumos Nr. 1524 „Noteikumi par valsts atbalstu lauksaimniecībai””</vt:lpstr>
    </vt:vector>
  </TitlesOfParts>
  <Company>Zemkopības Ministrija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Anotācija</dc:subject>
  <dc:creator>Ligija Ozoliņa</dc:creator>
  <dc:description>Ozoliņa 67027301_x000d_
Ligija.Ozolina@zm.gov.lv</dc:description>
  <cp:lastModifiedBy>Kristiāna Sebre</cp:lastModifiedBy>
  <cp:revision>3</cp:revision>
  <cp:lastPrinted>2019-10-10T13:29:00Z</cp:lastPrinted>
  <dcterms:created xsi:type="dcterms:W3CDTF">2019-11-19T11:24:00Z</dcterms:created>
  <dcterms:modified xsi:type="dcterms:W3CDTF">2019-11-19T12:07:00Z</dcterms:modified>
</cp:coreProperties>
</file>