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76C68" w14:textId="77777777" w:rsidR="00146954" w:rsidRPr="00A41A3E" w:rsidRDefault="00146954" w:rsidP="006F7405">
      <w:pPr>
        <w:pStyle w:val="naislab"/>
        <w:spacing w:before="0" w:after="0"/>
        <w:jc w:val="center"/>
        <w:outlineLvl w:val="0"/>
        <w:rPr>
          <w:b/>
          <w:sz w:val="28"/>
          <w:szCs w:val="28"/>
        </w:rPr>
      </w:pPr>
      <w:r w:rsidRPr="00A41A3E">
        <w:rPr>
          <w:b/>
          <w:sz w:val="28"/>
          <w:szCs w:val="28"/>
        </w:rPr>
        <w:t>Ministru kabineta noteikumu projekta “Grozījumi Ministru kabineta 2009.</w:t>
      </w:r>
      <w:r w:rsidR="00BE5AAC">
        <w:rPr>
          <w:b/>
          <w:sz w:val="28"/>
          <w:szCs w:val="28"/>
        </w:rPr>
        <w:t> </w:t>
      </w:r>
      <w:r w:rsidRPr="00A41A3E">
        <w:rPr>
          <w:b/>
          <w:sz w:val="28"/>
          <w:szCs w:val="28"/>
        </w:rPr>
        <w:t>gada 30.</w:t>
      </w:r>
      <w:r w:rsidR="00A2028F" w:rsidRPr="00A41A3E">
        <w:rPr>
          <w:b/>
          <w:sz w:val="28"/>
          <w:szCs w:val="28"/>
        </w:rPr>
        <w:t> </w:t>
      </w:r>
      <w:r w:rsidRPr="00A41A3E">
        <w:rPr>
          <w:b/>
          <w:sz w:val="28"/>
          <w:szCs w:val="28"/>
        </w:rPr>
        <w:t>novembra noteikumos Nr. 1375 “Noteikumi par rūpnieciskās zvejas limitiem un to izmantošanas kārtību piekrastes ūdeņos””</w:t>
      </w:r>
    </w:p>
    <w:p w14:paraId="0BA699F1" w14:textId="77777777" w:rsidR="00D273DD" w:rsidRPr="00A41A3E" w:rsidRDefault="00146954" w:rsidP="006F7405">
      <w:pPr>
        <w:pStyle w:val="naislab"/>
        <w:spacing w:before="0" w:after="0"/>
        <w:jc w:val="center"/>
        <w:outlineLvl w:val="0"/>
        <w:rPr>
          <w:b/>
          <w:sz w:val="28"/>
          <w:szCs w:val="28"/>
        </w:rPr>
      </w:pPr>
      <w:r w:rsidRPr="00A41A3E">
        <w:rPr>
          <w:b/>
          <w:sz w:val="28"/>
          <w:szCs w:val="28"/>
        </w:rPr>
        <w:t>sākotnējās ietekmes novērtējuma ziņojums (anotācija)</w:t>
      </w:r>
    </w:p>
    <w:p w14:paraId="116C62F5" w14:textId="77777777" w:rsidR="007F1F1C" w:rsidRDefault="007F1F1C" w:rsidP="006F7405">
      <w:pPr>
        <w:pStyle w:val="naislab"/>
        <w:spacing w:before="0" w:after="0"/>
        <w:jc w:val="center"/>
        <w:outlineLvl w:val="0"/>
        <w:rPr>
          <w:b/>
          <w:sz w:val="16"/>
          <w:szCs w:val="16"/>
        </w:rPr>
      </w:pPr>
    </w:p>
    <w:p w14:paraId="061D1185" w14:textId="77777777" w:rsidR="00835034" w:rsidRDefault="00835034" w:rsidP="006F7405">
      <w:pPr>
        <w:pStyle w:val="naislab"/>
        <w:spacing w:before="0" w:after="0"/>
        <w:jc w:val="left"/>
        <w:outlineLvl w:val="0"/>
        <w:rPr>
          <w:b/>
          <w:sz w:val="16"/>
          <w:szCs w:val="16"/>
        </w:rPr>
      </w:pPr>
    </w:p>
    <w:tbl>
      <w:tblPr>
        <w:tblW w:w="5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95"/>
        <w:gridCol w:w="7353"/>
      </w:tblGrid>
      <w:tr w:rsidR="000577EC" w:rsidRPr="00CB27C5" w14:paraId="418CD96C" w14:textId="77777777" w:rsidTr="004C5845">
        <w:trPr>
          <w:jc w:val="center"/>
        </w:trPr>
        <w:tc>
          <w:tcPr>
            <w:tcW w:w="5000" w:type="pct"/>
            <w:gridSpan w:val="2"/>
            <w:vAlign w:val="center"/>
          </w:tcPr>
          <w:p w14:paraId="2435DDDB" w14:textId="77777777" w:rsidR="000577EC" w:rsidRPr="00CB27C5" w:rsidRDefault="000577EC" w:rsidP="006F7405">
            <w:pPr>
              <w:pStyle w:val="Parastais1"/>
              <w:jc w:val="center"/>
              <w:rPr>
                <w:b/>
                <w:bCs/>
                <w:lang w:val="lv-LV" w:eastAsia="lv-LV"/>
              </w:rPr>
            </w:pPr>
            <w:r w:rsidRPr="00CB27C5">
              <w:rPr>
                <w:b/>
                <w:bCs/>
                <w:lang w:val="lv-LV" w:eastAsia="lv-LV"/>
              </w:rPr>
              <w:t>Tiesību akta projekta anotācijas kopsavilkums</w:t>
            </w:r>
          </w:p>
        </w:tc>
      </w:tr>
      <w:tr w:rsidR="000577EC" w:rsidRPr="00CB27C5" w14:paraId="584E0322" w14:textId="77777777" w:rsidTr="004C5845">
        <w:trPr>
          <w:jc w:val="center"/>
        </w:trPr>
        <w:tc>
          <w:tcPr>
            <w:tcW w:w="1447" w:type="pct"/>
          </w:tcPr>
          <w:p w14:paraId="537DED48" w14:textId="77777777" w:rsidR="000577EC" w:rsidRPr="00030020" w:rsidRDefault="004F6B6B" w:rsidP="006F7405">
            <w:pPr>
              <w:pStyle w:val="Parastais1"/>
              <w:jc w:val="both"/>
              <w:rPr>
                <w:b/>
                <w:bCs/>
                <w:sz w:val="22"/>
                <w:szCs w:val="22"/>
                <w:lang w:val="lv-LV" w:eastAsia="lv-LV"/>
              </w:rPr>
            </w:pPr>
            <w:r w:rsidRPr="004F6B6B">
              <w:rPr>
                <w:sz w:val="22"/>
                <w:szCs w:val="22"/>
                <w:lang w:val="lv-LV"/>
              </w:rPr>
              <w:t>Mērķis, risinājums un projekta spēkā stāšanās laiks (500 zīmes bez atstarpēm)</w:t>
            </w:r>
          </w:p>
        </w:tc>
        <w:tc>
          <w:tcPr>
            <w:tcW w:w="3553" w:type="pct"/>
          </w:tcPr>
          <w:p w14:paraId="2104D653" w14:textId="7DDF7515" w:rsidR="000577EC" w:rsidRDefault="000F43FB" w:rsidP="006F7405">
            <w:pPr>
              <w:pStyle w:val="Parastais1"/>
              <w:jc w:val="both"/>
              <w:rPr>
                <w:iCs/>
                <w:lang w:val="lv-LV"/>
              </w:rPr>
            </w:pPr>
            <w:r w:rsidRPr="000F43FB">
              <w:rPr>
                <w:iCs/>
                <w:lang w:val="lv-LV"/>
              </w:rPr>
              <w:t>Ministru kabineta noteikumu projekt</w:t>
            </w:r>
            <w:r w:rsidR="009472F3">
              <w:rPr>
                <w:iCs/>
                <w:lang w:val="lv-LV"/>
              </w:rPr>
              <w:t>a</w:t>
            </w:r>
            <w:r w:rsidRPr="000F43FB">
              <w:rPr>
                <w:iCs/>
                <w:lang w:val="lv-LV"/>
              </w:rPr>
              <w:t xml:space="preserve"> “Grozījumi Ministru kabineta 2009.</w:t>
            </w:r>
            <w:r w:rsidR="00F03B70">
              <w:rPr>
                <w:iCs/>
                <w:lang w:val="lv-LV"/>
              </w:rPr>
              <w:t> </w:t>
            </w:r>
            <w:r w:rsidRPr="000F43FB">
              <w:rPr>
                <w:iCs/>
                <w:lang w:val="lv-LV"/>
              </w:rPr>
              <w:t xml:space="preserve"> gada 30. novembra noteikumu Nr. 1375 “Noteikumi par rūpnieciskās zvejas limitiem un to izmantošanas kārtību piekrastes ūdeņos”” (turpmāk – noteikumu projekts)</w:t>
            </w:r>
            <w:r w:rsidR="00CA1BE4">
              <w:rPr>
                <w:iCs/>
                <w:lang w:val="lv-LV"/>
              </w:rPr>
              <w:t xml:space="preserve"> </w:t>
            </w:r>
            <w:r w:rsidR="009472F3">
              <w:rPr>
                <w:iCs/>
                <w:lang w:val="lv-LV"/>
              </w:rPr>
              <w:t xml:space="preserve">mērķis </w:t>
            </w:r>
            <w:r w:rsidR="00CA1BE4">
              <w:rPr>
                <w:iCs/>
                <w:lang w:val="lv-LV"/>
              </w:rPr>
              <w:t xml:space="preserve">ir zvejas limitu izmaiņu noteikšana jūras piekrastes ūdeņos </w:t>
            </w:r>
            <w:r w:rsidR="006F7405" w:rsidRPr="006F7405">
              <w:rPr>
                <w:iCs/>
                <w:lang w:val="lv-LV"/>
              </w:rPr>
              <w:t>Ventspils pilsētas, Rucavas novada, Liepājas pilsētas, Salacgrīvas novada, Saulkrastu novada un Jūrmalas pilsētas pašvaldīb</w:t>
            </w:r>
            <w:r w:rsidR="006F7405">
              <w:rPr>
                <w:iCs/>
                <w:lang w:val="lv-LV"/>
              </w:rPr>
              <w:t>ām 2020.gadam.</w:t>
            </w:r>
          </w:p>
          <w:p w14:paraId="519EE898" w14:textId="77777777" w:rsidR="006F7405" w:rsidRPr="00CB27C5" w:rsidRDefault="006F7405" w:rsidP="006F7405">
            <w:pPr>
              <w:pStyle w:val="Parastais1"/>
              <w:jc w:val="both"/>
              <w:rPr>
                <w:lang w:val="lv-LV"/>
              </w:rPr>
            </w:pPr>
            <w:r>
              <w:rPr>
                <w:lang w:val="lv-LV"/>
              </w:rPr>
              <w:t>Noteikumu projektā noteikt</w:t>
            </w:r>
            <w:r w:rsidR="002162FB">
              <w:rPr>
                <w:lang w:val="lv-LV"/>
              </w:rPr>
              <w:t>ie</w:t>
            </w:r>
            <w:r>
              <w:rPr>
                <w:lang w:val="lv-LV"/>
              </w:rPr>
              <w:t xml:space="preserve"> zvejas limit</w:t>
            </w:r>
            <w:r w:rsidR="002162FB">
              <w:rPr>
                <w:lang w:val="lv-LV"/>
              </w:rPr>
              <w:t>i</w:t>
            </w:r>
            <w:r>
              <w:rPr>
                <w:lang w:val="lv-LV"/>
              </w:rPr>
              <w:t xml:space="preserve"> piemēro</w:t>
            </w:r>
            <w:r w:rsidR="002162FB">
              <w:rPr>
                <w:lang w:val="lv-LV"/>
              </w:rPr>
              <w:t>jami</w:t>
            </w:r>
            <w:r>
              <w:rPr>
                <w:lang w:val="lv-LV"/>
              </w:rPr>
              <w:t xml:space="preserve"> no 2020.</w:t>
            </w:r>
            <w:r w:rsidR="00F03B70">
              <w:rPr>
                <w:lang w:val="lv-LV"/>
              </w:rPr>
              <w:t> </w:t>
            </w:r>
            <w:r>
              <w:rPr>
                <w:lang w:val="lv-LV"/>
              </w:rPr>
              <w:t>gada 1.</w:t>
            </w:r>
            <w:r w:rsidR="00F03B70">
              <w:rPr>
                <w:lang w:val="lv-LV"/>
              </w:rPr>
              <w:t> </w:t>
            </w:r>
            <w:r>
              <w:rPr>
                <w:lang w:val="lv-LV"/>
              </w:rPr>
              <w:t>janvāra.</w:t>
            </w:r>
          </w:p>
        </w:tc>
      </w:tr>
    </w:tbl>
    <w:p w14:paraId="43DB091E" w14:textId="77777777" w:rsidR="000577EC" w:rsidRPr="00B37027" w:rsidRDefault="000577EC" w:rsidP="006F7405">
      <w:pPr>
        <w:pStyle w:val="naislab"/>
        <w:spacing w:before="0" w:after="0"/>
        <w:jc w:val="left"/>
        <w:outlineLvl w:val="0"/>
        <w:rPr>
          <w:b/>
          <w:sz w:val="16"/>
          <w:szCs w:val="16"/>
        </w:rPr>
      </w:pPr>
    </w:p>
    <w:tbl>
      <w:tblPr>
        <w:tblpPr w:leftFromText="180" w:rightFromText="180" w:vertAnchor="text" w:horzAnchor="margin" w:tblpXSpec="center" w:tblpY="149"/>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7361"/>
      </w:tblGrid>
      <w:tr w:rsidR="00D42F6E" w:rsidRPr="00B3642D" w14:paraId="34E08775" w14:textId="77777777" w:rsidTr="00665133">
        <w:tc>
          <w:tcPr>
            <w:tcW w:w="10338" w:type="dxa"/>
            <w:gridSpan w:val="3"/>
            <w:vAlign w:val="center"/>
          </w:tcPr>
          <w:p w14:paraId="44F98E9A" w14:textId="77777777" w:rsidR="00D42F6E" w:rsidRPr="00B3642D" w:rsidRDefault="00D42F6E" w:rsidP="006F7405">
            <w:pPr>
              <w:pStyle w:val="naisnod"/>
              <w:spacing w:before="0" w:after="0"/>
            </w:pPr>
            <w:r w:rsidRPr="00B3642D">
              <w:t>I. Tiesību akta projekta izstrādes nepieciešamība</w:t>
            </w:r>
          </w:p>
        </w:tc>
      </w:tr>
      <w:tr w:rsidR="00D42F6E" w:rsidRPr="00B3642D" w14:paraId="1B0EFDF4" w14:textId="77777777" w:rsidTr="00665133">
        <w:trPr>
          <w:trHeight w:val="630"/>
        </w:trPr>
        <w:tc>
          <w:tcPr>
            <w:tcW w:w="426" w:type="dxa"/>
          </w:tcPr>
          <w:p w14:paraId="24B9615B" w14:textId="77777777" w:rsidR="00D42F6E" w:rsidRPr="00960829" w:rsidRDefault="00D42F6E" w:rsidP="006F7405">
            <w:pPr>
              <w:pStyle w:val="naiskr"/>
              <w:spacing w:before="0" w:after="0"/>
              <w:jc w:val="center"/>
              <w:rPr>
                <w:sz w:val="22"/>
                <w:szCs w:val="22"/>
              </w:rPr>
            </w:pPr>
            <w:r w:rsidRPr="00960829">
              <w:rPr>
                <w:sz w:val="22"/>
                <w:szCs w:val="22"/>
              </w:rPr>
              <w:t>1.</w:t>
            </w:r>
          </w:p>
        </w:tc>
        <w:tc>
          <w:tcPr>
            <w:tcW w:w="2551" w:type="dxa"/>
          </w:tcPr>
          <w:p w14:paraId="76D8AF54" w14:textId="77777777" w:rsidR="00D42F6E" w:rsidRPr="00960829" w:rsidRDefault="00D42F6E" w:rsidP="006F7405">
            <w:pPr>
              <w:pStyle w:val="naiskr"/>
              <w:spacing w:before="0" w:after="0"/>
              <w:ind w:left="164"/>
              <w:rPr>
                <w:sz w:val="22"/>
                <w:szCs w:val="22"/>
              </w:rPr>
            </w:pPr>
            <w:r w:rsidRPr="00960829">
              <w:rPr>
                <w:sz w:val="22"/>
                <w:szCs w:val="22"/>
              </w:rPr>
              <w:t>Pamatojums</w:t>
            </w:r>
          </w:p>
        </w:tc>
        <w:tc>
          <w:tcPr>
            <w:tcW w:w="7361" w:type="dxa"/>
          </w:tcPr>
          <w:p w14:paraId="71CB3075" w14:textId="77777777" w:rsidR="00960829" w:rsidRPr="00146954" w:rsidRDefault="00146954" w:rsidP="006F7405">
            <w:pPr>
              <w:pStyle w:val="Bezatstarpm"/>
              <w:jc w:val="both"/>
              <w:rPr>
                <w:rFonts w:ascii="Times New Roman" w:hAnsi="Times New Roman"/>
                <w:iCs/>
                <w:sz w:val="24"/>
                <w:szCs w:val="24"/>
              </w:rPr>
            </w:pPr>
            <w:r w:rsidRPr="00422E3B">
              <w:rPr>
                <w:rFonts w:ascii="Times New Roman" w:hAnsi="Times New Roman"/>
                <w:iCs/>
                <w:sz w:val="24"/>
                <w:szCs w:val="24"/>
              </w:rPr>
              <w:t>Zvejniecības likuma 11. panta 4.</w:t>
            </w:r>
            <w:r w:rsidRPr="00422E3B">
              <w:rPr>
                <w:rFonts w:ascii="Times New Roman" w:hAnsi="Times New Roman"/>
                <w:iCs/>
                <w:sz w:val="24"/>
                <w:szCs w:val="24"/>
                <w:vertAlign w:val="superscript"/>
              </w:rPr>
              <w:t>2</w:t>
            </w:r>
            <w:r w:rsidRPr="00422E3B">
              <w:rPr>
                <w:rFonts w:ascii="Times New Roman" w:hAnsi="Times New Roman"/>
                <w:iCs/>
                <w:sz w:val="24"/>
                <w:szCs w:val="24"/>
              </w:rPr>
              <w:t xml:space="preserve"> </w:t>
            </w:r>
            <w:r>
              <w:rPr>
                <w:rFonts w:ascii="Times New Roman" w:hAnsi="Times New Roman"/>
                <w:iCs/>
                <w:sz w:val="24"/>
                <w:szCs w:val="24"/>
              </w:rPr>
              <w:t>daļa</w:t>
            </w:r>
          </w:p>
        </w:tc>
      </w:tr>
      <w:tr w:rsidR="00D42F6E" w:rsidRPr="00B3642D" w14:paraId="1CE7B9D1" w14:textId="77777777" w:rsidTr="00665133">
        <w:trPr>
          <w:trHeight w:val="472"/>
        </w:trPr>
        <w:tc>
          <w:tcPr>
            <w:tcW w:w="426" w:type="dxa"/>
          </w:tcPr>
          <w:p w14:paraId="29314073" w14:textId="77777777" w:rsidR="00D42F6E" w:rsidRPr="00960829" w:rsidRDefault="00D42F6E" w:rsidP="006F7405">
            <w:pPr>
              <w:pStyle w:val="naiskr"/>
              <w:spacing w:before="0" w:after="0"/>
              <w:jc w:val="center"/>
              <w:rPr>
                <w:sz w:val="22"/>
                <w:szCs w:val="22"/>
              </w:rPr>
            </w:pPr>
            <w:r w:rsidRPr="00960829">
              <w:rPr>
                <w:sz w:val="22"/>
                <w:szCs w:val="22"/>
              </w:rPr>
              <w:t>2.</w:t>
            </w:r>
          </w:p>
        </w:tc>
        <w:tc>
          <w:tcPr>
            <w:tcW w:w="2551" w:type="dxa"/>
          </w:tcPr>
          <w:p w14:paraId="61824834" w14:textId="77777777" w:rsidR="00D42F6E" w:rsidRPr="00960829" w:rsidRDefault="00D42F6E" w:rsidP="006F7405">
            <w:pPr>
              <w:tabs>
                <w:tab w:val="left" w:pos="-168"/>
              </w:tabs>
              <w:ind w:left="164" w:right="57"/>
              <w:rPr>
                <w:rFonts w:eastAsia="Calibri"/>
                <w:sz w:val="22"/>
                <w:szCs w:val="22"/>
              </w:rPr>
            </w:pPr>
            <w:r w:rsidRPr="00960829">
              <w:rPr>
                <w:rFonts w:eastAsia="Calibri"/>
                <w:sz w:val="22"/>
                <w:szCs w:val="22"/>
              </w:rPr>
              <w:t>Pašreizējā situācija un problēmas, kuru risināšanai tiesību akta projekts izstrādāts, tiesiskā regulējuma mērķis un būtība</w:t>
            </w:r>
          </w:p>
          <w:p w14:paraId="5E18D738" w14:textId="77777777" w:rsidR="00D42F6E" w:rsidRPr="00960829" w:rsidRDefault="00D42F6E" w:rsidP="006F7405">
            <w:pPr>
              <w:tabs>
                <w:tab w:val="left" w:pos="-168"/>
              </w:tabs>
              <w:ind w:left="164" w:right="57"/>
              <w:rPr>
                <w:rFonts w:eastAsia="Calibri"/>
                <w:sz w:val="22"/>
                <w:szCs w:val="22"/>
              </w:rPr>
            </w:pPr>
          </w:p>
          <w:p w14:paraId="7A05617F" w14:textId="77777777" w:rsidR="00D42F6E" w:rsidRPr="00960829" w:rsidRDefault="00D42F6E" w:rsidP="006F7405">
            <w:pPr>
              <w:pStyle w:val="naiskr"/>
              <w:tabs>
                <w:tab w:val="left" w:pos="170"/>
              </w:tabs>
              <w:spacing w:before="0" w:after="0"/>
              <w:ind w:left="164"/>
              <w:jc w:val="center"/>
              <w:rPr>
                <w:sz w:val="22"/>
                <w:szCs w:val="22"/>
              </w:rPr>
            </w:pPr>
          </w:p>
        </w:tc>
        <w:tc>
          <w:tcPr>
            <w:tcW w:w="7361" w:type="dxa"/>
          </w:tcPr>
          <w:p w14:paraId="3B7A4364" w14:textId="77777777" w:rsidR="000577EC" w:rsidRDefault="000577EC" w:rsidP="006F7405">
            <w:pPr>
              <w:ind w:right="55"/>
              <w:jc w:val="both"/>
              <w:rPr>
                <w:color w:val="000000"/>
              </w:rPr>
            </w:pPr>
            <w:r w:rsidRPr="00D273DD">
              <w:rPr>
                <w:color w:val="000000"/>
              </w:rPr>
              <w:t xml:space="preserve">Saskaņā ar </w:t>
            </w:r>
            <w:r w:rsidRPr="00146954">
              <w:rPr>
                <w:color w:val="000000"/>
              </w:rPr>
              <w:t>Ministru kabineta 2009. gada 30. novembra noteikum</w:t>
            </w:r>
            <w:r>
              <w:rPr>
                <w:color w:val="000000"/>
              </w:rPr>
              <w:t>u</w:t>
            </w:r>
            <w:r w:rsidRPr="00146954">
              <w:rPr>
                <w:color w:val="000000"/>
              </w:rPr>
              <w:t xml:space="preserve"> Nr. 1375 </w:t>
            </w:r>
            <w:r>
              <w:rPr>
                <w:color w:val="000000"/>
              </w:rPr>
              <w:t>“</w:t>
            </w:r>
            <w:r w:rsidRPr="00146954">
              <w:rPr>
                <w:color w:val="000000"/>
              </w:rPr>
              <w:t>Noteikumi par rūpnieciskās zvejas limitiem un to izmantošanas kārtību piekrastes ūdeņos”” (turpmāk – MK noteikum</w:t>
            </w:r>
            <w:r>
              <w:rPr>
                <w:color w:val="000000"/>
              </w:rPr>
              <w:t>i</w:t>
            </w:r>
            <w:r w:rsidRPr="00146954">
              <w:rPr>
                <w:color w:val="000000"/>
              </w:rPr>
              <w:t xml:space="preserve"> Nr. 1375) 11. punkt</w:t>
            </w:r>
            <w:r>
              <w:rPr>
                <w:color w:val="000000"/>
              </w:rPr>
              <w:t>u</w:t>
            </w:r>
            <w:r w:rsidRPr="00146954">
              <w:rPr>
                <w:color w:val="000000"/>
              </w:rPr>
              <w:t xml:space="preserve"> pašvaldīb</w:t>
            </w:r>
            <w:r>
              <w:rPr>
                <w:color w:val="000000"/>
              </w:rPr>
              <w:t>as</w:t>
            </w:r>
            <w:r w:rsidRPr="00146954">
              <w:rPr>
                <w:color w:val="000000"/>
              </w:rPr>
              <w:t xml:space="preserve"> reizi gadā līdz 1.</w:t>
            </w:r>
            <w:r w:rsidR="00A2028F">
              <w:rPr>
                <w:color w:val="000000"/>
              </w:rPr>
              <w:t xml:space="preserve"> </w:t>
            </w:r>
            <w:r w:rsidRPr="00146954">
              <w:rPr>
                <w:color w:val="000000"/>
              </w:rPr>
              <w:t xml:space="preserve">jūlijam valsts zinātniskajā institūtā “Pārtikas drošības, dzīvnieku veselības un vides zinātniskais institūts “BIOR”” (turpmāk </w:t>
            </w:r>
            <w:r w:rsidR="00C9508D">
              <w:rPr>
                <w:color w:val="000000"/>
              </w:rPr>
              <w:t>–</w:t>
            </w:r>
            <w:r w:rsidRPr="00146954">
              <w:rPr>
                <w:color w:val="000000"/>
              </w:rPr>
              <w:t xml:space="preserve"> institūts</w:t>
            </w:r>
            <w:r w:rsidR="00C9508D">
              <w:rPr>
                <w:color w:val="000000"/>
              </w:rPr>
              <w:t xml:space="preserve"> “BIOR”</w:t>
            </w:r>
            <w:r w:rsidRPr="00146954">
              <w:rPr>
                <w:color w:val="000000"/>
              </w:rPr>
              <w:t xml:space="preserve">) </w:t>
            </w:r>
            <w:r>
              <w:rPr>
                <w:color w:val="000000"/>
              </w:rPr>
              <w:t xml:space="preserve">var </w:t>
            </w:r>
            <w:r w:rsidRPr="00146954">
              <w:rPr>
                <w:color w:val="000000"/>
              </w:rPr>
              <w:t xml:space="preserve">iesniegt priekšlikumus par piekrastes ūdeņos noteikto zvejas limitu izmaiņām. Institūts </w:t>
            </w:r>
            <w:r w:rsidR="00C9508D">
              <w:rPr>
                <w:color w:val="000000"/>
              </w:rPr>
              <w:t xml:space="preserve">“BIOR” </w:t>
            </w:r>
            <w:r w:rsidRPr="00146954">
              <w:rPr>
                <w:color w:val="000000"/>
              </w:rPr>
              <w:t>mēneša laikā izvērtē iesniegtos priekšlikumus un iesniedz Zemkopības ministrijā (turpmāk – ZM) zinātniski pamatotu rekomendāciju (turpmāk – rekomendācija) par pašvaldību priekšlikumiem zvejas limitu izmaiņām. ZM, ievērojot iepriekšminēto noteikumu 12. punkta prasības, apkopo institūta</w:t>
            </w:r>
            <w:r w:rsidR="00C9508D">
              <w:rPr>
                <w:color w:val="000000"/>
              </w:rPr>
              <w:t xml:space="preserve"> “BIOR”</w:t>
            </w:r>
            <w:r w:rsidRPr="00146954">
              <w:rPr>
                <w:color w:val="000000"/>
              </w:rPr>
              <w:t xml:space="preserve"> izvērtētos un atbalstītos priekšlikumus par zvejas limitu izmaiņām un iesniedz Ministru kabinetā noteikumu projektu.</w:t>
            </w:r>
          </w:p>
          <w:p w14:paraId="5C782FB7" w14:textId="77777777" w:rsidR="004F6B6B" w:rsidRDefault="000B66D7" w:rsidP="006F7405">
            <w:pPr>
              <w:tabs>
                <w:tab w:val="left" w:pos="562"/>
                <w:tab w:val="left" w:pos="7083"/>
              </w:tabs>
              <w:ind w:right="137"/>
              <w:jc w:val="both"/>
              <w:rPr>
                <w:szCs w:val="22"/>
              </w:rPr>
            </w:pPr>
            <w:r w:rsidRPr="000577EC">
              <w:rPr>
                <w:szCs w:val="22"/>
              </w:rPr>
              <w:t xml:space="preserve">Saskaņā ar </w:t>
            </w:r>
            <w:r w:rsidR="00146954" w:rsidRPr="000577EC">
              <w:rPr>
                <w:szCs w:val="22"/>
              </w:rPr>
              <w:t xml:space="preserve">MK </w:t>
            </w:r>
            <w:r w:rsidRPr="000577EC">
              <w:rPr>
                <w:szCs w:val="22"/>
              </w:rPr>
              <w:t>noteikum</w:t>
            </w:r>
            <w:r w:rsidR="002B6D2A" w:rsidRPr="000577EC">
              <w:rPr>
                <w:szCs w:val="22"/>
              </w:rPr>
              <w:t xml:space="preserve">u Nr. </w:t>
            </w:r>
            <w:r w:rsidR="00146954" w:rsidRPr="000577EC">
              <w:rPr>
                <w:szCs w:val="22"/>
              </w:rPr>
              <w:t>1375</w:t>
            </w:r>
            <w:r w:rsidRPr="000577EC">
              <w:rPr>
                <w:szCs w:val="22"/>
              </w:rPr>
              <w:t xml:space="preserve"> </w:t>
            </w:r>
            <w:r w:rsidR="00146954" w:rsidRPr="000577EC">
              <w:rPr>
                <w:szCs w:val="22"/>
              </w:rPr>
              <w:t>11</w:t>
            </w:r>
            <w:r w:rsidRPr="000577EC">
              <w:rPr>
                <w:szCs w:val="22"/>
              </w:rPr>
              <w:t>. punktu</w:t>
            </w:r>
            <w:r w:rsidR="004F6B6B" w:rsidRPr="000577EC">
              <w:rPr>
                <w:szCs w:val="22"/>
              </w:rPr>
              <w:t xml:space="preserve"> Ventspils </w:t>
            </w:r>
            <w:r w:rsidR="004F6B6B">
              <w:rPr>
                <w:szCs w:val="22"/>
              </w:rPr>
              <w:t>pilsētas dome,</w:t>
            </w:r>
            <w:r w:rsidR="004F6B6B" w:rsidRPr="000577EC">
              <w:rPr>
                <w:szCs w:val="22"/>
              </w:rPr>
              <w:t xml:space="preserve"> </w:t>
            </w:r>
            <w:r w:rsidR="00146954" w:rsidRPr="000577EC">
              <w:rPr>
                <w:szCs w:val="22"/>
              </w:rPr>
              <w:t xml:space="preserve">Rucavas novada </w:t>
            </w:r>
            <w:r w:rsidR="004F6B6B">
              <w:rPr>
                <w:szCs w:val="22"/>
              </w:rPr>
              <w:t>dome</w:t>
            </w:r>
            <w:r w:rsidR="00146954" w:rsidRPr="000577EC">
              <w:rPr>
                <w:szCs w:val="22"/>
              </w:rPr>
              <w:t>, Liepājas pilsētas pašvaldība</w:t>
            </w:r>
            <w:r w:rsidR="004F6B6B">
              <w:rPr>
                <w:szCs w:val="22"/>
              </w:rPr>
              <w:t>s administrācija</w:t>
            </w:r>
            <w:r w:rsidR="00146954" w:rsidRPr="000577EC">
              <w:rPr>
                <w:szCs w:val="22"/>
              </w:rPr>
              <w:t>,</w:t>
            </w:r>
            <w:r w:rsidR="004F6B6B">
              <w:rPr>
                <w:szCs w:val="22"/>
              </w:rPr>
              <w:t xml:space="preserve"> Salacgrīvas</w:t>
            </w:r>
            <w:r w:rsidR="00146954" w:rsidRPr="000577EC">
              <w:rPr>
                <w:szCs w:val="22"/>
              </w:rPr>
              <w:t xml:space="preserve"> novada dome</w:t>
            </w:r>
            <w:r w:rsidR="00A97B97">
              <w:rPr>
                <w:szCs w:val="22"/>
              </w:rPr>
              <w:t>, Saulkrastu novada dome</w:t>
            </w:r>
            <w:r w:rsidR="00146954" w:rsidRPr="000577EC">
              <w:rPr>
                <w:szCs w:val="22"/>
              </w:rPr>
              <w:t xml:space="preserve"> un </w:t>
            </w:r>
            <w:r w:rsidR="004F6B6B">
              <w:rPr>
                <w:szCs w:val="22"/>
              </w:rPr>
              <w:t>Jūrmalas pilsētas</w:t>
            </w:r>
            <w:r w:rsidR="00146954" w:rsidRPr="000577EC">
              <w:rPr>
                <w:szCs w:val="22"/>
              </w:rPr>
              <w:t xml:space="preserve"> dome</w:t>
            </w:r>
            <w:r w:rsidRPr="000577EC">
              <w:rPr>
                <w:szCs w:val="22"/>
              </w:rPr>
              <w:t xml:space="preserve"> </w:t>
            </w:r>
            <w:r w:rsidR="002B6D2A" w:rsidRPr="000577EC">
              <w:rPr>
                <w:szCs w:val="22"/>
              </w:rPr>
              <w:t>institūtā</w:t>
            </w:r>
            <w:r w:rsidRPr="000577EC">
              <w:rPr>
                <w:szCs w:val="22"/>
              </w:rPr>
              <w:t xml:space="preserve"> </w:t>
            </w:r>
            <w:r w:rsidR="00C9508D">
              <w:rPr>
                <w:szCs w:val="22"/>
              </w:rPr>
              <w:t xml:space="preserve">“BIOR” </w:t>
            </w:r>
            <w:r w:rsidRPr="000577EC">
              <w:rPr>
                <w:szCs w:val="22"/>
              </w:rPr>
              <w:t>iesniedz</w:t>
            </w:r>
            <w:r w:rsidR="002B6D2A" w:rsidRPr="000577EC">
              <w:rPr>
                <w:szCs w:val="22"/>
              </w:rPr>
              <w:t>a</w:t>
            </w:r>
            <w:r w:rsidRPr="000577EC">
              <w:rPr>
                <w:szCs w:val="22"/>
              </w:rPr>
              <w:t xml:space="preserve"> priekšlikumus par </w:t>
            </w:r>
            <w:r w:rsidR="00146954" w:rsidRPr="000577EC">
              <w:rPr>
                <w:szCs w:val="22"/>
              </w:rPr>
              <w:t>piekrastes</w:t>
            </w:r>
            <w:r w:rsidRPr="000577EC">
              <w:rPr>
                <w:szCs w:val="22"/>
              </w:rPr>
              <w:t xml:space="preserve"> ūdeņos noteikto zvejas limitu izmaiņām. Institūts </w:t>
            </w:r>
            <w:r w:rsidR="00C9508D">
              <w:rPr>
                <w:szCs w:val="22"/>
              </w:rPr>
              <w:t xml:space="preserve">“BIOR” </w:t>
            </w:r>
            <w:r w:rsidR="002B6D2A" w:rsidRPr="000577EC">
              <w:rPr>
                <w:szCs w:val="22"/>
              </w:rPr>
              <w:t>to</w:t>
            </w:r>
            <w:r w:rsidR="00B604FE" w:rsidRPr="000577EC">
              <w:rPr>
                <w:szCs w:val="22"/>
              </w:rPr>
              <w:t>s</w:t>
            </w:r>
            <w:r w:rsidR="002B6D2A" w:rsidRPr="000577EC">
              <w:rPr>
                <w:szCs w:val="22"/>
              </w:rPr>
              <w:t xml:space="preserve"> </w:t>
            </w:r>
            <w:r w:rsidRPr="000577EC">
              <w:rPr>
                <w:szCs w:val="22"/>
              </w:rPr>
              <w:t>izvērtē</w:t>
            </w:r>
            <w:r w:rsidR="002B6D2A" w:rsidRPr="000577EC">
              <w:rPr>
                <w:szCs w:val="22"/>
              </w:rPr>
              <w:t>ja</w:t>
            </w:r>
            <w:r w:rsidRPr="000577EC">
              <w:rPr>
                <w:szCs w:val="22"/>
              </w:rPr>
              <w:t xml:space="preserve"> un iesniedz</w:t>
            </w:r>
            <w:r w:rsidR="002B6D2A" w:rsidRPr="000577EC">
              <w:rPr>
                <w:szCs w:val="22"/>
              </w:rPr>
              <w:t>a</w:t>
            </w:r>
            <w:r w:rsidRPr="000577EC">
              <w:rPr>
                <w:szCs w:val="22"/>
              </w:rPr>
              <w:t xml:space="preserve"> ZM </w:t>
            </w:r>
            <w:r w:rsidR="00146954">
              <w:t>rekomendācij</w:t>
            </w:r>
            <w:r w:rsidR="00A97B97">
              <w:t>as</w:t>
            </w:r>
            <w:r w:rsidR="00146954">
              <w:t xml:space="preserve"> </w:t>
            </w:r>
            <w:r w:rsidR="00146954" w:rsidRPr="00A97B97">
              <w:t>(</w:t>
            </w:r>
            <w:r w:rsidR="00A97B97" w:rsidRPr="000577EC">
              <w:rPr>
                <w:szCs w:val="22"/>
              </w:rPr>
              <w:t>0</w:t>
            </w:r>
            <w:r w:rsidR="00A97B97">
              <w:rPr>
                <w:szCs w:val="22"/>
              </w:rPr>
              <w:t>2</w:t>
            </w:r>
            <w:r w:rsidR="00A97B97" w:rsidRPr="000577EC">
              <w:rPr>
                <w:szCs w:val="22"/>
              </w:rPr>
              <w:t>.08.201</w:t>
            </w:r>
            <w:r w:rsidR="00A97B97">
              <w:rPr>
                <w:szCs w:val="22"/>
              </w:rPr>
              <w:t>9</w:t>
            </w:r>
            <w:r w:rsidR="00A97B97" w:rsidRPr="000577EC">
              <w:rPr>
                <w:szCs w:val="22"/>
              </w:rPr>
              <w:t xml:space="preserve">. </w:t>
            </w:r>
            <w:r w:rsidR="00B604FE" w:rsidRPr="00A97B97">
              <w:rPr>
                <w:szCs w:val="22"/>
              </w:rPr>
              <w:t>Nr.1-6/</w:t>
            </w:r>
            <w:r w:rsidR="00A97B97" w:rsidRPr="00A97B97">
              <w:rPr>
                <w:szCs w:val="22"/>
              </w:rPr>
              <w:t>926</w:t>
            </w:r>
            <w:r w:rsidR="002162FB">
              <w:rPr>
                <w:szCs w:val="22"/>
              </w:rPr>
              <w:t xml:space="preserve"> un</w:t>
            </w:r>
            <w:r w:rsidR="00146954" w:rsidRPr="000577EC">
              <w:rPr>
                <w:szCs w:val="22"/>
              </w:rPr>
              <w:t xml:space="preserve"> </w:t>
            </w:r>
            <w:r w:rsidR="00A97B97">
              <w:rPr>
                <w:szCs w:val="22"/>
              </w:rPr>
              <w:t xml:space="preserve">03.09.2019. Nr.1-6/1004-e, </w:t>
            </w:r>
            <w:r w:rsidR="00146954" w:rsidRPr="000577EC">
              <w:rPr>
                <w:szCs w:val="22"/>
              </w:rPr>
              <w:t>pieejama</w:t>
            </w:r>
            <w:r w:rsidR="00A97B97">
              <w:rPr>
                <w:szCs w:val="22"/>
              </w:rPr>
              <w:t>s</w:t>
            </w:r>
            <w:r w:rsidR="00146954" w:rsidRPr="000577EC">
              <w:rPr>
                <w:szCs w:val="22"/>
              </w:rPr>
              <w:t xml:space="preserve"> ZM)</w:t>
            </w:r>
            <w:r w:rsidRPr="000577EC">
              <w:rPr>
                <w:szCs w:val="22"/>
              </w:rPr>
              <w:t xml:space="preserve">. Institūta </w:t>
            </w:r>
            <w:r w:rsidR="00C9508D">
              <w:rPr>
                <w:szCs w:val="22"/>
              </w:rPr>
              <w:t xml:space="preserve">“BIOR” </w:t>
            </w:r>
            <w:r w:rsidR="00004273" w:rsidRPr="000577EC">
              <w:rPr>
                <w:szCs w:val="22"/>
              </w:rPr>
              <w:t>rekomendācijā</w:t>
            </w:r>
            <w:r w:rsidR="00A97B97">
              <w:rPr>
                <w:szCs w:val="22"/>
              </w:rPr>
              <w:t>s</w:t>
            </w:r>
            <w:r w:rsidRPr="000577EC">
              <w:rPr>
                <w:szCs w:val="22"/>
              </w:rPr>
              <w:t xml:space="preserve"> atbalstītie </w:t>
            </w:r>
            <w:r w:rsidR="002C1630">
              <w:rPr>
                <w:szCs w:val="22"/>
              </w:rPr>
              <w:t xml:space="preserve">un daļēji atbalstītie </w:t>
            </w:r>
            <w:r w:rsidR="00A97B97">
              <w:rPr>
                <w:szCs w:val="22"/>
              </w:rPr>
              <w:t>pašvaldību</w:t>
            </w:r>
            <w:r w:rsidR="004F6B6B" w:rsidRPr="004F6B6B">
              <w:rPr>
                <w:szCs w:val="22"/>
              </w:rPr>
              <w:t xml:space="preserve"> </w:t>
            </w:r>
            <w:r w:rsidR="00B604FE" w:rsidRPr="000577EC">
              <w:rPr>
                <w:szCs w:val="22"/>
              </w:rPr>
              <w:t xml:space="preserve">priekšlikumi </w:t>
            </w:r>
            <w:r w:rsidRPr="000577EC">
              <w:rPr>
                <w:szCs w:val="22"/>
              </w:rPr>
              <w:t>par zvejas limitu izmaiņām ir iekļauti sagatavotajā noteikumu projekt</w:t>
            </w:r>
            <w:r w:rsidR="000F43FB">
              <w:rPr>
                <w:szCs w:val="22"/>
              </w:rPr>
              <w:t>ā</w:t>
            </w:r>
            <w:r w:rsidR="00C9508D">
              <w:rPr>
                <w:szCs w:val="22"/>
              </w:rPr>
              <w:t xml:space="preserve">: </w:t>
            </w:r>
            <w:r w:rsidRPr="000577EC">
              <w:rPr>
                <w:szCs w:val="22"/>
              </w:rPr>
              <w:t xml:space="preserve"> </w:t>
            </w:r>
          </w:p>
          <w:p w14:paraId="09CB57E6" w14:textId="53C22A41" w:rsidR="00E92EF0" w:rsidRDefault="00B604FE" w:rsidP="006F7405">
            <w:pPr>
              <w:tabs>
                <w:tab w:val="left" w:pos="562"/>
                <w:tab w:val="left" w:pos="7083"/>
              </w:tabs>
              <w:ind w:right="137"/>
              <w:jc w:val="both"/>
              <w:rPr>
                <w:szCs w:val="22"/>
              </w:rPr>
            </w:pPr>
            <w:r w:rsidRPr="000577EC">
              <w:rPr>
                <w:szCs w:val="22"/>
              </w:rPr>
              <w:t>1</w:t>
            </w:r>
            <w:r w:rsidR="00A2028F">
              <w:rPr>
                <w:szCs w:val="22"/>
              </w:rPr>
              <w:t>)</w:t>
            </w:r>
            <w:r w:rsidR="00A2028F" w:rsidRPr="000577EC">
              <w:rPr>
                <w:szCs w:val="22"/>
              </w:rPr>
              <w:t xml:space="preserve"> </w:t>
            </w:r>
            <w:r w:rsidR="00E92EF0">
              <w:t xml:space="preserve">Ventspils pilsētas domes priekšlikums samazināt </w:t>
            </w:r>
            <w:r w:rsidR="00E92EF0" w:rsidRPr="00E92EF0">
              <w:rPr>
                <w:szCs w:val="22"/>
              </w:rPr>
              <w:t>Ventspils pilsētai noteiktos zvejas limitus</w:t>
            </w:r>
            <w:r w:rsidR="00FF30CB" w:rsidRPr="000577EC">
              <w:rPr>
                <w:szCs w:val="22"/>
              </w:rPr>
              <w:t xml:space="preserve"> ir atbalst</w:t>
            </w:r>
            <w:r w:rsidR="00FF30CB">
              <w:rPr>
                <w:szCs w:val="22"/>
              </w:rPr>
              <w:t>āms</w:t>
            </w:r>
            <w:r w:rsidR="00E92EF0" w:rsidRPr="00E92EF0">
              <w:rPr>
                <w:szCs w:val="22"/>
              </w:rPr>
              <w:t xml:space="preserve">. </w:t>
            </w:r>
            <w:r w:rsidR="00B84B35">
              <w:rPr>
                <w:szCs w:val="22"/>
              </w:rPr>
              <w:t>Noteikumu projekts paredz samazināt</w:t>
            </w:r>
            <w:r w:rsidR="00E92EF0" w:rsidRPr="00E92EF0">
              <w:rPr>
                <w:szCs w:val="22"/>
              </w:rPr>
              <w:t xml:space="preserve"> zvejas rīku skaita limitu </w:t>
            </w:r>
            <w:r w:rsidR="00F03B70">
              <w:rPr>
                <w:szCs w:val="22"/>
              </w:rPr>
              <w:t>p</w:t>
            </w:r>
            <w:r w:rsidR="00E92EF0">
              <w:rPr>
                <w:szCs w:val="22"/>
              </w:rPr>
              <w:t xml:space="preserve">ar </w:t>
            </w:r>
            <w:r w:rsidR="00121B5C">
              <w:rPr>
                <w:szCs w:val="22"/>
              </w:rPr>
              <w:t>diviem</w:t>
            </w:r>
            <w:r w:rsidR="00E92EF0" w:rsidRPr="00E92EF0">
              <w:rPr>
                <w:szCs w:val="22"/>
              </w:rPr>
              <w:t xml:space="preserve"> reņģu stāvvadi</w:t>
            </w:r>
            <w:r w:rsidR="00E92EF0">
              <w:rPr>
                <w:szCs w:val="22"/>
              </w:rPr>
              <w:t>em</w:t>
            </w:r>
            <w:r w:rsidR="00E92EF0" w:rsidRPr="00E92EF0">
              <w:rPr>
                <w:szCs w:val="22"/>
              </w:rPr>
              <w:t xml:space="preserve">, </w:t>
            </w:r>
            <w:r w:rsidR="00121B5C">
              <w:rPr>
                <w:szCs w:val="22"/>
              </w:rPr>
              <w:t>trīs</w:t>
            </w:r>
            <w:r w:rsidR="00E92EF0" w:rsidRPr="00E92EF0">
              <w:rPr>
                <w:szCs w:val="22"/>
              </w:rPr>
              <w:t xml:space="preserve"> lucīšu murdi</w:t>
            </w:r>
            <w:r w:rsidR="00E92EF0">
              <w:rPr>
                <w:szCs w:val="22"/>
              </w:rPr>
              <w:t>em, 41 zivju tīklu</w:t>
            </w:r>
            <w:r w:rsidR="00B84B35">
              <w:rPr>
                <w:szCs w:val="22"/>
              </w:rPr>
              <w:t>,</w:t>
            </w:r>
            <w:r w:rsidR="00E92EF0">
              <w:rPr>
                <w:szCs w:val="22"/>
              </w:rPr>
              <w:t xml:space="preserve"> 23 reņģu tīklu</w:t>
            </w:r>
            <w:r w:rsidR="00B84B35">
              <w:rPr>
                <w:szCs w:val="22"/>
              </w:rPr>
              <w:t xml:space="preserve">, 500 zivju āķiem un </w:t>
            </w:r>
            <w:r w:rsidR="00121B5C">
              <w:rPr>
                <w:szCs w:val="22"/>
              </w:rPr>
              <w:t>pieciem</w:t>
            </w:r>
            <w:r w:rsidR="00B84B35">
              <w:rPr>
                <w:szCs w:val="22"/>
              </w:rPr>
              <w:t xml:space="preserve"> akmeņplekstu tīkliem</w:t>
            </w:r>
            <w:r w:rsidR="00E92EF0">
              <w:rPr>
                <w:szCs w:val="22"/>
              </w:rPr>
              <w:t>.</w:t>
            </w:r>
            <w:r w:rsidR="00E92EF0">
              <w:t xml:space="preserve"> </w:t>
            </w:r>
            <w:r w:rsidR="00E92EF0" w:rsidRPr="00E92EF0">
              <w:rPr>
                <w:szCs w:val="22"/>
              </w:rPr>
              <w:t xml:space="preserve">Vienlaikus, ņemot vērā Rucavas novada domes un Liepājas pilsētas pašvaldības administrācijas lūgumus piešķirt papildu zvejas rīku limitus, </w:t>
            </w:r>
            <w:r w:rsidR="00E92EF0">
              <w:rPr>
                <w:szCs w:val="22"/>
              </w:rPr>
              <w:t>i</w:t>
            </w:r>
            <w:r w:rsidR="00E92EF0" w:rsidRPr="00E92EF0">
              <w:rPr>
                <w:szCs w:val="22"/>
              </w:rPr>
              <w:t xml:space="preserve">nstitūts ierosina daļu no samazināmā Ventspils pilsētas zvejas rīku skaita </w:t>
            </w:r>
            <w:r w:rsidR="00E92EF0" w:rsidRPr="00E92EF0">
              <w:rPr>
                <w:szCs w:val="22"/>
              </w:rPr>
              <w:lastRenderedPageBreak/>
              <w:t>limita (</w:t>
            </w:r>
            <w:r w:rsidR="00121B5C">
              <w:rPr>
                <w:szCs w:val="22"/>
              </w:rPr>
              <w:t>divus</w:t>
            </w:r>
            <w:r w:rsidR="00E92EF0" w:rsidRPr="00E92EF0">
              <w:rPr>
                <w:szCs w:val="22"/>
              </w:rPr>
              <w:t xml:space="preserve"> reņģu stāvvad</w:t>
            </w:r>
            <w:r w:rsidR="00F03B70">
              <w:rPr>
                <w:szCs w:val="22"/>
              </w:rPr>
              <w:t>us</w:t>
            </w:r>
            <w:r w:rsidR="00E92EF0" w:rsidRPr="00E92EF0">
              <w:rPr>
                <w:szCs w:val="22"/>
              </w:rPr>
              <w:t xml:space="preserve">, </w:t>
            </w:r>
            <w:r w:rsidR="00121B5C">
              <w:rPr>
                <w:szCs w:val="22"/>
              </w:rPr>
              <w:t>divus</w:t>
            </w:r>
            <w:r w:rsidR="00E92EF0" w:rsidRPr="00E92EF0">
              <w:rPr>
                <w:szCs w:val="22"/>
              </w:rPr>
              <w:t xml:space="preserve"> lucīšu murd</w:t>
            </w:r>
            <w:r w:rsidR="00F03B70">
              <w:rPr>
                <w:szCs w:val="22"/>
              </w:rPr>
              <w:t>us</w:t>
            </w:r>
            <w:r w:rsidR="00E92EF0" w:rsidRPr="00E92EF0">
              <w:rPr>
                <w:szCs w:val="22"/>
              </w:rPr>
              <w:t>, 41 zivju tīkl</w:t>
            </w:r>
            <w:r w:rsidR="00F03B70">
              <w:rPr>
                <w:szCs w:val="22"/>
              </w:rPr>
              <w:t>u</w:t>
            </w:r>
            <w:r w:rsidR="00E92EF0" w:rsidRPr="00E92EF0">
              <w:rPr>
                <w:szCs w:val="22"/>
              </w:rPr>
              <w:t>, 23 reņģu tīkl</w:t>
            </w:r>
            <w:r w:rsidR="00F03B70">
              <w:rPr>
                <w:szCs w:val="22"/>
              </w:rPr>
              <w:t>us</w:t>
            </w:r>
            <w:r w:rsidR="00E92EF0" w:rsidRPr="00E92EF0">
              <w:rPr>
                <w:szCs w:val="22"/>
              </w:rPr>
              <w:t>) pārdalīt Rucavas novadam un Liepājas pilsētai</w:t>
            </w:r>
            <w:r w:rsidR="00121B5C">
              <w:rPr>
                <w:szCs w:val="22"/>
              </w:rPr>
              <w:t>;</w:t>
            </w:r>
          </w:p>
          <w:p w14:paraId="58F7D2EB" w14:textId="21E5E004" w:rsidR="001B3E56" w:rsidRDefault="001B3E56" w:rsidP="006F7405">
            <w:pPr>
              <w:tabs>
                <w:tab w:val="left" w:pos="562"/>
                <w:tab w:val="left" w:pos="7083"/>
              </w:tabs>
              <w:ind w:right="137"/>
              <w:jc w:val="both"/>
              <w:rPr>
                <w:szCs w:val="22"/>
              </w:rPr>
            </w:pPr>
            <w:r w:rsidRPr="000577EC">
              <w:rPr>
                <w:szCs w:val="22"/>
              </w:rPr>
              <w:t>2</w:t>
            </w:r>
            <w:r w:rsidR="00A2028F">
              <w:rPr>
                <w:szCs w:val="22"/>
              </w:rPr>
              <w:t>)</w:t>
            </w:r>
            <w:r w:rsidRPr="000577EC">
              <w:rPr>
                <w:szCs w:val="22"/>
              </w:rPr>
              <w:t xml:space="preserve"> </w:t>
            </w:r>
            <w:r w:rsidR="00B84B35">
              <w:rPr>
                <w:szCs w:val="22"/>
              </w:rPr>
              <w:t>Rucavas</w:t>
            </w:r>
            <w:r w:rsidR="007F1F1C" w:rsidRPr="000577EC">
              <w:rPr>
                <w:szCs w:val="22"/>
              </w:rPr>
              <w:t xml:space="preserve"> novada domes</w:t>
            </w:r>
            <w:r w:rsidRPr="000577EC">
              <w:rPr>
                <w:szCs w:val="22"/>
              </w:rPr>
              <w:t xml:space="preserve"> priekšlikums </w:t>
            </w:r>
            <w:r w:rsidR="00B84B35" w:rsidRPr="00B84B35">
              <w:rPr>
                <w:szCs w:val="22"/>
              </w:rPr>
              <w:t xml:space="preserve">papildus noteiktajiem limitiem piešķirt </w:t>
            </w:r>
            <w:r w:rsidR="00121B5C">
              <w:rPr>
                <w:szCs w:val="22"/>
              </w:rPr>
              <w:t>deviņus</w:t>
            </w:r>
            <w:r w:rsidR="00B84B35" w:rsidRPr="00B84B35">
              <w:rPr>
                <w:szCs w:val="22"/>
              </w:rPr>
              <w:t xml:space="preserve"> reņģu stāvvadus, </w:t>
            </w:r>
            <w:r w:rsidR="00121B5C">
              <w:rPr>
                <w:szCs w:val="22"/>
              </w:rPr>
              <w:t>septiņus</w:t>
            </w:r>
            <w:r w:rsidR="00B84B35" w:rsidRPr="00B84B35">
              <w:rPr>
                <w:szCs w:val="22"/>
              </w:rPr>
              <w:t xml:space="preserve"> zivju murdus, 30 lucīšu murdus, 81 zivju tīklu, 111 reņģu tīklu, </w:t>
            </w:r>
            <w:r w:rsidR="00121B5C">
              <w:rPr>
                <w:szCs w:val="22"/>
              </w:rPr>
              <w:t>piecus</w:t>
            </w:r>
            <w:r w:rsidR="00B84B35" w:rsidRPr="00B84B35">
              <w:rPr>
                <w:szCs w:val="22"/>
              </w:rPr>
              <w:t xml:space="preserve"> apaļo jūrasgrunduļu murdus, kā arī par 50 tīkliem palielināt Rucavas novada piekrastē kopējo zivju tīklu limitu ar acs izmēru 60</w:t>
            </w:r>
            <w:r w:rsidR="00121B5C">
              <w:rPr>
                <w:szCs w:val="22"/>
              </w:rPr>
              <w:t>–</w:t>
            </w:r>
            <w:r w:rsidR="00B84B35" w:rsidRPr="00B84B35">
              <w:rPr>
                <w:szCs w:val="22"/>
              </w:rPr>
              <w:t>70 mm apaļā jūrasgrunduļa zvejai laikposmā no 1. aprīļa līdz 30.</w:t>
            </w:r>
            <w:r w:rsidR="00F03B70">
              <w:rPr>
                <w:szCs w:val="22"/>
              </w:rPr>
              <w:t> </w:t>
            </w:r>
            <w:r w:rsidR="00B84B35" w:rsidRPr="00B84B35">
              <w:rPr>
                <w:szCs w:val="22"/>
              </w:rPr>
              <w:t>jūnijam</w:t>
            </w:r>
            <w:r w:rsidR="00FF30CB" w:rsidRPr="000577EC">
              <w:rPr>
                <w:szCs w:val="22"/>
              </w:rPr>
              <w:t xml:space="preserve"> ir </w:t>
            </w:r>
            <w:r w:rsidR="00FF30CB">
              <w:rPr>
                <w:szCs w:val="22"/>
              </w:rPr>
              <w:t xml:space="preserve">daļēji </w:t>
            </w:r>
            <w:r w:rsidR="00FF30CB" w:rsidRPr="000577EC">
              <w:rPr>
                <w:szCs w:val="22"/>
              </w:rPr>
              <w:t>atbalst</w:t>
            </w:r>
            <w:r w:rsidR="00FF30CB">
              <w:rPr>
                <w:szCs w:val="22"/>
              </w:rPr>
              <w:t>āms</w:t>
            </w:r>
            <w:r w:rsidR="00B84B35" w:rsidRPr="00B84B35">
              <w:rPr>
                <w:szCs w:val="22"/>
              </w:rPr>
              <w:t xml:space="preserve">. </w:t>
            </w:r>
            <w:r w:rsidR="00FF30CB">
              <w:rPr>
                <w:szCs w:val="22"/>
              </w:rPr>
              <w:t>D</w:t>
            </w:r>
            <w:r w:rsidR="00B84B35" w:rsidRPr="00B84B35">
              <w:rPr>
                <w:szCs w:val="22"/>
              </w:rPr>
              <w:t xml:space="preserve">ome piedāvā samazināt </w:t>
            </w:r>
            <w:r w:rsidR="00FF30CB">
              <w:rPr>
                <w:szCs w:val="22"/>
              </w:rPr>
              <w:t xml:space="preserve">arī </w:t>
            </w:r>
            <w:r w:rsidR="00B84B35" w:rsidRPr="00B84B35">
              <w:rPr>
                <w:szCs w:val="22"/>
              </w:rPr>
              <w:t>zivju vadu limitu</w:t>
            </w:r>
            <w:r w:rsidR="00121B5C" w:rsidRPr="00B84B35">
              <w:rPr>
                <w:szCs w:val="22"/>
              </w:rPr>
              <w:t xml:space="preserve"> par </w:t>
            </w:r>
            <w:r w:rsidR="00121B5C">
              <w:rPr>
                <w:szCs w:val="22"/>
              </w:rPr>
              <w:t>diviem vadiem</w:t>
            </w:r>
            <w:r w:rsidR="00B84B35" w:rsidRPr="00B84B35">
              <w:rPr>
                <w:szCs w:val="22"/>
              </w:rPr>
              <w:t>.</w:t>
            </w:r>
          </w:p>
          <w:p w14:paraId="36635C56" w14:textId="0A0ACEE4" w:rsidR="00B84B35" w:rsidRDefault="00B84B35" w:rsidP="006F7405">
            <w:pPr>
              <w:tabs>
                <w:tab w:val="left" w:pos="562"/>
                <w:tab w:val="left" w:pos="7083"/>
              </w:tabs>
              <w:ind w:right="137"/>
              <w:jc w:val="both"/>
              <w:rPr>
                <w:szCs w:val="22"/>
              </w:rPr>
            </w:pPr>
            <w:r>
              <w:rPr>
                <w:szCs w:val="22"/>
              </w:rPr>
              <w:t>I</w:t>
            </w:r>
            <w:r w:rsidRPr="00B84B35">
              <w:rPr>
                <w:szCs w:val="22"/>
              </w:rPr>
              <w:t xml:space="preserve">evērojot piesardzīgas pieejas principu, </w:t>
            </w:r>
            <w:r>
              <w:rPr>
                <w:szCs w:val="22"/>
              </w:rPr>
              <w:t>i</w:t>
            </w:r>
            <w:r w:rsidRPr="00B84B35">
              <w:rPr>
                <w:szCs w:val="22"/>
              </w:rPr>
              <w:t xml:space="preserve">nstitūts </w:t>
            </w:r>
            <w:r w:rsidR="00C9508D">
              <w:rPr>
                <w:szCs w:val="22"/>
              </w:rPr>
              <w:t xml:space="preserve">“BIOR” </w:t>
            </w:r>
            <w:r w:rsidRPr="00B84B35">
              <w:rPr>
                <w:szCs w:val="22"/>
              </w:rPr>
              <w:t xml:space="preserve">neatbalsta kopējās zvejas intensitātes </w:t>
            </w:r>
            <w:r w:rsidR="00FF30CB">
              <w:rPr>
                <w:szCs w:val="22"/>
              </w:rPr>
              <w:t xml:space="preserve">būtisku </w:t>
            </w:r>
            <w:r w:rsidRPr="00B84B35">
              <w:rPr>
                <w:szCs w:val="22"/>
              </w:rPr>
              <w:t xml:space="preserve">palielināšanu Baltijas jūras atklātās daļas piekrastē, </w:t>
            </w:r>
            <w:r>
              <w:rPr>
                <w:szCs w:val="22"/>
              </w:rPr>
              <w:t>bet</w:t>
            </w:r>
            <w:r w:rsidRPr="00B84B35">
              <w:rPr>
                <w:szCs w:val="22"/>
              </w:rPr>
              <w:t xml:space="preserve"> ierosina Rucavas novadam pārdalīt daļu no Ventspils pilsētas zvejas rīku skaita limita, papildu</w:t>
            </w:r>
            <w:r w:rsidR="00121B5C">
              <w:rPr>
                <w:szCs w:val="22"/>
              </w:rPr>
              <w:t>s</w:t>
            </w:r>
            <w:r w:rsidRPr="00B84B35">
              <w:rPr>
                <w:szCs w:val="22"/>
              </w:rPr>
              <w:t xml:space="preserve"> piešķirot</w:t>
            </w:r>
            <w:r w:rsidR="00121B5C">
              <w:rPr>
                <w:szCs w:val="22"/>
              </w:rPr>
              <w:t xml:space="preserve"> vienu</w:t>
            </w:r>
            <w:r w:rsidRPr="00B84B35">
              <w:rPr>
                <w:szCs w:val="22"/>
              </w:rPr>
              <w:t xml:space="preserve"> reņģu stāvvadu, </w:t>
            </w:r>
            <w:r w:rsidR="00121B5C">
              <w:rPr>
                <w:szCs w:val="22"/>
              </w:rPr>
              <w:t>divus</w:t>
            </w:r>
            <w:r w:rsidRPr="00B84B35">
              <w:rPr>
                <w:szCs w:val="22"/>
              </w:rPr>
              <w:t xml:space="preserve"> lucīšu murdus, 31 zivju tīklu un 23 reņģu tīklus. Institūts </w:t>
            </w:r>
            <w:r w:rsidR="00C9508D">
              <w:rPr>
                <w:szCs w:val="22"/>
              </w:rPr>
              <w:t xml:space="preserve">“BIOR” </w:t>
            </w:r>
            <w:r w:rsidRPr="00B84B35">
              <w:rPr>
                <w:szCs w:val="22"/>
              </w:rPr>
              <w:t>atbalsta Rucavas domes piedāvājumu samazināt zivju vadu limitu</w:t>
            </w:r>
            <w:r w:rsidR="00121B5C">
              <w:rPr>
                <w:szCs w:val="22"/>
              </w:rPr>
              <w:t xml:space="preserve"> par diviem vadiem</w:t>
            </w:r>
            <w:r w:rsidRPr="00B84B35">
              <w:rPr>
                <w:szCs w:val="22"/>
              </w:rPr>
              <w:t>, taču neatbalsta domes ierosinājumu par 50 tīkliem palielināt Rucavas novada piekrastē kopējo zivju tīklu limitu ar acs izmēru 60</w:t>
            </w:r>
            <w:r w:rsidR="00121B5C">
              <w:rPr>
                <w:szCs w:val="22"/>
              </w:rPr>
              <w:t>–</w:t>
            </w:r>
            <w:r w:rsidRPr="00B84B35">
              <w:rPr>
                <w:szCs w:val="22"/>
              </w:rPr>
              <w:t>70 mm apaļā jūrasgrunduļa zvejai laikposmā no 1. aprī</w:t>
            </w:r>
            <w:r>
              <w:rPr>
                <w:szCs w:val="22"/>
              </w:rPr>
              <w:t>ļa līdz 30. jūnijam</w:t>
            </w:r>
            <w:r w:rsidR="00FF30CB">
              <w:rPr>
                <w:szCs w:val="22"/>
              </w:rPr>
              <w:t>, jo pašvaldības piekrastes ūdeņi ietilpst aizsargājamā jūras teritorijā “Nida-Pērkone”</w:t>
            </w:r>
            <w:r w:rsidR="000474F1">
              <w:rPr>
                <w:szCs w:val="22"/>
              </w:rPr>
              <w:t>, kur</w:t>
            </w:r>
            <w:r w:rsidR="00121B5C">
              <w:rPr>
                <w:szCs w:val="22"/>
              </w:rPr>
              <w:t>,</w:t>
            </w:r>
            <w:r w:rsidR="000474F1">
              <w:rPr>
                <w:szCs w:val="22"/>
              </w:rPr>
              <w:t xml:space="preserve"> pavasarī intensificējot zveju, var p</w:t>
            </w:r>
            <w:r w:rsidR="00121B5C">
              <w:rPr>
                <w:szCs w:val="22"/>
              </w:rPr>
              <w:t>alielināties</w:t>
            </w:r>
            <w:r w:rsidR="000474F1">
              <w:rPr>
                <w:szCs w:val="22"/>
              </w:rPr>
              <w:t xml:space="preserve"> putnu piezveja to migrācijas laikā</w:t>
            </w:r>
            <w:r>
              <w:rPr>
                <w:szCs w:val="22"/>
              </w:rPr>
              <w:t>.</w:t>
            </w:r>
          </w:p>
          <w:p w14:paraId="1CDA165A" w14:textId="6B39E2E7" w:rsidR="00A30E6C" w:rsidRPr="00C0284D" w:rsidRDefault="000474F1" w:rsidP="006F7405">
            <w:pPr>
              <w:tabs>
                <w:tab w:val="left" w:pos="562"/>
                <w:tab w:val="left" w:pos="7083"/>
              </w:tabs>
              <w:ind w:right="137"/>
              <w:jc w:val="both"/>
              <w:rPr>
                <w:szCs w:val="22"/>
              </w:rPr>
            </w:pPr>
            <w:r w:rsidRPr="00C0284D">
              <w:rPr>
                <w:szCs w:val="22"/>
              </w:rPr>
              <w:t>Vienlaikus</w:t>
            </w:r>
            <w:r w:rsidR="00A97B97" w:rsidRPr="00C0284D">
              <w:rPr>
                <w:szCs w:val="22"/>
              </w:rPr>
              <w:t xml:space="preserve"> institūts </w:t>
            </w:r>
            <w:r w:rsidR="00C9508D">
              <w:rPr>
                <w:szCs w:val="22"/>
              </w:rPr>
              <w:t xml:space="preserve">“BIOR” </w:t>
            </w:r>
            <w:r w:rsidR="00A97B97" w:rsidRPr="00C0284D">
              <w:rPr>
                <w:szCs w:val="22"/>
              </w:rPr>
              <w:t>sniedza rekomendāciju (03.09.2019. Nr.1-6/1004-e</w:t>
            </w:r>
            <w:r w:rsidR="002162FB">
              <w:rPr>
                <w:szCs w:val="22"/>
              </w:rPr>
              <w:t>, pieejama ZM</w:t>
            </w:r>
            <w:r w:rsidR="00A97B97" w:rsidRPr="00C0284D">
              <w:rPr>
                <w:szCs w:val="22"/>
              </w:rPr>
              <w:t>) saistībā ar 2019. gada 23. jūlijā publicēto Komisijas īstenošanas Regulu (ES) 2019/1248, ar ko nosaka pasākumus ar mērķi samazināt nopietnu apdraudējumu mencas (</w:t>
            </w:r>
            <w:r w:rsidR="00A97B97" w:rsidRPr="00C0284D">
              <w:rPr>
                <w:i/>
                <w:szCs w:val="22"/>
              </w:rPr>
              <w:t>Gadus morhua</w:t>
            </w:r>
            <w:r w:rsidR="00A97B97" w:rsidRPr="00C0284D">
              <w:rPr>
                <w:szCs w:val="22"/>
              </w:rPr>
              <w:t>) Baltijas jūras austrumdaļas krājuma saglabāšanai</w:t>
            </w:r>
            <w:r w:rsidR="00121B5C">
              <w:rPr>
                <w:szCs w:val="22"/>
              </w:rPr>
              <w:t>. Tā</w:t>
            </w:r>
            <w:r w:rsidR="00A97B97" w:rsidRPr="00C0284D">
              <w:rPr>
                <w:szCs w:val="22"/>
              </w:rPr>
              <w:t xml:space="preserve"> paredz pilnīgu mencas specializētas zvejas aizliegumu </w:t>
            </w:r>
            <w:r w:rsidR="00A97B97" w:rsidRPr="00FD5829">
              <w:rPr>
                <w:i/>
                <w:szCs w:val="22"/>
              </w:rPr>
              <w:t xml:space="preserve">ICES </w:t>
            </w:r>
            <w:r w:rsidR="00A97B97" w:rsidRPr="00C0284D">
              <w:rPr>
                <w:szCs w:val="22"/>
              </w:rPr>
              <w:t>24., 25. un 26. apakšrajonā, lai lieguma skartajām pašvaldībām iz</w:t>
            </w:r>
            <w:r w:rsidR="00FF30CB" w:rsidRPr="00C0284D">
              <w:rPr>
                <w:szCs w:val="22"/>
              </w:rPr>
              <w:t>vērtētu a</w:t>
            </w:r>
            <w:r w:rsidR="00A97B97" w:rsidRPr="00C0284D">
              <w:rPr>
                <w:szCs w:val="22"/>
              </w:rPr>
              <w:t>lternatīv</w:t>
            </w:r>
            <w:r w:rsidR="00FF30CB" w:rsidRPr="00C0284D">
              <w:rPr>
                <w:szCs w:val="22"/>
              </w:rPr>
              <w:t>as</w:t>
            </w:r>
            <w:r w:rsidR="00A97B97" w:rsidRPr="00C0284D">
              <w:rPr>
                <w:szCs w:val="22"/>
              </w:rPr>
              <w:t xml:space="preserve"> zvejas iespēj</w:t>
            </w:r>
            <w:r w:rsidR="00FF30CB" w:rsidRPr="00C0284D">
              <w:rPr>
                <w:szCs w:val="22"/>
              </w:rPr>
              <w:t>as</w:t>
            </w:r>
            <w:r w:rsidR="00A97B97" w:rsidRPr="00C0284D">
              <w:rPr>
                <w:szCs w:val="22"/>
              </w:rPr>
              <w:t xml:space="preserve"> piekrastes ūdeņos zaudētajām mencu zvejas iespējām. Institūts </w:t>
            </w:r>
            <w:r w:rsidR="00C9508D">
              <w:rPr>
                <w:szCs w:val="22"/>
              </w:rPr>
              <w:t xml:space="preserve">“BIOR” savā </w:t>
            </w:r>
            <w:r w:rsidR="00E063C6" w:rsidRPr="00C0284D">
              <w:rPr>
                <w:szCs w:val="22"/>
              </w:rPr>
              <w:t xml:space="preserve">rekomendācijā </w:t>
            </w:r>
            <w:r w:rsidR="00A97B97" w:rsidRPr="00C0284D">
              <w:rPr>
                <w:szCs w:val="22"/>
              </w:rPr>
              <w:t xml:space="preserve">norāda, </w:t>
            </w:r>
            <w:r w:rsidR="00A30E6C" w:rsidRPr="00C0284D">
              <w:rPr>
                <w:szCs w:val="22"/>
              </w:rPr>
              <w:t xml:space="preserve">ka </w:t>
            </w:r>
            <w:r w:rsidR="00121B5C" w:rsidRPr="00C0284D">
              <w:rPr>
                <w:szCs w:val="22"/>
              </w:rPr>
              <w:t xml:space="preserve">26.apakšrajonā varētu palielināt reņģu stāvvadu skaita limitu par 6 </w:t>
            </w:r>
            <w:r w:rsidR="00121B5C">
              <w:rPr>
                <w:szCs w:val="22"/>
              </w:rPr>
              <w:t>vadiem,</w:t>
            </w:r>
            <w:r w:rsidR="00121B5C" w:rsidRPr="00C0284D">
              <w:rPr>
                <w:szCs w:val="22"/>
              </w:rPr>
              <w:t xml:space="preserve"> </w:t>
            </w:r>
            <w:r w:rsidR="00867973">
              <w:rPr>
                <w:szCs w:val="22"/>
              </w:rPr>
              <w:t>jo</w:t>
            </w:r>
            <w:r w:rsidR="00A30E6C" w:rsidRPr="00C0284D">
              <w:rPr>
                <w:szCs w:val="22"/>
              </w:rPr>
              <w:t xml:space="preserve"> piekrastes zvejniekiem ir vēl</w:t>
            </w:r>
            <w:r w:rsidR="00121B5C">
              <w:rPr>
                <w:szCs w:val="22"/>
              </w:rPr>
              <w:t>ēšanās</w:t>
            </w:r>
            <w:r w:rsidR="00A30E6C" w:rsidRPr="00C0284D">
              <w:rPr>
                <w:szCs w:val="22"/>
              </w:rPr>
              <w:t xml:space="preserve"> intensīvāk zvejot apaļo jūrasgrunduli</w:t>
            </w:r>
            <w:r w:rsidR="00867973">
              <w:rPr>
                <w:szCs w:val="22"/>
              </w:rPr>
              <w:t xml:space="preserve"> un</w:t>
            </w:r>
            <w:r w:rsidR="00A30E6C" w:rsidRPr="00C0284D">
              <w:rPr>
                <w:szCs w:val="22"/>
              </w:rPr>
              <w:t xml:space="preserve"> arī </w:t>
            </w:r>
            <w:r w:rsidR="00A30E6C" w:rsidRPr="00FD5829">
              <w:rPr>
                <w:i/>
                <w:szCs w:val="22"/>
              </w:rPr>
              <w:t>ICES</w:t>
            </w:r>
            <w:r w:rsidR="00A30E6C" w:rsidRPr="00C0284D">
              <w:rPr>
                <w:szCs w:val="22"/>
              </w:rPr>
              <w:t xml:space="preserve"> snie</w:t>
            </w:r>
            <w:r w:rsidR="00867973">
              <w:rPr>
                <w:szCs w:val="22"/>
              </w:rPr>
              <w:t>dzis</w:t>
            </w:r>
            <w:r w:rsidR="00A30E6C" w:rsidRPr="00C0284D">
              <w:rPr>
                <w:szCs w:val="22"/>
              </w:rPr>
              <w:t xml:space="preserve"> zinātnisk</w:t>
            </w:r>
            <w:r w:rsidR="00867973">
              <w:rPr>
                <w:szCs w:val="22"/>
              </w:rPr>
              <w:t>u</w:t>
            </w:r>
            <w:r w:rsidR="00A30E6C" w:rsidRPr="00C0284D">
              <w:rPr>
                <w:szCs w:val="22"/>
              </w:rPr>
              <w:t xml:space="preserve"> padomu, kurā Baltijas jūras centrālās daļas reņģu krājuma stāvoklis novērtēts labā līmenī. </w:t>
            </w:r>
            <w:r w:rsidR="00CA1BE4" w:rsidRPr="00C0284D">
              <w:rPr>
                <w:szCs w:val="22"/>
              </w:rPr>
              <w:t>Pēc informācijas no piekrastes zvejas žurnāliem</w:t>
            </w:r>
            <w:r w:rsidR="00121B5C">
              <w:rPr>
                <w:szCs w:val="22"/>
              </w:rPr>
              <w:t>,</w:t>
            </w:r>
            <w:r w:rsidR="00CA1BE4" w:rsidRPr="00C0284D">
              <w:rPr>
                <w:szCs w:val="22"/>
              </w:rPr>
              <w:t xml:space="preserve"> ar reņģu stāvvadiem </w:t>
            </w:r>
            <w:r w:rsidR="00121B5C">
              <w:rPr>
                <w:szCs w:val="22"/>
              </w:rPr>
              <w:t>pārsvarā</w:t>
            </w:r>
            <w:r w:rsidR="00CA1BE4" w:rsidRPr="00C0284D">
              <w:rPr>
                <w:szCs w:val="22"/>
              </w:rPr>
              <w:t xml:space="preserve"> tiek nozvejoti apaļie jūrasgrunduļi un reņģes, turklāt reņģu zvejas limits Baltijas jūras piekrastes ūdeņos pēdējos gados netiek pilnībā </w:t>
            </w:r>
            <w:r w:rsidR="00121B5C">
              <w:rPr>
                <w:szCs w:val="22"/>
              </w:rPr>
              <w:t>izmantots</w:t>
            </w:r>
            <w:r w:rsidR="00CA1BE4" w:rsidRPr="00C0284D">
              <w:rPr>
                <w:szCs w:val="22"/>
              </w:rPr>
              <w:t xml:space="preserve">. </w:t>
            </w:r>
            <w:r w:rsidR="00121B5C">
              <w:rPr>
                <w:szCs w:val="22"/>
              </w:rPr>
              <w:t>Tādējādi</w:t>
            </w:r>
            <w:r w:rsidR="00121B5C" w:rsidRPr="00C0284D">
              <w:rPr>
                <w:szCs w:val="22"/>
              </w:rPr>
              <w:t xml:space="preserve"> noteikumu projekt</w:t>
            </w:r>
            <w:r w:rsidR="00121B5C">
              <w:rPr>
                <w:szCs w:val="22"/>
              </w:rPr>
              <w:t>ā</w:t>
            </w:r>
            <w:r w:rsidR="00121B5C" w:rsidRPr="00C0284D">
              <w:rPr>
                <w:szCs w:val="22"/>
              </w:rPr>
              <w:t xml:space="preserve"> paredz</w:t>
            </w:r>
            <w:r w:rsidR="00121B5C">
              <w:rPr>
                <w:szCs w:val="22"/>
              </w:rPr>
              <w:t xml:space="preserve">ēts </w:t>
            </w:r>
            <w:r w:rsidR="00121B5C" w:rsidRPr="00C0284D">
              <w:rPr>
                <w:szCs w:val="22"/>
              </w:rPr>
              <w:t xml:space="preserve">iedalīt </w:t>
            </w:r>
            <w:r w:rsidR="00121B5C">
              <w:rPr>
                <w:szCs w:val="22"/>
              </w:rPr>
              <w:t>piecus</w:t>
            </w:r>
            <w:r w:rsidR="00121B5C" w:rsidRPr="00C0284D">
              <w:rPr>
                <w:szCs w:val="22"/>
              </w:rPr>
              <w:t xml:space="preserve"> stāvvadus </w:t>
            </w:r>
            <w:r w:rsidR="00A30E6C" w:rsidRPr="00C0284D">
              <w:rPr>
                <w:szCs w:val="22"/>
              </w:rPr>
              <w:t xml:space="preserve">Rucavas novada pašvaldībai </w:t>
            </w:r>
            <w:r w:rsidR="00121B5C">
              <w:rPr>
                <w:szCs w:val="22"/>
              </w:rPr>
              <w:t>(</w:t>
            </w:r>
            <w:r w:rsidR="00A30E6C" w:rsidRPr="00C0284D">
              <w:rPr>
                <w:szCs w:val="22"/>
              </w:rPr>
              <w:t xml:space="preserve">no šīs pašvaldības tika saņemts lūgums iedalīt </w:t>
            </w:r>
            <w:r w:rsidR="00121B5C">
              <w:rPr>
                <w:szCs w:val="22"/>
              </w:rPr>
              <w:t>deviņus</w:t>
            </w:r>
            <w:r w:rsidR="00A30E6C" w:rsidRPr="00C0284D">
              <w:rPr>
                <w:szCs w:val="22"/>
              </w:rPr>
              <w:t xml:space="preserve"> stāvvadus</w:t>
            </w:r>
            <w:r w:rsidR="00121B5C">
              <w:rPr>
                <w:szCs w:val="22"/>
              </w:rPr>
              <w:t>)</w:t>
            </w:r>
            <w:r w:rsidR="00A30E6C" w:rsidRPr="00C0284D">
              <w:rPr>
                <w:szCs w:val="22"/>
              </w:rPr>
              <w:t>.</w:t>
            </w:r>
            <w:r w:rsidR="00CA1BE4" w:rsidRPr="00C0284D">
              <w:rPr>
                <w:szCs w:val="22"/>
              </w:rPr>
              <w:t xml:space="preserve"> Vēl viens stāvvads paredzēts Liepājas pilsētas pašvaldībai, bet no Nīcas novada pašvaldības nav saņemts priekšlikums par nepieciešamību palielināt zvejas limitus, tāpēc šai pašvaldībai 2020.</w:t>
            </w:r>
            <w:r w:rsidR="00121B5C">
              <w:rPr>
                <w:szCs w:val="22"/>
              </w:rPr>
              <w:t xml:space="preserve"> </w:t>
            </w:r>
            <w:r w:rsidR="00CA1BE4" w:rsidRPr="00C0284D">
              <w:rPr>
                <w:szCs w:val="22"/>
              </w:rPr>
              <w:t>gadā zvejas limiti netiek mainīti</w:t>
            </w:r>
            <w:r w:rsidR="00121B5C">
              <w:rPr>
                <w:szCs w:val="22"/>
              </w:rPr>
              <w:t>;</w:t>
            </w:r>
          </w:p>
          <w:p w14:paraId="75983CA1" w14:textId="66E6F49F" w:rsidR="002C1630" w:rsidRPr="00C83496" w:rsidRDefault="002C1630" w:rsidP="006F7405">
            <w:pPr>
              <w:tabs>
                <w:tab w:val="left" w:pos="562"/>
                <w:tab w:val="left" w:pos="7083"/>
              </w:tabs>
              <w:ind w:right="137"/>
              <w:jc w:val="both"/>
              <w:rPr>
                <w:color w:val="FF0000"/>
                <w:szCs w:val="22"/>
              </w:rPr>
            </w:pPr>
            <w:r>
              <w:rPr>
                <w:szCs w:val="22"/>
              </w:rPr>
              <w:t xml:space="preserve">3) Liepājas pilsētas administrācijas priekšlikums </w:t>
            </w:r>
            <w:r w:rsidRPr="002C1630">
              <w:rPr>
                <w:szCs w:val="22"/>
              </w:rPr>
              <w:t xml:space="preserve">piešķirt papildu 10 zivju tīklus, </w:t>
            </w:r>
            <w:r w:rsidR="00121B5C">
              <w:rPr>
                <w:szCs w:val="22"/>
              </w:rPr>
              <w:t>trīs</w:t>
            </w:r>
            <w:r w:rsidRPr="002C1630">
              <w:rPr>
                <w:szCs w:val="22"/>
              </w:rPr>
              <w:t xml:space="preserve"> zivju murdus un </w:t>
            </w:r>
            <w:r w:rsidR="00121B5C">
              <w:rPr>
                <w:szCs w:val="22"/>
              </w:rPr>
              <w:t>divus</w:t>
            </w:r>
            <w:r w:rsidRPr="002C1630">
              <w:rPr>
                <w:szCs w:val="22"/>
              </w:rPr>
              <w:t xml:space="preserve"> reņģu stāvvadus</w:t>
            </w:r>
            <w:r w:rsidR="000474F1">
              <w:rPr>
                <w:szCs w:val="22"/>
              </w:rPr>
              <w:t xml:space="preserve"> ir daļēji atbalstāms</w:t>
            </w:r>
            <w:r w:rsidRPr="002C1630">
              <w:rPr>
                <w:szCs w:val="22"/>
              </w:rPr>
              <w:t>.</w:t>
            </w:r>
            <w:r>
              <w:rPr>
                <w:szCs w:val="22"/>
              </w:rPr>
              <w:t xml:space="preserve"> </w:t>
            </w:r>
            <w:r w:rsidRPr="002C1630">
              <w:rPr>
                <w:szCs w:val="22"/>
              </w:rPr>
              <w:t xml:space="preserve">Institūts neatbalsta kopējās zvejas intensitātes palielināšanu Baltijas jūras atklātās daļas piekrastē, </w:t>
            </w:r>
            <w:r>
              <w:rPr>
                <w:szCs w:val="22"/>
              </w:rPr>
              <w:t>bet</w:t>
            </w:r>
            <w:r w:rsidRPr="002C1630">
              <w:rPr>
                <w:szCs w:val="22"/>
              </w:rPr>
              <w:t xml:space="preserve"> ierosina Liepājas pilsētai pārdalīt daļu no Ventspils pilsētas</w:t>
            </w:r>
            <w:r w:rsidRPr="00C0284D">
              <w:rPr>
                <w:szCs w:val="22"/>
              </w:rPr>
              <w:t xml:space="preserve"> zvejas rīku skaita limita, papildu</w:t>
            </w:r>
            <w:r w:rsidR="00121B5C">
              <w:rPr>
                <w:szCs w:val="22"/>
              </w:rPr>
              <w:t>s</w:t>
            </w:r>
            <w:r w:rsidRPr="00C0284D">
              <w:rPr>
                <w:szCs w:val="22"/>
              </w:rPr>
              <w:t xml:space="preserve"> piešķirot </w:t>
            </w:r>
            <w:r w:rsidR="00121B5C">
              <w:rPr>
                <w:szCs w:val="22"/>
              </w:rPr>
              <w:t>vienu</w:t>
            </w:r>
            <w:r w:rsidRPr="00C0284D">
              <w:rPr>
                <w:szCs w:val="22"/>
              </w:rPr>
              <w:t xml:space="preserve"> reņģu stāvvadu un 10 zivju tīklus</w:t>
            </w:r>
            <w:r w:rsidR="000474F1" w:rsidRPr="00C0284D">
              <w:rPr>
                <w:szCs w:val="22"/>
              </w:rPr>
              <w:t xml:space="preserve">, kā arī mencu zvejas lieguma kompensācijai papildus iedalīt </w:t>
            </w:r>
            <w:r w:rsidR="00121B5C">
              <w:rPr>
                <w:szCs w:val="22"/>
              </w:rPr>
              <w:t>vienu</w:t>
            </w:r>
            <w:r w:rsidR="000474F1" w:rsidRPr="00C0284D">
              <w:rPr>
                <w:szCs w:val="22"/>
              </w:rPr>
              <w:t xml:space="preserve"> reņģu stāvvadu</w:t>
            </w:r>
            <w:r w:rsidR="00121B5C">
              <w:rPr>
                <w:szCs w:val="22"/>
              </w:rPr>
              <w:t>;</w:t>
            </w:r>
          </w:p>
          <w:p w14:paraId="6C5AE6B2" w14:textId="77777777" w:rsidR="002C1630" w:rsidRPr="002C1630" w:rsidRDefault="002C1630" w:rsidP="006F7405">
            <w:pPr>
              <w:tabs>
                <w:tab w:val="left" w:pos="562"/>
                <w:tab w:val="left" w:pos="7083"/>
              </w:tabs>
              <w:ind w:right="137"/>
              <w:jc w:val="both"/>
              <w:rPr>
                <w:szCs w:val="22"/>
              </w:rPr>
            </w:pPr>
            <w:r>
              <w:rPr>
                <w:szCs w:val="22"/>
              </w:rPr>
              <w:t xml:space="preserve">4) </w:t>
            </w:r>
            <w:r w:rsidRPr="002C1630">
              <w:rPr>
                <w:szCs w:val="22"/>
              </w:rPr>
              <w:t>Salacgrīvas novada dome</w:t>
            </w:r>
            <w:r>
              <w:rPr>
                <w:szCs w:val="22"/>
              </w:rPr>
              <w:t>s</w:t>
            </w:r>
            <w:r w:rsidRPr="002C1630">
              <w:rPr>
                <w:szCs w:val="22"/>
              </w:rPr>
              <w:t xml:space="preserve"> </w:t>
            </w:r>
            <w:r>
              <w:rPr>
                <w:szCs w:val="22"/>
              </w:rPr>
              <w:t>priekšlikums</w:t>
            </w:r>
            <w:r w:rsidRPr="002C1630">
              <w:rPr>
                <w:szCs w:val="22"/>
              </w:rPr>
              <w:t xml:space="preserve"> palielināt apaļo jūrasgrunduļu murdu limitu no 1 uz 10 murdiem</w:t>
            </w:r>
            <w:r w:rsidR="000474F1">
              <w:rPr>
                <w:szCs w:val="22"/>
              </w:rPr>
              <w:t xml:space="preserve"> ir daļēji atbalstāms</w:t>
            </w:r>
            <w:r w:rsidRPr="002C1630">
              <w:rPr>
                <w:szCs w:val="22"/>
              </w:rPr>
              <w:t>.</w:t>
            </w:r>
          </w:p>
          <w:p w14:paraId="76511E64" w14:textId="5A0A69D6" w:rsidR="002C1630" w:rsidRDefault="002C1630" w:rsidP="006F7405">
            <w:pPr>
              <w:tabs>
                <w:tab w:val="left" w:pos="562"/>
                <w:tab w:val="left" w:pos="7083"/>
              </w:tabs>
              <w:ind w:right="137"/>
              <w:jc w:val="both"/>
              <w:rPr>
                <w:szCs w:val="22"/>
              </w:rPr>
            </w:pPr>
            <w:r>
              <w:rPr>
                <w:szCs w:val="22"/>
              </w:rPr>
              <w:lastRenderedPageBreak/>
              <w:t xml:space="preserve">Institūts </w:t>
            </w:r>
            <w:r w:rsidR="00C9508D">
              <w:rPr>
                <w:szCs w:val="22"/>
              </w:rPr>
              <w:t xml:space="preserve">“BIOR” </w:t>
            </w:r>
            <w:r>
              <w:rPr>
                <w:szCs w:val="22"/>
              </w:rPr>
              <w:t xml:space="preserve">norāda, ka </w:t>
            </w:r>
            <w:r w:rsidRPr="002C1630">
              <w:rPr>
                <w:szCs w:val="22"/>
              </w:rPr>
              <w:t>apaļā jūrasgrunduļa nozveja Salacgrīvas novadā 2019. gada pirmajos piecos mēnešos salīdzin</w:t>
            </w:r>
            <w:r w:rsidR="00121B5C">
              <w:rPr>
                <w:szCs w:val="22"/>
              </w:rPr>
              <w:t>ājumā</w:t>
            </w:r>
            <w:r w:rsidRPr="002C1630">
              <w:rPr>
                <w:szCs w:val="22"/>
              </w:rPr>
              <w:t xml:space="preserve"> ar 2018. gadu ir dubultojusies. Pēdējos divos gados Salacgrīvas novadā vairāk nekā 98 % apaļā jūrasgrunduļa nozvejas tiek īstenota ar pasīviem zvejas rīkiem – lucīšu murdiem, zivju murdiem un apaļo jūrasgrunduļu murdiem</w:t>
            </w:r>
            <w:r>
              <w:rPr>
                <w:szCs w:val="22"/>
              </w:rPr>
              <w:t xml:space="preserve">. </w:t>
            </w:r>
            <w:r w:rsidRPr="002C1630">
              <w:rPr>
                <w:szCs w:val="22"/>
              </w:rPr>
              <w:t xml:space="preserve">Ņemot vērā piesardzīgas pieejas principu, </w:t>
            </w:r>
            <w:r>
              <w:rPr>
                <w:szCs w:val="22"/>
              </w:rPr>
              <w:t>i</w:t>
            </w:r>
            <w:r w:rsidRPr="002C1630">
              <w:rPr>
                <w:szCs w:val="22"/>
              </w:rPr>
              <w:t xml:space="preserve">nstitūts </w:t>
            </w:r>
            <w:r w:rsidR="00C9508D">
              <w:rPr>
                <w:szCs w:val="22"/>
              </w:rPr>
              <w:t xml:space="preserve">“BIOR” </w:t>
            </w:r>
            <w:r w:rsidRPr="002C1630">
              <w:rPr>
                <w:szCs w:val="22"/>
              </w:rPr>
              <w:t>ierosina Salacgrīvas novadam papildu</w:t>
            </w:r>
            <w:r w:rsidR="00121B5C">
              <w:rPr>
                <w:szCs w:val="22"/>
              </w:rPr>
              <w:t>s</w:t>
            </w:r>
            <w:r w:rsidRPr="002C1630">
              <w:rPr>
                <w:szCs w:val="22"/>
              </w:rPr>
              <w:t xml:space="preserve"> piešķirt </w:t>
            </w:r>
            <w:r w:rsidR="00121B5C">
              <w:rPr>
                <w:szCs w:val="22"/>
              </w:rPr>
              <w:t>vienu</w:t>
            </w:r>
            <w:r w:rsidRPr="002C1630">
              <w:rPr>
                <w:szCs w:val="22"/>
              </w:rPr>
              <w:t xml:space="preserve"> apaļo jūrasgrunduļu murdu</w:t>
            </w:r>
            <w:r w:rsidR="00121B5C">
              <w:rPr>
                <w:szCs w:val="22"/>
              </w:rPr>
              <w:t>;</w:t>
            </w:r>
          </w:p>
          <w:p w14:paraId="2107D98B" w14:textId="28E5A7B9" w:rsidR="002C1630" w:rsidRPr="002C1630" w:rsidRDefault="002C1630" w:rsidP="006F7405">
            <w:pPr>
              <w:tabs>
                <w:tab w:val="left" w:pos="562"/>
                <w:tab w:val="left" w:pos="7083"/>
              </w:tabs>
              <w:ind w:right="137"/>
              <w:jc w:val="both"/>
              <w:rPr>
                <w:szCs w:val="22"/>
              </w:rPr>
            </w:pPr>
            <w:r>
              <w:rPr>
                <w:szCs w:val="22"/>
              </w:rPr>
              <w:t xml:space="preserve">5) Jūrmalas pilsētas domes priekšlikums </w:t>
            </w:r>
            <w:r w:rsidRPr="002C1630">
              <w:rPr>
                <w:szCs w:val="22"/>
              </w:rPr>
              <w:t xml:space="preserve">no Jūrmalas pilsētai iedalītajiem zvejas rīku limitiem </w:t>
            </w:r>
            <w:r w:rsidR="00121B5C">
              <w:rPr>
                <w:szCs w:val="22"/>
              </w:rPr>
              <w:t>sešus</w:t>
            </w:r>
            <w:r w:rsidRPr="002C1630">
              <w:rPr>
                <w:szCs w:val="22"/>
              </w:rPr>
              <w:t xml:space="preserve"> zivju murdus, </w:t>
            </w:r>
            <w:r w:rsidR="00121B5C">
              <w:rPr>
                <w:szCs w:val="22"/>
              </w:rPr>
              <w:t>divus</w:t>
            </w:r>
            <w:r w:rsidRPr="002C1630">
              <w:rPr>
                <w:szCs w:val="22"/>
              </w:rPr>
              <w:t xml:space="preserve"> reņģu stāvvadus un 100 zivju āķus pārdalīt citai pašvaldībai</w:t>
            </w:r>
            <w:r w:rsidR="000474F1">
              <w:rPr>
                <w:szCs w:val="22"/>
              </w:rPr>
              <w:t xml:space="preserve"> ir daļēji atbalstāms</w:t>
            </w:r>
            <w:r w:rsidR="00F32867">
              <w:rPr>
                <w:szCs w:val="22"/>
              </w:rPr>
              <w:t>,</w:t>
            </w:r>
            <w:r w:rsidRPr="002C1630">
              <w:rPr>
                <w:szCs w:val="22"/>
              </w:rPr>
              <w:t xml:space="preserve"> daļu no zvejas rīku limitiem piešķir</w:t>
            </w:r>
            <w:r w:rsidR="00F32867">
              <w:rPr>
                <w:szCs w:val="22"/>
              </w:rPr>
              <w:t>o</w:t>
            </w:r>
            <w:r w:rsidRPr="002C1630">
              <w:rPr>
                <w:szCs w:val="22"/>
              </w:rPr>
              <w:t>t Saulkrastu novadam</w:t>
            </w:r>
            <w:r w:rsidR="00121B5C">
              <w:rPr>
                <w:szCs w:val="22"/>
              </w:rPr>
              <w:t>;</w:t>
            </w:r>
          </w:p>
          <w:p w14:paraId="45315CAC" w14:textId="038F4B75" w:rsidR="002C1630" w:rsidRDefault="000474F1" w:rsidP="006F7405">
            <w:pPr>
              <w:tabs>
                <w:tab w:val="left" w:pos="562"/>
                <w:tab w:val="left" w:pos="7083"/>
              </w:tabs>
              <w:ind w:right="137"/>
              <w:jc w:val="both"/>
              <w:rPr>
                <w:szCs w:val="22"/>
              </w:rPr>
            </w:pPr>
            <w:r>
              <w:rPr>
                <w:szCs w:val="22"/>
              </w:rPr>
              <w:t xml:space="preserve">6) Saulkrastu novada domes priekšlikums </w:t>
            </w:r>
            <w:r w:rsidR="00121B5C">
              <w:rPr>
                <w:szCs w:val="22"/>
              </w:rPr>
              <w:t xml:space="preserve">papildus </w:t>
            </w:r>
            <w:r>
              <w:rPr>
                <w:szCs w:val="22"/>
              </w:rPr>
              <w:t xml:space="preserve">piešķirt </w:t>
            </w:r>
            <w:r w:rsidR="00121B5C">
              <w:rPr>
                <w:szCs w:val="22"/>
              </w:rPr>
              <w:t>divus</w:t>
            </w:r>
            <w:r>
              <w:rPr>
                <w:szCs w:val="22"/>
              </w:rPr>
              <w:t xml:space="preserve"> reņģu stāvvadus un </w:t>
            </w:r>
            <w:r w:rsidR="00121B5C">
              <w:rPr>
                <w:szCs w:val="22"/>
              </w:rPr>
              <w:t>trīs</w:t>
            </w:r>
            <w:r>
              <w:rPr>
                <w:szCs w:val="22"/>
              </w:rPr>
              <w:t xml:space="preserve"> zivju murdus ir atbalstāms, ievērojot Jūrmalas pilsētas domes priekšlikumu.</w:t>
            </w:r>
          </w:p>
          <w:p w14:paraId="11BD0EA6" w14:textId="2B4E6E18" w:rsidR="000B66D7" w:rsidRPr="000577EC" w:rsidRDefault="00960829" w:rsidP="006F7405">
            <w:pPr>
              <w:tabs>
                <w:tab w:val="left" w:pos="562"/>
                <w:tab w:val="left" w:pos="7083"/>
              </w:tabs>
              <w:ind w:right="137"/>
              <w:jc w:val="both"/>
              <w:rPr>
                <w:szCs w:val="22"/>
              </w:rPr>
            </w:pPr>
            <w:r>
              <w:rPr>
                <w:color w:val="000000" w:themeColor="text1"/>
              </w:rPr>
              <w:t>Paredzēt</w:t>
            </w:r>
            <w:r w:rsidR="00926769">
              <w:rPr>
                <w:color w:val="000000" w:themeColor="text1"/>
              </w:rPr>
              <w:t>s</w:t>
            </w:r>
            <w:r>
              <w:rPr>
                <w:color w:val="000000" w:themeColor="text1"/>
              </w:rPr>
              <w:t>, ka m</w:t>
            </w:r>
            <w:r w:rsidR="000B66D7" w:rsidRPr="000577EC">
              <w:rPr>
                <w:color w:val="000000" w:themeColor="text1"/>
              </w:rPr>
              <w:t xml:space="preserve">ainītos zvejas limitus varēs piemērot no </w:t>
            </w:r>
            <w:r w:rsidR="002C1630" w:rsidRPr="000577EC">
              <w:rPr>
                <w:color w:val="000000" w:themeColor="text1"/>
              </w:rPr>
              <w:t>20</w:t>
            </w:r>
            <w:r w:rsidR="002C1630">
              <w:rPr>
                <w:color w:val="000000" w:themeColor="text1"/>
              </w:rPr>
              <w:t>20</w:t>
            </w:r>
            <w:r w:rsidR="002C1630" w:rsidRPr="000577EC">
              <w:rPr>
                <w:color w:val="000000" w:themeColor="text1"/>
              </w:rPr>
              <w:t>. gada</w:t>
            </w:r>
            <w:r w:rsidR="000B66D7" w:rsidRPr="000577EC">
              <w:rPr>
                <w:color w:val="000000" w:themeColor="text1"/>
              </w:rPr>
              <w:t xml:space="preserve"> </w:t>
            </w:r>
            <w:r w:rsidR="002C1630" w:rsidRPr="000577EC">
              <w:rPr>
                <w:color w:val="000000" w:themeColor="text1"/>
              </w:rPr>
              <w:t>1.</w:t>
            </w:r>
            <w:r w:rsidR="00F03B70">
              <w:rPr>
                <w:color w:val="000000" w:themeColor="text1"/>
              </w:rPr>
              <w:t> </w:t>
            </w:r>
            <w:r w:rsidR="002C1630" w:rsidRPr="000577EC">
              <w:rPr>
                <w:color w:val="000000" w:themeColor="text1"/>
              </w:rPr>
              <w:t>janvāra</w:t>
            </w:r>
            <w:r w:rsidR="000B66D7" w:rsidRPr="000577EC">
              <w:rPr>
                <w:color w:val="000000" w:themeColor="text1"/>
              </w:rPr>
              <w:t xml:space="preserve">. </w:t>
            </w:r>
          </w:p>
        </w:tc>
      </w:tr>
      <w:tr w:rsidR="00D42F6E" w:rsidRPr="00B3642D" w14:paraId="56397768" w14:textId="77777777" w:rsidTr="00665133">
        <w:trPr>
          <w:trHeight w:val="558"/>
        </w:trPr>
        <w:tc>
          <w:tcPr>
            <w:tcW w:w="426" w:type="dxa"/>
          </w:tcPr>
          <w:p w14:paraId="00D053A8" w14:textId="77777777" w:rsidR="00D42F6E" w:rsidRPr="00960829" w:rsidRDefault="00D42F6E" w:rsidP="006F7405">
            <w:pPr>
              <w:pStyle w:val="naiskr"/>
              <w:spacing w:before="0" w:after="0"/>
              <w:jc w:val="center"/>
              <w:rPr>
                <w:sz w:val="22"/>
                <w:szCs w:val="22"/>
              </w:rPr>
            </w:pPr>
            <w:r w:rsidRPr="00960829">
              <w:rPr>
                <w:sz w:val="22"/>
                <w:szCs w:val="22"/>
              </w:rPr>
              <w:lastRenderedPageBreak/>
              <w:t>3.</w:t>
            </w:r>
          </w:p>
        </w:tc>
        <w:tc>
          <w:tcPr>
            <w:tcW w:w="2551" w:type="dxa"/>
          </w:tcPr>
          <w:p w14:paraId="53260782" w14:textId="77777777" w:rsidR="00D42F6E" w:rsidRPr="00960829" w:rsidRDefault="00230DA0" w:rsidP="006F7405">
            <w:pPr>
              <w:pStyle w:val="naiskr"/>
              <w:spacing w:before="0" w:after="0"/>
              <w:ind w:left="164"/>
              <w:rPr>
                <w:sz w:val="22"/>
                <w:szCs w:val="22"/>
              </w:rPr>
            </w:pPr>
            <w:r w:rsidRPr="00960829">
              <w:rPr>
                <w:sz w:val="22"/>
                <w:szCs w:val="22"/>
              </w:rPr>
              <w:t>Projekta izstrādē iesaistītās institūcijas un publiskas personas kapitālsabiedrības</w:t>
            </w:r>
          </w:p>
        </w:tc>
        <w:tc>
          <w:tcPr>
            <w:tcW w:w="7361" w:type="dxa"/>
          </w:tcPr>
          <w:p w14:paraId="74FAD7E6" w14:textId="77777777" w:rsidR="00D42F6E" w:rsidRPr="00B3642D" w:rsidRDefault="000B66D7" w:rsidP="006F7405">
            <w:pPr>
              <w:pStyle w:val="naiskr"/>
              <w:spacing w:before="0" w:after="0"/>
              <w:ind w:right="81"/>
              <w:jc w:val="both"/>
            </w:pPr>
            <w:r w:rsidRPr="000B66D7">
              <w:t>Institūts</w:t>
            </w:r>
            <w:r w:rsidR="00C9508D">
              <w:t xml:space="preserve"> “BIOR”</w:t>
            </w:r>
            <w:r w:rsidRPr="000B66D7">
              <w:t xml:space="preserve">, ZM, kā arī </w:t>
            </w:r>
            <w:r w:rsidR="002C1630">
              <w:t>Ventspils pilsētas dome</w:t>
            </w:r>
            <w:r w:rsidR="002C1630" w:rsidRPr="002C1630">
              <w:t>, Rucavas novada dome, Liepājas pilsētas pašvaldības administrācija, Salacgrīvas novada dome</w:t>
            </w:r>
            <w:r w:rsidR="00CA1BE4">
              <w:t>, Saulkrastu novada dome</w:t>
            </w:r>
            <w:r w:rsidR="002C1630" w:rsidRPr="002C1630">
              <w:t xml:space="preserve"> un Jūrmalas pilsētas dome</w:t>
            </w:r>
            <w:r w:rsidR="00536E02">
              <w:t>,</w:t>
            </w:r>
            <w:r w:rsidRPr="000B66D7">
              <w:t xml:space="preserve"> kas sniedza priekšlikumus par zvejas limitu izmaiņām </w:t>
            </w:r>
            <w:r w:rsidR="00536E02">
              <w:t>jūras piekrastes</w:t>
            </w:r>
            <w:r w:rsidRPr="000B66D7">
              <w:t xml:space="preserve"> ūdeņos.</w:t>
            </w:r>
          </w:p>
        </w:tc>
      </w:tr>
      <w:tr w:rsidR="00D42F6E" w:rsidRPr="00B3642D" w14:paraId="2BEC7B8C" w14:textId="77777777" w:rsidTr="00665133">
        <w:trPr>
          <w:trHeight w:val="384"/>
        </w:trPr>
        <w:tc>
          <w:tcPr>
            <w:tcW w:w="426" w:type="dxa"/>
          </w:tcPr>
          <w:p w14:paraId="75A6BD80" w14:textId="77777777" w:rsidR="00D42F6E" w:rsidRPr="00960829" w:rsidRDefault="00D42F6E" w:rsidP="006F7405">
            <w:pPr>
              <w:pStyle w:val="naiskr"/>
              <w:spacing w:before="0" w:after="0"/>
              <w:jc w:val="center"/>
              <w:rPr>
                <w:sz w:val="22"/>
                <w:szCs w:val="22"/>
              </w:rPr>
            </w:pPr>
            <w:r w:rsidRPr="00960829">
              <w:rPr>
                <w:sz w:val="22"/>
                <w:szCs w:val="22"/>
              </w:rPr>
              <w:t>4.</w:t>
            </w:r>
          </w:p>
        </w:tc>
        <w:tc>
          <w:tcPr>
            <w:tcW w:w="2551" w:type="dxa"/>
          </w:tcPr>
          <w:p w14:paraId="18C0C6D9" w14:textId="77777777" w:rsidR="00D42F6E" w:rsidRPr="00960829" w:rsidRDefault="00D42F6E" w:rsidP="006F7405">
            <w:pPr>
              <w:pStyle w:val="naiskr"/>
              <w:spacing w:before="0" w:after="0"/>
              <w:rPr>
                <w:sz w:val="22"/>
                <w:szCs w:val="22"/>
              </w:rPr>
            </w:pPr>
            <w:r w:rsidRPr="00960829">
              <w:rPr>
                <w:sz w:val="22"/>
                <w:szCs w:val="22"/>
              </w:rPr>
              <w:t>Cita informācija</w:t>
            </w:r>
          </w:p>
        </w:tc>
        <w:tc>
          <w:tcPr>
            <w:tcW w:w="7361" w:type="dxa"/>
          </w:tcPr>
          <w:p w14:paraId="36992350" w14:textId="77777777" w:rsidR="00D42F6E" w:rsidRPr="00B3642D" w:rsidRDefault="00D42F6E" w:rsidP="006F7405">
            <w:pPr>
              <w:jc w:val="both"/>
            </w:pPr>
            <w:r w:rsidRPr="00B3642D">
              <w:t>Nav</w:t>
            </w:r>
            <w:r w:rsidR="004C7C02">
              <w:t>.</w:t>
            </w:r>
          </w:p>
        </w:tc>
      </w:tr>
    </w:tbl>
    <w:p w14:paraId="2A4C6847" w14:textId="77777777" w:rsidR="0082484A" w:rsidRPr="00B3642D" w:rsidRDefault="0082484A" w:rsidP="006F7405">
      <w:pPr>
        <w:pStyle w:val="naisf"/>
        <w:spacing w:before="0" w:after="0"/>
        <w:ind w:firstLine="0"/>
        <w:rPr>
          <w:sz w:val="16"/>
          <w:szCs w:val="16"/>
        </w:rPr>
      </w:pPr>
    </w:p>
    <w:tbl>
      <w:tblPr>
        <w:tblStyle w:val="Reatabula"/>
        <w:tblW w:w="10343" w:type="dxa"/>
        <w:jc w:val="center"/>
        <w:tblLook w:val="04A0" w:firstRow="1" w:lastRow="0" w:firstColumn="1" w:lastColumn="0" w:noHBand="0" w:noVBand="1"/>
      </w:tblPr>
      <w:tblGrid>
        <w:gridCol w:w="396"/>
        <w:gridCol w:w="2658"/>
        <w:gridCol w:w="7289"/>
      </w:tblGrid>
      <w:tr w:rsidR="0082484A" w:rsidRPr="00B3642D" w14:paraId="29FDFBE3" w14:textId="77777777" w:rsidTr="00735D9B">
        <w:trPr>
          <w:jc w:val="center"/>
        </w:trPr>
        <w:tc>
          <w:tcPr>
            <w:tcW w:w="10343" w:type="dxa"/>
            <w:gridSpan w:val="3"/>
          </w:tcPr>
          <w:p w14:paraId="50492B08" w14:textId="77777777" w:rsidR="0082484A" w:rsidRPr="00B3642D" w:rsidRDefault="0082484A" w:rsidP="006F7405">
            <w:pPr>
              <w:ind w:right="57"/>
              <w:jc w:val="center"/>
              <w:rPr>
                <w:rFonts w:eastAsia="Calibri"/>
                <w:b/>
              </w:rPr>
            </w:pPr>
            <w:r w:rsidRPr="00B3642D">
              <w:rPr>
                <w:b/>
                <w:bCs/>
              </w:rPr>
              <w:t>II. Tiesību akta projekta ietekme uz sabiedrību</w:t>
            </w:r>
            <w:r w:rsidRPr="00B3642D">
              <w:rPr>
                <w:rFonts w:eastAsia="Calibri"/>
                <w:b/>
              </w:rPr>
              <w:t>, tautsaimniecības attīstību</w:t>
            </w:r>
          </w:p>
          <w:p w14:paraId="2204B770" w14:textId="77777777" w:rsidR="0082484A" w:rsidRPr="00DE51A9" w:rsidRDefault="0082484A" w:rsidP="006F7405">
            <w:pPr>
              <w:pStyle w:val="naisf"/>
              <w:spacing w:before="0" w:after="0"/>
              <w:ind w:firstLine="0"/>
              <w:jc w:val="center"/>
              <w:rPr>
                <w:b/>
              </w:rPr>
            </w:pPr>
            <w:r w:rsidRPr="00DE51A9">
              <w:rPr>
                <w:rFonts w:eastAsia="Calibri"/>
                <w:b/>
                <w:lang w:eastAsia="en-US"/>
              </w:rPr>
              <w:t>un administratīvo slogu</w:t>
            </w:r>
          </w:p>
        </w:tc>
      </w:tr>
      <w:tr w:rsidR="0082484A" w:rsidRPr="00B3642D" w14:paraId="38B315FE" w14:textId="77777777" w:rsidTr="00735D9B">
        <w:trPr>
          <w:jc w:val="center"/>
        </w:trPr>
        <w:tc>
          <w:tcPr>
            <w:tcW w:w="396" w:type="dxa"/>
          </w:tcPr>
          <w:p w14:paraId="0FB4EFC9" w14:textId="77777777" w:rsidR="0082484A" w:rsidRPr="00960829" w:rsidRDefault="0082484A" w:rsidP="006F7405">
            <w:pPr>
              <w:pStyle w:val="naisf"/>
              <w:spacing w:before="0" w:after="0"/>
              <w:ind w:firstLine="0"/>
              <w:rPr>
                <w:sz w:val="22"/>
                <w:szCs w:val="22"/>
              </w:rPr>
            </w:pPr>
            <w:r w:rsidRPr="00960829">
              <w:rPr>
                <w:sz w:val="22"/>
                <w:szCs w:val="22"/>
              </w:rPr>
              <w:t>1.</w:t>
            </w:r>
          </w:p>
        </w:tc>
        <w:tc>
          <w:tcPr>
            <w:tcW w:w="2658" w:type="dxa"/>
          </w:tcPr>
          <w:p w14:paraId="2B5FADF7" w14:textId="77777777" w:rsidR="009F38AE" w:rsidRPr="00960829" w:rsidRDefault="0082484A" w:rsidP="006F7405">
            <w:pPr>
              <w:pStyle w:val="naisf"/>
              <w:spacing w:before="0" w:after="0"/>
              <w:ind w:firstLine="0"/>
              <w:rPr>
                <w:sz w:val="22"/>
                <w:szCs w:val="22"/>
              </w:rPr>
            </w:pPr>
            <w:r w:rsidRPr="00960829">
              <w:rPr>
                <w:sz w:val="22"/>
                <w:szCs w:val="22"/>
              </w:rPr>
              <w:t>Sabiedrības mērķgrupa</w:t>
            </w:r>
            <w:r w:rsidR="00D16F90" w:rsidRPr="00960829">
              <w:rPr>
                <w:sz w:val="22"/>
                <w:szCs w:val="22"/>
              </w:rPr>
              <w:t>s</w:t>
            </w:r>
            <w:r w:rsidRPr="00960829">
              <w:rPr>
                <w:sz w:val="22"/>
                <w:szCs w:val="22"/>
              </w:rPr>
              <w:t>, kuras tiesiskais regulējums ietekmē vai varētu ietekmēt</w:t>
            </w:r>
          </w:p>
        </w:tc>
        <w:tc>
          <w:tcPr>
            <w:tcW w:w="7289" w:type="dxa"/>
          </w:tcPr>
          <w:p w14:paraId="10A19C33" w14:textId="77777777" w:rsidR="001B3E56" w:rsidRDefault="000B66D7" w:rsidP="006F7405">
            <w:pPr>
              <w:pStyle w:val="naisf"/>
              <w:spacing w:before="0" w:after="0"/>
              <w:ind w:firstLine="0"/>
              <w:rPr>
                <w:szCs w:val="22"/>
              </w:rPr>
            </w:pPr>
            <w:r w:rsidRPr="000B66D7">
              <w:rPr>
                <w:szCs w:val="22"/>
              </w:rPr>
              <w:t xml:space="preserve">Noteikumu projekts ietekmēs </w:t>
            </w:r>
            <w:r w:rsidR="002C1630" w:rsidRPr="002C1630">
              <w:rPr>
                <w:szCs w:val="22"/>
              </w:rPr>
              <w:t>Ventspils pilsētas, Rucavas novada, Liepājas pilsētas, Salacgrīvas novada</w:t>
            </w:r>
            <w:r w:rsidR="00F32867">
              <w:rPr>
                <w:szCs w:val="22"/>
              </w:rPr>
              <w:t>, Saulkrastu novada</w:t>
            </w:r>
            <w:r w:rsidR="002C1630" w:rsidRPr="002C1630">
              <w:rPr>
                <w:szCs w:val="22"/>
              </w:rPr>
              <w:t xml:space="preserve"> un Jūrmalas pilsētas </w:t>
            </w:r>
            <w:r w:rsidR="002C1630">
              <w:rPr>
                <w:szCs w:val="22"/>
              </w:rPr>
              <w:t>pašvaldību</w:t>
            </w:r>
            <w:r w:rsidRPr="000B66D7">
              <w:rPr>
                <w:szCs w:val="22"/>
              </w:rPr>
              <w:t>, kas iedala rūpnieciskās zvejas limitus zvejniekiem, Valsts vides dienest</w:t>
            </w:r>
            <w:r w:rsidR="000577EC">
              <w:rPr>
                <w:szCs w:val="22"/>
              </w:rPr>
              <w:t>u</w:t>
            </w:r>
            <w:r w:rsidRPr="000B66D7">
              <w:rPr>
                <w:szCs w:val="22"/>
              </w:rPr>
              <w:t xml:space="preserve">, kas izsniedz zvejas atļaujas un kontrolē zvejas darbības, kā arī zvejniekus, kas zvejo </w:t>
            </w:r>
            <w:r w:rsidR="002C1630">
              <w:rPr>
                <w:szCs w:val="22"/>
              </w:rPr>
              <w:t>minēto</w:t>
            </w:r>
            <w:r w:rsidR="00536E02">
              <w:rPr>
                <w:szCs w:val="22"/>
              </w:rPr>
              <w:t xml:space="preserve"> pašvaldīb</w:t>
            </w:r>
            <w:r w:rsidR="009E5887">
              <w:rPr>
                <w:szCs w:val="22"/>
              </w:rPr>
              <w:t>u</w:t>
            </w:r>
            <w:r w:rsidR="00536E02">
              <w:rPr>
                <w:szCs w:val="22"/>
              </w:rPr>
              <w:t xml:space="preserve"> administratīv</w:t>
            </w:r>
            <w:r w:rsidR="009E5887">
              <w:rPr>
                <w:szCs w:val="22"/>
              </w:rPr>
              <w:t>o</w:t>
            </w:r>
            <w:r w:rsidR="00536E02">
              <w:rPr>
                <w:szCs w:val="22"/>
              </w:rPr>
              <w:t xml:space="preserve"> teritorij</w:t>
            </w:r>
            <w:r w:rsidR="009E5887">
              <w:rPr>
                <w:szCs w:val="22"/>
              </w:rPr>
              <w:t>u</w:t>
            </w:r>
            <w:r w:rsidR="00536E02">
              <w:rPr>
                <w:szCs w:val="22"/>
              </w:rPr>
              <w:t xml:space="preserve"> jūras piekrastes ūdeņos</w:t>
            </w:r>
            <w:r w:rsidRPr="000B66D7">
              <w:rPr>
                <w:szCs w:val="22"/>
              </w:rPr>
              <w:t>.</w:t>
            </w:r>
          </w:p>
          <w:p w14:paraId="22F1FE3C" w14:textId="26C2B102" w:rsidR="0082484A" w:rsidRPr="003D14EB" w:rsidRDefault="00A1481E" w:rsidP="006F7405">
            <w:pPr>
              <w:pStyle w:val="naisf"/>
              <w:spacing w:before="0" w:after="0"/>
              <w:ind w:firstLine="0"/>
              <w:rPr>
                <w:szCs w:val="22"/>
              </w:rPr>
            </w:pPr>
            <w:r>
              <w:rPr>
                <w:szCs w:val="22"/>
              </w:rPr>
              <w:t xml:space="preserve">Pēc </w:t>
            </w:r>
            <w:r w:rsidRPr="00A1481E">
              <w:rPr>
                <w:szCs w:val="22"/>
              </w:rPr>
              <w:t>Latvijas Zivsaimniecības integrētās kontroles un informācijas sistēmā pieejamās informācijas</w:t>
            </w:r>
            <w:r w:rsidR="00A2028F">
              <w:rPr>
                <w:szCs w:val="22"/>
              </w:rPr>
              <w:t>,</w:t>
            </w:r>
            <w:r w:rsidRPr="00A1481E">
              <w:rPr>
                <w:szCs w:val="22"/>
              </w:rPr>
              <w:t xml:space="preserve"> </w:t>
            </w:r>
            <w:r w:rsidRPr="00876144">
              <w:rPr>
                <w:szCs w:val="22"/>
              </w:rPr>
              <w:t>201</w:t>
            </w:r>
            <w:r w:rsidR="002C1630" w:rsidRPr="00876144">
              <w:rPr>
                <w:szCs w:val="22"/>
              </w:rPr>
              <w:t>9</w:t>
            </w:r>
            <w:r w:rsidRPr="00876144">
              <w:rPr>
                <w:szCs w:val="22"/>
              </w:rPr>
              <w:t>.</w:t>
            </w:r>
            <w:r w:rsidR="00867973">
              <w:rPr>
                <w:szCs w:val="22"/>
              </w:rPr>
              <w:t> </w:t>
            </w:r>
            <w:r w:rsidRPr="00876144">
              <w:rPr>
                <w:szCs w:val="22"/>
              </w:rPr>
              <w:t xml:space="preserve">gadā </w:t>
            </w:r>
            <w:r w:rsidR="00876144" w:rsidRPr="00876144">
              <w:rPr>
                <w:szCs w:val="22"/>
              </w:rPr>
              <w:t>Ventspils pilsētas un novada, Rucavas novada, Liepājas pilsētas, Salacgrīvas novada</w:t>
            </w:r>
            <w:r w:rsidR="00F32867">
              <w:rPr>
                <w:szCs w:val="22"/>
              </w:rPr>
              <w:t>, Saulkrastu</w:t>
            </w:r>
            <w:r w:rsidR="00876144" w:rsidRPr="00876144">
              <w:rPr>
                <w:szCs w:val="22"/>
              </w:rPr>
              <w:t xml:space="preserve"> </w:t>
            </w:r>
            <w:r w:rsidR="00605786">
              <w:rPr>
                <w:szCs w:val="22"/>
              </w:rPr>
              <w:t xml:space="preserve">novada </w:t>
            </w:r>
            <w:r w:rsidR="00876144" w:rsidRPr="00876144">
              <w:rPr>
                <w:szCs w:val="22"/>
              </w:rPr>
              <w:t xml:space="preserve">un Jūrmalas pilsētas pašvaldību </w:t>
            </w:r>
            <w:r w:rsidR="00536E02" w:rsidRPr="00876144">
              <w:rPr>
                <w:szCs w:val="22"/>
              </w:rPr>
              <w:t>jūras piekrastes ūdeņos</w:t>
            </w:r>
            <w:r w:rsidR="001B3E56" w:rsidRPr="00876144">
              <w:rPr>
                <w:szCs w:val="22"/>
              </w:rPr>
              <w:t xml:space="preserve"> </w:t>
            </w:r>
            <w:r w:rsidR="00876144" w:rsidRPr="00876144">
              <w:rPr>
                <w:szCs w:val="22"/>
              </w:rPr>
              <w:t xml:space="preserve">kopumā </w:t>
            </w:r>
            <w:r w:rsidR="003D14EB" w:rsidRPr="00876144">
              <w:rPr>
                <w:szCs w:val="22"/>
              </w:rPr>
              <w:t xml:space="preserve">zvejo </w:t>
            </w:r>
            <w:r w:rsidR="00876144" w:rsidRPr="00876144">
              <w:rPr>
                <w:szCs w:val="22"/>
              </w:rPr>
              <w:t>79</w:t>
            </w:r>
            <w:r w:rsidR="00867973">
              <w:rPr>
                <w:szCs w:val="22"/>
              </w:rPr>
              <w:t> </w:t>
            </w:r>
            <w:proofErr w:type="spellStart"/>
            <w:r w:rsidRPr="00876144">
              <w:rPr>
                <w:szCs w:val="22"/>
              </w:rPr>
              <w:t>komerczvejnieki</w:t>
            </w:r>
            <w:proofErr w:type="spellEnd"/>
            <w:r w:rsidRPr="00876144">
              <w:rPr>
                <w:szCs w:val="22"/>
              </w:rPr>
              <w:t xml:space="preserve"> un 3</w:t>
            </w:r>
            <w:r w:rsidR="00876144" w:rsidRPr="00876144">
              <w:rPr>
                <w:szCs w:val="22"/>
              </w:rPr>
              <w:t>99</w:t>
            </w:r>
            <w:r w:rsidRPr="00876144">
              <w:rPr>
                <w:szCs w:val="22"/>
              </w:rPr>
              <w:t xml:space="preserve"> pašpatēriņa zvejniek</w:t>
            </w:r>
            <w:r w:rsidR="00876144" w:rsidRPr="00876144">
              <w:rPr>
                <w:szCs w:val="22"/>
              </w:rPr>
              <w:t>i</w:t>
            </w:r>
            <w:r w:rsidR="00B47868" w:rsidRPr="00876144">
              <w:rPr>
                <w:szCs w:val="22"/>
              </w:rPr>
              <w:t>.</w:t>
            </w:r>
          </w:p>
        </w:tc>
      </w:tr>
      <w:tr w:rsidR="0082484A" w:rsidRPr="00B3642D" w14:paraId="51A0A306" w14:textId="77777777" w:rsidTr="00735D9B">
        <w:trPr>
          <w:jc w:val="center"/>
        </w:trPr>
        <w:tc>
          <w:tcPr>
            <w:tcW w:w="396" w:type="dxa"/>
          </w:tcPr>
          <w:p w14:paraId="495F9514" w14:textId="77777777" w:rsidR="0082484A" w:rsidRPr="00960829" w:rsidRDefault="0082484A" w:rsidP="006F7405">
            <w:pPr>
              <w:pStyle w:val="naisf"/>
              <w:spacing w:before="0" w:after="0"/>
              <w:ind w:firstLine="0"/>
              <w:rPr>
                <w:sz w:val="22"/>
                <w:szCs w:val="22"/>
              </w:rPr>
            </w:pPr>
            <w:r w:rsidRPr="00960829">
              <w:rPr>
                <w:sz w:val="22"/>
                <w:szCs w:val="22"/>
              </w:rPr>
              <w:t>2.</w:t>
            </w:r>
          </w:p>
        </w:tc>
        <w:tc>
          <w:tcPr>
            <w:tcW w:w="2658" w:type="dxa"/>
          </w:tcPr>
          <w:p w14:paraId="72E6F801" w14:textId="77777777" w:rsidR="0082484A" w:rsidRPr="00960829" w:rsidRDefault="0082484A" w:rsidP="006F7405">
            <w:pPr>
              <w:pStyle w:val="naisf"/>
              <w:spacing w:before="0" w:after="0"/>
              <w:ind w:firstLine="0"/>
              <w:rPr>
                <w:sz w:val="22"/>
                <w:szCs w:val="22"/>
              </w:rPr>
            </w:pPr>
            <w:r w:rsidRPr="00960829">
              <w:rPr>
                <w:sz w:val="22"/>
                <w:szCs w:val="22"/>
              </w:rPr>
              <w:t>Tiesiskā regulējuma ietekme uz tautsaimniecību un administratīvo slogu</w:t>
            </w:r>
          </w:p>
        </w:tc>
        <w:tc>
          <w:tcPr>
            <w:tcW w:w="7289" w:type="dxa"/>
          </w:tcPr>
          <w:p w14:paraId="21C5331B" w14:textId="77777777" w:rsidR="000B66D7" w:rsidRPr="000B66D7" w:rsidRDefault="000B66D7" w:rsidP="006F7405">
            <w:pPr>
              <w:jc w:val="both"/>
              <w:rPr>
                <w:szCs w:val="22"/>
              </w:rPr>
            </w:pPr>
            <w:r w:rsidRPr="000B66D7">
              <w:rPr>
                <w:szCs w:val="22"/>
              </w:rPr>
              <w:t xml:space="preserve">Tiesiskais regulējums būtiski neietekmēs tautsaimniecības vai uzņēmējdarbības makroekonomiskos rādītājus. </w:t>
            </w:r>
          </w:p>
          <w:p w14:paraId="25464649" w14:textId="77777777" w:rsidR="000B66D7" w:rsidRPr="000B66D7" w:rsidRDefault="000B66D7" w:rsidP="006F7405">
            <w:pPr>
              <w:jc w:val="both"/>
              <w:rPr>
                <w:szCs w:val="22"/>
              </w:rPr>
            </w:pPr>
            <w:r w:rsidRPr="000B66D7">
              <w:rPr>
                <w:szCs w:val="22"/>
              </w:rPr>
              <w:t>Administratīvais slogs nemainās. Sabiedrības grupām un institūcijām projekta tiesiskais regulējums nemaina tiesības un pienākumus, ne arī veicamās darbības.</w:t>
            </w:r>
          </w:p>
          <w:p w14:paraId="14033032" w14:textId="77777777" w:rsidR="000B66D7" w:rsidRPr="000B66D7" w:rsidRDefault="00A2028F" w:rsidP="006F7405">
            <w:pPr>
              <w:jc w:val="both"/>
              <w:rPr>
                <w:szCs w:val="22"/>
              </w:rPr>
            </w:pPr>
            <w:r>
              <w:rPr>
                <w:szCs w:val="22"/>
              </w:rPr>
              <w:t>Tā kā p</w:t>
            </w:r>
            <w:r w:rsidR="000B66D7" w:rsidRPr="000B66D7">
              <w:rPr>
                <w:szCs w:val="22"/>
              </w:rPr>
              <w:t xml:space="preserve">ašpatēriņa zvejnieki saskaņā ar Zvejniecības likumu nedrīkst </w:t>
            </w:r>
            <w:r w:rsidR="00BE5AAC">
              <w:rPr>
                <w:szCs w:val="22"/>
              </w:rPr>
              <w:t>nodarboties ar</w:t>
            </w:r>
            <w:r w:rsidR="000B66D7" w:rsidRPr="000B66D7">
              <w:rPr>
                <w:szCs w:val="22"/>
              </w:rPr>
              <w:t xml:space="preserve"> komercdarbību</w:t>
            </w:r>
            <w:r>
              <w:rPr>
                <w:szCs w:val="22"/>
              </w:rPr>
              <w:t>, tie</w:t>
            </w:r>
            <w:r w:rsidR="000B66D7" w:rsidRPr="000B66D7">
              <w:rPr>
                <w:szCs w:val="22"/>
              </w:rPr>
              <w:t xml:space="preserve"> negūst ienākumus no zvejas, tāpēc tiem nerodas arī zaudējumi.</w:t>
            </w:r>
          </w:p>
          <w:p w14:paraId="595CA130" w14:textId="77777777" w:rsidR="009A2025" w:rsidRPr="00A1481E" w:rsidRDefault="00B47868" w:rsidP="006F7405">
            <w:pPr>
              <w:jc w:val="both"/>
              <w:rPr>
                <w:szCs w:val="22"/>
              </w:rPr>
            </w:pPr>
            <w:r>
              <w:rPr>
                <w:szCs w:val="22"/>
              </w:rPr>
              <w:t xml:space="preserve">Noteikumu projekts </w:t>
            </w:r>
            <w:r w:rsidR="00A1481E">
              <w:rPr>
                <w:szCs w:val="22"/>
              </w:rPr>
              <w:t xml:space="preserve">finansiāli nenozīmīgi ietekmēs piekrastes komerczvejniekus. Palielinoties apaļā jūrasgrunduļa zvejas iespējām, </w:t>
            </w:r>
            <w:r w:rsidR="002641D3">
              <w:rPr>
                <w:szCs w:val="22"/>
              </w:rPr>
              <w:t>iespējams,</w:t>
            </w:r>
            <w:r w:rsidR="00A1481E">
              <w:rPr>
                <w:szCs w:val="22"/>
              </w:rPr>
              <w:t xml:space="preserve"> p</w:t>
            </w:r>
            <w:r w:rsidR="00A2028F">
              <w:rPr>
                <w:szCs w:val="22"/>
              </w:rPr>
              <w:t>alielināsies arī</w:t>
            </w:r>
            <w:r w:rsidR="00A1481E">
              <w:rPr>
                <w:szCs w:val="22"/>
              </w:rPr>
              <w:t xml:space="preserve"> zvejnieku ienākumi no šo zivju pārdošanas.</w:t>
            </w:r>
          </w:p>
        </w:tc>
      </w:tr>
      <w:tr w:rsidR="0082484A" w:rsidRPr="00B3642D" w14:paraId="6DE47864" w14:textId="77777777" w:rsidTr="00735D9B">
        <w:trPr>
          <w:jc w:val="center"/>
        </w:trPr>
        <w:tc>
          <w:tcPr>
            <w:tcW w:w="396" w:type="dxa"/>
          </w:tcPr>
          <w:p w14:paraId="1A9B0F4C" w14:textId="77777777" w:rsidR="0082484A" w:rsidRPr="00960829" w:rsidRDefault="0082484A" w:rsidP="006F7405">
            <w:pPr>
              <w:pStyle w:val="naisf"/>
              <w:spacing w:before="0" w:after="0"/>
              <w:ind w:firstLine="0"/>
              <w:rPr>
                <w:sz w:val="22"/>
                <w:szCs w:val="22"/>
              </w:rPr>
            </w:pPr>
            <w:r w:rsidRPr="00960829">
              <w:rPr>
                <w:sz w:val="22"/>
                <w:szCs w:val="22"/>
              </w:rPr>
              <w:t>3.</w:t>
            </w:r>
          </w:p>
        </w:tc>
        <w:tc>
          <w:tcPr>
            <w:tcW w:w="2658" w:type="dxa"/>
          </w:tcPr>
          <w:p w14:paraId="49A6A296" w14:textId="77777777" w:rsidR="009F38AE" w:rsidRPr="00960829" w:rsidRDefault="0082484A" w:rsidP="006F7405">
            <w:pPr>
              <w:pStyle w:val="naisf"/>
              <w:spacing w:before="0" w:after="0"/>
              <w:ind w:firstLine="0"/>
              <w:rPr>
                <w:sz w:val="22"/>
                <w:szCs w:val="22"/>
              </w:rPr>
            </w:pPr>
            <w:r w:rsidRPr="00960829">
              <w:rPr>
                <w:sz w:val="22"/>
                <w:szCs w:val="22"/>
              </w:rPr>
              <w:t>Administratīvo izmaksu monetārs novērtējums</w:t>
            </w:r>
          </w:p>
        </w:tc>
        <w:tc>
          <w:tcPr>
            <w:tcW w:w="7289" w:type="dxa"/>
          </w:tcPr>
          <w:p w14:paraId="18B83561" w14:textId="77777777" w:rsidR="00615B31" w:rsidRPr="00B3642D" w:rsidRDefault="0082484A" w:rsidP="006F7405">
            <w:pPr>
              <w:pStyle w:val="naisf"/>
              <w:spacing w:before="0" w:after="0"/>
              <w:ind w:firstLine="0"/>
            </w:pPr>
            <w:r w:rsidRPr="00F20147">
              <w:t>Projekts šo jomu neskar</w:t>
            </w:r>
            <w:r w:rsidR="004C7C02">
              <w:t>.</w:t>
            </w:r>
            <w:r w:rsidR="006D497F" w:rsidRPr="00F20147">
              <w:t xml:space="preserve"> </w:t>
            </w:r>
          </w:p>
        </w:tc>
      </w:tr>
      <w:tr w:rsidR="000350D0" w:rsidRPr="00B3642D" w14:paraId="2CCEE729" w14:textId="77777777" w:rsidTr="00735D9B">
        <w:trPr>
          <w:jc w:val="center"/>
        </w:trPr>
        <w:tc>
          <w:tcPr>
            <w:tcW w:w="396" w:type="dxa"/>
          </w:tcPr>
          <w:p w14:paraId="70EB9055" w14:textId="77777777" w:rsidR="000350D0" w:rsidRPr="00960829" w:rsidRDefault="000350D0" w:rsidP="006F7405">
            <w:pPr>
              <w:pStyle w:val="naisf"/>
              <w:spacing w:before="0" w:after="0"/>
              <w:ind w:firstLine="0"/>
              <w:rPr>
                <w:sz w:val="22"/>
                <w:szCs w:val="22"/>
              </w:rPr>
            </w:pPr>
            <w:r w:rsidRPr="00960829">
              <w:rPr>
                <w:color w:val="414142"/>
                <w:sz w:val="22"/>
                <w:szCs w:val="22"/>
              </w:rPr>
              <w:t>4.</w:t>
            </w:r>
          </w:p>
        </w:tc>
        <w:tc>
          <w:tcPr>
            <w:tcW w:w="2658" w:type="dxa"/>
          </w:tcPr>
          <w:p w14:paraId="180CFE66" w14:textId="77777777" w:rsidR="009F38AE" w:rsidRPr="00960829" w:rsidRDefault="000350D0" w:rsidP="006F7405">
            <w:pPr>
              <w:pStyle w:val="naisf"/>
              <w:spacing w:before="0" w:after="0"/>
              <w:ind w:firstLine="0"/>
              <w:rPr>
                <w:sz w:val="22"/>
                <w:szCs w:val="22"/>
              </w:rPr>
            </w:pPr>
            <w:r w:rsidRPr="00960829">
              <w:rPr>
                <w:sz w:val="22"/>
                <w:szCs w:val="22"/>
              </w:rPr>
              <w:t>Atbilstības izmaksu monetārs novērtējums</w:t>
            </w:r>
          </w:p>
        </w:tc>
        <w:tc>
          <w:tcPr>
            <w:tcW w:w="7289" w:type="dxa"/>
          </w:tcPr>
          <w:p w14:paraId="458849B9" w14:textId="77777777" w:rsidR="00F20147" w:rsidRPr="00F20147" w:rsidRDefault="00F20147" w:rsidP="006F7405">
            <w:pPr>
              <w:pStyle w:val="naisf"/>
              <w:spacing w:before="0" w:after="0"/>
              <w:ind w:firstLine="0"/>
            </w:pPr>
            <w:r w:rsidRPr="00F20147">
              <w:t>Projekts šo jomu neskar</w:t>
            </w:r>
            <w:r w:rsidR="004C7C02">
              <w:t>.</w:t>
            </w:r>
            <w:r w:rsidRPr="00F20147">
              <w:t xml:space="preserve"> </w:t>
            </w:r>
          </w:p>
          <w:p w14:paraId="188120AA" w14:textId="77777777" w:rsidR="000350D0" w:rsidRPr="006D497F" w:rsidRDefault="000350D0" w:rsidP="006F7405">
            <w:pPr>
              <w:pStyle w:val="naisf"/>
              <w:spacing w:before="0" w:after="0"/>
              <w:ind w:firstLine="0"/>
              <w:rPr>
                <w:highlight w:val="yellow"/>
              </w:rPr>
            </w:pPr>
          </w:p>
        </w:tc>
      </w:tr>
      <w:tr w:rsidR="0082484A" w:rsidRPr="00B3642D" w14:paraId="44A0165B" w14:textId="77777777" w:rsidTr="00735D9B">
        <w:trPr>
          <w:jc w:val="center"/>
        </w:trPr>
        <w:tc>
          <w:tcPr>
            <w:tcW w:w="396" w:type="dxa"/>
          </w:tcPr>
          <w:p w14:paraId="1886DBBA" w14:textId="77777777" w:rsidR="0082484A" w:rsidRPr="00960829" w:rsidRDefault="00D16F90" w:rsidP="006F7405">
            <w:pPr>
              <w:pStyle w:val="naisf"/>
              <w:spacing w:before="0" w:after="0"/>
              <w:ind w:firstLine="0"/>
              <w:rPr>
                <w:sz w:val="22"/>
                <w:szCs w:val="22"/>
              </w:rPr>
            </w:pPr>
            <w:r w:rsidRPr="00960829">
              <w:rPr>
                <w:sz w:val="22"/>
                <w:szCs w:val="22"/>
              </w:rPr>
              <w:t>5</w:t>
            </w:r>
            <w:r w:rsidR="0082484A" w:rsidRPr="00960829">
              <w:rPr>
                <w:sz w:val="22"/>
                <w:szCs w:val="22"/>
              </w:rPr>
              <w:t>.</w:t>
            </w:r>
          </w:p>
        </w:tc>
        <w:tc>
          <w:tcPr>
            <w:tcW w:w="2658" w:type="dxa"/>
          </w:tcPr>
          <w:p w14:paraId="08A81B28" w14:textId="77777777" w:rsidR="009F38AE" w:rsidRPr="00960829" w:rsidRDefault="0082484A" w:rsidP="006F7405">
            <w:pPr>
              <w:pStyle w:val="naisf"/>
              <w:spacing w:before="0" w:after="0"/>
              <w:ind w:firstLine="0"/>
              <w:rPr>
                <w:sz w:val="22"/>
                <w:szCs w:val="22"/>
              </w:rPr>
            </w:pPr>
            <w:r w:rsidRPr="00960829">
              <w:rPr>
                <w:sz w:val="22"/>
                <w:szCs w:val="22"/>
              </w:rPr>
              <w:t>Cita informācija</w:t>
            </w:r>
          </w:p>
        </w:tc>
        <w:tc>
          <w:tcPr>
            <w:tcW w:w="7289" w:type="dxa"/>
          </w:tcPr>
          <w:p w14:paraId="342683EE" w14:textId="77777777" w:rsidR="0082484A" w:rsidRPr="00B3642D" w:rsidRDefault="0082484A" w:rsidP="006F7405">
            <w:pPr>
              <w:pStyle w:val="naisf"/>
              <w:spacing w:before="0" w:after="0"/>
              <w:ind w:firstLine="0"/>
            </w:pPr>
            <w:r w:rsidRPr="00B3642D">
              <w:t>Nav</w:t>
            </w:r>
            <w:r w:rsidR="004C7C02">
              <w:t>.</w:t>
            </w:r>
          </w:p>
        </w:tc>
      </w:tr>
    </w:tbl>
    <w:p w14:paraId="4C86732E" w14:textId="77777777" w:rsidR="00D16F90" w:rsidRDefault="00D16F90" w:rsidP="006F7405">
      <w:pPr>
        <w:pStyle w:val="naisf"/>
        <w:spacing w:before="0" w:after="0"/>
        <w:ind w:firstLine="0"/>
        <w:rPr>
          <w:sz w:val="16"/>
          <w:szCs w:val="16"/>
        </w:rPr>
      </w:pPr>
    </w:p>
    <w:p w14:paraId="5CFD888C" w14:textId="77777777" w:rsidR="000F43FB" w:rsidRDefault="000F43FB" w:rsidP="006F7405">
      <w:pPr>
        <w:pStyle w:val="naisf"/>
        <w:spacing w:before="0" w:after="0"/>
        <w:ind w:firstLine="0"/>
        <w:rPr>
          <w:sz w:val="16"/>
          <w:szCs w:val="16"/>
        </w:rPr>
      </w:pPr>
    </w:p>
    <w:tbl>
      <w:tblPr>
        <w:tblW w:w="5714"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86"/>
        <w:gridCol w:w="908"/>
        <w:gridCol w:w="917"/>
        <w:gridCol w:w="902"/>
        <w:gridCol w:w="1142"/>
        <w:gridCol w:w="909"/>
        <w:gridCol w:w="1142"/>
        <w:gridCol w:w="1142"/>
      </w:tblGrid>
      <w:tr w:rsidR="007C6DC9" w:rsidRPr="008D7E3C" w14:paraId="24AF0D36" w14:textId="77777777" w:rsidTr="004C5845">
        <w:trPr>
          <w:jc w:val="center"/>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6C3EBA" w14:textId="77777777" w:rsidR="007C6DC9" w:rsidRPr="008D7E3C" w:rsidRDefault="007C6DC9" w:rsidP="006F7405">
            <w:pPr>
              <w:jc w:val="center"/>
              <w:rPr>
                <w:b/>
                <w:bCs/>
              </w:rPr>
            </w:pPr>
            <w:r w:rsidRPr="008D7E3C">
              <w:rPr>
                <w:b/>
                <w:bCs/>
              </w:rPr>
              <w:t>III. Tiesību akta projekta ietekme uz valsts budžetu un pašvaldību budžetiem</w:t>
            </w:r>
          </w:p>
        </w:tc>
      </w:tr>
      <w:tr w:rsidR="007C6DC9" w:rsidRPr="008D7E3C" w14:paraId="3696A932" w14:textId="77777777" w:rsidTr="007C6DC9">
        <w:trPr>
          <w:jc w:val="center"/>
        </w:trPr>
        <w:tc>
          <w:tcPr>
            <w:tcW w:w="158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A8776" w14:textId="77777777" w:rsidR="007C6DC9" w:rsidRPr="008D7E3C" w:rsidRDefault="007C6DC9" w:rsidP="006F7405">
            <w:pPr>
              <w:jc w:val="center"/>
              <w:rPr>
                <w:sz w:val="22"/>
                <w:szCs w:val="22"/>
              </w:rPr>
            </w:pPr>
            <w:r w:rsidRPr="008D7E3C">
              <w:rPr>
                <w:sz w:val="22"/>
                <w:szCs w:val="22"/>
              </w:rPr>
              <w:t>Rādītāji</w:t>
            </w:r>
          </w:p>
        </w:tc>
        <w:tc>
          <w:tcPr>
            <w:tcW w:w="88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4BB892" w14:textId="77777777" w:rsidR="007C6DC9" w:rsidRPr="008D7E3C" w:rsidRDefault="007C6DC9" w:rsidP="006F7405">
            <w:pPr>
              <w:jc w:val="center"/>
              <w:rPr>
                <w:sz w:val="22"/>
                <w:szCs w:val="22"/>
              </w:rPr>
            </w:pPr>
            <w:r w:rsidRPr="008D7E3C">
              <w:rPr>
                <w:sz w:val="22"/>
                <w:szCs w:val="22"/>
              </w:rPr>
              <w:t>201</w:t>
            </w:r>
            <w:r w:rsidR="004C5845">
              <w:rPr>
                <w:sz w:val="22"/>
                <w:szCs w:val="22"/>
              </w:rPr>
              <w:t>9</w:t>
            </w:r>
            <w:r w:rsidRPr="008D7E3C">
              <w:rPr>
                <w:sz w:val="22"/>
                <w:szCs w:val="22"/>
              </w:rPr>
              <w:t>.gads</w:t>
            </w:r>
          </w:p>
        </w:tc>
        <w:tc>
          <w:tcPr>
            <w:tcW w:w="253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F498CD" w14:textId="77777777" w:rsidR="007C6DC9" w:rsidRPr="008D7E3C" w:rsidRDefault="007C6DC9" w:rsidP="006F7405">
            <w:pPr>
              <w:jc w:val="center"/>
              <w:rPr>
                <w:sz w:val="22"/>
                <w:szCs w:val="22"/>
              </w:rPr>
            </w:pPr>
            <w:r w:rsidRPr="008D7E3C">
              <w:rPr>
                <w:sz w:val="22"/>
                <w:szCs w:val="22"/>
              </w:rPr>
              <w:t>Turpmākie trīs gadi (</w:t>
            </w:r>
            <w:r w:rsidRPr="008D7E3C">
              <w:rPr>
                <w:i/>
                <w:iCs/>
                <w:sz w:val="22"/>
                <w:szCs w:val="22"/>
              </w:rPr>
              <w:t>euro</w:t>
            </w:r>
            <w:r w:rsidRPr="008D7E3C">
              <w:rPr>
                <w:sz w:val="22"/>
                <w:szCs w:val="22"/>
              </w:rPr>
              <w:t>)</w:t>
            </w:r>
          </w:p>
        </w:tc>
      </w:tr>
      <w:tr w:rsidR="007C6DC9" w:rsidRPr="008D7E3C" w14:paraId="5EAA05C9" w14:textId="77777777" w:rsidTr="007C6DC9">
        <w:trPr>
          <w:jc w:val="center"/>
        </w:trPr>
        <w:tc>
          <w:tcPr>
            <w:tcW w:w="1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E5A9E5" w14:textId="77777777" w:rsidR="007C6DC9" w:rsidRPr="008D7E3C" w:rsidRDefault="007C6DC9" w:rsidP="006F7405">
            <w:pPr>
              <w:rPr>
                <w:sz w:val="22"/>
                <w:szCs w:val="22"/>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B3A204" w14:textId="77777777" w:rsidR="007C6DC9" w:rsidRPr="008D7E3C" w:rsidRDefault="007C6DC9" w:rsidP="006F7405">
            <w:pPr>
              <w:rPr>
                <w:sz w:val="22"/>
                <w:szCs w:val="22"/>
              </w:rPr>
            </w:pPr>
          </w:p>
        </w:tc>
        <w:tc>
          <w:tcPr>
            <w:tcW w:w="98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5B358B" w14:textId="77777777" w:rsidR="007C6DC9" w:rsidRPr="008D7E3C" w:rsidRDefault="007C6DC9" w:rsidP="006F7405">
            <w:pPr>
              <w:jc w:val="center"/>
              <w:rPr>
                <w:sz w:val="22"/>
                <w:szCs w:val="22"/>
              </w:rPr>
            </w:pPr>
            <w:r w:rsidRPr="008D7E3C">
              <w:rPr>
                <w:sz w:val="22"/>
                <w:szCs w:val="22"/>
              </w:rPr>
              <w:t>20</w:t>
            </w:r>
            <w:r w:rsidR="004C5845">
              <w:rPr>
                <w:sz w:val="22"/>
                <w:szCs w:val="22"/>
              </w:rPr>
              <w:t>20</w:t>
            </w:r>
          </w:p>
        </w:tc>
        <w:tc>
          <w:tcPr>
            <w:tcW w:w="99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21D0EA" w14:textId="77777777" w:rsidR="007C6DC9" w:rsidRPr="008D7E3C" w:rsidRDefault="007C6DC9" w:rsidP="006F7405">
            <w:pPr>
              <w:jc w:val="center"/>
              <w:rPr>
                <w:sz w:val="22"/>
                <w:szCs w:val="22"/>
              </w:rPr>
            </w:pPr>
            <w:r w:rsidRPr="008D7E3C">
              <w:rPr>
                <w:sz w:val="22"/>
                <w:szCs w:val="22"/>
              </w:rPr>
              <w:t>202</w:t>
            </w:r>
            <w:r w:rsidR="004C5845">
              <w:rPr>
                <w:sz w:val="22"/>
                <w:szCs w:val="22"/>
              </w:rPr>
              <w:t>1</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87C6B" w14:textId="77777777" w:rsidR="007C6DC9" w:rsidRPr="008D7E3C" w:rsidRDefault="007C6DC9" w:rsidP="006F7405">
            <w:pPr>
              <w:jc w:val="center"/>
              <w:rPr>
                <w:sz w:val="22"/>
                <w:szCs w:val="22"/>
              </w:rPr>
            </w:pPr>
            <w:r w:rsidRPr="008D7E3C">
              <w:rPr>
                <w:sz w:val="22"/>
                <w:szCs w:val="22"/>
              </w:rPr>
              <w:t>202</w:t>
            </w:r>
            <w:r w:rsidR="004C5845">
              <w:rPr>
                <w:sz w:val="22"/>
                <w:szCs w:val="22"/>
              </w:rPr>
              <w:t>2</w:t>
            </w:r>
          </w:p>
        </w:tc>
      </w:tr>
      <w:tr w:rsidR="007C6DC9" w:rsidRPr="008D7E3C" w14:paraId="225B1EAD" w14:textId="77777777" w:rsidTr="007C6DC9">
        <w:trPr>
          <w:jc w:val="center"/>
        </w:trPr>
        <w:tc>
          <w:tcPr>
            <w:tcW w:w="1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ACE608" w14:textId="77777777" w:rsidR="007C6DC9" w:rsidRPr="008D7E3C" w:rsidRDefault="007C6DC9" w:rsidP="006F7405">
            <w:pPr>
              <w:rPr>
                <w:sz w:val="22"/>
                <w:szCs w:val="22"/>
              </w:rPr>
            </w:pP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019DF7" w14:textId="77777777" w:rsidR="007C6DC9" w:rsidRPr="008D7E3C" w:rsidRDefault="007C6DC9" w:rsidP="006F7405">
            <w:pPr>
              <w:jc w:val="center"/>
              <w:rPr>
                <w:sz w:val="22"/>
                <w:szCs w:val="22"/>
              </w:rPr>
            </w:pPr>
            <w:r w:rsidRPr="008D7E3C">
              <w:rPr>
                <w:sz w:val="22"/>
                <w:szCs w:val="22"/>
              </w:rPr>
              <w:t>saskaņā ar valsts budžetu kārtējam gadam</w:t>
            </w:r>
          </w:p>
        </w:tc>
        <w:tc>
          <w:tcPr>
            <w:tcW w:w="4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FD80" w14:textId="77777777" w:rsidR="007C6DC9" w:rsidRPr="008D7E3C" w:rsidRDefault="007C6DC9" w:rsidP="006F7405">
            <w:pPr>
              <w:jc w:val="center"/>
              <w:rPr>
                <w:sz w:val="22"/>
                <w:szCs w:val="22"/>
              </w:rPr>
            </w:pPr>
            <w:r w:rsidRPr="008D7E3C">
              <w:rPr>
                <w:sz w:val="22"/>
                <w:szCs w:val="22"/>
              </w:rPr>
              <w:t>izmaiņas kārtējā gadā, salīdzinot ar valsts budžetu kārtējam gadam</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AAD937" w14:textId="77777777" w:rsidR="007C6DC9" w:rsidRPr="008D7E3C" w:rsidRDefault="007C6DC9" w:rsidP="006F7405">
            <w:pPr>
              <w:jc w:val="center"/>
              <w:rPr>
                <w:sz w:val="22"/>
                <w:szCs w:val="22"/>
              </w:rPr>
            </w:pPr>
            <w:r w:rsidRPr="008D7E3C">
              <w:rPr>
                <w:sz w:val="22"/>
                <w:szCs w:val="22"/>
              </w:rPr>
              <w:t>saskaņā ar vidēja termiņa budžeta ietvaru</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5BD1EB" w14:textId="77777777" w:rsidR="007C6DC9" w:rsidRPr="008D7E3C" w:rsidRDefault="007C6DC9" w:rsidP="006F7405">
            <w:pPr>
              <w:jc w:val="center"/>
              <w:rPr>
                <w:sz w:val="22"/>
                <w:szCs w:val="22"/>
              </w:rPr>
            </w:pPr>
            <w:r w:rsidRPr="008D7E3C">
              <w:rPr>
                <w:sz w:val="22"/>
                <w:szCs w:val="22"/>
              </w:rPr>
              <w:t>izmaiņas, salīdzinot ar vidēja termiņa budžeta ietvaru 20</w:t>
            </w:r>
            <w:r w:rsidR="004C5845">
              <w:rPr>
                <w:sz w:val="22"/>
                <w:szCs w:val="22"/>
              </w:rPr>
              <w:t>20</w:t>
            </w:r>
            <w:r w:rsidRPr="008D7E3C">
              <w:rPr>
                <w:sz w:val="22"/>
                <w:szCs w:val="22"/>
              </w:rPr>
              <w:t>.gadam</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911463" w14:textId="77777777" w:rsidR="007C6DC9" w:rsidRPr="008D7E3C" w:rsidRDefault="007C6DC9" w:rsidP="006F7405">
            <w:pPr>
              <w:jc w:val="center"/>
              <w:rPr>
                <w:sz w:val="22"/>
                <w:szCs w:val="22"/>
              </w:rPr>
            </w:pPr>
            <w:r w:rsidRPr="008D7E3C">
              <w:rPr>
                <w:sz w:val="22"/>
                <w:szCs w:val="22"/>
              </w:rPr>
              <w:t>saskaņā ar vidēja termiņa budžeta ietvaru</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C80902" w14:textId="77777777" w:rsidR="007C6DC9" w:rsidRPr="008D7E3C" w:rsidRDefault="007C6DC9" w:rsidP="006F7405">
            <w:pPr>
              <w:jc w:val="center"/>
              <w:rPr>
                <w:sz w:val="22"/>
                <w:szCs w:val="22"/>
              </w:rPr>
            </w:pPr>
            <w:r w:rsidRPr="008D7E3C">
              <w:rPr>
                <w:sz w:val="22"/>
                <w:szCs w:val="22"/>
              </w:rPr>
              <w:t>izmaiņas, salīdzinot ar vidēja termiņa budžeta ietvaru 202</w:t>
            </w:r>
            <w:r w:rsidR="004C5845">
              <w:rPr>
                <w:sz w:val="22"/>
                <w:szCs w:val="22"/>
              </w:rPr>
              <w:t>1</w:t>
            </w:r>
            <w:r w:rsidRPr="008D7E3C">
              <w:rPr>
                <w:sz w:val="22"/>
                <w:szCs w:val="22"/>
              </w:rPr>
              <w:t>.gadam</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E72EA" w14:textId="77777777" w:rsidR="007C6DC9" w:rsidRPr="008D7E3C" w:rsidRDefault="007C6DC9" w:rsidP="006F7405">
            <w:pPr>
              <w:jc w:val="center"/>
              <w:rPr>
                <w:sz w:val="22"/>
                <w:szCs w:val="22"/>
              </w:rPr>
            </w:pPr>
            <w:r w:rsidRPr="008D7E3C">
              <w:rPr>
                <w:sz w:val="22"/>
                <w:szCs w:val="22"/>
              </w:rPr>
              <w:t>izmaiņas, salīdzinot ar vidēja termiņa budžeta ietvaru 202</w:t>
            </w:r>
            <w:r w:rsidR="004C5845">
              <w:rPr>
                <w:sz w:val="22"/>
                <w:szCs w:val="22"/>
              </w:rPr>
              <w:t>1</w:t>
            </w:r>
            <w:r w:rsidRPr="008D7E3C">
              <w:rPr>
                <w:sz w:val="22"/>
                <w:szCs w:val="22"/>
              </w:rPr>
              <w:t>.gadam</w:t>
            </w:r>
          </w:p>
        </w:tc>
      </w:tr>
      <w:tr w:rsidR="007C6DC9" w:rsidRPr="008D7E3C" w14:paraId="6881700F"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B49803" w14:textId="77777777" w:rsidR="007C6DC9" w:rsidRPr="008D7E3C" w:rsidRDefault="007C6DC9" w:rsidP="006F7405">
            <w:pPr>
              <w:jc w:val="center"/>
            </w:pPr>
            <w:r w:rsidRPr="008D7E3C">
              <w:t>1</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385CCE" w14:textId="77777777" w:rsidR="007C6DC9" w:rsidRPr="008D7E3C" w:rsidRDefault="007C6DC9" w:rsidP="006F7405">
            <w:pPr>
              <w:jc w:val="center"/>
            </w:pPr>
            <w:r w:rsidRPr="008D7E3C">
              <w:t>2</w:t>
            </w:r>
          </w:p>
        </w:tc>
        <w:tc>
          <w:tcPr>
            <w:tcW w:w="4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4D2563" w14:textId="77777777" w:rsidR="007C6DC9" w:rsidRPr="008D7E3C" w:rsidRDefault="007C6DC9" w:rsidP="006F7405">
            <w:pPr>
              <w:jc w:val="center"/>
            </w:pPr>
            <w:r w:rsidRPr="008D7E3C">
              <w:t>3</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A02154" w14:textId="77777777" w:rsidR="007C6DC9" w:rsidRPr="008D7E3C" w:rsidRDefault="007C6DC9" w:rsidP="006F7405">
            <w:pPr>
              <w:jc w:val="center"/>
            </w:pPr>
            <w:r w:rsidRPr="008D7E3C">
              <w:t>4</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2B6F9A" w14:textId="77777777" w:rsidR="007C6DC9" w:rsidRPr="008D7E3C" w:rsidRDefault="007C6DC9" w:rsidP="006F7405">
            <w:pPr>
              <w:jc w:val="center"/>
            </w:pPr>
            <w:r w:rsidRPr="008D7E3C">
              <w:t>5</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6549DA" w14:textId="77777777" w:rsidR="007C6DC9" w:rsidRPr="008D7E3C" w:rsidRDefault="007C6DC9" w:rsidP="006F7405">
            <w:pPr>
              <w:jc w:val="center"/>
            </w:pPr>
            <w:r w:rsidRPr="008D7E3C">
              <w:t>6</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CF010B" w14:textId="77777777" w:rsidR="007C6DC9" w:rsidRPr="008D7E3C" w:rsidRDefault="007C6DC9" w:rsidP="006F7405">
            <w:pPr>
              <w:jc w:val="center"/>
            </w:pPr>
            <w:r w:rsidRPr="008D7E3C">
              <w:t>7</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67DC75" w14:textId="77777777" w:rsidR="007C6DC9" w:rsidRPr="008D7E3C" w:rsidRDefault="007C6DC9" w:rsidP="006F7405">
            <w:pPr>
              <w:jc w:val="center"/>
            </w:pPr>
            <w:r w:rsidRPr="008D7E3C">
              <w:t>8</w:t>
            </w:r>
          </w:p>
        </w:tc>
      </w:tr>
      <w:tr w:rsidR="007C6DC9" w:rsidRPr="008D7E3C" w14:paraId="2A31AD79"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8B4DD72" w14:textId="77777777" w:rsidR="007C6DC9" w:rsidRPr="008D7E3C" w:rsidRDefault="007C6DC9" w:rsidP="006F7405">
            <w:pPr>
              <w:rPr>
                <w:sz w:val="22"/>
                <w:szCs w:val="22"/>
              </w:rPr>
            </w:pPr>
            <w:r w:rsidRPr="008D7E3C">
              <w:rPr>
                <w:sz w:val="22"/>
                <w:szCs w:val="22"/>
              </w:rPr>
              <w:t>1. Budžeta ieņēmumi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DA02AC4" w14:textId="77777777" w:rsidR="007C6DC9" w:rsidRPr="008D7E3C" w:rsidRDefault="007C6DC9" w:rsidP="006F7405">
            <w:pPr>
              <w:jc w:val="center"/>
            </w:pPr>
            <w:r w:rsidRPr="008D7E3C">
              <w:t>850 000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4957E90" w14:textId="77777777" w:rsidR="007C6DC9" w:rsidRPr="008D7E3C" w:rsidRDefault="007C6DC9"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56254097" w14:textId="77777777" w:rsidR="007C6DC9" w:rsidRPr="008D7E3C" w:rsidRDefault="007C6DC9" w:rsidP="006F7405">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E2BB85F" w14:textId="77777777" w:rsidR="007C6DC9" w:rsidRPr="008D7E3C" w:rsidRDefault="00CC68C7" w:rsidP="006F7405">
            <w:pPr>
              <w:jc w:val="center"/>
            </w:pPr>
            <w:r>
              <w:t>+435</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1E4CF459" w14:textId="77777777" w:rsidR="007C6DC9" w:rsidRPr="008D7E3C" w:rsidRDefault="007C6DC9" w:rsidP="006F7405">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946BA1A" w14:textId="77777777" w:rsidR="007C6DC9" w:rsidRPr="008D7E3C" w:rsidRDefault="00CC68C7" w:rsidP="006F7405">
            <w:pPr>
              <w:jc w:val="center"/>
            </w:pPr>
            <w:r>
              <w:t>+435</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95E1AA9" w14:textId="77777777" w:rsidR="007C6DC9" w:rsidRPr="008D7E3C" w:rsidRDefault="00CC68C7" w:rsidP="006F7405">
            <w:pPr>
              <w:jc w:val="center"/>
            </w:pPr>
            <w:r>
              <w:t>+435</w:t>
            </w:r>
          </w:p>
        </w:tc>
      </w:tr>
      <w:tr w:rsidR="007C6DC9" w:rsidRPr="008D7E3C" w14:paraId="67ABA70C"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ED8B9F9" w14:textId="77777777" w:rsidR="007C6DC9" w:rsidRPr="008D7E3C" w:rsidRDefault="007C6DC9" w:rsidP="006F7405">
            <w:pPr>
              <w:rPr>
                <w:sz w:val="22"/>
                <w:szCs w:val="22"/>
              </w:rPr>
            </w:pPr>
            <w:r w:rsidRPr="008D7E3C">
              <w:rPr>
                <w:sz w:val="22"/>
                <w:szCs w:val="22"/>
              </w:rPr>
              <w:t>1.1. valsts pamatbudžets, tai skaitā ieņēmumi no maksas pakalpojumiem un citi pašu ieņēmumi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B635614" w14:textId="77777777" w:rsidR="007C6DC9" w:rsidRPr="008D7E3C" w:rsidRDefault="007C6DC9" w:rsidP="006F7405">
            <w:pPr>
              <w:jc w:val="center"/>
            </w:pPr>
            <w:r w:rsidRPr="008D7E3C">
              <w:t>255 000</w:t>
            </w:r>
          </w:p>
          <w:p w14:paraId="5CEA2830" w14:textId="77777777" w:rsidR="007C6DC9" w:rsidRPr="008D7E3C" w:rsidRDefault="007C6DC9" w:rsidP="006F7405">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1E149B12" w14:textId="77777777" w:rsidR="007C6DC9" w:rsidRPr="008D7E3C" w:rsidRDefault="007C6DC9"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178DCF05" w14:textId="77777777" w:rsidR="007C6DC9" w:rsidRPr="008D7E3C" w:rsidRDefault="007C6DC9" w:rsidP="006F7405">
            <w:pPr>
              <w:jc w:val="center"/>
            </w:pPr>
            <w:r w:rsidRPr="008D7E3C">
              <w:t>255 000</w:t>
            </w:r>
          </w:p>
          <w:p w14:paraId="364B9F40" w14:textId="77777777" w:rsidR="007C6DC9" w:rsidRPr="008D7E3C" w:rsidRDefault="007C6DC9" w:rsidP="006F7405">
            <w:pPr>
              <w:jc w:val="center"/>
            </w:pP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E292914" w14:textId="77777777" w:rsidR="007C6DC9" w:rsidRPr="008D7E3C" w:rsidRDefault="00CC68C7" w:rsidP="006F7405">
            <w:pPr>
              <w:jc w:val="center"/>
            </w:pPr>
            <w:r>
              <w:t>+130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C199B09" w14:textId="77777777" w:rsidR="007C6DC9" w:rsidRPr="008D7E3C" w:rsidRDefault="007C6DC9" w:rsidP="006F7405">
            <w:pPr>
              <w:jc w:val="center"/>
            </w:pPr>
            <w:r w:rsidRPr="008D7E3C">
              <w:t>255 000</w:t>
            </w:r>
          </w:p>
          <w:p w14:paraId="5D5DA001" w14:textId="77777777" w:rsidR="007C6DC9" w:rsidRPr="008D7E3C" w:rsidRDefault="007C6DC9" w:rsidP="006F7405">
            <w:pPr>
              <w:jc w:val="center"/>
            </w:pP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BD02A3E" w14:textId="77777777" w:rsidR="007C6DC9" w:rsidRPr="008D7E3C" w:rsidRDefault="00CC68C7" w:rsidP="006F7405">
            <w:pPr>
              <w:jc w:val="center"/>
            </w:pPr>
            <w:r>
              <w:t>+103</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BF16B3C" w14:textId="77777777" w:rsidR="007C6DC9" w:rsidRPr="008D7E3C" w:rsidRDefault="00CC68C7" w:rsidP="006F7405">
            <w:pPr>
              <w:jc w:val="center"/>
            </w:pPr>
            <w:r>
              <w:t>+130</w:t>
            </w:r>
          </w:p>
        </w:tc>
      </w:tr>
      <w:tr w:rsidR="007C6DC9" w:rsidRPr="008D7E3C" w14:paraId="35AE1668"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F3477C9" w14:textId="77777777" w:rsidR="007C6DC9" w:rsidRPr="008D7E3C" w:rsidRDefault="007C6DC9" w:rsidP="006F7405">
            <w:pPr>
              <w:rPr>
                <w:sz w:val="22"/>
                <w:szCs w:val="22"/>
              </w:rPr>
            </w:pPr>
            <w:r w:rsidRPr="008D7E3C">
              <w:rPr>
                <w:sz w:val="22"/>
                <w:szCs w:val="22"/>
              </w:rPr>
              <w:t>1.2. valsts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AE44098" w14:textId="77777777" w:rsidR="007C6DC9" w:rsidRPr="008D7E3C" w:rsidRDefault="007C6DC9" w:rsidP="006F740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018EFA9D" w14:textId="77777777" w:rsidR="007C6DC9" w:rsidRPr="008D7E3C" w:rsidRDefault="007C6DC9"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65310205" w14:textId="77777777" w:rsidR="007C6DC9" w:rsidRPr="008D7E3C" w:rsidRDefault="007C6DC9"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427615F" w14:textId="77777777" w:rsidR="007C6DC9" w:rsidRPr="008D7E3C" w:rsidRDefault="007C6DC9" w:rsidP="006F740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15CF3981" w14:textId="77777777" w:rsidR="007C6DC9" w:rsidRPr="008D7E3C" w:rsidRDefault="007C6DC9"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9DDC1FC" w14:textId="77777777" w:rsidR="007C6DC9" w:rsidRPr="008D7E3C" w:rsidRDefault="007C6DC9"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B67BC42" w14:textId="77777777" w:rsidR="007C6DC9" w:rsidRPr="008D7E3C" w:rsidRDefault="007C6DC9" w:rsidP="006F7405">
            <w:pPr>
              <w:jc w:val="center"/>
            </w:pPr>
            <w:r w:rsidRPr="008D7E3C">
              <w:t>0</w:t>
            </w:r>
          </w:p>
        </w:tc>
      </w:tr>
      <w:tr w:rsidR="007C6DC9" w:rsidRPr="008D7E3C" w14:paraId="0EFB27C1"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729E52DE" w14:textId="77777777" w:rsidR="007C6DC9" w:rsidRPr="008D7E3C" w:rsidRDefault="007C6DC9" w:rsidP="006F7405">
            <w:pPr>
              <w:rPr>
                <w:sz w:val="22"/>
                <w:szCs w:val="22"/>
              </w:rPr>
            </w:pPr>
            <w:r w:rsidRPr="008D7E3C">
              <w:rPr>
                <w:sz w:val="22"/>
                <w:szCs w:val="22"/>
              </w:rPr>
              <w:t>1.3.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3EDE0C9A" w14:textId="77777777" w:rsidR="007C6DC9" w:rsidRPr="008D7E3C" w:rsidRDefault="007C6DC9" w:rsidP="006F7405">
            <w:pPr>
              <w:jc w:val="center"/>
            </w:pPr>
            <w:r w:rsidRPr="008D7E3C">
              <w:t>595 000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79656D2" w14:textId="77777777" w:rsidR="007C6DC9" w:rsidRPr="008D7E3C" w:rsidRDefault="007C6DC9"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0D8D9F31" w14:textId="77777777" w:rsidR="007C6DC9" w:rsidRPr="008D7E3C" w:rsidRDefault="007C6DC9" w:rsidP="006F7405">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D20D9AB" w14:textId="77777777" w:rsidR="007C6DC9" w:rsidRPr="008D7E3C" w:rsidRDefault="00CC68C7" w:rsidP="006F7405">
            <w:pPr>
              <w:jc w:val="center"/>
            </w:pPr>
            <w:r>
              <w:t>+305</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404B37CF" w14:textId="77777777" w:rsidR="007C6DC9" w:rsidRPr="008D7E3C" w:rsidRDefault="007C6DC9" w:rsidP="006F7405">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0A8CD01" w14:textId="77777777" w:rsidR="007C6DC9" w:rsidRPr="008D7E3C" w:rsidRDefault="00CC68C7" w:rsidP="006F7405">
            <w:pPr>
              <w:jc w:val="center"/>
            </w:pPr>
            <w:r>
              <w:t>+305</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6CD59D0" w14:textId="77777777" w:rsidR="007C6DC9" w:rsidRPr="008D7E3C" w:rsidRDefault="00CC68C7" w:rsidP="006F7405">
            <w:pPr>
              <w:jc w:val="center"/>
            </w:pPr>
            <w:r>
              <w:t>+305</w:t>
            </w:r>
          </w:p>
        </w:tc>
      </w:tr>
      <w:tr w:rsidR="009E5887" w:rsidRPr="008D7E3C" w14:paraId="2ACBAF98"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430CA83" w14:textId="77777777" w:rsidR="009E5887" w:rsidRPr="008D7E3C" w:rsidRDefault="009E5887" w:rsidP="006F7405">
            <w:pPr>
              <w:rPr>
                <w:sz w:val="22"/>
                <w:szCs w:val="22"/>
              </w:rPr>
            </w:pPr>
            <w:r w:rsidRPr="008D7E3C">
              <w:rPr>
                <w:sz w:val="22"/>
                <w:szCs w:val="22"/>
              </w:rPr>
              <w:t>2. Budžeta izdevumi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ED5F4A7" w14:textId="77777777" w:rsidR="009E5887" w:rsidRPr="008D7E3C" w:rsidRDefault="009E5887" w:rsidP="006F7405">
            <w:pPr>
              <w:jc w:val="center"/>
            </w:pPr>
            <w:r w:rsidRPr="008D7E3C">
              <w:t>850 000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2117AE8B" w14:textId="77777777" w:rsidR="009E5887" w:rsidRPr="008D7E3C" w:rsidRDefault="009E5887"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248FD859" w14:textId="77777777" w:rsidR="009E5887" w:rsidRPr="008D7E3C" w:rsidRDefault="009E5887" w:rsidP="006F7405">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D6B9D9B" w14:textId="77777777" w:rsidR="009E5887" w:rsidRPr="008D7E3C" w:rsidRDefault="009E5887" w:rsidP="006F740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48A23E4" w14:textId="77777777" w:rsidR="009E5887" w:rsidRPr="008D7E3C" w:rsidRDefault="009E5887" w:rsidP="006F7405">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28FC0D7" w14:textId="77777777" w:rsidR="009E5887" w:rsidRPr="008D7E3C" w:rsidRDefault="009E588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FE5B7DE" w14:textId="77777777" w:rsidR="009E5887" w:rsidRPr="008D7E3C" w:rsidRDefault="009E5887" w:rsidP="006F7405">
            <w:pPr>
              <w:jc w:val="center"/>
            </w:pPr>
            <w:r w:rsidRPr="008D7E3C">
              <w:t>0</w:t>
            </w:r>
          </w:p>
        </w:tc>
      </w:tr>
      <w:tr w:rsidR="009E5887" w:rsidRPr="008D7E3C" w14:paraId="04CBEA8F"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31C1C14" w14:textId="77777777" w:rsidR="009E5887" w:rsidRPr="008D7E3C" w:rsidRDefault="009E5887" w:rsidP="006F7405">
            <w:pPr>
              <w:rPr>
                <w:sz w:val="22"/>
                <w:szCs w:val="22"/>
              </w:rPr>
            </w:pPr>
            <w:r w:rsidRPr="008D7E3C">
              <w:rPr>
                <w:sz w:val="22"/>
                <w:szCs w:val="22"/>
              </w:rPr>
              <w:t>2.1. valsts pamatbudžets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486E1E81" w14:textId="77777777" w:rsidR="009E5887" w:rsidRPr="008D7E3C" w:rsidRDefault="009E5887" w:rsidP="006F7405">
            <w:pPr>
              <w:jc w:val="center"/>
            </w:pPr>
            <w:r w:rsidRPr="008D7E3C">
              <w:t>255 000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439522A4" w14:textId="77777777" w:rsidR="009E5887" w:rsidRPr="008D7E3C" w:rsidRDefault="009E5887"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4B5EB702" w14:textId="77777777" w:rsidR="009E5887" w:rsidRPr="008D7E3C" w:rsidRDefault="009E5887" w:rsidP="006F7405">
            <w:pPr>
              <w:jc w:val="center"/>
            </w:pPr>
            <w:r w:rsidRPr="008D7E3C">
              <w:t>255 000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B9FA1DE" w14:textId="77777777" w:rsidR="009E5887" w:rsidRPr="008D7E3C" w:rsidRDefault="009E5887" w:rsidP="006F740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61188D6" w14:textId="77777777" w:rsidR="009E5887" w:rsidRPr="008D7E3C" w:rsidRDefault="009E5887" w:rsidP="006F7405">
            <w:pPr>
              <w:jc w:val="center"/>
            </w:pPr>
            <w:r w:rsidRPr="008D7E3C">
              <w:t>255 000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9BB1C48" w14:textId="77777777" w:rsidR="009E5887" w:rsidRPr="008D7E3C" w:rsidRDefault="009E588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A38EC3E" w14:textId="77777777" w:rsidR="009E5887" w:rsidRPr="008D7E3C" w:rsidRDefault="009E5887" w:rsidP="006F7405">
            <w:pPr>
              <w:jc w:val="center"/>
            </w:pPr>
            <w:r w:rsidRPr="008D7E3C">
              <w:t>0</w:t>
            </w:r>
          </w:p>
        </w:tc>
      </w:tr>
      <w:tr w:rsidR="009E5887" w:rsidRPr="008D7E3C" w14:paraId="3E65BABE"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1DF20FDF" w14:textId="77777777" w:rsidR="009E5887" w:rsidRPr="008D7E3C" w:rsidRDefault="009E5887" w:rsidP="006F7405">
            <w:pPr>
              <w:rPr>
                <w:sz w:val="22"/>
                <w:szCs w:val="22"/>
              </w:rPr>
            </w:pPr>
            <w:r w:rsidRPr="008D7E3C">
              <w:rPr>
                <w:sz w:val="22"/>
                <w:szCs w:val="22"/>
              </w:rPr>
              <w:t>2.2. valsts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A57A005" w14:textId="77777777" w:rsidR="009E5887" w:rsidRPr="008D7E3C" w:rsidRDefault="009E5887" w:rsidP="006F740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3EA2E0FE" w14:textId="77777777" w:rsidR="009E5887" w:rsidRPr="008D7E3C" w:rsidRDefault="009E5887"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099E4FD0" w14:textId="77777777" w:rsidR="009E5887" w:rsidRPr="008D7E3C" w:rsidRDefault="009E588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9688262" w14:textId="77777777" w:rsidR="009E5887" w:rsidRPr="008D7E3C" w:rsidRDefault="009E5887" w:rsidP="006F740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95E9655" w14:textId="77777777" w:rsidR="009E5887" w:rsidRPr="008D7E3C" w:rsidRDefault="009E588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CBA2594" w14:textId="77777777" w:rsidR="009E5887" w:rsidRPr="008D7E3C" w:rsidRDefault="009E588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C406B6B" w14:textId="77777777" w:rsidR="009E5887" w:rsidRPr="008D7E3C" w:rsidRDefault="009E5887" w:rsidP="006F7405">
            <w:pPr>
              <w:jc w:val="center"/>
            </w:pPr>
            <w:r w:rsidRPr="008D7E3C">
              <w:t>0</w:t>
            </w:r>
          </w:p>
        </w:tc>
      </w:tr>
      <w:tr w:rsidR="009E5887" w:rsidRPr="008D7E3C" w14:paraId="61F75F20"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FB9E0D1" w14:textId="77777777" w:rsidR="009E5887" w:rsidRPr="008D7E3C" w:rsidRDefault="009E5887" w:rsidP="006F7405">
            <w:pPr>
              <w:rPr>
                <w:sz w:val="22"/>
                <w:szCs w:val="22"/>
              </w:rPr>
            </w:pPr>
            <w:r w:rsidRPr="008D7E3C">
              <w:rPr>
                <w:sz w:val="22"/>
                <w:szCs w:val="22"/>
              </w:rPr>
              <w:t>2.3.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78F28AF0" w14:textId="77777777" w:rsidR="009E5887" w:rsidRPr="008D7E3C" w:rsidRDefault="009E5887" w:rsidP="006F7405">
            <w:pPr>
              <w:jc w:val="center"/>
            </w:pPr>
            <w:r w:rsidRPr="008D7E3C">
              <w:t>595 000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0BC9114D" w14:textId="77777777" w:rsidR="009E5887" w:rsidRPr="008D7E3C" w:rsidRDefault="009E5887"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3BA9710B" w14:textId="77777777" w:rsidR="009E5887" w:rsidRPr="008D7E3C" w:rsidRDefault="009E5887" w:rsidP="006F7405">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E628411" w14:textId="77777777" w:rsidR="009E5887" w:rsidRPr="008D7E3C" w:rsidRDefault="009E5887" w:rsidP="006F740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4716E8B" w14:textId="77777777" w:rsidR="009E5887" w:rsidRPr="008D7E3C" w:rsidRDefault="009E5887" w:rsidP="006F7405">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EAAB9C4" w14:textId="77777777" w:rsidR="009E5887" w:rsidRPr="008D7E3C" w:rsidRDefault="009E588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6A563EE" w14:textId="77777777" w:rsidR="009E5887" w:rsidRPr="008D7E3C" w:rsidRDefault="009E5887" w:rsidP="006F7405">
            <w:pPr>
              <w:jc w:val="center"/>
            </w:pPr>
            <w:r w:rsidRPr="008D7E3C">
              <w:t>0</w:t>
            </w:r>
          </w:p>
        </w:tc>
      </w:tr>
      <w:tr w:rsidR="00CC68C7" w:rsidRPr="008D7E3C" w14:paraId="3C09A5D6"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A093B45" w14:textId="77777777" w:rsidR="00CC68C7" w:rsidRPr="008D7E3C" w:rsidRDefault="00CC68C7" w:rsidP="006F7405">
            <w:pPr>
              <w:rPr>
                <w:sz w:val="22"/>
                <w:szCs w:val="22"/>
              </w:rPr>
            </w:pPr>
            <w:r w:rsidRPr="008D7E3C">
              <w:rPr>
                <w:sz w:val="22"/>
                <w:szCs w:val="22"/>
              </w:rPr>
              <w:t>3. Finansiālā ietekme</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7F33AE70" w14:textId="77777777" w:rsidR="00CC68C7" w:rsidRPr="008D7E3C" w:rsidRDefault="00CC68C7" w:rsidP="006F740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7CB7FFDC" w14:textId="77777777" w:rsidR="00CC68C7" w:rsidRPr="008D7E3C" w:rsidRDefault="00CC68C7"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39DFA0D2" w14:textId="77777777" w:rsidR="00CC68C7" w:rsidRPr="008D7E3C" w:rsidRDefault="00CC68C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329628B" w14:textId="77777777" w:rsidR="00CC68C7" w:rsidRPr="008D7E3C" w:rsidRDefault="00CC68C7" w:rsidP="006F7405">
            <w:pPr>
              <w:jc w:val="center"/>
            </w:pPr>
            <w:r>
              <w:t>+435</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75B6488F" w14:textId="77777777" w:rsidR="00CC68C7" w:rsidRPr="008D7E3C" w:rsidRDefault="00CC68C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D0A7C86" w14:textId="77777777" w:rsidR="00CC68C7" w:rsidRPr="008D7E3C" w:rsidRDefault="00CC68C7" w:rsidP="006F7405">
            <w:pPr>
              <w:jc w:val="center"/>
            </w:pPr>
            <w:r>
              <w:t>+435</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6581425" w14:textId="77777777" w:rsidR="00CC68C7" w:rsidRPr="008D7E3C" w:rsidRDefault="00CC68C7" w:rsidP="006F7405">
            <w:pPr>
              <w:jc w:val="center"/>
            </w:pPr>
            <w:r>
              <w:t>+435</w:t>
            </w:r>
          </w:p>
        </w:tc>
      </w:tr>
      <w:tr w:rsidR="00CC68C7" w:rsidRPr="008D7E3C" w14:paraId="1EBE84DA"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92BC6C7" w14:textId="77777777" w:rsidR="00CC68C7" w:rsidRPr="008D7E3C" w:rsidRDefault="00CC68C7" w:rsidP="006F7405">
            <w:pPr>
              <w:rPr>
                <w:sz w:val="22"/>
                <w:szCs w:val="22"/>
              </w:rPr>
            </w:pPr>
            <w:r w:rsidRPr="008D7E3C">
              <w:rPr>
                <w:sz w:val="22"/>
                <w:szCs w:val="22"/>
              </w:rPr>
              <w:t>3.1. valsts pamatbudžets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7F75976E" w14:textId="77777777" w:rsidR="00CC68C7" w:rsidRPr="008D7E3C" w:rsidRDefault="00CC68C7" w:rsidP="006F740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5D3F60AD" w14:textId="77777777" w:rsidR="00CC68C7" w:rsidRPr="008D7E3C" w:rsidRDefault="00CC68C7"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636CC7A7" w14:textId="77777777" w:rsidR="00CC68C7" w:rsidRPr="008D7E3C" w:rsidRDefault="00CC68C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F3446B4" w14:textId="77777777" w:rsidR="00CC68C7" w:rsidRPr="008D7E3C" w:rsidRDefault="00CC68C7" w:rsidP="006F7405">
            <w:pPr>
              <w:jc w:val="center"/>
            </w:pPr>
            <w:r>
              <w:t>+130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73895CF3" w14:textId="77777777" w:rsidR="00CC68C7" w:rsidRPr="008D7E3C" w:rsidRDefault="00CC68C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7BFD640" w14:textId="77777777" w:rsidR="00CC68C7" w:rsidRPr="008D7E3C" w:rsidRDefault="00CC68C7" w:rsidP="006F7405">
            <w:pPr>
              <w:jc w:val="center"/>
            </w:pPr>
            <w:r>
              <w:t>+130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58B5EBF" w14:textId="77777777" w:rsidR="00CC68C7" w:rsidRPr="008D7E3C" w:rsidRDefault="00CC68C7" w:rsidP="006F7405">
            <w:pPr>
              <w:jc w:val="center"/>
            </w:pPr>
            <w:r>
              <w:t>+130</w:t>
            </w:r>
          </w:p>
        </w:tc>
      </w:tr>
      <w:tr w:rsidR="00CC68C7" w:rsidRPr="008D7E3C" w14:paraId="3163A2EF"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0DFB7345" w14:textId="77777777" w:rsidR="00CC68C7" w:rsidRPr="008D7E3C" w:rsidRDefault="00CC68C7" w:rsidP="006F7405">
            <w:pPr>
              <w:rPr>
                <w:sz w:val="22"/>
                <w:szCs w:val="22"/>
              </w:rPr>
            </w:pPr>
            <w:r w:rsidRPr="008D7E3C">
              <w:rPr>
                <w:sz w:val="22"/>
                <w:szCs w:val="22"/>
              </w:rPr>
              <w:t>3.2.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281C9E7" w14:textId="77777777" w:rsidR="00CC68C7" w:rsidRPr="008D7E3C" w:rsidRDefault="00CC68C7" w:rsidP="006F740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482B605C" w14:textId="77777777" w:rsidR="00CC68C7" w:rsidRPr="008D7E3C" w:rsidRDefault="00CC68C7"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431C812A" w14:textId="77777777" w:rsidR="00CC68C7" w:rsidRPr="008D7E3C" w:rsidRDefault="00CC68C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7940DA3" w14:textId="77777777" w:rsidR="00CC68C7" w:rsidRPr="008D7E3C" w:rsidRDefault="00CC68C7" w:rsidP="006F740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45DBF6D6" w14:textId="77777777" w:rsidR="00CC68C7" w:rsidRPr="008D7E3C" w:rsidRDefault="00CC68C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2995AAB" w14:textId="77777777" w:rsidR="00CC68C7" w:rsidRPr="008D7E3C" w:rsidRDefault="00CC68C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0380D50" w14:textId="77777777" w:rsidR="00CC68C7" w:rsidRPr="008D7E3C" w:rsidRDefault="00CC68C7" w:rsidP="006F7405">
            <w:pPr>
              <w:jc w:val="center"/>
            </w:pPr>
            <w:r w:rsidRPr="008D7E3C">
              <w:t>0</w:t>
            </w:r>
          </w:p>
        </w:tc>
      </w:tr>
      <w:tr w:rsidR="00CC68C7" w:rsidRPr="008D7E3C" w14:paraId="20CB8706"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66E81D1" w14:textId="77777777" w:rsidR="00CC68C7" w:rsidRPr="008D7E3C" w:rsidRDefault="00CC68C7" w:rsidP="006F7405">
            <w:pPr>
              <w:rPr>
                <w:sz w:val="22"/>
                <w:szCs w:val="22"/>
              </w:rPr>
            </w:pPr>
            <w:r w:rsidRPr="008D7E3C">
              <w:rPr>
                <w:sz w:val="22"/>
                <w:szCs w:val="22"/>
              </w:rPr>
              <w:t>3.3.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8770458" w14:textId="77777777" w:rsidR="00CC68C7" w:rsidRPr="008D7E3C" w:rsidRDefault="00CC68C7" w:rsidP="006F740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38EE8082" w14:textId="77777777" w:rsidR="00CC68C7" w:rsidRPr="008D7E3C" w:rsidRDefault="00CC68C7"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30C4BB37" w14:textId="77777777" w:rsidR="00CC68C7" w:rsidRPr="008D7E3C" w:rsidRDefault="00CC68C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64F0B78" w14:textId="77777777" w:rsidR="00CC68C7" w:rsidRPr="008D7E3C" w:rsidRDefault="00CC68C7" w:rsidP="006F7405">
            <w:pPr>
              <w:jc w:val="center"/>
            </w:pPr>
            <w:r>
              <w:t>+305</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2177AFF2" w14:textId="77777777" w:rsidR="00CC68C7" w:rsidRPr="008D7E3C" w:rsidRDefault="00CC68C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7A596FB" w14:textId="77777777" w:rsidR="00CC68C7" w:rsidRPr="008D7E3C" w:rsidRDefault="00CC68C7" w:rsidP="006F7405">
            <w:pPr>
              <w:jc w:val="center"/>
            </w:pPr>
            <w:r>
              <w:t>+305</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69DDA45" w14:textId="77777777" w:rsidR="00CC68C7" w:rsidRPr="008D7E3C" w:rsidRDefault="00CC68C7" w:rsidP="006F7405">
            <w:pPr>
              <w:jc w:val="center"/>
            </w:pPr>
            <w:r>
              <w:t>+305</w:t>
            </w:r>
          </w:p>
        </w:tc>
      </w:tr>
      <w:tr w:rsidR="007C6DC9" w:rsidRPr="008D7E3C" w14:paraId="265342E8"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B07B1B2" w14:textId="77777777" w:rsidR="007C6DC9" w:rsidRPr="008D7E3C" w:rsidRDefault="007C6DC9" w:rsidP="006F7405">
            <w:pPr>
              <w:rPr>
                <w:sz w:val="22"/>
                <w:szCs w:val="22"/>
              </w:rPr>
            </w:pPr>
            <w:r w:rsidRPr="008D7E3C">
              <w:rPr>
                <w:sz w:val="22"/>
                <w:szCs w:val="22"/>
              </w:rPr>
              <w:t>4. Finanšu līdzekļi papildu izdevumu finansēšanai (kompensējošu izdevumu samazinājumu norāda ar "+" zīmi)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3138BC34" w14:textId="77777777" w:rsidR="007C6DC9" w:rsidRPr="008D7E3C" w:rsidRDefault="007C6DC9" w:rsidP="006F740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898D5C1" w14:textId="77777777" w:rsidR="007C6DC9" w:rsidRPr="008D7E3C" w:rsidRDefault="007C6DC9"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4A4D362A" w14:textId="77777777" w:rsidR="007C6DC9" w:rsidRPr="008D7E3C" w:rsidRDefault="007C6DC9"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F23B610" w14:textId="77777777" w:rsidR="007C6DC9" w:rsidRPr="008D7E3C" w:rsidRDefault="007C6DC9" w:rsidP="006F740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80C3E41" w14:textId="77777777" w:rsidR="007C6DC9" w:rsidRPr="008D7E3C" w:rsidRDefault="007C6DC9"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8BD3787" w14:textId="77777777" w:rsidR="007C6DC9" w:rsidRPr="008D7E3C" w:rsidRDefault="007C6DC9"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E080FCE" w14:textId="77777777" w:rsidR="007C6DC9" w:rsidRPr="008D7E3C" w:rsidRDefault="007C6DC9" w:rsidP="006F7405">
            <w:pPr>
              <w:jc w:val="center"/>
            </w:pPr>
            <w:r w:rsidRPr="008D7E3C">
              <w:t>0</w:t>
            </w:r>
          </w:p>
        </w:tc>
      </w:tr>
      <w:tr w:rsidR="00CC68C7" w:rsidRPr="008D7E3C" w14:paraId="318F5AF0"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33A756D" w14:textId="77777777" w:rsidR="00CC68C7" w:rsidRPr="008D7E3C" w:rsidRDefault="00CC68C7" w:rsidP="006F7405">
            <w:pPr>
              <w:rPr>
                <w:sz w:val="22"/>
                <w:szCs w:val="22"/>
              </w:rPr>
            </w:pPr>
            <w:r w:rsidRPr="008D7E3C">
              <w:rPr>
                <w:sz w:val="22"/>
                <w:szCs w:val="22"/>
              </w:rPr>
              <w:t>5. Precizēta finansiālā ietekme</w:t>
            </w:r>
          </w:p>
        </w:tc>
        <w:tc>
          <w:tcPr>
            <w:tcW w:w="43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4B7CACF" w14:textId="77777777" w:rsidR="00CC68C7" w:rsidRPr="008D7E3C" w:rsidRDefault="00CC68C7" w:rsidP="006F7405">
            <w:pPr>
              <w:jc w:val="center"/>
            </w:pPr>
          </w:p>
          <w:p w14:paraId="29EC5CD7" w14:textId="77777777" w:rsidR="00CC68C7" w:rsidRPr="008D7E3C" w:rsidRDefault="00CC68C7" w:rsidP="006F7405">
            <w:pPr>
              <w:jc w:val="center"/>
            </w:pPr>
            <w:r w:rsidRPr="008D7E3C">
              <w:t>X</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BB25E53" w14:textId="77777777" w:rsidR="00CC68C7" w:rsidRPr="008D7E3C" w:rsidRDefault="00CC68C7" w:rsidP="006F7405">
            <w:pPr>
              <w:jc w:val="center"/>
            </w:pPr>
            <w:r w:rsidRPr="008D7E3C">
              <w:t>0</w:t>
            </w:r>
          </w:p>
        </w:tc>
        <w:tc>
          <w:tcPr>
            <w:tcW w:w="43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4D9752A" w14:textId="77777777" w:rsidR="00CC68C7" w:rsidRPr="008D7E3C" w:rsidRDefault="00CC68C7" w:rsidP="006F7405">
            <w:pPr>
              <w:jc w:val="center"/>
            </w:pPr>
          </w:p>
          <w:p w14:paraId="15708C06" w14:textId="77777777" w:rsidR="00CC68C7" w:rsidRPr="008D7E3C" w:rsidRDefault="00CC68C7" w:rsidP="006F7405">
            <w:pPr>
              <w:jc w:val="center"/>
            </w:pPr>
            <w:r w:rsidRPr="008D7E3C">
              <w:t>X</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9B88BC3" w14:textId="77777777" w:rsidR="00CC68C7" w:rsidRPr="008D7E3C" w:rsidRDefault="00CC68C7" w:rsidP="006F7405">
            <w:pPr>
              <w:jc w:val="center"/>
            </w:pPr>
            <w:r>
              <w:t>+435</w:t>
            </w:r>
          </w:p>
        </w:tc>
        <w:tc>
          <w:tcPr>
            <w:tcW w:w="43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7D6798D" w14:textId="77777777" w:rsidR="00CC68C7" w:rsidRPr="008D7E3C" w:rsidRDefault="00CC68C7" w:rsidP="006F7405">
            <w:pPr>
              <w:jc w:val="center"/>
            </w:pPr>
          </w:p>
          <w:p w14:paraId="5A01FB86" w14:textId="77777777" w:rsidR="00CC68C7" w:rsidRPr="008D7E3C" w:rsidRDefault="00CC68C7" w:rsidP="006F7405">
            <w:pPr>
              <w:jc w:val="center"/>
            </w:pPr>
            <w:r w:rsidRPr="008D7E3C">
              <w:t>X</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91B33B3" w14:textId="77777777" w:rsidR="00CC68C7" w:rsidRPr="008D7E3C" w:rsidRDefault="00CC68C7" w:rsidP="006F7405">
            <w:pPr>
              <w:jc w:val="center"/>
            </w:pPr>
            <w:r>
              <w:t>+435</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39B22B5" w14:textId="77777777" w:rsidR="00CC68C7" w:rsidRPr="008D7E3C" w:rsidRDefault="00CC68C7" w:rsidP="006F7405">
            <w:pPr>
              <w:jc w:val="center"/>
            </w:pPr>
            <w:r>
              <w:t>+435</w:t>
            </w:r>
          </w:p>
        </w:tc>
      </w:tr>
      <w:tr w:rsidR="00CC68C7" w:rsidRPr="008D7E3C" w14:paraId="5668AC7C"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3A07337" w14:textId="77777777" w:rsidR="00CC68C7" w:rsidRPr="008D7E3C" w:rsidRDefault="00CC68C7" w:rsidP="006F7405">
            <w:pPr>
              <w:rPr>
                <w:sz w:val="22"/>
                <w:szCs w:val="22"/>
              </w:rPr>
            </w:pPr>
            <w:r w:rsidRPr="008D7E3C">
              <w:rPr>
                <w:sz w:val="22"/>
                <w:szCs w:val="22"/>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1D70F081" w14:textId="77777777" w:rsidR="00CC68C7" w:rsidRPr="008D7E3C" w:rsidRDefault="00CC68C7" w:rsidP="006F7405">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10C75171" w14:textId="77777777" w:rsidR="00CC68C7" w:rsidRPr="008D7E3C" w:rsidRDefault="00CC68C7" w:rsidP="006F7405">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C27F4" w14:textId="77777777" w:rsidR="00CC68C7" w:rsidRPr="008D7E3C" w:rsidRDefault="00CC68C7" w:rsidP="006F740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0E5958F" w14:textId="77777777" w:rsidR="00CC68C7" w:rsidRPr="008D7E3C" w:rsidRDefault="00CC68C7" w:rsidP="006F7405">
            <w:pPr>
              <w:jc w:val="center"/>
            </w:pPr>
            <w:r>
              <w:t>+130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22A7413A" w14:textId="77777777" w:rsidR="00CC68C7" w:rsidRPr="008D7E3C" w:rsidRDefault="00CC68C7" w:rsidP="006F740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57E2358" w14:textId="77777777" w:rsidR="00CC68C7" w:rsidRPr="008D7E3C" w:rsidRDefault="00CC68C7" w:rsidP="006F7405">
            <w:pPr>
              <w:jc w:val="center"/>
            </w:pPr>
            <w:r>
              <w:t>+130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31E8F34" w14:textId="77777777" w:rsidR="00CC68C7" w:rsidRPr="008D7E3C" w:rsidRDefault="00CC68C7" w:rsidP="006F7405">
            <w:pPr>
              <w:jc w:val="center"/>
            </w:pPr>
            <w:r>
              <w:t>+130</w:t>
            </w:r>
          </w:p>
        </w:tc>
      </w:tr>
      <w:tr w:rsidR="00CC68C7" w:rsidRPr="008D7E3C" w14:paraId="3A64B2AC"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08ADEEC9" w14:textId="77777777" w:rsidR="00CC68C7" w:rsidRPr="008D7E3C" w:rsidRDefault="00CC68C7" w:rsidP="006F7405">
            <w:pPr>
              <w:rPr>
                <w:sz w:val="22"/>
                <w:szCs w:val="22"/>
              </w:rPr>
            </w:pPr>
            <w:r w:rsidRPr="008D7E3C">
              <w:rPr>
                <w:sz w:val="22"/>
                <w:szCs w:val="22"/>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13AE516A" w14:textId="77777777" w:rsidR="00CC68C7" w:rsidRPr="008D7E3C" w:rsidRDefault="00CC68C7" w:rsidP="006F7405">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2176126C" w14:textId="77777777" w:rsidR="00CC68C7" w:rsidRPr="008D7E3C" w:rsidRDefault="00CC68C7" w:rsidP="006F7405">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D7494" w14:textId="77777777" w:rsidR="00CC68C7" w:rsidRPr="008D7E3C" w:rsidRDefault="00CC68C7" w:rsidP="006F740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E5E2636" w14:textId="77777777" w:rsidR="00CC68C7" w:rsidRPr="008D7E3C" w:rsidRDefault="00CC68C7" w:rsidP="006F7405">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1CECB44B" w14:textId="77777777" w:rsidR="00CC68C7" w:rsidRPr="008D7E3C" w:rsidRDefault="00CC68C7" w:rsidP="006F740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FCD7072" w14:textId="77777777" w:rsidR="00CC68C7" w:rsidRPr="008D7E3C" w:rsidRDefault="00CC68C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75F9F07" w14:textId="77777777" w:rsidR="00CC68C7" w:rsidRPr="008D7E3C" w:rsidRDefault="00CC68C7" w:rsidP="006F7405">
            <w:pPr>
              <w:jc w:val="center"/>
            </w:pPr>
            <w:r w:rsidRPr="008D7E3C">
              <w:t>0</w:t>
            </w:r>
          </w:p>
        </w:tc>
      </w:tr>
      <w:tr w:rsidR="00CC68C7" w:rsidRPr="008D7E3C" w14:paraId="5A31EFA1"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427563D" w14:textId="77777777" w:rsidR="00CC68C7" w:rsidRPr="008D7E3C" w:rsidRDefault="00CC68C7" w:rsidP="006F7405">
            <w:pPr>
              <w:rPr>
                <w:sz w:val="22"/>
                <w:szCs w:val="22"/>
              </w:rPr>
            </w:pPr>
            <w:r w:rsidRPr="008D7E3C">
              <w:rPr>
                <w:sz w:val="22"/>
                <w:szCs w:val="22"/>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34242F43" w14:textId="77777777" w:rsidR="00CC68C7" w:rsidRPr="008D7E3C" w:rsidRDefault="00CC68C7" w:rsidP="006F7405">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B35F3A8" w14:textId="77777777" w:rsidR="00CC68C7" w:rsidRPr="008D7E3C" w:rsidRDefault="00CC68C7" w:rsidP="006F7405">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D15777" w14:textId="77777777" w:rsidR="00CC68C7" w:rsidRPr="008D7E3C" w:rsidRDefault="00CC68C7" w:rsidP="006F740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D152534" w14:textId="77777777" w:rsidR="00CC68C7" w:rsidRPr="008D7E3C" w:rsidRDefault="00CC68C7" w:rsidP="006F7405">
            <w:pPr>
              <w:jc w:val="center"/>
            </w:pPr>
            <w:r>
              <w:t>+305</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5F4125D6" w14:textId="77777777" w:rsidR="00CC68C7" w:rsidRPr="008D7E3C" w:rsidRDefault="00CC68C7" w:rsidP="006F740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1557CF3" w14:textId="77777777" w:rsidR="00CC68C7" w:rsidRPr="008D7E3C" w:rsidRDefault="00CC68C7" w:rsidP="006F7405">
            <w:pPr>
              <w:jc w:val="center"/>
            </w:pPr>
            <w:r>
              <w:t>+305</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7A759EF" w14:textId="77777777" w:rsidR="00CC68C7" w:rsidRPr="008D7E3C" w:rsidRDefault="00CC68C7" w:rsidP="006F7405">
            <w:pPr>
              <w:jc w:val="center"/>
            </w:pPr>
            <w:r>
              <w:t>+305</w:t>
            </w:r>
          </w:p>
        </w:tc>
      </w:tr>
      <w:tr w:rsidR="007C6DC9" w:rsidRPr="008D7E3C" w14:paraId="77B6ACB5"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8C2CA1B" w14:textId="77777777" w:rsidR="007C6DC9" w:rsidRPr="008D7E3C" w:rsidRDefault="007C6DC9" w:rsidP="006F7405">
            <w:pPr>
              <w:rPr>
                <w:sz w:val="22"/>
                <w:szCs w:val="22"/>
              </w:rPr>
            </w:pPr>
            <w:r w:rsidRPr="008D7E3C">
              <w:rPr>
                <w:sz w:val="22"/>
                <w:szCs w:val="22"/>
              </w:rPr>
              <w:t>6. Detalizēts ieņēmumu un izdevumu aprēķins (ja nepieciešams, detalizētu ieņēmumu un izdevumu aprēķinu var pievienot anotācijas pielikumā)</w:t>
            </w:r>
          </w:p>
        </w:tc>
        <w:tc>
          <w:tcPr>
            <w:tcW w:w="341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D046BF" w14:textId="77777777" w:rsidR="007C6DC9" w:rsidRDefault="007C6DC9" w:rsidP="006F7405">
            <w:pPr>
              <w:jc w:val="both"/>
            </w:pPr>
            <w:r>
              <w:t>Ministru kabineta 2009. gada 11. augusta noteikumu Nr. 918 “Noteikumi par ūdenstilpju un rūpnieciskās zvejas tiesību nomu un zvejas tiesību izmantošanas kārtību” (turpmāk – MK noteikumi Nr. 918) 2.</w:t>
            </w:r>
            <w:r w:rsidRPr="00F82363">
              <w:rPr>
                <w:vertAlign w:val="superscript"/>
              </w:rPr>
              <w:t>1</w:t>
            </w:r>
            <w:r>
              <w:t xml:space="preserve"> pielikumā ir noteikta pamatmaksa par rūpnieciskās zvejas tiesību nomu un zvejas tiesību izmantošanu.</w:t>
            </w:r>
          </w:p>
          <w:p w14:paraId="1836FE88" w14:textId="77777777" w:rsidR="007C6DC9" w:rsidRDefault="007C6DC9" w:rsidP="006F7405">
            <w:pPr>
              <w:jc w:val="both"/>
            </w:pPr>
            <w:r>
              <w:t>Ievērojot MK noteikumos Nr. 918 noteikto zvejas rīku limitu pamatmaksu, noteikumu projektā ietvertie grozījumi radīs nenozīmīgu finansiālu ietekmi uz valsts un pašvaldību budžeta ieņēmumiem no zvejas tiesību rūpnieciskās izmantošanas (zvejas limiti).</w:t>
            </w:r>
          </w:p>
          <w:p w14:paraId="10CF65AD" w14:textId="77777777" w:rsidR="002B1F16" w:rsidRDefault="002B1F16" w:rsidP="006F7405">
            <w:pPr>
              <w:jc w:val="both"/>
            </w:pPr>
            <w:r>
              <w:t>Noteikumu projektā:</w:t>
            </w:r>
          </w:p>
          <w:p w14:paraId="7F7C4F26" w14:textId="77777777" w:rsidR="002B1F16" w:rsidRPr="002B1F16" w:rsidRDefault="007C6DC9" w:rsidP="006F7405">
            <w:pPr>
              <w:pStyle w:val="Sarakstarindkopa"/>
              <w:numPr>
                <w:ilvl w:val="0"/>
                <w:numId w:val="21"/>
              </w:numPr>
            </w:pPr>
            <w:r>
              <w:lastRenderedPageBreak/>
              <w:t xml:space="preserve">paredzēts </w:t>
            </w:r>
            <w:r w:rsidR="00382FE9">
              <w:t>palielināt</w:t>
            </w:r>
            <w:r>
              <w:t xml:space="preserve"> </w:t>
            </w:r>
            <w:r w:rsidR="002B1F16">
              <w:t xml:space="preserve">kopējo reņģu stāvvadu limitu par </w:t>
            </w:r>
            <w:r w:rsidR="00382FE9">
              <w:t>6</w:t>
            </w:r>
            <w:r w:rsidR="002B1F16">
              <w:t xml:space="preserve"> gab. </w:t>
            </w:r>
            <w:r w:rsidR="002B1F16" w:rsidRPr="002B1F16">
              <w:t xml:space="preserve">Tas valsts un pašvaldību budžetā kopumā </w:t>
            </w:r>
            <w:r w:rsidR="00382FE9">
              <w:t>palielinās</w:t>
            </w:r>
            <w:r w:rsidR="002B1F16" w:rsidRPr="002B1F16">
              <w:t xml:space="preserve"> ienākumus par </w:t>
            </w:r>
            <w:r w:rsidR="00382FE9">
              <w:t>853,74</w:t>
            </w:r>
            <w:r w:rsidR="002B1F16" w:rsidRPr="002B1F16">
              <w:t xml:space="preserve"> EUR (</w:t>
            </w:r>
            <w:r w:rsidR="00382FE9">
              <w:t>6</w:t>
            </w:r>
            <w:r w:rsidR="002B1F16" w:rsidRPr="002B1F16">
              <w:t xml:space="preserve"> x </w:t>
            </w:r>
            <w:r w:rsidR="002B1F16">
              <w:t>142,29 EUR);</w:t>
            </w:r>
          </w:p>
          <w:p w14:paraId="5EF55293" w14:textId="7AE25719" w:rsidR="007C6DC9" w:rsidRDefault="002B1F16" w:rsidP="006F7405">
            <w:pPr>
              <w:pStyle w:val="Sarakstarindkopa"/>
              <w:numPr>
                <w:ilvl w:val="0"/>
                <w:numId w:val="21"/>
              </w:numPr>
              <w:jc w:val="both"/>
            </w:pPr>
            <w:r>
              <w:t>paredzēts samazināt zivju murdu</w:t>
            </w:r>
            <w:r w:rsidR="007C6DC9">
              <w:t xml:space="preserve"> limitu par </w:t>
            </w:r>
            <w:r w:rsidR="00382FE9">
              <w:t>3</w:t>
            </w:r>
            <w:r w:rsidR="007C6DC9">
              <w:t xml:space="preserve"> gab. </w:t>
            </w:r>
            <w:r>
              <w:t>V</w:t>
            </w:r>
            <w:r w:rsidR="007C6DC9">
              <w:t>alsts un pašvaldību budžetā kopumā samazinās</w:t>
            </w:r>
            <w:r>
              <w:t>ies</w:t>
            </w:r>
            <w:r w:rsidR="007C6DC9">
              <w:t xml:space="preserve"> ienākum</w:t>
            </w:r>
            <w:r>
              <w:t>i</w:t>
            </w:r>
            <w:r w:rsidR="007C6DC9">
              <w:t xml:space="preserve"> par </w:t>
            </w:r>
            <w:r w:rsidR="008777C1">
              <w:t>256,11</w:t>
            </w:r>
            <w:r w:rsidR="00121B5C">
              <w:t> </w:t>
            </w:r>
            <w:r w:rsidR="007C6DC9">
              <w:t>EUR (</w:t>
            </w:r>
            <w:r w:rsidR="008777C1">
              <w:t>3</w:t>
            </w:r>
            <w:r w:rsidR="007C6DC9">
              <w:t xml:space="preserve"> x </w:t>
            </w:r>
            <w:r>
              <w:t>85,37 EUR);</w:t>
            </w:r>
          </w:p>
          <w:p w14:paraId="046DAF4B" w14:textId="583445C1" w:rsidR="008777C1" w:rsidRPr="008777C1" w:rsidRDefault="00382FE9" w:rsidP="006F7405">
            <w:pPr>
              <w:pStyle w:val="Sarakstarindkopa"/>
              <w:numPr>
                <w:ilvl w:val="0"/>
                <w:numId w:val="21"/>
              </w:numPr>
            </w:pPr>
            <w:r>
              <w:t xml:space="preserve">paredzēts samazināt lucīšu murda limitu par 1 gab. </w:t>
            </w:r>
            <w:r w:rsidR="008777C1" w:rsidRPr="008777C1">
              <w:t xml:space="preserve">Valsts un pašvaldību budžetā kopumā samazināsies ienākumi par </w:t>
            </w:r>
            <w:r w:rsidR="008777C1">
              <w:t>21,34</w:t>
            </w:r>
            <w:r w:rsidR="00121B5C">
              <w:t> </w:t>
            </w:r>
            <w:r w:rsidR="008777C1" w:rsidRPr="008777C1">
              <w:t>EUR (</w:t>
            </w:r>
            <w:r w:rsidR="008777C1">
              <w:t>1</w:t>
            </w:r>
            <w:r w:rsidR="008777C1" w:rsidRPr="008777C1">
              <w:t xml:space="preserve"> x </w:t>
            </w:r>
            <w:r w:rsidR="008777C1">
              <w:t>21,34</w:t>
            </w:r>
            <w:r w:rsidR="008777C1" w:rsidRPr="008777C1">
              <w:t xml:space="preserve"> EUR);</w:t>
            </w:r>
          </w:p>
          <w:p w14:paraId="7EEA7435" w14:textId="6864D7B3" w:rsidR="002B1F16" w:rsidRDefault="002B1F16" w:rsidP="006F7405">
            <w:pPr>
              <w:pStyle w:val="Sarakstarindkopa"/>
              <w:numPr>
                <w:ilvl w:val="0"/>
                <w:numId w:val="21"/>
              </w:numPr>
              <w:jc w:val="both"/>
            </w:pPr>
            <w:r>
              <w:t>paredzēts samazināt zivju āķu limitu par 600 gab. Valsts un pašvaldību budžetā kopumā samazināsies ienākumi par 59,76</w:t>
            </w:r>
            <w:r w:rsidR="00121B5C">
              <w:t> </w:t>
            </w:r>
            <w:r>
              <w:t>EUR (par 100 āķiem vienības cena ir 9,96 EUR);</w:t>
            </w:r>
          </w:p>
          <w:p w14:paraId="03791CA7" w14:textId="7FB3DF04" w:rsidR="002B1F16" w:rsidRDefault="002B1F16" w:rsidP="006F7405">
            <w:pPr>
              <w:pStyle w:val="Sarakstarindkopa"/>
              <w:numPr>
                <w:ilvl w:val="0"/>
                <w:numId w:val="21"/>
              </w:numPr>
              <w:jc w:val="both"/>
            </w:pPr>
            <w:r>
              <w:t>paredzēts samazināt zivju vadu limitu par 2 gab. Valsts un pašvaldību budžetā kopumā samazināsies ienākumi par 56,92</w:t>
            </w:r>
            <w:r w:rsidR="00121B5C">
              <w:t> </w:t>
            </w:r>
            <w:r>
              <w:t>EUR (2 x 28,46 EUR);</w:t>
            </w:r>
          </w:p>
          <w:p w14:paraId="584CEED6" w14:textId="327F995C" w:rsidR="002B1F16" w:rsidRDefault="002B1F16" w:rsidP="006F7405">
            <w:pPr>
              <w:pStyle w:val="Sarakstarindkopa"/>
              <w:numPr>
                <w:ilvl w:val="0"/>
                <w:numId w:val="21"/>
              </w:numPr>
              <w:jc w:val="both"/>
            </w:pPr>
            <w:r>
              <w:t>paredzēts samazināt akmeņplekstu tīklu limitu par 5 gab. Valsts un pašvaldību budžetā kopumā samazināsies ienākumi par 24,90</w:t>
            </w:r>
            <w:r w:rsidR="00121B5C">
              <w:t> </w:t>
            </w:r>
            <w:r>
              <w:t>EUR (5 x 4,98 EUR);</w:t>
            </w:r>
          </w:p>
          <w:p w14:paraId="1A735C1D" w14:textId="77777777" w:rsidR="002B1F16" w:rsidRDefault="002B1F16" w:rsidP="006F7405">
            <w:pPr>
              <w:pStyle w:val="Sarakstarindkopa"/>
              <w:numPr>
                <w:ilvl w:val="0"/>
                <w:numId w:val="21"/>
              </w:numPr>
              <w:jc w:val="both"/>
            </w:pPr>
            <w:r>
              <w:t>paredzēts palielināt kopējo apaļo jūrasgrunduļu murdu limitu par 1 gab, bet nomas maksa par šo rīku limitu netiek piemērota.</w:t>
            </w:r>
          </w:p>
          <w:p w14:paraId="56A18C3E" w14:textId="77777777" w:rsidR="002B1F16" w:rsidRDefault="002B1F16" w:rsidP="006F7405">
            <w:pPr>
              <w:jc w:val="both"/>
            </w:pPr>
            <w:r>
              <w:t xml:space="preserve">Kopējā noteikumu projekta ietekme uz valsts un pašvaldību būs </w:t>
            </w:r>
            <w:r w:rsidR="008777C1">
              <w:t>pozitīvā</w:t>
            </w:r>
            <w:r w:rsidR="0002350E">
              <w:t xml:space="preserve"> izteiksmē, jo </w:t>
            </w:r>
            <w:r w:rsidR="008777C1">
              <w:t>palielināsies</w:t>
            </w:r>
            <w:r w:rsidR="0002350E">
              <w:t xml:space="preserve"> kopējie ieņēmumi </w:t>
            </w:r>
            <w:r w:rsidR="008777C1">
              <w:t>434,71</w:t>
            </w:r>
            <w:r w:rsidR="0002350E">
              <w:t xml:space="preserve"> EUR.</w:t>
            </w:r>
          </w:p>
          <w:p w14:paraId="0E8DF9D9" w14:textId="77777777" w:rsidR="007C6DC9" w:rsidRPr="008D7E3C" w:rsidRDefault="007C6DC9" w:rsidP="006F7405">
            <w:pPr>
              <w:jc w:val="both"/>
            </w:pPr>
            <w:r>
              <w:t>Saskaņā ar MK noteikumu Nr. 918 96. punktu pašvaldībai paliek 70 % ieņēmumu no zvejas tiesību nomas, bet 30 % tiek ieskaitīti valsts budžetā.</w:t>
            </w:r>
          </w:p>
        </w:tc>
      </w:tr>
      <w:tr w:rsidR="007C6DC9" w:rsidRPr="008D7E3C" w14:paraId="55E49443"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60C8268" w14:textId="77777777" w:rsidR="007C6DC9" w:rsidRPr="008D7E3C" w:rsidRDefault="007C6DC9" w:rsidP="006F7405">
            <w:pPr>
              <w:rPr>
                <w:sz w:val="22"/>
                <w:szCs w:val="22"/>
              </w:rPr>
            </w:pPr>
            <w:r w:rsidRPr="008D7E3C">
              <w:rPr>
                <w:sz w:val="22"/>
                <w:szCs w:val="22"/>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F3A3EE" w14:textId="77777777" w:rsidR="007C6DC9" w:rsidRPr="008D7E3C" w:rsidRDefault="007C6DC9" w:rsidP="006F7405"/>
        </w:tc>
      </w:tr>
      <w:tr w:rsidR="007C6DC9" w:rsidRPr="008D7E3C" w14:paraId="7C20D276"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D18AE06" w14:textId="77777777" w:rsidR="007C6DC9" w:rsidRPr="008D7E3C" w:rsidRDefault="007C6DC9" w:rsidP="006F7405">
            <w:pPr>
              <w:rPr>
                <w:sz w:val="22"/>
                <w:szCs w:val="22"/>
              </w:rPr>
            </w:pPr>
            <w:r w:rsidRPr="008D7E3C">
              <w:rPr>
                <w:sz w:val="22"/>
                <w:szCs w:val="22"/>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8F44B" w14:textId="77777777" w:rsidR="007C6DC9" w:rsidRPr="008D7E3C" w:rsidRDefault="007C6DC9" w:rsidP="006F7405"/>
        </w:tc>
      </w:tr>
      <w:tr w:rsidR="007C6DC9" w:rsidRPr="008D7E3C" w14:paraId="03671C0F"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1236E464" w14:textId="77777777" w:rsidR="007C6DC9" w:rsidRPr="008D7E3C" w:rsidRDefault="007C6DC9" w:rsidP="006F7405">
            <w:pPr>
              <w:rPr>
                <w:sz w:val="22"/>
                <w:szCs w:val="22"/>
              </w:rPr>
            </w:pPr>
            <w:r w:rsidRPr="008D7E3C">
              <w:rPr>
                <w:sz w:val="22"/>
                <w:szCs w:val="22"/>
              </w:rPr>
              <w:t>7. Amata vietu skaita izmaiņas</w:t>
            </w:r>
          </w:p>
        </w:tc>
        <w:tc>
          <w:tcPr>
            <w:tcW w:w="341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EE49CFA" w14:textId="77777777" w:rsidR="007C6DC9" w:rsidRPr="008D7E3C" w:rsidRDefault="007C6DC9" w:rsidP="006F7405">
            <w:r w:rsidRPr="008D7E3C">
              <w:t>Nav.</w:t>
            </w:r>
          </w:p>
        </w:tc>
      </w:tr>
      <w:tr w:rsidR="007C6DC9" w:rsidRPr="008D7E3C" w14:paraId="6DC677DC"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25AC1AE1" w14:textId="77777777" w:rsidR="007C6DC9" w:rsidRPr="008D7E3C" w:rsidRDefault="007C6DC9" w:rsidP="006F7405">
            <w:pPr>
              <w:rPr>
                <w:sz w:val="22"/>
                <w:szCs w:val="22"/>
              </w:rPr>
            </w:pPr>
            <w:r w:rsidRPr="008D7E3C">
              <w:rPr>
                <w:sz w:val="22"/>
                <w:szCs w:val="22"/>
              </w:rPr>
              <w:t>8. Cita informācija</w:t>
            </w:r>
          </w:p>
        </w:tc>
        <w:tc>
          <w:tcPr>
            <w:tcW w:w="341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69002C1" w14:textId="77777777" w:rsidR="007C6DC9" w:rsidRPr="008D7E3C" w:rsidRDefault="007C6DC9" w:rsidP="006F7405">
            <w:r w:rsidRPr="008D7E3C">
              <w:t>Nav.</w:t>
            </w:r>
          </w:p>
        </w:tc>
      </w:tr>
    </w:tbl>
    <w:p w14:paraId="71F11347" w14:textId="77777777" w:rsidR="007C6DC9" w:rsidRDefault="007C6DC9" w:rsidP="006F7405">
      <w:pPr>
        <w:pStyle w:val="naisf"/>
        <w:spacing w:before="0" w:after="0"/>
        <w:ind w:firstLine="0"/>
        <w:rPr>
          <w:sz w:val="16"/>
          <w:szCs w:val="16"/>
        </w:rPr>
      </w:pPr>
    </w:p>
    <w:p w14:paraId="487D7B69" w14:textId="77777777" w:rsidR="000B66D7" w:rsidRPr="00B3642D" w:rsidRDefault="000B66D7" w:rsidP="006F7405">
      <w:pPr>
        <w:pStyle w:val="naisf"/>
        <w:spacing w:before="0" w:after="0"/>
        <w:ind w:firstLine="0"/>
        <w:rPr>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664DA7" w:rsidRPr="00ED68B9" w14:paraId="0612C8B5"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10F44549" w14:textId="77777777" w:rsidR="00664DA7" w:rsidRPr="00ED68B9" w:rsidRDefault="00664DA7" w:rsidP="006F7405">
            <w:pPr>
              <w:jc w:val="center"/>
              <w:rPr>
                <w:b/>
                <w:bCs/>
              </w:rPr>
            </w:pPr>
            <w:r w:rsidRPr="00ED68B9">
              <w:rPr>
                <w:b/>
                <w:bCs/>
              </w:rPr>
              <w:t>IV. Tiesību akta projekta ietekme uz spēkā esošo tiesību normu sistēmu</w:t>
            </w:r>
          </w:p>
        </w:tc>
      </w:tr>
      <w:tr w:rsidR="00664DA7" w:rsidRPr="00ED68B9" w14:paraId="39BCB555"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19AA6A4C" w14:textId="77777777" w:rsidR="00664DA7" w:rsidRPr="00ED68B9" w:rsidRDefault="00664DA7" w:rsidP="006F7405">
            <w:pPr>
              <w:jc w:val="center"/>
              <w:rPr>
                <w:bCs/>
              </w:rPr>
            </w:pPr>
            <w:r w:rsidRPr="00ED68B9">
              <w:rPr>
                <w:bCs/>
              </w:rPr>
              <w:t>Projekts šo jomu neskar.</w:t>
            </w:r>
          </w:p>
        </w:tc>
      </w:tr>
    </w:tbl>
    <w:p w14:paraId="178561E9" w14:textId="77777777" w:rsidR="00D16F90" w:rsidRPr="00B3642D" w:rsidRDefault="00D16F90" w:rsidP="006F7405">
      <w:pPr>
        <w:pStyle w:val="naisc"/>
        <w:spacing w:before="0" w:after="0"/>
        <w:jc w:val="both"/>
        <w:rPr>
          <w:bCs/>
          <w:i/>
        </w:rPr>
      </w:pPr>
    </w:p>
    <w:tbl>
      <w:tblPr>
        <w:tblW w:w="571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341"/>
      </w:tblGrid>
      <w:tr w:rsidR="00F8075E" w:rsidRPr="00B3642D" w14:paraId="5EF98579" w14:textId="77777777" w:rsidTr="00735D9B">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309EDED" w14:textId="77777777" w:rsidR="00F8075E" w:rsidRPr="00B3642D" w:rsidRDefault="00F8075E" w:rsidP="006F7405">
            <w:pPr>
              <w:jc w:val="center"/>
              <w:rPr>
                <w:b/>
                <w:bCs/>
              </w:rPr>
            </w:pPr>
            <w:r w:rsidRPr="00B3642D">
              <w:rPr>
                <w:b/>
                <w:bCs/>
              </w:rPr>
              <w:t>V. Tiesību akta projekta atbilstība Latvijas Republikas starptautiskajām saistībām</w:t>
            </w:r>
          </w:p>
        </w:tc>
      </w:tr>
      <w:tr w:rsidR="00DD02C2" w:rsidRPr="00ED68B9" w14:paraId="12F13DF9" w14:textId="77777777" w:rsidTr="0073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12"/>
          <w:jc w:val="center"/>
        </w:trPr>
        <w:tc>
          <w:tcPr>
            <w:tcW w:w="5000" w:type="pct"/>
            <w:tcBorders>
              <w:top w:val="single" w:sz="4" w:space="0" w:color="auto"/>
              <w:left w:val="single" w:sz="4" w:space="0" w:color="auto"/>
              <w:bottom w:val="single" w:sz="4" w:space="0" w:color="auto"/>
              <w:right w:val="single" w:sz="4" w:space="0" w:color="auto"/>
            </w:tcBorders>
            <w:hideMark/>
          </w:tcPr>
          <w:p w14:paraId="25824DD9" w14:textId="77777777" w:rsidR="00DD02C2" w:rsidRPr="00ED68B9" w:rsidRDefault="00DD02C2" w:rsidP="006F7405">
            <w:pPr>
              <w:jc w:val="center"/>
              <w:rPr>
                <w:bCs/>
              </w:rPr>
            </w:pPr>
            <w:r w:rsidRPr="00ED68B9">
              <w:rPr>
                <w:bCs/>
              </w:rPr>
              <w:t>Projekts šo jomu neskar.</w:t>
            </w:r>
          </w:p>
        </w:tc>
      </w:tr>
    </w:tbl>
    <w:p w14:paraId="4BE33F84" w14:textId="77777777" w:rsidR="00E42037" w:rsidRPr="00B3642D" w:rsidRDefault="00E42037" w:rsidP="006F7405">
      <w:pPr>
        <w:pStyle w:val="naisc"/>
        <w:spacing w:before="0" w:after="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
        <w:gridCol w:w="2804"/>
        <w:gridCol w:w="7229"/>
      </w:tblGrid>
      <w:tr w:rsidR="00D42F6E" w:rsidRPr="00FF7627" w14:paraId="28E6DC6A" w14:textId="77777777" w:rsidTr="00735D9B">
        <w:trPr>
          <w:jc w:val="center"/>
        </w:trPr>
        <w:tc>
          <w:tcPr>
            <w:tcW w:w="10343" w:type="dxa"/>
            <w:gridSpan w:val="3"/>
          </w:tcPr>
          <w:p w14:paraId="68087E6C" w14:textId="77777777" w:rsidR="00D42F6E" w:rsidRPr="00FF7627" w:rsidRDefault="00D42F6E" w:rsidP="006F7405">
            <w:pPr>
              <w:pStyle w:val="naisnod"/>
              <w:spacing w:before="0" w:after="0"/>
              <w:ind w:left="57" w:right="57"/>
            </w:pPr>
            <w:r w:rsidRPr="00FF7627">
              <w:t>VI. Sabiedrības līdzdalība un komunikācijas aktivitātes</w:t>
            </w:r>
          </w:p>
        </w:tc>
      </w:tr>
      <w:tr w:rsidR="00D42F6E" w:rsidRPr="00FF7627" w14:paraId="7FE94C97" w14:textId="77777777" w:rsidTr="00343D5C">
        <w:trPr>
          <w:trHeight w:val="553"/>
          <w:jc w:val="center"/>
        </w:trPr>
        <w:tc>
          <w:tcPr>
            <w:tcW w:w="310" w:type="dxa"/>
          </w:tcPr>
          <w:p w14:paraId="3BA2868E" w14:textId="77777777" w:rsidR="00D42F6E" w:rsidRPr="00960829" w:rsidRDefault="00D42F6E" w:rsidP="006F7405">
            <w:pPr>
              <w:pStyle w:val="naiskr"/>
              <w:spacing w:before="0" w:after="0"/>
              <w:ind w:left="57" w:right="57"/>
              <w:rPr>
                <w:bCs/>
                <w:sz w:val="22"/>
                <w:szCs w:val="22"/>
              </w:rPr>
            </w:pPr>
            <w:r w:rsidRPr="00960829">
              <w:rPr>
                <w:bCs/>
                <w:sz w:val="22"/>
                <w:szCs w:val="22"/>
              </w:rPr>
              <w:t>1.</w:t>
            </w:r>
          </w:p>
        </w:tc>
        <w:tc>
          <w:tcPr>
            <w:tcW w:w="2804" w:type="dxa"/>
          </w:tcPr>
          <w:p w14:paraId="6510CA54" w14:textId="77777777" w:rsidR="00D42F6E" w:rsidRPr="00960829" w:rsidRDefault="00D42F6E" w:rsidP="006F7405">
            <w:pPr>
              <w:rPr>
                <w:sz w:val="22"/>
                <w:szCs w:val="22"/>
              </w:rPr>
            </w:pPr>
            <w:r w:rsidRPr="00960829">
              <w:rPr>
                <w:sz w:val="22"/>
                <w:szCs w:val="22"/>
              </w:rPr>
              <w:t>Plānotās sabiedrības līdzdalības un komunikācijas aktivitātes saistībā ar projektu</w:t>
            </w:r>
          </w:p>
        </w:tc>
        <w:tc>
          <w:tcPr>
            <w:tcW w:w="7229" w:type="dxa"/>
          </w:tcPr>
          <w:p w14:paraId="242022F1" w14:textId="5E2E7C1D" w:rsidR="000B66D7" w:rsidRPr="00FF7627" w:rsidRDefault="000577EC" w:rsidP="006F7405">
            <w:pPr>
              <w:ind w:right="142"/>
              <w:jc w:val="both"/>
            </w:pPr>
            <w:r>
              <w:t xml:space="preserve">Projekta izstrādes gaitā </w:t>
            </w:r>
            <w:r w:rsidR="003F697C">
              <w:t>notikušas</w:t>
            </w:r>
            <w:r>
              <w:t xml:space="preserve"> konsultācijas ar Latvijas iekšējo un jūras piekrastes ūdeņu resursu ilgtspējīgas izmantošanas un pārvaldības konsultatīvo padomi (turpmāk – Padome) (https://www.zm.gov.lv/zivsaimnieciba/statiskas-lapas/nozares-darba-grupas-padomes/latvijas-ieksejo-un-juras-piekrastes-udenu-resursu-ilgtspejigas-izmant?nid=1127#jump), kuras sastāvā ir valsts institūciju pārstāvji, Latvijas Pašvaldību savienības pārstāvji, Latvijas zvejniekus, makšķerniekus un zemūdens medniekus, kā arī ūdeņu resursu apsaimniekošanu un aizsardzību pārstāvošo nevalstisko organizāciju pārstāvji.</w:t>
            </w:r>
          </w:p>
        </w:tc>
      </w:tr>
      <w:tr w:rsidR="00D42F6E" w:rsidRPr="00FF7627" w14:paraId="032761B7" w14:textId="77777777" w:rsidTr="00343D5C">
        <w:trPr>
          <w:trHeight w:val="339"/>
          <w:jc w:val="center"/>
        </w:trPr>
        <w:tc>
          <w:tcPr>
            <w:tcW w:w="310" w:type="dxa"/>
          </w:tcPr>
          <w:p w14:paraId="342C4347" w14:textId="77777777" w:rsidR="00D42F6E" w:rsidRPr="00960829" w:rsidRDefault="00D42F6E" w:rsidP="006F7405">
            <w:pPr>
              <w:pStyle w:val="naiskr"/>
              <w:spacing w:before="0" w:after="0"/>
              <w:ind w:left="57" w:right="57"/>
              <w:rPr>
                <w:bCs/>
                <w:sz w:val="22"/>
                <w:szCs w:val="22"/>
              </w:rPr>
            </w:pPr>
            <w:r w:rsidRPr="00960829">
              <w:rPr>
                <w:bCs/>
                <w:sz w:val="22"/>
                <w:szCs w:val="22"/>
              </w:rPr>
              <w:t>2.</w:t>
            </w:r>
          </w:p>
        </w:tc>
        <w:tc>
          <w:tcPr>
            <w:tcW w:w="2804" w:type="dxa"/>
          </w:tcPr>
          <w:p w14:paraId="211DCF8A" w14:textId="77777777" w:rsidR="00D42F6E" w:rsidRPr="00960829" w:rsidRDefault="00D42F6E" w:rsidP="006F7405">
            <w:pPr>
              <w:pStyle w:val="naiskr"/>
              <w:spacing w:before="0" w:after="0"/>
              <w:ind w:left="57" w:right="57"/>
              <w:rPr>
                <w:sz w:val="22"/>
                <w:szCs w:val="22"/>
              </w:rPr>
            </w:pPr>
            <w:r w:rsidRPr="00960829">
              <w:rPr>
                <w:sz w:val="22"/>
                <w:szCs w:val="22"/>
              </w:rPr>
              <w:t>Sabiedrības līdzdalība projekta izstrādē</w:t>
            </w:r>
          </w:p>
        </w:tc>
        <w:tc>
          <w:tcPr>
            <w:tcW w:w="7229" w:type="dxa"/>
          </w:tcPr>
          <w:p w14:paraId="0FAFA552" w14:textId="74C10FCC" w:rsidR="005E3FA2" w:rsidRDefault="00B64D78" w:rsidP="006F7405">
            <w:pPr>
              <w:ind w:right="142"/>
              <w:jc w:val="both"/>
            </w:pPr>
            <w:r>
              <w:t xml:space="preserve">Jautājums par </w:t>
            </w:r>
            <w:r w:rsidR="00C0284D">
              <w:t xml:space="preserve">biedrības “Kurzemes </w:t>
            </w:r>
            <w:r w:rsidR="00857E18">
              <w:t>Zvejnieku</w:t>
            </w:r>
            <w:r w:rsidR="00C0284D">
              <w:t xml:space="preserve"> asociācija” </w:t>
            </w:r>
            <w:r w:rsidR="00C0284D" w:rsidRPr="00C0284D">
              <w:t>ierosinājumu 2020. gadā piekrastes zvejā no Lietuvas robežas līdz Pāvilostas novada ziemeļu robežai no 1.aprīļa līdz 30.jūnijam ļaut zvejot ar grunduļu tīkliem, izmantojot pašvaldībās noteikto tīklu limitu</w:t>
            </w:r>
            <w:r w:rsidR="00121B5C">
              <w:t>,</w:t>
            </w:r>
            <w:r w:rsidR="00C0284D" w:rsidRPr="00C0284D">
              <w:t xml:space="preserve"> </w:t>
            </w:r>
            <w:r>
              <w:t xml:space="preserve">tika izskatīts 19.09.2019. Zivsaimniecības konsultatīvajā padomē. </w:t>
            </w:r>
          </w:p>
          <w:p w14:paraId="6065F981" w14:textId="1527B545" w:rsidR="00B64D78" w:rsidRDefault="00B64D78" w:rsidP="006F7405">
            <w:pPr>
              <w:ind w:right="142"/>
              <w:jc w:val="both"/>
            </w:pPr>
            <w:r>
              <w:lastRenderedPageBreak/>
              <w:t>Noteikumu projekts sabiedriskai apspriešanai tika ievietots</w:t>
            </w:r>
            <w:r w:rsidR="003F697C">
              <w:t xml:space="preserve"> Zemkopības ministrijas </w:t>
            </w:r>
            <w:r w:rsidR="00121B5C">
              <w:t>tīmekļvietnē</w:t>
            </w:r>
            <w:r>
              <w:t xml:space="preserve"> </w:t>
            </w:r>
            <w:hyperlink r:id="rId8" w:history="1">
              <w:r w:rsidRPr="00FD5829">
                <w:rPr>
                  <w:rStyle w:val="Hipersaite"/>
                  <w:i/>
                </w:rPr>
                <w:t>www.zm.gov.lv</w:t>
              </w:r>
            </w:hyperlink>
            <w:r>
              <w:t xml:space="preserve"> </w:t>
            </w:r>
            <w:r w:rsidR="003F697C">
              <w:t>n</w:t>
            </w:r>
            <w:r w:rsidR="000F43FB">
              <w:t>o 10.10.2019. līdz 28.10.2019.</w:t>
            </w:r>
          </w:p>
          <w:p w14:paraId="4321A4FA" w14:textId="40C549F7" w:rsidR="008A5F3D" w:rsidRDefault="008A5F3D" w:rsidP="006F7405">
            <w:pPr>
              <w:ind w:right="142"/>
              <w:jc w:val="both"/>
            </w:pPr>
            <w:r>
              <w:t>Noteikumu projekts sabiedriskajai apspriešanai 10.10.2019. tika ievietots</w:t>
            </w:r>
            <w:r w:rsidR="00B8447A">
              <w:t xml:space="preserve"> Valsts kancelejas </w:t>
            </w:r>
            <w:r w:rsidR="00121B5C">
              <w:t>tīmekļvietnē</w:t>
            </w:r>
            <w:r w:rsidR="00B8447A">
              <w:t xml:space="preserve"> (</w:t>
            </w:r>
            <w:hyperlink r:id="rId9" w:history="1">
              <w:r w:rsidR="00B8447A" w:rsidRPr="00B8447A">
                <w:rPr>
                  <w:rStyle w:val="Hipersaite"/>
                </w:rPr>
                <w:t>https://www.mk.gov.lv/lv/content/ministru-kabineta-diskusiju-dokumenti).</w:t>
              </w:r>
            </w:hyperlink>
          </w:p>
          <w:p w14:paraId="7CC2DFDC" w14:textId="6BB364D1" w:rsidR="000F43FB" w:rsidRDefault="00C0284D" w:rsidP="006F7405">
            <w:pPr>
              <w:ind w:right="142"/>
              <w:jc w:val="both"/>
            </w:pPr>
            <w:r>
              <w:t xml:space="preserve">Ar noteikumu projektu 27.09.2019. </w:t>
            </w:r>
            <w:r w:rsidR="000E73A0">
              <w:t xml:space="preserve">ikgadējā kopsapulcē </w:t>
            </w:r>
            <w:r>
              <w:t>tika iepazīstināti biedrības “Latvijas Zvejnieku federācija” biedri</w:t>
            </w:r>
            <w:r w:rsidR="000E73A0">
              <w:t>,</w:t>
            </w:r>
            <w:r>
              <w:t xml:space="preserve"> kā arī jūras piekrastes pašvaldību pārstāvji ZM sanāksmē par pašpatēriņa zvejas limitēšanu 01.10.2019. </w:t>
            </w:r>
          </w:p>
          <w:p w14:paraId="5B130158" w14:textId="77777777" w:rsidR="00B64D78" w:rsidRPr="00FF7627" w:rsidRDefault="00B64D78" w:rsidP="006F7405">
            <w:pPr>
              <w:ind w:right="142"/>
              <w:jc w:val="both"/>
            </w:pPr>
            <w:r>
              <w:t>Noteikumu projekts elektroniski tika nosūtīts Padomei</w:t>
            </w:r>
            <w:r w:rsidR="00C0284D">
              <w:t xml:space="preserve"> 10.10.2019.</w:t>
            </w:r>
            <w:r>
              <w:t xml:space="preserve"> </w:t>
            </w:r>
          </w:p>
        </w:tc>
      </w:tr>
      <w:tr w:rsidR="00D42F6E" w:rsidRPr="00FF7627" w14:paraId="5620B4C4" w14:textId="77777777" w:rsidTr="00343D5C">
        <w:trPr>
          <w:trHeight w:val="375"/>
          <w:jc w:val="center"/>
        </w:trPr>
        <w:tc>
          <w:tcPr>
            <w:tcW w:w="310" w:type="dxa"/>
          </w:tcPr>
          <w:p w14:paraId="18DC6DAB" w14:textId="77777777" w:rsidR="00D42F6E" w:rsidRPr="00960829" w:rsidRDefault="00D42F6E" w:rsidP="006F7405">
            <w:pPr>
              <w:pStyle w:val="naiskr"/>
              <w:spacing w:before="0" w:after="0"/>
              <w:ind w:left="57" w:right="57"/>
              <w:rPr>
                <w:bCs/>
                <w:sz w:val="22"/>
                <w:szCs w:val="22"/>
              </w:rPr>
            </w:pPr>
            <w:r w:rsidRPr="00960829">
              <w:rPr>
                <w:bCs/>
                <w:sz w:val="22"/>
                <w:szCs w:val="22"/>
              </w:rPr>
              <w:lastRenderedPageBreak/>
              <w:t>3.</w:t>
            </w:r>
          </w:p>
        </w:tc>
        <w:tc>
          <w:tcPr>
            <w:tcW w:w="2804" w:type="dxa"/>
          </w:tcPr>
          <w:p w14:paraId="5B67F7D6" w14:textId="77777777" w:rsidR="00D42F6E" w:rsidRPr="00960829" w:rsidRDefault="00D42F6E" w:rsidP="006F7405">
            <w:pPr>
              <w:pStyle w:val="naiskr"/>
              <w:spacing w:before="0" w:after="0"/>
              <w:ind w:left="57" w:right="57"/>
              <w:rPr>
                <w:sz w:val="22"/>
                <w:szCs w:val="22"/>
              </w:rPr>
            </w:pPr>
            <w:r w:rsidRPr="00960829">
              <w:rPr>
                <w:sz w:val="22"/>
                <w:szCs w:val="22"/>
              </w:rPr>
              <w:t>Sabiedrības līdzdalības rezultāti</w:t>
            </w:r>
          </w:p>
        </w:tc>
        <w:tc>
          <w:tcPr>
            <w:tcW w:w="7229" w:type="dxa"/>
          </w:tcPr>
          <w:p w14:paraId="3E9BBEDC" w14:textId="4C89C2F6" w:rsidR="00C9508D" w:rsidRPr="00C9508D" w:rsidRDefault="00B64D78" w:rsidP="000F43FB">
            <w:pPr>
              <w:pStyle w:val="naiskr"/>
              <w:spacing w:before="0" w:after="0"/>
              <w:ind w:right="142"/>
              <w:jc w:val="both"/>
              <w:rPr>
                <w:bCs/>
              </w:rPr>
            </w:pPr>
            <w:r>
              <w:rPr>
                <w:iCs/>
              </w:rPr>
              <w:t>Z</w:t>
            </w:r>
            <w:r w:rsidR="00130ECA">
              <w:rPr>
                <w:iCs/>
              </w:rPr>
              <w:t>ivsaimniecības konsultatīvās padomes</w:t>
            </w:r>
            <w:r>
              <w:rPr>
                <w:iCs/>
              </w:rPr>
              <w:t xml:space="preserve"> </w:t>
            </w:r>
            <w:r w:rsidR="00C9508D">
              <w:rPr>
                <w:iCs/>
              </w:rPr>
              <w:t xml:space="preserve">19.09.2019. sēdē tika </w:t>
            </w:r>
            <w:bookmarkStart w:id="0" w:name="_Hlk21515838"/>
            <w:r w:rsidR="00130ECA">
              <w:rPr>
                <w:iCs/>
              </w:rPr>
              <w:t xml:space="preserve">apspriests biedrības “Kurzemes </w:t>
            </w:r>
            <w:r w:rsidR="00857E18">
              <w:rPr>
                <w:iCs/>
              </w:rPr>
              <w:t>Zvejnieku</w:t>
            </w:r>
            <w:r w:rsidR="00130ECA">
              <w:rPr>
                <w:iCs/>
              </w:rPr>
              <w:t xml:space="preserve"> asociācija” ierosinājums par zivju tīklu aizstāšanas iespēju ar jūrasgrunduļu tīkliem</w:t>
            </w:r>
            <w:bookmarkEnd w:id="0"/>
            <w:r w:rsidR="00130ECA">
              <w:rPr>
                <w:iCs/>
              </w:rPr>
              <w:t xml:space="preserve"> un </w:t>
            </w:r>
            <w:r w:rsidR="00C9508D">
              <w:rPr>
                <w:iCs/>
              </w:rPr>
              <w:t>nolemts (</w:t>
            </w:r>
            <w:r>
              <w:rPr>
                <w:iCs/>
              </w:rPr>
              <w:t>protokols</w:t>
            </w:r>
            <w:r w:rsidR="00C9508D">
              <w:rPr>
                <w:iCs/>
              </w:rPr>
              <w:t xml:space="preserve"> pieejams </w:t>
            </w:r>
            <w:hyperlink r:id="rId10" w:anchor="jump" w:history="1">
              <w:r w:rsidR="000F43FB" w:rsidRPr="00615D77">
                <w:rPr>
                  <w:rStyle w:val="Hipersaite"/>
                  <w:iCs/>
                </w:rPr>
                <w:t>https://www.zm.gov.lv/zivsaimnieciba/statiskas-lapas/nozares-darba-grupas-padomes/zivsaimniecibas-konsultativa-padome/protokoli?nid=965#jump</w:t>
              </w:r>
            </w:hyperlink>
            <w:r w:rsidR="000F43FB">
              <w:rPr>
                <w:iCs/>
              </w:rPr>
              <w:t xml:space="preserve">) </w:t>
            </w:r>
            <w:r w:rsidR="00C9508D">
              <w:rPr>
                <w:bCs/>
              </w:rPr>
              <w:t>u</w:t>
            </w:r>
            <w:r w:rsidR="00C9508D" w:rsidRPr="00C9508D">
              <w:rPr>
                <w:bCs/>
              </w:rPr>
              <w:t>zdot institūtam “BIOR” vēlreiz izvērtēt iespēju palielināt aizstājamo tīklu skaitu jūrasgrunduļa nozvejai Latvijas piekrastes dienviddaļā līdz 75%</w:t>
            </w:r>
            <w:r w:rsidR="000E73A0">
              <w:rPr>
                <w:bCs/>
              </w:rPr>
              <w:t>,</w:t>
            </w:r>
            <w:r w:rsidR="00C9508D" w:rsidRPr="00C9508D">
              <w:rPr>
                <w:bCs/>
              </w:rPr>
              <w:t xml:space="preserve"> sākot no 2020.gada</w:t>
            </w:r>
            <w:r w:rsidR="000E73A0">
              <w:rPr>
                <w:bCs/>
              </w:rPr>
              <w:t>,</w:t>
            </w:r>
            <w:r w:rsidR="00C9508D" w:rsidRPr="00C9508D">
              <w:rPr>
                <w:bCs/>
              </w:rPr>
              <w:t xml:space="preserve"> vai arī sniegt argumentētu pamatojumu, kāpēc tas nebūtu pieļaujams.</w:t>
            </w:r>
            <w:r w:rsidR="000F43FB">
              <w:rPr>
                <w:bCs/>
              </w:rPr>
              <w:t xml:space="preserve"> </w:t>
            </w:r>
            <w:r w:rsidR="00C9508D" w:rsidRPr="00C9508D">
              <w:rPr>
                <w:bCs/>
              </w:rPr>
              <w:t xml:space="preserve">Pēc institūta “BIOR” slēdziena saņemšanas Zemkopības ministrijai sagatavot atbilstošu </w:t>
            </w:r>
            <w:r w:rsidR="000E73A0">
              <w:rPr>
                <w:bCs/>
              </w:rPr>
              <w:t>M</w:t>
            </w:r>
            <w:r w:rsidR="00C9508D" w:rsidRPr="00C9508D">
              <w:rPr>
                <w:bCs/>
              </w:rPr>
              <w:t>inistru kabineta noteikumu grozījumu projektu par piekrastes zvejas rīku limitu izmaiņām no 2020.gada.</w:t>
            </w:r>
          </w:p>
          <w:p w14:paraId="77F5C9E5" w14:textId="06B1F5CD" w:rsidR="000F43FB" w:rsidRDefault="000F43FB" w:rsidP="000F43FB">
            <w:pPr>
              <w:pStyle w:val="naiskr"/>
              <w:spacing w:before="0" w:after="0"/>
              <w:ind w:right="142"/>
              <w:jc w:val="both"/>
              <w:rPr>
                <w:iCs/>
              </w:rPr>
            </w:pPr>
            <w:r>
              <w:rPr>
                <w:iCs/>
              </w:rPr>
              <w:t xml:space="preserve">01.10.2019. no institūta “BIOR” tika saņemts atzinums Nr.1-6/1109-e (pieejams ZM), </w:t>
            </w:r>
            <w:r w:rsidRPr="000F43FB">
              <w:rPr>
                <w:iCs/>
              </w:rPr>
              <w:t>kurā norādī</w:t>
            </w:r>
            <w:r>
              <w:rPr>
                <w:iCs/>
              </w:rPr>
              <w:t>ts</w:t>
            </w:r>
            <w:r w:rsidRPr="000F43FB">
              <w:rPr>
                <w:iCs/>
              </w:rPr>
              <w:t>, ka tīklu limita palielināšana pavasarī, kad iespējama nozīmīga citu zivju sugu (īpaši to mazuļu) piezveja</w:t>
            </w:r>
            <w:r w:rsidR="000E73A0">
              <w:rPr>
                <w:iCs/>
              </w:rPr>
              <w:t>,</w:t>
            </w:r>
            <w:r w:rsidRPr="000F43FB">
              <w:rPr>
                <w:iCs/>
              </w:rPr>
              <w:t xml:space="preserve"> nav pieļaujama bez konkrētu datu iegūšanas un faktiskās situācijas novērtējuma. Turklāt apaļā jūrasgrunduļa nozveja </w:t>
            </w:r>
            <w:r w:rsidR="000E73A0">
              <w:rPr>
                <w:iCs/>
              </w:rPr>
              <w:t>sarūk</w:t>
            </w:r>
            <w:r w:rsidRPr="000F43FB">
              <w:rPr>
                <w:iCs/>
              </w:rPr>
              <w:t xml:space="preserve"> un</w:t>
            </w:r>
            <w:r w:rsidR="000E73A0">
              <w:rPr>
                <w:iCs/>
              </w:rPr>
              <w:t>,</w:t>
            </w:r>
            <w:r w:rsidRPr="000F43FB">
              <w:rPr>
                <w:iCs/>
              </w:rPr>
              <w:t xml:space="preserve"> tā ietekmē palielinot rīku skaitu, var tikt palielināts spiediens uz citu sugu zivju resursiem, </w:t>
            </w:r>
            <w:r w:rsidR="000E73A0">
              <w:rPr>
                <w:iCs/>
              </w:rPr>
              <w:t>bet</w:t>
            </w:r>
            <w:r w:rsidRPr="000F43FB">
              <w:rPr>
                <w:iCs/>
              </w:rPr>
              <w:t xml:space="preserve"> </w:t>
            </w:r>
            <w:r w:rsidR="000E73A0" w:rsidRPr="000F43FB">
              <w:rPr>
                <w:iCs/>
              </w:rPr>
              <w:t xml:space="preserve">resursu pārvaldības nolūkā </w:t>
            </w:r>
            <w:r w:rsidR="000E73A0">
              <w:rPr>
                <w:iCs/>
              </w:rPr>
              <w:t xml:space="preserve">tas </w:t>
            </w:r>
            <w:r w:rsidRPr="000F43FB">
              <w:rPr>
                <w:iCs/>
              </w:rPr>
              <w:t xml:space="preserve">nav atbalstāms. </w:t>
            </w:r>
            <w:r>
              <w:rPr>
                <w:iCs/>
              </w:rPr>
              <w:t>L</w:t>
            </w:r>
            <w:r w:rsidRPr="000F43FB">
              <w:rPr>
                <w:iCs/>
              </w:rPr>
              <w:t xml:space="preserve">ai </w:t>
            </w:r>
            <w:r w:rsidR="000E73A0">
              <w:rPr>
                <w:iCs/>
              </w:rPr>
              <w:t xml:space="preserve">turpinātu </w:t>
            </w:r>
            <w:r w:rsidR="000E73A0" w:rsidRPr="000F43FB">
              <w:rPr>
                <w:iCs/>
              </w:rPr>
              <w:t>risināt</w:t>
            </w:r>
            <w:r w:rsidR="000E73A0">
              <w:rPr>
                <w:iCs/>
              </w:rPr>
              <w:t xml:space="preserve"> </w:t>
            </w:r>
            <w:r w:rsidRPr="000F43FB">
              <w:rPr>
                <w:iCs/>
              </w:rPr>
              <w:t xml:space="preserve">šo jautājumu, institūts </w:t>
            </w:r>
            <w:r>
              <w:rPr>
                <w:iCs/>
              </w:rPr>
              <w:t>“</w:t>
            </w:r>
            <w:r w:rsidRPr="000F43FB">
              <w:rPr>
                <w:iCs/>
              </w:rPr>
              <w:t>BIOR</w:t>
            </w:r>
            <w:r>
              <w:rPr>
                <w:iCs/>
              </w:rPr>
              <w:t>”</w:t>
            </w:r>
            <w:r w:rsidRPr="000F43FB">
              <w:rPr>
                <w:iCs/>
              </w:rPr>
              <w:t xml:space="preserve"> piedāvā sadarbībā ar zvejniekiem 2020.gada pavasarī </w:t>
            </w:r>
            <w:r w:rsidR="000E73A0">
              <w:rPr>
                <w:iCs/>
              </w:rPr>
              <w:t>ievākt datus</w:t>
            </w:r>
            <w:r w:rsidRPr="000F43FB">
              <w:rPr>
                <w:iCs/>
              </w:rPr>
              <w:t xml:space="preserve"> zinātnisk</w:t>
            </w:r>
            <w:r w:rsidR="000E73A0">
              <w:rPr>
                <w:iCs/>
              </w:rPr>
              <w:t>ajā</w:t>
            </w:r>
            <w:r w:rsidRPr="000F43FB">
              <w:rPr>
                <w:iCs/>
              </w:rPr>
              <w:t xml:space="preserve"> zvej</w:t>
            </w:r>
            <w:r w:rsidR="000E73A0">
              <w:rPr>
                <w:iCs/>
              </w:rPr>
              <w:t>ā</w:t>
            </w:r>
            <w:r w:rsidRPr="000F43FB">
              <w:rPr>
                <w:iCs/>
              </w:rPr>
              <w:t>, lai attiecīgi pēc tam varētu noteikt iespējamās rīku limitu izmaiņas no 2021.gada.</w:t>
            </w:r>
            <w:r>
              <w:rPr>
                <w:iCs/>
              </w:rPr>
              <w:t xml:space="preserve"> </w:t>
            </w:r>
          </w:p>
          <w:p w14:paraId="2B4F5D70" w14:textId="77777777" w:rsidR="00C0284D" w:rsidRDefault="00C0284D" w:rsidP="000F43FB">
            <w:pPr>
              <w:pStyle w:val="naiskr"/>
              <w:spacing w:before="0" w:after="0"/>
              <w:ind w:right="142"/>
              <w:jc w:val="both"/>
              <w:rPr>
                <w:iCs/>
              </w:rPr>
            </w:pPr>
            <w:r>
              <w:rPr>
                <w:iCs/>
              </w:rPr>
              <w:t>B</w:t>
            </w:r>
            <w:r w:rsidRPr="00C0284D">
              <w:rPr>
                <w:iCs/>
              </w:rPr>
              <w:t>iedrība “Latvijas Zvejnieku federācija”</w:t>
            </w:r>
            <w:r w:rsidR="008A5F3D">
              <w:rPr>
                <w:iCs/>
              </w:rPr>
              <w:t>,</w:t>
            </w:r>
            <w:r>
              <w:rPr>
                <w:iCs/>
              </w:rPr>
              <w:t xml:space="preserve"> jūras piekrastes pašvaldības </w:t>
            </w:r>
            <w:r w:rsidR="008A5F3D">
              <w:rPr>
                <w:iCs/>
              </w:rPr>
              <w:t xml:space="preserve">un padome </w:t>
            </w:r>
            <w:r>
              <w:rPr>
                <w:iCs/>
              </w:rPr>
              <w:t>plānotos grozījumus saskaņoja bez iebildumiem vai priekšlikumiem.</w:t>
            </w:r>
          </w:p>
          <w:p w14:paraId="1EC06649" w14:textId="77777777" w:rsidR="000F43FB" w:rsidRPr="00735D9B" w:rsidRDefault="000F43FB" w:rsidP="000F43FB">
            <w:pPr>
              <w:pStyle w:val="naiskr"/>
              <w:spacing w:before="0" w:after="0"/>
              <w:ind w:right="142"/>
              <w:jc w:val="both"/>
              <w:rPr>
                <w:iCs/>
              </w:rPr>
            </w:pPr>
            <w:r>
              <w:rPr>
                <w:iCs/>
              </w:rPr>
              <w:t xml:space="preserve">Par sabiedriskajai apspriešanai </w:t>
            </w:r>
            <w:hyperlink r:id="rId11" w:history="1">
              <w:r w:rsidR="008A5F3D" w:rsidRPr="002809F8">
                <w:rPr>
                  <w:rStyle w:val="Hipersaite"/>
                  <w:iCs/>
                </w:rPr>
                <w:t>www.zm.gov.lv</w:t>
              </w:r>
            </w:hyperlink>
            <w:r w:rsidR="008A5F3D">
              <w:rPr>
                <w:iCs/>
              </w:rPr>
              <w:t xml:space="preserve"> un </w:t>
            </w:r>
            <w:hyperlink r:id="rId12" w:history="1">
              <w:r w:rsidR="008A5F3D" w:rsidRPr="002809F8">
                <w:rPr>
                  <w:rStyle w:val="Hipersaite"/>
                  <w:iCs/>
                </w:rPr>
                <w:t>www.mk.gov.lv</w:t>
              </w:r>
            </w:hyperlink>
            <w:r w:rsidR="008A5F3D">
              <w:rPr>
                <w:iCs/>
              </w:rPr>
              <w:t xml:space="preserve"> </w:t>
            </w:r>
            <w:r w:rsidR="00D91E58">
              <w:rPr>
                <w:iCs/>
              </w:rPr>
              <w:t>i</w:t>
            </w:r>
            <w:r>
              <w:rPr>
                <w:iCs/>
              </w:rPr>
              <w:t>evietoto n</w:t>
            </w:r>
            <w:r w:rsidRPr="000F43FB">
              <w:rPr>
                <w:iCs/>
              </w:rPr>
              <w:t>oteikumu projekt</w:t>
            </w:r>
            <w:r>
              <w:rPr>
                <w:iCs/>
              </w:rPr>
              <w:t xml:space="preserve">u iebildumi vai priekšlikumi </w:t>
            </w:r>
            <w:r w:rsidR="008A5F3D">
              <w:rPr>
                <w:iCs/>
              </w:rPr>
              <w:t>netika saņemti.</w:t>
            </w:r>
          </w:p>
        </w:tc>
      </w:tr>
      <w:tr w:rsidR="00D42F6E" w:rsidRPr="00FF7627" w14:paraId="35425989" w14:textId="77777777" w:rsidTr="00343D5C">
        <w:trPr>
          <w:trHeight w:val="343"/>
          <w:jc w:val="center"/>
        </w:trPr>
        <w:tc>
          <w:tcPr>
            <w:tcW w:w="310" w:type="dxa"/>
          </w:tcPr>
          <w:p w14:paraId="3FC3B086" w14:textId="77777777" w:rsidR="00D42F6E" w:rsidRPr="00960829" w:rsidRDefault="00D42F6E" w:rsidP="006F7405">
            <w:pPr>
              <w:pStyle w:val="naiskr"/>
              <w:spacing w:before="0" w:after="0"/>
              <w:ind w:left="57" w:right="57"/>
              <w:rPr>
                <w:bCs/>
                <w:sz w:val="22"/>
                <w:szCs w:val="22"/>
              </w:rPr>
            </w:pPr>
            <w:r w:rsidRPr="00960829">
              <w:rPr>
                <w:bCs/>
                <w:sz w:val="22"/>
                <w:szCs w:val="22"/>
              </w:rPr>
              <w:t>4.</w:t>
            </w:r>
          </w:p>
        </w:tc>
        <w:tc>
          <w:tcPr>
            <w:tcW w:w="2804" w:type="dxa"/>
          </w:tcPr>
          <w:p w14:paraId="5157DF0B" w14:textId="77777777" w:rsidR="00D42F6E" w:rsidRPr="00960829" w:rsidRDefault="00D42F6E" w:rsidP="006F7405">
            <w:pPr>
              <w:pStyle w:val="naiskr"/>
              <w:spacing w:before="0" w:after="0"/>
              <w:ind w:left="57" w:right="57"/>
              <w:rPr>
                <w:sz w:val="22"/>
                <w:szCs w:val="22"/>
              </w:rPr>
            </w:pPr>
            <w:r w:rsidRPr="00960829">
              <w:rPr>
                <w:sz w:val="22"/>
                <w:szCs w:val="22"/>
              </w:rPr>
              <w:t>Cita informācija</w:t>
            </w:r>
          </w:p>
        </w:tc>
        <w:tc>
          <w:tcPr>
            <w:tcW w:w="7229" w:type="dxa"/>
          </w:tcPr>
          <w:p w14:paraId="33148516" w14:textId="77777777" w:rsidR="00D42F6E" w:rsidRPr="00ED0C2A" w:rsidRDefault="00D42F6E" w:rsidP="006F7405">
            <w:pPr>
              <w:pStyle w:val="naiskr"/>
              <w:spacing w:before="0" w:after="0"/>
              <w:ind w:left="57" w:right="57"/>
              <w:jc w:val="both"/>
            </w:pPr>
            <w:r w:rsidRPr="00ED0C2A">
              <w:t>Nav.</w:t>
            </w:r>
          </w:p>
        </w:tc>
      </w:tr>
    </w:tbl>
    <w:p w14:paraId="4D71AD9E" w14:textId="77777777" w:rsidR="005073F4" w:rsidRPr="00B3642D" w:rsidRDefault="005073F4" w:rsidP="006F7405">
      <w:pPr>
        <w:pStyle w:val="naisc"/>
        <w:spacing w:before="0" w:after="0"/>
        <w:ind w:firstLine="72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2740"/>
        <w:gridCol w:w="7229"/>
      </w:tblGrid>
      <w:tr w:rsidR="00D42F6E" w:rsidRPr="00B3642D" w14:paraId="3150767B" w14:textId="77777777" w:rsidTr="00343D5C">
        <w:trPr>
          <w:jc w:val="center"/>
        </w:trPr>
        <w:tc>
          <w:tcPr>
            <w:tcW w:w="10343" w:type="dxa"/>
            <w:gridSpan w:val="3"/>
            <w:tcBorders>
              <w:top w:val="single" w:sz="4" w:space="0" w:color="auto"/>
            </w:tcBorders>
          </w:tcPr>
          <w:p w14:paraId="1D1E5FDE" w14:textId="77777777" w:rsidR="00D42F6E" w:rsidRPr="00B3642D" w:rsidRDefault="00D42F6E" w:rsidP="006F7405">
            <w:pPr>
              <w:pStyle w:val="naisnod"/>
              <w:spacing w:before="0" w:after="0"/>
              <w:ind w:left="57" w:right="57"/>
            </w:pPr>
            <w:r w:rsidRPr="00B3642D">
              <w:t>VII. Tiesību akta projekta izpildes nodrošināšana un tās ietekme uz institūcijām</w:t>
            </w:r>
          </w:p>
        </w:tc>
      </w:tr>
      <w:tr w:rsidR="00D42F6E" w:rsidRPr="00B3642D" w14:paraId="1DA16AD1" w14:textId="77777777" w:rsidTr="0002350E">
        <w:trPr>
          <w:trHeight w:val="427"/>
          <w:jc w:val="center"/>
        </w:trPr>
        <w:tc>
          <w:tcPr>
            <w:tcW w:w="374" w:type="dxa"/>
          </w:tcPr>
          <w:p w14:paraId="76DE1450" w14:textId="77777777" w:rsidR="00D42F6E" w:rsidRPr="00960829" w:rsidRDefault="00D42F6E" w:rsidP="006F7405">
            <w:pPr>
              <w:pStyle w:val="naisnod"/>
              <w:spacing w:before="0" w:after="0"/>
              <w:ind w:left="57" w:right="57"/>
              <w:jc w:val="left"/>
              <w:rPr>
                <w:b w:val="0"/>
                <w:sz w:val="22"/>
                <w:szCs w:val="22"/>
              </w:rPr>
            </w:pPr>
            <w:r w:rsidRPr="00960829">
              <w:rPr>
                <w:b w:val="0"/>
                <w:sz w:val="22"/>
                <w:szCs w:val="22"/>
              </w:rPr>
              <w:t>1.</w:t>
            </w:r>
          </w:p>
        </w:tc>
        <w:tc>
          <w:tcPr>
            <w:tcW w:w="2740" w:type="dxa"/>
          </w:tcPr>
          <w:p w14:paraId="40BE33C7" w14:textId="77777777" w:rsidR="00D42F6E" w:rsidRPr="00960829" w:rsidRDefault="00D42F6E" w:rsidP="006F7405">
            <w:pPr>
              <w:pStyle w:val="naisf"/>
              <w:spacing w:before="0" w:after="0"/>
              <w:ind w:left="57" w:right="57" w:firstLine="0"/>
              <w:jc w:val="left"/>
              <w:rPr>
                <w:sz w:val="22"/>
                <w:szCs w:val="22"/>
              </w:rPr>
            </w:pPr>
            <w:r w:rsidRPr="00960829">
              <w:rPr>
                <w:sz w:val="22"/>
                <w:szCs w:val="22"/>
              </w:rPr>
              <w:t xml:space="preserve">Projekta izpildē iesaistītās institūcijas </w:t>
            </w:r>
          </w:p>
        </w:tc>
        <w:tc>
          <w:tcPr>
            <w:tcW w:w="7229" w:type="dxa"/>
          </w:tcPr>
          <w:p w14:paraId="5BD536BA" w14:textId="77777777" w:rsidR="00D42F6E" w:rsidRPr="00B3642D" w:rsidRDefault="005E3FA2" w:rsidP="006F7405">
            <w:pPr>
              <w:pStyle w:val="naisnod"/>
              <w:spacing w:before="0" w:after="0"/>
              <w:ind w:left="57" w:right="57"/>
              <w:jc w:val="both"/>
              <w:rPr>
                <w:b w:val="0"/>
              </w:rPr>
            </w:pPr>
            <w:r w:rsidRPr="005E3FA2">
              <w:rPr>
                <w:b w:val="0"/>
              </w:rPr>
              <w:t>Novadu un pilsētu pašvaldības, kuru administratīvās teritorij</w:t>
            </w:r>
            <w:r w:rsidR="002641D3">
              <w:rPr>
                <w:b w:val="0"/>
              </w:rPr>
              <w:t>as</w:t>
            </w:r>
            <w:r w:rsidRPr="005E3FA2">
              <w:rPr>
                <w:b w:val="0"/>
              </w:rPr>
              <w:t xml:space="preserve"> </w:t>
            </w:r>
            <w:r w:rsidR="002641D3">
              <w:rPr>
                <w:b w:val="0"/>
              </w:rPr>
              <w:t>robežojas ar jūras piekrastes ūdeņiem</w:t>
            </w:r>
            <w:r w:rsidRPr="005E3FA2">
              <w:rPr>
                <w:b w:val="0"/>
              </w:rPr>
              <w:t>, kā arī Valsts vides dienests.</w:t>
            </w:r>
          </w:p>
        </w:tc>
      </w:tr>
      <w:tr w:rsidR="00D42F6E" w:rsidRPr="00B3642D" w14:paraId="43254981" w14:textId="77777777" w:rsidTr="0002350E">
        <w:trPr>
          <w:trHeight w:val="463"/>
          <w:jc w:val="center"/>
        </w:trPr>
        <w:tc>
          <w:tcPr>
            <w:tcW w:w="374" w:type="dxa"/>
          </w:tcPr>
          <w:p w14:paraId="548BA752" w14:textId="77777777" w:rsidR="00D42F6E" w:rsidRPr="00960829" w:rsidRDefault="00D42F6E" w:rsidP="006F7405">
            <w:pPr>
              <w:pStyle w:val="naisnod"/>
              <w:spacing w:before="0" w:after="0"/>
              <w:ind w:left="57" w:right="57"/>
              <w:jc w:val="left"/>
              <w:rPr>
                <w:b w:val="0"/>
                <w:sz w:val="22"/>
                <w:szCs w:val="22"/>
              </w:rPr>
            </w:pPr>
            <w:r w:rsidRPr="00960829">
              <w:rPr>
                <w:b w:val="0"/>
                <w:sz w:val="22"/>
                <w:szCs w:val="22"/>
              </w:rPr>
              <w:t>2.</w:t>
            </w:r>
          </w:p>
        </w:tc>
        <w:tc>
          <w:tcPr>
            <w:tcW w:w="2740" w:type="dxa"/>
          </w:tcPr>
          <w:p w14:paraId="0C9ED500" w14:textId="77777777" w:rsidR="00D42F6E" w:rsidRPr="00960829" w:rsidRDefault="00D42F6E" w:rsidP="006F7405">
            <w:pPr>
              <w:rPr>
                <w:rFonts w:eastAsia="Calibri"/>
                <w:sz w:val="22"/>
                <w:szCs w:val="22"/>
                <w:lang w:eastAsia="en-US"/>
              </w:rPr>
            </w:pPr>
            <w:r w:rsidRPr="00960829">
              <w:rPr>
                <w:rFonts w:eastAsia="Calibri"/>
                <w:sz w:val="22"/>
                <w:szCs w:val="22"/>
                <w:lang w:eastAsia="en-US"/>
              </w:rPr>
              <w:t xml:space="preserve">Projekta izpildes ietekme uz pārvaldes funkcijām un institucionālo struktūru. </w:t>
            </w:r>
          </w:p>
          <w:p w14:paraId="445E1D2B" w14:textId="77777777" w:rsidR="009F38AE" w:rsidRPr="00960829" w:rsidRDefault="00D42F6E" w:rsidP="006F7405">
            <w:pPr>
              <w:pStyle w:val="naisf"/>
              <w:spacing w:before="0" w:after="0"/>
              <w:ind w:left="57" w:right="57" w:firstLine="0"/>
              <w:jc w:val="left"/>
              <w:rPr>
                <w:rFonts w:eastAsia="Calibri"/>
                <w:sz w:val="22"/>
                <w:szCs w:val="22"/>
                <w:lang w:eastAsia="en-US"/>
              </w:rPr>
            </w:pPr>
            <w:r w:rsidRPr="00960829">
              <w:rPr>
                <w:rFonts w:eastAsia="Calibri"/>
                <w:sz w:val="22"/>
                <w:szCs w:val="22"/>
                <w:lang w:eastAsia="en-US"/>
              </w:rPr>
              <w:t>Jaunu institūciju izveide, esošu institūciju likvidācija vai reorganizācija, to ietekme uz institūcijas cilvēkresursiem</w:t>
            </w:r>
          </w:p>
        </w:tc>
        <w:tc>
          <w:tcPr>
            <w:tcW w:w="7229" w:type="dxa"/>
          </w:tcPr>
          <w:p w14:paraId="6991CEFD" w14:textId="77777777" w:rsidR="00FF115F" w:rsidRPr="00B3642D" w:rsidRDefault="00BC4DAE" w:rsidP="006F7405">
            <w:pPr>
              <w:ind w:right="57"/>
              <w:jc w:val="both"/>
              <w:rPr>
                <w:bCs/>
                <w:iCs/>
              </w:rPr>
            </w:pPr>
            <w:r>
              <w:rPr>
                <w:color w:val="000000"/>
              </w:rPr>
              <w:t>S</w:t>
            </w:r>
            <w:r w:rsidRPr="004833FF">
              <w:rPr>
                <w:color w:val="000000"/>
              </w:rPr>
              <w:t xml:space="preserve">aistībā ar projekta izpildi </w:t>
            </w:r>
            <w:r>
              <w:rPr>
                <w:color w:val="000000"/>
              </w:rPr>
              <w:t xml:space="preserve">nav </w:t>
            </w:r>
            <w:r w:rsidRPr="004833FF">
              <w:rPr>
                <w:color w:val="000000"/>
              </w:rPr>
              <w:t xml:space="preserve">nepieciešams veidot jaunas institūcijas, </w:t>
            </w:r>
            <w:r>
              <w:rPr>
                <w:color w:val="000000"/>
              </w:rPr>
              <w:t>ne arī likvidēt vai reorganizēt esošās.</w:t>
            </w:r>
          </w:p>
          <w:p w14:paraId="19BEADFC" w14:textId="77777777" w:rsidR="00D42F6E" w:rsidRPr="00A95ADA" w:rsidRDefault="00343D5C" w:rsidP="006F7405">
            <w:pPr>
              <w:pStyle w:val="Bezatstarpm"/>
              <w:jc w:val="both"/>
              <w:rPr>
                <w:rFonts w:ascii="Times New Roman" w:hAnsi="Times New Roman"/>
                <w:sz w:val="24"/>
                <w:szCs w:val="24"/>
              </w:rPr>
            </w:pPr>
            <w:r>
              <w:rPr>
                <w:rFonts w:ascii="Times New Roman" w:hAnsi="Times New Roman"/>
                <w:sz w:val="24"/>
                <w:szCs w:val="24"/>
              </w:rPr>
              <w:t>P</w:t>
            </w:r>
            <w:r w:rsidR="00792050" w:rsidRPr="00A95ADA">
              <w:rPr>
                <w:rFonts w:ascii="Times New Roman" w:hAnsi="Times New Roman"/>
                <w:sz w:val="24"/>
                <w:szCs w:val="24"/>
              </w:rPr>
              <w:t>rojekta izpilde neietekmēs institūcijām pieejamos cilvēkresursus.</w:t>
            </w:r>
          </w:p>
        </w:tc>
      </w:tr>
      <w:tr w:rsidR="00D42F6E" w:rsidRPr="00BE302B" w14:paraId="4813DC92" w14:textId="77777777" w:rsidTr="0002350E">
        <w:trPr>
          <w:trHeight w:val="211"/>
          <w:jc w:val="center"/>
        </w:trPr>
        <w:tc>
          <w:tcPr>
            <w:tcW w:w="374" w:type="dxa"/>
          </w:tcPr>
          <w:p w14:paraId="0881B31B" w14:textId="77777777" w:rsidR="00D42F6E" w:rsidRPr="00960829" w:rsidRDefault="00D42F6E" w:rsidP="006F7405">
            <w:pPr>
              <w:pStyle w:val="naiskr"/>
              <w:spacing w:before="0" w:after="0"/>
              <w:ind w:left="57" w:right="57"/>
              <w:rPr>
                <w:sz w:val="22"/>
                <w:szCs w:val="22"/>
              </w:rPr>
            </w:pPr>
            <w:r w:rsidRPr="00960829">
              <w:rPr>
                <w:sz w:val="22"/>
                <w:szCs w:val="22"/>
              </w:rPr>
              <w:lastRenderedPageBreak/>
              <w:t>3.</w:t>
            </w:r>
          </w:p>
        </w:tc>
        <w:tc>
          <w:tcPr>
            <w:tcW w:w="2740" w:type="dxa"/>
          </w:tcPr>
          <w:p w14:paraId="72C0D318" w14:textId="77777777" w:rsidR="00D42F6E" w:rsidRPr="00960829" w:rsidRDefault="00D42F6E" w:rsidP="006F7405">
            <w:pPr>
              <w:pStyle w:val="naiskr"/>
              <w:spacing w:before="0" w:after="0"/>
              <w:ind w:left="57" w:right="57"/>
              <w:rPr>
                <w:sz w:val="22"/>
                <w:szCs w:val="22"/>
              </w:rPr>
            </w:pPr>
            <w:r w:rsidRPr="00960829">
              <w:rPr>
                <w:sz w:val="22"/>
                <w:szCs w:val="22"/>
              </w:rPr>
              <w:t>Cita informācija</w:t>
            </w:r>
          </w:p>
        </w:tc>
        <w:tc>
          <w:tcPr>
            <w:tcW w:w="7229" w:type="dxa"/>
          </w:tcPr>
          <w:p w14:paraId="6A6F3A13" w14:textId="77777777" w:rsidR="00D42F6E" w:rsidRPr="00E50BEA" w:rsidRDefault="005E3FA2" w:rsidP="006F7405">
            <w:pPr>
              <w:pStyle w:val="naiskr"/>
              <w:spacing w:before="0" w:after="0"/>
              <w:ind w:left="57" w:right="57"/>
              <w:rPr>
                <w:szCs w:val="22"/>
              </w:rPr>
            </w:pPr>
            <w:r w:rsidRPr="005E3FA2">
              <w:rPr>
                <w:szCs w:val="22"/>
              </w:rPr>
              <w:t xml:space="preserve">Noteikumu projekts tiks ieviests </w:t>
            </w:r>
            <w:r w:rsidR="00A2028F">
              <w:rPr>
                <w:szCs w:val="22"/>
              </w:rPr>
              <w:t>par</w:t>
            </w:r>
            <w:r w:rsidRPr="005E3FA2">
              <w:rPr>
                <w:szCs w:val="22"/>
              </w:rPr>
              <w:t xml:space="preserve"> piešķirtajiem valsts budžeta līdzekļiem.</w:t>
            </w:r>
          </w:p>
        </w:tc>
      </w:tr>
    </w:tbl>
    <w:p w14:paraId="3D019592" w14:textId="77777777" w:rsidR="00D42F6E" w:rsidRPr="00B3642D" w:rsidRDefault="00D42F6E" w:rsidP="006F7405">
      <w:pPr>
        <w:rPr>
          <w:sz w:val="28"/>
          <w:szCs w:val="28"/>
        </w:rPr>
      </w:pPr>
    </w:p>
    <w:p w14:paraId="00D3D54A" w14:textId="77777777" w:rsidR="00960829" w:rsidRDefault="00960829" w:rsidP="006F7405">
      <w:pPr>
        <w:tabs>
          <w:tab w:val="left" w:pos="6237"/>
        </w:tabs>
        <w:ind w:firstLine="720"/>
      </w:pPr>
    </w:p>
    <w:p w14:paraId="59AA23CA" w14:textId="77777777" w:rsidR="00960829" w:rsidRDefault="00960829" w:rsidP="006F7405">
      <w:pPr>
        <w:tabs>
          <w:tab w:val="left" w:pos="6237"/>
        </w:tabs>
        <w:ind w:firstLine="720"/>
      </w:pPr>
    </w:p>
    <w:p w14:paraId="6F2BE727" w14:textId="560B2B06" w:rsidR="00FF115F" w:rsidRPr="00A87F03" w:rsidRDefault="00102D9D" w:rsidP="00102D9D">
      <w:pPr>
        <w:rPr>
          <w:sz w:val="28"/>
          <w:szCs w:val="28"/>
        </w:rPr>
      </w:pPr>
      <w:r>
        <w:rPr>
          <w:sz w:val="28"/>
          <w:szCs w:val="28"/>
        </w:rPr>
        <w:tab/>
      </w:r>
      <w:r w:rsidR="00FF115F" w:rsidRPr="00A87F03">
        <w:rPr>
          <w:sz w:val="28"/>
          <w:szCs w:val="28"/>
        </w:rPr>
        <w:t>Zemkopības ministrs</w:t>
      </w:r>
      <w:r w:rsidR="00FF115F" w:rsidRPr="00A87F03">
        <w:rPr>
          <w:sz w:val="28"/>
          <w:szCs w:val="28"/>
        </w:rPr>
        <w:tab/>
      </w:r>
      <w:r w:rsidR="00C75BAE" w:rsidRPr="00A87F03">
        <w:rPr>
          <w:sz w:val="28"/>
          <w:szCs w:val="28"/>
        </w:rPr>
        <w:tab/>
      </w:r>
      <w:r w:rsidR="00C75BAE" w:rsidRPr="00A87F03">
        <w:rPr>
          <w:sz w:val="28"/>
          <w:szCs w:val="28"/>
        </w:rPr>
        <w:tab/>
      </w:r>
      <w:r>
        <w:rPr>
          <w:sz w:val="28"/>
          <w:szCs w:val="28"/>
        </w:rPr>
        <w:tab/>
      </w:r>
      <w:r>
        <w:rPr>
          <w:sz w:val="28"/>
          <w:szCs w:val="28"/>
        </w:rPr>
        <w:tab/>
      </w:r>
      <w:r>
        <w:rPr>
          <w:sz w:val="28"/>
          <w:szCs w:val="28"/>
        </w:rPr>
        <w:tab/>
      </w:r>
      <w:r w:rsidR="004F6B6B" w:rsidRPr="004F6B6B">
        <w:rPr>
          <w:sz w:val="28"/>
          <w:szCs w:val="28"/>
        </w:rPr>
        <w:t>K. Gerhards</w:t>
      </w:r>
    </w:p>
    <w:p w14:paraId="024FC89F" w14:textId="77777777" w:rsidR="003F112B" w:rsidRDefault="003F112B" w:rsidP="006F7405">
      <w:pPr>
        <w:tabs>
          <w:tab w:val="left" w:pos="6237"/>
        </w:tabs>
        <w:ind w:firstLine="720"/>
      </w:pPr>
    </w:p>
    <w:p w14:paraId="49D01C35" w14:textId="77777777" w:rsidR="003F112B" w:rsidRDefault="003F112B" w:rsidP="006F7405">
      <w:pPr>
        <w:tabs>
          <w:tab w:val="left" w:pos="6237"/>
        </w:tabs>
        <w:ind w:firstLine="720"/>
      </w:pPr>
    </w:p>
    <w:p w14:paraId="4FD6E9AF" w14:textId="77777777" w:rsidR="003F112B" w:rsidRDefault="003F112B" w:rsidP="006F7405">
      <w:pPr>
        <w:tabs>
          <w:tab w:val="left" w:pos="6237"/>
        </w:tabs>
        <w:ind w:firstLine="720"/>
      </w:pPr>
    </w:p>
    <w:p w14:paraId="02CFB38C" w14:textId="77777777" w:rsidR="003F112B" w:rsidRDefault="003F112B" w:rsidP="006F7405">
      <w:pPr>
        <w:tabs>
          <w:tab w:val="left" w:pos="6237"/>
        </w:tabs>
        <w:ind w:firstLine="720"/>
      </w:pPr>
    </w:p>
    <w:p w14:paraId="05CBF26A" w14:textId="77777777" w:rsidR="00102D9D" w:rsidRDefault="00102D9D" w:rsidP="006F7405">
      <w:pPr>
        <w:tabs>
          <w:tab w:val="left" w:pos="6237"/>
        </w:tabs>
        <w:rPr>
          <w:sz w:val="20"/>
          <w:szCs w:val="20"/>
        </w:rPr>
      </w:pPr>
      <w:bookmarkStart w:id="1" w:name="_Hlk500403611"/>
    </w:p>
    <w:p w14:paraId="615AE2C0" w14:textId="77777777" w:rsidR="00102D9D" w:rsidRDefault="00102D9D" w:rsidP="006F7405">
      <w:pPr>
        <w:tabs>
          <w:tab w:val="left" w:pos="6237"/>
        </w:tabs>
        <w:rPr>
          <w:sz w:val="20"/>
          <w:szCs w:val="20"/>
        </w:rPr>
      </w:pPr>
    </w:p>
    <w:p w14:paraId="4EF79D2E" w14:textId="77777777" w:rsidR="00102D9D" w:rsidRDefault="00102D9D" w:rsidP="006F7405">
      <w:pPr>
        <w:tabs>
          <w:tab w:val="left" w:pos="6237"/>
        </w:tabs>
        <w:rPr>
          <w:sz w:val="20"/>
          <w:szCs w:val="20"/>
        </w:rPr>
      </w:pPr>
    </w:p>
    <w:p w14:paraId="541FA383" w14:textId="77777777" w:rsidR="00102D9D" w:rsidRDefault="00102D9D" w:rsidP="006F7405">
      <w:pPr>
        <w:tabs>
          <w:tab w:val="left" w:pos="6237"/>
        </w:tabs>
        <w:rPr>
          <w:sz w:val="20"/>
          <w:szCs w:val="20"/>
        </w:rPr>
      </w:pPr>
    </w:p>
    <w:p w14:paraId="4DC732B8" w14:textId="77777777" w:rsidR="00102D9D" w:rsidRDefault="00102D9D" w:rsidP="006F7405">
      <w:pPr>
        <w:tabs>
          <w:tab w:val="left" w:pos="6237"/>
        </w:tabs>
        <w:rPr>
          <w:sz w:val="20"/>
          <w:szCs w:val="20"/>
        </w:rPr>
      </w:pPr>
    </w:p>
    <w:p w14:paraId="67A48F74" w14:textId="77777777" w:rsidR="00102D9D" w:rsidRDefault="00102D9D" w:rsidP="006F7405">
      <w:pPr>
        <w:tabs>
          <w:tab w:val="left" w:pos="6237"/>
        </w:tabs>
        <w:rPr>
          <w:sz w:val="20"/>
          <w:szCs w:val="20"/>
        </w:rPr>
      </w:pPr>
    </w:p>
    <w:p w14:paraId="01919B08" w14:textId="77777777" w:rsidR="00102D9D" w:rsidRDefault="00102D9D" w:rsidP="006F7405">
      <w:pPr>
        <w:tabs>
          <w:tab w:val="left" w:pos="6237"/>
        </w:tabs>
        <w:rPr>
          <w:sz w:val="20"/>
          <w:szCs w:val="20"/>
        </w:rPr>
      </w:pPr>
    </w:p>
    <w:p w14:paraId="5E0B0DEA" w14:textId="77777777" w:rsidR="00102D9D" w:rsidRDefault="00102D9D" w:rsidP="006F7405">
      <w:pPr>
        <w:tabs>
          <w:tab w:val="left" w:pos="6237"/>
        </w:tabs>
        <w:rPr>
          <w:sz w:val="20"/>
          <w:szCs w:val="20"/>
        </w:rPr>
      </w:pPr>
    </w:p>
    <w:p w14:paraId="4A55707A" w14:textId="77777777" w:rsidR="00102D9D" w:rsidRDefault="00102D9D" w:rsidP="006F7405">
      <w:pPr>
        <w:tabs>
          <w:tab w:val="left" w:pos="6237"/>
        </w:tabs>
        <w:rPr>
          <w:sz w:val="20"/>
          <w:szCs w:val="20"/>
        </w:rPr>
      </w:pPr>
    </w:p>
    <w:p w14:paraId="17D6C22D" w14:textId="77777777" w:rsidR="00102D9D" w:rsidRDefault="00102D9D" w:rsidP="006F7405">
      <w:pPr>
        <w:tabs>
          <w:tab w:val="left" w:pos="6237"/>
        </w:tabs>
        <w:rPr>
          <w:sz w:val="20"/>
          <w:szCs w:val="20"/>
        </w:rPr>
      </w:pPr>
    </w:p>
    <w:p w14:paraId="5B21FE0D" w14:textId="77777777" w:rsidR="00102D9D" w:rsidRDefault="00102D9D" w:rsidP="006F7405">
      <w:pPr>
        <w:tabs>
          <w:tab w:val="left" w:pos="6237"/>
        </w:tabs>
        <w:rPr>
          <w:sz w:val="20"/>
          <w:szCs w:val="20"/>
        </w:rPr>
      </w:pPr>
    </w:p>
    <w:p w14:paraId="4A5A0BFA" w14:textId="77777777" w:rsidR="00102D9D" w:rsidRDefault="00102D9D" w:rsidP="006F7405">
      <w:pPr>
        <w:tabs>
          <w:tab w:val="left" w:pos="6237"/>
        </w:tabs>
        <w:rPr>
          <w:sz w:val="20"/>
          <w:szCs w:val="20"/>
        </w:rPr>
      </w:pPr>
    </w:p>
    <w:p w14:paraId="0227CEB4" w14:textId="77777777" w:rsidR="00102D9D" w:rsidRDefault="00102D9D" w:rsidP="006F7405">
      <w:pPr>
        <w:tabs>
          <w:tab w:val="left" w:pos="6237"/>
        </w:tabs>
        <w:rPr>
          <w:sz w:val="20"/>
          <w:szCs w:val="20"/>
        </w:rPr>
      </w:pPr>
    </w:p>
    <w:p w14:paraId="213FDE4B" w14:textId="77777777" w:rsidR="00102D9D" w:rsidRDefault="00102D9D" w:rsidP="006F7405">
      <w:pPr>
        <w:tabs>
          <w:tab w:val="left" w:pos="6237"/>
        </w:tabs>
        <w:rPr>
          <w:sz w:val="20"/>
          <w:szCs w:val="20"/>
        </w:rPr>
      </w:pPr>
    </w:p>
    <w:p w14:paraId="659CDC55" w14:textId="77777777" w:rsidR="00102D9D" w:rsidRDefault="00102D9D" w:rsidP="006F7405">
      <w:pPr>
        <w:tabs>
          <w:tab w:val="left" w:pos="6237"/>
        </w:tabs>
        <w:rPr>
          <w:sz w:val="20"/>
          <w:szCs w:val="20"/>
        </w:rPr>
      </w:pPr>
    </w:p>
    <w:p w14:paraId="7D9118E1" w14:textId="77777777" w:rsidR="00102D9D" w:rsidRDefault="00102D9D" w:rsidP="006F7405">
      <w:pPr>
        <w:tabs>
          <w:tab w:val="left" w:pos="6237"/>
        </w:tabs>
        <w:rPr>
          <w:sz w:val="20"/>
          <w:szCs w:val="20"/>
        </w:rPr>
      </w:pPr>
    </w:p>
    <w:p w14:paraId="0667B434" w14:textId="77777777" w:rsidR="00102D9D" w:rsidRDefault="00102D9D" w:rsidP="006F7405">
      <w:pPr>
        <w:tabs>
          <w:tab w:val="left" w:pos="6237"/>
        </w:tabs>
        <w:rPr>
          <w:sz w:val="20"/>
          <w:szCs w:val="20"/>
        </w:rPr>
      </w:pPr>
    </w:p>
    <w:p w14:paraId="5F1B271F" w14:textId="77777777" w:rsidR="00102D9D" w:rsidRDefault="00102D9D" w:rsidP="006F7405">
      <w:pPr>
        <w:tabs>
          <w:tab w:val="left" w:pos="6237"/>
        </w:tabs>
        <w:rPr>
          <w:sz w:val="20"/>
          <w:szCs w:val="20"/>
        </w:rPr>
      </w:pPr>
    </w:p>
    <w:p w14:paraId="5CA43F1F" w14:textId="77777777" w:rsidR="00102D9D" w:rsidRDefault="00102D9D" w:rsidP="006F7405">
      <w:pPr>
        <w:tabs>
          <w:tab w:val="left" w:pos="6237"/>
        </w:tabs>
        <w:rPr>
          <w:sz w:val="20"/>
          <w:szCs w:val="20"/>
        </w:rPr>
      </w:pPr>
    </w:p>
    <w:p w14:paraId="0C05D6DE" w14:textId="77777777" w:rsidR="00102D9D" w:rsidRDefault="00102D9D" w:rsidP="006F7405">
      <w:pPr>
        <w:tabs>
          <w:tab w:val="left" w:pos="6237"/>
        </w:tabs>
        <w:rPr>
          <w:sz w:val="20"/>
          <w:szCs w:val="20"/>
        </w:rPr>
      </w:pPr>
    </w:p>
    <w:p w14:paraId="38330F45" w14:textId="77777777" w:rsidR="00102D9D" w:rsidRDefault="00102D9D" w:rsidP="006F7405">
      <w:pPr>
        <w:tabs>
          <w:tab w:val="left" w:pos="6237"/>
        </w:tabs>
        <w:rPr>
          <w:sz w:val="20"/>
          <w:szCs w:val="20"/>
        </w:rPr>
      </w:pPr>
    </w:p>
    <w:p w14:paraId="66E2ED15" w14:textId="77777777" w:rsidR="00102D9D" w:rsidRDefault="00102D9D" w:rsidP="006F7405">
      <w:pPr>
        <w:tabs>
          <w:tab w:val="left" w:pos="6237"/>
        </w:tabs>
        <w:rPr>
          <w:sz w:val="20"/>
          <w:szCs w:val="20"/>
        </w:rPr>
      </w:pPr>
    </w:p>
    <w:p w14:paraId="747A5EED" w14:textId="77777777" w:rsidR="00102D9D" w:rsidRDefault="00102D9D" w:rsidP="006F7405">
      <w:pPr>
        <w:tabs>
          <w:tab w:val="left" w:pos="6237"/>
        </w:tabs>
        <w:rPr>
          <w:sz w:val="20"/>
          <w:szCs w:val="20"/>
        </w:rPr>
      </w:pPr>
    </w:p>
    <w:p w14:paraId="1B34D008" w14:textId="77777777" w:rsidR="00102D9D" w:rsidRDefault="00102D9D" w:rsidP="006F7405">
      <w:pPr>
        <w:tabs>
          <w:tab w:val="left" w:pos="6237"/>
        </w:tabs>
        <w:rPr>
          <w:sz w:val="20"/>
          <w:szCs w:val="20"/>
        </w:rPr>
      </w:pPr>
    </w:p>
    <w:p w14:paraId="6479AA46" w14:textId="77777777" w:rsidR="00EF1FBB" w:rsidRDefault="00EF1FBB" w:rsidP="006F7405">
      <w:pPr>
        <w:tabs>
          <w:tab w:val="left" w:pos="6237"/>
        </w:tabs>
      </w:pPr>
    </w:p>
    <w:p w14:paraId="770B2C26" w14:textId="77777777" w:rsidR="00EF1FBB" w:rsidRDefault="00EF1FBB" w:rsidP="006F7405">
      <w:pPr>
        <w:tabs>
          <w:tab w:val="left" w:pos="6237"/>
        </w:tabs>
      </w:pPr>
    </w:p>
    <w:p w14:paraId="3EF33D99" w14:textId="77777777" w:rsidR="00EF1FBB" w:rsidRDefault="00EF1FBB" w:rsidP="006F7405">
      <w:pPr>
        <w:tabs>
          <w:tab w:val="left" w:pos="6237"/>
        </w:tabs>
      </w:pPr>
    </w:p>
    <w:p w14:paraId="4C90120D" w14:textId="77777777" w:rsidR="00EF1FBB" w:rsidRDefault="00EF1FBB" w:rsidP="006F7405">
      <w:pPr>
        <w:tabs>
          <w:tab w:val="left" w:pos="6237"/>
        </w:tabs>
      </w:pPr>
    </w:p>
    <w:p w14:paraId="0F47B737" w14:textId="148EFD17" w:rsidR="00FF115F" w:rsidRPr="00102D9D" w:rsidRDefault="00F21C68" w:rsidP="006F7405">
      <w:pPr>
        <w:tabs>
          <w:tab w:val="left" w:pos="6237"/>
        </w:tabs>
      </w:pPr>
      <w:r w:rsidRPr="00102D9D">
        <w:t xml:space="preserve">Bārtule </w:t>
      </w:r>
      <w:r w:rsidR="00FF115F" w:rsidRPr="00102D9D">
        <w:t>67027</w:t>
      </w:r>
      <w:r w:rsidR="00343D5C" w:rsidRPr="00102D9D">
        <w:t>525</w:t>
      </w:r>
    </w:p>
    <w:p w14:paraId="4D4C5F91" w14:textId="77777777" w:rsidR="00FF115F" w:rsidRPr="00102D9D" w:rsidRDefault="00EF1FBB" w:rsidP="006F7405">
      <w:pPr>
        <w:tabs>
          <w:tab w:val="left" w:pos="6237"/>
        </w:tabs>
      </w:pPr>
      <w:hyperlink r:id="rId13" w:history="1">
        <w:r w:rsidR="00343D5C" w:rsidRPr="00102D9D">
          <w:rPr>
            <w:rStyle w:val="Hipersaite"/>
          </w:rPr>
          <w:t>Inese.Bartule@zm.go</w:t>
        </w:r>
        <w:bookmarkStart w:id="2" w:name="_GoBack"/>
        <w:bookmarkEnd w:id="2"/>
        <w:r w:rsidR="00343D5C" w:rsidRPr="00102D9D">
          <w:rPr>
            <w:rStyle w:val="Hipersaite"/>
          </w:rPr>
          <w:t>v.lv</w:t>
        </w:r>
      </w:hyperlink>
      <w:r w:rsidR="00FF115F" w:rsidRPr="00102D9D">
        <w:t xml:space="preserve"> </w:t>
      </w:r>
      <w:bookmarkEnd w:id="1"/>
    </w:p>
    <w:sectPr w:rsidR="00FF115F" w:rsidRPr="00102D9D" w:rsidSect="00EF1FBB">
      <w:headerReference w:type="even" r:id="rId14"/>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EA283" w14:textId="77777777" w:rsidR="0086557C" w:rsidRDefault="0086557C">
      <w:r>
        <w:separator/>
      </w:r>
    </w:p>
  </w:endnote>
  <w:endnote w:type="continuationSeparator" w:id="0">
    <w:p w14:paraId="3447EB37" w14:textId="77777777" w:rsidR="0086557C" w:rsidRDefault="0086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FF3B" w14:textId="22AABA9D" w:rsidR="004C5845" w:rsidRPr="00EF1FBB" w:rsidRDefault="00EF1FBB" w:rsidP="00EF1FBB">
    <w:pPr>
      <w:pStyle w:val="Kjene"/>
    </w:pPr>
    <w:r w:rsidRPr="00EF1FBB">
      <w:rPr>
        <w:sz w:val="20"/>
        <w:szCs w:val="20"/>
      </w:rPr>
      <w:t>ZManot_261119_piekrlim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6009" w14:textId="17D8EDCA" w:rsidR="004C5845" w:rsidRPr="00EF1FBB" w:rsidRDefault="00EF1FBB" w:rsidP="00EF1FBB">
    <w:pPr>
      <w:pStyle w:val="Kjene"/>
    </w:pPr>
    <w:r w:rsidRPr="00EF1FBB">
      <w:rPr>
        <w:sz w:val="20"/>
        <w:szCs w:val="20"/>
      </w:rPr>
      <w:t>ZManot_261119_piekrlim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C9F1B" w14:textId="77777777" w:rsidR="0086557C" w:rsidRDefault="0086557C">
      <w:r>
        <w:separator/>
      </w:r>
    </w:p>
  </w:footnote>
  <w:footnote w:type="continuationSeparator" w:id="0">
    <w:p w14:paraId="3ECA058F" w14:textId="77777777" w:rsidR="0086557C" w:rsidRDefault="0086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2C6C" w14:textId="77777777" w:rsidR="004C5845" w:rsidRDefault="004C5845"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FE3F08C" w14:textId="77777777" w:rsidR="004C5845" w:rsidRDefault="004C584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39C0" w14:textId="77777777" w:rsidR="004C5845" w:rsidRDefault="004C5845"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76144">
      <w:rPr>
        <w:rStyle w:val="Lappusesnumurs"/>
        <w:noProof/>
      </w:rPr>
      <w:t>2</w:t>
    </w:r>
    <w:r>
      <w:rPr>
        <w:rStyle w:val="Lappusesnumurs"/>
      </w:rPr>
      <w:fldChar w:fldCharType="end"/>
    </w:r>
  </w:p>
  <w:p w14:paraId="5493556A" w14:textId="77777777" w:rsidR="004C5845" w:rsidRDefault="004C584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5F8"/>
    <w:multiLevelType w:val="hybridMultilevel"/>
    <w:tmpl w:val="FC340E3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2693077"/>
    <w:multiLevelType w:val="hybridMultilevel"/>
    <w:tmpl w:val="E910D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A5A6B"/>
    <w:multiLevelType w:val="hybridMultilevel"/>
    <w:tmpl w:val="F762236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15:restartNumberingAfterBreak="0">
    <w:nsid w:val="0E741BF3"/>
    <w:multiLevelType w:val="hybridMultilevel"/>
    <w:tmpl w:val="7A5A3A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AD5E3E"/>
    <w:multiLevelType w:val="hybridMultilevel"/>
    <w:tmpl w:val="C5C257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894F31"/>
    <w:multiLevelType w:val="hybridMultilevel"/>
    <w:tmpl w:val="888E4DA6"/>
    <w:lvl w:ilvl="0" w:tplc="43964E7E">
      <w:start w:val="1"/>
      <w:numFmt w:val="decimal"/>
      <w:lvlText w:val="%1)"/>
      <w:lvlJc w:val="left"/>
      <w:pPr>
        <w:ind w:left="576" w:hanging="435"/>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12D06F37"/>
    <w:multiLevelType w:val="hybridMultilevel"/>
    <w:tmpl w:val="956276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5F640BC"/>
    <w:multiLevelType w:val="hybridMultilevel"/>
    <w:tmpl w:val="9CA84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C27753"/>
    <w:multiLevelType w:val="hybridMultilevel"/>
    <w:tmpl w:val="D4E4DF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2FBA3180"/>
    <w:multiLevelType w:val="hybridMultilevel"/>
    <w:tmpl w:val="717C16A8"/>
    <w:lvl w:ilvl="0" w:tplc="1D4435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3146794B"/>
    <w:multiLevelType w:val="hybridMultilevel"/>
    <w:tmpl w:val="0FCED2F2"/>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3AE17ABF"/>
    <w:multiLevelType w:val="hybridMultilevel"/>
    <w:tmpl w:val="A61649DC"/>
    <w:lvl w:ilvl="0" w:tplc="A3486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D7F70FC"/>
    <w:multiLevelType w:val="hybridMultilevel"/>
    <w:tmpl w:val="D48A5786"/>
    <w:lvl w:ilvl="0" w:tplc="FDC401C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3F752B0B"/>
    <w:multiLevelType w:val="hybridMultilevel"/>
    <w:tmpl w:val="C9E6F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6F5546"/>
    <w:multiLevelType w:val="hybridMultilevel"/>
    <w:tmpl w:val="8B8E5882"/>
    <w:lvl w:ilvl="0" w:tplc="5A026378">
      <w:start w:val="1"/>
      <w:numFmt w:val="decimal"/>
      <w:lvlText w:val="%1)"/>
      <w:lvlJc w:val="left"/>
      <w:pPr>
        <w:ind w:left="1035"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5C9058EF"/>
    <w:multiLevelType w:val="hybridMultilevel"/>
    <w:tmpl w:val="3AE03766"/>
    <w:lvl w:ilvl="0" w:tplc="EC7CE90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02E1CCB"/>
    <w:multiLevelType w:val="hybridMultilevel"/>
    <w:tmpl w:val="B65A46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FC7A8A"/>
    <w:multiLevelType w:val="hybridMultilevel"/>
    <w:tmpl w:val="B9BC1632"/>
    <w:lvl w:ilvl="0" w:tplc="5C52088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79DB0E07"/>
    <w:multiLevelType w:val="hybridMultilevel"/>
    <w:tmpl w:val="B2A62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FCD2144"/>
    <w:multiLevelType w:val="hybridMultilevel"/>
    <w:tmpl w:val="777C3EE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9"/>
  </w:num>
  <w:num w:numId="4">
    <w:abstractNumId w:val="0"/>
  </w:num>
  <w:num w:numId="5">
    <w:abstractNumId w:val="4"/>
  </w:num>
  <w:num w:numId="6">
    <w:abstractNumId w:val="5"/>
  </w:num>
  <w:num w:numId="7">
    <w:abstractNumId w:val="13"/>
  </w:num>
  <w:num w:numId="8">
    <w:abstractNumId w:val="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5"/>
  </w:num>
  <w:num w:numId="12">
    <w:abstractNumId w:val="3"/>
  </w:num>
  <w:num w:numId="13">
    <w:abstractNumId w:val="11"/>
  </w:num>
  <w:num w:numId="14">
    <w:abstractNumId w:val="20"/>
  </w:num>
  <w:num w:numId="15">
    <w:abstractNumId w:val="9"/>
  </w:num>
  <w:num w:numId="16">
    <w:abstractNumId w:val="8"/>
  </w:num>
  <w:num w:numId="17">
    <w:abstractNumId w:val="1"/>
  </w:num>
  <w:num w:numId="18">
    <w:abstractNumId w:val="7"/>
  </w:num>
  <w:num w:numId="19">
    <w:abstractNumId w:val="12"/>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6E"/>
    <w:rsid w:val="00001CED"/>
    <w:rsid w:val="00003C42"/>
    <w:rsid w:val="00004273"/>
    <w:rsid w:val="00005376"/>
    <w:rsid w:val="000150FD"/>
    <w:rsid w:val="0002350E"/>
    <w:rsid w:val="00025FF8"/>
    <w:rsid w:val="00026252"/>
    <w:rsid w:val="00034552"/>
    <w:rsid w:val="000350D0"/>
    <w:rsid w:val="000474F1"/>
    <w:rsid w:val="00050598"/>
    <w:rsid w:val="00052DFA"/>
    <w:rsid w:val="000577EC"/>
    <w:rsid w:val="000735D2"/>
    <w:rsid w:val="00090935"/>
    <w:rsid w:val="00096430"/>
    <w:rsid w:val="00096EF3"/>
    <w:rsid w:val="0009728B"/>
    <w:rsid w:val="000A20CA"/>
    <w:rsid w:val="000A671A"/>
    <w:rsid w:val="000B3B9A"/>
    <w:rsid w:val="000B66D7"/>
    <w:rsid w:val="000C1423"/>
    <w:rsid w:val="000C397F"/>
    <w:rsid w:val="000D2B78"/>
    <w:rsid w:val="000D5EE6"/>
    <w:rsid w:val="000D724F"/>
    <w:rsid w:val="000E73A0"/>
    <w:rsid w:val="000F43FB"/>
    <w:rsid w:val="000F688A"/>
    <w:rsid w:val="0010226D"/>
    <w:rsid w:val="00102D9D"/>
    <w:rsid w:val="00104E33"/>
    <w:rsid w:val="00107AB0"/>
    <w:rsid w:val="00107BA0"/>
    <w:rsid w:val="0011330D"/>
    <w:rsid w:val="00117C55"/>
    <w:rsid w:val="00121771"/>
    <w:rsid w:val="00121B5C"/>
    <w:rsid w:val="00126D93"/>
    <w:rsid w:val="00130ECA"/>
    <w:rsid w:val="00136BB2"/>
    <w:rsid w:val="0014219B"/>
    <w:rsid w:val="001466FB"/>
    <w:rsid w:val="00146954"/>
    <w:rsid w:val="001469EA"/>
    <w:rsid w:val="00147710"/>
    <w:rsid w:val="001551BB"/>
    <w:rsid w:val="00161569"/>
    <w:rsid w:val="001632C7"/>
    <w:rsid w:val="001879E9"/>
    <w:rsid w:val="00190320"/>
    <w:rsid w:val="0019227E"/>
    <w:rsid w:val="00195907"/>
    <w:rsid w:val="001A2A9A"/>
    <w:rsid w:val="001A2DB3"/>
    <w:rsid w:val="001A2EDE"/>
    <w:rsid w:val="001A4168"/>
    <w:rsid w:val="001A4894"/>
    <w:rsid w:val="001B3E56"/>
    <w:rsid w:val="001C40F4"/>
    <w:rsid w:val="001C4C71"/>
    <w:rsid w:val="001D4554"/>
    <w:rsid w:val="001D50B1"/>
    <w:rsid w:val="001D7523"/>
    <w:rsid w:val="001E2B61"/>
    <w:rsid w:val="001E7597"/>
    <w:rsid w:val="001F5281"/>
    <w:rsid w:val="0020784B"/>
    <w:rsid w:val="002162FB"/>
    <w:rsid w:val="00226F48"/>
    <w:rsid w:val="00230DA0"/>
    <w:rsid w:val="002369A5"/>
    <w:rsid w:val="002428F2"/>
    <w:rsid w:val="002442C8"/>
    <w:rsid w:val="002443C7"/>
    <w:rsid w:val="002471FB"/>
    <w:rsid w:val="00256F58"/>
    <w:rsid w:val="002641D3"/>
    <w:rsid w:val="002645F6"/>
    <w:rsid w:val="00266CC9"/>
    <w:rsid w:val="00267204"/>
    <w:rsid w:val="002755F2"/>
    <w:rsid w:val="0028528E"/>
    <w:rsid w:val="00285A0F"/>
    <w:rsid w:val="002A36DD"/>
    <w:rsid w:val="002B1F16"/>
    <w:rsid w:val="002B26BC"/>
    <w:rsid w:val="002B2A1F"/>
    <w:rsid w:val="002B3674"/>
    <w:rsid w:val="002B40FD"/>
    <w:rsid w:val="002B4D86"/>
    <w:rsid w:val="002B5405"/>
    <w:rsid w:val="002B5662"/>
    <w:rsid w:val="002B6485"/>
    <w:rsid w:val="002B6D2A"/>
    <w:rsid w:val="002C1630"/>
    <w:rsid w:val="002D57A2"/>
    <w:rsid w:val="002E3800"/>
    <w:rsid w:val="002F05F0"/>
    <w:rsid w:val="002F6189"/>
    <w:rsid w:val="003073D6"/>
    <w:rsid w:val="00317C38"/>
    <w:rsid w:val="00322216"/>
    <w:rsid w:val="00326177"/>
    <w:rsid w:val="00331C8D"/>
    <w:rsid w:val="003324F3"/>
    <w:rsid w:val="0033487E"/>
    <w:rsid w:val="003374A5"/>
    <w:rsid w:val="00342BF7"/>
    <w:rsid w:val="003435FD"/>
    <w:rsid w:val="00343D5C"/>
    <w:rsid w:val="00344509"/>
    <w:rsid w:val="00352202"/>
    <w:rsid w:val="003526C8"/>
    <w:rsid w:val="003640B4"/>
    <w:rsid w:val="00370156"/>
    <w:rsid w:val="0037762B"/>
    <w:rsid w:val="00382E39"/>
    <w:rsid w:val="00382FE9"/>
    <w:rsid w:val="00385F35"/>
    <w:rsid w:val="00391E43"/>
    <w:rsid w:val="00397F45"/>
    <w:rsid w:val="003A136C"/>
    <w:rsid w:val="003A218D"/>
    <w:rsid w:val="003A2802"/>
    <w:rsid w:val="003A466F"/>
    <w:rsid w:val="003B55F7"/>
    <w:rsid w:val="003C23E3"/>
    <w:rsid w:val="003C5E95"/>
    <w:rsid w:val="003D14EB"/>
    <w:rsid w:val="003D2C4F"/>
    <w:rsid w:val="003D301E"/>
    <w:rsid w:val="003D4070"/>
    <w:rsid w:val="003E5F8F"/>
    <w:rsid w:val="003F0950"/>
    <w:rsid w:val="003F112B"/>
    <w:rsid w:val="003F1B58"/>
    <w:rsid w:val="003F59ED"/>
    <w:rsid w:val="003F697C"/>
    <w:rsid w:val="0040052E"/>
    <w:rsid w:val="004133D5"/>
    <w:rsid w:val="004144A5"/>
    <w:rsid w:val="00414A3E"/>
    <w:rsid w:val="004156A4"/>
    <w:rsid w:val="004253CE"/>
    <w:rsid w:val="0042691F"/>
    <w:rsid w:val="004308B8"/>
    <w:rsid w:val="0043346B"/>
    <w:rsid w:val="00436791"/>
    <w:rsid w:val="00437609"/>
    <w:rsid w:val="00442DEC"/>
    <w:rsid w:val="004517E5"/>
    <w:rsid w:val="00453DAC"/>
    <w:rsid w:val="00463B0E"/>
    <w:rsid w:val="00481E8B"/>
    <w:rsid w:val="0048328F"/>
    <w:rsid w:val="0048484C"/>
    <w:rsid w:val="0049307E"/>
    <w:rsid w:val="004A385E"/>
    <w:rsid w:val="004A6849"/>
    <w:rsid w:val="004C2E8F"/>
    <w:rsid w:val="004C3C10"/>
    <w:rsid w:val="004C4B9D"/>
    <w:rsid w:val="004C5845"/>
    <w:rsid w:val="004C7C02"/>
    <w:rsid w:val="004D2147"/>
    <w:rsid w:val="004D4254"/>
    <w:rsid w:val="004E6573"/>
    <w:rsid w:val="004F006B"/>
    <w:rsid w:val="004F4E5C"/>
    <w:rsid w:val="004F6B6B"/>
    <w:rsid w:val="00505AA6"/>
    <w:rsid w:val="005073F4"/>
    <w:rsid w:val="0051134C"/>
    <w:rsid w:val="005140F4"/>
    <w:rsid w:val="00517791"/>
    <w:rsid w:val="00522382"/>
    <w:rsid w:val="005274C0"/>
    <w:rsid w:val="00536E02"/>
    <w:rsid w:val="00541D6A"/>
    <w:rsid w:val="0054567A"/>
    <w:rsid w:val="00551AD6"/>
    <w:rsid w:val="005731FC"/>
    <w:rsid w:val="0057360A"/>
    <w:rsid w:val="005752D0"/>
    <w:rsid w:val="00591417"/>
    <w:rsid w:val="00595F40"/>
    <w:rsid w:val="005B048D"/>
    <w:rsid w:val="005B0D08"/>
    <w:rsid w:val="005B459B"/>
    <w:rsid w:val="005B595C"/>
    <w:rsid w:val="005C3C1C"/>
    <w:rsid w:val="005C5594"/>
    <w:rsid w:val="005D7DEB"/>
    <w:rsid w:val="005E28DF"/>
    <w:rsid w:val="005E3FA2"/>
    <w:rsid w:val="005E5794"/>
    <w:rsid w:val="005E705C"/>
    <w:rsid w:val="005F1F6F"/>
    <w:rsid w:val="005F644D"/>
    <w:rsid w:val="006023C9"/>
    <w:rsid w:val="0060496A"/>
    <w:rsid w:val="00605786"/>
    <w:rsid w:val="00615B31"/>
    <w:rsid w:val="006352F4"/>
    <w:rsid w:val="006526A4"/>
    <w:rsid w:val="00653D9E"/>
    <w:rsid w:val="00657A74"/>
    <w:rsid w:val="00664AC8"/>
    <w:rsid w:val="00664DA7"/>
    <w:rsid w:val="00665133"/>
    <w:rsid w:val="006722DA"/>
    <w:rsid w:val="006822D3"/>
    <w:rsid w:val="006A00AC"/>
    <w:rsid w:val="006A02E7"/>
    <w:rsid w:val="006A0621"/>
    <w:rsid w:val="006A481A"/>
    <w:rsid w:val="006B7A4E"/>
    <w:rsid w:val="006C641B"/>
    <w:rsid w:val="006D497F"/>
    <w:rsid w:val="006F24F7"/>
    <w:rsid w:val="006F7405"/>
    <w:rsid w:val="007028BF"/>
    <w:rsid w:val="0070498F"/>
    <w:rsid w:val="00704AF6"/>
    <w:rsid w:val="007272C8"/>
    <w:rsid w:val="00731647"/>
    <w:rsid w:val="00735D9B"/>
    <w:rsid w:val="00735F01"/>
    <w:rsid w:val="00737E27"/>
    <w:rsid w:val="00741163"/>
    <w:rsid w:val="007503C4"/>
    <w:rsid w:val="0075325D"/>
    <w:rsid w:val="007578DA"/>
    <w:rsid w:val="00761083"/>
    <w:rsid w:val="007671B8"/>
    <w:rsid w:val="007767A9"/>
    <w:rsid w:val="00792050"/>
    <w:rsid w:val="00797584"/>
    <w:rsid w:val="007A32A1"/>
    <w:rsid w:val="007B371E"/>
    <w:rsid w:val="007B4783"/>
    <w:rsid w:val="007C06E7"/>
    <w:rsid w:val="007C2A8B"/>
    <w:rsid w:val="007C4499"/>
    <w:rsid w:val="007C53B0"/>
    <w:rsid w:val="007C6368"/>
    <w:rsid w:val="007C6DC9"/>
    <w:rsid w:val="007D577B"/>
    <w:rsid w:val="007E49E4"/>
    <w:rsid w:val="007E7D3E"/>
    <w:rsid w:val="007F1F1C"/>
    <w:rsid w:val="007F2548"/>
    <w:rsid w:val="007F550B"/>
    <w:rsid w:val="00803131"/>
    <w:rsid w:val="0080353D"/>
    <w:rsid w:val="00807DC1"/>
    <w:rsid w:val="00815D0E"/>
    <w:rsid w:val="0082484A"/>
    <w:rsid w:val="00830EAA"/>
    <w:rsid w:val="00832D8F"/>
    <w:rsid w:val="00835034"/>
    <w:rsid w:val="00836E43"/>
    <w:rsid w:val="00851E5F"/>
    <w:rsid w:val="0085209E"/>
    <w:rsid w:val="00857E18"/>
    <w:rsid w:val="0086557C"/>
    <w:rsid w:val="00867973"/>
    <w:rsid w:val="00876144"/>
    <w:rsid w:val="0087722B"/>
    <w:rsid w:val="008777C1"/>
    <w:rsid w:val="00894D6A"/>
    <w:rsid w:val="0089520A"/>
    <w:rsid w:val="008A5F3D"/>
    <w:rsid w:val="008C6D7D"/>
    <w:rsid w:val="008D2A61"/>
    <w:rsid w:val="008D2F56"/>
    <w:rsid w:val="008E39AE"/>
    <w:rsid w:val="008F2C7D"/>
    <w:rsid w:val="0090337A"/>
    <w:rsid w:val="00906E4E"/>
    <w:rsid w:val="00916544"/>
    <w:rsid w:val="009167C1"/>
    <w:rsid w:val="00926769"/>
    <w:rsid w:val="009305DB"/>
    <w:rsid w:val="00931ECF"/>
    <w:rsid w:val="009472F3"/>
    <w:rsid w:val="00953811"/>
    <w:rsid w:val="00960829"/>
    <w:rsid w:val="009732FC"/>
    <w:rsid w:val="009850F9"/>
    <w:rsid w:val="009974CA"/>
    <w:rsid w:val="009A022A"/>
    <w:rsid w:val="009A2025"/>
    <w:rsid w:val="009A5E5C"/>
    <w:rsid w:val="009A6109"/>
    <w:rsid w:val="009B4FAF"/>
    <w:rsid w:val="009B7D4D"/>
    <w:rsid w:val="009C0E6E"/>
    <w:rsid w:val="009C56ED"/>
    <w:rsid w:val="009D3B4B"/>
    <w:rsid w:val="009E0E35"/>
    <w:rsid w:val="009E1655"/>
    <w:rsid w:val="009E4000"/>
    <w:rsid w:val="009E5887"/>
    <w:rsid w:val="009F2494"/>
    <w:rsid w:val="009F38AE"/>
    <w:rsid w:val="00A076CA"/>
    <w:rsid w:val="00A1481E"/>
    <w:rsid w:val="00A171AD"/>
    <w:rsid w:val="00A2028F"/>
    <w:rsid w:val="00A240CC"/>
    <w:rsid w:val="00A27AEF"/>
    <w:rsid w:val="00A30E6C"/>
    <w:rsid w:val="00A41A3E"/>
    <w:rsid w:val="00A50F49"/>
    <w:rsid w:val="00A54BFD"/>
    <w:rsid w:val="00A55886"/>
    <w:rsid w:val="00A622D2"/>
    <w:rsid w:val="00A82DEC"/>
    <w:rsid w:val="00A84A1B"/>
    <w:rsid w:val="00A87F03"/>
    <w:rsid w:val="00A948D3"/>
    <w:rsid w:val="00A95ADA"/>
    <w:rsid w:val="00A97B97"/>
    <w:rsid w:val="00AA02F3"/>
    <w:rsid w:val="00AA154B"/>
    <w:rsid w:val="00AA192E"/>
    <w:rsid w:val="00AA4ACF"/>
    <w:rsid w:val="00AA60AD"/>
    <w:rsid w:val="00AA7733"/>
    <w:rsid w:val="00AB3C5A"/>
    <w:rsid w:val="00AB3DA5"/>
    <w:rsid w:val="00AB7E64"/>
    <w:rsid w:val="00AC13F9"/>
    <w:rsid w:val="00AC16F8"/>
    <w:rsid w:val="00AC2977"/>
    <w:rsid w:val="00AC5237"/>
    <w:rsid w:val="00AE0C12"/>
    <w:rsid w:val="00AE6AEC"/>
    <w:rsid w:val="00AF3F28"/>
    <w:rsid w:val="00B00642"/>
    <w:rsid w:val="00B0147E"/>
    <w:rsid w:val="00B1320F"/>
    <w:rsid w:val="00B154D3"/>
    <w:rsid w:val="00B266EF"/>
    <w:rsid w:val="00B30C5D"/>
    <w:rsid w:val="00B339A0"/>
    <w:rsid w:val="00B33C19"/>
    <w:rsid w:val="00B3642D"/>
    <w:rsid w:val="00B37027"/>
    <w:rsid w:val="00B37CF6"/>
    <w:rsid w:val="00B40C94"/>
    <w:rsid w:val="00B432A4"/>
    <w:rsid w:val="00B46A8E"/>
    <w:rsid w:val="00B47868"/>
    <w:rsid w:val="00B52502"/>
    <w:rsid w:val="00B56DDA"/>
    <w:rsid w:val="00B604ED"/>
    <w:rsid w:val="00B604FE"/>
    <w:rsid w:val="00B639C4"/>
    <w:rsid w:val="00B642F5"/>
    <w:rsid w:val="00B64D78"/>
    <w:rsid w:val="00B70D92"/>
    <w:rsid w:val="00B7654E"/>
    <w:rsid w:val="00B809AB"/>
    <w:rsid w:val="00B823E1"/>
    <w:rsid w:val="00B8447A"/>
    <w:rsid w:val="00B84B35"/>
    <w:rsid w:val="00B94C63"/>
    <w:rsid w:val="00B95433"/>
    <w:rsid w:val="00BA11BC"/>
    <w:rsid w:val="00BA79F5"/>
    <w:rsid w:val="00BB08AD"/>
    <w:rsid w:val="00BB39D2"/>
    <w:rsid w:val="00BB3E35"/>
    <w:rsid w:val="00BB7C6C"/>
    <w:rsid w:val="00BC4DAE"/>
    <w:rsid w:val="00BC51A5"/>
    <w:rsid w:val="00BD365A"/>
    <w:rsid w:val="00BD5DFD"/>
    <w:rsid w:val="00BE302B"/>
    <w:rsid w:val="00BE59DF"/>
    <w:rsid w:val="00BE5AAC"/>
    <w:rsid w:val="00BE6005"/>
    <w:rsid w:val="00BF1618"/>
    <w:rsid w:val="00BF425D"/>
    <w:rsid w:val="00BF45D4"/>
    <w:rsid w:val="00C0284D"/>
    <w:rsid w:val="00C13B86"/>
    <w:rsid w:val="00C13CB2"/>
    <w:rsid w:val="00C14AEA"/>
    <w:rsid w:val="00C26096"/>
    <w:rsid w:val="00C357B8"/>
    <w:rsid w:val="00C3648A"/>
    <w:rsid w:val="00C42294"/>
    <w:rsid w:val="00C42A79"/>
    <w:rsid w:val="00C447EC"/>
    <w:rsid w:val="00C64A54"/>
    <w:rsid w:val="00C71869"/>
    <w:rsid w:val="00C75BAE"/>
    <w:rsid w:val="00C81FCF"/>
    <w:rsid w:val="00C830D6"/>
    <w:rsid w:val="00C83496"/>
    <w:rsid w:val="00C85FBC"/>
    <w:rsid w:val="00C93094"/>
    <w:rsid w:val="00C9508D"/>
    <w:rsid w:val="00CA16D8"/>
    <w:rsid w:val="00CA1BE4"/>
    <w:rsid w:val="00CA7F4C"/>
    <w:rsid w:val="00CB108D"/>
    <w:rsid w:val="00CB1AA4"/>
    <w:rsid w:val="00CC08B7"/>
    <w:rsid w:val="00CC2D3C"/>
    <w:rsid w:val="00CC36D6"/>
    <w:rsid w:val="00CC68C7"/>
    <w:rsid w:val="00CD0006"/>
    <w:rsid w:val="00CD7326"/>
    <w:rsid w:val="00CE0E21"/>
    <w:rsid w:val="00CE0FFB"/>
    <w:rsid w:val="00CE35BF"/>
    <w:rsid w:val="00D00287"/>
    <w:rsid w:val="00D01A13"/>
    <w:rsid w:val="00D0215A"/>
    <w:rsid w:val="00D04FB3"/>
    <w:rsid w:val="00D0550A"/>
    <w:rsid w:val="00D07D7E"/>
    <w:rsid w:val="00D16F90"/>
    <w:rsid w:val="00D20988"/>
    <w:rsid w:val="00D24306"/>
    <w:rsid w:val="00D2650F"/>
    <w:rsid w:val="00D273DD"/>
    <w:rsid w:val="00D317A9"/>
    <w:rsid w:val="00D42020"/>
    <w:rsid w:val="00D42F6E"/>
    <w:rsid w:val="00D52AF4"/>
    <w:rsid w:val="00D646A9"/>
    <w:rsid w:val="00D6670A"/>
    <w:rsid w:val="00D67890"/>
    <w:rsid w:val="00D7054C"/>
    <w:rsid w:val="00D71E16"/>
    <w:rsid w:val="00D71EBA"/>
    <w:rsid w:val="00D82E41"/>
    <w:rsid w:val="00D91E58"/>
    <w:rsid w:val="00DA1271"/>
    <w:rsid w:val="00DA2513"/>
    <w:rsid w:val="00DB2250"/>
    <w:rsid w:val="00DB5678"/>
    <w:rsid w:val="00DC1C68"/>
    <w:rsid w:val="00DC2C24"/>
    <w:rsid w:val="00DC542A"/>
    <w:rsid w:val="00DC74D4"/>
    <w:rsid w:val="00DD02C2"/>
    <w:rsid w:val="00DE4FF3"/>
    <w:rsid w:val="00DE51A9"/>
    <w:rsid w:val="00DE7866"/>
    <w:rsid w:val="00DF5B17"/>
    <w:rsid w:val="00DF5D71"/>
    <w:rsid w:val="00E01135"/>
    <w:rsid w:val="00E05598"/>
    <w:rsid w:val="00E063C6"/>
    <w:rsid w:val="00E136CB"/>
    <w:rsid w:val="00E14513"/>
    <w:rsid w:val="00E156F9"/>
    <w:rsid w:val="00E16EB5"/>
    <w:rsid w:val="00E17C0F"/>
    <w:rsid w:val="00E22F49"/>
    <w:rsid w:val="00E41BC8"/>
    <w:rsid w:val="00E42037"/>
    <w:rsid w:val="00E4426A"/>
    <w:rsid w:val="00E44D8D"/>
    <w:rsid w:val="00E50BEA"/>
    <w:rsid w:val="00E522C7"/>
    <w:rsid w:val="00E56C7A"/>
    <w:rsid w:val="00E7090D"/>
    <w:rsid w:val="00E81C80"/>
    <w:rsid w:val="00E87B62"/>
    <w:rsid w:val="00E92EF0"/>
    <w:rsid w:val="00E93FA5"/>
    <w:rsid w:val="00EA26D0"/>
    <w:rsid w:val="00EB0027"/>
    <w:rsid w:val="00EB4A7F"/>
    <w:rsid w:val="00EB505C"/>
    <w:rsid w:val="00EB6B0B"/>
    <w:rsid w:val="00EC083B"/>
    <w:rsid w:val="00EC3C3A"/>
    <w:rsid w:val="00ED0C2A"/>
    <w:rsid w:val="00ED68B9"/>
    <w:rsid w:val="00EE4B8C"/>
    <w:rsid w:val="00EE6AD2"/>
    <w:rsid w:val="00EF1FBB"/>
    <w:rsid w:val="00F0338F"/>
    <w:rsid w:val="00F03B70"/>
    <w:rsid w:val="00F075DF"/>
    <w:rsid w:val="00F128E2"/>
    <w:rsid w:val="00F1559C"/>
    <w:rsid w:val="00F1746C"/>
    <w:rsid w:val="00F17A54"/>
    <w:rsid w:val="00F20147"/>
    <w:rsid w:val="00F207BD"/>
    <w:rsid w:val="00F21C68"/>
    <w:rsid w:val="00F32867"/>
    <w:rsid w:val="00F3375D"/>
    <w:rsid w:val="00F41A9C"/>
    <w:rsid w:val="00F501C7"/>
    <w:rsid w:val="00F54110"/>
    <w:rsid w:val="00F55B49"/>
    <w:rsid w:val="00F63C76"/>
    <w:rsid w:val="00F705E2"/>
    <w:rsid w:val="00F7150E"/>
    <w:rsid w:val="00F72CD8"/>
    <w:rsid w:val="00F8075E"/>
    <w:rsid w:val="00F82363"/>
    <w:rsid w:val="00F8722C"/>
    <w:rsid w:val="00F90CD9"/>
    <w:rsid w:val="00FA0514"/>
    <w:rsid w:val="00FA232D"/>
    <w:rsid w:val="00FB1DAE"/>
    <w:rsid w:val="00FB321E"/>
    <w:rsid w:val="00FB3D4A"/>
    <w:rsid w:val="00FB7D1F"/>
    <w:rsid w:val="00FD2F3D"/>
    <w:rsid w:val="00FD5829"/>
    <w:rsid w:val="00FE250A"/>
    <w:rsid w:val="00FE2818"/>
    <w:rsid w:val="00FE6B64"/>
    <w:rsid w:val="00FF115F"/>
    <w:rsid w:val="00FF30CB"/>
    <w:rsid w:val="00FF75E9"/>
    <w:rsid w:val="00FF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E9F8A1"/>
  <w15:docId w15:val="{FC46C219-82B7-4B2B-9429-FE1F51A3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42F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42F6E"/>
    <w:pPr>
      <w:tabs>
        <w:tab w:val="center" w:pos="4153"/>
        <w:tab w:val="right" w:pos="8306"/>
      </w:tabs>
    </w:pPr>
  </w:style>
  <w:style w:type="character" w:customStyle="1" w:styleId="GalveneRakstz">
    <w:name w:val="Galvene Rakstz."/>
    <w:basedOn w:val="Noklusjumarindkopasfonts"/>
    <w:link w:val="Galvene"/>
    <w:uiPriority w:val="99"/>
    <w:rsid w:val="00D42F6E"/>
    <w:rPr>
      <w:rFonts w:ascii="Times New Roman" w:eastAsia="Times New Roman" w:hAnsi="Times New Roman" w:cs="Times New Roman"/>
      <w:sz w:val="24"/>
      <w:szCs w:val="24"/>
      <w:lang w:eastAsia="lv-LV"/>
    </w:rPr>
  </w:style>
  <w:style w:type="character" w:styleId="Lappusesnumurs">
    <w:name w:val="page number"/>
    <w:basedOn w:val="Noklusjumarindkopasfonts"/>
    <w:rsid w:val="00D42F6E"/>
  </w:style>
  <w:style w:type="paragraph" w:customStyle="1" w:styleId="naisf">
    <w:name w:val="naisf"/>
    <w:basedOn w:val="Parasts"/>
    <w:rsid w:val="00D42F6E"/>
    <w:pPr>
      <w:spacing w:before="75" w:after="75"/>
      <w:ind w:firstLine="375"/>
      <w:jc w:val="both"/>
    </w:pPr>
  </w:style>
  <w:style w:type="paragraph" w:customStyle="1" w:styleId="naisnod">
    <w:name w:val="naisnod"/>
    <w:basedOn w:val="Parasts"/>
    <w:rsid w:val="00D42F6E"/>
    <w:pPr>
      <w:spacing w:before="150" w:after="150"/>
      <w:jc w:val="center"/>
    </w:pPr>
    <w:rPr>
      <w:b/>
      <w:bCs/>
    </w:rPr>
  </w:style>
  <w:style w:type="paragraph" w:customStyle="1" w:styleId="naislab">
    <w:name w:val="naislab"/>
    <w:basedOn w:val="Parasts"/>
    <w:rsid w:val="00D42F6E"/>
    <w:pPr>
      <w:spacing w:before="75" w:after="75"/>
      <w:jc w:val="right"/>
    </w:pPr>
  </w:style>
  <w:style w:type="paragraph" w:customStyle="1" w:styleId="naiskr">
    <w:name w:val="naiskr"/>
    <w:basedOn w:val="Parasts"/>
    <w:rsid w:val="00D42F6E"/>
    <w:pPr>
      <w:spacing w:before="75" w:after="75"/>
    </w:pPr>
  </w:style>
  <w:style w:type="table" w:styleId="Reatabula">
    <w:name w:val="Table Grid"/>
    <w:basedOn w:val="Parastatabula"/>
    <w:rsid w:val="00D42F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D42F6E"/>
    <w:rPr>
      <w:sz w:val="20"/>
      <w:szCs w:val="20"/>
    </w:rPr>
  </w:style>
  <w:style w:type="character" w:customStyle="1" w:styleId="VrestekstsRakstz">
    <w:name w:val="Vēres teksts Rakstz."/>
    <w:basedOn w:val="Noklusjumarindkopasfonts"/>
    <w:link w:val="Vresteksts"/>
    <w:semiHidden/>
    <w:rsid w:val="00D42F6E"/>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D42F6E"/>
    <w:pPr>
      <w:tabs>
        <w:tab w:val="center" w:pos="4153"/>
        <w:tab w:val="right" w:pos="8306"/>
      </w:tabs>
    </w:pPr>
  </w:style>
  <w:style w:type="character" w:customStyle="1" w:styleId="KjeneRakstz">
    <w:name w:val="Kājene Rakstz."/>
    <w:basedOn w:val="Noklusjumarindkopasfonts"/>
    <w:link w:val="Kjene"/>
    <w:uiPriority w:val="99"/>
    <w:rsid w:val="00D42F6E"/>
    <w:rPr>
      <w:rFonts w:ascii="Times New Roman" w:eastAsia="Times New Roman" w:hAnsi="Times New Roman" w:cs="Times New Roman"/>
      <w:sz w:val="24"/>
      <w:szCs w:val="24"/>
      <w:lang w:eastAsia="lv-LV"/>
    </w:rPr>
  </w:style>
  <w:style w:type="paragraph" w:styleId="Paraststmeklis">
    <w:name w:val="Normal (Web)"/>
    <w:basedOn w:val="Parasts"/>
    <w:rsid w:val="00D42F6E"/>
    <w:pPr>
      <w:spacing w:before="75" w:after="75"/>
    </w:pPr>
  </w:style>
  <w:style w:type="paragraph" w:customStyle="1" w:styleId="naispant">
    <w:name w:val="naispant"/>
    <w:basedOn w:val="Parasts"/>
    <w:rsid w:val="00D42F6E"/>
    <w:pPr>
      <w:spacing w:before="75" w:after="75"/>
      <w:ind w:left="375" w:firstLine="375"/>
      <w:jc w:val="both"/>
    </w:pPr>
    <w:rPr>
      <w:b/>
      <w:bCs/>
    </w:rPr>
  </w:style>
  <w:style w:type="paragraph" w:customStyle="1" w:styleId="naisc">
    <w:name w:val="naisc"/>
    <w:basedOn w:val="Parasts"/>
    <w:rsid w:val="00D42F6E"/>
    <w:pPr>
      <w:spacing w:before="75" w:after="75"/>
      <w:jc w:val="center"/>
    </w:pPr>
  </w:style>
  <w:style w:type="paragraph" w:customStyle="1" w:styleId="CharChar">
    <w:name w:val="Char Char"/>
    <w:basedOn w:val="Parasts"/>
    <w:rsid w:val="00D42F6E"/>
    <w:pPr>
      <w:spacing w:before="40"/>
    </w:pPr>
    <w:rPr>
      <w:lang w:val="pl-PL" w:eastAsia="pl-PL"/>
    </w:rPr>
  </w:style>
  <w:style w:type="character" w:styleId="Komentraatsauce">
    <w:name w:val="annotation reference"/>
    <w:rsid w:val="00D42F6E"/>
    <w:rPr>
      <w:sz w:val="16"/>
      <w:szCs w:val="16"/>
    </w:rPr>
  </w:style>
  <w:style w:type="paragraph" w:styleId="Komentrateksts">
    <w:name w:val="annotation text"/>
    <w:basedOn w:val="Parasts"/>
    <w:link w:val="KomentratekstsRakstz"/>
    <w:uiPriority w:val="99"/>
    <w:rsid w:val="00D42F6E"/>
    <w:rPr>
      <w:sz w:val="20"/>
      <w:szCs w:val="20"/>
    </w:rPr>
  </w:style>
  <w:style w:type="character" w:customStyle="1" w:styleId="KomentratekstsRakstz">
    <w:name w:val="Komentāra teksts Rakstz."/>
    <w:basedOn w:val="Noklusjumarindkopasfonts"/>
    <w:link w:val="Komentrateksts"/>
    <w:uiPriority w:val="99"/>
    <w:rsid w:val="00D42F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D42F6E"/>
    <w:rPr>
      <w:b/>
      <w:bCs/>
    </w:rPr>
  </w:style>
  <w:style w:type="character" w:customStyle="1" w:styleId="KomentratmaRakstz">
    <w:name w:val="Komentāra tēma Rakstz."/>
    <w:basedOn w:val="KomentratekstsRakstz"/>
    <w:link w:val="Komentratma"/>
    <w:rsid w:val="00D42F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rsid w:val="00D42F6E"/>
    <w:rPr>
      <w:rFonts w:ascii="Tahoma" w:hAnsi="Tahoma" w:cs="Tahoma"/>
      <w:sz w:val="16"/>
      <w:szCs w:val="16"/>
    </w:rPr>
  </w:style>
  <w:style w:type="character" w:customStyle="1" w:styleId="BalontekstsRakstz">
    <w:name w:val="Balonteksts Rakstz."/>
    <w:basedOn w:val="Noklusjumarindkopasfonts"/>
    <w:link w:val="Balonteksts"/>
    <w:rsid w:val="00D42F6E"/>
    <w:rPr>
      <w:rFonts w:ascii="Tahoma" w:eastAsia="Times New Roman" w:hAnsi="Tahoma" w:cs="Tahoma"/>
      <w:sz w:val="16"/>
      <w:szCs w:val="16"/>
      <w:lang w:eastAsia="lv-LV"/>
    </w:rPr>
  </w:style>
  <w:style w:type="paragraph" w:styleId="Pamattekstsaratkpi">
    <w:name w:val="Body Text Indent"/>
    <w:basedOn w:val="Parasts"/>
    <w:link w:val="PamattekstsaratkpiRakstz"/>
    <w:rsid w:val="00D42F6E"/>
    <w:pPr>
      <w:ind w:firstLine="720"/>
      <w:jc w:val="both"/>
    </w:pPr>
    <w:rPr>
      <w:sz w:val="28"/>
      <w:szCs w:val="20"/>
    </w:rPr>
  </w:style>
  <w:style w:type="character" w:customStyle="1" w:styleId="PamattekstsaratkpiRakstz">
    <w:name w:val="Pamatteksts ar atkāpi Rakstz."/>
    <w:basedOn w:val="Noklusjumarindkopasfonts"/>
    <w:link w:val="Pamattekstsaratkpi"/>
    <w:rsid w:val="00D42F6E"/>
    <w:rPr>
      <w:rFonts w:ascii="Times New Roman" w:eastAsia="Times New Roman" w:hAnsi="Times New Roman" w:cs="Times New Roman"/>
      <w:sz w:val="28"/>
      <w:szCs w:val="20"/>
      <w:lang w:eastAsia="lv-LV"/>
    </w:rPr>
  </w:style>
  <w:style w:type="paragraph" w:styleId="Bezatstarpm">
    <w:name w:val="No Spacing"/>
    <w:uiPriority w:val="99"/>
    <w:qFormat/>
    <w:rsid w:val="00D42F6E"/>
    <w:pPr>
      <w:spacing w:after="0" w:line="240" w:lineRule="auto"/>
    </w:pPr>
    <w:rPr>
      <w:rFonts w:ascii="Calibri" w:eastAsia="Calibri" w:hAnsi="Calibri" w:cs="Times New Roman"/>
    </w:rPr>
  </w:style>
  <w:style w:type="character" w:customStyle="1" w:styleId="tvhtml">
    <w:name w:val="tv_html"/>
    <w:rsid w:val="00D42F6E"/>
  </w:style>
  <w:style w:type="character" w:styleId="Hipersaite">
    <w:name w:val="Hyperlink"/>
    <w:uiPriority w:val="99"/>
    <w:rsid w:val="00D42F6E"/>
    <w:rPr>
      <w:color w:val="0000FF"/>
      <w:u w:val="single"/>
    </w:rPr>
  </w:style>
  <w:style w:type="paragraph" w:styleId="Sarakstarindkopa">
    <w:name w:val="List Paragraph"/>
    <w:basedOn w:val="Parasts"/>
    <w:uiPriority w:val="34"/>
    <w:qFormat/>
    <w:rsid w:val="00C71869"/>
    <w:pPr>
      <w:ind w:left="720"/>
      <w:contextualSpacing/>
    </w:pPr>
  </w:style>
  <w:style w:type="character" w:styleId="Vietturateksts">
    <w:name w:val="Placeholder Text"/>
    <w:basedOn w:val="Noklusjumarindkopasfonts"/>
    <w:uiPriority w:val="99"/>
    <w:semiHidden/>
    <w:rsid w:val="00F8075E"/>
    <w:rPr>
      <w:color w:val="808080"/>
    </w:rPr>
  </w:style>
  <w:style w:type="character" w:styleId="Izclums">
    <w:name w:val="Emphasis"/>
    <w:uiPriority w:val="20"/>
    <w:qFormat/>
    <w:rsid w:val="00D646A9"/>
    <w:rPr>
      <w:i/>
      <w:iCs/>
    </w:rPr>
  </w:style>
  <w:style w:type="paragraph" w:styleId="Prskatjums">
    <w:name w:val="Revision"/>
    <w:hidden/>
    <w:uiPriority w:val="99"/>
    <w:semiHidden/>
    <w:rsid w:val="00DE7866"/>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835034"/>
    <w:pPr>
      <w:spacing w:after="120"/>
    </w:pPr>
  </w:style>
  <w:style w:type="character" w:customStyle="1" w:styleId="PamattekstsRakstz">
    <w:name w:val="Pamatteksts Rakstz."/>
    <w:basedOn w:val="Noklusjumarindkopasfonts"/>
    <w:link w:val="Pamatteksts"/>
    <w:uiPriority w:val="99"/>
    <w:semiHidden/>
    <w:rsid w:val="00835034"/>
    <w:rPr>
      <w:rFonts w:ascii="Times New Roman" w:eastAsia="Times New Roman" w:hAnsi="Times New Roman" w:cs="Times New Roman"/>
      <w:sz w:val="24"/>
      <w:szCs w:val="24"/>
      <w:lang w:eastAsia="lv-LV"/>
    </w:rPr>
  </w:style>
  <w:style w:type="table" w:customStyle="1" w:styleId="TableGrid1">
    <w:name w:val="Table Grid1"/>
    <w:basedOn w:val="Parastatabula"/>
    <w:next w:val="Reatabula"/>
    <w:rsid w:val="008350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
    <w:name w:val="Parastais1"/>
    <w:rsid w:val="000577EC"/>
    <w:pPr>
      <w:spacing w:after="0" w:line="240" w:lineRule="auto"/>
    </w:pPr>
    <w:rPr>
      <w:rFonts w:ascii="Times New Roman" w:eastAsia="Times New Roman" w:hAnsi="Times New Roman" w:cs="Times New Roman"/>
      <w:sz w:val="24"/>
      <w:szCs w:val="24"/>
      <w:lang w:val="en-GB"/>
    </w:rPr>
  </w:style>
  <w:style w:type="character" w:styleId="Neatrisintapieminana">
    <w:name w:val="Unresolved Mention"/>
    <w:basedOn w:val="Noklusjumarindkopasfonts"/>
    <w:uiPriority w:val="99"/>
    <w:semiHidden/>
    <w:unhideWhenUsed/>
    <w:rsid w:val="00C83496"/>
    <w:rPr>
      <w:color w:val="605E5C"/>
      <w:shd w:val="clear" w:color="auto" w:fill="E1DFDD"/>
    </w:rPr>
  </w:style>
  <w:style w:type="paragraph" w:customStyle="1" w:styleId="Bezatstarpm1">
    <w:name w:val="Bez atstarpēm1"/>
    <w:basedOn w:val="Parasts"/>
    <w:uiPriority w:val="1"/>
    <w:rsid w:val="00C9508D"/>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837">
      <w:bodyDiv w:val="1"/>
      <w:marLeft w:val="0"/>
      <w:marRight w:val="0"/>
      <w:marTop w:val="0"/>
      <w:marBottom w:val="0"/>
      <w:divBdr>
        <w:top w:val="none" w:sz="0" w:space="0" w:color="auto"/>
        <w:left w:val="none" w:sz="0" w:space="0" w:color="auto"/>
        <w:bottom w:val="none" w:sz="0" w:space="0" w:color="auto"/>
        <w:right w:val="none" w:sz="0" w:space="0" w:color="auto"/>
      </w:divBdr>
    </w:div>
    <w:div w:id="576592519">
      <w:bodyDiv w:val="1"/>
      <w:marLeft w:val="0"/>
      <w:marRight w:val="0"/>
      <w:marTop w:val="0"/>
      <w:marBottom w:val="0"/>
      <w:divBdr>
        <w:top w:val="none" w:sz="0" w:space="0" w:color="auto"/>
        <w:left w:val="none" w:sz="0" w:space="0" w:color="auto"/>
        <w:bottom w:val="none" w:sz="0" w:space="0" w:color="auto"/>
        <w:right w:val="none" w:sz="0" w:space="0" w:color="auto"/>
      </w:divBdr>
    </w:div>
    <w:div w:id="1329409735">
      <w:bodyDiv w:val="1"/>
      <w:marLeft w:val="0"/>
      <w:marRight w:val="0"/>
      <w:marTop w:val="0"/>
      <w:marBottom w:val="0"/>
      <w:divBdr>
        <w:top w:val="none" w:sz="0" w:space="0" w:color="auto"/>
        <w:left w:val="none" w:sz="0" w:space="0" w:color="auto"/>
        <w:bottom w:val="none" w:sz="0" w:space="0" w:color="auto"/>
        <w:right w:val="none" w:sz="0" w:space="0" w:color="auto"/>
      </w:divBdr>
    </w:div>
    <w:div w:id="1889996596">
      <w:bodyDiv w:val="1"/>
      <w:marLeft w:val="0"/>
      <w:marRight w:val="0"/>
      <w:marTop w:val="0"/>
      <w:marBottom w:val="0"/>
      <w:divBdr>
        <w:top w:val="none" w:sz="0" w:space="0" w:color="auto"/>
        <w:left w:val="none" w:sz="0" w:space="0" w:color="auto"/>
        <w:bottom w:val="none" w:sz="0" w:space="0" w:color="auto"/>
        <w:right w:val="none" w:sz="0" w:space="0" w:color="auto"/>
      </w:divBdr>
    </w:div>
    <w:div w:id="2014985675">
      <w:bodyDiv w:val="1"/>
      <w:marLeft w:val="0"/>
      <w:marRight w:val="0"/>
      <w:marTop w:val="0"/>
      <w:marBottom w:val="0"/>
      <w:divBdr>
        <w:top w:val="none" w:sz="0" w:space="0" w:color="auto"/>
        <w:left w:val="none" w:sz="0" w:space="0" w:color="auto"/>
        <w:bottom w:val="none" w:sz="0" w:space="0" w:color="auto"/>
        <w:right w:val="none" w:sz="0" w:space="0" w:color="auto"/>
      </w:divBdr>
      <w:divsChild>
        <w:div w:id="2002195807">
          <w:marLeft w:val="0"/>
          <w:marRight w:val="0"/>
          <w:marTop w:val="0"/>
          <w:marBottom w:val="0"/>
          <w:divBdr>
            <w:top w:val="none" w:sz="0" w:space="0" w:color="auto"/>
            <w:left w:val="none" w:sz="0" w:space="0" w:color="auto"/>
            <w:bottom w:val="none" w:sz="0" w:space="0" w:color="auto"/>
            <w:right w:val="none" w:sz="0" w:space="0" w:color="auto"/>
          </w:divBdr>
          <w:divsChild>
            <w:div w:id="1567641118">
              <w:marLeft w:val="0"/>
              <w:marRight w:val="0"/>
              <w:marTop w:val="0"/>
              <w:marBottom w:val="0"/>
              <w:divBdr>
                <w:top w:val="none" w:sz="0" w:space="0" w:color="auto"/>
                <w:left w:val="none" w:sz="0" w:space="0" w:color="auto"/>
                <w:bottom w:val="none" w:sz="0" w:space="0" w:color="auto"/>
                <w:right w:val="none" w:sz="0" w:space="0" w:color="auto"/>
              </w:divBdr>
              <w:divsChild>
                <w:div w:id="1960213812">
                  <w:marLeft w:val="0"/>
                  <w:marRight w:val="0"/>
                  <w:marTop w:val="0"/>
                  <w:marBottom w:val="0"/>
                  <w:divBdr>
                    <w:top w:val="none" w:sz="0" w:space="0" w:color="auto"/>
                    <w:left w:val="none" w:sz="0" w:space="0" w:color="auto"/>
                    <w:bottom w:val="none" w:sz="0" w:space="0" w:color="auto"/>
                    <w:right w:val="none" w:sz="0" w:space="0" w:color="auto"/>
                  </w:divBdr>
                  <w:divsChild>
                    <w:div w:id="135807521">
                      <w:marLeft w:val="0"/>
                      <w:marRight w:val="0"/>
                      <w:marTop w:val="0"/>
                      <w:marBottom w:val="0"/>
                      <w:divBdr>
                        <w:top w:val="none" w:sz="0" w:space="0" w:color="auto"/>
                        <w:left w:val="none" w:sz="0" w:space="0" w:color="auto"/>
                        <w:bottom w:val="none" w:sz="0" w:space="0" w:color="auto"/>
                        <w:right w:val="none" w:sz="0" w:space="0" w:color="auto"/>
                      </w:divBdr>
                      <w:divsChild>
                        <w:div w:id="1977635116">
                          <w:marLeft w:val="0"/>
                          <w:marRight w:val="0"/>
                          <w:marTop w:val="0"/>
                          <w:marBottom w:val="0"/>
                          <w:divBdr>
                            <w:top w:val="none" w:sz="0" w:space="0" w:color="auto"/>
                            <w:left w:val="none" w:sz="0" w:space="0" w:color="auto"/>
                            <w:bottom w:val="none" w:sz="0" w:space="0" w:color="auto"/>
                            <w:right w:val="none" w:sz="0" w:space="0" w:color="auto"/>
                          </w:divBdr>
                          <w:divsChild>
                            <w:div w:id="1095444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hyperlink" Target="mailto:Inese.Bartule@z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k.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zm.gov.lv/zivsaimnieciba/statiskas-lapas/nozares-darba-grupas-padomes/zivsaimniecibas-konsultativa-padome/protokoli?nid=96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k.gov.lv/lv/content/ministru-kabineta-diskusiju-dokument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E0465-3FA7-4046-8F3B-B54AB0BC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Pages>
  <Words>11819</Words>
  <Characters>6737</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Par Ministru kabineta noteikumu projektu</vt:lpstr>
    </vt:vector>
  </TitlesOfParts>
  <Company>Zemkopības Ministrija</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Inese Bārtule</dc:creator>
  <dc:description>Bārtule 67027525 Inese.Bartule@zm.gov.lv</dc:description>
  <cp:lastModifiedBy>Kristiāna Sebre</cp:lastModifiedBy>
  <cp:revision>22</cp:revision>
  <cp:lastPrinted>2019-10-08T06:45:00Z</cp:lastPrinted>
  <dcterms:created xsi:type="dcterms:W3CDTF">2018-12-03T10:02:00Z</dcterms:created>
  <dcterms:modified xsi:type="dcterms:W3CDTF">2019-11-26T09:42:00Z</dcterms:modified>
</cp:coreProperties>
</file>