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C32CB" w14:textId="66B93E4D" w:rsidR="004867B7" w:rsidRDefault="000644F2" w:rsidP="004867B7">
      <w:pPr>
        <w:pStyle w:val="Heading2"/>
        <w:numPr>
          <w:ilvl w:val="0"/>
          <w:numId w:val="0"/>
        </w:numPr>
        <w:jc w:val="center"/>
        <w:rPr>
          <w:sz w:val="28"/>
        </w:rPr>
      </w:pPr>
      <w:bookmarkStart w:id="0" w:name="_Hlk494896082"/>
      <w:r w:rsidRPr="00E421F8">
        <w:rPr>
          <w:color w:val="000000"/>
          <w:sz w:val="28"/>
          <w:szCs w:val="28"/>
          <w:lang w:eastAsia="lv-LV"/>
        </w:rPr>
        <w:t>Izziņa par atzinumos sniegtajiem iebildumiem</w:t>
      </w:r>
      <w:r w:rsidR="0084021D" w:rsidRPr="00E421F8">
        <w:rPr>
          <w:color w:val="000000"/>
          <w:sz w:val="28"/>
          <w:szCs w:val="28"/>
          <w:lang w:eastAsia="lv-LV"/>
        </w:rPr>
        <w:t xml:space="preserve"> </w:t>
      </w:r>
      <w:r w:rsidR="004867B7">
        <w:rPr>
          <w:color w:val="000000"/>
          <w:sz w:val="28"/>
          <w:szCs w:val="28"/>
          <w:lang w:eastAsia="lv-LV"/>
        </w:rPr>
        <w:t>par</w:t>
      </w:r>
      <w:r w:rsidR="00E415FE" w:rsidRPr="00E421F8">
        <w:rPr>
          <w:color w:val="000000"/>
          <w:sz w:val="28"/>
          <w:szCs w:val="28"/>
          <w:lang w:eastAsia="lv-LV"/>
        </w:rPr>
        <w:t xml:space="preserve"> </w:t>
      </w:r>
      <w:bookmarkEnd w:id="0"/>
      <w:r w:rsidR="004867B7">
        <w:rPr>
          <w:sz w:val="28"/>
        </w:rPr>
        <w:t>Informatīvo ziņojumu</w:t>
      </w:r>
    </w:p>
    <w:p w14:paraId="3466B3EB" w14:textId="155F322E" w:rsidR="00560A89" w:rsidRPr="00603F84" w:rsidRDefault="00603F84" w:rsidP="00603F84">
      <w:pPr>
        <w:pStyle w:val="Heading2"/>
        <w:numPr>
          <w:ilvl w:val="0"/>
          <w:numId w:val="0"/>
        </w:numPr>
        <w:jc w:val="center"/>
        <w:rPr>
          <w:sz w:val="28"/>
        </w:rPr>
      </w:pPr>
      <w:r w:rsidRPr="00603F84">
        <w:rPr>
          <w:sz w:val="28"/>
        </w:rPr>
        <w:t xml:space="preserve">“Par Eiropas Komisijas </w:t>
      </w:r>
      <w:r w:rsidRPr="00603F84">
        <w:rPr>
          <w:i/>
          <w:iCs/>
          <w:sz w:val="28"/>
        </w:rPr>
        <w:t xml:space="preserve">Eurostat </w:t>
      </w:r>
      <w:r w:rsidRPr="00603F84">
        <w:rPr>
          <w:sz w:val="28"/>
        </w:rPr>
        <w:t>grantu projektu finansējumu un lauksaimniecības skaitīšanām nepieciešamo līdzfinansējumu”</w:t>
      </w:r>
    </w:p>
    <w:p w14:paraId="6310FAD6" w14:textId="77777777" w:rsidR="003D15AD" w:rsidRDefault="003D15AD" w:rsidP="00475310">
      <w:pPr>
        <w:spacing w:line="240" w:lineRule="auto"/>
        <w:jc w:val="center"/>
        <w:rPr>
          <w:rFonts w:ascii="Times New Roman" w:eastAsia="Times New Roman" w:hAnsi="Times New Roman"/>
          <w:b/>
          <w:bCs/>
          <w:sz w:val="28"/>
          <w:szCs w:val="28"/>
          <w:lang w:eastAsia="lv-LV"/>
        </w:rPr>
      </w:pPr>
    </w:p>
    <w:p w14:paraId="1D73D3FD" w14:textId="7CA46759" w:rsidR="000C6764" w:rsidRDefault="000C6764" w:rsidP="00475310">
      <w:pPr>
        <w:spacing w:line="240" w:lineRule="auto"/>
        <w:jc w:val="center"/>
        <w:rPr>
          <w:rFonts w:ascii="Times New Roman" w:eastAsia="Times New Roman" w:hAnsi="Times New Roman"/>
          <w:b/>
          <w:bCs/>
          <w:color w:val="000000"/>
          <w:sz w:val="24"/>
          <w:szCs w:val="24"/>
          <w:lang w:eastAsia="lv-LV"/>
        </w:rPr>
      </w:pPr>
      <w:r w:rsidRPr="00475310">
        <w:rPr>
          <w:rFonts w:ascii="Times New Roman" w:eastAsia="Times New Roman" w:hAnsi="Times New Roman"/>
          <w:b/>
          <w:bCs/>
          <w:color w:val="000000"/>
          <w:sz w:val="24"/>
          <w:szCs w:val="24"/>
          <w:lang w:eastAsia="lv-LV"/>
        </w:rPr>
        <w:t>Informācija par starpministriju (starpinstitūciju) sanāksmi vai elektronisko saskaņošanu</w:t>
      </w:r>
    </w:p>
    <w:p w14:paraId="4A1DB46C" w14:textId="77777777" w:rsidR="00603F84" w:rsidRDefault="00603F84" w:rsidP="00475310">
      <w:pPr>
        <w:spacing w:line="240" w:lineRule="auto"/>
        <w:jc w:val="center"/>
        <w:rPr>
          <w:rFonts w:ascii="Times New Roman" w:eastAsia="Times New Roman" w:hAnsi="Times New Roman"/>
          <w:b/>
          <w:bCs/>
          <w:sz w:val="28"/>
          <w:szCs w:val="28"/>
          <w:lang w:eastAsia="lv-LV"/>
        </w:rPr>
      </w:pP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628"/>
        <w:gridCol w:w="1051"/>
        <w:gridCol w:w="3201"/>
        <w:gridCol w:w="1560"/>
      </w:tblGrid>
      <w:tr w:rsidR="000C6764" w:rsidRPr="00475310" w14:paraId="701493AB" w14:textId="77777777" w:rsidTr="007864F9">
        <w:trPr>
          <w:gridAfter w:val="1"/>
          <w:wAfter w:w="1560" w:type="dxa"/>
        </w:trPr>
        <w:tc>
          <w:tcPr>
            <w:tcW w:w="4161" w:type="dxa"/>
          </w:tcPr>
          <w:p w14:paraId="7F984821"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Datums</w:t>
            </w:r>
          </w:p>
        </w:tc>
        <w:tc>
          <w:tcPr>
            <w:tcW w:w="4628" w:type="dxa"/>
            <w:tcBorders>
              <w:bottom w:val="single" w:sz="4" w:space="0" w:color="auto"/>
            </w:tcBorders>
          </w:tcPr>
          <w:p w14:paraId="1014152C" w14:textId="4CFAF045"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Elektroniskā saskaņošana</w:t>
            </w:r>
            <w:r w:rsidR="005564B6">
              <w:rPr>
                <w:rFonts w:ascii="Times New Roman" w:eastAsia="Times New Roman" w:hAnsi="Times New Roman"/>
                <w:color w:val="000000"/>
                <w:sz w:val="24"/>
                <w:szCs w:val="24"/>
                <w:lang w:eastAsia="lv-LV"/>
              </w:rPr>
              <w:t xml:space="preserve">: </w:t>
            </w:r>
            <w:r w:rsidR="00CA5B27">
              <w:rPr>
                <w:rFonts w:ascii="Times New Roman" w:eastAsia="Times New Roman" w:hAnsi="Times New Roman"/>
                <w:color w:val="000000"/>
                <w:sz w:val="24"/>
                <w:szCs w:val="24"/>
                <w:lang w:eastAsia="lv-LV"/>
              </w:rPr>
              <w:t>03.12.</w:t>
            </w:r>
            <w:r w:rsidR="00603F84">
              <w:rPr>
                <w:rFonts w:ascii="Times New Roman" w:eastAsia="Times New Roman" w:hAnsi="Times New Roman"/>
                <w:color w:val="000000"/>
                <w:sz w:val="24"/>
                <w:szCs w:val="24"/>
                <w:lang w:eastAsia="lv-LV"/>
              </w:rPr>
              <w:t>-05.12.</w:t>
            </w:r>
            <w:r w:rsidR="00CA5B27">
              <w:rPr>
                <w:rFonts w:ascii="Times New Roman" w:eastAsia="Times New Roman" w:hAnsi="Times New Roman"/>
                <w:color w:val="000000"/>
                <w:sz w:val="24"/>
                <w:szCs w:val="24"/>
                <w:lang w:eastAsia="lv-LV"/>
              </w:rPr>
              <w:t>2019.</w:t>
            </w:r>
          </w:p>
        </w:tc>
        <w:tc>
          <w:tcPr>
            <w:tcW w:w="4252" w:type="dxa"/>
            <w:gridSpan w:val="2"/>
          </w:tcPr>
          <w:p w14:paraId="6D7D0423"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78F726FA" w14:textId="77777777" w:rsidTr="007864F9">
        <w:trPr>
          <w:gridAfter w:val="1"/>
          <w:wAfter w:w="1560" w:type="dxa"/>
        </w:trPr>
        <w:tc>
          <w:tcPr>
            <w:tcW w:w="4161" w:type="dxa"/>
          </w:tcPr>
          <w:p w14:paraId="6072091F"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628" w:type="dxa"/>
            <w:tcBorders>
              <w:top w:val="single" w:sz="4" w:space="0" w:color="auto"/>
            </w:tcBorders>
          </w:tcPr>
          <w:p w14:paraId="11D4C9CC"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Pr>
          <w:p w14:paraId="2B4E614A"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4867B7" w:rsidRPr="00475310" w14:paraId="6C9A5A85" w14:textId="77777777" w:rsidTr="007864F9">
        <w:trPr>
          <w:gridAfter w:val="1"/>
          <w:wAfter w:w="1560" w:type="dxa"/>
        </w:trPr>
        <w:tc>
          <w:tcPr>
            <w:tcW w:w="4161" w:type="dxa"/>
          </w:tcPr>
          <w:p w14:paraId="3C9F2F85" w14:textId="77777777"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Saskaņošanas dalībnieki</w:t>
            </w:r>
          </w:p>
        </w:tc>
        <w:tc>
          <w:tcPr>
            <w:tcW w:w="4628" w:type="dxa"/>
            <w:tcBorders>
              <w:bottom w:val="single" w:sz="4" w:space="0" w:color="auto"/>
            </w:tcBorders>
          </w:tcPr>
          <w:p w14:paraId="41EECDF8" w14:textId="73644E5D"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Tieslietu ministrija</w:t>
            </w:r>
            <w:r>
              <w:rPr>
                <w:rFonts w:ascii="Times New Roman" w:eastAsia="Times New Roman" w:hAnsi="Times New Roman"/>
                <w:color w:val="000000"/>
                <w:sz w:val="24"/>
                <w:szCs w:val="24"/>
                <w:lang w:eastAsia="lv-LV"/>
              </w:rPr>
              <w:t>, Finanšu ministrija</w:t>
            </w:r>
          </w:p>
        </w:tc>
        <w:tc>
          <w:tcPr>
            <w:tcW w:w="4252" w:type="dxa"/>
            <w:gridSpan w:val="2"/>
            <w:tcBorders>
              <w:bottom w:val="single" w:sz="4" w:space="0" w:color="auto"/>
            </w:tcBorders>
          </w:tcPr>
          <w:p w14:paraId="016075F8" w14:textId="47D03ED2"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p>
        </w:tc>
      </w:tr>
      <w:tr w:rsidR="004867B7" w:rsidRPr="00475310" w14:paraId="22196701" w14:textId="77777777" w:rsidTr="007864F9">
        <w:trPr>
          <w:gridAfter w:val="4"/>
          <w:wAfter w:w="10440" w:type="dxa"/>
        </w:trPr>
        <w:tc>
          <w:tcPr>
            <w:tcW w:w="4161" w:type="dxa"/>
          </w:tcPr>
          <w:p w14:paraId="788F9FB1" w14:textId="77777777"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p>
        </w:tc>
      </w:tr>
      <w:tr w:rsidR="004867B7" w:rsidRPr="00475310" w14:paraId="3A0A3F61" w14:textId="77777777" w:rsidTr="007864F9">
        <w:trPr>
          <w:gridAfter w:val="1"/>
          <w:wAfter w:w="1560" w:type="dxa"/>
        </w:trPr>
        <w:tc>
          <w:tcPr>
            <w:tcW w:w="4161" w:type="dxa"/>
          </w:tcPr>
          <w:p w14:paraId="6F90D69A" w14:textId="77777777" w:rsidR="004867B7" w:rsidRDefault="004867B7" w:rsidP="004867B7">
            <w:pPr>
              <w:spacing w:before="100" w:beforeAutospacing="1" w:after="100" w:afterAutospacing="1"/>
              <w:ind w:firstLine="720"/>
              <w:rPr>
                <w:rFonts w:ascii="Times New Roman" w:eastAsia="Times New Roman" w:hAnsi="Times New Roman"/>
                <w:color w:val="000000"/>
                <w:sz w:val="24"/>
                <w:szCs w:val="24"/>
                <w:lang w:eastAsia="lv-LV"/>
              </w:rPr>
            </w:pPr>
          </w:p>
          <w:p w14:paraId="2285CE2E" w14:textId="77777777" w:rsidR="004867B7" w:rsidRPr="0036593F" w:rsidRDefault="004867B7" w:rsidP="004867B7">
            <w:pPr>
              <w:rPr>
                <w:rFonts w:ascii="Times New Roman" w:eastAsia="Times New Roman" w:hAnsi="Times New Roman"/>
                <w:sz w:val="24"/>
                <w:szCs w:val="24"/>
                <w:lang w:eastAsia="lv-LV"/>
              </w:rPr>
            </w:pPr>
          </w:p>
        </w:tc>
        <w:tc>
          <w:tcPr>
            <w:tcW w:w="4628" w:type="dxa"/>
            <w:tcBorders>
              <w:top w:val="single" w:sz="4" w:space="0" w:color="auto"/>
            </w:tcBorders>
          </w:tcPr>
          <w:p w14:paraId="0243747C" w14:textId="77777777"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Borders>
              <w:top w:val="single" w:sz="4" w:space="0" w:color="auto"/>
            </w:tcBorders>
          </w:tcPr>
          <w:p w14:paraId="70D86E3E" w14:textId="77777777"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p>
        </w:tc>
      </w:tr>
      <w:tr w:rsidR="004867B7" w:rsidRPr="00475310" w14:paraId="04330629" w14:textId="77777777" w:rsidTr="007864F9">
        <w:trPr>
          <w:gridAfter w:val="1"/>
          <w:wAfter w:w="1560" w:type="dxa"/>
        </w:trPr>
        <w:tc>
          <w:tcPr>
            <w:tcW w:w="8789" w:type="dxa"/>
            <w:gridSpan w:val="2"/>
          </w:tcPr>
          <w:p w14:paraId="362E4A93" w14:textId="77777777" w:rsidR="004867B7" w:rsidRDefault="004867B7" w:rsidP="004867B7">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Saskaņošanas dalībnieki izskatīja šādu ministriju (citu institūciju) iebildumus</w:t>
            </w:r>
          </w:p>
          <w:p w14:paraId="28EFB72E" w14:textId="77777777" w:rsidR="004867B7" w:rsidRPr="00A012F5" w:rsidRDefault="004867B7" w:rsidP="004867B7">
            <w:pPr>
              <w:rPr>
                <w:rFonts w:ascii="Times New Roman" w:eastAsia="Times New Roman" w:hAnsi="Times New Roman"/>
                <w:sz w:val="24"/>
                <w:szCs w:val="24"/>
                <w:lang w:eastAsia="lv-LV"/>
              </w:rPr>
            </w:pPr>
          </w:p>
        </w:tc>
        <w:tc>
          <w:tcPr>
            <w:tcW w:w="4252" w:type="dxa"/>
            <w:gridSpan w:val="2"/>
            <w:tcBorders>
              <w:bottom w:val="single" w:sz="4" w:space="0" w:color="auto"/>
            </w:tcBorders>
          </w:tcPr>
          <w:p w14:paraId="0F532805" w14:textId="443A1935"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bCs/>
                <w:color w:val="000000"/>
                <w:sz w:val="24"/>
                <w:szCs w:val="24"/>
                <w:lang w:eastAsia="lv-LV"/>
              </w:rPr>
              <w:t xml:space="preserve">Tieslietu ministrijas </w:t>
            </w:r>
            <w:r>
              <w:rPr>
                <w:rFonts w:ascii="Times New Roman" w:eastAsia="Times New Roman" w:hAnsi="Times New Roman"/>
                <w:color w:val="000000"/>
                <w:sz w:val="24"/>
                <w:szCs w:val="24"/>
                <w:lang w:eastAsia="lv-LV"/>
              </w:rPr>
              <w:t>iebildumus</w:t>
            </w:r>
          </w:p>
        </w:tc>
      </w:tr>
      <w:tr w:rsidR="004867B7" w:rsidRPr="00475310" w14:paraId="40892977" w14:textId="77777777" w:rsidTr="007864F9">
        <w:trPr>
          <w:gridAfter w:val="1"/>
          <w:wAfter w:w="1560" w:type="dxa"/>
        </w:trPr>
        <w:tc>
          <w:tcPr>
            <w:tcW w:w="8789" w:type="dxa"/>
            <w:gridSpan w:val="2"/>
          </w:tcPr>
          <w:p w14:paraId="34800B2B" w14:textId="77777777"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Borders>
              <w:bottom w:val="single" w:sz="4" w:space="0" w:color="auto"/>
            </w:tcBorders>
          </w:tcPr>
          <w:p w14:paraId="2F3933E8" w14:textId="77777777"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p>
        </w:tc>
      </w:tr>
      <w:tr w:rsidR="004867B7" w:rsidRPr="00475310" w14:paraId="09B258F8" w14:textId="77777777" w:rsidTr="007864F9">
        <w:trPr>
          <w:gridAfter w:val="1"/>
          <w:wAfter w:w="1560" w:type="dxa"/>
        </w:trPr>
        <w:tc>
          <w:tcPr>
            <w:tcW w:w="8789" w:type="dxa"/>
            <w:gridSpan w:val="2"/>
          </w:tcPr>
          <w:p w14:paraId="6908A06E" w14:textId="77777777"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Borders>
              <w:bottom w:val="single" w:sz="4" w:space="0" w:color="auto"/>
            </w:tcBorders>
          </w:tcPr>
          <w:p w14:paraId="0AFF92E0" w14:textId="77777777"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p>
        </w:tc>
      </w:tr>
      <w:tr w:rsidR="004867B7" w:rsidRPr="00475310" w14:paraId="7FB1F77C" w14:textId="77777777" w:rsidTr="007864F9">
        <w:tc>
          <w:tcPr>
            <w:tcW w:w="9840" w:type="dxa"/>
            <w:gridSpan w:val="3"/>
          </w:tcPr>
          <w:p w14:paraId="1A0BE169" w14:textId="77777777"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Ministrijas (citas institūcijas), kuras nav ieradušās uz sanāksmi vai kuras nav atbildējušas uz uzaicinājumu piedalīties elektroniskajā saskaņošanā</w:t>
            </w:r>
          </w:p>
          <w:p w14:paraId="54D33F47" w14:textId="77777777"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p>
        </w:tc>
        <w:tc>
          <w:tcPr>
            <w:tcW w:w="4761" w:type="dxa"/>
            <w:gridSpan w:val="2"/>
          </w:tcPr>
          <w:p w14:paraId="472F613B" w14:textId="77777777" w:rsidR="004867B7" w:rsidRPr="00475310" w:rsidRDefault="004867B7" w:rsidP="004867B7">
            <w:pPr>
              <w:spacing w:before="100" w:beforeAutospacing="1" w:after="100" w:afterAutospacing="1"/>
              <w:rPr>
                <w:rFonts w:ascii="Times New Roman" w:eastAsia="Times New Roman" w:hAnsi="Times New Roman"/>
                <w:color w:val="000000"/>
                <w:sz w:val="24"/>
                <w:szCs w:val="24"/>
                <w:lang w:eastAsia="lv-LV"/>
              </w:rPr>
            </w:pPr>
          </w:p>
        </w:tc>
      </w:tr>
    </w:tbl>
    <w:p w14:paraId="2A9108B4" w14:textId="77777777" w:rsidR="00D21B6B" w:rsidRPr="00D21B6B" w:rsidRDefault="00D21B6B" w:rsidP="00D05123">
      <w:pPr>
        <w:rPr>
          <w:rFonts w:ascii="Times New Roman" w:eastAsia="Times New Roman" w:hAnsi="Times New Roman"/>
          <w:sz w:val="28"/>
          <w:szCs w:val="28"/>
          <w:lang w:eastAsia="lv-LV"/>
        </w:rPr>
      </w:pPr>
    </w:p>
    <w:tbl>
      <w:tblPr>
        <w:tblStyle w:val="TableGrid"/>
        <w:tblW w:w="15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7"/>
      </w:tblGrid>
      <w:tr w:rsidR="000C6764" w:rsidRPr="00475310" w14:paraId="46136981" w14:textId="77777777" w:rsidTr="0000024A">
        <w:tc>
          <w:tcPr>
            <w:tcW w:w="15177" w:type="dxa"/>
          </w:tcPr>
          <w:p w14:paraId="68F3435F" w14:textId="77777777" w:rsidR="00BB0A4D" w:rsidRPr="00631346" w:rsidRDefault="00BB0A4D" w:rsidP="00631346">
            <w:pPr>
              <w:spacing w:before="100" w:beforeAutospacing="1" w:after="100" w:afterAutospacing="1"/>
              <w:rPr>
                <w:rFonts w:ascii="Times New Roman" w:eastAsia="Times New Roman" w:hAnsi="Times New Roman"/>
                <w:b/>
                <w:color w:val="000000"/>
                <w:sz w:val="24"/>
                <w:szCs w:val="24"/>
                <w:lang w:eastAsia="lv-LV"/>
              </w:rPr>
            </w:pPr>
          </w:p>
          <w:p w14:paraId="22350887" w14:textId="397B1EA1" w:rsidR="004867B7" w:rsidRDefault="00A34645" w:rsidP="00A34645">
            <w:pPr>
              <w:tabs>
                <w:tab w:val="left" w:pos="660"/>
              </w:tabs>
              <w:spacing w:before="100" w:beforeAutospacing="1" w:after="100" w:afterAutospacing="1"/>
              <w:rPr>
                <w:rFonts w:ascii="Times New Roman" w:eastAsia="Times New Roman" w:hAnsi="Times New Roman"/>
                <w:b/>
                <w:color w:val="000000"/>
                <w:sz w:val="24"/>
                <w:szCs w:val="24"/>
                <w:lang w:eastAsia="lv-LV"/>
              </w:rPr>
            </w:pPr>
            <w:r>
              <w:rPr>
                <w:rFonts w:ascii="Times New Roman" w:eastAsia="Times New Roman" w:hAnsi="Times New Roman"/>
                <w:b/>
                <w:color w:val="000000"/>
                <w:sz w:val="24"/>
                <w:szCs w:val="24"/>
                <w:lang w:eastAsia="lv-LV"/>
              </w:rPr>
              <w:tab/>
            </w:r>
          </w:p>
          <w:p w14:paraId="182CFBC8" w14:textId="03E5CEA3" w:rsidR="000C6764" w:rsidRPr="00475310" w:rsidRDefault="000C6764" w:rsidP="0000024A">
            <w:pPr>
              <w:spacing w:before="100" w:beforeAutospacing="1" w:after="100" w:afterAutospacing="1"/>
              <w:jc w:val="center"/>
              <w:rPr>
                <w:rFonts w:ascii="Times New Roman" w:eastAsia="Times New Roman" w:hAnsi="Times New Roman"/>
                <w:b/>
                <w:color w:val="000000"/>
                <w:sz w:val="24"/>
                <w:szCs w:val="24"/>
                <w:lang w:eastAsia="lv-LV"/>
              </w:rPr>
            </w:pPr>
            <w:r w:rsidRPr="00475310">
              <w:rPr>
                <w:rFonts w:ascii="Times New Roman" w:eastAsia="Times New Roman" w:hAnsi="Times New Roman"/>
                <w:b/>
                <w:color w:val="000000"/>
                <w:sz w:val="24"/>
                <w:szCs w:val="24"/>
                <w:lang w:eastAsia="lv-LV"/>
              </w:rPr>
              <w:lastRenderedPageBreak/>
              <w:t>II. Jautājumi, par kuriem saskaņošanā vienošanās ir panākta</w:t>
            </w:r>
          </w:p>
          <w:tbl>
            <w:tblPr>
              <w:tblStyle w:val="TableGrid"/>
              <w:tblW w:w="14601" w:type="dxa"/>
              <w:tblLook w:val="04A0" w:firstRow="1" w:lastRow="0" w:firstColumn="1" w:lastColumn="0" w:noHBand="0" w:noVBand="1"/>
            </w:tblPr>
            <w:tblGrid>
              <w:gridCol w:w="576"/>
              <w:gridCol w:w="3722"/>
              <w:gridCol w:w="4203"/>
              <w:gridCol w:w="2450"/>
              <w:gridCol w:w="3650"/>
            </w:tblGrid>
            <w:tr w:rsidR="0000024A" w:rsidRPr="00475310" w14:paraId="1FA88F53" w14:textId="77777777" w:rsidTr="004C415E">
              <w:tc>
                <w:tcPr>
                  <w:tcW w:w="576" w:type="dxa"/>
                </w:tcPr>
                <w:p w14:paraId="40088FAD"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Nr. p.k.</w:t>
                  </w:r>
                </w:p>
              </w:tc>
              <w:tc>
                <w:tcPr>
                  <w:tcW w:w="3722" w:type="dxa"/>
                </w:tcPr>
                <w:p w14:paraId="237CC334"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Saskaņošanai nosūtītā projekta redakcija (konkrēta punkta (panta) redakcija)</w:t>
                  </w:r>
                </w:p>
              </w:tc>
              <w:tc>
                <w:tcPr>
                  <w:tcW w:w="4203" w:type="dxa"/>
                </w:tcPr>
                <w:p w14:paraId="04597630"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Atzinumā norādītais ministrijas (citas institūcijas) iebildums, kā arī saskaņošanā papildus izteiktais iebildums par projekta konkrēto punktu (pantu)</w:t>
                  </w:r>
                </w:p>
              </w:tc>
              <w:tc>
                <w:tcPr>
                  <w:tcW w:w="2450" w:type="dxa"/>
                </w:tcPr>
                <w:p w14:paraId="7717D02C"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Atbildīgās ministrijas norāde par to, ka iebildums ir ņemts vērā, vai informācija par saskaņošanā panākto alternatīvo risinājumu</w:t>
                  </w:r>
                </w:p>
              </w:tc>
              <w:tc>
                <w:tcPr>
                  <w:tcW w:w="3650" w:type="dxa"/>
                </w:tcPr>
                <w:p w14:paraId="679A25C9"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Projekta attiecīgā punkta (panta) galīgā redakcija</w:t>
                  </w:r>
                </w:p>
              </w:tc>
            </w:tr>
            <w:tr w:rsidR="0000024A" w:rsidRPr="00475310" w14:paraId="4D1B6C1C" w14:textId="77777777" w:rsidTr="004C415E">
              <w:trPr>
                <w:trHeight w:val="447"/>
              </w:trPr>
              <w:tc>
                <w:tcPr>
                  <w:tcW w:w="576" w:type="dxa"/>
                </w:tcPr>
                <w:p w14:paraId="208F2DEF"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1</w:t>
                  </w:r>
                </w:p>
              </w:tc>
              <w:tc>
                <w:tcPr>
                  <w:tcW w:w="3722" w:type="dxa"/>
                </w:tcPr>
                <w:p w14:paraId="2FE1E7F1" w14:textId="77777777" w:rsidR="0000024A" w:rsidRPr="00475310" w:rsidRDefault="0000024A" w:rsidP="0000024A">
                  <w:pPr>
                    <w:tabs>
                      <w:tab w:val="left" w:pos="688"/>
                      <w:tab w:val="center" w:pos="2025"/>
                    </w:tabs>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ab/>
                  </w:r>
                  <w:r w:rsidRPr="00475310">
                    <w:rPr>
                      <w:rFonts w:ascii="Times New Roman" w:eastAsia="Times New Roman" w:hAnsi="Times New Roman"/>
                      <w:color w:val="000000"/>
                      <w:sz w:val="24"/>
                      <w:szCs w:val="24"/>
                      <w:lang w:eastAsia="lv-LV"/>
                    </w:rPr>
                    <w:tab/>
                    <w:t>2</w:t>
                  </w:r>
                </w:p>
              </w:tc>
              <w:tc>
                <w:tcPr>
                  <w:tcW w:w="4203" w:type="dxa"/>
                </w:tcPr>
                <w:p w14:paraId="088BD249"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3</w:t>
                  </w:r>
                </w:p>
              </w:tc>
              <w:tc>
                <w:tcPr>
                  <w:tcW w:w="2450" w:type="dxa"/>
                </w:tcPr>
                <w:p w14:paraId="770EE3CD"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4</w:t>
                  </w:r>
                </w:p>
              </w:tc>
              <w:tc>
                <w:tcPr>
                  <w:tcW w:w="3650" w:type="dxa"/>
                </w:tcPr>
                <w:p w14:paraId="114632E6"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5</w:t>
                  </w:r>
                </w:p>
              </w:tc>
            </w:tr>
            <w:tr w:rsidR="004C415E" w:rsidRPr="00475310" w14:paraId="374D6B1F" w14:textId="77777777" w:rsidTr="004C415E">
              <w:trPr>
                <w:trHeight w:val="447"/>
              </w:trPr>
              <w:tc>
                <w:tcPr>
                  <w:tcW w:w="576" w:type="dxa"/>
                </w:tcPr>
                <w:p w14:paraId="300F3DBF" w14:textId="77777777" w:rsidR="004C415E" w:rsidRPr="00475310" w:rsidRDefault="004C415E" w:rsidP="004C415E">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1.</w:t>
                  </w:r>
                </w:p>
              </w:tc>
              <w:tc>
                <w:tcPr>
                  <w:tcW w:w="3722" w:type="dxa"/>
                </w:tcPr>
                <w:p w14:paraId="53C09E7A" w14:textId="43DD0E4D" w:rsidR="004C415E" w:rsidRPr="00475310" w:rsidRDefault="004C415E" w:rsidP="004C415E">
                  <w:pPr>
                    <w:spacing w:before="100" w:beforeAutospacing="1" w:after="100" w:afterAutospacing="1"/>
                    <w:jc w:val="both"/>
                    <w:rPr>
                      <w:rFonts w:ascii="Times New Roman" w:eastAsia="Times New Roman" w:hAnsi="Times New Roman"/>
                      <w:color w:val="000000"/>
                      <w:sz w:val="24"/>
                      <w:szCs w:val="24"/>
                      <w:lang w:eastAsia="lv-LV"/>
                    </w:rPr>
                  </w:pPr>
                  <w:r>
                    <w:rPr>
                      <w:rFonts w:ascii="Times New Roman" w:hAnsi="Times New Roman"/>
                      <w:sz w:val="24"/>
                      <w:szCs w:val="24"/>
                    </w:rPr>
                    <w:t>Informatīvā ziņojuma 4.3.sadaļa</w:t>
                  </w:r>
                </w:p>
              </w:tc>
              <w:tc>
                <w:tcPr>
                  <w:tcW w:w="4203" w:type="dxa"/>
                </w:tcPr>
                <w:p w14:paraId="1F8CA336" w14:textId="1C3B5AA5" w:rsidR="004C415E" w:rsidRPr="004C415E" w:rsidRDefault="004C415E" w:rsidP="004C415E">
                  <w:pPr>
                    <w:spacing w:after="0"/>
                    <w:rPr>
                      <w:rFonts w:ascii="Times New Roman" w:hAnsi="Times New Roman"/>
                      <w:b/>
                      <w:color w:val="000000"/>
                      <w:sz w:val="24"/>
                      <w:szCs w:val="24"/>
                      <w:lang w:eastAsia="lv-LV" w:bidi="lo-LA"/>
                    </w:rPr>
                  </w:pPr>
                  <w:r w:rsidRPr="004C415E">
                    <w:rPr>
                      <w:rFonts w:ascii="Times New Roman" w:hAnsi="Times New Roman"/>
                      <w:b/>
                      <w:color w:val="000000"/>
                      <w:sz w:val="24"/>
                      <w:szCs w:val="24"/>
                      <w:lang w:eastAsia="lv-LV" w:bidi="lo-LA"/>
                    </w:rPr>
                    <w:t>Tieslietu ministrija</w:t>
                  </w:r>
                </w:p>
                <w:p w14:paraId="2967AC9A" w14:textId="77777777" w:rsidR="004C415E" w:rsidRPr="004C415E" w:rsidRDefault="004C415E" w:rsidP="004C415E">
                  <w:pPr>
                    <w:ind w:firstLine="720"/>
                    <w:rPr>
                      <w:rFonts w:ascii="Times New Roman" w:eastAsia="Times New Roman" w:hAnsi="Times New Roman"/>
                      <w:iCs/>
                      <w:sz w:val="24"/>
                      <w:szCs w:val="24"/>
                      <w:lang w:eastAsia="lv-LV"/>
                    </w:rPr>
                  </w:pPr>
                  <w:r w:rsidRPr="004C415E">
                    <w:rPr>
                      <w:rFonts w:ascii="Times New Roman" w:eastAsia="Times New Roman" w:hAnsi="Times New Roman"/>
                      <w:iCs/>
                      <w:sz w:val="24"/>
                      <w:szCs w:val="24"/>
                      <w:lang w:eastAsia="lv-LV"/>
                    </w:rPr>
                    <w:t>Lūdzam izvērtēt nepieciešamību ziņojumā izvērsti raksturot iespējamās soda sankcijas Eiropas Savienības tiesību aktu pārkāpumu gadījumā, tai skaitā ņemot vērā arī iespējamās izmaiņas nākotnē. Ja tas tomēr nepieciešams, ziņojumā ietvertās problemātikas korektam atspoguļojumam, lūdzam precizēt tā 4.3. sadaļā "Soda sankcijas par Regulas prasību neizpildi" ietverto informāciju, proti,:</w:t>
                  </w:r>
                </w:p>
                <w:p w14:paraId="09556691" w14:textId="77777777" w:rsidR="004C415E" w:rsidRPr="004C415E" w:rsidRDefault="004C415E" w:rsidP="004C415E">
                  <w:pPr>
                    <w:ind w:firstLine="720"/>
                    <w:rPr>
                      <w:rFonts w:ascii="Times New Roman" w:eastAsia="Times New Roman" w:hAnsi="Times New Roman"/>
                      <w:iCs/>
                      <w:sz w:val="24"/>
                      <w:szCs w:val="24"/>
                      <w:lang w:eastAsia="lv-LV"/>
                    </w:rPr>
                  </w:pPr>
                  <w:r w:rsidRPr="004C415E">
                    <w:rPr>
                      <w:rFonts w:ascii="Times New Roman" w:eastAsia="Times New Roman" w:hAnsi="Times New Roman"/>
                      <w:iCs/>
                      <w:sz w:val="24"/>
                      <w:szCs w:val="24"/>
                      <w:lang w:eastAsia="lv-LV"/>
                    </w:rPr>
                    <w:t xml:space="preserve">pirmkārt, atbilstoši Līguma par Eiropas Savienības darbību 260. panta 3. punktam, ja Eiropas Komisija (turpmāk – Komisija) saskaņā ar 258. pantu ierosina lietu Eiropas Savienības tiesā par to, ka attiecīga dalībvalsts nav izpildījusi pienākumu </w:t>
                  </w:r>
                  <w:r w:rsidRPr="004C415E">
                    <w:rPr>
                      <w:rFonts w:ascii="Times New Roman" w:eastAsia="Times New Roman" w:hAnsi="Times New Roman"/>
                      <w:iCs/>
                      <w:sz w:val="24"/>
                      <w:szCs w:val="24"/>
                      <w:u w:val="single"/>
                      <w:lang w:eastAsia="lv-LV"/>
                    </w:rPr>
                    <w:t>paziņot par direktīvas, kas pieņemta saskaņā ar likumdošanas procedūru, transponēšanas pasākumiem</w:t>
                  </w:r>
                  <w:r w:rsidRPr="004C415E">
                    <w:rPr>
                      <w:rFonts w:ascii="Times New Roman" w:eastAsia="Times New Roman" w:hAnsi="Times New Roman"/>
                      <w:iCs/>
                      <w:sz w:val="24"/>
                      <w:szCs w:val="24"/>
                      <w:lang w:eastAsia="lv-LV"/>
                    </w:rPr>
                    <w:t>,</w:t>
                  </w:r>
                  <w:r w:rsidRPr="004C415E">
                    <w:rPr>
                      <w:rFonts w:ascii="Times New Roman" w:hAnsi="Times New Roman"/>
                      <w:sz w:val="24"/>
                      <w:szCs w:val="24"/>
                    </w:rPr>
                    <w:t xml:space="preserve"> </w:t>
                  </w:r>
                  <w:r w:rsidRPr="004C415E">
                    <w:rPr>
                      <w:rFonts w:ascii="Times New Roman" w:eastAsia="Times New Roman" w:hAnsi="Times New Roman"/>
                      <w:iCs/>
                      <w:sz w:val="24"/>
                      <w:szCs w:val="24"/>
                      <w:lang w:eastAsia="lv-LV"/>
                    </w:rPr>
                    <w:t xml:space="preserve">tā var, ja </w:t>
                  </w:r>
                  <w:r w:rsidRPr="004C415E">
                    <w:rPr>
                      <w:rFonts w:ascii="Times New Roman" w:eastAsia="Times New Roman" w:hAnsi="Times New Roman"/>
                      <w:iCs/>
                      <w:sz w:val="24"/>
                      <w:szCs w:val="24"/>
                      <w:lang w:eastAsia="lv-LV"/>
                    </w:rPr>
                    <w:lastRenderedPageBreak/>
                    <w:t>uzskata par vajadzīgu, noteikt tās soda naudas vai kavējuma naudas apjomu, kas attiecīgajai dalībvalstij jāmaksā un ko tā uzskata par piemērotu šādos apstākļos. Tātad 260. panta 3. punktu piemēro tiesvedībās par direktīvu nepaziņošanu</w:t>
                  </w:r>
                  <w:r w:rsidRPr="004C415E">
                    <w:rPr>
                      <w:rFonts w:ascii="Times New Roman" w:hAnsi="Times New Roman"/>
                      <w:sz w:val="24"/>
                      <w:szCs w:val="24"/>
                    </w:rPr>
                    <w:t xml:space="preserve"> (t.i., </w:t>
                  </w:r>
                  <w:r w:rsidRPr="004C415E">
                    <w:rPr>
                      <w:rFonts w:ascii="Times New Roman" w:eastAsia="Times New Roman" w:hAnsi="Times New Roman"/>
                      <w:iCs/>
                      <w:sz w:val="24"/>
                      <w:szCs w:val="24"/>
                      <w:lang w:eastAsia="lv-LV"/>
                    </w:rPr>
                    <w:t>kad dalībvalsts nav paziņojusi nekādus direktīvas transponēšanas pasākumus vai kad dalībvalsts ir paziņojusi daļējus direktīvas transponēšanas pasākumus). Savukārt citos gadījumos, tostarp arī tad, ja, piemēram,</w:t>
                  </w:r>
                  <w:r w:rsidRPr="004C415E">
                    <w:rPr>
                      <w:rFonts w:ascii="Times New Roman" w:hAnsi="Times New Roman"/>
                      <w:sz w:val="24"/>
                      <w:szCs w:val="24"/>
                    </w:rPr>
                    <w:t xml:space="preserve"> netiek pildītas </w:t>
                  </w:r>
                  <w:r w:rsidRPr="004C415E">
                    <w:rPr>
                      <w:rFonts w:ascii="Times New Roman" w:eastAsia="Times New Roman" w:hAnsi="Times New Roman"/>
                      <w:iCs/>
                      <w:sz w:val="24"/>
                      <w:szCs w:val="24"/>
                      <w:lang w:eastAsia="lv-LV"/>
                    </w:rPr>
                    <w:t>Eiropas Parlamenta un Padomes 2018. gada 18. jūlija Regulas (ES) Nr. 2018/1091 par lauku saimniecību integrētu statistiku un ar ko atceļ Regulas (EK) Nr. 1166/2008 un (ES) Nr. 1337/2011 prasības, pamats Komisijai</w:t>
                  </w:r>
                  <w:r w:rsidRPr="004C415E">
                    <w:rPr>
                      <w:rFonts w:ascii="Times New Roman" w:hAnsi="Times New Roman"/>
                      <w:sz w:val="24"/>
                      <w:szCs w:val="24"/>
                    </w:rPr>
                    <w:t xml:space="preserve"> tiesvedībā </w:t>
                  </w:r>
                  <w:r w:rsidRPr="004C415E">
                    <w:rPr>
                      <w:rFonts w:ascii="Times New Roman" w:eastAsia="Times New Roman" w:hAnsi="Times New Roman"/>
                      <w:iCs/>
                      <w:sz w:val="24"/>
                      <w:szCs w:val="24"/>
                      <w:lang w:eastAsia="lv-LV"/>
                    </w:rPr>
                    <w:t>norādīt soda naudu vai kavējuma naudu, kas jāmaksā attiecīgajai dalībvalstij, izriet nevis no Līguma par Eiropas Savienības darbību 260. panta 3. punkta, kā minēts ziņojumā, bet gan 2. punkta, un līdz ar to Komisija lūgt Eiropas Savienības tiesu piespriest dalībvalstij soda naudu vai kavējuma naudu šādos gadījumos var tad, ja dalībvalsts neizpilda Eiropas Savienības tiesas spriedumu, ar kuru ir konstatēta dalībvalsts pienākuma neizpilde, nevis jau ar pirmo, konstatējošo, Eiropas Savienības tiesas spriedumu;</w:t>
                  </w:r>
                </w:p>
                <w:p w14:paraId="2C4C7B41" w14:textId="77777777" w:rsidR="004C415E" w:rsidRPr="004C415E" w:rsidRDefault="004C415E" w:rsidP="004C415E">
                  <w:pPr>
                    <w:ind w:firstLine="720"/>
                    <w:rPr>
                      <w:rFonts w:ascii="Times New Roman" w:hAnsi="Times New Roman"/>
                      <w:sz w:val="24"/>
                      <w:szCs w:val="24"/>
                    </w:rPr>
                  </w:pPr>
                  <w:r w:rsidRPr="004C415E">
                    <w:rPr>
                      <w:rFonts w:ascii="Times New Roman" w:eastAsia="Times New Roman" w:hAnsi="Times New Roman"/>
                      <w:iCs/>
                      <w:sz w:val="24"/>
                      <w:szCs w:val="24"/>
                      <w:lang w:eastAsia="lv-LV"/>
                    </w:rPr>
                    <w:lastRenderedPageBreak/>
                    <w:t>otrkārt, lūdzam svītrot vai nepieciešamības gadījumā aktualizēt Komisijas ierosināto finansiālo sankciju apmērus. Vēršam uzmanību, ka</w:t>
                  </w:r>
                  <w:r w:rsidRPr="004C415E">
                    <w:rPr>
                      <w:rFonts w:ascii="Times New Roman" w:hAnsi="Times New Roman"/>
                      <w:sz w:val="24"/>
                      <w:szCs w:val="24"/>
                    </w:rPr>
                    <w:t xml:space="preserve"> Komisija ar 2019. gada 25. februāra paziņojumu "Izmaiņas vienreizēju soda maksājumu un dienas kavējuma naudas aprēķina metodē" Nr. 2019/C 70/01 veikusi izmaiņas aprēķina metodē, ko tā piemēro </w:t>
                  </w:r>
                  <w:r w:rsidRPr="004C415E">
                    <w:rPr>
                      <w:rFonts w:ascii="Times New Roman" w:eastAsia="Times New Roman" w:hAnsi="Times New Roman"/>
                      <w:iCs/>
                      <w:sz w:val="24"/>
                      <w:szCs w:val="24"/>
                      <w:lang w:eastAsia="lv-LV"/>
                    </w:rPr>
                    <w:t>Eiropas Savienības ties</w:t>
                  </w:r>
                  <w:r w:rsidRPr="004C415E">
                    <w:rPr>
                      <w:rFonts w:ascii="Times New Roman" w:hAnsi="Times New Roman"/>
                      <w:sz w:val="24"/>
                      <w:szCs w:val="24"/>
                    </w:rPr>
                    <w:t xml:space="preserve">ai ierosinātajām finanšu sankcijām saistībā ar pārkāpumu procedūrām pret dalībvalstīm (paziņojumā ietverto aprēķina metodi Komisija piemēros no paziņojuma publicēšanas dienas Eiropas Savienības Oficiālajā Vēstnesī – 2019. gada 25. februāra). Norādām, ka izmaiņu rezultātā Latvijas gadījumā eventuālos apstākļos minimālā un maksimālā kavējuma nauda dienā varētu tikt ierosināta (nevis noteikta, kā izriet no ziņojuma, jo konkrētu apmēru jebkurā gadījumā nosaka </w:t>
                  </w:r>
                  <w:r w:rsidRPr="004C415E">
                    <w:rPr>
                      <w:rFonts w:ascii="Times New Roman" w:eastAsia="Times New Roman" w:hAnsi="Times New Roman"/>
                      <w:iCs/>
                      <w:sz w:val="24"/>
                      <w:szCs w:val="24"/>
                      <w:lang w:eastAsia="lv-LV"/>
                    </w:rPr>
                    <w:t>Eiropas Savienības ties</w:t>
                  </w:r>
                  <w:r w:rsidRPr="004C415E">
                    <w:rPr>
                      <w:rFonts w:ascii="Times New Roman" w:hAnsi="Times New Roman"/>
                      <w:sz w:val="24"/>
                      <w:szCs w:val="24"/>
                    </w:rPr>
                    <w:t>a) no 372,60 </w:t>
                  </w:r>
                  <w:r w:rsidRPr="004C415E">
                    <w:rPr>
                      <w:rFonts w:ascii="Times New Roman" w:hAnsi="Times New Roman"/>
                      <w:i/>
                      <w:iCs/>
                      <w:sz w:val="24"/>
                      <w:szCs w:val="24"/>
                    </w:rPr>
                    <w:t>euro</w:t>
                  </w:r>
                  <w:r w:rsidRPr="004C415E">
                    <w:rPr>
                      <w:rFonts w:ascii="Times New Roman" w:hAnsi="Times New Roman"/>
                      <w:sz w:val="24"/>
                      <w:szCs w:val="24"/>
                    </w:rPr>
                    <w:t xml:space="preserve"> līdz 22 356 </w:t>
                  </w:r>
                  <w:r w:rsidRPr="004C415E">
                    <w:rPr>
                      <w:rFonts w:ascii="Times New Roman" w:hAnsi="Times New Roman"/>
                      <w:i/>
                      <w:iCs/>
                      <w:sz w:val="24"/>
                      <w:szCs w:val="24"/>
                    </w:rPr>
                    <w:t>euro</w:t>
                  </w:r>
                  <w:r w:rsidRPr="004C415E">
                    <w:rPr>
                      <w:rFonts w:ascii="Times New Roman" w:hAnsi="Times New Roman"/>
                      <w:sz w:val="24"/>
                      <w:szCs w:val="24"/>
                    </w:rPr>
                    <w:t>, minimālā un maksimālā soda nauda dienā – no 124,20 </w:t>
                  </w:r>
                  <w:r w:rsidRPr="004C415E">
                    <w:rPr>
                      <w:rFonts w:ascii="Times New Roman" w:hAnsi="Times New Roman"/>
                      <w:i/>
                      <w:iCs/>
                      <w:sz w:val="24"/>
                      <w:szCs w:val="24"/>
                    </w:rPr>
                    <w:t>euro</w:t>
                  </w:r>
                  <w:r w:rsidRPr="004C415E">
                    <w:rPr>
                      <w:rFonts w:ascii="Times New Roman" w:hAnsi="Times New Roman"/>
                      <w:sz w:val="24"/>
                      <w:szCs w:val="24"/>
                    </w:rPr>
                    <w:t xml:space="preserve"> līdz 2 484 </w:t>
                  </w:r>
                  <w:r w:rsidRPr="004C415E">
                    <w:rPr>
                      <w:rFonts w:ascii="Times New Roman" w:hAnsi="Times New Roman"/>
                      <w:i/>
                      <w:iCs/>
                      <w:sz w:val="24"/>
                      <w:szCs w:val="24"/>
                    </w:rPr>
                    <w:t>euro</w:t>
                  </w:r>
                  <w:r w:rsidRPr="004C415E">
                    <w:rPr>
                      <w:rFonts w:ascii="Times New Roman" w:hAnsi="Times New Roman"/>
                      <w:sz w:val="24"/>
                      <w:szCs w:val="24"/>
                    </w:rPr>
                    <w:t>, kā arī vienreizējā soda maksājuma summa noteikta 308 000 </w:t>
                  </w:r>
                  <w:r w:rsidRPr="004C415E">
                    <w:rPr>
                      <w:rFonts w:ascii="Times New Roman" w:hAnsi="Times New Roman"/>
                      <w:i/>
                      <w:iCs/>
                      <w:sz w:val="24"/>
                      <w:szCs w:val="24"/>
                    </w:rPr>
                    <w:t>euro</w:t>
                  </w:r>
                  <w:r w:rsidRPr="004C415E">
                    <w:rPr>
                      <w:rFonts w:ascii="Times New Roman" w:hAnsi="Times New Roman"/>
                      <w:sz w:val="24"/>
                      <w:szCs w:val="24"/>
                    </w:rPr>
                    <w:t xml:space="preserve"> apmērā</w:t>
                  </w:r>
                  <w:r w:rsidRPr="004C415E">
                    <w:rPr>
                      <w:rStyle w:val="FootnoteReference"/>
                      <w:rFonts w:ascii="Times New Roman" w:hAnsi="Times New Roman"/>
                      <w:i/>
                      <w:iCs/>
                      <w:sz w:val="24"/>
                      <w:szCs w:val="24"/>
                    </w:rPr>
                    <w:footnoteReference w:id="1"/>
                  </w:r>
                  <w:r w:rsidRPr="004C415E">
                    <w:rPr>
                      <w:rFonts w:ascii="Times New Roman" w:hAnsi="Times New Roman"/>
                      <w:sz w:val="24"/>
                      <w:szCs w:val="24"/>
                    </w:rPr>
                    <w:t>.</w:t>
                  </w:r>
                </w:p>
                <w:p w14:paraId="715E0FE1" w14:textId="25CF92CF" w:rsidR="004C415E" w:rsidRPr="004C415E" w:rsidRDefault="004C415E" w:rsidP="004C415E">
                  <w:pPr>
                    <w:spacing w:after="0"/>
                    <w:jc w:val="both"/>
                    <w:rPr>
                      <w:rFonts w:ascii="Times New Roman" w:eastAsia="Times New Roman" w:hAnsi="Times New Roman"/>
                      <w:sz w:val="24"/>
                      <w:szCs w:val="24"/>
                    </w:rPr>
                  </w:pPr>
                </w:p>
              </w:tc>
              <w:tc>
                <w:tcPr>
                  <w:tcW w:w="2450" w:type="dxa"/>
                </w:tcPr>
                <w:p w14:paraId="40940C98" w14:textId="69DB5D0F" w:rsidR="004C415E" w:rsidRPr="00354DE1" w:rsidRDefault="004C415E" w:rsidP="004C415E">
                  <w:pPr>
                    <w:spacing w:after="0"/>
                    <w:jc w:val="both"/>
                    <w:rPr>
                      <w:rFonts w:ascii="Times New Roman" w:hAnsi="Times New Roman"/>
                      <w:b/>
                      <w:color w:val="FF0000"/>
                      <w:sz w:val="24"/>
                      <w:szCs w:val="24"/>
                    </w:rPr>
                  </w:pPr>
                  <w:r>
                    <w:rPr>
                      <w:rFonts w:ascii="Times New Roman" w:hAnsi="Times New Roman"/>
                      <w:b/>
                      <w:sz w:val="24"/>
                      <w:szCs w:val="24"/>
                    </w:rPr>
                    <w:lastRenderedPageBreak/>
                    <w:t>Iebildums</w:t>
                  </w:r>
                  <w:r w:rsidRPr="00354DE1">
                    <w:rPr>
                      <w:rFonts w:ascii="Times New Roman" w:hAnsi="Times New Roman"/>
                      <w:b/>
                      <w:sz w:val="24"/>
                      <w:szCs w:val="24"/>
                    </w:rPr>
                    <w:t xml:space="preserve"> ņemts vērā</w:t>
                  </w:r>
                </w:p>
              </w:tc>
              <w:tc>
                <w:tcPr>
                  <w:tcW w:w="3650" w:type="dxa"/>
                </w:tcPr>
                <w:p w14:paraId="0AB405C1" w14:textId="44F54E8D" w:rsidR="004C415E" w:rsidRPr="00475310" w:rsidRDefault="004C415E" w:rsidP="004C415E">
                  <w:pPr>
                    <w:spacing w:before="100" w:beforeAutospacing="1" w:after="100" w:afterAutospacing="1"/>
                    <w:jc w:val="both"/>
                    <w:rPr>
                      <w:rFonts w:ascii="Times New Roman" w:eastAsia="Times New Roman" w:hAnsi="Times New Roman"/>
                      <w:color w:val="000000"/>
                      <w:sz w:val="24"/>
                      <w:szCs w:val="24"/>
                      <w:lang w:eastAsia="lv-LV"/>
                    </w:rPr>
                  </w:pPr>
                  <w:r>
                    <w:rPr>
                      <w:rFonts w:ascii="Times New Roman" w:hAnsi="Times New Roman"/>
                      <w:sz w:val="24"/>
                      <w:szCs w:val="24"/>
                    </w:rPr>
                    <w:t>Informatīvā ziņojuma 4.3.sadaļa precizēta</w:t>
                  </w:r>
                </w:p>
              </w:tc>
            </w:tr>
          </w:tbl>
          <w:p w14:paraId="10C3E420" w14:textId="77777777" w:rsidR="000C6764" w:rsidRPr="00475310" w:rsidRDefault="000C6764" w:rsidP="00475310">
            <w:pPr>
              <w:spacing w:before="100" w:beforeAutospacing="1" w:after="100" w:afterAutospacing="1"/>
              <w:rPr>
                <w:rFonts w:ascii="Times New Roman" w:eastAsia="Times New Roman" w:hAnsi="Times New Roman"/>
                <w:color w:val="000000"/>
                <w:sz w:val="24"/>
                <w:szCs w:val="24"/>
                <w:lang w:eastAsia="lv-LV"/>
              </w:rPr>
            </w:pPr>
          </w:p>
        </w:tc>
      </w:tr>
    </w:tbl>
    <w:tbl>
      <w:tblPr>
        <w:tblW w:w="14508" w:type="dxa"/>
        <w:tblLayout w:type="fixed"/>
        <w:tblLook w:val="00A0" w:firstRow="1" w:lastRow="0" w:firstColumn="1" w:lastColumn="0" w:noHBand="0" w:noVBand="0"/>
      </w:tblPr>
      <w:tblGrid>
        <w:gridCol w:w="5017"/>
        <w:gridCol w:w="9491"/>
      </w:tblGrid>
      <w:tr w:rsidR="00475310" w:rsidRPr="00841A86" w14:paraId="467DB92A" w14:textId="77777777" w:rsidTr="0074439F">
        <w:tc>
          <w:tcPr>
            <w:tcW w:w="5017" w:type="dxa"/>
          </w:tcPr>
          <w:p w14:paraId="16EA6EA5" w14:textId="77777777" w:rsidR="00475310" w:rsidRPr="006229B7" w:rsidRDefault="00475310" w:rsidP="0074439F">
            <w:pPr>
              <w:pStyle w:val="naiskr"/>
              <w:spacing w:before="0" w:beforeAutospacing="0" w:after="0" w:afterAutospacing="0"/>
            </w:pPr>
          </w:p>
          <w:p w14:paraId="3AA35C60" w14:textId="77777777" w:rsidR="00475310" w:rsidRPr="00841A86" w:rsidRDefault="00475310" w:rsidP="0074439F">
            <w:pPr>
              <w:pStyle w:val="naiskr"/>
              <w:spacing w:before="0" w:beforeAutospacing="0" w:after="0" w:afterAutospacing="0"/>
              <w:jc w:val="center"/>
            </w:pPr>
            <w:r w:rsidRPr="006229B7">
              <w:lastRenderedPageBreak/>
              <w:t>Atbildīgā amatpersona</w:t>
            </w:r>
          </w:p>
        </w:tc>
        <w:tc>
          <w:tcPr>
            <w:tcW w:w="9491" w:type="dxa"/>
          </w:tcPr>
          <w:p w14:paraId="281B9DB4" w14:textId="77777777" w:rsidR="00475310" w:rsidRPr="00841A86" w:rsidRDefault="00475310" w:rsidP="0074439F">
            <w:pPr>
              <w:pStyle w:val="naiskr"/>
              <w:spacing w:before="0" w:beforeAutospacing="0" w:after="0" w:afterAutospacing="0"/>
              <w:ind w:firstLine="720"/>
              <w:jc w:val="center"/>
            </w:pPr>
          </w:p>
        </w:tc>
      </w:tr>
      <w:tr w:rsidR="00475310" w:rsidRPr="00841A86" w14:paraId="4BCF01DB" w14:textId="77777777" w:rsidTr="0074439F">
        <w:tc>
          <w:tcPr>
            <w:tcW w:w="5017" w:type="dxa"/>
          </w:tcPr>
          <w:p w14:paraId="603551A1" w14:textId="77777777" w:rsidR="00475310" w:rsidRPr="00841A86" w:rsidRDefault="00475310" w:rsidP="0074439F">
            <w:pPr>
              <w:pStyle w:val="naiskr"/>
              <w:spacing w:before="0" w:after="0"/>
              <w:ind w:firstLine="720"/>
              <w:jc w:val="center"/>
            </w:pPr>
          </w:p>
        </w:tc>
        <w:tc>
          <w:tcPr>
            <w:tcW w:w="9491" w:type="dxa"/>
            <w:tcBorders>
              <w:top w:val="single" w:sz="6" w:space="0" w:color="000000"/>
            </w:tcBorders>
          </w:tcPr>
          <w:p w14:paraId="7889715D" w14:textId="77777777" w:rsidR="00475310" w:rsidRPr="00841A86" w:rsidRDefault="00475310" w:rsidP="0074439F">
            <w:pPr>
              <w:pStyle w:val="naisc"/>
              <w:spacing w:before="0" w:after="0"/>
              <w:ind w:firstLine="720"/>
            </w:pPr>
            <w:r w:rsidRPr="00841A86">
              <w:t>(paraksts)*</w:t>
            </w:r>
          </w:p>
        </w:tc>
      </w:tr>
    </w:tbl>
    <w:p w14:paraId="5F871F2D" w14:textId="77777777" w:rsidR="00475310" w:rsidRDefault="00475310" w:rsidP="00475310">
      <w:pPr>
        <w:pStyle w:val="naisf"/>
        <w:spacing w:before="0" w:after="0"/>
        <w:ind w:firstLine="720"/>
      </w:pPr>
      <w:r w:rsidRPr="00841A86">
        <w:t>Piezīme. * Dokumenta rekvizītu "paraksts" neaizpilda, ja elektroniskais dokuments ir sagatavots atbilstoši normatīvajiem aktiem par elektronisko dokumentu noformēšanu.</w:t>
      </w:r>
    </w:p>
    <w:p w14:paraId="5DC3DB69" w14:textId="77777777" w:rsidR="00475310" w:rsidRDefault="00475310" w:rsidP="00475310">
      <w:pPr>
        <w:pStyle w:val="naisf"/>
        <w:spacing w:before="0" w:after="0"/>
        <w:ind w:firstLine="720"/>
      </w:pPr>
    </w:p>
    <w:p w14:paraId="3DC531B9" w14:textId="77777777" w:rsidR="00475310" w:rsidRPr="00841A86" w:rsidRDefault="00475310" w:rsidP="00475310">
      <w:pPr>
        <w:pStyle w:val="naisf"/>
        <w:spacing w:before="0" w:after="0"/>
        <w:ind w:firstLine="720"/>
        <w:rPr>
          <w:sz w:val="8"/>
          <w:szCs w:val="8"/>
        </w:rPr>
      </w:pPr>
    </w:p>
    <w:tbl>
      <w:tblPr>
        <w:tblW w:w="0" w:type="auto"/>
        <w:tblLook w:val="00A0" w:firstRow="1" w:lastRow="0" w:firstColumn="1" w:lastColumn="0" w:noHBand="0" w:noVBand="0"/>
      </w:tblPr>
      <w:tblGrid>
        <w:gridCol w:w="8268"/>
      </w:tblGrid>
      <w:tr w:rsidR="00475310" w:rsidRPr="001844B8" w14:paraId="20B2F426" w14:textId="77777777" w:rsidTr="0074439F">
        <w:tc>
          <w:tcPr>
            <w:tcW w:w="8268" w:type="dxa"/>
            <w:vAlign w:val="center"/>
          </w:tcPr>
          <w:p w14:paraId="5111533C" w14:textId="5DF274E3" w:rsidR="00475310" w:rsidRPr="00291AC7" w:rsidRDefault="00A34645" w:rsidP="0074439F">
            <w:pPr>
              <w:spacing w:before="120" w:after="0"/>
              <w:jc w:val="center"/>
              <w:rPr>
                <w:rFonts w:ascii="Times New Roman" w:hAnsi="Times New Roman"/>
                <w:szCs w:val="20"/>
              </w:rPr>
            </w:pPr>
            <w:r>
              <w:rPr>
                <w:rFonts w:ascii="Times New Roman" w:hAnsi="Times New Roman"/>
                <w:szCs w:val="20"/>
              </w:rPr>
              <w:t>Jānis Salmiņš</w:t>
            </w:r>
          </w:p>
        </w:tc>
      </w:tr>
      <w:tr w:rsidR="00475310" w:rsidRPr="001844B8" w14:paraId="0477E92A" w14:textId="77777777" w:rsidTr="0074439F">
        <w:tc>
          <w:tcPr>
            <w:tcW w:w="8268" w:type="dxa"/>
            <w:tcBorders>
              <w:top w:val="single" w:sz="4" w:space="0" w:color="000000"/>
            </w:tcBorders>
          </w:tcPr>
          <w:p w14:paraId="0C4D16FF"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 xml:space="preserve"> (par projektu atbildīgās amatpersonas vārds un uzvārds)</w:t>
            </w:r>
          </w:p>
        </w:tc>
      </w:tr>
      <w:tr w:rsidR="00475310" w:rsidRPr="001844B8" w14:paraId="24D3FF1D" w14:textId="77777777" w:rsidTr="0074439F">
        <w:tc>
          <w:tcPr>
            <w:tcW w:w="8268" w:type="dxa"/>
            <w:tcBorders>
              <w:bottom w:val="single" w:sz="4" w:space="0" w:color="000000"/>
            </w:tcBorders>
          </w:tcPr>
          <w:p w14:paraId="0738B066" w14:textId="534521B9" w:rsidR="00475310" w:rsidRPr="001844B8" w:rsidRDefault="0034659C" w:rsidP="0074439F">
            <w:pPr>
              <w:spacing w:after="120"/>
              <w:jc w:val="center"/>
              <w:rPr>
                <w:rFonts w:ascii="Times New Roman" w:hAnsi="Times New Roman"/>
              </w:rPr>
            </w:pPr>
            <w:r>
              <w:rPr>
                <w:rFonts w:ascii="Times New Roman" w:hAnsi="Times New Roman"/>
              </w:rPr>
              <w:t>Ekonomikas ministrijas Analītikas dienesta vadītāja</w:t>
            </w:r>
            <w:r w:rsidR="00A34645">
              <w:rPr>
                <w:rFonts w:ascii="Times New Roman" w:hAnsi="Times New Roman"/>
              </w:rPr>
              <w:t xml:space="preserve"> vietnieks</w:t>
            </w:r>
          </w:p>
        </w:tc>
      </w:tr>
      <w:tr w:rsidR="00475310" w:rsidRPr="001844B8" w14:paraId="2B88408B" w14:textId="77777777" w:rsidTr="0074439F">
        <w:tc>
          <w:tcPr>
            <w:tcW w:w="8268" w:type="dxa"/>
            <w:tcBorders>
              <w:top w:val="single" w:sz="4" w:space="0" w:color="000000"/>
            </w:tcBorders>
          </w:tcPr>
          <w:p w14:paraId="73EECF01"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(amats)</w:t>
            </w:r>
          </w:p>
        </w:tc>
      </w:tr>
      <w:tr w:rsidR="00475310" w:rsidRPr="001844B8" w14:paraId="7656A51C" w14:textId="77777777" w:rsidTr="0074439F">
        <w:tc>
          <w:tcPr>
            <w:tcW w:w="8268" w:type="dxa"/>
            <w:tcBorders>
              <w:bottom w:val="single" w:sz="4" w:space="0" w:color="000000"/>
            </w:tcBorders>
          </w:tcPr>
          <w:p w14:paraId="2520CC9F" w14:textId="10F253B1" w:rsidR="00475310" w:rsidRPr="001844B8" w:rsidRDefault="00475310" w:rsidP="0074439F">
            <w:pPr>
              <w:spacing w:before="120" w:after="0"/>
              <w:rPr>
                <w:rFonts w:ascii="Times New Roman" w:hAnsi="Times New Roman"/>
              </w:rPr>
            </w:pPr>
            <w:r w:rsidRPr="001844B8">
              <w:rPr>
                <w:rFonts w:ascii="Times New Roman" w:hAnsi="Times New Roman"/>
              </w:rPr>
              <w:t xml:space="preserve">                                       Tel.: </w:t>
            </w:r>
            <w:r>
              <w:rPr>
                <w:rFonts w:ascii="Times New Roman" w:hAnsi="Times New Roman"/>
              </w:rPr>
              <w:t>67</w:t>
            </w:r>
            <w:bookmarkStart w:id="1" w:name="_GoBack"/>
            <w:bookmarkEnd w:id="1"/>
            <w:r w:rsidR="0034659C">
              <w:rPr>
                <w:rFonts w:ascii="Times New Roman" w:hAnsi="Times New Roman"/>
              </w:rPr>
              <w:t>0131</w:t>
            </w:r>
            <w:r w:rsidR="00A34645">
              <w:rPr>
                <w:rFonts w:ascii="Times New Roman" w:hAnsi="Times New Roman"/>
              </w:rPr>
              <w:t>12</w:t>
            </w:r>
            <w:r w:rsidRPr="001844B8">
              <w:rPr>
                <w:rFonts w:ascii="Times New Roman" w:hAnsi="Times New Roman"/>
              </w:rPr>
              <w:t xml:space="preserve">; </w:t>
            </w:r>
            <w:smartTag w:uri="schemas-tilde-lv/tildestengine" w:element="veidnes">
              <w:smartTagPr>
                <w:attr w:name="text" w:val="fakss"/>
                <w:attr w:name="id" w:val="-1"/>
                <w:attr w:name="baseform" w:val="faks|s"/>
              </w:smartTagPr>
              <w:r w:rsidRPr="001844B8">
                <w:rPr>
                  <w:rFonts w:ascii="Times New Roman" w:hAnsi="Times New Roman"/>
                </w:rPr>
                <w:t>fakss</w:t>
              </w:r>
            </w:smartTag>
            <w:r w:rsidRPr="001844B8">
              <w:rPr>
                <w:rFonts w:ascii="Times New Roman" w:hAnsi="Times New Roman"/>
              </w:rPr>
              <w:t xml:space="preserve">: </w:t>
            </w:r>
            <w:r w:rsidR="0034659C" w:rsidRPr="0034659C">
              <w:rPr>
                <w:rFonts w:ascii="Times New Roman" w:hAnsi="Times New Roman"/>
              </w:rPr>
              <w:t> 67280882</w:t>
            </w:r>
          </w:p>
        </w:tc>
      </w:tr>
      <w:tr w:rsidR="00475310" w:rsidRPr="001844B8" w14:paraId="76C2181B" w14:textId="77777777" w:rsidTr="0074439F">
        <w:tc>
          <w:tcPr>
            <w:tcW w:w="8268" w:type="dxa"/>
            <w:tcBorders>
              <w:top w:val="single" w:sz="4" w:space="0" w:color="000000"/>
            </w:tcBorders>
          </w:tcPr>
          <w:p w14:paraId="75090999"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 xml:space="preserve">(tālruņa un </w:t>
            </w:r>
            <w:smartTag w:uri="schemas-tilde-lv/tildestengine" w:element="veidnes">
              <w:smartTagPr>
                <w:attr w:name="baseform" w:val="faks|s"/>
                <w:attr w:name="id" w:val="-1"/>
                <w:attr w:name="text" w:val="faksa"/>
              </w:smartTagPr>
              <w:r w:rsidRPr="001844B8">
                <w:rPr>
                  <w:rFonts w:ascii="Times New Roman" w:hAnsi="Times New Roman"/>
                  <w:sz w:val="20"/>
                  <w:szCs w:val="20"/>
                </w:rPr>
                <w:t>faksa</w:t>
              </w:r>
            </w:smartTag>
            <w:r w:rsidRPr="001844B8">
              <w:rPr>
                <w:rFonts w:ascii="Times New Roman" w:hAnsi="Times New Roman"/>
                <w:sz w:val="20"/>
                <w:szCs w:val="20"/>
              </w:rPr>
              <w:t xml:space="preserve"> numurs)</w:t>
            </w:r>
          </w:p>
        </w:tc>
      </w:tr>
      <w:tr w:rsidR="00475310" w:rsidRPr="001844B8" w14:paraId="6ADB708F" w14:textId="77777777" w:rsidTr="0074439F">
        <w:tc>
          <w:tcPr>
            <w:tcW w:w="8268" w:type="dxa"/>
            <w:tcBorders>
              <w:bottom w:val="single" w:sz="4" w:space="0" w:color="000000"/>
            </w:tcBorders>
          </w:tcPr>
          <w:p w14:paraId="0F23C8CF" w14:textId="1C1758E2" w:rsidR="00475310" w:rsidRPr="001844B8" w:rsidRDefault="00A34645" w:rsidP="0074439F">
            <w:pPr>
              <w:spacing w:before="120" w:after="0"/>
              <w:jc w:val="center"/>
              <w:rPr>
                <w:rFonts w:ascii="Times New Roman" w:hAnsi="Times New Roman"/>
              </w:rPr>
            </w:pPr>
            <w:r>
              <w:rPr>
                <w:rFonts w:ascii="Times New Roman" w:hAnsi="Times New Roman"/>
              </w:rPr>
              <w:t>Janis.Salmins</w:t>
            </w:r>
            <w:r w:rsidR="0034659C">
              <w:rPr>
                <w:rFonts w:ascii="Times New Roman" w:hAnsi="Times New Roman"/>
              </w:rPr>
              <w:t>@em.gov.lv</w:t>
            </w:r>
          </w:p>
        </w:tc>
      </w:tr>
      <w:tr w:rsidR="00475310" w:rsidRPr="001844B8" w14:paraId="06D5DEAE" w14:textId="77777777" w:rsidTr="0074439F">
        <w:tc>
          <w:tcPr>
            <w:tcW w:w="8268" w:type="dxa"/>
            <w:tcBorders>
              <w:top w:val="single" w:sz="4" w:space="0" w:color="000000"/>
            </w:tcBorders>
          </w:tcPr>
          <w:p w14:paraId="7F7A0319"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(e-pasta adrese)</w:t>
            </w:r>
          </w:p>
        </w:tc>
      </w:tr>
    </w:tbl>
    <w:p w14:paraId="363799A8" w14:textId="46FF589F" w:rsidR="000644F2" w:rsidRDefault="00A34645" w:rsidP="004F7594">
      <w:pPr>
        <w:spacing w:after="0"/>
        <w:rPr>
          <w:rFonts w:ascii="Times New Roman" w:hAnsi="Times New Roman"/>
          <w:sz w:val="20"/>
        </w:rPr>
      </w:pPr>
      <w:r>
        <w:rPr>
          <w:rFonts w:ascii="Times New Roman" w:hAnsi="Times New Roman"/>
          <w:sz w:val="20"/>
        </w:rPr>
        <w:t>Jānis Ušpelis</w:t>
      </w:r>
      <w:r w:rsidR="004C415E">
        <w:rPr>
          <w:rFonts w:ascii="Times New Roman" w:hAnsi="Times New Roman"/>
          <w:sz w:val="20"/>
        </w:rPr>
        <w:t>, 67013</w:t>
      </w:r>
      <w:r>
        <w:rPr>
          <w:rFonts w:ascii="Times New Roman" w:hAnsi="Times New Roman"/>
          <w:sz w:val="20"/>
        </w:rPr>
        <w:t>164</w:t>
      </w:r>
    </w:p>
    <w:p w14:paraId="6FA01EAE" w14:textId="640E3ACA" w:rsidR="004C415E" w:rsidRPr="00475310" w:rsidRDefault="00A34645" w:rsidP="004F7594">
      <w:pPr>
        <w:spacing w:after="0"/>
        <w:rPr>
          <w:rFonts w:ascii="Times New Roman" w:eastAsia="Times New Roman" w:hAnsi="Times New Roman"/>
          <w:sz w:val="24"/>
          <w:szCs w:val="24"/>
          <w:lang w:eastAsia="lv-LV"/>
        </w:rPr>
      </w:pPr>
      <w:r>
        <w:rPr>
          <w:rFonts w:ascii="Times New Roman" w:hAnsi="Times New Roman"/>
          <w:sz w:val="20"/>
        </w:rPr>
        <w:t>Janis.Uspelis</w:t>
      </w:r>
      <w:r w:rsidR="004C415E">
        <w:rPr>
          <w:rFonts w:ascii="Times New Roman" w:hAnsi="Times New Roman"/>
          <w:sz w:val="20"/>
        </w:rPr>
        <w:t>@</w:t>
      </w:r>
      <w:r w:rsidR="00CA5B27">
        <w:rPr>
          <w:rFonts w:ascii="Times New Roman" w:hAnsi="Times New Roman"/>
          <w:sz w:val="20"/>
        </w:rPr>
        <w:t>em.gov.</w:t>
      </w:r>
      <w:r w:rsidR="004C415E">
        <w:rPr>
          <w:rFonts w:ascii="Times New Roman" w:hAnsi="Times New Roman"/>
          <w:sz w:val="20"/>
        </w:rPr>
        <w:t>lv</w:t>
      </w:r>
    </w:p>
    <w:sectPr w:rsidR="004C415E" w:rsidRPr="00475310" w:rsidSect="0084021D">
      <w:headerReference w:type="default" r:id="rId8"/>
      <w:footerReference w:type="default" r:id="rId9"/>
      <w:footerReference w:type="first" r:id="rId10"/>
      <w:pgSz w:w="16838" w:h="11906" w:orient="landscape"/>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016B7" w14:textId="77777777" w:rsidR="0036435D" w:rsidRDefault="0036435D" w:rsidP="000644F2">
      <w:pPr>
        <w:spacing w:after="0" w:line="240" w:lineRule="auto"/>
      </w:pPr>
      <w:r>
        <w:separator/>
      </w:r>
    </w:p>
  </w:endnote>
  <w:endnote w:type="continuationSeparator" w:id="0">
    <w:p w14:paraId="7CDBF8E6" w14:textId="77777777" w:rsidR="0036435D" w:rsidRDefault="0036435D" w:rsidP="0006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60F4A" w14:textId="77777777" w:rsidR="00A34645" w:rsidRPr="00146591" w:rsidRDefault="00A34645" w:rsidP="00A34645">
    <w:pPr>
      <w:pStyle w:val="NoSpacing"/>
      <w:jc w:val="both"/>
      <w:rPr>
        <w:sz w:val="18"/>
        <w:szCs w:val="18"/>
      </w:rPr>
    </w:pPr>
    <w:r w:rsidRPr="00396DEB">
      <w:rPr>
        <w:sz w:val="18"/>
        <w:szCs w:val="18"/>
      </w:rPr>
      <w:fldChar w:fldCharType="begin"/>
    </w:r>
    <w:r w:rsidRPr="00396DEB">
      <w:rPr>
        <w:sz w:val="18"/>
        <w:szCs w:val="18"/>
      </w:rPr>
      <w:instrText xml:space="preserve"> FILENAME   \* MERGEFORMAT </w:instrText>
    </w:r>
    <w:r w:rsidRPr="00396DEB">
      <w:rPr>
        <w:sz w:val="18"/>
        <w:szCs w:val="18"/>
      </w:rPr>
      <w:fldChar w:fldCharType="separate"/>
    </w:r>
    <w:r>
      <w:rPr>
        <w:noProof/>
        <w:sz w:val="18"/>
        <w:szCs w:val="18"/>
      </w:rPr>
      <w:t>EMIzz_021219_granti.docx</w:t>
    </w:r>
    <w:r w:rsidRPr="00396DEB">
      <w:rPr>
        <w:noProof/>
        <w:sz w:val="18"/>
        <w:szCs w:val="18"/>
      </w:rPr>
      <w:fldChar w:fldCharType="end"/>
    </w:r>
    <w:r w:rsidRPr="00396DEB">
      <w:rPr>
        <w:sz w:val="18"/>
        <w:szCs w:val="18"/>
      </w:rPr>
      <w:t xml:space="preserve">; </w:t>
    </w:r>
    <w:r w:rsidRPr="00A66AB0">
      <w:rPr>
        <w:sz w:val="18"/>
        <w:szCs w:val="18"/>
      </w:rPr>
      <w:t xml:space="preserve">Izziņa par atzinumos sniegtajiem iebildumiem </w:t>
    </w:r>
    <w:r>
      <w:rPr>
        <w:sz w:val="18"/>
        <w:szCs w:val="18"/>
      </w:rPr>
      <w:t>par Informatīvo ziņojumu</w:t>
    </w:r>
    <w:r w:rsidRPr="00A66AB0">
      <w:rPr>
        <w:sz w:val="18"/>
        <w:szCs w:val="18"/>
      </w:rPr>
      <w:t xml:space="preserve"> </w:t>
    </w:r>
    <w:r w:rsidRPr="00603F84">
      <w:rPr>
        <w:sz w:val="18"/>
        <w:szCs w:val="18"/>
      </w:rPr>
      <w:t xml:space="preserve">“Par Eiropas Komisijas </w:t>
    </w:r>
    <w:r w:rsidRPr="00603F84">
      <w:rPr>
        <w:i/>
        <w:iCs/>
        <w:sz w:val="18"/>
        <w:szCs w:val="18"/>
      </w:rPr>
      <w:t>Eurostat</w:t>
    </w:r>
    <w:r w:rsidRPr="00603F84">
      <w:rPr>
        <w:sz w:val="18"/>
        <w:szCs w:val="18"/>
      </w:rPr>
      <w:t xml:space="preserve"> grantu projektu finansējumu un lauksaimniecības skaitīšanām nepieciešamo līdzfinansējumu”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494896103"/>
  <w:p w14:paraId="3831B26B" w14:textId="44C6A2BE" w:rsidR="008420A5" w:rsidRPr="00146591" w:rsidRDefault="008420A5" w:rsidP="00146591">
    <w:pPr>
      <w:pStyle w:val="NoSpacing"/>
      <w:jc w:val="both"/>
      <w:rPr>
        <w:sz w:val="18"/>
        <w:szCs w:val="18"/>
      </w:rPr>
    </w:pPr>
    <w:r w:rsidRPr="00396DEB">
      <w:rPr>
        <w:sz w:val="18"/>
        <w:szCs w:val="18"/>
      </w:rPr>
      <w:fldChar w:fldCharType="begin"/>
    </w:r>
    <w:r w:rsidRPr="00396DEB">
      <w:rPr>
        <w:sz w:val="18"/>
        <w:szCs w:val="18"/>
      </w:rPr>
      <w:instrText xml:space="preserve"> FILENAME   \* MERGEFORMAT </w:instrText>
    </w:r>
    <w:r w:rsidRPr="00396DEB">
      <w:rPr>
        <w:sz w:val="18"/>
        <w:szCs w:val="18"/>
      </w:rPr>
      <w:fldChar w:fldCharType="separate"/>
    </w:r>
    <w:r w:rsidR="00A34645">
      <w:rPr>
        <w:noProof/>
        <w:sz w:val="18"/>
        <w:szCs w:val="18"/>
      </w:rPr>
      <w:t>EMIzz_021219_granti.docx</w:t>
    </w:r>
    <w:r w:rsidRPr="00396DEB">
      <w:rPr>
        <w:noProof/>
        <w:sz w:val="18"/>
        <w:szCs w:val="18"/>
      </w:rPr>
      <w:fldChar w:fldCharType="end"/>
    </w:r>
    <w:r w:rsidRPr="00396DEB">
      <w:rPr>
        <w:sz w:val="18"/>
        <w:szCs w:val="18"/>
      </w:rPr>
      <w:t xml:space="preserve">; </w:t>
    </w:r>
    <w:r w:rsidR="00A66AB0" w:rsidRPr="00A66AB0">
      <w:rPr>
        <w:sz w:val="18"/>
        <w:szCs w:val="18"/>
      </w:rPr>
      <w:t xml:space="preserve">Izziņa par atzinumos sniegtajiem iebildumiem </w:t>
    </w:r>
    <w:r w:rsidR="00603F84">
      <w:rPr>
        <w:sz w:val="18"/>
        <w:szCs w:val="18"/>
      </w:rPr>
      <w:t>par Informatīvo ziņojumu</w:t>
    </w:r>
    <w:r w:rsidR="00A66AB0" w:rsidRPr="00A66AB0">
      <w:rPr>
        <w:sz w:val="18"/>
        <w:szCs w:val="18"/>
      </w:rPr>
      <w:t xml:space="preserve"> </w:t>
    </w:r>
    <w:r w:rsidR="00603F84" w:rsidRPr="00603F84">
      <w:rPr>
        <w:sz w:val="18"/>
        <w:szCs w:val="18"/>
      </w:rPr>
      <w:t xml:space="preserve">“Par Eiropas Komisijas </w:t>
    </w:r>
    <w:r w:rsidR="00603F84" w:rsidRPr="00603F84">
      <w:rPr>
        <w:i/>
        <w:iCs/>
        <w:sz w:val="18"/>
        <w:szCs w:val="18"/>
      </w:rPr>
      <w:t>Eurostat</w:t>
    </w:r>
    <w:r w:rsidR="00603F84" w:rsidRPr="00603F84">
      <w:rPr>
        <w:sz w:val="18"/>
        <w:szCs w:val="18"/>
      </w:rPr>
      <w:t xml:space="preserve"> grantu projektu finansējumu un lauksaimniecības skaitīšanām nepieciešamo līdzfinansējumu”</w:t>
    </w:r>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F4687" w14:textId="77777777" w:rsidR="0036435D" w:rsidRDefault="0036435D" w:rsidP="000644F2">
      <w:pPr>
        <w:spacing w:after="0" w:line="240" w:lineRule="auto"/>
      </w:pPr>
      <w:r>
        <w:separator/>
      </w:r>
    </w:p>
  </w:footnote>
  <w:footnote w:type="continuationSeparator" w:id="0">
    <w:p w14:paraId="5E9FAA7E" w14:textId="77777777" w:rsidR="0036435D" w:rsidRDefault="0036435D" w:rsidP="000644F2">
      <w:pPr>
        <w:spacing w:after="0" w:line="240" w:lineRule="auto"/>
      </w:pPr>
      <w:r>
        <w:continuationSeparator/>
      </w:r>
    </w:p>
  </w:footnote>
  <w:footnote w:id="1">
    <w:p w14:paraId="0D213765" w14:textId="77777777" w:rsidR="004C415E" w:rsidRPr="000264BB" w:rsidRDefault="004C415E" w:rsidP="004C415E">
      <w:pPr>
        <w:pStyle w:val="FootnoteText"/>
        <w:rPr>
          <w:sz w:val="18"/>
          <w:szCs w:val="18"/>
        </w:rPr>
      </w:pPr>
      <w:r w:rsidRPr="000264BB">
        <w:rPr>
          <w:rStyle w:val="FootnoteReference"/>
          <w:sz w:val="18"/>
          <w:szCs w:val="18"/>
        </w:rPr>
        <w:footnoteRef/>
      </w:r>
      <w:r w:rsidRPr="000264BB">
        <w:rPr>
          <w:sz w:val="18"/>
          <w:szCs w:val="18"/>
        </w:rPr>
        <w:t xml:space="preserve"> Soda naudas un kavējuma naudas dienā detalizētam aprēķinam sk. arī Latvijas Republikas Tieslietu ministrijas "Rokasgrāmatu par Eiropas Savienības Tiesas lietām un pārkāpuma procedūrām", 2018., 16. un 17. lpp. (</w:t>
      </w:r>
      <w:r w:rsidRPr="000264BB">
        <w:rPr>
          <w:i/>
          <w:iCs/>
          <w:sz w:val="18"/>
          <w:szCs w:val="18"/>
        </w:rPr>
        <w:t>https://www.tm.gov.lv/lv/daliba-es/rokasgramata-par-eiropas-savienibas-tiesas-lietam-un-parkapuma-proceduram</w:t>
      </w:r>
      <w:r w:rsidRPr="000264B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5639"/>
      <w:docPartObj>
        <w:docPartGallery w:val="Page Numbers (Top of Page)"/>
        <w:docPartUnique/>
      </w:docPartObj>
    </w:sdtPr>
    <w:sdtEndPr>
      <w:rPr>
        <w:rFonts w:ascii="Times New Roman" w:hAnsi="Times New Roman" w:cs="Times New Roman"/>
        <w:sz w:val="24"/>
      </w:rPr>
    </w:sdtEndPr>
    <w:sdtContent>
      <w:p w14:paraId="7E7A4596" w14:textId="77777777" w:rsidR="008420A5" w:rsidRDefault="008420A5">
        <w:pPr>
          <w:pStyle w:val="Header"/>
          <w:jc w:val="center"/>
        </w:pPr>
        <w:r w:rsidRPr="0084021D">
          <w:rPr>
            <w:rFonts w:ascii="Times New Roman" w:hAnsi="Times New Roman" w:cs="Times New Roman"/>
            <w:sz w:val="24"/>
          </w:rPr>
          <w:fldChar w:fldCharType="begin"/>
        </w:r>
        <w:r w:rsidRPr="0084021D">
          <w:rPr>
            <w:rFonts w:ascii="Times New Roman" w:hAnsi="Times New Roman" w:cs="Times New Roman"/>
            <w:sz w:val="24"/>
          </w:rPr>
          <w:instrText xml:space="preserve"> PAGE   \* MERGEFORMAT </w:instrText>
        </w:r>
        <w:r w:rsidRPr="0084021D">
          <w:rPr>
            <w:rFonts w:ascii="Times New Roman" w:hAnsi="Times New Roman" w:cs="Times New Roman"/>
            <w:sz w:val="24"/>
          </w:rPr>
          <w:fldChar w:fldCharType="separate"/>
        </w:r>
        <w:r w:rsidR="004F7594">
          <w:rPr>
            <w:rFonts w:ascii="Times New Roman" w:hAnsi="Times New Roman" w:cs="Times New Roman"/>
            <w:noProof/>
            <w:sz w:val="24"/>
          </w:rPr>
          <w:t>12</w:t>
        </w:r>
        <w:r w:rsidRPr="0084021D">
          <w:rPr>
            <w:rFonts w:ascii="Times New Roman" w:hAnsi="Times New Roman" w:cs="Times New Roman"/>
            <w:sz w:val="24"/>
          </w:rPr>
          <w:fldChar w:fldCharType="end"/>
        </w:r>
      </w:p>
    </w:sdtContent>
  </w:sdt>
  <w:p w14:paraId="33CC8301" w14:textId="77777777" w:rsidR="008420A5" w:rsidRDefault="0084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81D0F"/>
    <w:multiLevelType w:val="hybridMultilevel"/>
    <w:tmpl w:val="EF005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87071C"/>
    <w:multiLevelType w:val="multilevel"/>
    <w:tmpl w:val="95BE25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32" w:hanging="43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BDE2DC3"/>
    <w:multiLevelType w:val="hybridMultilevel"/>
    <w:tmpl w:val="A1BE9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CD72A0"/>
    <w:multiLevelType w:val="hybridMultilevel"/>
    <w:tmpl w:val="BFAC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362435"/>
    <w:multiLevelType w:val="hybridMultilevel"/>
    <w:tmpl w:val="ABF087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054633"/>
    <w:multiLevelType w:val="hybridMultilevel"/>
    <w:tmpl w:val="3C5CE8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5B05C4B"/>
    <w:multiLevelType w:val="hybridMultilevel"/>
    <w:tmpl w:val="E1341350"/>
    <w:lvl w:ilvl="0" w:tplc="114851E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7" w15:restartNumberingAfterBreak="0">
    <w:nsid w:val="36953E46"/>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8" w15:restartNumberingAfterBreak="0">
    <w:nsid w:val="3CFD021F"/>
    <w:multiLevelType w:val="hybridMultilevel"/>
    <w:tmpl w:val="1AEAF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B50D3C"/>
    <w:multiLevelType w:val="hybridMultilevel"/>
    <w:tmpl w:val="01E4D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A94993"/>
    <w:multiLevelType w:val="hybridMultilevel"/>
    <w:tmpl w:val="AAB44A80"/>
    <w:lvl w:ilvl="0" w:tplc="AAB68D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2C741D"/>
    <w:multiLevelType w:val="hybridMultilevel"/>
    <w:tmpl w:val="85E405BA"/>
    <w:lvl w:ilvl="0" w:tplc="11961E1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7144CD"/>
    <w:multiLevelType w:val="hybridMultilevel"/>
    <w:tmpl w:val="47725CE4"/>
    <w:lvl w:ilvl="0" w:tplc="05CA70C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3" w15:restartNumberingAfterBreak="0">
    <w:nsid w:val="504A68BD"/>
    <w:multiLevelType w:val="hybridMultilevel"/>
    <w:tmpl w:val="DD0A6A60"/>
    <w:lvl w:ilvl="0" w:tplc="6BCE2850">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4" w15:restartNumberingAfterBreak="0">
    <w:nsid w:val="55C833F7"/>
    <w:multiLevelType w:val="hybridMultilevel"/>
    <w:tmpl w:val="71B6D2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70A684A"/>
    <w:multiLevelType w:val="hybridMultilevel"/>
    <w:tmpl w:val="DBB8B048"/>
    <w:lvl w:ilvl="0" w:tplc="617A062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B550C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5D6D6EEC"/>
    <w:multiLevelType w:val="hybridMultilevel"/>
    <w:tmpl w:val="6B506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B20873"/>
    <w:multiLevelType w:val="hybridMultilevel"/>
    <w:tmpl w:val="C03E99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1A0235"/>
    <w:multiLevelType w:val="hybridMultilevel"/>
    <w:tmpl w:val="DC8C811C"/>
    <w:lvl w:ilvl="0" w:tplc="0826108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738D43AA"/>
    <w:multiLevelType w:val="hybridMultilevel"/>
    <w:tmpl w:val="BFAC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346C33"/>
    <w:multiLevelType w:val="hybridMultilevel"/>
    <w:tmpl w:val="C76ADF94"/>
    <w:lvl w:ilvl="0" w:tplc="7AB4B6B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E70569D"/>
    <w:multiLevelType w:val="hybridMultilevel"/>
    <w:tmpl w:val="259E8FDC"/>
    <w:lvl w:ilvl="0" w:tplc="CD9C5F3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1"/>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7"/>
  </w:num>
  <w:num w:numId="7">
    <w:abstractNumId w:val="8"/>
  </w:num>
  <w:num w:numId="8">
    <w:abstractNumId w:val="1"/>
  </w:num>
  <w:num w:numId="9">
    <w:abstractNumId w:val="9"/>
  </w:num>
  <w:num w:numId="10">
    <w:abstractNumId w:val="0"/>
  </w:num>
  <w:num w:numId="11">
    <w:abstractNumId w:val="3"/>
  </w:num>
  <w:num w:numId="12">
    <w:abstractNumId w:val="20"/>
  </w:num>
  <w:num w:numId="13">
    <w:abstractNumId w:val="4"/>
  </w:num>
  <w:num w:numId="14">
    <w:abstractNumId w:val="14"/>
  </w:num>
  <w:num w:numId="15">
    <w:abstractNumId w:val="18"/>
  </w:num>
  <w:num w:numId="16">
    <w:abstractNumId w:val="2"/>
  </w:num>
  <w:num w:numId="17">
    <w:abstractNumId w:val="6"/>
  </w:num>
  <w:num w:numId="18">
    <w:abstractNumId w:val="10"/>
  </w:num>
  <w:num w:numId="19">
    <w:abstractNumId w:val="11"/>
  </w:num>
  <w:num w:numId="20">
    <w:abstractNumId w:val="15"/>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F2"/>
    <w:rsid w:val="0000024A"/>
    <w:rsid w:val="00001348"/>
    <w:rsid w:val="00005F31"/>
    <w:rsid w:val="00007AFC"/>
    <w:rsid w:val="0001033E"/>
    <w:rsid w:val="0001159B"/>
    <w:rsid w:val="00011979"/>
    <w:rsid w:val="000123F1"/>
    <w:rsid w:val="00032A50"/>
    <w:rsid w:val="000374AD"/>
    <w:rsid w:val="0004207B"/>
    <w:rsid w:val="00052768"/>
    <w:rsid w:val="00053876"/>
    <w:rsid w:val="00057B08"/>
    <w:rsid w:val="00060D30"/>
    <w:rsid w:val="000644F2"/>
    <w:rsid w:val="0007115E"/>
    <w:rsid w:val="00073A8B"/>
    <w:rsid w:val="0008062C"/>
    <w:rsid w:val="000838D4"/>
    <w:rsid w:val="00090D95"/>
    <w:rsid w:val="000A7606"/>
    <w:rsid w:val="000C6764"/>
    <w:rsid w:val="000D2AA6"/>
    <w:rsid w:val="000E519F"/>
    <w:rsid w:val="00110981"/>
    <w:rsid w:val="0011129A"/>
    <w:rsid w:val="00112812"/>
    <w:rsid w:val="00115B44"/>
    <w:rsid w:val="001306B3"/>
    <w:rsid w:val="0013115C"/>
    <w:rsid w:val="00131245"/>
    <w:rsid w:val="00144C63"/>
    <w:rsid w:val="00146591"/>
    <w:rsid w:val="001659F7"/>
    <w:rsid w:val="00170FA4"/>
    <w:rsid w:val="001740C8"/>
    <w:rsid w:val="001844B8"/>
    <w:rsid w:val="001848CD"/>
    <w:rsid w:val="00194A1A"/>
    <w:rsid w:val="001A045C"/>
    <w:rsid w:val="001A48DF"/>
    <w:rsid w:val="001A5966"/>
    <w:rsid w:val="001B3380"/>
    <w:rsid w:val="001C3E35"/>
    <w:rsid w:val="001C4048"/>
    <w:rsid w:val="001C5393"/>
    <w:rsid w:val="001D753D"/>
    <w:rsid w:val="001E58B4"/>
    <w:rsid w:val="002148C0"/>
    <w:rsid w:val="00215CC5"/>
    <w:rsid w:val="00216216"/>
    <w:rsid w:val="002318B6"/>
    <w:rsid w:val="0023195D"/>
    <w:rsid w:val="0023516F"/>
    <w:rsid w:val="002452EC"/>
    <w:rsid w:val="00252A81"/>
    <w:rsid w:val="00263736"/>
    <w:rsid w:val="00277475"/>
    <w:rsid w:val="00282FF8"/>
    <w:rsid w:val="00287FF5"/>
    <w:rsid w:val="00291AC7"/>
    <w:rsid w:val="00293A74"/>
    <w:rsid w:val="0029450F"/>
    <w:rsid w:val="002D32EF"/>
    <w:rsid w:val="002E0DD9"/>
    <w:rsid w:val="002F5E4A"/>
    <w:rsid w:val="002F6BF2"/>
    <w:rsid w:val="00301D06"/>
    <w:rsid w:val="00320667"/>
    <w:rsid w:val="00323468"/>
    <w:rsid w:val="00336FCD"/>
    <w:rsid w:val="003415C4"/>
    <w:rsid w:val="00341C6D"/>
    <w:rsid w:val="0034659C"/>
    <w:rsid w:val="0034766D"/>
    <w:rsid w:val="00354DE1"/>
    <w:rsid w:val="0036099A"/>
    <w:rsid w:val="003623F8"/>
    <w:rsid w:val="0036435D"/>
    <w:rsid w:val="0036593F"/>
    <w:rsid w:val="00373EBF"/>
    <w:rsid w:val="00383581"/>
    <w:rsid w:val="0039588D"/>
    <w:rsid w:val="00395C09"/>
    <w:rsid w:val="00396DEB"/>
    <w:rsid w:val="0039716D"/>
    <w:rsid w:val="003A6ADC"/>
    <w:rsid w:val="003B024E"/>
    <w:rsid w:val="003B026D"/>
    <w:rsid w:val="003C0E81"/>
    <w:rsid w:val="003C1143"/>
    <w:rsid w:val="003D15AD"/>
    <w:rsid w:val="003D4A51"/>
    <w:rsid w:val="003D66C7"/>
    <w:rsid w:val="003E0336"/>
    <w:rsid w:val="003E3E46"/>
    <w:rsid w:val="003E5DB5"/>
    <w:rsid w:val="003F04C1"/>
    <w:rsid w:val="003F642E"/>
    <w:rsid w:val="004072B8"/>
    <w:rsid w:val="004118BF"/>
    <w:rsid w:val="00412DC6"/>
    <w:rsid w:val="00430A35"/>
    <w:rsid w:val="00443B59"/>
    <w:rsid w:val="004543A6"/>
    <w:rsid w:val="00456864"/>
    <w:rsid w:val="00456FD3"/>
    <w:rsid w:val="004733FB"/>
    <w:rsid w:val="00475310"/>
    <w:rsid w:val="004867B7"/>
    <w:rsid w:val="00486A00"/>
    <w:rsid w:val="004B3956"/>
    <w:rsid w:val="004C1AA6"/>
    <w:rsid w:val="004C415E"/>
    <w:rsid w:val="004C56C2"/>
    <w:rsid w:val="004D1344"/>
    <w:rsid w:val="004E3C45"/>
    <w:rsid w:val="004F5900"/>
    <w:rsid w:val="004F7594"/>
    <w:rsid w:val="0050133B"/>
    <w:rsid w:val="00503CD6"/>
    <w:rsid w:val="00510B2A"/>
    <w:rsid w:val="00511D92"/>
    <w:rsid w:val="00514A20"/>
    <w:rsid w:val="005356AC"/>
    <w:rsid w:val="005375C0"/>
    <w:rsid w:val="0054045E"/>
    <w:rsid w:val="00540B92"/>
    <w:rsid w:val="005522DF"/>
    <w:rsid w:val="005564B6"/>
    <w:rsid w:val="00560A89"/>
    <w:rsid w:val="00562299"/>
    <w:rsid w:val="005655EF"/>
    <w:rsid w:val="00571632"/>
    <w:rsid w:val="00572582"/>
    <w:rsid w:val="00574999"/>
    <w:rsid w:val="00577E11"/>
    <w:rsid w:val="00583983"/>
    <w:rsid w:val="00590750"/>
    <w:rsid w:val="0059130C"/>
    <w:rsid w:val="005951C9"/>
    <w:rsid w:val="005971CA"/>
    <w:rsid w:val="005A4770"/>
    <w:rsid w:val="005B4944"/>
    <w:rsid w:val="005C2C3C"/>
    <w:rsid w:val="005D23FC"/>
    <w:rsid w:val="00603F84"/>
    <w:rsid w:val="006217E9"/>
    <w:rsid w:val="006229B7"/>
    <w:rsid w:val="0062690A"/>
    <w:rsid w:val="00627800"/>
    <w:rsid w:val="00631346"/>
    <w:rsid w:val="0064279C"/>
    <w:rsid w:val="00650BBC"/>
    <w:rsid w:val="00656EFF"/>
    <w:rsid w:val="0066237D"/>
    <w:rsid w:val="00666C59"/>
    <w:rsid w:val="0067702C"/>
    <w:rsid w:val="00677B03"/>
    <w:rsid w:val="00680B22"/>
    <w:rsid w:val="0068126B"/>
    <w:rsid w:val="00693251"/>
    <w:rsid w:val="006A35F7"/>
    <w:rsid w:val="006A7D23"/>
    <w:rsid w:val="006B0673"/>
    <w:rsid w:val="006C239C"/>
    <w:rsid w:val="006E60F6"/>
    <w:rsid w:val="007405E6"/>
    <w:rsid w:val="00741049"/>
    <w:rsid w:val="00742170"/>
    <w:rsid w:val="0074439F"/>
    <w:rsid w:val="00770024"/>
    <w:rsid w:val="00780A7B"/>
    <w:rsid w:val="00781DBF"/>
    <w:rsid w:val="00787E59"/>
    <w:rsid w:val="00790CAA"/>
    <w:rsid w:val="00793425"/>
    <w:rsid w:val="00795509"/>
    <w:rsid w:val="007B2E00"/>
    <w:rsid w:val="007C51AB"/>
    <w:rsid w:val="007E3D83"/>
    <w:rsid w:val="007E71E4"/>
    <w:rsid w:val="00804446"/>
    <w:rsid w:val="008068F1"/>
    <w:rsid w:val="00810AD4"/>
    <w:rsid w:val="00820D9E"/>
    <w:rsid w:val="008220CC"/>
    <w:rsid w:val="00835B22"/>
    <w:rsid w:val="0084021D"/>
    <w:rsid w:val="008420A5"/>
    <w:rsid w:val="008435E0"/>
    <w:rsid w:val="00844063"/>
    <w:rsid w:val="008517B4"/>
    <w:rsid w:val="00862059"/>
    <w:rsid w:val="008672E4"/>
    <w:rsid w:val="00867E39"/>
    <w:rsid w:val="0087264C"/>
    <w:rsid w:val="008767FC"/>
    <w:rsid w:val="00881299"/>
    <w:rsid w:val="008855DC"/>
    <w:rsid w:val="00885E89"/>
    <w:rsid w:val="00886E65"/>
    <w:rsid w:val="00890C86"/>
    <w:rsid w:val="00892931"/>
    <w:rsid w:val="00894FB3"/>
    <w:rsid w:val="00896633"/>
    <w:rsid w:val="008978E5"/>
    <w:rsid w:val="008E4BE2"/>
    <w:rsid w:val="008E63C2"/>
    <w:rsid w:val="008F0C68"/>
    <w:rsid w:val="008F5C36"/>
    <w:rsid w:val="008F5FA4"/>
    <w:rsid w:val="00912824"/>
    <w:rsid w:val="00915538"/>
    <w:rsid w:val="00917BD4"/>
    <w:rsid w:val="00921A50"/>
    <w:rsid w:val="009227A9"/>
    <w:rsid w:val="009348AD"/>
    <w:rsid w:val="00936F23"/>
    <w:rsid w:val="009415D0"/>
    <w:rsid w:val="009665A9"/>
    <w:rsid w:val="00972603"/>
    <w:rsid w:val="009910B6"/>
    <w:rsid w:val="009A7DB4"/>
    <w:rsid w:val="009B1904"/>
    <w:rsid w:val="009B2369"/>
    <w:rsid w:val="009B4C82"/>
    <w:rsid w:val="009B69C7"/>
    <w:rsid w:val="009B71C7"/>
    <w:rsid w:val="009C098E"/>
    <w:rsid w:val="009C15EF"/>
    <w:rsid w:val="009E014D"/>
    <w:rsid w:val="009F5DFA"/>
    <w:rsid w:val="00A012F5"/>
    <w:rsid w:val="00A05A55"/>
    <w:rsid w:val="00A3002E"/>
    <w:rsid w:val="00A334BA"/>
    <w:rsid w:val="00A340D8"/>
    <w:rsid w:val="00A34645"/>
    <w:rsid w:val="00A440D3"/>
    <w:rsid w:val="00A52F4C"/>
    <w:rsid w:val="00A60CF4"/>
    <w:rsid w:val="00A66AB0"/>
    <w:rsid w:val="00A7126A"/>
    <w:rsid w:val="00A721BB"/>
    <w:rsid w:val="00A847A3"/>
    <w:rsid w:val="00A87617"/>
    <w:rsid w:val="00AA077A"/>
    <w:rsid w:val="00AB18B8"/>
    <w:rsid w:val="00AD1301"/>
    <w:rsid w:val="00AE0F25"/>
    <w:rsid w:val="00AF64E2"/>
    <w:rsid w:val="00AF69EF"/>
    <w:rsid w:val="00B018D0"/>
    <w:rsid w:val="00B05042"/>
    <w:rsid w:val="00B17DED"/>
    <w:rsid w:val="00B26A50"/>
    <w:rsid w:val="00B33F80"/>
    <w:rsid w:val="00B36C39"/>
    <w:rsid w:val="00B502E7"/>
    <w:rsid w:val="00B50E3B"/>
    <w:rsid w:val="00B53A4F"/>
    <w:rsid w:val="00B53CCF"/>
    <w:rsid w:val="00B54574"/>
    <w:rsid w:val="00B63EE1"/>
    <w:rsid w:val="00B730E9"/>
    <w:rsid w:val="00B90689"/>
    <w:rsid w:val="00B920BB"/>
    <w:rsid w:val="00B9643C"/>
    <w:rsid w:val="00BA3DFE"/>
    <w:rsid w:val="00BA5FA5"/>
    <w:rsid w:val="00BB0A4D"/>
    <w:rsid w:val="00BC3811"/>
    <w:rsid w:val="00BD746B"/>
    <w:rsid w:val="00BF4FC7"/>
    <w:rsid w:val="00C11702"/>
    <w:rsid w:val="00C262C4"/>
    <w:rsid w:val="00C264FB"/>
    <w:rsid w:val="00C26844"/>
    <w:rsid w:val="00C45BB5"/>
    <w:rsid w:val="00C53CA6"/>
    <w:rsid w:val="00C5465A"/>
    <w:rsid w:val="00C6351A"/>
    <w:rsid w:val="00C64553"/>
    <w:rsid w:val="00C64C6E"/>
    <w:rsid w:val="00C6631B"/>
    <w:rsid w:val="00C729DE"/>
    <w:rsid w:val="00C74716"/>
    <w:rsid w:val="00C74DDA"/>
    <w:rsid w:val="00C904F8"/>
    <w:rsid w:val="00C964A9"/>
    <w:rsid w:val="00C973AB"/>
    <w:rsid w:val="00CA5B27"/>
    <w:rsid w:val="00CA7FF0"/>
    <w:rsid w:val="00CC1688"/>
    <w:rsid w:val="00CC45DD"/>
    <w:rsid w:val="00CE73FF"/>
    <w:rsid w:val="00CE7A88"/>
    <w:rsid w:val="00D05123"/>
    <w:rsid w:val="00D06031"/>
    <w:rsid w:val="00D12CAF"/>
    <w:rsid w:val="00D13164"/>
    <w:rsid w:val="00D147FD"/>
    <w:rsid w:val="00D21B6B"/>
    <w:rsid w:val="00D26C1E"/>
    <w:rsid w:val="00D67420"/>
    <w:rsid w:val="00D7008B"/>
    <w:rsid w:val="00D70531"/>
    <w:rsid w:val="00D72C99"/>
    <w:rsid w:val="00D74060"/>
    <w:rsid w:val="00D75982"/>
    <w:rsid w:val="00D8079E"/>
    <w:rsid w:val="00D962F6"/>
    <w:rsid w:val="00DA1B30"/>
    <w:rsid w:val="00DA624D"/>
    <w:rsid w:val="00DB1249"/>
    <w:rsid w:val="00DB648A"/>
    <w:rsid w:val="00DC1043"/>
    <w:rsid w:val="00DC112F"/>
    <w:rsid w:val="00DD3187"/>
    <w:rsid w:val="00DD3C1F"/>
    <w:rsid w:val="00DD5EDD"/>
    <w:rsid w:val="00DE0BA7"/>
    <w:rsid w:val="00DE5A7E"/>
    <w:rsid w:val="00E13841"/>
    <w:rsid w:val="00E159C9"/>
    <w:rsid w:val="00E1632A"/>
    <w:rsid w:val="00E20B2F"/>
    <w:rsid w:val="00E23E81"/>
    <w:rsid w:val="00E415FE"/>
    <w:rsid w:val="00E421F8"/>
    <w:rsid w:val="00E43176"/>
    <w:rsid w:val="00E535D1"/>
    <w:rsid w:val="00E56115"/>
    <w:rsid w:val="00E618CF"/>
    <w:rsid w:val="00E62148"/>
    <w:rsid w:val="00E63E6E"/>
    <w:rsid w:val="00E87FE8"/>
    <w:rsid w:val="00E90FDB"/>
    <w:rsid w:val="00E930B6"/>
    <w:rsid w:val="00EA3739"/>
    <w:rsid w:val="00EB01EB"/>
    <w:rsid w:val="00EB6959"/>
    <w:rsid w:val="00ED7602"/>
    <w:rsid w:val="00EE7ADB"/>
    <w:rsid w:val="00EF066E"/>
    <w:rsid w:val="00EF06B5"/>
    <w:rsid w:val="00F176CE"/>
    <w:rsid w:val="00F17E9E"/>
    <w:rsid w:val="00F23F7C"/>
    <w:rsid w:val="00F25DCC"/>
    <w:rsid w:val="00F301E8"/>
    <w:rsid w:val="00F3147E"/>
    <w:rsid w:val="00F32240"/>
    <w:rsid w:val="00F34702"/>
    <w:rsid w:val="00F3517A"/>
    <w:rsid w:val="00F35F75"/>
    <w:rsid w:val="00F37FCC"/>
    <w:rsid w:val="00F47D65"/>
    <w:rsid w:val="00F5047C"/>
    <w:rsid w:val="00F600F8"/>
    <w:rsid w:val="00F60BDF"/>
    <w:rsid w:val="00F636D9"/>
    <w:rsid w:val="00F76F23"/>
    <w:rsid w:val="00F80306"/>
    <w:rsid w:val="00F81F9E"/>
    <w:rsid w:val="00F86EA6"/>
    <w:rsid w:val="00F93802"/>
    <w:rsid w:val="00FA3B56"/>
    <w:rsid w:val="00FA3CD5"/>
    <w:rsid w:val="00FA430E"/>
    <w:rsid w:val="00FC6632"/>
    <w:rsid w:val="00FD0B44"/>
    <w:rsid w:val="00FD2294"/>
    <w:rsid w:val="00FE3BD0"/>
    <w:rsid w:val="00FF2A39"/>
    <w:rsid w:val="00FF64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46A04AE"/>
  <w15:docId w15:val="{BB608AFB-4807-4FFB-B7E1-1BB940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4F2"/>
    <w:pPr>
      <w:spacing w:after="200"/>
    </w:pPr>
    <w:rPr>
      <w:rFonts w:ascii="Calibri" w:eastAsia="Calibri" w:hAnsi="Calibri" w:cs="Times New Roman"/>
    </w:rPr>
  </w:style>
  <w:style w:type="paragraph" w:styleId="Heading1">
    <w:name w:val="heading 1"/>
    <w:basedOn w:val="Normal"/>
    <w:next w:val="Normal"/>
    <w:link w:val="Heading1Char"/>
    <w:qFormat/>
    <w:rsid w:val="004867B7"/>
    <w:pPr>
      <w:keepNext/>
      <w:numPr>
        <w:numId w:val="23"/>
      </w:numPr>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qFormat/>
    <w:rsid w:val="004867B7"/>
    <w:pPr>
      <w:keepNext/>
      <w:numPr>
        <w:ilvl w:val="1"/>
        <w:numId w:val="23"/>
      </w:numPr>
      <w:spacing w:after="0" w:line="240" w:lineRule="auto"/>
      <w:outlineLvl w:val="1"/>
    </w:pPr>
    <w:rPr>
      <w:rFonts w:ascii="Times New Roman" w:eastAsia="Times New Roman" w:hAnsi="Times New Roman"/>
      <w:b/>
      <w:bCs/>
      <w:sz w:val="32"/>
      <w:szCs w:val="24"/>
    </w:rPr>
  </w:style>
  <w:style w:type="paragraph" w:styleId="Heading3">
    <w:name w:val="heading 3"/>
    <w:basedOn w:val="Normal"/>
    <w:next w:val="Normal"/>
    <w:link w:val="Heading3Char"/>
    <w:qFormat/>
    <w:rsid w:val="004867B7"/>
    <w:pPr>
      <w:keepNext/>
      <w:numPr>
        <w:ilvl w:val="2"/>
        <w:numId w:val="23"/>
      </w:numPr>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4867B7"/>
    <w:pPr>
      <w:keepNext/>
      <w:numPr>
        <w:ilvl w:val="3"/>
        <w:numId w:val="23"/>
      </w:numPr>
      <w:spacing w:before="240" w:after="60" w:line="240" w:lineRule="auto"/>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qFormat/>
    <w:rsid w:val="004867B7"/>
    <w:pPr>
      <w:numPr>
        <w:ilvl w:val="4"/>
        <w:numId w:val="23"/>
      </w:numPr>
      <w:spacing w:before="240" w:after="60" w:line="240" w:lineRule="auto"/>
      <w:outlineLvl w:val="4"/>
    </w:pPr>
    <w:rPr>
      <w:rFonts w:ascii="Times New Roman" w:eastAsia="Times New Roman" w:hAnsi="Times New Roman"/>
      <w:b/>
      <w:bCs/>
      <w:i/>
      <w:iCs/>
      <w:sz w:val="26"/>
      <w:szCs w:val="26"/>
      <w:lang w:val="en-GB"/>
    </w:rPr>
  </w:style>
  <w:style w:type="paragraph" w:styleId="Heading6">
    <w:name w:val="heading 6"/>
    <w:basedOn w:val="Normal"/>
    <w:next w:val="Normal"/>
    <w:link w:val="Heading6Char"/>
    <w:qFormat/>
    <w:rsid w:val="004867B7"/>
    <w:pPr>
      <w:numPr>
        <w:ilvl w:val="5"/>
        <w:numId w:val="23"/>
      </w:numPr>
      <w:spacing w:before="240" w:after="60" w:line="240" w:lineRule="auto"/>
      <w:outlineLvl w:val="5"/>
    </w:pPr>
    <w:rPr>
      <w:rFonts w:ascii="Times New Roman" w:eastAsia="Times New Roman" w:hAnsi="Times New Roman"/>
      <w:b/>
      <w:bCs/>
      <w:lang w:val="en-GB"/>
    </w:rPr>
  </w:style>
  <w:style w:type="paragraph" w:styleId="Heading7">
    <w:name w:val="heading 7"/>
    <w:basedOn w:val="Normal"/>
    <w:next w:val="Normal"/>
    <w:link w:val="Heading7Char"/>
    <w:qFormat/>
    <w:rsid w:val="004867B7"/>
    <w:pPr>
      <w:numPr>
        <w:ilvl w:val="6"/>
        <w:numId w:val="23"/>
      </w:numPr>
      <w:spacing w:before="240" w:after="60" w:line="240" w:lineRule="auto"/>
      <w:outlineLvl w:val="6"/>
    </w:pPr>
    <w:rPr>
      <w:rFonts w:ascii="Times New Roman" w:eastAsia="Times New Roman" w:hAnsi="Times New Roman"/>
      <w:sz w:val="24"/>
      <w:szCs w:val="24"/>
      <w:lang w:val="en-GB"/>
    </w:rPr>
  </w:style>
  <w:style w:type="paragraph" w:styleId="Heading8">
    <w:name w:val="heading 8"/>
    <w:basedOn w:val="Normal"/>
    <w:next w:val="Normal"/>
    <w:link w:val="Heading8Char"/>
    <w:qFormat/>
    <w:rsid w:val="004867B7"/>
    <w:pPr>
      <w:numPr>
        <w:ilvl w:val="7"/>
        <w:numId w:val="23"/>
      </w:numPr>
      <w:spacing w:before="240" w:after="60" w:line="240" w:lineRule="auto"/>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4867B7"/>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4F2"/>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644F2"/>
  </w:style>
  <w:style w:type="paragraph" w:styleId="Footer">
    <w:name w:val="footer"/>
    <w:basedOn w:val="Normal"/>
    <w:link w:val="FooterChar"/>
    <w:uiPriority w:val="99"/>
    <w:unhideWhenUsed/>
    <w:rsid w:val="000644F2"/>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644F2"/>
  </w:style>
  <w:style w:type="table" w:styleId="TableGrid">
    <w:name w:val="Table Grid"/>
    <w:basedOn w:val="TableNormal"/>
    <w:uiPriority w:val="59"/>
    <w:rsid w:val="000644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0644F2"/>
    <w:pPr>
      <w:spacing w:after="0" w:line="240" w:lineRule="auto"/>
      <w:jc w:val="both"/>
      <w:outlineLvl w:val="0"/>
    </w:pPr>
    <w:rPr>
      <w:rFonts w:ascii="Times New Roman" w:eastAsia="Times New Roman" w:hAnsi="Times New Roman"/>
      <w:sz w:val="24"/>
      <w:szCs w:val="24"/>
      <w:lang w:val="en-GB"/>
    </w:rPr>
  </w:style>
  <w:style w:type="character" w:styleId="Strong">
    <w:name w:val="Strong"/>
    <w:basedOn w:val="DefaultParagraphFont"/>
    <w:uiPriority w:val="22"/>
    <w:qFormat/>
    <w:rsid w:val="00C11702"/>
    <w:rPr>
      <w:b/>
      <w:bCs/>
    </w:rPr>
  </w:style>
  <w:style w:type="paragraph" w:styleId="NormalWeb">
    <w:name w:val="Normal (Web)"/>
    <w:basedOn w:val="Normal"/>
    <w:uiPriority w:val="99"/>
    <w:unhideWhenUsed/>
    <w:rsid w:val="00B63E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uiPriority w:val="99"/>
    <w:rsid w:val="001844B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1844B8"/>
    <w:pPr>
      <w:spacing w:before="100" w:beforeAutospacing="1" w:after="100" w:afterAutospacing="1" w:line="240" w:lineRule="auto"/>
    </w:pPr>
    <w:rPr>
      <w:rFonts w:ascii="Times New Roman" w:eastAsia="Times New Roman" w:hAnsi="Times New Roman"/>
      <w:sz w:val="24"/>
      <w:szCs w:val="24"/>
      <w:lang w:eastAsia="lv-LV"/>
    </w:rPr>
  </w:style>
  <w:style w:type="paragraph" w:styleId="BodyTextIndent">
    <w:name w:val="Body Text Indent"/>
    <w:basedOn w:val="Normal"/>
    <w:link w:val="BodyTextIndentChar"/>
    <w:rsid w:val="001844B8"/>
    <w:pPr>
      <w:widowControl w:val="0"/>
      <w:spacing w:before="60" w:after="120" w:line="360" w:lineRule="auto"/>
      <w:ind w:left="283" w:firstLine="720"/>
      <w:jc w:val="both"/>
    </w:pPr>
    <w:rPr>
      <w:rFonts w:ascii="Times New Roman" w:eastAsia="Times New Roman" w:hAnsi="Times New Roman"/>
      <w:sz w:val="26"/>
      <w:szCs w:val="20"/>
      <w:lang w:val="en-AU"/>
    </w:rPr>
  </w:style>
  <w:style w:type="character" w:customStyle="1" w:styleId="BodyTextIndentChar">
    <w:name w:val="Body Text Indent Char"/>
    <w:basedOn w:val="DefaultParagraphFont"/>
    <w:link w:val="BodyTextIndent"/>
    <w:rsid w:val="001844B8"/>
    <w:rPr>
      <w:rFonts w:ascii="Times New Roman" w:eastAsia="Times New Roman" w:hAnsi="Times New Roman" w:cs="Times New Roman"/>
      <w:sz w:val="26"/>
      <w:szCs w:val="20"/>
      <w:lang w:val="en-AU"/>
    </w:rPr>
  </w:style>
  <w:style w:type="paragraph" w:customStyle="1" w:styleId="naisc">
    <w:name w:val="naisc"/>
    <w:basedOn w:val="Normal"/>
    <w:rsid w:val="001844B8"/>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8672E4"/>
    <w:pPr>
      <w:widowControl w:val="0"/>
      <w:ind w:left="720"/>
      <w:contextualSpacing/>
    </w:pPr>
    <w:rPr>
      <w:lang w:val="en-US"/>
    </w:rPr>
  </w:style>
  <w:style w:type="paragraph" w:styleId="NoSpacing">
    <w:name w:val="No Spacing"/>
    <w:uiPriority w:val="1"/>
    <w:qFormat/>
    <w:rsid w:val="00F37FCC"/>
    <w:pPr>
      <w:spacing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847A3"/>
    <w:rPr>
      <w:color w:val="0000FF"/>
      <w:u w:val="single"/>
    </w:rPr>
  </w:style>
  <w:style w:type="paragraph" w:styleId="BalloonText">
    <w:name w:val="Balloon Text"/>
    <w:basedOn w:val="Normal"/>
    <w:link w:val="BalloonTextChar"/>
    <w:uiPriority w:val="99"/>
    <w:semiHidden/>
    <w:unhideWhenUsed/>
    <w:rsid w:val="00336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CD"/>
    <w:rPr>
      <w:rFonts w:ascii="Segoe UI" w:eastAsia="Calibri" w:hAnsi="Segoe UI" w:cs="Segoe UI"/>
      <w:sz w:val="18"/>
      <w:szCs w:val="18"/>
    </w:rPr>
  </w:style>
  <w:style w:type="character" w:customStyle="1" w:styleId="spelle">
    <w:name w:val="spelle"/>
    <w:basedOn w:val="DefaultParagraphFont"/>
    <w:rsid w:val="00430A35"/>
  </w:style>
  <w:style w:type="paragraph" w:styleId="BodyText">
    <w:name w:val="Body Text"/>
    <w:basedOn w:val="Normal"/>
    <w:link w:val="BodyTextChar"/>
    <w:uiPriority w:val="99"/>
    <w:unhideWhenUsed/>
    <w:rsid w:val="00B9643C"/>
    <w:pPr>
      <w:widowControl w:val="0"/>
      <w:spacing w:after="120"/>
    </w:pPr>
  </w:style>
  <w:style w:type="character" w:customStyle="1" w:styleId="BodyTextChar">
    <w:name w:val="Body Text Char"/>
    <w:basedOn w:val="DefaultParagraphFont"/>
    <w:link w:val="BodyText"/>
    <w:uiPriority w:val="99"/>
    <w:rsid w:val="00B9643C"/>
    <w:rPr>
      <w:rFonts w:ascii="Calibri" w:eastAsia="Calibri" w:hAnsi="Calibri" w:cs="Times New Roman"/>
    </w:rPr>
  </w:style>
  <w:style w:type="character" w:customStyle="1" w:styleId="Heading1Char">
    <w:name w:val="Heading 1 Char"/>
    <w:basedOn w:val="DefaultParagraphFont"/>
    <w:link w:val="Heading1"/>
    <w:rsid w:val="004867B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67B7"/>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4867B7"/>
    <w:rPr>
      <w:rFonts w:ascii="Arial" w:eastAsia="Times New Roman" w:hAnsi="Arial" w:cs="Arial"/>
      <w:b/>
      <w:bCs/>
      <w:sz w:val="26"/>
      <w:szCs w:val="26"/>
      <w:lang w:val="en-GB"/>
    </w:rPr>
  </w:style>
  <w:style w:type="character" w:customStyle="1" w:styleId="Heading4Char">
    <w:name w:val="Heading 4 Char"/>
    <w:basedOn w:val="DefaultParagraphFont"/>
    <w:link w:val="Heading4"/>
    <w:rsid w:val="004867B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867B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867B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867B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867B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867B7"/>
    <w:rPr>
      <w:rFonts w:ascii="Arial" w:eastAsia="Times New Roman" w:hAnsi="Arial" w:cs="Arial"/>
      <w:lang w:val="en-GB"/>
    </w:rPr>
  </w:style>
  <w:style w:type="paragraph" w:styleId="FootnoteText">
    <w:name w:val="footnote text"/>
    <w:basedOn w:val="Normal"/>
    <w:link w:val="FootnoteTextChar"/>
    <w:uiPriority w:val="99"/>
    <w:unhideWhenUsed/>
    <w:rsid w:val="004C415E"/>
    <w:pPr>
      <w:widowControl w:val="0"/>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C415E"/>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4C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01131">
      <w:bodyDiv w:val="1"/>
      <w:marLeft w:val="0"/>
      <w:marRight w:val="0"/>
      <w:marTop w:val="0"/>
      <w:marBottom w:val="0"/>
      <w:divBdr>
        <w:top w:val="none" w:sz="0" w:space="0" w:color="auto"/>
        <w:left w:val="none" w:sz="0" w:space="0" w:color="auto"/>
        <w:bottom w:val="none" w:sz="0" w:space="0" w:color="auto"/>
        <w:right w:val="none" w:sz="0" w:space="0" w:color="auto"/>
      </w:divBdr>
    </w:div>
    <w:div w:id="518007394">
      <w:bodyDiv w:val="1"/>
      <w:marLeft w:val="0"/>
      <w:marRight w:val="0"/>
      <w:marTop w:val="0"/>
      <w:marBottom w:val="0"/>
      <w:divBdr>
        <w:top w:val="none" w:sz="0" w:space="0" w:color="auto"/>
        <w:left w:val="none" w:sz="0" w:space="0" w:color="auto"/>
        <w:bottom w:val="none" w:sz="0" w:space="0" w:color="auto"/>
        <w:right w:val="none" w:sz="0" w:space="0" w:color="auto"/>
      </w:divBdr>
    </w:div>
    <w:div w:id="696127811">
      <w:bodyDiv w:val="1"/>
      <w:marLeft w:val="0"/>
      <w:marRight w:val="0"/>
      <w:marTop w:val="0"/>
      <w:marBottom w:val="0"/>
      <w:divBdr>
        <w:top w:val="none" w:sz="0" w:space="0" w:color="auto"/>
        <w:left w:val="none" w:sz="0" w:space="0" w:color="auto"/>
        <w:bottom w:val="none" w:sz="0" w:space="0" w:color="auto"/>
        <w:right w:val="none" w:sz="0" w:space="0" w:color="auto"/>
      </w:divBdr>
    </w:div>
    <w:div w:id="785350404">
      <w:bodyDiv w:val="1"/>
      <w:marLeft w:val="0"/>
      <w:marRight w:val="0"/>
      <w:marTop w:val="0"/>
      <w:marBottom w:val="0"/>
      <w:divBdr>
        <w:top w:val="none" w:sz="0" w:space="0" w:color="auto"/>
        <w:left w:val="none" w:sz="0" w:space="0" w:color="auto"/>
        <w:bottom w:val="none" w:sz="0" w:space="0" w:color="auto"/>
        <w:right w:val="none" w:sz="0" w:space="0" w:color="auto"/>
      </w:divBdr>
    </w:div>
    <w:div w:id="970667934">
      <w:bodyDiv w:val="1"/>
      <w:marLeft w:val="0"/>
      <w:marRight w:val="0"/>
      <w:marTop w:val="0"/>
      <w:marBottom w:val="0"/>
      <w:divBdr>
        <w:top w:val="none" w:sz="0" w:space="0" w:color="auto"/>
        <w:left w:val="none" w:sz="0" w:space="0" w:color="auto"/>
        <w:bottom w:val="none" w:sz="0" w:space="0" w:color="auto"/>
        <w:right w:val="none" w:sz="0" w:space="0" w:color="auto"/>
      </w:divBdr>
    </w:div>
    <w:div w:id="1721510663">
      <w:bodyDiv w:val="1"/>
      <w:marLeft w:val="0"/>
      <w:marRight w:val="0"/>
      <w:marTop w:val="0"/>
      <w:marBottom w:val="0"/>
      <w:divBdr>
        <w:top w:val="none" w:sz="0" w:space="0" w:color="auto"/>
        <w:left w:val="none" w:sz="0" w:space="0" w:color="auto"/>
        <w:bottom w:val="none" w:sz="0" w:space="0" w:color="auto"/>
        <w:right w:val="none" w:sz="0" w:space="0" w:color="auto"/>
      </w:divBdr>
      <w:divsChild>
        <w:div w:id="1723364256">
          <w:marLeft w:val="0"/>
          <w:marRight w:val="0"/>
          <w:marTop w:val="0"/>
          <w:marBottom w:val="0"/>
          <w:divBdr>
            <w:top w:val="none" w:sz="0" w:space="0" w:color="auto"/>
            <w:left w:val="none" w:sz="0" w:space="0" w:color="auto"/>
            <w:bottom w:val="none" w:sz="0" w:space="0" w:color="auto"/>
            <w:right w:val="none" w:sz="0" w:space="0" w:color="auto"/>
          </w:divBdr>
          <w:divsChild>
            <w:div w:id="1485471235">
              <w:marLeft w:val="0"/>
              <w:marRight w:val="0"/>
              <w:marTop w:val="0"/>
              <w:marBottom w:val="0"/>
              <w:divBdr>
                <w:top w:val="none" w:sz="0" w:space="0" w:color="auto"/>
                <w:left w:val="none" w:sz="0" w:space="0" w:color="auto"/>
                <w:bottom w:val="none" w:sz="0" w:space="0" w:color="auto"/>
                <w:right w:val="none" w:sz="0" w:space="0" w:color="auto"/>
              </w:divBdr>
              <w:divsChild>
                <w:div w:id="1964921207">
                  <w:marLeft w:val="0"/>
                  <w:marRight w:val="0"/>
                  <w:marTop w:val="0"/>
                  <w:marBottom w:val="0"/>
                  <w:divBdr>
                    <w:top w:val="none" w:sz="0" w:space="0" w:color="auto"/>
                    <w:left w:val="none" w:sz="0" w:space="0" w:color="auto"/>
                    <w:bottom w:val="none" w:sz="0" w:space="0" w:color="auto"/>
                    <w:right w:val="none" w:sz="0" w:space="0" w:color="auto"/>
                  </w:divBdr>
                  <w:divsChild>
                    <w:div w:id="2006545876">
                      <w:marLeft w:val="0"/>
                      <w:marRight w:val="0"/>
                      <w:marTop w:val="0"/>
                      <w:marBottom w:val="0"/>
                      <w:divBdr>
                        <w:top w:val="none" w:sz="0" w:space="0" w:color="auto"/>
                        <w:left w:val="none" w:sz="0" w:space="0" w:color="auto"/>
                        <w:bottom w:val="none" w:sz="0" w:space="0" w:color="auto"/>
                        <w:right w:val="none" w:sz="0" w:space="0" w:color="auto"/>
                      </w:divBdr>
                      <w:divsChild>
                        <w:div w:id="1006521693">
                          <w:marLeft w:val="0"/>
                          <w:marRight w:val="0"/>
                          <w:marTop w:val="0"/>
                          <w:marBottom w:val="0"/>
                          <w:divBdr>
                            <w:top w:val="none" w:sz="0" w:space="0" w:color="auto"/>
                            <w:left w:val="none" w:sz="0" w:space="0" w:color="auto"/>
                            <w:bottom w:val="none" w:sz="0" w:space="0" w:color="auto"/>
                            <w:right w:val="none" w:sz="0" w:space="0" w:color="auto"/>
                          </w:divBdr>
                          <w:divsChild>
                            <w:div w:id="914977198">
                              <w:marLeft w:val="0"/>
                              <w:marRight w:val="0"/>
                              <w:marTop w:val="0"/>
                              <w:marBottom w:val="0"/>
                              <w:divBdr>
                                <w:top w:val="none" w:sz="0" w:space="0" w:color="auto"/>
                                <w:left w:val="none" w:sz="0" w:space="0" w:color="auto"/>
                                <w:bottom w:val="none" w:sz="0" w:space="0" w:color="auto"/>
                                <w:right w:val="none" w:sz="0" w:space="0" w:color="auto"/>
                              </w:divBdr>
                              <w:divsChild>
                                <w:div w:id="335696503">
                                  <w:marLeft w:val="0"/>
                                  <w:marRight w:val="0"/>
                                  <w:marTop w:val="0"/>
                                  <w:marBottom w:val="0"/>
                                  <w:divBdr>
                                    <w:top w:val="none" w:sz="0" w:space="0" w:color="auto"/>
                                    <w:left w:val="none" w:sz="0" w:space="0" w:color="auto"/>
                                    <w:bottom w:val="none" w:sz="0" w:space="0" w:color="auto"/>
                                    <w:right w:val="none" w:sz="0" w:space="0" w:color="auto"/>
                                  </w:divBdr>
                                  <w:divsChild>
                                    <w:div w:id="85468817">
                                      <w:marLeft w:val="0"/>
                                      <w:marRight w:val="0"/>
                                      <w:marTop w:val="0"/>
                                      <w:marBottom w:val="0"/>
                                      <w:divBdr>
                                        <w:top w:val="none" w:sz="0" w:space="0" w:color="auto"/>
                                        <w:left w:val="none" w:sz="0" w:space="0" w:color="auto"/>
                                        <w:bottom w:val="none" w:sz="0" w:space="0" w:color="auto"/>
                                        <w:right w:val="none" w:sz="0" w:space="0" w:color="auto"/>
                                      </w:divBdr>
                                      <w:divsChild>
                                        <w:div w:id="1387297344">
                                          <w:marLeft w:val="0"/>
                                          <w:marRight w:val="0"/>
                                          <w:marTop w:val="0"/>
                                          <w:marBottom w:val="0"/>
                                          <w:divBdr>
                                            <w:top w:val="none" w:sz="0" w:space="0" w:color="auto"/>
                                            <w:left w:val="none" w:sz="0" w:space="0" w:color="auto"/>
                                            <w:bottom w:val="none" w:sz="0" w:space="0" w:color="auto"/>
                                            <w:right w:val="none" w:sz="0" w:space="0" w:color="auto"/>
                                          </w:divBdr>
                                          <w:divsChild>
                                            <w:div w:id="669064326">
                                              <w:marLeft w:val="0"/>
                                              <w:marRight w:val="0"/>
                                              <w:marTop w:val="0"/>
                                              <w:marBottom w:val="0"/>
                                              <w:divBdr>
                                                <w:top w:val="none" w:sz="0" w:space="0" w:color="auto"/>
                                                <w:left w:val="none" w:sz="0" w:space="0" w:color="auto"/>
                                                <w:bottom w:val="none" w:sz="0" w:space="0" w:color="auto"/>
                                                <w:right w:val="none" w:sz="0" w:space="0" w:color="auto"/>
                                              </w:divBdr>
                                              <w:divsChild>
                                                <w:div w:id="579560096">
                                                  <w:marLeft w:val="0"/>
                                                  <w:marRight w:val="0"/>
                                                  <w:marTop w:val="0"/>
                                                  <w:marBottom w:val="0"/>
                                                  <w:divBdr>
                                                    <w:top w:val="none" w:sz="0" w:space="0" w:color="auto"/>
                                                    <w:left w:val="none" w:sz="0" w:space="0" w:color="auto"/>
                                                    <w:bottom w:val="none" w:sz="0" w:space="0" w:color="auto"/>
                                                    <w:right w:val="none" w:sz="0" w:space="0" w:color="auto"/>
                                                  </w:divBdr>
                                                  <w:divsChild>
                                                    <w:div w:id="85077503">
                                                      <w:marLeft w:val="0"/>
                                                      <w:marRight w:val="0"/>
                                                      <w:marTop w:val="0"/>
                                                      <w:marBottom w:val="0"/>
                                                      <w:divBdr>
                                                        <w:top w:val="none" w:sz="0" w:space="0" w:color="auto"/>
                                                        <w:left w:val="none" w:sz="0" w:space="0" w:color="auto"/>
                                                        <w:bottom w:val="none" w:sz="0" w:space="0" w:color="auto"/>
                                                        <w:right w:val="none" w:sz="0" w:space="0" w:color="auto"/>
                                                      </w:divBdr>
                                                      <w:divsChild>
                                                        <w:div w:id="287585153">
                                                          <w:marLeft w:val="0"/>
                                                          <w:marRight w:val="0"/>
                                                          <w:marTop w:val="0"/>
                                                          <w:marBottom w:val="0"/>
                                                          <w:divBdr>
                                                            <w:top w:val="none" w:sz="0" w:space="0" w:color="auto"/>
                                                            <w:left w:val="none" w:sz="0" w:space="0" w:color="auto"/>
                                                            <w:bottom w:val="none" w:sz="0" w:space="0" w:color="auto"/>
                                                            <w:right w:val="none" w:sz="0" w:space="0" w:color="auto"/>
                                                          </w:divBdr>
                                                          <w:divsChild>
                                                            <w:div w:id="776295137">
                                                              <w:marLeft w:val="0"/>
                                                              <w:marRight w:val="0"/>
                                                              <w:marTop w:val="0"/>
                                                              <w:marBottom w:val="0"/>
                                                              <w:divBdr>
                                                                <w:top w:val="none" w:sz="0" w:space="0" w:color="auto"/>
                                                                <w:left w:val="none" w:sz="0" w:space="0" w:color="auto"/>
                                                                <w:bottom w:val="none" w:sz="0" w:space="0" w:color="auto"/>
                                                                <w:right w:val="none" w:sz="0" w:space="0" w:color="auto"/>
                                                              </w:divBdr>
                                                              <w:divsChild>
                                                                <w:div w:id="983967264">
                                                                  <w:marLeft w:val="0"/>
                                                                  <w:marRight w:val="0"/>
                                                                  <w:marTop w:val="0"/>
                                                                  <w:marBottom w:val="0"/>
                                                                  <w:divBdr>
                                                                    <w:top w:val="none" w:sz="0" w:space="0" w:color="auto"/>
                                                                    <w:left w:val="none" w:sz="0" w:space="0" w:color="auto"/>
                                                                    <w:bottom w:val="none" w:sz="0" w:space="0" w:color="auto"/>
                                                                    <w:right w:val="none" w:sz="0" w:space="0" w:color="auto"/>
                                                                  </w:divBdr>
                                                                  <w:divsChild>
                                                                    <w:div w:id="709576590">
                                                                      <w:marLeft w:val="0"/>
                                                                      <w:marRight w:val="0"/>
                                                                      <w:marTop w:val="0"/>
                                                                      <w:marBottom w:val="0"/>
                                                                      <w:divBdr>
                                                                        <w:top w:val="none" w:sz="0" w:space="0" w:color="auto"/>
                                                                        <w:left w:val="none" w:sz="0" w:space="0" w:color="auto"/>
                                                                        <w:bottom w:val="none" w:sz="0" w:space="0" w:color="auto"/>
                                                                        <w:right w:val="none" w:sz="0" w:space="0" w:color="auto"/>
                                                                      </w:divBdr>
                                                                      <w:divsChild>
                                                                        <w:div w:id="1064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43696">
      <w:bodyDiv w:val="1"/>
      <w:marLeft w:val="0"/>
      <w:marRight w:val="0"/>
      <w:marTop w:val="0"/>
      <w:marBottom w:val="0"/>
      <w:divBdr>
        <w:top w:val="none" w:sz="0" w:space="0" w:color="auto"/>
        <w:left w:val="none" w:sz="0" w:space="0" w:color="auto"/>
        <w:bottom w:val="none" w:sz="0" w:space="0" w:color="auto"/>
        <w:right w:val="none" w:sz="0" w:space="0" w:color="auto"/>
      </w:divBdr>
    </w:div>
    <w:div w:id="20091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8363-751E-4FDA-9223-74940565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3061</Words>
  <Characters>1746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Izziņa par atzinumos sniegtajiem iebildumiem par  Grozījumiem Ministru kabineta 2016. gada 20. decembra noteikumos Nr. 812 "Oficiālās stattistikas veidlapu paraugu apstiprināšanas un veidlapu aizpildīšanas un iesniegšanas noteikumi" (VSS-995)</vt:lpstr>
    </vt:vector>
  </TitlesOfParts>
  <Manager>EM</Manager>
  <Company>Centrālā statistikas pārvalde</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Grozījumiem Ministru kabineta 2016. gada 20. decembra noteikumos Nr. 812 "Oficiālās stattistikas veidlapu paraugu apstiprināšanas un veidlapu aizpildīšanas un iesniegšanas noteikumi" (VSS-995)</dc:title>
  <dc:subject>Izziņa</dc:subject>
  <dc:creator>Guna Pilņa</dc:creator>
  <dc:description>67366773 Guna.Pilina@csb.gov.lv</dc:description>
  <cp:lastModifiedBy>Jānis Ušpelis</cp:lastModifiedBy>
  <cp:revision>3</cp:revision>
  <dcterms:created xsi:type="dcterms:W3CDTF">2019-12-03T08:58:00Z</dcterms:created>
  <dcterms:modified xsi:type="dcterms:W3CDTF">2019-12-03T09:05:00Z</dcterms:modified>
</cp:coreProperties>
</file>