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D847" w14:textId="77777777" w:rsidR="00AF75EB" w:rsidRPr="00F27FAC" w:rsidRDefault="00AF75EB" w:rsidP="00AF75EB">
      <w:pPr>
        <w:pStyle w:val="naisnod"/>
        <w:spacing w:before="0" w:after="0"/>
        <w:contextualSpacing/>
      </w:pPr>
      <w:bookmarkStart w:id="0" w:name="OLE_LINK1"/>
      <w:bookmarkStart w:id="1" w:name="OLE_LINK2"/>
      <w:r w:rsidRPr="00F27FAC">
        <w:t>Izziņa par atzinumos sniegtajiem iebildumiem</w:t>
      </w:r>
      <w:bookmarkEnd w:id="0"/>
      <w:bookmarkEnd w:id="1"/>
      <w:r w:rsidRPr="00F27FAC">
        <w:t xml:space="preserve"> par Ministru kabineta noteikumu projektu </w:t>
      </w:r>
    </w:p>
    <w:tbl>
      <w:tblPr>
        <w:tblW w:w="0" w:type="auto"/>
        <w:jc w:val="center"/>
        <w:tblLook w:val="00A0" w:firstRow="1" w:lastRow="0" w:firstColumn="1" w:lastColumn="0" w:noHBand="0" w:noVBand="0"/>
      </w:tblPr>
      <w:tblGrid>
        <w:gridCol w:w="13183"/>
      </w:tblGrid>
      <w:tr w:rsidR="00AF75EB" w:rsidRPr="00F27FAC" w14:paraId="737EE38D" w14:textId="77777777" w:rsidTr="006E74B7">
        <w:trPr>
          <w:jc w:val="center"/>
        </w:trPr>
        <w:tc>
          <w:tcPr>
            <w:tcW w:w="13183" w:type="dxa"/>
            <w:tcBorders>
              <w:bottom w:val="single" w:sz="6" w:space="0" w:color="000000"/>
            </w:tcBorders>
          </w:tcPr>
          <w:p w14:paraId="6DDDDD47" w14:textId="77777777" w:rsidR="00AF75EB" w:rsidRPr="00F27FAC" w:rsidRDefault="00AF75EB" w:rsidP="006E74B7">
            <w:pPr>
              <w:contextualSpacing/>
              <w:jc w:val="center"/>
              <w:rPr>
                <w:b/>
                <w:bCs/>
              </w:rPr>
            </w:pPr>
            <w:r w:rsidRPr="00F27FAC">
              <w:rPr>
                <w:b/>
                <w:bCs/>
              </w:rPr>
              <w:t>Grozījumi Ministru kabineta 2017.gada 7.februāra noteikumos Nr.78 “Dabasgāzes tirdzniecības un lietošanas noteikumi”</w:t>
            </w:r>
          </w:p>
        </w:tc>
      </w:tr>
    </w:tbl>
    <w:p w14:paraId="65EC94AD" w14:textId="77777777" w:rsidR="00AF75EB" w:rsidRPr="00F27FAC" w:rsidRDefault="00AF75EB" w:rsidP="00AF75EB">
      <w:pPr>
        <w:pStyle w:val="naisc"/>
        <w:spacing w:before="0" w:after="0"/>
        <w:ind w:firstLine="1080"/>
        <w:contextualSpacing/>
        <w:jc w:val="left"/>
      </w:pPr>
      <w:r w:rsidRPr="00F27FAC">
        <w:t xml:space="preserve">                                                                      (dokumenta veids un nosaukums)</w:t>
      </w:r>
    </w:p>
    <w:p w14:paraId="4010A5D0" w14:textId="77777777" w:rsidR="00AF75EB" w:rsidRPr="00F27FAC" w:rsidRDefault="00AF75EB" w:rsidP="00AF75EB">
      <w:pPr>
        <w:pStyle w:val="naisf"/>
        <w:spacing w:before="0" w:after="0"/>
        <w:ind w:left="1080" w:firstLine="0"/>
        <w:contextualSpacing/>
        <w:rPr>
          <w:b/>
        </w:rPr>
      </w:pPr>
    </w:p>
    <w:p w14:paraId="59B5E4CB" w14:textId="77777777" w:rsidR="00AF75EB" w:rsidRPr="00F27FAC" w:rsidRDefault="00AF75EB" w:rsidP="00AF75EB">
      <w:pPr>
        <w:pStyle w:val="naisf"/>
        <w:numPr>
          <w:ilvl w:val="0"/>
          <w:numId w:val="1"/>
        </w:numPr>
        <w:spacing w:before="0" w:after="0"/>
        <w:ind w:left="0" w:firstLine="426"/>
        <w:contextualSpacing/>
        <w:jc w:val="center"/>
        <w:rPr>
          <w:b/>
        </w:rPr>
      </w:pPr>
      <w:r w:rsidRPr="00F27FAC">
        <w:rPr>
          <w:b/>
        </w:rPr>
        <w:t>Jautājumi, par kuriem saskaņošanā vienošanās nav panākta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0"/>
        <w:gridCol w:w="2574"/>
        <w:gridCol w:w="2725"/>
        <w:gridCol w:w="2653"/>
        <w:gridCol w:w="2574"/>
        <w:gridCol w:w="2574"/>
      </w:tblGrid>
      <w:tr w:rsidR="00AF75EB" w:rsidRPr="00524A22" w14:paraId="28036FED" w14:textId="77777777" w:rsidTr="006E74B7">
        <w:tc>
          <w:tcPr>
            <w:tcW w:w="318" w:type="pct"/>
            <w:tcBorders>
              <w:top w:val="single" w:sz="6" w:space="0" w:color="000000"/>
              <w:left w:val="single" w:sz="6" w:space="0" w:color="000000"/>
              <w:bottom w:val="single" w:sz="6" w:space="0" w:color="000000"/>
              <w:right w:val="single" w:sz="6" w:space="0" w:color="000000"/>
            </w:tcBorders>
            <w:vAlign w:val="center"/>
          </w:tcPr>
          <w:p w14:paraId="32171D7C" w14:textId="77777777" w:rsidR="00AF75EB" w:rsidRPr="00524A22" w:rsidRDefault="00AF75EB" w:rsidP="006E74B7">
            <w:pPr>
              <w:pStyle w:val="naisc"/>
              <w:spacing w:before="0" w:after="0"/>
              <w:contextualSpacing/>
            </w:pPr>
            <w:r w:rsidRPr="00524A22">
              <w:t>Nr.p.k.</w:t>
            </w:r>
          </w:p>
        </w:tc>
        <w:tc>
          <w:tcPr>
            <w:tcW w:w="920" w:type="pct"/>
            <w:tcBorders>
              <w:top w:val="single" w:sz="6" w:space="0" w:color="000000"/>
              <w:left w:val="single" w:sz="6" w:space="0" w:color="000000"/>
              <w:bottom w:val="single" w:sz="6" w:space="0" w:color="000000"/>
              <w:right w:val="single" w:sz="6" w:space="0" w:color="000000"/>
            </w:tcBorders>
            <w:vAlign w:val="center"/>
          </w:tcPr>
          <w:p w14:paraId="3BD2DA71" w14:textId="77777777" w:rsidR="00AF75EB" w:rsidRPr="00524A22" w:rsidRDefault="00AF75EB" w:rsidP="006E74B7">
            <w:pPr>
              <w:pStyle w:val="naisc"/>
              <w:spacing w:before="0" w:after="0"/>
              <w:ind w:firstLine="12"/>
              <w:contextualSpacing/>
            </w:pPr>
            <w:r w:rsidRPr="00524A22">
              <w:t>Saskaņošanai nosūtītā projekta redakcija (konkrēta punkta (panta) redakcija)</w:t>
            </w:r>
          </w:p>
        </w:tc>
        <w:tc>
          <w:tcPr>
            <w:tcW w:w="974" w:type="pct"/>
            <w:tcBorders>
              <w:top w:val="single" w:sz="6" w:space="0" w:color="000000"/>
              <w:left w:val="single" w:sz="6" w:space="0" w:color="000000"/>
              <w:bottom w:val="single" w:sz="6" w:space="0" w:color="000000"/>
              <w:right w:val="single" w:sz="6" w:space="0" w:color="000000"/>
            </w:tcBorders>
            <w:vAlign w:val="center"/>
          </w:tcPr>
          <w:p w14:paraId="2312E3F7" w14:textId="77777777" w:rsidR="00AF75EB" w:rsidRPr="00524A22" w:rsidRDefault="00AF75EB" w:rsidP="006E74B7">
            <w:pPr>
              <w:pStyle w:val="naisc"/>
              <w:spacing w:before="0" w:after="0"/>
              <w:ind w:right="3"/>
              <w:contextualSpacing/>
            </w:pPr>
            <w:r w:rsidRPr="00524A22">
              <w:t>Atzinumā norādītais ministrijas (citas institūcijas) iebildums, kā arī saskaņošanā papildus izteiktais iebildums par projekta konkrēto punktu (pantu)</w:t>
            </w:r>
          </w:p>
        </w:tc>
        <w:tc>
          <w:tcPr>
            <w:tcW w:w="948" w:type="pct"/>
            <w:tcBorders>
              <w:top w:val="single" w:sz="6" w:space="0" w:color="000000"/>
              <w:left w:val="single" w:sz="6" w:space="0" w:color="000000"/>
              <w:bottom w:val="single" w:sz="6" w:space="0" w:color="000000"/>
              <w:right w:val="single" w:sz="6" w:space="0" w:color="000000"/>
            </w:tcBorders>
            <w:vAlign w:val="center"/>
          </w:tcPr>
          <w:p w14:paraId="26C03613" w14:textId="77777777" w:rsidR="00AF75EB" w:rsidRPr="00524A22" w:rsidRDefault="00AF75EB" w:rsidP="006E74B7">
            <w:pPr>
              <w:pStyle w:val="naisc"/>
              <w:spacing w:before="0" w:after="0"/>
              <w:contextualSpacing/>
            </w:pPr>
            <w:r w:rsidRPr="00524A22">
              <w:t>Atbildīgās ministrijas pamatojums iebilduma noraidījumam</w:t>
            </w:r>
          </w:p>
        </w:tc>
        <w:tc>
          <w:tcPr>
            <w:tcW w:w="920" w:type="pct"/>
            <w:tcBorders>
              <w:top w:val="single" w:sz="4" w:space="0" w:color="auto"/>
              <w:left w:val="single" w:sz="4" w:space="0" w:color="auto"/>
              <w:bottom w:val="single" w:sz="4" w:space="0" w:color="auto"/>
              <w:right w:val="single" w:sz="4" w:space="0" w:color="auto"/>
            </w:tcBorders>
          </w:tcPr>
          <w:p w14:paraId="36E74B59" w14:textId="77777777" w:rsidR="00AF75EB" w:rsidRPr="00524A22" w:rsidRDefault="00AF75EB" w:rsidP="006E74B7">
            <w:pPr>
              <w:contextualSpacing/>
              <w:jc w:val="center"/>
            </w:pPr>
            <w:r w:rsidRPr="00524A22">
              <w:t>Atzinuma sniedzēja uzturētais iebildums, ja tas atšķiras no atzinumā norādītā iebilduma pamatojuma</w:t>
            </w:r>
          </w:p>
        </w:tc>
        <w:tc>
          <w:tcPr>
            <w:tcW w:w="920" w:type="pct"/>
            <w:tcBorders>
              <w:top w:val="single" w:sz="4" w:space="0" w:color="auto"/>
              <w:left w:val="single" w:sz="4" w:space="0" w:color="auto"/>
              <w:bottom w:val="single" w:sz="4" w:space="0" w:color="auto"/>
            </w:tcBorders>
            <w:vAlign w:val="center"/>
          </w:tcPr>
          <w:p w14:paraId="62426401" w14:textId="77777777" w:rsidR="00AF75EB" w:rsidRPr="00524A22" w:rsidRDefault="00AF75EB" w:rsidP="006E74B7">
            <w:pPr>
              <w:contextualSpacing/>
              <w:jc w:val="center"/>
            </w:pPr>
            <w:r w:rsidRPr="00524A22">
              <w:t>Projekta attiecīgā punkta (panta) galīgā redakcija</w:t>
            </w:r>
          </w:p>
        </w:tc>
      </w:tr>
      <w:tr w:rsidR="00AF75EB" w:rsidRPr="00524A22" w14:paraId="1A72AFB4" w14:textId="77777777" w:rsidTr="006E74B7">
        <w:tc>
          <w:tcPr>
            <w:tcW w:w="318" w:type="pct"/>
            <w:tcBorders>
              <w:top w:val="single" w:sz="6" w:space="0" w:color="000000"/>
              <w:left w:val="single" w:sz="6" w:space="0" w:color="000000"/>
              <w:bottom w:val="single" w:sz="6" w:space="0" w:color="000000"/>
              <w:right w:val="single" w:sz="6" w:space="0" w:color="000000"/>
            </w:tcBorders>
          </w:tcPr>
          <w:p w14:paraId="26E9B0B7" w14:textId="77777777" w:rsidR="00AF75EB" w:rsidRPr="00524A22" w:rsidRDefault="00AF75EB" w:rsidP="006E74B7">
            <w:pPr>
              <w:pStyle w:val="naisc"/>
              <w:spacing w:before="0" w:after="0"/>
              <w:ind w:left="-84"/>
              <w:contextualSpacing/>
            </w:pPr>
            <w:r w:rsidRPr="00524A22">
              <w:t>1</w:t>
            </w:r>
          </w:p>
        </w:tc>
        <w:tc>
          <w:tcPr>
            <w:tcW w:w="920" w:type="pct"/>
            <w:tcBorders>
              <w:top w:val="single" w:sz="6" w:space="0" w:color="000000"/>
              <w:left w:val="single" w:sz="6" w:space="0" w:color="000000"/>
              <w:bottom w:val="single" w:sz="6" w:space="0" w:color="000000"/>
              <w:right w:val="single" w:sz="6" w:space="0" w:color="000000"/>
            </w:tcBorders>
          </w:tcPr>
          <w:p w14:paraId="6E2D193F" w14:textId="77777777" w:rsidR="00AF75EB" w:rsidRPr="00524A22" w:rsidRDefault="00AF75EB" w:rsidP="006E74B7">
            <w:pPr>
              <w:pStyle w:val="naisc"/>
              <w:spacing w:before="0" w:after="0"/>
              <w:ind w:firstLine="12"/>
              <w:contextualSpacing/>
              <w:rPr>
                <w:b/>
              </w:rPr>
            </w:pPr>
            <w:r w:rsidRPr="00524A22">
              <w:t>2</w:t>
            </w:r>
          </w:p>
        </w:tc>
        <w:tc>
          <w:tcPr>
            <w:tcW w:w="974" w:type="pct"/>
            <w:tcBorders>
              <w:top w:val="single" w:sz="6" w:space="0" w:color="000000"/>
              <w:left w:val="single" w:sz="6" w:space="0" w:color="000000"/>
              <w:bottom w:val="single" w:sz="6" w:space="0" w:color="000000"/>
              <w:right w:val="single" w:sz="6" w:space="0" w:color="000000"/>
            </w:tcBorders>
          </w:tcPr>
          <w:p w14:paraId="532E6BA3" w14:textId="77777777" w:rsidR="00AF75EB" w:rsidRPr="00524A22" w:rsidRDefault="00AF75EB" w:rsidP="006E74B7">
            <w:pPr>
              <w:pStyle w:val="naisc"/>
              <w:spacing w:before="0" w:after="0"/>
              <w:contextualSpacing/>
              <w:rPr>
                <w:b/>
              </w:rPr>
            </w:pPr>
            <w:r w:rsidRPr="00524A22">
              <w:t>3</w:t>
            </w:r>
          </w:p>
        </w:tc>
        <w:tc>
          <w:tcPr>
            <w:tcW w:w="948" w:type="pct"/>
            <w:tcBorders>
              <w:top w:val="single" w:sz="6" w:space="0" w:color="000000"/>
              <w:left w:val="single" w:sz="6" w:space="0" w:color="000000"/>
              <w:bottom w:val="single" w:sz="6" w:space="0" w:color="000000"/>
              <w:right w:val="single" w:sz="6" w:space="0" w:color="000000"/>
            </w:tcBorders>
          </w:tcPr>
          <w:p w14:paraId="36E43FD4" w14:textId="77777777" w:rsidR="00AF75EB" w:rsidRPr="00524A22" w:rsidRDefault="00AF75EB" w:rsidP="006E74B7">
            <w:pPr>
              <w:tabs>
                <w:tab w:val="left" w:pos="993"/>
              </w:tabs>
              <w:ind w:right="-2"/>
              <w:contextualSpacing/>
              <w:jc w:val="center"/>
              <w:rPr>
                <w:b/>
              </w:rPr>
            </w:pPr>
            <w:r w:rsidRPr="00524A22">
              <w:t>4</w:t>
            </w:r>
          </w:p>
        </w:tc>
        <w:tc>
          <w:tcPr>
            <w:tcW w:w="920" w:type="pct"/>
            <w:tcBorders>
              <w:top w:val="single" w:sz="4" w:space="0" w:color="auto"/>
              <w:left w:val="single" w:sz="4" w:space="0" w:color="auto"/>
              <w:bottom w:val="single" w:sz="4" w:space="0" w:color="auto"/>
            </w:tcBorders>
          </w:tcPr>
          <w:p w14:paraId="6D718C44" w14:textId="77777777" w:rsidR="00AF75EB" w:rsidRPr="00524A22" w:rsidRDefault="00AF75EB" w:rsidP="006E74B7">
            <w:pPr>
              <w:contextualSpacing/>
              <w:jc w:val="center"/>
            </w:pPr>
            <w:r w:rsidRPr="00524A22">
              <w:t>5</w:t>
            </w:r>
          </w:p>
        </w:tc>
        <w:tc>
          <w:tcPr>
            <w:tcW w:w="920" w:type="pct"/>
            <w:tcBorders>
              <w:top w:val="single" w:sz="4" w:space="0" w:color="auto"/>
              <w:left w:val="single" w:sz="4" w:space="0" w:color="auto"/>
              <w:bottom w:val="single" w:sz="4" w:space="0" w:color="auto"/>
            </w:tcBorders>
          </w:tcPr>
          <w:p w14:paraId="381F0E41" w14:textId="77777777" w:rsidR="00AF75EB" w:rsidRPr="00524A22" w:rsidRDefault="00AF75EB" w:rsidP="006E74B7">
            <w:pPr>
              <w:pStyle w:val="naisc"/>
              <w:spacing w:before="0" w:after="0"/>
              <w:ind w:firstLine="12"/>
              <w:contextualSpacing/>
            </w:pPr>
            <w:r w:rsidRPr="00524A22">
              <w:t>6</w:t>
            </w:r>
          </w:p>
        </w:tc>
      </w:tr>
      <w:tr w:rsidR="00AF75EB" w:rsidRPr="00524A22" w14:paraId="22BCA405" w14:textId="77777777" w:rsidTr="006E74B7">
        <w:trPr>
          <w:trHeight w:val="227"/>
        </w:trPr>
        <w:tc>
          <w:tcPr>
            <w:tcW w:w="318" w:type="pct"/>
            <w:tcBorders>
              <w:left w:val="single" w:sz="6" w:space="0" w:color="000000"/>
              <w:bottom w:val="single" w:sz="6" w:space="0" w:color="000000"/>
              <w:right w:val="single" w:sz="6" w:space="0" w:color="000000"/>
            </w:tcBorders>
          </w:tcPr>
          <w:p w14:paraId="72E3C168" w14:textId="77777777" w:rsidR="00AF75EB" w:rsidRPr="00524A22" w:rsidRDefault="00AF75EB" w:rsidP="006E74B7">
            <w:pPr>
              <w:pStyle w:val="naisc"/>
              <w:spacing w:before="0" w:after="0"/>
              <w:contextualSpacing/>
            </w:pPr>
          </w:p>
        </w:tc>
        <w:tc>
          <w:tcPr>
            <w:tcW w:w="920" w:type="pct"/>
            <w:tcBorders>
              <w:left w:val="single" w:sz="6" w:space="0" w:color="000000"/>
              <w:bottom w:val="single" w:sz="6" w:space="0" w:color="000000"/>
              <w:right w:val="single" w:sz="6" w:space="0" w:color="000000"/>
            </w:tcBorders>
          </w:tcPr>
          <w:p w14:paraId="267FB635" w14:textId="77777777" w:rsidR="00AF75EB" w:rsidRPr="00524A22" w:rsidRDefault="00AF75EB" w:rsidP="006E74B7">
            <w:pPr>
              <w:contextualSpacing/>
              <w:rPr>
                <w:b/>
              </w:rPr>
            </w:pPr>
          </w:p>
        </w:tc>
        <w:tc>
          <w:tcPr>
            <w:tcW w:w="974" w:type="pct"/>
            <w:tcBorders>
              <w:top w:val="nil"/>
              <w:left w:val="single" w:sz="6" w:space="0" w:color="000000"/>
              <w:bottom w:val="single" w:sz="6" w:space="0" w:color="000000"/>
              <w:right w:val="single" w:sz="6" w:space="0" w:color="000000"/>
            </w:tcBorders>
          </w:tcPr>
          <w:p w14:paraId="0C7DD9D0" w14:textId="43A5CA55" w:rsidR="00AF75EB" w:rsidRPr="00524A22" w:rsidRDefault="00AF75EB" w:rsidP="006E74B7">
            <w:pPr>
              <w:pStyle w:val="naisc"/>
              <w:spacing w:before="0" w:after="0"/>
              <w:contextualSpacing/>
              <w:jc w:val="both"/>
            </w:pPr>
          </w:p>
        </w:tc>
        <w:tc>
          <w:tcPr>
            <w:tcW w:w="948" w:type="pct"/>
            <w:tcBorders>
              <w:left w:val="single" w:sz="6" w:space="0" w:color="000000"/>
              <w:bottom w:val="single" w:sz="6" w:space="0" w:color="000000"/>
              <w:right w:val="single" w:sz="6" w:space="0" w:color="000000"/>
            </w:tcBorders>
          </w:tcPr>
          <w:p w14:paraId="5319A9C6" w14:textId="77777777" w:rsidR="00AF75EB" w:rsidRPr="00524A22" w:rsidRDefault="00AF75EB" w:rsidP="006E74B7">
            <w:pPr>
              <w:tabs>
                <w:tab w:val="left" w:pos="993"/>
              </w:tabs>
              <w:ind w:right="-2"/>
              <w:contextualSpacing/>
              <w:jc w:val="both"/>
            </w:pPr>
          </w:p>
        </w:tc>
        <w:tc>
          <w:tcPr>
            <w:tcW w:w="920" w:type="pct"/>
            <w:tcBorders>
              <w:left w:val="single" w:sz="4" w:space="0" w:color="auto"/>
              <w:bottom w:val="single" w:sz="4" w:space="0" w:color="auto"/>
            </w:tcBorders>
          </w:tcPr>
          <w:p w14:paraId="1A92E706" w14:textId="77777777" w:rsidR="00AF75EB" w:rsidRPr="00524A22" w:rsidRDefault="00AF75EB" w:rsidP="006E74B7">
            <w:pPr>
              <w:contextualSpacing/>
              <w:jc w:val="both"/>
            </w:pPr>
          </w:p>
        </w:tc>
        <w:tc>
          <w:tcPr>
            <w:tcW w:w="920" w:type="pct"/>
            <w:tcBorders>
              <w:left w:val="single" w:sz="4" w:space="0" w:color="auto"/>
              <w:bottom w:val="single" w:sz="4" w:space="0" w:color="auto"/>
            </w:tcBorders>
          </w:tcPr>
          <w:p w14:paraId="10B59FB5" w14:textId="77777777" w:rsidR="00AF75EB" w:rsidRPr="00524A22" w:rsidRDefault="00AF75EB" w:rsidP="006E74B7">
            <w:pPr>
              <w:pStyle w:val="naisc"/>
              <w:spacing w:before="0" w:after="0"/>
              <w:ind w:firstLine="12"/>
              <w:contextualSpacing/>
              <w:jc w:val="both"/>
            </w:pPr>
          </w:p>
        </w:tc>
      </w:tr>
    </w:tbl>
    <w:p w14:paraId="1BBEB6D2" w14:textId="00FAD016" w:rsidR="00AF75EB" w:rsidRPr="000F4081" w:rsidRDefault="00AF75EB" w:rsidP="00BA29B9">
      <w:pPr>
        <w:pStyle w:val="naisc"/>
        <w:spacing w:before="0" w:after="0"/>
        <w:contextualSpacing/>
        <w:jc w:val="left"/>
        <w:rPr>
          <w:b/>
        </w:rPr>
      </w:pPr>
      <w:r>
        <w:br w:type="textWrapping" w:clear="all"/>
      </w:r>
      <w:r w:rsidRPr="000F4081">
        <w:rPr>
          <w:b/>
        </w:rPr>
        <w:t>Informācija par starpministriju (starpinstitūciju) elektronisko saskaņošanu</w:t>
      </w:r>
    </w:p>
    <w:p w14:paraId="7E784E8F" w14:textId="77777777" w:rsidR="00AF75EB" w:rsidRDefault="00AF75EB" w:rsidP="00AF75EB">
      <w:pPr>
        <w:pStyle w:val="naisf"/>
        <w:spacing w:before="0" w:after="0"/>
        <w:ind w:firstLine="0"/>
        <w:contextualSpacing/>
      </w:pPr>
    </w:p>
    <w:tbl>
      <w:tblPr>
        <w:tblW w:w="14283" w:type="dxa"/>
        <w:tblInd w:w="-267" w:type="dxa"/>
        <w:tblLook w:val="00A0" w:firstRow="1" w:lastRow="0" w:firstColumn="1" w:lastColumn="0" w:noHBand="0" w:noVBand="0"/>
      </w:tblPr>
      <w:tblGrid>
        <w:gridCol w:w="5529"/>
        <w:gridCol w:w="8754"/>
      </w:tblGrid>
      <w:tr w:rsidR="00AF75EB" w:rsidRPr="00712B66" w14:paraId="65342D83" w14:textId="77777777" w:rsidTr="006E74B7">
        <w:tc>
          <w:tcPr>
            <w:tcW w:w="5529" w:type="dxa"/>
          </w:tcPr>
          <w:p w14:paraId="667E4B00" w14:textId="77777777" w:rsidR="00AF75EB" w:rsidRDefault="00AF75EB" w:rsidP="006E74B7">
            <w:pPr>
              <w:pStyle w:val="naisf"/>
              <w:spacing w:before="0" w:after="0"/>
              <w:ind w:firstLine="0"/>
              <w:contextualSpacing/>
            </w:pPr>
            <w:r w:rsidRPr="00712B66">
              <w:t>Datums</w:t>
            </w:r>
          </w:p>
          <w:p w14:paraId="03B534D9" w14:textId="77777777" w:rsidR="000268DD" w:rsidRPr="000268DD" w:rsidRDefault="000268DD" w:rsidP="000268DD"/>
          <w:p w14:paraId="2EEA0414" w14:textId="77777777" w:rsidR="000268DD" w:rsidRPr="000268DD" w:rsidRDefault="000268DD" w:rsidP="000268DD"/>
          <w:p w14:paraId="5D94FAB1" w14:textId="77777777" w:rsidR="000268DD" w:rsidRPr="000268DD" w:rsidRDefault="000268DD" w:rsidP="000268DD"/>
          <w:p w14:paraId="4D8C1C5A" w14:textId="77777777" w:rsidR="000268DD" w:rsidRPr="000268DD" w:rsidRDefault="000268DD" w:rsidP="000268DD"/>
          <w:p w14:paraId="1612FD33" w14:textId="77777777" w:rsidR="000268DD" w:rsidRPr="000268DD" w:rsidRDefault="000268DD" w:rsidP="000268DD"/>
          <w:p w14:paraId="1623B328" w14:textId="77777777" w:rsidR="000268DD" w:rsidRPr="000268DD" w:rsidRDefault="000268DD" w:rsidP="000268DD"/>
          <w:p w14:paraId="008C5DC0" w14:textId="77777777" w:rsidR="000268DD" w:rsidRPr="000268DD" w:rsidRDefault="000268DD" w:rsidP="000268DD"/>
          <w:p w14:paraId="1099182A" w14:textId="77777777" w:rsidR="000268DD" w:rsidRPr="000268DD" w:rsidRDefault="000268DD" w:rsidP="000268DD"/>
          <w:p w14:paraId="3A09A7E5" w14:textId="77777777" w:rsidR="000268DD" w:rsidRPr="000268DD" w:rsidRDefault="000268DD" w:rsidP="000268DD"/>
          <w:p w14:paraId="470A1BB9" w14:textId="77777777" w:rsidR="000268DD" w:rsidRPr="000268DD" w:rsidRDefault="000268DD" w:rsidP="000268DD"/>
          <w:p w14:paraId="622E4480" w14:textId="77777777" w:rsidR="000268DD" w:rsidRPr="000268DD" w:rsidRDefault="000268DD" w:rsidP="000268DD"/>
          <w:p w14:paraId="35DDD474" w14:textId="77777777" w:rsidR="000268DD" w:rsidRPr="000268DD" w:rsidRDefault="000268DD" w:rsidP="000268DD"/>
          <w:p w14:paraId="2D4F00FD" w14:textId="77777777" w:rsidR="000268DD" w:rsidRPr="000268DD" w:rsidRDefault="000268DD" w:rsidP="000268DD"/>
          <w:p w14:paraId="6906EBC7" w14:textId="77777777" w:rsidR="000268DD" w:rsidRPr="000268DD" w:rsidRDefault="000268DD" w:rsidP="000268DD"/>
          <w:p w14:paraId="382CF053" w14:textId="77777777" w:rsidR="000268DD" w:rsidRPr="000268DD" w:rsidRDefault="000268DD" w:rsidP="000268DD"/>
          <w:p w14:paraId="09A5D9FF" w14:textId="77777777" w:rsidR="000268DD" w:rsidRPr="000268DD" w:rsidRDefault="000268DD" w:rsidP="000268DD"/>
          <w:p w14:paraId="686AAD99" w14:textId="71F106DF" w:rsidR="000268DD" w:rsidRPr="000268DD" w:rsidRDefault="000268DD" w:rsidP="00E965D8">
            <w:pPr>
              <w:tabs>
                <w:tab w:val="left" w:pos="1172"/>
                <w:tab w:val="center" w:pos="2656"/>
                <w:tab w:val="left" w:pos="3334"/>
              </w:tabs>
            </w:pPr>
            <w:r>
              <w:tab/>
            </w:r>
            <w:r w:rsidR="00BE3D2D">
              <w:tab/>
            </w:r>
            <w:r w:rsidR="00BE3D2D">
              <w:tab/>
            </w:r>
          </w:p>
        </w:tc>
        <w:tc>
          <w:tcPr>
            <w:tcW w:w="8754" w:type="dxa"/>
            <w:tcBorders>
              <w:bottom w:val="single" w:sz="4" w:space="0" w:color="auto"/>
            </w:tcBorders>
          </w:tcPr>
          <w:p w14:paraId="5F92A4EA" w14:textId="7F8A8AC6" w:rsidR="00AF75EB" w:rsidRDefault="00AF75EB" w:rsidP="006E74B7">
            <w:pPr>
              <w:pStyle w:val="NormalWeb"/>
              <w:spacing w:before="0" w:beforeAutospacing="0" w:after="0" w:afterAutospacing="0"/>
              <w:ind w:left="34"/>
              <w:contextualSpacing/>
              <w:jc w:val="both"/>
            </w:pPr>
            <w:r>
              <w:t>29.11.2018.</w:t>
            </w:r>
            <w:r w:rsidR="00E965D8">
              <w:t xml:space="preserve"> </w:t>
            </w:r>
            <w:r w:rsidR="00E965D8" w:rsidRPr="00E965D8">
              <w:t>Grozījumi Ministru kabineta 2017.gada 7.februāra noteikumos Nr.78 “Dabasgāzes tirdzniecības un lietošanas noteikumi”</w:t>
            </w:r>
            <w:r w:rsidR="00E965D8">
              <w:t xml:space="preserve"> (turpmāk </w:t>
            </w:r>
            <w:r w:rsidR="00BA29B9">
              <w:t xml:space="preserve">arī </w:t>
            </w:r>
            <w:r w:rsidR="00E965D8">
              <w:t>– Noteikumu Projekts)</w:t>
            </w:r>
            <w:r>
              <w:t xml:space="preserve"> izsludināts Valsts sekretāru sanāksmē (VSS-1210)</w:t>
            </w:r>
            <w:r w:rsidR="00BE3D2D">
              <w:t>.</w:t>
            </w:r>
          </w:p>
          <w:p w14:paraId="17CD9926" w14:textId="4DDE2692" w:rsidR="00AF75EB" w:rsidRDefault="008344BA" w:rsidP="00BE3D2D">
            <w:pPr>
              <w:pStyle w:val="NormalWeb"/>
              <w:spacing w:before="0" w:beforeAutospacing="0" w:after="0" w:afterAutospacing="0"/>
              <w:contextualSpacing/>
              <w:jc w:val="both"/>
            </w:pPr>
            <w:r>
              <w:t>14.12.2018. saņemti saskaņošanas dalībnieku atzinumi</w:t>
            </w:r>
            <w:r w:rsidR="00BE3D2D">
              <w:t>.</w:t>
            </w:r>
            <w:r w:rsidR="00AF75EB" w:rsidRPr="004204A5">
              <w:t>1</w:t>
            </w:r>
            <w:r w:rsidR="00AF75EB">
              <w:t>4</w:t>
            </w:r>
            <w:r w:rsidR="00AF75EB" w:rsidRPr="004204A5">
              <w:t>.01</w:t>
            </w:r>
            <w:r w:rsidR="00AF75EB">
              <w:t>.2019. nosūtīts elektroniskai saskaņošanai</w:t>
            </w:r>
            <w:r w:rsidR="00BE3D2D">
              <w:t>.</w:t>
            </w:r>
          </w:p>
          <w:p w14:paraId="45790F1C" w14:textId="7F5BC959" w:rsidR="00AF75EB" w:rsidRDefault="00AF75EB" w:rsidP="006E74B7">
            <w:pPr>
              <w:pStyle w:val="NormalWeb"/>
              <w:spacing w:before="0" w:beforeAutospacing="0" w:after="0" w:afterAutospacing="0"/>
              <w:ind w:left="34"/>
              <w:contextualSpacing/>
              <w:jc w:val="both"/>
            </w:pPr>
            <w:r>
              <w:t>22.01.2019. notikusi starpinstitūciju saskaņošanas sanāksme</w:t>
            </w:r>
            <w:r w:rsidR="00BE3D2D">
              <w:t>.</w:t>
            </w:r>
          </w:p>
          <w:p w14:paraId="504589E0" w14:textId="13996337" w:rsidR="00AF75EB" w:rsidRDefault="00AF75EB" w:rsidP="006E74B7">
            <w:pPr>
              <w:pStyle w:val="NormalWeb"/>
              <w:spacing w:before="0" w:beforeAutospacing="0" w:after="0" w:afterAutospacing="0"/>
              <w:ind w:left="34"/>
              <w:contextualSpacing/>
              <w:jc w:val="both"/>
            </w:pPr>
            <w:r>
              <w:t>15.03.2019. nosūtīts atkārtotai 5 darba dienu elektroniskai saskaņošanai</w:t>
            </w:r>
            <w:r w:rsidR="00BE3D2D">
              <w:t>.</w:t>
            </w:r>
          </w:p>
          <w:p w14:paraId="16C73503" w14:textId="7F484C05" w:rsidR="00AF75EB" w:rsidRDefault="00AF75EB" w:rsidP="006E74B7">
            <w:pPr>
              <w:pStyle w:val="NormalWeb"/>
              <w:spacing w:before="0" w:beforeAutospacing="0" w:after="0" w:afterAutospacing="0"/>
              <w:ind w:left="34"/>
              <w:contextualSpacing/>
              <w:jc w:val="both"/>
            </w:pPr>
            <w:r>
              <w:t>25.03.2019. saņemti visu saskaņošanas dalībnieku atzinumi</w:t>
            </w:r>
            <w:r w:rsidR="00BE3D2D">
              <w:t>.</w:t>
            </w:r>
          </w:p>
          <w:p w14:paraId="7349775F" w14:textId="7E7FF125" w:rsidR="00AF75EB" w:rsidRDefault="00AF75EB" w:rsidP="006E74B7">
            <w:pPr>
              <w:pStyle w:val="NormalWeb"/>
              <w:spacing w:before="0" w:beforeAutospacing="0" w:after="0" w:afterAutospacing="0"/>
              <w:ind w:left="34"/>
              <w:contextualSpacing/>
              <w:jc w:val="both"/>
            </w:pPr>
            <w:r>
              <w:t>11.04.2019. nosūtīts atkārtotai 5 darba dienu elektroniskai saskaņošanai</w:t>
            </w:r>
            <w:r w:rsidR="00BE3D2D">
              <w:t>.</w:t>
            </w:r>
          </w:p>
          <w:p w14:paraId="64757C0F" w14:textId="4F514526" w:rsidR="00AF75EB" w:rsidRDefault="00AF75EB" w:rsidP="006E74B7">
            <w:pPr>
              <w:pStyle w:val="NormalWeb"/>
              <w:spacing w:before="0" w:beforeAutospacing="0" w:after="0" w:afterAutospacing="0"/>
              <w:ind w:left="34"/>
              <w:contextualSpacing/>
              <w:jc w:val="both"/>
            </w:pPr>
            <w:r>
              <w:t>18.04.2019. saņemti saskaņošanas dalībnieku atzinumi</w:t>
            </w:r>
            <w:r w:rsidR="00BE3D2D">
              <w:t>.</w:t>
            </w:r>
            <w:r>
              <w:t xml:space="preserve"> </w:t>
            </w:r>
          </w:p>
          <w:p w14:paraId="0A2531BB" w14:textId="77777777" w:rsidR="00AF75EB" w:rsidRDefault="00AF75EB" w:rsidP="006E74B7">
            <w:pPr>
              <w:pStyle w:val="NormalWeb"/>
              <w:spacing w:before="0" w:beforeAutospacing="0" w:after="0" w:afterAutospacing="0"/>
              <w:ind w:left="34"/>
              <w:contextualSpacing/>
              <w:jc w:val="both"/>
            </w:pPr>
            <w:r>
              <w:t>24.05.2019. nosūtīts atkārtotai saskaņošanai kopā ar uzaicinājumu uz starpinstitūciju sanāksmi 31.05.2019.</w:t>
            </w:r>
          </w:p>
          <w:p w14:paraId="4FF18416" w14:textId="77777777" w:rsidR="00AF75EB" w:rsidRDefault="00AF75EB" w:rsidP="006E74B7">
            <w:pPr>
              <w:pStyle w:val="NormalWeb"/>
              <w:spacing w:before="0" w:beforeAutospacing="0" w:after="0" w:afterAutospacing="0"/>
              <w:ind w:left="34"/>
              <w:contextualSpacing/>
              <w:jc w:val="both"/>
            </w:pPr>
            <w:r>
              <w:t>31.05.2019. notikusi starpinstitūciju sanāksme.</w:t>
            </w:r>
          </w:p>
          <w:p w14:paraId="7F651FD2" w14:textId="56E8F3A7" w:rsidR="00AF75EB" w:rsidRDefault="00AF75EB" w:rsidP="006E74B7">
            <w:pPr>
              <w:pStyle w:val="NormalWeb"/>
              <w:spacing w:before="0" w:beforeAutospacing="0" w:after="0" w:afterAutospacing="0"/>
              <w:ind w:left="34"/>
              <w:contextualSpacing/>
              <w:jc w:val="both"/>
            </w:pPr>
            <w:r>
              <w:t>10.07.2019. nosūtīts atkārtotai 5 darba dienu elektroniskai saskaņošanai</w:t>
            </w:r>
            <w:r w:rsidR="00B873C9">
              <w:t>.</w:t>
            </w:r>
          </w:p>
          <w:p w14:paraId="1214E9A0" w14:textId="41D83033" w:rsidR="00AF75EB" w:rsidRDefault="00AF75EB" w:rsidP="006E74B7">
            <w:pPr>
              <w:pStyle w:val="NormalWeb"/>
              <w:spacing w:before="0" w:beforeAutospacing="0" w:after="0" w:afterAutospacing="0"/>
              <w:ind w:left="34"/>
              <w:contextualSpacing/>
              <w:jc w:val="both"/>
            </w:pPr>
            <w:r>
              <w:t>22.07.2019. saņemti visi saskaņošanas dalībnieku atzinumi</w:t>
            </w:r>
            <w:r w:rsidR="00B873C9">
              <w:t>.</w:t>
            </w:r>
          </w:p>
          <w:p w14:paraId="39FFD6BD" w14:textId="1DBDE8E6" w:rsidR="00785085" w:rsidRDefault="00785085" w:rsidP="006E74B7">
            <w:pPr>
              <w:pStyle w:val="NormalWeb"/>
              <w:spacing w:before="0" w:beforeAutospacing="0" w:after="0" w:afterAutospacing="0"/>
              <w:ind w:left="34"/>
              <w:contextualSpacing/>
              <w:jc w:val="both"/>
            </w:pPr>
            <w:r>
              <w:t>12.09.2019.jautājums skatīts V</w:t>
            </w:r>
            <w:r w:rsidR="00B873C9">
              <w:t>alsts sekretāru sanāksmē.</w:t>
            </w:r>
          </w:p>
          <w:p w14:paraId="0EEDE22B" w14:textId="77777777" w:rsidR="00785085" w:rsidRDefault="00785085" w:rsidP="006E74B7">
            <w:pPr>
              <w:pStyle w:val="NormalWeb"/>
              <w:spacing w:before="0" w:beforeAutospacing="0" w:after="0" w:afterAutospacing="0"/>
              <w:ind w:left="34"/>
              <w:contextualSpacing/>
              <w:jc w:val="both"/>
            </w:pPr>
            <w:r>
              <w:t xml:space="preserve">16.09.2019. </w:t>
            </w:r>
            <w:r w:rsidRPr="00785085">
              <w:t>notikusi starpinstitūciju sanāksme.</w:t>
            </w:r>
          </w:p>
          <w:p w14:paraId="5D6B3565" w14:textId="5D7E6B61" w:rsidR="00912033" w:rsidRDefault="00912033" w:rsidP="006E74B7">
            <w:pPr>
              <w:pStyle w:val="NormalWeb"/>
              <w:spacing w:before="0" w:beforeAutospacing="0" w:after="0" w:afterAutospacing="0"/>
              <w:ind w:left="34"/>
              <w:contextualSpacing/>
              <w:jc w:val="both"/>
            </w:pPr>
            <w:r>
              <w:t xml:space="preserve">24.09.2019. nosūtīts atkārtotai saskaņošanai. </w:t>
            </w:r>
          </w:p>
          <w:p w14:paraId="1F666D6A" w14:textId="77777777" w:rsidR="000268DD" w:rsidRDefault="000268DD" w:rsidP="000D4A38">
            <w:pPr>
              <w:pStyle w:val="NormalWeb"/>
              <w:ind w:left="34"/>
              <w:contextualSpacing/>
              <w:jc w:val="both"/>
            </w:pPr>
            <w:r>
              <w:t xml:space="preserve">28.09.2019. saņemti saskaņošanas dalībnieku atzinumi. </w:t>
            </w:r>
          </w:p>
          <w:p w14:paraId="6582C7B4" w14:textId="4EBC7F05" w:rsidR="000D4A38" w:rsidRPr="00CF22AB" w:rsidRDefault="000D4A38" w:rsidP="000D4A38">
            <w:pPr>
              <w:pStyle w:val="NormalWeb"/>
              <w:ind w:left="34"/>
              <w:contextualSpacing/>
              <w:jc w:val="both"/>
            </w:pPr>
          </w:p>
        </w:tc>
      </w:tr>
      <w:tr w:rsidR="00AF75EB" w:rsidRPr="00712B66" w14:paraId="5740D41E" w14:textId="77777777" w:rsidTr="006E74B7">
        <w:tc>
          <w:tcPr>
            <w:tcW w:w="5529" w:type="dxa"/>
          </w:tcPr>
          <w:p w14:paraId="615A9BA8" w14:textId="77777777" w:rsidR="00AF75EB" w:rsidRDefault="00AF75EB" w:rsidP="006E74B7">
            <w:pPr>
              <w:pStyle w:val="naiskr"/>
              <w:spacing w:before="0" w:after="0"/>
              <w:contextualSpacing/>
            </w:pPr>
            <w:r>
              <w:lastRenderedPageBreak/>
              <w:t>Saskaņošanas d</w:t>
            </w:r>
            <w:r w:rsidRPr="00712B66">
              <w:t>alībnieki</w:t>
            </w:r>
            <w:r>
              <w:t xml:space="preserve"> (visi iesaistītie)</w:t>
            </w:r>
          </w:p>
          <w:p w14:paraId="161C01B2" w14:textId="77777777" w:rsidR="00785085" w:rsidRPr="00785085" w:rsidRDefault="00785085" w:rsidP="00785085"/>
          <w:p w14:paraId="1A314A8B" w14:textId="77777777" w:rsidR="00785085" w:rsidRPr="00785085" w:rsidRDefault="00785085" w:rsidP="00A32374">
            <w:pPr>
              <w:ind w:firstLine="720"/>
            </w:pPr>
          </w:p>
          <w:p w14:paraId="1DC2F4BA" w14:textId="70057835" w:rsidR="00785085" w:rsidRPr="00785085" w:rsidRDefault="00785085" w:rsidP="00785085">
            <w:pPr>
              <w:tabs>
                <w:tab w:val="left" w:pos="1230"/>
              </w:tabs>
            </w:pPr>
            <w:r>
              <w:tab/>
            </w:r>
          </w:p>
        </w:tc>
        <w:tc>
          <w:tcPr>
            <w:tcW w:w="8754" w:type="dxa"/>
            <w:tcBorders>
              <w:bottom w:val="single" w:sz="4" w:space="0" w:color="auto"/>
            </w:tcBorders>
          </w:tcPr>
          <w:p w14:paraId="5B3339E4" w14:textId="175FDD2D" w:rsidR="00AF75EB" w:rsidRPr="00CF22AB" w:rsidRDefault="00AF75EB" w:rsidP="006E74B7">
            <w:pPr>
              <w:pStyle w:val="NormalWeb"/>
              <w:spacing w:before="0" w:beforeAutospacing="0" w:after="0" w:afterAutospacing="0"/>
              <w:contextualSpacing/>
              <w:jc w:val="both"/>
            </w:pPr>
            <w:r w:rsidRPr="00D21CCD">
              <w:rPr>
                <w:color w:val="2A2A2A"/>
                <w:shd w:val="clear" w:color="auto" w:fill="FFFFFF"/>
              </w:rPr>
              <w:t>Tieslietu ministrija, Finanšu ministrija, Latvijas Darba devēju konfederācija</w:t>
            </w:r>
            <w:r>
              <w:rPr>
                <w:color w:val="2A2A2A"/>
                <w:shd w:val="clear" w:color="auto" w:fill="FFFFFF"/>
              </w:rPr>
              <w:t xml:space="preserve">, Sabiedrisko pakalpojumu regulēšanas komisija, AS “Gaso”, AS “Latvijas Gāze”, </w:t>
            </w:r>
            <w:r w:rsidRPr="00C53297">
              <w:t>Latvijas Brīvo arodbiedrību savienība</w:t>
            </w:r>
            <w:r w:rsidR="00912033">
              <w:t xml:space="preserve">, Latvijas Tirdzniecības un rūpniecības kamera. </w:t>
            </w:r>
          </w:p>
        </w:tc>
      </w:tr>
      <w:tr w:rsidR="00AF75EB" w:rsidRPr="00712B66" w14:paraId="33AA0BAB" w14:textId="77777777" w:rsidTr="006E74B7">
        <w:trPr>
          <w:trHeight w:val="285"/>
        </w:trPr>
        <w:tc>
          <w:tcPr>
            <w:tcW w:w="5529" w:type="dxa"/>
          </w:tcPr>
          <w:p w14:paraId="6D165923" w14:textId="77777777" w:rsidR="00AF75EB" w:rsidRPr="00712B66" w:rsidRDefault="00AF75EB" w:rsidP="006E74B7">
            <w:pPr>
              <w:pStyle w:val="naiskr"/>
              <w:spacing w:before="0" w:after="0"/>
              <w:contextualSpacing/>
            </w:pPr>
            <w:r>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0D66968B" w14:textId="7428B836" w:rsidR="00AF75EB" w:rsidRPr="00CF22AB" w:rsidRDefault="00D35626" w:rsidP="006E74B7">
            <w:pPr>
              <w:pStyle w:val="naiskr"/>
              <w:spacing w:before="0" w:after="0"/>
              <w:ind w:firstLine="12"/>
              <w:contextualSpacing/>
              <w:jc w:val="both"/>
            </w:pPr>
            <w:r>
              <w:rPr>
                <w:color w:val="2A2A2A"/>
                <w:shd w:val="clear" w:color="auto" w:fill="FFFFFF"/>
              </w:rPr>
              <w:t>Tieslietu ministrijas, Sabiedrisko pakalpojumu regulēšanas komisijas</w:t>
            </w:r>
            <w:r w:rsidR="007B2798">
              <w:rPr>
                <w:color w:val="2A2A2A"/>
                <w:shd w:val="clear" w:color="auto" w:fill="FFFFFF"/>
              </w:rPr>
              <w:t xml:space="preserve"> iebildumus, kā arī</w:t>
            </w:r>
            <w:r w:rsidR="00E5642B">
              <w:rPr>
                <w:color w:val="2A2A2A"/>
                <w:shd w:val="clear" w:color="auto" w:fill="FFFFFF"/>
              </w:rPr>
              <w:t xml:space="preserve"> </w:t>
            </w:r>
            <w:r w:rsidR="00912033">
              <w:rPr>
                <w:color w:val="2A2A2A"/>
                <w:shd w:val="clear" w:color="auto" w:fill="FFFFFF"/>
              </w:rPr>
              <w:t>Latvijas Tirdzniecības un rūpniecības kamera</w:t>
            </w:r>
            <w:r w:rsidR="00E42246">
              <w:rPr>
                <w:color w:val="2A2A2A"/>
                <w:shd w:val="clear" w:color="auto" w:fill="FFFFFF"/>
              </w:rPr>
              <w:t>s, kā arī AS “Latvijas Gāze” priekšlikumu</w:t>
            </w:r>
            <w:r w:rsidR="007B2798">
              <w:rPr>
                <w:color w:val="2A2A2A"/>
                <w:shd w:val="clear" w:color="auto" w:fill="FFFFFF"/>
              </w:rPr>
              <w:t>s</w:t>
            </w:r>
            <w:r w:rsidR="00912033">
              <w:rPr>
                <w:color w:val="2A2A2A"/>
                <w:shd w:val="clear" w:color="auto" w:fill="FFFFFF"/>
              </w:rPr>
              <w:t xml:space="preserve">. </w:t>
            </w:r>
          </w:p>
        </w:tc>
      </w:tr>
      <w:tr w:rsidR="00AF75EB" w:rsidRPr="00712B66" w14:paraId="400CB0E0" w14:textId="77777777" w:rsidTr="006E74B7">
        <w:tc>
          <w:tcPr>
            <w:tcW w:w="5529" w:type="dxa"/>
          </w:tcPr>
          <w:p w14:paraId="1D8E694D" w14:textId="77777777" w:rsidR="00AF75EB" w:rsidRPr="00712B66" w:rsidRDefault="00AF75EB" w:rsidP="006E74B7">
            <w:pPr>
              <w:pStyle w:val="naiskr"/>
              <w:spacing w:before="0" w:after="0"/>
              <w:contextualSpacing/>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B6A8211" w14:textId="77777777" w:rsidR="00AF75EB" w:rsidRPr="00712B66" w:rsidRDefault="00AF75EB" w:rsidP="006E74B7">
            <w:pPr>
              <w:pStyle w:val="naiskr"/>
              <w:spacing w:before="0" w:after="0"/>
              <w:contextualSpacing/>
              <w:jc w:val="both"/>
            </w:pPr>
            <w:r>
              <w:t>-</w:t>
            </w:r>
          </w:p>
        </w:tc>
      </w:tr>
    </w:tbl>
    <w:p w14:paraId="41EA4E07" w14:textId="61FBC436" w:rsidR="00AF75EB" w:rsidRDefault="00AF75EB" w:rsidP="00AF75EB">
      <w:pPr>
        <w:contextualSpacing/>
        <w:rPr>
          <w:b/>
        </w:rPr>
      </w:pPr>
    </w:p>
    <w:p w14:paraId="2ABD5E3F" w14:textId="199C8744" w:rsidR="00D56214" w:rsidRDefault="00D56214" w:rsidP="00D56214">
      <w:pPr>
        <w:contextualSpacing/>
        <w:rPr>
          <w:b/>
        </w:rPr>
      </w:pPr>
    </w:p>
    <w:p w14:paraId="24FDE8A9" w14:textId="3BD374A2" w:rsidR="00B873C9" w:rsidRDefault="00B873C9" w:rsidP="00D56214">
      <w:pPr>
        <w:contextualSpacing/>
        <w:rPr>
          <w:b/>
        </w:rPr>
      </w:pPr>
    </w:p>
    <w:p w14:paraId="3A2E5181" w14:textId="1DF995DC" w:rsidR="00B873C9" w:rsidRDefault="00B873C9" w:rsidP="00D56214">
      <w:pPr>
        <w:contextualSpacing/>
        <w:rPr>
          <w:b/>
        </w:rPr>
      </w:pPr>
    </w:p>
    <w:p w14:paraId="0AF6E427" w14:textId="3C9B6DBB" w:rsidR="00B873C9" w:rsidRDefault="00B873C9" w:rsidP="00D56214">
      <w:pPr>
        <w:contextualSpacing/>
        <w:rPr>
          <w:b/>
        </w:rPr>
      </w:pPr>
    </w:p>
    <w:p w14:paraId="31CD764D" w14:textId="324039DF" w:rsidR="00B873C9" w:rsidRDefault="00B873C9" w:rsidP="00D56214">
      <w:pPr>
        <w:contextualSpacing/>
        <w:rPr>
          <w:b/>
        </w:rPr>
      </w:pPr>
    </w:p>
    <w:p w14:paraId="64F8E7F1" w14:textId="3BE6F0C7" w:rsidR="00B873C9" w:rsidRDefault="00B873C9" w:rsidP="00D56214">
      <w:pPr>
        <w:contextualSpacing/>
        <w:rPr>
          <w:b/>
        </w:rPr>
      </w:pPr>
    </w:p>
    <w:p w14:paraId="25AFCF2C" w14:textId="64AB8C65" w:rsidR="00B873C9" w:rsidRDefault="00B873C9" w:rsidP="00D56214">
      <w:pPr>
        <w:contextualSpacing/>
        <w:rPr>
          <w:b/>
        </w:rPr>
      </w:pPr>
    </w:p>
    <w:p w14:paraId="2435EE7D" w14:textId="440AE530" w:rsidR="00B873C9" w:rsidRDefault="00B873C9" w:rsidP="00D56214">
      <w:pPr>
        <w:contextualSpacing/>
        <w:rPr>
          <w:b/>
        </w:rPr>
      </w:pPr>
    </w:p>
    <w:p w14:paraId="7107299E" w14:textId="3AD481AB" w:rsidR="00B873C9" w:rsidRDefault="00B873C9" w:rsidP="00D56214">
      <w:pPr>
        <w:contextualSpacing/>
        <w:rPr>
          <w:b/>
        </w:rPr>
      </w:pPr>
    </w:p>
    <w:p w14:paraId="057F4CEC" w14:textId="7FB6BE5D" w:rsidR="00B873C9" w:rsidRDefault="00B873C9" w:rsidP="00D56214">
      <w:pPr>
        <w:contextualSpacing/>
        <w:rPr>
          <w:b/>
        </w:rPr>
      </w:pPr>
    </w:p>
    <w:p w14:paraId="20B204AD" w14:textId="686A234F" w:rsidR="00B873C9" w:rsidRDefault="00B873C9" w:rsidP="00D56214">
      <w:pPr>
        <w:contextualSpacing/>
        <w:rPr>
          <w:b/>
        </w:rPr>
      </w:pPr>
    </w:p>
    <w:p w14:paraId="4AD96BF5" w14:textId="120F832D" w:rsidR="00B873C9" w:rsidRDefault="00B873C9" w:rsidP="00D56214">
      <w:pPr>
        <w:contextualSpacing/>
        <w:rPr>
          <w:b/>
        </w:rPr>
      </w:pPr>
    </w:p>
    <w:p w14:paraId="782821C5" w14:textId="36A48D42" w:rsidR="00B873C9" w:rsidRDefault="00B873C9" w:rsidP="00D56214">
      <w:pPr>
        <w:contextualSpacing/>
        <w:rPr>
          <w:b/>
        </w:rPr>
      </w:pPr>
    </w:p>
    <w:p w14:paraId="61CBFF35" w14:textId="6A0A731C" w:rsidR="00B873C9" w:rsidRDefault="00B873C9" w:rsidP="00D56214">
      <w:pPr>
        <w:contextualSpacing/>
        <w:rPr>
          <w:b/>
        </w:rPr>
      </w:pPr>
    </w:p>
    <w:p w14:paraId="2DEEF7BA" w14:textId="43A26C64" w:rsidR="00B873C9" w:rsidRDefault="00B873C9" w:rsidP="00D56214">
      <w:pPr>
        <w:contextualSpacing/>
        <w:rPr>
          <w:b/>
        </w:rPr>
      </w:pPr>
    </w:p>
    <w:p w14:paraId="49251FA7" w14:textId="303C3604" w:rsidR="00B873C9" w:rsidRDefault="00B873C9" w:rsidP="00D56214">
      <w:pPr>
        <w:contextualSpacing/>
        <w:rPr>
          <w:b/>
        </w:rPr>
      </w:pPr>
    </w:p>
    <w:p w14:paraId="10F103F5" w14:textId="093192F1" w:rsidR="00B873C9" w:rsidRDefault="00B873C9" w:rsidP="00D56214">
      <w:pPr>
        <w:contextualSpacing/>
        <w:rPr>
          <w:b/>
        </w:rPr>
      </w:pPr>
    </w:p>
    <w:p w14:paraId="4DDEDF39" w14:textId="7A2665F8" w:rsidR="00B873C9" w:rsidRDefault="00B873C9" w:rsidP="00D56214">
      <w:pPr>
        <w:contextualSpacing/>
        <w:rPr>
          <w:b/>
        </w:rPr>
      </w:pPr>
    </w:p>
    <w:p w14:paraId="2E22DA40" w14:textId="0A1B862C" w:rsidR="00B873C9" w:rsidRDefault="00B873C9" w:rsidP="00D56214">
      <w:pPr>
        <w:contextualSpacing/>
        <w:rPr>
          <w:b/>
        </w:rPr>
      </w:pPr>
    </w:p>
    <w:p w14:paraId="5CF6ECF2" w14:textId="07ECEB24" w:rsidR="00B873C9" w:rsidRDefault="00B873C9" w:rsidP="00D56214">
      <w:pPr>
        <w:contextualSpacing/>
        <w:rPr>
          <w:b/>
        </w:rPr>
      </w:pPr>
    </w:p>
    <w:p w14:paraId="270574C9" w14:textId="175DF90C" w:rsidR="00B873C9" w:rsidRDefault="00B873C9" w:rsidP="00D56214">
      <w:pPr>
        <w:contextualSpacing/>
        <w:rPr>
          <w:b/>
        </w:rPr>
      </w:pPr>
    </w:p>
    <w:p w14:paraId="0B27F36A" w14:textId="16B1E9E0" w:rsidR="00B873C9" w:rsidRDefault="00B873C9" w:rsidP="00D56214">
      <w:pPr>
        <w:contextualSpacing/>
        <w:rPr>
          <w:b/>
        </w:rPr>
      </w:pPr>
    </w:p>
    <w:p w14:paraId="4265EAFA" w14:textId="5AF43FED" w:rsidR="00B873C9" w:rsidRDefault="00B873C9" w:rsidP="00D56214">
      <w:pPr>
        <w:contextualSpacing/>
        <w:rPr>
          <w:b/>
        </w:rPr>
      </w:pPr>
    </w:p>
    <w:p w14:paraId="67454F65" w14:textId="6903CFE6" w:rsidR="00B873C9" w:rsidRDefault="00B873C9" w:rsidP="00D56214">
      <w:pPr>
        <w:contextualSpacing/>
        <w:rPr>
          <w:b/>
        </w:rPr>
      </w:pPr>
    </w:p>
    <w:p w14:paraId="624140DA" w14:textId="7C61C422" w:rsidR="00B873C9" w:rsidRDefault="00B873C9" w:rsidP="00D56214">
      <w:pPr>
        <w:contextualSpacing/>
        <w:rPr>
          <w:b/>
        </w:rPr>
      </w:pPr>
    </w:p>
    <w:p w14:paraId="54C0356A" w14:textId="7ABFCA35" w:rsidR="00AF75EB" w:rsidRPr="00712B66" w:rsidRDefault="00AF75EB" w:rsidP="00D56214">
      <w:pPr>
        <w:contextualSpacing/>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
        <w:gridCol w:w="3393"/>
        <w:gridCol w:w="3544"/>
        <w:gridCol w:w="850"/>
        <w:gridCol w:w="2239"/>
        <w:gridCol w:w="29"/>
        <w:gridCol w:w="3373"/>
        <w:gridCol w:w="29"/>
      </w:tblGrid>
      <w:tr w:rsidR="00AF75EB" w:rsidRPr="00F27FAC" w14:paraId="6408BF73" w14:textId="77777777" w:rsidTr="00BA29B9">
        <w:trPr>
          <w:gridAfter w:val="1"/>
          <w:wAfter w:w="29" w:type="dxa"/>
          <w:trHeight w:val="20"/>
        </w:trPr>
        <w:tc>
          <w:tcPr>
            <w:tcW w:w="851" w:type="dxa"/>
            <w:vAlign w:val="center"/>
          </w:tcPr>
          <w:p w14:paraId="6CCDF94C" w14:textId="77777777" w:rsidR="00AF75EB" w:rsidRPr="00F27FAC" w:rsidRDefault="00AF75EB" w:rsidP="006E74B7">
            <w:pPr>
              <w:pStyle w:val="naisc"/>
              <w:spacing w:before="0" w:after="0"/>
              <w:contextualSpacing/>
            </w:pPr>
            <w:r w:rsidRPr="00F27FAC">
              <w:t>Nr.p.k.</w:t>
            </w:r>
          </w:p>
        </w:tc>
        <w:tc>
          <w:tcPr>
            <w:tcW w:w="3402" w:type="dxa"/>
            <w:gridSpan w:val="2"/>
            <w:vAlign w:val="center"/>
          </w:tcPr>
          <w:p w14:paraId="34E1D7FD" w14:textId="77777777" w:rsidR="00AF75EB" w:rsidRPr="00F27FAC" w:rsidRDefault="00AF75EB" w:rsidP="006E74B7">
            <w:pPr>
              <w:pStyle w:val="naisc"/>
              <w:spacing w:before="0" w:after="0"/>
              <w:ind w:firstLine="12"/>
              <w:contextualSpacing/>
            </w:pPr>
            <w:r w:rsidRPr="00F27FAC">
              <w:t>Saskaņošanai nosūtītā projekta redakcija (konkrēta punkta redakcija)</w:t>
            </w:r>
          </w:p>
        </w:tc>
        <w:tc>
          <w:tcPr>
            <w:tcW w:w="3544" w:type="dxa"/>
            <w:vAlign w:val="center"/>
          </w:tcPr>
          <w:p w14:paraId="5727D6A8" w14:textId="77777777" w:rsidR="00AF75EB" w:rsidRPr="00F27FAC" w:rsidRDefault="00AF75EB" w:rsidP="006E74B7">
            <w:pPr>
              <w:pStyle w:val="naisc"/>
              <w:spacing w:before="0" w:after="0"/>
              <w:ind w:right="3"/>
              <w:contextualSpacing/>
            </w:pPr>
            <w:r w:rsidRPr="00F27FAC">
              <w:t>Atzinumā norādītais ministrijas (citas institūcijas) iebildums, kā arī saskaņošanā papildus izteiktais iebildums par projekta konkrēto punktu</w:t>
            </w:r>
          </w:p>
        </w:tc>
        <w:tc>
          <w:tcPr>
            <w:tcW w:w="3089" w:type="dxa"/>
            <w:gridSpan w:val="2"/>
            <w:vAlign w:val="center"/>
          </w:tcPr>
          <w:p w14:paraId="2E62CB64" w14:textId="77777777" w:rsidR="00AF75EB" w:rsidRPr="00F27FAC" w:rsidRDefault="00AF75EB" w:rsidP="006E74B7">
            <w:pPr>
              <w:pStyle w:val="naisc"/>
              <w:spacing w:before="0" w:after="0"/>
              <w:ind w:firstLine="21"/>
              <w:contextualSpacing/>
            </w:pPr>
            <w:r w:rsidRPr="00F27FAC">
              <w:t>Atbildīgās ministrijas norāde par to, ka iebildums ir ņemts vērā, vai informācija par saskaņošanā panākto alternatīvo risinājumu</w:t>
            </w:r>
          </w:p>
        </w:tc>
        <w:tc>
          <w:tcPr>
            <w:tcW w:w="3402" w:type="dxa"/>
            <w:gridSpan w:val="2"/>
            <w:vAlign w:val="center"/>
          </w:tcPr>
          <w:p w14:paraId="1F21856F" w14:textId="77777777" w:rsidR="00AF75EB" w:rsidRPr="00F27FAC" w:rsidRDefault="00AF75EB" w:rsidP="006E74B7">
            <w:pPr>
              <w:contextualSpacing/>
              <w:jc w:val="center"/>
            </w:pPr>
            <w:r w:rsidRPr="00F27FAC">
              <w:t>Projekta attiecīgā punkta  galīgā redakcija</w:t>
            </w:r>
          </w:p>
        </w:tc>
      </w:tr>
      <w:tr w:rsidR="00AF75EB" w:rsidRPr="00F27FAC" w14:paraId="18A43EFA" w14:textId="77777777" w:rsidTr="00BA29B9">
        <w:trPr>
          <w:gridAfter w:val="1"/>
          <w:wAfter w:w="29" w:type="dxa"/>
          <w:trHeight w:val="20"/>
        </w:trPr>
        <w:tc>
          <w:tcPr>
            <w:tcW w:w="851" w:type="dxa"/>
          </w:tcPr>
          <w:p w14:paraId="3EA58D99" w14:textId="77777777" w:rsidR="00AF75EB" w:rsidRPr="00F27FAC" w:rsidRDefault="00AF75EB" w:rsidP="006E74B7">
            <w:pPr>
              <w:pStyle w:val="naisc"/>
              <w:spacing w:before="0" w:after="0"/>
              <w:contextualSpacing/>
            </w:pPr>
            <w:r w:rsidRPr="00F27FAC">
              <w:t>1</w:t>
            </w:r>
          </w:p>
        </w:tc>
        <w:tc>
          <w:tcPr>
            <w:tcW w:w="3402" w:type="dxa"/>
            <w:gridSpan w:val="2"/>
          </w:tcPr>
          <w:p w14:paraId="7035F2DB" w14:textId="77777777" w:rsidR="00AF75EB" w:rsidRPr="00F27FAC" w:rsidRDefault="00AF75EB" w:rsidP="006E74B7">
            <w:pPr>
              <w:pStyle w:val="naisc"/>
              <w:spacing w:before="0" w:after="0"/>
              <w:ind w:firstLine="12"/>
              <w:contextualSpacing/>
            </w:pPr>
            <w:r w:rsidRPr="00F27FAC">
              <w:t>2</w:t>
            </w:r>
          </w:p>
        </w:tc>
        <w:tc>
          <w:tcPr>
            <w:tcW w:w="3544" w:type="dxa"/>
          </w:tcPr>
          <w:p w14:paraId="60B2B850" w14:textId="77777777" w:rsidR="00AF75EB" w:rsidRPr="00F27FAC" w:rsidRDefault="00AF75EB" w:rsidP="006E74B7">
            <w:pPr>
              <w:pStyle w:val="naisc"/>
              <w:spacing w:before="0" w:after="0"/>
              <w:ind w:right="3"/>
              <w:contextualSpacing/>
            </w:pPr>
            <w:r w:rsidRPr="00F27FAC">
              <w:t>3</w:t>
            </w:r>
          </w:p>
        </w:tc>
        <w:tc>
          <w:tcPr>
            <w:tcW w:w="3089" w:type="dxa"/>
            <w:gridSpan w:val="2"/>
          </w:tcPr>
          <w:p w14:paraId="4355BF89" w14:textId="77777777" w:rsidR="00AF75EB" w:rsidRPr="00F27FAC" w:rsidRDefault="00AF75EB" w:rsidP="006E74B7">
            <w:pPr>
              <w:pStyle w:val="naisc"/>
              <w:spacing w:before="0" w:after="0"/>
              <w:ind w:firstLine="21"/>
              <w:contextualSpacing/>
            </w:pPr>
            <w:r w:rsidRPr="00F27FAC">
              <w:t>4</w:t>
            </w:r>
          </w:p>
        </w:tc>
        <w:tc>
          <w:tcPr>
            <w:tcW w:w="3402" w:type="dxa"/>
            <w:gridSpan w:val="2"/>
          </w:tcPr>
          <w:p w14:paraId="4BA1C8E1" w14:textId="77777777" w:rsidR="00AF75EB" w:rsidRPr="00F27FAC" w:rsidRDefault="00AF75EB" w:rsidP="006E74B7">
            <w:pPr>
              <w:contextualSpacing/>
              <w:jc w:val="center"/>
            </w:pPr>
            <w:r w:rsidRPr="00F27FAC">
              <w:t>5</w:t>
            </w:r>
          </w:p>
        </w:tc>
      </w:tr>
      <w:tr w:rsidR="003D6111" w:rsidRPr="00F27FAC" w14:paraId="4E276286" w14:textId="77777777" w:rsidTr="00BA29B9">
        <w:trPr>
          <w:gridAfter w:val="1"/>
          <w:wAfter w:w="29" w:type="dxa"/>
          <w:trHeight w:val="20"/>
        </w:trPr>
        <w:tc>
          <w:tcPr>
            <w:tcW w:w="851" w:type="dxa"/>
          </w:tcPr>
          <w:p w14:paraId="5D837877" w14:textId="55BF76A6" w:rsidR="003D6111" w:rsidRPr="00F27FAC" w:rsidRDefault="00D81B58" w:rsidP="006E74B7">
            <w:pPr>
              <w:pStyle w:val="naisc"/>
              <w:spacing w:before="0" w:after="0"/>
              <w:contextualSpacing/>
            </w:pPr>
            <w:r>
              <w:t>1</w:t>
            </w:r>
            <w:r w:rsidR="00F20FE4">
              <w:t>.</w:t>
            </w:r>
          </w:p>
        </w:tc>
        <w:tc>
          <w:tcPr>
            <w:tcW w:w="3402" w:type="dxa"/>
            <w:gridSpan w:val="2"/>
          </w:tcPr>
          <w:p w14:paraId="17B15828" w14:textId="59DCCEC0" w:rsidR="006B76F0" w:rsidRPr="00EE37CE" w:rsidRDefault="006B76F0"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3B7D4D5A" w14:textId="4E1F6F11" w:rsidR="003D6111" w:rsidRPr="00BA29B9" w:rsidRDefault="003D6111" w:rsidP="00BA29B9">
            <w:pPr>
              <w:pStyle w:val="naisc"/>
              <w:spacing w:before="0" w:after="0"/>
              <w:ind w:right="3"/>
              <w:jc w:val="left"/>
              <w:rPr>
                <w:b/>
                <w:bCs/>
              </w:rPr>
            </w:pPr>
            <w:r w:rsidRPr="00BA29B9">
              <w:rPr>
                <w:b/>
                <w:bCs/>
              </w:rPr>
              <w:t xml:space="preserve">Tieslietu ministrija (14.12.2018. Nr.1-9.1/1407) </w:t>
            </w:r>
          </w:p>
          <w:p w14:paraId="0BBD33C5" w14:textId="66D32AD7" w:rsidR="003D6111" w:rsidRPr="00F20FE4" w:rsidRDefault="003D6111" w:rsidP="00BA29B9">
            <w:pPr>
              <w:pStyle w:val="naisc"/>
              <w:spacing w:before="0" w:after="0"/>
              <w:ind w:right="3"/>
              <w:jc w:val="both"/>
            </w:pPr>
            <w:r w:rsidRPr="00EE37CE">
              <w:t>Vēršam uzmanību uz to, ka nav skaidrs, kas ir projekta 1.1., 1.5. un 1.6. apakšpunktā paredzētajā grozījumā minētā kārtība (proti, vai tas ir normatīvais akts, vai arī kas cits). Ievērojot minēto, lūdzam izvērtēt projekta 1.1., 1.5. un 1.6. apakšpunktā paredzētajā grozījumā ietverto regulējumu un nepieciešamības gadījumā precizēt to, kā arī papildināt projekta sākotnējās</w:t>
            </w:r>
            <w:r w:rsidRPr="00F20FE4">
              <w:t xml:space="preserve"> (ex-ante) ietekmes novērtējuma ziņojumu (turpmāk – anotācija) ar atbilstošu skaidrojumu. Vienlaikus vēršam uzmanību uz to, ka anotācijā nav informācijas par projekta 1.1. apakšpunktā paredzēto grozījumu, tādēļ lūdzam attiecīgi precizēt anotāciju.</w:t>
            </w:r>
          </w:p>
          <w:p w14:paraId="098FB1BA" w14:textId="1B6637F4" w:rsidR="003D6111" w:rsidRPr="00F20FE4" w:rsidRDefault="003D6111" w:rsidP="00BA29B9">
            <w:pPr>
              <w:pStyle w:val="naisc"/>
              <w:spacing w:before="0" w:after="0"/>
              <w:ind w:right="3"/>
              <w:jc w:val="left"/>
            </w:pPr>
          </w:p>
        </w:tc>
        <w:tc>
          <w:tcPr>
            <w:tcW w:w="3089" w:type="dxa"/>
            <w:gridSpan w:val="2"/>
          </w:tcPr>
          <w:p w14:paraId="18B2395F" w14:textId="77777777" w:rsidR="003D6111" w:rsidRPr="00EE37CE" w:rsidRDefault="006B76F0" w:rsidP="00BA29B9">
            <w:pPr>
              <w:pStyle w:val="naisc"/>
              <w:spacing w:before="0" w:after="0"/>
              <w:ind w:firstLine="21"/>
              <w:jc w:val="left"/>
              <w:rPr>
                <w:b/>
              </w:rPr>
            </w:pPr>
            <w:r w:rsidRPr="00BA29B9">
              <w:rPr>
                <w:b/>
              </w:rPr>
              <w:t xml:space="preserve">Vienošanās panākta saskaņošanas procesa laikā. </w:t>
            </w:r>
          </w:p>
          <w:p w14:paraId="68A1F313" w14:textId="6CF564DF" w:rsidR="00E965D8" w:rsidRPr="00EE37CE" w:rsidRDefault="00E965D8" w:rsidP="00BA29B9">
            <w:pPr>
              <w:pStyle w:val="naisc"/>
              <w:spacing w:before="0" w:after="0"/>
              <w:ind w:firstLine="21"/>
              <w:jc w:val="left"/>
            </w:pPr>
          </w:p>
        </w:tc>
        <w:tc>
          <w:tcPr>
            <w:tcW w:w="3402" w:type="dxa"/>
            <w:gridSpan w:val="2"/>
          </w:tcPr>
          <w:p w14:paraId="27F71D2F" w14:textId="0FD31342" w:rsidR="003D6111" w:rsidRPr="00EE37CE" w:rsidRDefault="006B76F0" w:rsidP="00BA29B9">
            <w:r w:rsidRPr="00EE37CE">
              <w:t>Nav attiecināms</w:t>
            </w:r>
            <w:r w:rsidR="00E965D8" w:rsidRPr="00EE37CE">
              <w:t>.</w:t>
            </w:r>
          </w:p>
        </w:tc>
      </w:tr>
      <w:tr w:rsidR="006B76F0" w:rsidRPr="00F27FAC" w14:paraId="618D02C3" w14:textId="77777777" w:rsidTr="00BA29B9">
        <w:trPr>
          <w:gridAfter w:val="1"/>
          <w:wAfter w:w="29" w:type="dxa"/>
          <w:trHeight w:val="20"/>
        </w:trPr>
        <w:tc>
          <w:tcPr>
            <w:tcW w:w="851" w:type="dxa"/>
          </w:tcPr>
          <w:p w14:paraId="2955EBA3" w14:textId="22A958C6" w:rsidR="006B76F0" w:rsidRPr="00F27FAC" w:rsidRDefault="00D81B58" w:rsidP="006B76F0">
            <w:pPr>
              <w:pStyle w:val="naisc"/>
              <w:spacing w:before="0" w:after="0"/>
              <w:contextualSpacing/>
            </w:pPr>
            <w:r>
              <w:t>2</w:t>
            </w:r>
            <w:r w:rsidR="00F20FE4">
              <w:t>.</w:t>
            </w:r>
          </w:p>
        </w:tc>
        <w:tc>
          <w:tcPr>
            <w:tcW w:w="3402" w:type="dxa"/>
            <w:gridSpan w:val="2"/>
          </w:tcPr>
          <w:p w14:paraId="603D8B61" w14:textId="6D2E68A0" w:rsidR="006B76F0" w:rsidRPr="00EE37CE" w:rsidRDefault="006B76F0"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228BAA07" w14:textId="77777777" w:rsidR="006B76F0" w:rsidRPr="00EE37CE" w:rsidRDefault="006B76F0" w:rsidP="00BA29B9">
            <w:pPr>
              <w:pStyle w:val="naisc"/>
              <w:spacing w:before="0" w:after="0"/>
              <w:ind w:right="3"/>
              <w:jc w:val="left"/>
              <w:rPr>
                <w:b/>
                <w:bCs/>
              </w:rPr>
            </w:pPr>
            <w:r w:rsidRPr="00EE37CE">
              <w:rPr>
                <w:b/>
                <w:bCs/>
              </w:rPr>
              <w:t xml:space="preserve">Tieslietu ministrija (14.12.2018. Nr.1-9.1/1407) </w:t>
            </w:r>
          </w:p>
          <w:p w14:paraId="112D6401" w14:textId="77777777" w:rsidR="006B76F0" w:rsidRPr="00EE37CE" w:rsidRDefault="006B76F0" w:rsidP="00BA29B9">
            <w:pPr>
              <w:pStyle w:val="naisc"/>
              <w:spacing w:before="0" w:after="0"/>
              <w:ind w:right="3"/>
              <w:jc w:val="both"/>
            </w:pPr>
            <w:r w:rsidRPr="00EE37CE">
              <w:t xml:space="preserve">Vēršam uzmanību uz to, ka Oficiālo publikāciju un tiesiskās </w:t>
            </w:r>
            <w:r w:rsidRPr="00EE37CE">
              <w:lastRenderedPageBreak/>
              <w:t>informācijas likuma 9. panta ceturtā daļa noteic, ka normatīvajam aktam vai tā daļai nav atpakaļejoša spēka, izņemot likumā īpaši paredzētus gadījumus. No anotācijā ietvertās informācijas neizriet, ka Enerģētikas likumā ir attiecīgs regulējums. Turklāt ir apšaubāms, ka projekts tiks izskatīts Ministru kabineta 2018. gada 18. decembra sēdē. Līdz ar to lūdzam izvērtēt projekta 2. punktā paredzēto regulējumu par to, ka noteikumi stāsies spēkā 2019. gada 1. janvārī un attiecīgi precizēt projektu, kā arī anotācijā ietverto informāciju.</w:t>
            </w:r>
          </w:p>
          <w:p w14:paraId="3418E6CD" w14:textId="75EF3B76" w:rsidR="000517A8" w:rsidRPr="00EE37CE" w:rsidRDefault="000517A8" w:rsidP="00BA29B9">
            <w:pPr>
              <w:pStyle w:val="naisc"/>
              <w:spacing w:before="0" w:after="0"/>
              <w:ind w:right="3"/>
              <w:jc w:val="both"/>
            </w:pPr>
          </w:p>
        </w:tc>
        <w:tc>
          <w:tcPr>
            <w:tcW w:w="3089" w:type="dxa"/>
            <w:gridSpan w:val="2"/>
          </w:tcPr>
          <w:p w14:paraId="3A5B02CA" w14:textId="02236528" w:rsidR="006B76F0" w:rsidRPr="00EE37CE" w:rsidRDefault="006B76F0"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5086E1B0" w14:textId="2F967A2F" w:rsidR="006B76F0" w:rsidRPr="00EE37CE" w:rsidRDefault="006B76F0" w:rsidP="00BA29B9">
            <w:r w:rsidRPr="00EE37CE">
              <w:t>Nav attiecināms</w:t>
            </w:r>
            <w:r w:rsidR="00E965D8" w:rsidRPr="00EE37CE">
              <w:t>.</w:t>
            </w:r>
          </w:p>
        </w:tc>
      </w:tr>
      <w:tr w:rsidR="00D35626" w:rsidRPr="00F27FAC" w14:paraId="39B5B11B" w14:textId="77777777" w:rsidTr="003652DF">
        <w:trPr>
          <w:gridAfter w:val="1"/>
          <w:wAfter w:w="29" w:type="dxa"/>
          <w:trHeight w:val="20"/>
        </w:trPr>
        <w:tc>
          <w:tcPr>
            <w:tcW w:w="851" w:type="dxa"/>
          </w:tcPr>
          <w:p w14:paraId="7464F430" w14:textId="5BB3FACC" w:rsidR="00D35626" w:rsidRPr="00F27FAC" w:rsidRDefault="00D81B58" w:rsidP="00D35626">
            <w:pPr>
              <w:pStyle w:val="naisc"/>
              <w:spacing w:before="0" w:after="0"/>
              <w:contextualSpacing/>
            </w:pPr>
            <w:r>
              <w:t>3</w:t>
            </w:r>
            <w:r w:rsidR="00F20FE4">
              <w:t>.</w:t>
            </w:r>
          </w:p>
        </w:tc>
        <w:tc>
          <w:tcPr>
            <w:tcW w:w="3402" w:type="dxa"/>
            <w:gridSpan w:val="2"/>
          </w:tcPr>
          <w:p w14:paraId="5FF8CD9F" w14:textId="3411D71B" w:rsidR="00D35626" w:rsidRPr="00EE37CE" w:rsidRDefault="00D35626"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3076CB0A" w14:textId="77777777" w:rsidR="00D35626" w:rsidRPr="00EE37CE" w:rsidRDefault="00D35626" w:rsidP="00BA29B9">
            <w:pPr>
              <w:pStyle w:val="naisc"/>
              <w:spacing w:before="0" w:after="0"/>
              <w:ind w:right="3"/>
              <w:jc w:val="left"/>
              <w:rPr>
                <w:b/>
                <w:bCs/>
              </w:rPr>
            </w:pPr>
            <w:r w:rsidRPr="00EE37CE">
              <w:rPr>
                <w:b/>
                <w:bCs/>
              </w:rPr>
              <w:t>Sabiedrisko pakalpojumu regulēšanas komisija (17.12.2018.  Nr.1-2.89/3940)</w:t>
            </w:r>
          </w:p>
          <w:p w14:paraId="4B04E886" w14:textId="753FF341" w:rsidR="00D35626" w:rsidRDefault="00D35626" w:rsidP="00EE37CE">
            <w:pPr>
              <w:pStyle w:val="naisc"/>
              <w:spacing w:before="0" w:after="0"/>
              <w:ind w:right="3"/>
              <w:jc w:val="both"/>
            </w:pPr>
            <w:r w:rsidRPr="00EE37CE">
              <w:t xml:space="preserve">Projekta 1.1.punkts paredz papildināt Ministru kabineta 2017.gada 7.februāra noteikumu Nr.78 “Dabasgāzes tirdzniecības un lietošanas noteikumi”” 82.2.apakšpunktu, paredzot sadales sistēmas operatora kompetenci noteikt sadales sistēmas pakalpojumu tarifu pielietošanas kārtību. Saistībā ar minēto jānorāda, ka sadales sistēmas pakalpojumu tarifus apstiprina Regulators, ņemot vērā sistēmas operatora ierosināto tarifu </w:t>
            </w:r>
            <w:r w:rsidRPr="00EE37CE">
              <w:lastRenderedPageBreak/>
              <w:t>struktūru. Saskaņā ar Noteikumu 91.punktu par sadales sistēmas pakalpojuma tarifu pareizu piemērošanu ir atbildīgs sadales sistēmas operators. Ievērojot minēto, Projektā nebūtu pamata paredzēt sadales sistēmas operatora kompetenci noteikt sadales sistēmas pakalpojumu tarifu pielietošanas kārtību, kura atbilstoši Noteikumu 91.punktam būtībā attiektos tikai uz pašu sadales sistēmas operatoru. Jāatzīmē, ka kompetence noteikt  tarifu pielietošanas kārtību nav noteikta arī elektroenerģijas sadales sistēmas operatoram, bet tas neliedz sadales sistēmas operatoram sniegt lietotājiem papildu  informāciju saistībā ar tarifu piemērošanu.</w:t>
            </w:r>
          </w:p>
          <w:p w14:paraId="63284E1E" w14:textId="77777777" w:rsidR="00BA29B9" w:rsidRDefault="00BA29B9" w:rsidP="00BA29B9">
            <w:pPr>
              <w:pStyle w:val="naisc"/>
              <w:spacing w:before="0" w:after="0"/>
              <w:ind w:right="3"/>
              <w:jc w:val="both"/>
            </w:pPr>
            <w:r w:rsidRPr="00BA29B9">
              <w:t xml:space="preserve">Vienlaikus jānorāda, ka Noteikumu 82.2.apakšpunkts spēkā esošajā redakcijā paredz sadales sistēmas operatora kompetenci noteikt un publicēt patēriņa standarta profilus, sadales sistēmas pakalpojumu izmantošanas kārtību, kurā noteiktas dabasgāzes apgādes sistēmas lietošanas prasības un dabasgāzes uzskaites un komercuzskaites mēraparātu rādījumu paziņošanas kārtība. Regulatora ieskatā, ir pamatoti </w:t>
            </w:r>
            <w:r w:rsidRPr="00BA29B9">
              <w:lastRenderedPageBreak/>
              <w:t>Noteikumos paredzēt sadales sistēmas operatora tiesības noteikt patēriņa standarta profilus, kā arī dabasgāzes uzskaites un komercuzskaites mēraparātu rādījumu paziņošanas kārtību. Tomēr paredzot sadales sistēmas operatora tiesības noteikt sadales sistēmas izmantošanas kārtību, Noteikumos būtībā tiek pārdeleģēts sistēmas operatoram noteikt kārtību, kura atbilstoši Enerģētikas likuma 107.panta septītajā daļā noteiktajam pilnvarojumam būtu jānosaka Ministru kabinetam. Turklāt nav saprotams, kāds varētu būt sistēmas operatora noteiktās sadales sistēmas izmantošanas kārtības saturs. Jāņem vērā, ka sadales sistēmas pakalpojumu izmantošanas kārtība būtībā jau ir noteikta Noteikumos un nepieciešamības gadījumā Noteikumu regulējumu iespējams precizēt vai papildināt.</w:t>
            </w:r>
          </w:p>
          <w:p w14:paraId="66F53416" w14:textId="24F44B99" w:rsidR="003808EE" w:rsidRPr="003808EE" w:rsidRDefault="003808EE" w:rsidP="00BA29B9">
            <w:pPr>
              <w:pStyle w:val="naisc"/>
              <w:spacing w:before="0" w:after="0"/>
              <w:ind w:right="3"/>
              <w:jc w:val="both"/>
            </w:pPr>
          </w:p>
        </w:tc>
        <w:tc>
          <w:tcPr>
            <w:tcW w:w="3089" w:type="dxa"/>
            <w:gridSpan w:val="2"/>
          </w:tcPr>
          <w:p w14:paraId="67DC1C56" w14:textId="14D7F968" w:rsidR="00D35626" w:rsidRPr="00EE37CE" w:rsidRDefault="00D35626"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0238021D" w14:textId="3C87BA36" w:rsidR="00D35626" w:rsidRPr="00EE37CE" w:rsidRDefault="00D35626" w:rsidP="00BA29B9">
            <w:r w:rsidRPr="00EE37CE">
              <w:t>Nav attiecināms.</w:t>
            </w:r>
          </w:p>
        </w:tc>
      </w:tr>
      <w:tr w:rsidR="00104F22" w:rsidRPr="00F27FAC" w14:paraId="5CEC30F6" w14:textId="77777777" w:rsidTr="003652DF">
        <w:trPr>
          <w:gridAfter w:val="1"/>
          <w:wAfter w:w="29" w:type="dxa"/>
          <w:trHeight w:val="20"/>
        </w:trPr>
        <w:tc>
          <w:tcPr>
            <w:tcW w:w="851" w:type="dxa"/>
          </w:tcPr>
          <w:p w14:paraId="5B914328" w14:textId="7D0349B0" w:rsidR="00104F22" w:rsidRPr="00F27FAC" w:rsidRDefault="00BA29B9" w:rsidP="00104F22">
            <w:pPr>
              <w:pStyle w:val="naisc"/>
              <w:spacing w:before="0" w:after="0"/>
              <w:contextualSpacing/>
            </w:pPr>
            <w:r>
              <w:lastRenderedPageBreak/>
              <w:t>4</w:t>
            </w:r>
            <w:r w:rsidR="00F20FE4">
              <w:t>.</w:t>
            </w:r>
          </w:p>
        </w:tc>
        <w:tc>
          <w:tcPr>
            <w:tcW w:w="3402" w:type="dxa"/>
            <w:gridSpan w:val="2"/>
          </w:tcPr>
          <w:p w14:paraId="6ECA397C" w14:textId="3C01A5BA" w:rsidR="00104F22" w:rsidRPr="00EE37CE" w:rsidRDefault="00104F22"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1CD06703" w14:textId="77777777" w:rsidR="00104F22" w:rsidRPr="00EE37CE" w:rsidRDefault="00104F22" w:rsidP="00BA29B9">
            <w:pPr>
              <w:pStyle w:val="naisc"/>
              <w:spacing w:before="0" w:after="0"/>
              <w:ind w:right="3"/>
              <w:jc w:val="left"/>
              <w:rPr>
                <w:b/>
                <w:bCs/>
              </w:rPr>
            </w:pPr>
            <w:r w:rsidRPr="00EE37CE">
              <w:rPr>
                <w:b/>
                <w:bCs/>
              </w:rPr>
              <w:t>Sabiedrisko pakalpojumu regulēšanas komisija (17.12.2018.  Nr.1-2.89/3940)</w:t>
            </w:r>
          </w:p>
          <w:p w14:paraId="4DBD6322" w14:textId="77777777" w:rsidR="00104F22" w:rsidRDefault="00104F22" w:rsidP="00EE37CE">
            <w:pPr>
              <w:pStyle w:val="naisc"/>
              <w:spacing w:before="0" w:after="0"/>
              <w:ind w:right="3"/>
              <w:jc w:val="both"/>
            </w:pPr>
            <w:r w:rsidRPr="00BA29B9">
              <w:t>Projekta 1.5.punkts paredz papildināt Noteikumus ar 101.</w:t>
            </w:r>
            <w:r w:rsidRPr="00BA29B9">
              <w:rPr>
                <w:vertAlign w:val="superscript"/>
              </w:rPr>
              <w:t>1</w:t>
            </w:r>
            <w:r w:rsidRPr="00BA29B9">
              <w:t xml:space="preserve">punktu, kas nosaka lietotājam iespēju sadales sistēmas pakalpojumu tarifu pielietošanas </w:t>
            </w:r>
            <w:r w:rsidRPr="00BA29B9">
              <w:lastRenderedPageBreak/>
              <w:t>kārtībā noteiktajos gadījumos pieteikt zemāku slodzi par lietotājam noteikto atļauto maksimālo slodzi gazificētajā objektā. Regulatora ieskatā, ir atbalstāms risinājums, kas dod lietotājam iespēju uz laiku izmantot zemāku slodzi nekā pieslēguma atļautā maksimālā slodze, attiecīgi samazinot arī lietotāja izmaksas par sistēmas pakalpojumiem. Tomēr, ievērojot šā atzinuma 1.punktu, regulējumu, kas saistīts ar iespēju izmantot zemāku slodzi, nebūtu pamata noteikt  sistēmas operatora noteiktajā sadales sistēmas pakalpojumu tarifu pielietošanas kārtībā.</w:t>
            </w:r>
          </w:p>
          <w:p w14:paraId="5F0C2FB9" w14:textId="2CFBAA34" w:rsidR="003808EE" w:rsidRPr="00BA29B9" w:rsidRDefault="003808EE" w:rsidP="00BA29B9">
            <w:pPr>
              <w:pStyle w:val="naisc"/>
              <w:spacing w:before="0" w:after="0"/>
              <w:ind w:right="3"/>
              <w:jc w:val="both"/>
            </w:pPr>
          </w:p>
        </w:tc>
        <w:tc>
          <w:tcPr>
            <w:tcW w:w="3089" w:type="dxa"/>
            <w:gridSpan w:val="2"/>
          </w:tcPr>
          <w:p w14:paraId="718FB8C7" w14:textId="067B727A" w:rsidR="00104F22" w:rsidRPr="00EE37CE" w:rsidRDefault="00104F22"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31B08BB3" w14:textId="57FE66AF" w:rsidR="00104F22" w:rsidRPr="00EE37CE" w:rsidRDefault="00104F22" w:rsidP="00BA29B9">
            <w:r w:rsidRPr="00EE37CE">
              <w:t>Nav attiecināms.</w:t>
            </w:r>
          </w:p>
        </w:tc>
      </w:tr>
      <w:tr w:rsidR="00104F22" w:rsidRPr="00F27FAC" w14:paraId="736A5EC6" w14:textId="77777777" w:rsidTr="003652DF">
        <w:trPr>
          <w:gridAfter w:val="1"/>
          <w:wAfter w:w="29" w:type="dxa"/>
          <w:trHeight w:val="20"/>
        </w:trPr>
        <w:tc>
          <w:tcPr>
            <w:tcW w:w="851" w:type="dxa"/>
          </w:tcPr>
          <w:p w14:paraId="2EC3E855" w14:textId="3C6915E3" w:rsidR="00104F22" w:rsidRPr="00F27FAC" w:rsidRDefault="00BA29B9" w:rsidP="00104F22">
            <w:pPr>
              <w:pStyle w:val="naisc"/>
              <w:spacing w:before="0" w:after="0"/>
              <w:contextualSpacing/>
            </w:pPr>
            <w:r>
              <w:t>5</w:t>
            </w:r>
            <w:r w:rsidR="00F20FE4">
              <w:t>.</w:t>
            </w:r>
          </w:p>
        </w:tc>
        <w:tc>
          <w:tcPr>
            <w:tcW w:w="3402" w:type="dxa"/>
            <w:gridSpan w:val="2"/>
          </w:tcPr>
          <w:p w14:paraId="2CB4CC36" w14:textId="263FA3BE" w:rsidR="00104F22" w:rsidRPr="00EE37CE" w:rsidRDefault="00104F22" w:rsidP="00BA29B9">
            <w:pPr>
              <w:pStyle w:val="naisc"/>
              <w:spacing w:before="0" w:after="0"/>
              <w:ind w:firstLine="12"/>
              <w:jc w:val="left"/>
            </w:pPr>
            <w:r w:rsidRPr="00EE37CE">
              <w:t>2018.gada 29.novembra Valsts sek</w:t>
            </w:r>
            <w:r w:rsidRPr="003808EE">
              <w:t>retāru sanāksmē izsludinātā N</w:t>
            </w:r>
            <w:r w:rsidRPr="00EE37CE">
              <w:t>oteikumu Projekta redakcija (VSS-1210)</w:t>
            </w:r>
          </w:p>
        </w:tc>
        <w:tc>
          <w:tcPr>
            <w:tcW w:w="3544" w:type="dxa"/>
          </w:tcPr>
          <w:p w14:paraId="020C8DF9" w14:textId="77777777" w:rsidR="00104F22" w:rsidRPr="00EE37CE" w:rsidRDefault="00104F22" w:rsidP="00BA29B9">
            <w:pPr>
              <w:pStyle w:val="naisc"/>
              <w:spacing w:before="0" w:after="0"/>
              <w:ind w:right="3"/>
              <w:jc w:val="both"/>
              <w:rPr>
                <w:b/>
                <w:bCs/>
              </w:rPr>
            </w:pPr>
            <w:r w:rsidRPr="00EE37CE">
              <w:rPr>
                <w:b/>
                <w:bCs/>
              </w:rPr>
              <w:t>Sabiedrisko pakalpojumu regulēšanas komisija (17.12.2018.  Nr.1-2.89/3940)</w:t>
            </w:r>
          </w:p>
          <w:p w14:paraId="7D291AF2" w14:textId="0E2A6CEF" w:rsidR="00104F22" w:rsidRDefault="00104F22" w:rsidP="003808EE">
            <w:pPr>
              <w:pStyle w:val="naisc"/>
              <w:spacing w:before="0" w:after="0"/>
              <w:ind w:right="3"/>
              <w:jc w:val="both"/>
            </w:pPr>
            <w:r w:rsidRPr="00BA29B9">
              <w:t>papildināt 4.punktu aiz vārda “palielināt” ar vārdiem “vai samazināt”</w:t>
            </w:r>
          </w:p>
          <w:p w14:paraId="2F0B0A76" w14:textId="38AA6D1F" w:rsidR="003808EE" w:rsidRPr="00BA29B9" w:rsidRDefault="003808EE" w:rsidP="00BA29B9">
            <w:pPr>
              <w:pStyle w:val="naisc"/>
              <w:spacing w:before="0" w:after="0"/>
              <w:ind w:right="3"/>
              <w:jc w:val="both"/>
            </w:pPr>
          </w:p>
        </w:tc>
        <w:tc>
          <w:tcPr>
            <w:tcW w:w="3089" w:type="dxa"/>
            <w:gridSpan w:val="2"/>
          </w:tcPr>
          <w:p w14:paraId="559D1859" w14:textId="27DBF0C6" w:rsidR="00104F22" w:rsidRPr="00EE37CE" w:rsidRDefault="00104F22" w:rsidP="00BA29B9">
            <w:pPr>
              <w:pStyle w:val="naisc"/>
              <w:spacing w:before="0" w:after="0"/>
              <w:ind w:firstLine="21"/>
              <w:jc w:val="left"/>
              <w:rPr>
                <w:b/>
              </w:rPr>
            </w:pPr>
            <w:r w:rsidRPr="00EE37CE">
              <w:rPr>
                <w:b/>
              </w:rPr>
              <w:t xml:space="preserve">Vienošanās panākta saskaņošanas procesa laikā. </w:t>
            </w:r>
          </w:p>
        </w:tc>
        <w:tc>
          <w:tcPr>
            <w:tcW w:w="3402" w:type="dxa"/>
            <w:gridSpan w:val="2"/>
          </w:tcPr>
          <w:p w14:paraId="06BBF31D" w14:textId="3BB0A50F" w:rsidR="00104F22" w:rsidRPr="00EE37CE" w:rsidRDefault="00104F22" w:rsidP="00BA29B9">
            <w:r w:rsidRPr="00EE37CE">
              <w:t>Nav attiecināms.</w:t>
            </w:r>
          </w:p>
        </w:tc>
      </w:tr>
      <w:tr w:rsidR="00104F22" w:rsidRPr="00F27FAC" w14:paraId="2E652DB4" w14:textId="77777777" w:rsidTr="003652DF">
        <w:trPr>
          <w:gridAfter w:val="1"/>
          <w:wAfter w:w="29" w:type="dxa"/>
          <w:trHeight w:val="20"/>
        </w:trPr>
        <w:tc>
          <w:tcPr>
            <w:tcW w:w="851" w:type="dxa"/>
          </w:tcPr>
          <w:p w14:paraId="39B5DCF3" w14:textId="1AE549BD" w:rsidR="00104F22" w:rsidRPr="00F27FAC" w:rsidRDefault="00BA29B9" w:rsidP="00104F22">
            <w:pPr>
              <w:pStyle w:val="naisc"/>
              <w:spacing w:before="0" w:after="0"/>
              <w:contextualSpacing/>
            </w:pPr>
            <w:r>
              <w:t>6</w:t>
            </w:r>
            <w:r w:rsidR="00F20FE4">
              <w:t>.</w:t>
            </w:r>
          </w:p>
        </w:tc>
        <w:tc>
          <w:tcPr>
            <w:tcW w:w="3402" w:type="dxa"/>
            <w:gridSpan w:val="2"/>
          </w:tcPr>
          <w:p w14:paraId="10EA2ABA" w14:textId="7A970FAE" w:rsidR="00104F22" w:rsidRPr="00EE37CE" w:rsidRDefault="00104F22"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36AF3F8E" w14:textId="77777777" w:rsidR="00104F22" w:rsidRPr="00EE37CE" w:rsidRDefault="00104F22" w:rsidP="00BA29B9">
            <w:pPr>
              <w:pStyle w:val="naisc"/>
              <w:spacing w:before="0" w:after="0"/>
              <w:ind w:right="3"/>
              <w:jc w:val="left"/>
              <w:rPr>
                <w:b/>
                <w:bCs/>
              </w:rPr>
            </w:pPr>
            <w:r w:rsidRPr="00EE37CE">
              <w:rPr>
                <w:b/>
                <w:bCs/>
              </w:rPr>
              <w:t>Sabiedrisko pakalpojumu regulēšanas komisija (17.12.2018.  Nr.1-2.89/3940)</w:t>
            </w:r>
          </w:p>
          <w:p w14:paraId="649C1162" w14:textId="77777777" w:rsidR="00104F22" w:rsidRPr="00EE37CE" w:rsidRDefault="00104F22" w:rsidP="00BA29B9">
            <w:pPr>
              <w:jc w:val="both"/>
            </w:pPr>
            <w:r w:rsidRPr="00EE37CE">
              <w:t>papildināt Noteikumus ar jaunu 4.</w:t>
            </w:r>
            <w:r w:rsidRPr="00EE37CE">
              <w:rPr>
                <w:vertAlign w:val="superscript"/>
              </w:rPr>
              <w:t xml:space="preserve"> 1 </w:t>
            </w:r>
            <w:r w:rsidRPr="00EE37CE">
              <w:t>punktu šādā redakcijā:</w:t>
            </w:r>
          </w:p>
          <w:p w14:paraId="5B507522" w14:textId="77777777" w:rsidR="00104F22" w:rsidRDefault="00104F22" w:rsidP="003808EE">
            <w:pPr>
              <w:jc w:val="both"/>
              <w:rPr>
                <w:i/>
              </w:rPr>
            </w:pPr>
            <w:r w:rsidRPr="00EE37CE">
              <w:t>“4.</w:t>
            </w:r>
            <w:r w:rsidRPr="00EE37CE">
              <w:rPr>
                <w:vertAlign w:val="superscript"/>
              </w:rPr>
              <w:t xml:space="preserve"> 1</w:t>
            </w:r>
            <w:r w:rsidRPr="00EE37CE">
              <w:t xml:space="preserve"> </w:t>
            </w:r>
            <w:r w:rsidRPr="00EE37CE">
              <w:rPr>
                <w:i/>
              </w:rPr>
              <w:t xml:space="preserve">Lietotājs, kura objekts ir aprīkots ar ikdienas uzskaites vietu,  kurā ierīkota telemetrijas </w:t>
            </w:r>
            <w:r w:rsidRPr="00EE37CE">
              <w:rPr>
                <w:i/>
              </w:rPr>
              <w:lastRenderedPageBreak/>
              <w:t>sistēma</w:t>
            </w:r>
            <w:r w:rsidRPr="00BA29B9">
              <w:t xml:space="preserve"> </w:t>
            </w:r>
            <w:r w:rsidRPr="00EE37CE">
              <w:rPr>
                <w:i/>
              </w:rPr>
              <w:t xml:space="preserve">komercuzskaites mēraparātu operatīvo datu automatizētai attālinātai nolasīšanai, sadales sistēmas operatora noteiktajā kārtībā </w:t>
            </w:r>
            <w:r w:rsidRPr="003808EE">
              <w:rPr>
                <w:i/>
              </w:rPr>
              <w:t xml:space="preserve">un </w:t>
            </w:r>
            <w:r w:rsidRPr="00EE37CE">
              <w:rPr>
                <w:i/>
              </w:rPr>
              <w:t>gadījumos var uz laiku</w:t>
            </w:r>
            <w:r w:rsidRPr="00EE37CE">
              <w:rPr>
                <w:b/>
                <w:i/>
              </w:rPr>
              <w:t xml:space="preserve"> </w:t>
            </w:r>
            <w:r w:rsidRPr="00EE37CE">
              <w:rPr>
                <w:i/>
              </w:rPr>
              <w:t>izmantot samazinātu pieslēguma slodzi gazificētajā objektā”.</w:t>
            </w:r>
          </w:p>
          <w:p w14:paraId="0275C9E3" w14:textId="0444B7EB" w:rsidR="003808EE" w:rsidRPr="003808EE" w:rsidRDefault="003808EE" w:rsidP="00BA29B9">
            <w:pPr>
              <w:jc w:val="both"/>
              <w:rPr>
                <w:b/>
                <w:bCs/>
              </w:rPr>
            </w:pPr>
          </w:p>
        </w:tc>
        <w:tc>
          <w:tcPr>
            <w:tcW w:w="3089" w:type="dxa"/>
            <w:gridSpan w:val="2"/>
          </w:tcPr>
          <w:p w14:paraId="7BCEB24C" w14:textId="678F8A00" w:rsidR="00104F22" w:rsidRPr="00EE37CE" w:rsidRDefault="00104F22" w:rsidP="00BA29B9">
            <w:pPr>
              <w:pStyle w:val="naisc"/>
              <w:spacing w:before="0" w:after="0"/>
              <w:ind w:firstLine="21"/>
              <w:jc w:val="left"/>
              <w:rPr>
                <w:b/>
              </w:rPr>
            </w:pPr>
            <w:r w:rsidRPr="003808EE">
              <w:rPr>
                <w:b/>
              </w:rPr>
              <w:lastRenderedPageBreak/>
              <w:t>Vienošanās panākta sask</w:t>
            </w:r>
            <w:r w:rsidRPr="00EE37CE">
              <w:rPr>
                <w:b/>
              </w:rPr>
              <w:t xml:space="preserve">aņošanas procesa laikā. </w:t>
            </w:r>
          </w:p>
        </w:tc>
        <w:tc>
          <w:tcPr>
            <w:tcW w:w="3402" w:type="dxa"/>
            <w:gridSpan w:val="2"/>
          </w:tcPr>
          <w:p w14:paraId="439B0D97" w14:textId="08AE1BC3" w:rsidR="00104F22" w:rsidRPr="00EE37CE" w:rsidRDefault="00104F22" w:rsidP="00BA29B9">
            <w:r w:rsidRPr="00EE37CE">
              <w:t>Nav attiecināms.</w:t>
            </w:r>
          </w:p>
        </w:tc>
      </w:tr>
      <w:tr w:rsidR="00104F22" w:rsidRPr="00F27FAC" w14:paraId="7DA34117" w14:textId="77777777" w:rsidTr="003652DF">
        <w:trPr>
          <w:gridAfter w:val="1"/>
          <w:wAfter w:w="29" w:type="dxa"/>
          <w:trHeight w:val="20"/>
        </w:trPr>
        <w:tc>
          <w:tcPr>
            <w:tcW w:w="851" w:type="dxa"/>
          </w:tcPr>
          <w:p w14:paraId="5A07E9F9" w14:textId="6EA2AE89" w:rsidR="00104F22" w:rsidRPr="00F27FAC" w:rsidRDefault="00BA29B9" w:rsidP="00104F22">
            <w:pPr>
              <w:pStyle w:val="naisc"/>
              <w:spacing w:before="0" w:after="0"/>
              <w:contextualSpacing/>
            </w:pPr>
            <w:r>
              <w:t>7</w:t>
            </w:r>
            <w:r w:rsidR="00F20FE4">
              <w:t>.</w:t>
            </w:r>
          </w:p>
        </w:tc>
        <w:tc>
          <w:tcPr>
            <w:tcW w:w="3402" w:type="dxa"/>
            <w:gridSpan w:val="2"/>
          </w:tcPr>
          <w:p w14:paraId="7CA7DAC2" w14:textId="10417662" w:rsidR="00104F22" w:rsidRPr="00EE37CE" w:rsidRDefault="00104F22"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7C2609F8" w14:textId="77777777" w:rsidR="00104F22" w:rsidRPr="00EE37CE" w:rsidRDefault="00104F22" w:rsidP="00BA29B9">
            <w:pPr>
              <w:pStyle w:val="naisc"/>
              <w:spacing w:before="0" w:after="0"/>
              <w:ind w:right="3"/>
              <w:jc w:val="left"/>
              <w:rPr>
                <w:b/>
                <w:bCs/>
              </w:rPr>
            </w:pPr>
            <w:r w:rsidRPr="00EE37CE">
              <w:rPr>
                <w:b/>
                <w:bCs/>
              </w:rPr>
              <w:t>Sabiedrisko pakalpojumu regulēšanas komisija (17.12.2018.  Nr.1-2.89/3940)</w:t>
            </w:r>
          </w:p>
          <w:p w14:paraId="7868BC94" w14:textId="250F96AC" w:rsidR="00104F22" w:rsidRPr="00BA29B9" w:rsidRDefault="00104F22" w:rsidP="00BA29B9">
            <w:pPr>
              <w:pStyle w:val="naisc"/>
              <w:spacing w:before="0" w:after="0"/>
              <w:ind w:right="3"/>
              <w:jc w:val="both"/>
            </w:pPr>
            <w:r w:rsidRPr="00BA29B9">
              <w:t>Ievērojot Noteikumu struktūru, kā arī šā atzinuma 2.punktā minēto, regulējumu, kas noteikts Projekta 1.5.punktā minētajā 101.</w:t>
            </w:r>
            <w:r w:rsidRPr="00BA29B9">
              <w:rPr>
                <w:vertAlign w:val="superscript"/>
              </w:rPr>
              <w:t>1</w:t>
            </w:r>
            <w:r w:rsidRPr="00BA29B9">
              <w:t>punktā, ir pamats noteikt Noteikumu VIII nodaļā, kurā noteikti sistēmas operatora pienākumi, jauno punktu izsakot šādā redakcijā:</w:t>
            </w:r>
          </w:p>
          <w:p w14:paraId="4328835F" w14:textId="77777777" w:rsidR="00104F22" w:rsidRDefault="00104F22" w:rsidP="00EE37CE">
            <w:pPr>
              <w:pStyle w:val="naisc"/>
              <w:spacing w:before="0" w:after="0"/>
              <w:ind w:right="3"/>
              <w:jc w:val="both"/>
              <w:rPr>
                <w:i/>
                <w:iCs/>
              </w:rPr>
            </w:pPr>
            <w:r w:rsidRPr="00BA29B9">
              <w:t>“</w:t>
            </w:r>
            <w:r w:rsidRPr="00BA29B9">
              <w:rPr>
                <w:i/>
                <w:iCs/>
              </w:rPr>
              <w:t>Ja saskaņā ar Noteikumu 4.</w:t>
            </w:r>
            <w:r w:rsidRPr="00BA29B9">
              <w:rPr>
                <w:i/>
                <w:iCs/>
                <w:vertAlign w:val="superscript"/>
              </w:rPr>
              <w:t>1</w:t>
            </w:r>
            <w:r w:rsidRPr="00BA29B9">
              <w:rPr>
                <w:i/>
                <w:iCs/>
              </w:rPr>
              <w:t>punktu lietotājs gazificētajā objektā izmanto samazinātu slodzi, sistēmas operators, aprēķinot maksu par sadales sistēmas pakalpojumiem, piemēro tarifu, kas atbilst samazinātajai slodzei.”.</w:t>
            </w:r>
          </w:p>
          <w:p w14:paraId="4E80347E" w14:textId="3350F089" w:rsidR="003808EE" w:rsidRPr="00EE37CE" w:rsidRDefault="003808EE" w:rsidP="00BA29B9">
            <w:pPr>
              <w:pStyle w:val="naisc"/>
              <w:spacing w:before="0" w:after="0"/>
              <w:ind w:right="3"/>
              <w:jc w:val="both"/>
              <w:rPr>
                <w:b/>
                <w:bCs/>
              </w:rPr>
            </w:pPr>
          </w:p>
        </w:tc>
        <w:tc>
          <w:tcPr>
            <w:tcW w:w="3089" w:type="dxa"/>
            <w:gridSpan w:val="2"/>
          </w:tcPr>
          <w:p w14:paraId="276AB4E5" w14:textId="68AD5530" w:rsidR="00104F22" w:rsidRPr="00EE37CE" w:rsidRDefault="00104F22" w:rsidP="00BA29B9">
            <w:pPr>
              <w:pStyle w:val="naisc"/>
              <w:spacing w:before="0" w:after="0"/>
              <w:ind w:firstLine="21"/>
              <w:jc w:val="left"/>
              <w:rPr>
                <w:b/>
              </w:rPr>
            </w:pPr>
            <w:r w:rsidRPr="00EE37CE">
              <w:rPr>
                <w:b/>
              </w:rPr>
              <w:t>Vienošan</w:t>
            </w:r>
            <w:r w:rsidRPr="00F20FE4">
              <w:rPr>
                <w:b/>
              </w:rPr>
              <w:t>ās panākta sask</w:t>
            </w:r>
            <w:r w:rsidRPr="00EE37CE">
              <w:rPr>
                <w:b/>
              </w:rPr>
              <w:t xml:space="preserve">aņošanas procesa laikā. </w:t>
            </w:r>
          </w:p>
        </w:tc>
        <w:tc>
          <w:tcPr>
            <w:tcW w:w="3402" w:type="dxa"/>
            <w:gridSpan w:val="2"/>
          </w:tcPr>
          <w:p w14:paraId="43AA76FB" w14:textId="5CAA120A" w:rsidR="00104F22" w:rsidRPr="00EE37CE" w:rsidRDefault="00104F22" w:rsidP="00BA29B9">
            <w:r w:rsidRPr="00EE37CE">
              <w:t>Nav attiecināms.</w:t>
            </w:r>
          </w:p>
        </w:tc>
      </w:tr>
      <w:tr w:rsidR="00104F22" w:rsidRPr="00F27FAC" w14:paraId="3A719A57" w14:textId="77777777" w:rsidTr="003652DF">
        <w:trPr>
          <w:gridAfter w:val="1"/>
          <w:wAfter w:w="29" w:type="dxa"/>
          <w:trHeight w:val="20"/>
        </w:trPr>
        <w:tc>
          <w:tcPr>
            <w:tcW w:w="851" w:type="dxa"/>
          </w:tcPr>
          <w:p w14:paraId="2222D133" w14:textId="38E5DEDD" w:rsidR="00104F22" w:rsidRPr="00F27FAC" w:rsidRDefault="00BA29B9" w:rsidP="00104F22">
            <w:pPr>
              <w:pStyle w:val="naisc"/>
              <w:spacing w:before="0" w:after="0"/>
              <w:contextualSpacing/>
            </w:pPr>
            <w:r>
              <w:t>8</w:t>
            </w:r>
            <w:r w:rsidR="00F20FE4">
              <w:t>.</w:t>
            </w:r>
          </w:p>
        </w:tc>
        <w:tc>
          <w:tcPr>
            <w:tcW w:w="3402" w:type="dxa"/>
            <w:gridSpan w:val="2"/>
          </w:tcPr>
          <w:p w14:paraId="2CC0508B" w14:textId="3A673DEE" w:rsidR="00104F22" w:rsidRPr="00EE37CE" w:rsidRDefault="00104F22"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1DCD339E" w14:textId="77777777" w:rsidR="00C70569" w:rsidRPr="00EE37CE" w:rsidRDefault="00104F22" w:rsidP="00BA29B9">
            <w:pPr>
              <w:pStyle w:val="naisc"/>
              <w:spacing w:before="0" w:after="0"/>
              <w:ind w:right="3"/>
              <w:jc w:val="left"/>
              <w:rPr>
                <w:b/>
                <w:bCs/>
              </w:rPr>
            </w:pPr>
            <w:r w:rsidRPr="00EE37CE">
              <w:rPr>
                <w:b/>
                <w:bCs/>
              </w:rPr>
              <w:t>Sabiedrisko pakalpojumu regulēšanas komisija (17.12.2018.  Nr.1-2.89/3940)</w:t>
            </w:r>
          </w:p>
          <w:p w14:paraId="2F2FE1F4" w14:textId="36134F12" w:rsidR="00C70569" w:rsidRPr="00BA29B9" w:rsidRDefault="00C70569" w:rsidP="00BA29B9">
            <w:pPr>
              <w:pStyle w:val="naisc"/>
              <w:spacing w:before="0" w:after="0"/>
              <w:ind w:right="3"/>
              <w:jc w:val="both"/>
              <w:rPr>
                <w:b/>
                <w:bCs/>
              </w:rPr>
            </w:pPr>
            <w:r w:rsidRPr="00EE37CE">
              <w:t>Ņemot vērā iepriekšējos atzinuma punktos minēto, Projekta 1.5.punktā ietvertā 101.</w:t>
            </w:r>
            <w:r w:rsidRPr="00EE37CE">
              <w:rPr>
                <w:vertAlign w:val="superscript"/>
              </w:rPr>
              <w:t>2</w:t>
            </w:r>
            <w:r w:rsidRPr="00EE37CE">
              <w:t xml:space="preserve">punkta teksta daļu līdz formulai </w:t>
            </w:r>
            <w:r w:rsidRPr="00EE37CE">
              <w:lastRenderedPageBreak/>
              <w:t xml:space="preserve">nepieciešams izteikt šādā redakcijā: </w:t>
            </w:r>
          </w:p>
          <w:p w14:paraId="5AFC0DDA" w14:textId="77777777" w:rsidR="00C70569" w:rsidRPr="00EE37CE" w:rsidRDefault="00C70569" w:rsidP="00BA29B9">
            <w:pPr>
              <w:jc w:val="both"/>
              <w:rPr>
                <w:i/>
              </w:rPr>
            </w:pPr>
            <w:r w:rsidRPr="00EE37CE">
              <w:rPr>
                <w:i/>
              </w:rPr>
              <w:t>“Ja lietotājs ir pārsniedzis slodzi, kas tiek izmantota saskaņā ar šo noteikumu 4.</w:t>
            </w:r>
            <w:r w:rsidRPr="00EE37CE">
              <w:rPr>
                <w:i/>
                <w:vertAlign w:val="superscript"/>
              </w:rPr>
              <w:t xml:space="preserve">1 </w:t>
            </w:r>
            <w:r w:rsidRPr="00EE37CE">
              <w:rPr>
                <w:i/>
              </w:rPr>
              <w:t>punktu, lietotājam ir pienākums samaksāt sadales sistēmas operatora aprēķinātu papildu maksu par slodzes pārsniegšanu. Papildu maksu par slodzes pārsniegšanu aprēķina šādi: (…);”.</w:t>
            </w:r>
          </w:p>
          <w:p w14:paraId="68DEB51E" w14:textId="77777777" w:rsidR="00104F22" w:rsidRPr="00EE37CE" w:rsidRDefault="00104F22" w:rsidP="00BA29B9">
            <w:pPr>
              <w:pStyle w:val="naisc"/>
              <w:spacing w:before="0" w:after="0"/>
              <w:ind w:right="3"/>
              <w:jc w:val="left"/>
              <w:rPr>
                <w:b/>
                <w:bCs/>
              </w:rPr>
            </w:pPr>
          </w:p>
        </w:tc>
        <w:tc>
          <w:tcPr>
            <w:tcW w:w="3089" w:type="dxa"/>
            <w:gridSpan w:val="2"/>
          </w:tcPr>
          <w:p w14:paraId="42D72AD2" w14:textId="18C58FA9" w:rsidR="00104F22" w:rsidRPr="00EE37CE" w:rsidRDefault="00104F22"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53929BD8" w14:textId="6E24F8E5" w:rsidR="00104F22" w:rsidRPr="00EE37CE" w:rsidRDefault="00104F22" w:rsidP="00BA29B9">
            <w:r w:rsidRPr="00EE37CE">
              <w:t>Nav attiecināms.</w:t>
            </w:r>
          </w:p>
        </w:tc>
      </w:tr>
      <w:tr w:rsidR="00104F22" w:rsidRPr="00F27FAC" w14:paraId="68E6ABCD" w14:textId="77777777" w:rsidTr="003652DF">
        <w:trPr>
          <w:gridAfter w:val="1"/>
          <w:wAfter w:w="29" w:type="dxa"/>
          <w:trHeight w:val="20"/>
        </w:trPr>
        <w:tc>
          <w:tcPr>
            <w:tcW w:w="851" w:type="dxa"/>
          </w:tcPr>
          <w:p w14:paraId="333BCBA3" w14:textId="427F6FFD" w:rsidR="00104F22" w:rsidRPr="00F27FAC" w:rsidRDefault="00BA29B9" w:rsidP="00104F22">
            <w:pPr>
              <w:pStyle w:val="naisc"/>
              <w:spacing w:before="0" w:after="0"/>
              <w:contextualSpacing/>
            </w:pPr>
            <w:r>
              <w:t>9</w:t>
            </w:r>
            <w:r w:rsidR="00F20FE4">
              <w:t>.</w:t>
            </w:r>
          </w:p>
        </w:tc>
        <w:tc>
          <w:tcPr>
            <w:tcW w:w="3402" w:type="dxa"/>
            <w:gridSpan w:val="2"/>
          </w:tcPr>
          <w:p w14:paraId="17FFE95C" w14:textId="25BFB35F" w:rsidR="00104F22" w:rsidRPr="00EE37CE" w:rsidRDefault="00104F22"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5468747F" w14:textId="77777777" w:rsidR="00C70569" w:rsidRPr="00EE37CE" w:rsidRDefault="00C70569" w:rsidP="00BA29B9">
            <w:pPr>
              <w:pStyle w:val="naisc"/>
              <w:spacing w:before="0" w:after="0"/>
              <w:ind w:right="3"/>
              <w:jc w:val="left"/>
              <w:rPr>
                <w:b/>
                <w:bCs/>
              </w:rPr>
            </w:pPr>
            <w:r w:rsidRPr="00EE37CE">
              <w:rPr>
                <w:b/>
                <w:bCs/>
              </w:rPr>
              <w:t>Sabiedrisko pakalpojumu regulēšanas komisija (17.12.2018.  Nr.1-2.89/3940)</w:t>
            </w:r>
          </w:p>
          <w:p w14:paraId="6CBAD9DE" w14:textId="77777777" w:rsidR="00C70569" w:rsidRPr="00EE37CE" w:rsidRDefault="00C70569" w:rsidP="00BA29B9">
            <w:pPr>
              <w:jc w:val="both"/>
              <w:rPr>
                <w:b/>
              </w:rPr>
            </w:pPr>
            <w:r w:rsidRPr="00EE37CE">
              <w:t>Noteikumu 58.punkts noteic informāciju, ko sadales sistēmas operatoram jāsniedz dabasgāzes tirgotājam pēc tā pieprasījuma, lai tirgotājs varētu sagatavot dabasgāzes tirdzniecības piedāvājumu vai līgumu. Ņemot vērā Regulatora 2018.gada 25.septembra lēmumā Nr.107 “Par akciju sabiedrības “Gaso” dabasgāzes sadales sistēmas pakalpojuma diferencētajiem tarifiem” noteiktās tarifu struktūras izmaiņas, Noteikumu 58.punktu nepieciešams izteikt šādā redakcijā:</w:t>
            </w:r>
          </w:p>
          <w:p w14:paraId="5744FD14" w14:textId="77777777" w:rsidR="00C70569" w:rsidRPr="00EE37CE" w:rsidRDefault="00C70569" w:rsidP="00BA29B9">
            <w:pPr>
              <w:jc w:val="both"/>
              <w:rPr>
                <w:i/>
              </w:rPr>
            </w:pPr>
            <w:r w:rsidRPr="00EE37CE">
              <w:rPr>
                <w:i/>
              </w:rPr>
              <w:t xml:space="preserve">“58. Sadales sistēmas operatoram pēc dabasgāzes tirgotāja pieprasījuma ir jāsniedz informācija par lietotāja </w:t>
            </w:r>
            <w:r w:rsidRPr="00EE37CE">
              <w:rPr>
                <w:i/>
              </w:rPr>
              <w:lastRenderedPageBreak/>
              <w:t xml:space="preserve">dabasgāzes patēriņu </w:t>
            </w:r>
            <w:r w:rsidRPr="00EE37CE">
              <w:rPr>
                <w:i/>
                <w:u w:val="single"/>
              </w:rPr>
              <w:t>un lietotāja objektos atļautās slodzes lielumu</w:t>
            </w:r>
            <w:r w:rsidRPr="00EE37CE">
              <w:rPr>
                <w:i/>
              </w:rPr>
              <w:t>, kas dabasgāzes tirgotājam nepieciešama dabasgāzes tirdzniecības piedāvājuma vai līguma sagatavošanai, ja lietotājs ir devis piekrišanu šādu datu nodošanai un sadales sistēmas operatoram ir iespēja pārliecināties par minētās piekrišanas patiesumu.”.</w:t>
            </w:r>
          </w:p>
          <w:p w14:paraId="4FA82A4A" w14:textId="77777777" w:rsidR="00104F22" w:rsidRPr="00EE37CE" w:rsidRDefault="00104F22" w:rsidP="00BA29B9">
            <w:pPr>
              <w:pStyle w:val="naisc"/>
              <w:spacing w:before="0" w:after="0"/>
              <w:ind w:right="3"/>
              <w:jc w:val="left"/>
              <w:rPr>
                <w:b/>
                <w:bCs/>
              </w:rPr>
            </w:pPr>
          </w:p>
        </w:tc>
        <w:tc>
          <w:tcPr>
            <w:tcW w:w="3089" w:type="dxa"/>
            <w:gridSpan w:val="2"/>
          </w:tcPr>
          <w:p w14:paraId="016B37BF" w14:textId="47C3F6DF" w:rsidR="00104F22" w:rsidRPr="00EE37CE" w:rsidRDefault="00104F22"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09464C38" w14:textId="43E2B462" w:rsidR="00104F22" w:rsidRPr="00EE37CE" w:rsidRDefault="00104F22" w:rsidP="00BA29B9">
            <w:r w:rsidRPr="00EE37CE">
              <w:t>Nav attiecināms.</w:t>
            </w:r>
          </w:p>
        </w:tc>
      </w:tr>
      <w:tr w:rsidR="00C70569" w:rsidRPr="00F27FAC" w14:paraId="13496A61" w14:textId="77777777" w:rsidTr="003652DF">
        <w:trPr>
          <w:gridAfter w:val="1"/>
          <w:wAfter w:w="29" w:type="dxa"/>
          <w:trHeight w:val="20"/>
        </w:trPr>
        <w:tc>
          <w:tcPr>
            <w:tcW w:w="851" w:type="dxa"/>
          </w:tcPr>
          <w:p w14:paraId="3A0BE426" w14:textId="22AFE85D" w:rsidR="00C70569" w:rsidRPr="00F27FAC" w:rsidRDefault="00D81B58" w:rsidP="00C70569">
            <w:pPr>
              <w:pStyle w:val="naisc"/>
              <w:spacing w:before="0" w:after="0"/>
              <w:contextualSpacing/>
            </w:pPr>
            <w:r>
              <w:t>1</w:t>
            </w:r>
            <w:r w:rsidR="00BA29B9">
              <w:t>0</w:t>
            </w:r>
            <w:r w:rsidR="00F20FE4">
              <w:t>.</w:t>
            </w:r>
          </w:p>
        </w:tc>
        <w:tc>
          <w:tcPr>
            <w:tcW w:w="3402" w:type="dxa"/>
            <w:gridSpan w:val="2"/>
          </w:tcPr>
          <w:p w14:paraId="753C6350" w14:textId="4EE220B8" w:rsidR="00C70569" w:rsidRPr="00EE37CE" w:rsidRDefault="00C70569"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0282CB75" w14:textId="77777777" w:rsidR="00C70569" w:rsidRPr="00EE37CE" w:rsidRDefault="00C70569" w:rsidP="00BA29B9">
            <w:pPr>
              <w:pStyle w:val="naisc"/>
              <w:spacing w:before="0" w:after="0"/>
              <w:ind w:right="3"/>
              <w:jc w:val="left"/>
              <w:rPr>
                <w:b/>
                <w:bCs/>
              </w:rPr>
            </w:pPr>
            <w:r w:rsidRPr="00EE37CE">
              <w:rPr>
                <w:b/>
                <w:bCs/>
              </w:rPr>
              <w:t>Sabiedrisko pakalpojumu regulēšanas komisija (17.12.2018.  Nr.1-2.89/3940)</w:t>
            </w:r>
          </w:p>
          <w:p w14:paraId="2B4A4E96" w14:textId="77777777" w:rsidR="00A81BF9" w:rsidRPr="00EE37CE" w:rsidRDefault="00A81BF9" w:rsidP="00BA29B9">
            <w:pPr>
              <w:ind w:left="26"/>
              <w:jc w:val="both"/>
            </w:pPr>
            <w:r w:rsidRPr="00EE37CE">
              <w:t xml:space="preserve">Noteikumu 30. un 31.punktā noteiktas darbības, kas lietotājam jāveic, lai izbeigtu dabasgāzes tirdzniecības līgumu. Ja lietotājs nav veicis visas minētajos punktos noteiktās darbības, atbilstoši Noteikumu 32.punktam lietotājs ir </w:t>
            </w:r>
            <w:bookmarkStart w:id="2" w:name="_Hlk528744233"/>
            <w:r w:rsidRPr="00EE37CE">
              <w:t>atbildīgs par norēķiniem par patērēto dabasgāzi un saņemtajiem sistēmas pakalpojumiem līdz brīdim, kad tiek izbeigts minētais līgums.</w:t>
            </w:r>
            <w:bookmarkEnd w:id="2"/>
            <w:r w:rsidRPr="00EE37CE">
              <w:t xml:space="preserve"> Tomēr Noteikumos nav regulējuma attiecībā uz to, kādā veidā līgumu izbeidz, ja lietotājam vairs objektīvi nav iespēju izpildīt Noteikumu 31.3.punktā noteikto prasību nodrošināt sadales sistēmas operatoram piekļuvi dabasgāzes apgādes sistēmai </w:t>
            </w:r>
            <w:r w:rsidRPr="00EE37CE">
              <w:lastRenderedPageBreak/>
              <w:t xml:space="preserve">gazificētajā objektā. Saskaņā ar Regulatora rīcībā esošo informāciju praksē ir gadījumi, kad mājsaimniecības lietotājs ir rakstveidā lūdzis tirgotājam izbeigt dabasgāzes tirdzniecības līgumu sakarā ar to, ka lietotājs zaudējis objekta īpašuma vai lietošanas tiesības, paziņojis komercuzskaites mēraparāta rādījumus, kā arī veicis samaksu par objektam piegādāto dabasgāzi atbilstoši mēraparāta rādījumam brīdī, kad lietotājs pārtraucis lietot dabasgāzi. Tomēr dažādu iemeslu dēļ lietotājs nav nodrošinājis sistēmas operatoram piekļuvi dabasgāzes apgādes sistēmai. Līdz ar to tirgotājs dabasgāzes tirdzniecības līgumu ar lietotāju neizbeidz. Lai gan minētajos apstākļos lietotājs nav izpildījis visas Noteikumu prasības līguma izbeigšanai, Regulatora ieskatā, Noteikumu 32.punktā noteiktā lietotāja atbildība par norēķiniem nevarētu pastāvēt neierobežoti ilgi. Jāņem vēra, ka pēc objekta īpašuma vai lietošanas tiesību zaudēšanas lietotājam faktiski vairs var nebūt iespējas nodrošināt sadales sistēmas operatoram piekļuvi dabasgāzes apgādes sistēmai gazificētajā objektā. Savukārt objekta jaunajam </w:t>
            </w:r>
            <w:r w:rsidRPr="00EE37CE">
              <w:lastRenderedPageBreak/>
              <w:t xml:space="preserve">īpašniekam vai lietotājam (īrniekam) rodas iespēja lietot dabasgāzi nenoslēdzot līgumu, bet atbildīgs par norēķiniem joprojām būs lietotājs, ar kuru līgums nav izbeigts. </w:t>
            </w:r>
          </w:p>
          <w:p w14:paraId="7959494B" w14:textId="77777777" w:rsidR="00C70569" w:rsidRDefault="00A81BF9" w:rsidP="00EE37CE">
            <w:pPr>
              <w:pStyle w:val="naisc"/>
              <w:spacing w:before="0" w:after="0"/>
              <w:ind w:right="3"/>
              <w:jc w:val="both"/>
            </w:pPr>
            <w:r w:rsidRPr="00EE37CE">
              <w:t xml:space="preserve">Ievērojot minēto, Noteikumos nepieciešams precizēt dabasgāzes tirdzniecības līguma izbeigšanas kārtību ar mājsaimniecības lietotāju, nosakot tirgotāja pienākumu izbeigt līgumu, ja lietotājs iesniedz dokumentus, kas apliecina, ka lietotājs ir zaudējis objekta īpašuma vai lietošanas tiesības un ir izpildījis </w:t>
            </w:r>
            <w:bookmarkStart w:id="3" w:name="_Hlk532371467"/>
            <w:r w:rsidRPr="00EE37CE">
              <w:t xml:space="preserve">Noteikumu 30., 31.1. un 31.2.punktā </w:t>
            </w:r>
            <w:bookmarkEnd w:id="3"/>
            <w:r w:rsidRPr="00EE37CE">
              <w:t>noteiktās prasības, bet vairs nevar nodrošināt Noteikumu 31.3.punktā noteikto</w:t>
            </w:r>
          </w:p>
          <w:p w14:paraId="28BAE847" w14:textId="16594283" w:rsidR="003808EE" w:rsidRPr="003808EE" w:rsidRDefault="003808EE" w:rsidP="00BA29B9">
            <w:pPr>
              <w:pStyle w:val="naisc"/>
              <w:spacing w:before="0" w:after="0"/>
              <w:ind w:right="3"/>
              <w:jc w:val="both"/>
              <w:rPr>
                <w:b/>
                <w:bCs/>
              </w:rPr>
            </w:pPr>
          </w:p>
        </w:tc>
        <w:tc>
          <w:tcPr>
            <w:tcW w:w="3089" w:type="dxa"/>
            <w:gridSpan w:val="2"/>
          </w:tcPr>
          <w:p w14:paraId="256DBB25" w14:textId="0D56D633" w:rsidR="00C70569" w:rsidRPr="00EE37CE" w:rsidRDefault="00C70569" w:rsidP="00BA29B9">
            <w:pPr>
              <w:pStyle w:val="naisc"/>
              <w:spacing w:before="0" w:after="0"/>
              <w:ind w:firstLine="21"/>
              <w:jc w:val="left"/>
              <w:rPr>
                <w:b/>
              </w:rPr>
            </w:pPr>
            <w:r w:rsidRPr="003808EE">
              <w:rPr>
                <w:b/>
              </w:rPr>
              <w:lastRenderedPageBreak/>
              <w:t>Vienošan</w:t>
            </w:r>
            <w:r w:rsidRPr="00BC1949">
              <w:rPr>
                <w:b/>
              </w:rPr>
              <w:t>ās panākta sask</w:t>
            </w:r>
            <w:r w:rsidRPr="00EE37CE">
              <w:rPr>
                <w:b/>
              </w:rPr>
              <w:t xml:space="preserve">aņošanas procesa laikā. </w:t>
            </w:r>
          </w:p>
        </w:tc>
        <w:tc>
          <w:tcPr>
            <w:tcW w:w="3402" w:type="dxa"/>
            <w:gridSpan w:val="2"/>
          </w:tcPr>
          <w:p w14:paraId="7DB13BA0" w14:textId="57641C5F" w:rsidR="00C70569" w:rsidRPr="00EE37CE" w:rsidRDefault="00C70569" w:rsidP="00BA29B9">
            <w:r w:rsidRPr="00EE37CE">
              <w:t>Nav attiecināms.</w:t>
            </w:r>
          </w:p>
        </w:tc>
      </w:tr>
      <w:tr w:rsidR="00A81BF9" w:rsidRPr="00F27FAC" w14:paraId="66F51CD8" w14:textId="77777777" w:rsidTr="003652DF">
        <w:trPr>
          <w:gridAfter w:val="1"/>
          <w:wAfter w:w="29" w:type="dxa"/>
          <w:trHeight w:val="20"/>
        </w:trPr>
        <w:tc>
          <w:tcPr>
            <w:tcW w:w="851" w:type="dxa"/>
          </w:tcPr>
          <w:p w14:paraId="0F37BC04" w14:textId="1B2751D5" w:rsidR="00A81BF9" w:rsidRPr="00F27FAC" w:rsidRDefault="00D81B58" w:rsidP="00A81BF9">
            <w:pPr>
              <w:pStyle w:val="naisc"/>
              <w:spacing w:before="0" w:after="0"/>
              <w:contextualSpacing/>
            </w:pPr>
            <w:r>
              <w:lastRenderedPageBreak/>
              <w:t>1</w:t>
            </w:r>
            <w:r w:rsidR="00BA29B9">
              <w:t>1</w:t>
            </w:r>
            <w:r w:rsidR="00F20FE4">
              <w:t>.</w:t>
            </w:r>
          </w:p>
        </w:tc>
        <w:tc>
          <w:tcPr>
            <w:tcW w:w="3402" w:type="dxa"/>
            <w:gridSpan w:val="2"/>
          </w:tcPr>
          <w:p w14:paraId="6834AD9B" w14:textId="540E1AFE" w:rsidR="00A81BF9" w:rsidRPr="00EE37CE" w:rsidRDefault="00A81BF9" w:rsidP="00BA29B9">
            <w:pPr>
              <w:pStyle w:val="naisc"/>
              <w:spacing w:before="0" w:after="0"/>
              <w:ind w:firstLine="12"/>
              <w:jc w:val="left"/>
            </w:pPr>
            <w:r w:rsidRPr="00EE37CE">
              <w:t>2018.gada 29.novembra Valsts sekretāru sanāksmē izsludinātā Noteikumu Projekta redakcija (VSS-1210)</w:t>
            </w:r>
          </w:p>
        </w:tc>
        <w:tc>
          <w:tcPr>
            <w:tcW w:w="3544" w:type="dxa"/>
          </w:tcPr>
          <w:p w14:paraId="6EC3EE2A" w14:textId="77777777" w:rsidR="00A81BF9" w:rsidRPr="00EE37CE" w:rsidRDefault="00A81BF9" w:rsidP="00BA29B9">
            <w:pPr>
              <w:pStyle w:val="naisc"/>
              <w:spacing w:before="0" w:after="0"/>
              <w:ind w:right="3"/>
              <w:jc w:val="left"/>
              <w:rPr>
                <w:b/>
                <w:bCs/>
              </w:rPr>
            </w:pPr>
            <w:r w:rsidRPr="00EE37CE">
              <w:rPr>
                <w:b/>
                <w:bCs/>
              </w:rPr>
              <w:t>Sabiedrisko pakalpojumu regulēšanas komisija (17.12.2018.  Nr.1-2.89/3940)</w:t>
            </w:r>
          </w:p>
          <w:p w14:paraId="4C9B5459" w14:textId="77777777" w:rsidR="00A81BF9" w:rsidRPr="00EE37CE" w:rsidRDefault="00A81BF9" w:rsidP="00BA29B9">
            <w:pPr>
              <w:jc w:val="both"/>
            </w:pPr>
            <w:r w:rsidRPr="00EE37CE">
              <w:t xml:space="preserve">Saskaņā ar Noteikumu 89.punktu, ja izdarīts šo noteikumu 87.punktā minētais pārkāpums, sadales sistēmas operators veic pārrēķinu par izlietoto dabasgāzi un sadales sistēmas pakalpojumiem dubultā apmērā atbilstoši šo noteikumu 88. punktam. Ņemot vērā, ka ar 2019.gadu tiek ieviesta sadales sistēmas pakalpojuma tarifa fiksētā daļa, gadījumos, kad tiek </w:t>
            </w:r>
            <w:r w:rsidRPr="00EE37CE">
              <w:lastRenderedPageBreak/>
              <w:t xml:space="preserve">konstatēts noteikumu 87.punktā minētais pārkāpums, saskaņā ar Noteikumu esošo redakciju pārrēķinu divkāršā apmērā ir tiesības noteikt arī par sadales sistēmas pakalpojuma tarifa fiksēto  daļu. Regulatora ieskatā, pārrēķins ir saistīts ar nepieciešamību kompensēt izmaksas par iespējamo  neuzskaitīto dabasgāzes patēriņu, nevis dubultot sadales sistēmas operatora ieņēmumus par pieslēguma uzturēšanu, kas nav atkarīgas no faktiskā vai prezumētā dabasgāzes patēriņa. Ievērojot minēto Noteikumu 89.punkta pirmo teikumu nepieciešams izteikt šādā redakcijā: </w:t>
            </w:r>
          </w:p>
          <w:p w14:paraId="7DFFBFDB" w14:textId="41215053" w:rsidR="00A81BF9" w:rsidRPr="00EE37CE" w:rsidRDefault="00A81BF9" w:rsidP="00BA29B9">
            <w:pPr>
              <w:ind w:left="26"/>
              <w:jc w:val="both"/>
            </w:pPr>
            <w:r w:rsidRPr="00EE37CE">
              <w:t>“</w:t>
            </w:r>
            <w:r w:rsidRPr="00EE37CE">
              <w:rPr>
                <w:i/>
              </w:rPr>
              <w:t xml:space="preserve">89. Ja izdarīts šo noteikumu 87. punktā minētais pārkāpums, sadales sistēmas operators veic pārrēķinu par izlietoto dabasgāzi un sadales sistēmas pakalpojumu tarifa mainīgo daļu dubultā apmērā atbilstoši šo noteikumu 88. punktam, atskaitot ar komercuzskaites mēraparātu uzskaitīto dabasgāzes daudzumu periodā, kurā samazināts patērētās dabasgāzes uzskaitītais daudzums, un dabasgāzes cenu nosakot pēdējās garantētās piegādes cenas apmērā </w:t>
            </w:r>
            <w:r w:rsidRPr="00EE37CE">
              <w:rPr>
                <w:i/>
              </w:rPr>
              <w:lastRenderedPageBreak/>
              <w:t xml:space="preserve">pārkāpuma fakta konstatācijas mēnesī.” </w:t>
            </w:r>
          </w:p>
          <w:p w14:paraId="47F51070" w14:textId="77777777" w:rsidR="00A81BF9" w:rsidRPr="00EE37CE" w:rsidRDefault="00A81BF9" w:rsidP="00BA29B9">
            <w:pPr>
              <w:pStyle w:val="naisc"/>
              <w:spacing w:before="0" w:after="0"/>
              <w:ind w:right="3"/>
              <w:jc w:val="left"/>
              <w:rPr>
                <w:b/>
                <w:bCs/>
              </w:rPr>
            </w:pPr>
          </w:p>
        </w:tc>
        <w:tc>
          <w:tcPr>
            <w:tcW w:w="3089" w:type="dxa"/>
            <w:gridSpan w:val="2"/>
          </w:tcPr>
          <w:p w14:paraId="1F847F91" w14:textId="3C2A056D" w:rsidR="00A81BF9" w:rsidRPr="00EE37CE" w:rsidRDefault="00A81BF9"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391EA036" w14:textId="331EFD97" w:rsidR="00A81BF9" w:rsidRPr="00EE37CE" w:rsidRDefault="00A81BF9" w:rsidP="00BA29B9">
            <w:r w:rsidRPr="00EE37CE">
              <w:t>Nav attiecināms.</w:t>
            </w:r>
          </w:p>
        </w:tc>
      </w:tr>
      <w:tr w:rsidR="00C70569" w:rsidRPr="00F27FAC" w14:paraId="2FF6ED1C" w14:textId="77777777" w:rsidTr="003652DF">
        <w:trPr>
          <w:gridAfter w:val="1"/>
          <w:wAfter w:w="29" w:type="dxa"/>
          <w:trHeight w:val="20"/>
        </w:trPr>
        <w:tc>
          <w:tcPr>
            <w:tcW w:w="851" w:type="dxa"/>
          </w:tcPr>
          <w:p w14:paraId="0B12550A" w14:textId="63966A4E" w:rsidR="00C70569" w:rsidRPr="00F27FAC" w:rsidRDefault="00D81B58" w:rsidP="00C70569">
            <w:pPr>
              <w:pStyle w:val="naisc"/>
              <w:spacing w:before="0" w:after="0"/>
              <w:contextualSpacing/>
            </w:pPr>
            <w:r>
              <w:lastRenderedPageBreak/>
              <w:t>1</w:t>
            </w:r>
            <w:r w:rsidR="00BA29B9">
              <w:t>2</w:t>
            </w:r>
            <w:r w:rsidR="00F20FE4">
              <w:t>.</w:t>
            </w:r>
          </w:p>
        </w:tc>
        <w:tc>
          <w:tcPr>
            <w:tcW w:w="3402" w:type="dxa"/>
            <w:gridSpan w:val="2"/>
          </w:tcPr>
          <w:p w14:paraId="5955105C" w14:textId="45CFDD63" w:rsidR="00C70569" w:rsidRPr="00EE37CE" w:rsidRDefault="00C70569" w:rsidP="00BA29B9">
            <w:pPr>
              <w:pStyle w:val="naisc"/>
              <w:spacing w:before="0" w:after="0"/>
              <w:ind w:firstLine="12"/>
              <w:jc w:val="left"/>
            </w:pPr>
          </w:p>
        </w:tc>
        <w:tc>
          <w:tcPr>
            <w:tcW w:w="3544" w:type="dxa"/>
          </w:tcPr>
          <w:p w14:paraId="6D94B6F8" w14:textId="77777777" w:rsidR="00C70569" w:rsidRPr="00EE37CE" w:rsidRDefault="00C70569" w:rsidP="00BA29B9">
            <w:pPr>
              <w:pStyle w:val="naisc"/>
              <w:spacing w:before="0" w:after="0"/>
              <w:ind w:right="3"/>
              <w:jc w:val="left"/>
              <w:rPr>
                <w:b/>
                <w:bCs/>
              </w:rPr>
            </w:pPr>
            <w:r w:rsidRPr="00EE37CE">
              <w:rPr>
                <w:b/>
                <w:bCs/>
              </w:rPr>
              <w:t>Sabiedrisko pakalpojumu regulēšanas komisija (17.12.2018.  Nr.1-2.89/3940)</w:t>
            </w:r>
          </w:p>
          <w:p w14:paraId="218E7347" w14:textId="77512752" w:rsidR="00C70569" w:rsidRPr="00EE37CE" w:rsidRDefault="00A81BF9" w:rsidP="00BA29B9">
            <w:pPr>
              <w:pStyle w:val="naisc"/>
              <w:spacing w:before="0" w:after="0"/>
              <w:ind w:right="3"/>
              <w:jc w:val="both"/>
            </w:pPr>
            <w:r w:rsidRPr="00EE37CE">
              <w:t>Regulators 2018.gada 25.jūnija vēstulē Nr.1-2.87/2063 aicināja Ekonomikas ministriju sniegt informāciju saistībā ar to, kādā veidā tiks noteikts publiskais tirgotājs pēc 2019.gada 1.janvāra, vēršot uzmanību, ka esošajā tiesiskajā regulējumā attiecīga kārtība nav skaidri un nepārprotami noteikta. Ekonomikas ministrija 2018.gada 12.jūlija vēstulē Nr. 2.13.11.1-1/2018/3301 norādīja, ka līdz 2019.gada 1.janvārim neplāno pārskatīt publiskā dabasgāzes tirgotāja statusa noteikšanas kritērijus. Tomēr jānorāda, ka saskaņā ar AS “Gaso” 2018.gada 22.augusta vēstulē Nr.4-7-3/28923 minēto, arī AS “Gaso” ieskatā pašreizējais Noteikumu regulējums saistībā ar publiskā tirgotāja iespējamo maiņu ir vispārīgs un nerada priekšstatu par šā procesa norisi. Ievērojot minēto, Regulators aicina Ekonomikas ministriju izvērtēt iespēju Projektā precizēt regulējumu saistībā ar publiskā tirgotāja izvēli.</w:t>
            </w:r>
          </w:p>
          <w:p w14:paraId="2F618E50" w14:textId="1054D57A" w:rsidR="00A81BF9" w:rsidRPr="00EE37CE" w:rsidRDefault="00A81BF9" w:rsidP="00BA29B9">
            <w:pPr>
              <w:pStyle w:val="naisc"/>
              <w:spacing w:before="0" w:after="0"/>
              <w:ind w:right="3"/>
              <w:jc w:val="left"/>
              <w:rPr>
                <w:b/>
                <w:bCs/>
              </w:rPr>
            </w:pPr>
          </w:p>
        </w:tc>
        <w:tc>
          <w:tcPr>
            <w:tcW w:w="3089" w:type="dxa"/>
            <w:gridSpan w:val="2"/>
          </w:tcPr>
          <w:p w14:paraId="4C9D5453" w14:textId="04CF46FB" w:rsidR="00C70569" w:rsidRPr="00EE37CE" w:rsidRDefault="00C70569" w:rsidP="00BA29B9">
            <w:pPr>
              <w:pStyle w:val="naisc"/>
              <w:spacing w:before="0" w:after="0"/>
              <w:ind w:firstLine="21"/>
              <w:jc w:val="left"/>
              <w:rPr>
                <w:b/>
              </w:rPr>
            </w:pPr>
            <w:r w:rsidRPr="00EE37CE">
              <w:rPr>
                <w:b/>
              </w:rPr>
              <w:lastRenderedPageBreak/>
              <w:t xml:space="preserve">Vienošanās panākta saskaņošanas procesa laikā. </w:t>
            </w:r>
          </w:p>
        </w:tc>
        <w:tc>
          <w:tcPr>
            <w:tcW w:w="3402" w:type="dxa"/>
            <w:gridSpan w:val="2"/>
          </w:tcPr>
          <w:p w14:paraId="4AB8D602" w14:textId="1EE2CB79" w:rsidR="00C70569" w:rsidRPr="00EE37CE" w:rsidRDefault="00C70569" w:rsidP="00BA29B9">
            <w:r w:rsidRPr="00EE37CE">
              <w:t>Nav attiecināms.</w:t>
            </w:r>
          </w:p>
        </w:tc>
      </w:tr>
      <w:tr w:rsidR="00C70569" w:rsidRPr="00F27FAC" w14:paraId="4CB36419" w14:textId="77777777" w:rsidTr="003652DF">
        <w:trPr>
          <w:gridAfter w:val="1"/>
          <w:wAfter w:w="29" w:type="dxa"/>
          <w:trHeight w:val="20"/>
        </w:trPr>
        <w:tc>
          <w:tcPr>
            <w:tcW w:w="851" w:type="dxa"/>
          </w:tcPr>
          <w:p w14:paraId="5D0C7CD6" w14:textId="6B7E8463" w:rsidR="00C70569" w:rsidRPr="00F27FAC" w:rsidRDefault="00D81B58" w:rsidP="00C70569">
            <w:pPr>
              <w:pStyle w:val="naisc"/>
              <w:spacing w:before="0" w:after="0"/>
              <w:contextualSpacing/>
            </w:pPr>
            <w:r>
              <w:t>1</w:t>
            </w:r>
            <w:r w:rsidR="00BA29B9">
              <w:t>3</w:t>
            </w:r>
            <w:r w:rsidR="00F20FE4">
              <w:t>.</w:t>
            </w:r>
          </w:p>
        </w:tc>
        <w:tc>
          <w:tcPr>
            <w:tcW w:w="3402" w:type="dxa"/>
            <w:gridSpan w:val="2"/>
          </w:tcPr>
          <w:p w14:paraId="0894EEBA" w14:textId="77777777" w:rsidR="00C70569" w:rsidRDefault="00C70569" w:rsidP="00EE37CE">
            <w:pPr>
              <w:pStyle w:val="naisc"/>
              <w:spacing w:before="0" w:after="0"/>
              <w:ind w:firstLine="12"/>
              <w:jc w:val="left"/>
            </w:pPr>
            <w:r w:rsidRPr="00EE37CE">
              <w:t>2018.gada 29.novembra Valsts sek</w:t>
            </w:r>
            <w:r w:rsidRPr="00F20FE4">
              <w:t>retāru sanāksmē izsludinātā N</w:t>
            </w:r>
            <w:r w:rsidRPr="00EE37CE">
              <w:t>oteikumu Projekta redakcija (VSS-1210)</w:t>
            </w:r>
          </w:p>
          <w:p w14:paraId="416B2139" w14:textId="77777777" w:rsidR="00F20FE4" w:rsidRPr="00F20FE4" w:rsidRDefault="00F20FE4" w:rsidP="00BA29B9"/>
          <w:p w14:paraId="2F422BAD" w14:textId="77777777" w:rsidR="00F20FE4" w:rsidRPr="00F20FE4" w:rsidRDefault="00F20FE4" w:rsidP="00BA29B9"/>
          <w:p w14:paraId="3F93CDCE" w14:textId="77777777" w:rsidR="00F20FE4" w:rsidRPr="00F20FE4" w:rsidRDefault="00F20FE4" w:rsidP="00BA29B9"/>
          <w:p w14:paraId="72FA1450" w14:textId="77777777" w:rsidR="00F20FE4" w:rsidRPr="00F20FE4" w:rsidRDefault="00F20FE4" w:rsidP="00BA29B9"/>
          <w:p w14:paraId="77C60E43" w14:textId="77777777" w:rsidR="00F20FE4" w:rsidRPr="00F20FE4" w:rsidRDefault="00F20FE4" w:rsidP="00BA29B9"/>
          <w:p w14:paraId="1329825E" w14:textId="77777777" w:rsidR="00F20FE4" w:rsidRPr="00F20FE4" w:rsidRDefault="00F20FE4" w:rsidP="00BA29B9"/>
          <w:p w14:paraId="1BF9464B" w14:textId="77777777" w:rsidR="00F20FE4" w:rsidRPr="00F20FE4" w:rsidRDefault="00F20FE4" w:rsidP="00BA29B9"/>
          <w:p w14:paraId="393CD840" w14:textId="77777777" w:rsidR="00F20FE4" w:rsidRPr="00F20FE4" w:rsidRDefault="00F20FE4" w:rsidP="00BA29B9"/>
          <w:p w14:paraId="4BDEC1A8" w14:textId="77777777" w:rsidR="00F20FE4" w:rsidRPr="00F20FE4" w:rsidRDefault="00F20FE4" w:rsidP="00BA29B9"/>
          <w:p w14:paraId="21817C7B" w14:textId="77777777" w:rsidR="00F20FE4" w:rsidRPr="00F20FE4" w:rsidRDefault="00F20FE4" w:rsidP="00BA29B9"/>
          <w:p w14:paraId="0153D92C" w14:textId="77777777" w:rsidR="00F20FE4" w:rsidRPr="00F20FE4" w:rsidRDefault="00F20FE4" w:rsidP="00BA29B9"/>
          <w:p w14:paraId="269528D2" w14:textId="77777777" w:rsidR="00F20FE4" w:rsidRPr="00F20FE4" w:rsidRDefault="00F20FE4" w:rsidP="00BA29B9"/>
          <w:p w14:paraId="4B2C3D13" w14:textId="77777777" w:rsidR="00F20FE4" w:rsidRPr="00F20FE4" w:rsidRDefault="00F20FE4" w:rsidP="00BA29B9"/>
          <w:p w14:paraId="7907976C" w14:textId="77777777" w:rsidR="00F20FE4" w:rsidRPr="00F20FE4" w:rsidRDefault="00F20FE4" w:rsidP="00BA29B9"/>
          <w:p w14:paraId="1164DBFE" w14:textId="77777777" w:rsidR="00F20FE4" w:rsidRPr="00F20FE4" w:rsidRDefault="00F20FE4" w:rsidP="00BA29B9"/>
          <w:p w14:paraId="0A9BE835" w14:textId="77777777" w:rsidR="00F20FE4" w:rsidRPr="00F20FE4" w:rsidRDefault="00F20FE4" w:rsidP="00BA29B9"/>
          <w:p w14:paraId="08EDF0E5" w14:textId="77777777" w:rsidR="00F20FE4" w:rsidRPr="00F20FE4" w:rsidRDefault="00F20FE4" w:rsidP="00BA29B9"/>
          <w:p w14:paraId="314A8783" w14:textId="77777777" w:rsidR="00F20FE4" w:rsidRPr="00F20FE4" w:rsidRDefault="00F20FE4" w:rsidP="00BA29B9"/>
          <w:p w14:paraId="38A8EF29" w14:textId="77777777" w:rsidR="00F20FE4" w:rsidRPr="00F20FE4" w:rsidRDefault="00F20FE4" w:rsidP="00BA29B9"/>
          <w:p w14:paraId="4A0D7D21" w14:textId="77777777" w:rsidR="00F20FE4" w:rsidRPr="00F20FE4" w:rsidRDefault="00F20FE4" w:rsidP="00BA29B9"/>
          <w:p w14:paraId="747CB9F7" w14:textId="77777777" w:rsidR="00F20FE4" w:rsidRPr="00F20FE4" w:rsidRDefault="00F20FE4" w:rsidP="00BA29B9"/>
          <w:p w14:paraId="79393E1E" w14:textId="77777777" w:rsidR="00F20FE4" w:rsidRPr="00F20FE4" w:rsidRDefault="00F20FE4" w:rsidP="00BA29B9"/>
          <w:p w14:paraId="3848F2DF" w14:textId="77777777" w:rsidR="00F20FE4" w:rsidRPr="00F20FE4" w:rsidRDefault="00F20FE4" w:rsidP="00BA29B9"/>
          <w:p w14:paraId="431E11F5" w14:textId="619A203D" w:rsidR="00F20FE4" w:rsidRPr="00F20FE4" w:rsidRDefault="00F20FE4" w:rsidP="00BA29B9">
            <w:pPr>
              <w:tabs>
                <w:tab w:val="left" w:pos="2300"/>
              </w:tabs>
            </w:pPr>
            <w:r>
              <w:tab/>
            </w:r>
          </w:p>
        </w:tc>
        <w:tc>
          <w:tcPr>
            <w:tcW w:w="3544" w:type="dxa"/>
          </w:tcPr>
          <w:p w14:paraId="7D3C46A5" w14:textId="77777777" w:rsidR="00C70569" w:rsidRPr="00EE37CE" w:rsidRDefault="00C70569" w:rsidP="00BA29B9">
            <w:pPr>
              <w:pStyle w:val="naisc"/>
              <w:spacing w:before="0" w:after="0"/>
              <w:ind w:right="3"/>
              <w:jc w:val="left"/>
              <w:rPr>
                <w:b/>
                <w:bCs/>
              </w:rPr>
            </w:pPr>
            <w:r w:rsidRPr="00F20FE4">
              <w:rPr>
                <w:b/>
                <w:bCs/>
              </w:rPr>
              <w:t>Sabiedrisko pakalpojumu regu</w:t>
            </w:r>
            <w:r w:rsidRPr="00EE37CE">
              <w:rPr>
                <w:b/>
                <w:bCs/>
              </w:rPr>
              <w:t>lēšanas komisija (17.12.2018.  Nr.1-2.89/3940)</w:t>
            </w:r>
          </w:p>
          <w:p w14:paraId="54B05E58" w14:textId="77777777" w:rsidR="00AF3676" w:rsidRPr="00EE37CE" w:rsidRDefault="00AF3676" w:rsidP="00BA29B9">
            <w:pPr>
              <w:jc w:val="both"/>
            </w:pPr>
            <w:r w:rsidRPr="00EE37CE">
              <w:rPr>
                <w:lang w:eastAsia="x-none"/>
              </w:rPr>
              <w:t xml:space="preserve">2018.gada 21.jūnija </w:t>
            </w:r>
            <w:bookmarkStart w:id="4" w:name="_Hlk531947673"/>
            <w:r w:rsidRPr="00EE37CE">
              <w:rPr>
                <w:lang w:eastAsia="x-none"/>
              </w:rPr>
              <w:t xml:space="preserve">Valsts sekretāru sanāksmē tika izsludināts </w:t>
            </w:r>
            <w:bookmarkEnd w:id="4"/>
            <w:r w:rsidRPr="00EE37CE">
              <w:rPr>
                <w:lang w:eastAsia="x-none"/>
              </w:rPr>
              <w:t xml:space="preserve">Ministru kabineta noteikumu projekts “Grozījumi Ministru kabineta 2017.gada 7.februāra noteikumos Nr.78 “Dabasgāzes tirdzniecības un lietošanas noteikumi”” (VSS-636), kura mērķis bija noteikt regulējumu, lai </w:t>
            </w:r>
            <w:r w:rsidRPr="00EE37CE">
              <w:t xml:space="preserve">nodrošinātu nepārtrauktu, drošu dabasgāzes apgādi visā Latvijas teritorijā esošiem dabasgāzes lietotājiem, tajā skaitā tiem, kuri ir pieslēgti dabasgāzes sadales sistēmai, kura nav pieslēgta Latvijas pārvades sistēmai. </w:t>
            </w:r>
            <w:r w:rsidRPr="00EE37CE">
              <w:rPr>
                <w:lang w:eastAsia="x-none"/>
              </w:rPr>
              <w:t xml:space="preserve">Ievērojot to, ka </w:t>
            </w:r>
            <w:r w:rsidRPr="00EE37CE">
              <w:rPr>
                <w:color w:val="2A2A2A"/>
                <w:shd w:val="clear" w:color="auto" w:fill="FFFFFF"/>
              </w:rPr>
              <w:t xml:space="preserve">2018.gada 22.novembra </w:t>
            </w:r>
            <w:r w:rsidRPr="00EE37CE">
              <w:rPr>
                <w:lang w:eastAsia="x-none"/>
              </w:rPr>
              <w:t>Valsts sekretāru sanāksmē minētais projekts tika atsaukts, bet situācijas tiesiskā regulējuma risinājums nav rasts, attiecīgo regulējumu nepieciešams noteikt Projektā.</w:t>
            </w:r>
          </w:p>
          <w:p w14:paraId="73A3B346" w14:textId="77777777" w:rsidR="00C70569" w:rsidRPr="00EE37CE" w:rsidRDefault="00C70569" w:rsidP="00BA29B9">
            <w:pPr>
              <w:pStyle w:val="naisc"/>
              <w:spacing w:before="0" w:after="0"/>
              <w:ind w:right="3"/>
              <w:jc w:val="left"/>
              <w:rPr>
                <w:b/>
                <w:bCs/>
              </w:rPr>
            </w:pPr>
          </w:p>
        </w:tc>
        <w:tc>
          <w:tcPr>
            <w:tcW w:w="3089" w:type="dxa"/>
            <w:gridSpan w:val="2"/>
          </w:tcPr>
          <w:p w14:paraId="6A218B60" w14:textId="55774476" w:rsidR="00C70569" w:rsidRPr="00EE37CE" w:rsidRDefault="00C70569" w:rsidP="00BA29B9">
            <w:pPr>
              <w:pStyle w:val="naisc"/>
              <w:spacing w:before="0" w:after="0"/>
              <w:ind w:firstLine="21"/>
              <w:jc w:val="left"/>
              <w:rPr>
                <w:b/>
              </w:rPr>
            </w:pPr>
            <w:r w:rsidRPr="00EE37CE">
              <w:rPr>
                <w:b/>
              </w:rPr>
              <w:t xml:space="preserve">Vienošanās panākta saskaņošanas procesa laikā. </w:t>
            </w:r>
          </w:p>
        </w:tc>
        <w:tc>
          <w:tcPr>
            <w:tcW w:w="3402" w:type="dxa"/>
            <w:gridSpan w:val="2"/>
          </w:tcPr>
          <w:p w14:paraId="23ECC0F6" w14:textId="5B8A5129" w:rsidR="00C70569" w:rsidRPr="00EE37CE" w:rsidRDefault="00C70569" w:rsidP="00BA29B9">
            <w:r w:rsidRPr="00EE37CE">
              <w:t>Nav attiecināms.</w:t>
            </w:r>
          </w:p>
        </w:tc>
      </w:tr>
      <w:tr w:rsidR="00D35626" w:rsidRPr="00F27FAC" w14:paraId="24C41FDD" w14:textId="77777777" w:rsidTr="00D81B58">
        <w:trPr>
          <w:gridAfter w:val="1"/>
          <w:wAfter w:w="29" w:type="dxa"/>
          <w:trHeight w:val="20"/>
        </w:trPr>
        <w:tc>
          <w:tcPr>
            <w:tcW w:w="851" w:type="dxa"/>
          </w:tcPr>
          <w:p w14:paraId="6CACF505" w14:textId="5DBB1C71" w:rsidR="00D35626" w:rsidRPr="00524A22" w:rsidRDefault="00D35626" w:rsidP="00D35626">
            <w:pPr>
              <w:pStyle w:val="naisc"/>
              <w:spacing w:before="0" w:after="0"/>
              <w:contextualSpacing/>
            </w:pPr>
            <w:r>
              <w:t>1</w:t>
            </w:r>
            <w:r w:rsidR="00BA29B9">
              <w:t>4</w:t>
            </w:r>
            <w:r>
              <w:t>.</w:t>
            </w:r>
          </w:p>
        </w:tc>
        <w:tc>
          <w:tcPr>
            <w:tcW w:w="3402" w:type="dxa"/>
            <w:gridSpan w:val="2"/>
          </w:tcPr>
          <w:p w14:paraId="49256984" w14:textId="5EB4747E" w:rsidR="00D35626" w:rsidRPr="000268DD" w:rsidRDefault="00D35626" w:rsidP="00D35626">
            <w:pPr>
              <w:jc w:val="both"/>
              <w:rPr>
                <w:b/>
                <w:bCs/>
              </w:rPr>
            </w:pPr>
            <w:r w:rsidRPr="000268DD">
              <w:rPr>
                <w:b/>
                <w:bCs/>
              </w:rPr>
              <w:t xml:space="preserve">Noteikumu Projekta 89.punkts: </w:t>
            </w:r>
          </w:p>
          <w:p w14:paraId="4BE5E83B" w14:textId="77777777" w:rsidR="00D35626" w:rsidRPr="000268DD" w:rsidRDefault="00D35626" w:rsidP="00D35626">
            <w:pPr>
              <w:jc w:val="both"/>
            </w:pPr>
          </w:p>
          <w:p w14:paraId="1617BE9C" w14:textId="18B7402B" w:rsidR="00D35626" w:rsidRPr="00F301F1" w:rsidRDefault="00D35626" w:rsidP="00D35626">
            <w:pPr>
              <w:jc w:val="both"/>
            </w:pPr>
            <w:r w:rsidRPr="000268DD">
              <w:t xml:space="preserve">89.  Ja konstatēts šo noteikumu 87. </w:t>
            </w:r>
            <w:r w:rsidRPr="00F301F1">
              <w:t xml:space="preserve">punktā minētais pārkāpums, sadales sistēmas operators veic </w:t>
            </w:r>
            <w:r w:rsidRPr="00F301F1">
              <w:lastRenderedPageBreak/>
              <w:t>pārrēķinu par izlietoto dabasgāzi un sadales sistēmas pakalpojumiem pēc šādas formulas:</w:t>
            </w:r>
          </w:p>
          <w:p w14:paraId="27F82CF5" w14:textId="77777777" w:rsidR="00D35626" w:rsidRPr="00F301F1" w:rsidRDefault="00D35626" w:rsidP="00D35626">
            <w:pPr>
              <w:jc w:val="both"/>
            </w:pPr>
          </w:p>
          <w:p w14:paraId="76E17503" w14:textId="77777777" w:rsidR="00D35626" w:rsidRPr="00F301F1" w:rsidRDefault="00D35626" w:rsidP="00D35626">
            <w:pPr>
              <w:jc w:val="center"/>
            </w:pPr>
            <w:r w:rsidRPr="00F301F1">
              <w:rPr>
                <w:i/>
              </w:rPr>
              <w:t>K = (P</w:t>
            </w:r>
            <w:r w:rsidRPr="00F301F1">
              <w:rPr>
                <w:i/>
                <w:vertAlign w:val="subscript"/>
              </w:rPr>
              <w:t xml:space="preserve">DG  </w:t>
            </w:r>
            <w:r w:rsidRPr="00F301F1">
              <w:rPr>
                <w:i/>
              </w:rPr>
              <w:t>- U</w:t>
            </w:r>
            <w:r w:rsidRPr="00F301F1">
              <w:rPr>
                <w:i/>
                <w:vertAlign w:val="subscript"/>
              </w:rPr>
              <w:t>DG</w:t>
            </w:r>
            <w:r w:rsidRPr="00F301F1">
              <w:rPr>
                <w:i/>
              </w:rPr>
              <w:t>)*(T</w:t>
            </w:r>
            <w:r w:rsidRPr="00F301F1">
              <w:rPr>
                <w:i/>
                <w:vertAlign w:val="subscript"/>
              </w:rPr>
              <w:t xml:space="preserve">m </w:t>
            </w:r>
            <w:r w:rsidRPr="00F301F1">
              <w:rPr>
                <w:i/>
              </w:rPr>
              <w:t>+ C</w:t>
            </w:r>
            <w:r w:rsidRPr="00F301F1">
              <w:rPr>
                <w:i/>
                <w:vertAlign w:val="subscript"/>
              </w:rPr>
              <w:t>DG</w:t>
            </w:r>
            <w:r w:rsidRPr="00F301F1">
              <w:rPr>
                <w:i/>
              </w:rPr>
              <w:t>)*2</w:t>
            </w:r>
            <w:r w:rsidRPr="00F301F1">
              <w:t>, kur:</w:t>
            </w:r>
          </w:p>
          <w:p w14:paraId="4252F544" w14:textId="77777777" w:rsidR="00D35626" w:rsidRPr="00F301F1" w:rsidRDefault="00D35626" w:rsidP="00D35626">
            <w:pPr>
              <w:jc w:val="both"/>
            </w:pPr>
          </w:p>
          <w:p w14:paraId="0398113E" w14:textId="77777777" w:rsidR="00D35626" w:rsidRPr="00F301F1" w:rsidRDefault="00D35626" w:rsidP="00D35626">
            <w:pPr>
              <w:ind w:left="48" w:firstLine="661"/>
              <w:jc w:val="both"/>
            </w:pPr>
            <w:r w:rsidRPr="00F301F1">
              <w:rPr>
                <w:i/>
                <w:iCs/>
              </w:rPr>
              <w:t xml:space="preserve">K – </w:t>
            </w:r>
            <w:r w:rsidRPr="00F301F1">
              <w:t>pārrēķins par izlietoto dabasgāzi un sadales sistēmas pakalpojumiem;</w:t>
            </w:r>
          </w:p>
          <w:p w14:paraId="7BDA1B56" w14:textId="77777777" w:rsidR="00D35626" w:rsidRPr="00F301F1" w:rsidRDefault="00D35626" w:rsidP="00D35626">
            <w:pPr>
              <w:jc w:val="both"/>
            </w:pPr>
          </w:p>
          <w:p w14:paraId="7957ABB3" w14:textId="77777777" w:rsidR="00D35626" w:rsidRPr="000268DD" w:rsidRDefault="00D35626" w:rsidP="00D35626">
            <w:pPr>
              <w:ind w:firstLine="661"/>
              <w:jc w:val="both"/>
            </w:pPr>
            <w:r w:rsidRPr="000268DD">
              <w:rPr>
                <w:i/>
                <w:iCs/>
              </w:rPr>
              <w:t>P</w:t>
            </w:r>
            <w:r w:rsidRPr="000268DD">
              <w:rPr>
                <w:i/>
                <w:iCs/>
                <w:vertAlign w:val="subscript"/>
              </w:rPr>
              <w:t>DG</w:t>
            </w:r>
            <w:r w:rsidRPr="000268DD">
              <w:t xml:space="preserve"> – patērētās dabasgāzes daudzums, kas aprēķināts atbilstoši šo noteikumu 88. punktam;</w:t>
            </w:r>
          </w:p>
          <w:p w14:paraId="3362DCCD" w14:textId="77777777" w:rsidR="00D35626" w:rsidRPr="000268DD" w:rsidRDefault="00D35626" w:rsidP="00D35626">
            <w:pPr>
              <w:jc w:val="both"/>
            </w:pPr>
          </w:p>
          <w:p w14:paraId="72BD782A" w14:textId="77777777" w:rsidR="00D35626" w:rsidRPr="000268DD" w:rsidRDefault="00D35626" w:rsidP="00D35626">
            <w:pPr>
              <w:ind w:firstLine="661"/>
              <w:jc w:val="both"/>
            </w:pPr>
            <w:r w:rsidRPr="000268DD">
              <w:rPr>
                <w:i/>
                <w:iCs/>
              </w:rPr>
              <w:t>U</w:t>
            </w:r>
            <w:r w:rsidRPr="000268DD">
              <w:rPr>
                <w:i/>
                <w:iCs/>
                <w:vertAlign w:val="subscript"/>
              </w:rPr>
              <w:t>DG</w:t>
            </w:r>
            <w:r w:rsidRPr="000268DD">
              <w:t xml:space="preserve"> – komercuzskaites mēraparāta uzskaitītais dabasgāzes daudzums periodā, kurā noticis 87. punktā minētais pārkāpums;</w:t>
            </w:r>
          </w:p>
          <w:p w14:paraId="69B7DF56" w14:textId="77777777" w:rsidR="00D35626" w:rsidRPr="000268DD" w:rsidRDefault="00D35626" w:rsidP="00D35626">
            <w:pPr>
              <w:jc w:val="both"/>
            </w:pPr>
          </w:p>
          <w:p w14:paraId="4DFFDEA7" w14:textId="77777777" w:rsidR="00D35626" w:rsidRPr="000268DD" w:rsidRDefault="00D35626" w:rsidP="00D35626">
            <w:pPr>
              <w:ind w:firstLine="661"/>
              <w:jc w:val="both"/>
            </w:pPr>
            <w:r w:rsidRPr="000268DD">
              <w:rPr>
                <w:i/>
                <w:iCs/>
              </w:rPr>
              <w:t>T</w:t>
            </w:r>
            <w:r w:rsidRPr="000268DD">
              <w:rPr>
                <w:i/>
                <w:iCs/>
                <w:vertAlign w:val="subscript"/>
              </w:rPr>
              <w:t>m</w:t>
            </w:r>
            <w:r w:rsidRPr="000268DD">
              <w:rPr>
                <w:i/>
                <w:iCs/>
              </w:rPr>
              <w:t xml:space="preserve"> </w:t>
            </w:r>
            <w:r w:rsidRPr="000268DD">
              <w:t>– sadales sistēmas pakalpojuma tarifu mainīgā daļa (pēc patēriņa grupas);</w:t>
            </w:r>
          </w:p>
          <w:p w14:paraId="6C0D8289" w14:textId="77777777" w:rsidR="00D35626" w:rsidRPr="000268DD" w:rsidRDefault="00D35626" w:rsidP="00D35626">
            <w:pPr>
              <w:jc w:val="both"/>
              <w:rPr>
                <w:i/>
                <w:iCs/>
              </w:rPr>
            </w:pPr>
          </w:p>
          <w:p w14:paraId="5D55A1C0" w14:textId="77777777" w:rsidR="00D35626" w:rsidRPr="000268DD" w:rsidRDefault="00D35626" w:rsidP="00D35626">
            <w:pPr>
              <w:ind w:firstLine="661"/>
              <w:jc w:val="both"/>
            </w:pPr>
            <w:r w:rsidRPr="000268DD">
              <w:rPr>
                <w:i/>
                <w:iCs/>
              </w:rPr>
              <w:t>C</w:t>
            </w:r>
            <w:r w:rsidRPr="000268DD">
              <w:rPr>
                <w:i/>
                <w:iCs/>
                <w:vertAlign w:val="subscript"/>
              </w:rPr>
              <w:t>DG</w:t>
            </w:r>
            <w:r w:rsidRPr="000268DD">
              <w:rPr>
                <w:i/>
                <w:iCs/>
              </w:rPr>
              <w:t xml:space="preserve"> </w:t>
            </w:r>
            <w:r w:rsidRPr="000268DD">
              <w:t>– dabasgāzes cena, pēdējās garantētās piegādes cenas apmērā pārkāpuma fakta konstatācijas mēnesī.</w:t>
            </w:r>
          </w:p>
          <w:p w14:paraId="392B36D1" w14:textId="77777777" w:rsidR="00D35626" w:rsidRPr="000268DD" w:rsidRDefault="00D35626" w:rsidP="00D35626">
            <w:pPr>
              <w:jc w:val="both"/>
            </w:pPr>
          </w:p>
          <w:p w14:paraId="3BBD6ED4" w14:textId="77777777" w:rsidR="00D35626" w:rsidRDefault="00D35626" w:rsidP="00D35626">
            <w:pPr>
              <w:ind w:left="37"/>
              <w:contextualSpacing/>
            </w:pPr>
            <w:r w:rsidRPr="000268DD">
              <w:t xml:space="preserve">Ja pārkāpuma periodā lietotājs nav veicis samaksu par sadales sistēmas pakalpojuma tarifu </w:t>
            </w:r>
            <w:r w:rsidRPr="000268DD">
              <w:lastRenderedPageBreak/>
              <w:t>fiksēto daļu vai veicis to daļēji, aprēķinam, kas iegūts saskaņā ar šajā punktā noteikto formulu pieskaita sadales sistēmas pakalpojuma tarifu fiksēto daļu (pēc atļautās slodzes) par periodu, kurā samaksa nav veikta. Pamatojoties uz veikto kompensācijas aprēķinu, sistēmas operators izraksta lietotājam rēķinu, kurā norāda arī samaksas termiņu. Lietotājam ir pienākums laikus un pilnā apmērā norēķināties ar sadales sistēmas operatoru.</w:t>
            </w:r>
          </w:p>
          <w:p w14:paraId="4240C4B1" w14:textId="1C6076E2" w:rsidR="00D35626" w:rsidRPr="000268DD" w:rsidRDefault="00D35626" w:rsidP="00D35626">
            <w:pPr>
              <w:ind w:left="37"/>
              <w:contextualSpacing/>
              <w:rPr>
                <w:b/>
              </w:rPr>
            </w:pPr>
          </w:p>
        </w:tc>
        <w:tc>
          <w:tcPr>
            <w:tcW w:w="3544" w:type="dxa"/>
          </w:tcPr>
          <w:p w14:paraId="14E22164" w14:textId="58CE7764" w:rsidR="00D35626" w:rsidRPr="00524A22" w:rsidRDefault="00D35626" w:rsidP="00D35626">
            <w:pPr>
              <w:pStyle w:val="naisc"/>
              <w:spacing w:before="0" w:after="0"/>
              <w:contextualSpacing/>
              <w:jc w:val="both"/>
              <w:rPr>
                <w:b/>
              </w:rPr>
            </w:pPr>
            <w:r w:rsidRPr="00524A22">
              <w:rPr>
                <w:b/>
              </w:rPr>
              <w:lastRenderedPageBreak/>
              <w:t>AS “Latvijas Gāze”</w:t>
            </w:r>
            <w:r w:rsidR="00F20FE4">
              <w:rPr>
                <w:b/>
              </w:rPr>
              <w:t xml:space="preserve"> (26.09.2019., Nr.5-7/1083)</w:t>
            </w:r>
          </w:p>
          <w:p w14:paraId="49C68827" w14:textId="603219C9" w:rsidR="00D35626" w:rsidRPr="003977D4" w:rsidRDefault="00D35626" w:rsidP="00D35626">
            <w:pPr>
              <w:pStyle w:val="naisc"/>
              <w:spacing w:before="0" w:after="0"/>
              <w:contextualSpacing/>
              <w:jc w:val="both"/>
            </w:pPr>
            <w:r w:rsidRPr="00F301F1">
              <w:t>I</w:t>
            </w:r>
            <w:r>
              <w:t xml:space="preserve">zsaka priekšlikumu 89.punktā aizstāt vārdus “Pamatojoties uz veikto kompensācijas aprēķinu” aizstāt ar vārdiem “Pamatojoties </w:t>
            </w:r>
            <w:r>
              <w:lastRenderedPageBreak/>
              <w:t xml:space="preserve">uz veikto pārrēķinu par izlietoto dabasgāzi un sadales sistēmas pakalpojumiem”, tādējādi nodrošinot vienotas terminoloģijas izmantošanu visā tiesību normā. </w:t>
            </w:r>
          </w:p>
        </w:tc>
        <w:tc>
          <w:tcPr>
            <w:tcW w:w="3089" w:type="dxa"/>
            <w:gridSpan w:val="2"/>
          </w:tcPr>
          <w:p w14:paraId="732C9AD8" w14:textId="4D9BA4CB" w:rsidR="00D35626" w:rsidRDefault="00D35626" w:rsidP="00D35626">
            <w:pPr>
              <w:pStyle w:val="naisc"/>
              <w:ind w:firstLine="21"/>
              <w:contextualSpacing/>
              <w:jc w:val="both"/>
              <w:rPr>
                <w:b/>
                <w:bCs/>
              </w:rPr>
            </w:pPr>
            <w:r>
              <w:rPr>
                <w:b/>
                <w:bCs/>
              </w:rPr>
              <w:lastRenderedPageBreak/>
              <w:t>Ņ</w:t>
            </w:r>
            <w:r w:rsidRPr="00A12EC0">
              <w:rPr>
                <w:b/>
                <w:bCs/>
              </w:rPr>
              <w:t>emts vērā</w:t>
            </w:r>
            <w:r>
              <w:rPr>
                <w:b/>
                <w:bCs/>
              </w:rPr>
              <w:t>.</w:t>
            </w:r>
          </w:p>
          <w:p w14:paraId="670DD11E" w14:textId="77777777" w:rsidR="00D35626" w:rsidRDefault="00D35626" w:rsidP="00D35626">
            <w:pPr>
              <w:pStyle w:val="naisc"/>
              <w:ind w:firstLine="21"/>
              <w:contextualSpacing/>
              <w:jc w:val="both"/>
              <w:rPr>
                <w:b/>
                <w:bCs/>
              </w:rPr>
            </w:pPr>
          </w:p>
          <w:p w14:paraId="60620F71" w14:textId="2A70AE7D" w:rsidR="00D35626" w:rsidRPr="000268DD" w:rsidRDefault="00D35626" w:rsidP="00D35626">
            <w:pPr>
              <w:pStyle w:val="naisc"/>
              <w:ind w:firstLine="21"/>
              <w:contextualSpacing/>
              <w:jc w:val="both"/>
              <w:rPr>
                <w:b/>
                <w:bCs/>
                <w:highlight w:val="yellow"/>
              </w:rPr>
            </w:pPr>
          </w:p>
        </w:tc>
        <w:tc>
          <w:tcPr>
            <w:tcW w:w="3402" w:type="dxa"/>
            <w:gridSpan w:val="2"/>
          </w:tcPr>
          <w:p w14:paraId="46F1AA4B" w14:textId="376E9C24" w:rsidR="00D35626" w:rsidRDefault="00D35626" w:rsidP="00D35626">
            <w:pPr>
              <w:contextualSpacing/>
              <w:jc w:val="both"/>
              <w:rPr>
                <w:b/>
              </w:rPr>
            </w:pPr>
            <w:r w:rsidRPr="00524A22">
              <w:rPr>
                <w:b/>
              </w:rPr>
              <w:t>Noteikumu</w:t>
            </w:r>
            <w:r>
              <w:rPr>
                <w:b/>
              </w:rPr>
              <w:t xml:space="preserve"> Projekta 89.punkts</w:t>
            </w:r>
            <w:r w:rsidRPr="00524A22">
              <w:rPr>
                <w:b/>
              </w:rPr>
              <w:t>:</w:t>
            </w:r>
          </w:p>
          <w:p w14:paraId="2968E047" w14:textId="77777777" w:rsidR="00D35626" w:rsidRPr="00524A22" w:rsidRDefault="00D35626" w:rsidP="00D35626">
            <w:pPr>
              <w:contextualSpacing/>
              <w:jc w:val="both"/>
              <w:rPr>
                <w:b/>
              </w:rPr>
            </w:pPr>
          </w:p>
          <w:p w14:paraId="3E04508C" w14:textId="14FE9F29" w:rsidR="00D35626" w:rsidRPr="00F301F1" w:rsidRDefault="00D35626" w:rsidP="00D35626">
            <w:pPr>
              <w:jc w:val="both"/>
            </w:pPr>
            <w:r>
              <w:t>89</w:t>
            </w:r>
            <w:r w:rsidRPr="00524A22">
              <w:t>.</w:t>
            </w:r>
            <w:r w:rsidRPr="000268DD">
              <w:t xml:space="preserve"> Ja konstatēts šo noteikumu 87. punktā minētais pārkāpums, </w:t>
            </w:r>
            <w:r w:rsidRPr="00F301F1">
              <w:t xml:space="preserve">sadales sistēmas operators veic </w:t>
            </w:r>
            <w:r w:rsidRPr="00F301F1">
              <w:lastRenderedPageBreak/>
              <w:t>pārrēķinu par izlietoto dabasgāzi un sadales sistēmas pakalpojumiem pēc šādas formulas:</w:t>
            </w:r>
          </w:p>
          <w:p w14:paraId="4692EC1E" w14:textId="77777777" w:rsidR="00D35626" w:rsidRPr="00F301F1" w:rsidRDefault="00D35626" w:rsidP="00D35626">
            <w:pPr>
              <w:jc w:val="both"/>
            </w:pPr>
          </w:p>
          <w:p w14:paraId="0D790BE6" w14:textId="77777777" w:rsidR="00D35626" w:rsidRPr="00F301F1" w:rsidRDefault="00D35626" w:rsidP="00D35626">
            <w:pPr>
              <w:jc w:val="center"/>
            </w:pPr>
            <w:r w:rsidRPr="00F301F1">
              <w:rPr>
                <w:i/>
              </w:rPr>
              <w:t>K = (P</w:t>
            </w:r>
            <w:r w:rsidRPr="00F301F1">
              <w:rPr>
                <w:i/>
                <w:vertAlign w:val="subscript"/>
              </w:rPr>
              <w:t xml:space="preserve">DG  </w:t>
            </w:r>
            <w:r w:rsidRPr="00F301F1">
              <w:rPr>
                <w:i/>
              </w:rPr>
              <w:t>- U</w:t>
            </w:r>
            <w:r w:rsidRPr="00F301F1">
              <w:rPr>
                <w:i/>
                <w:vertAlign w:val="subscript"/>
              </w:rPr>
              <w:t>DG</w:t>
            </w:r>
            <w:r w:rsidRPr="00F301F1">
              <w:rPr>
                <w:i/>
              </w:rPr>
              <w:t>)*(T</w:t>
            </w:r>
            <w:r w:rsidRPr="00F301F1">
              <w:rPr>
                <w:i/>
                <w:vertAlign w:val="subscript"/>
              </w:rPr>
              <w:t xml:space="preserve">m </w:t>
            </w:r>
            <w:r w:rsidRPr="00F301F1">
              <w:rPr>
                <w:i/>
              </w:rPr>
              <w:t>+ C</w:t>
            </w:r>
            <w:r w:rsidRPr="00F301F1">
              <w:rPr>
                <w:i/>
                <w:vertAlign w:val="subscript"/>
              </w:rPr>
              <w:t>DG</w:t>
            </w:r>
            <w:r w:rsidRPr="00F301F1">
              <w:rPr>
                <w:i/>
              </w:rPr>
              <w:t>)*2</w:t>
            </w:r>
            <w:r w:rsidRPr="00F301F1">
              <w:t>, kur:</w:t>
            </w:r>
          </w:p>
          <w:p w14:paraId="77CA3797" w14:textId="77777777" w:rsidR="00D35626" w:rsidRPr="00F301F1" w:rsidRDefault="00D35626" w:rsidP="00D35626">
            <w:pPr>
              <w:jc w:val="both"/>
            </w:pPr>
          </w:p>
          <w:p w14:paraId="23C38F2C" w14:textId="77777777" w:rsidR="00D35626" w:rsidRPr="00F301F1" w:rsidRDefault="00D35626" w:rsidP="00D35626">
            <w:pPr>
              <w:ind w:left="48" w:firstLine="661"/>
              <w:jc w:val="both"/>
            </w:pPr>
            <w:r w:rsidRPr="00F301F1">
              <w:rPr>
                <w:i/>
                <w:iCs/>
              </w:rPr>
              <w:t xml:space="preserve">K – </w:t>
            </w:r>
            <w:r w:rsidRPr="00F301F1">
              <w:t>pārrēķins par izlietoto dabasgāzi un sadales sistēmas pakalpojumiem;</w:t>
            </w:r>
          </w:p>
          <w:p w14:paraId="20585371" w14:textId="77777777" w:rsidR="00D35626" w:rsidRPr="000268DD" w:rsidRDefault="00D35626" w:rsidP="00D35626">
            <w:pPr>
              <w:jc w:val="both"/>
            </w:pPr>
          </w:p>
          <w:p w14:paraId="7785E253" w14:textId="77777777" w:rsidR="00D35626" w:rsidRPr="000268DD" w:rsidRDefault="00D35626" w:rsidP="00D35626">
            <w:pPr>
              <w:ind w:firstLine="661"/>
              <w:jc w:val="both"/>
            </w:pPr>
            <w:r w:rsidRPr="000268DD">
              <w:rPr>
                <w:i/>
                <w:iCs/>
              </w:rPr>
              <w:t>P</w:t>
            </w:r>
            <w:r w:rsidRPr="000268DD">
              <w:rPr>
                <w:i/>
                <w:iCs/>
                <w:vertAlign w:val="subscript"/>
              </w:rPr>
              <w:t>DG</w:t>
            </w:r>
            <w:r w:rsidRPr="000268DD">
              <w:t xml:space="preserve"> – patērētās dabasgāzes daudzums, kas aprēķināts atbilstoši šo noteikumu 88. punktam;</w:t>
            </w:r>
          </w:p>
          <w:p w14:paraId="664886E8" w14:textId="77777777" w:rsidR="00D35626" w:rsidRPr="000268DD" w:rsidRDefault="00D35626" w:rsidP="00D35626">
            <w:pPr>
              <w:jc w:val="both"/>
            </w:pPr>
          </w:p>
          <w:p w14:paraId="076C5CC2" w14:textId="77777777" w:rsidR="00D35626" w:rsidRPr="000268DD" w:rsidRDefault="00D35626" w:rsidP="00D35626">
            <w:pPr>
              <w:ind w:firstLine="661"/>
              <w:jc w:val="both"/>
            </w:pPr>
            <w:r w:rsidRPr="000268DD">
              <w:rPr>
                <w:i/>
                <w:iCs/>
              </w:rPr>
              <w:t>U</w:t>
            </w:r>
            <w:r w:rsidRPr="000268DD">
              <w:rPr>
                <w:i/>
                <w:iCs/>
                <w:vertAlign w:val="subscript"/>
              </w:rPr>
              <w:t>DG</w:t>
            </w:r>
            <w:r w:rsidRPr="000268DD">
              <w:t xml:space="preserve"> – komercuzskaites mēraparāta uzskaitītais dabasgāzes daudzums periodā, kurā noticis 87. punktā minētais pārkāpums;</w:t>
            </w:r>
          </w:p>
          <w:p w14:paraId="632F3639" w14:textId="77777777" w:rsidR="00D35626" w:rsidRPr="000268DD" w:rsidRDefault="00D35626" w:rsidP="00D35626">
            <w:pPr>
              <w:jc w:val="both"/>
            </w:pPr>
          </w:p>
          <w:p w14:paraId="254007F1" w14:textId="77777777" w:rsidR="00D35626" w:rsidRPr="000268DD" w:rsidRDefault="00D35626" w:rsidP="00D35626">
            <w:pPr>
              <w:ind w:firstLine="661"/>
              <w:jc w:val="both"/>
            </w:pPr>
            <w:r w:rsidRPr="000268DD">
              <w:rPr>
                <w:i/>
                <w:iCs/>
              </w:rPr>
              <w:t>T</w:t>
            </w:r>
            <w:r w:rsidRPr="000268DD">
              <w:rPr>
                <w:i/>
                <w:iCs/>
                <w:vertAlign w:val="subscript"/>
              </w:rPr>
              <w:t>m</w:t>
            </w:r>
            <w:r w:rsidRPr="000268DD">
              <w:rPr>
                <w:i/>
                <w:iCs/>
              </w:rPr>
              <w:t xml:space="preserve"> </w:t>
            </w:r>
            <w:r w:rsidRPr="000268DD">
              <w:t>– sadales sistēmas pakalpojuma tarifu mainīgā daļa (pēc patēriņa grupas);</w:t>
            </w:r>
          </w:p>
          <w:p w14:paraId="247D7D39" w14:textId="77777777" w:rsidR="00D35626" w:rsidRPr="000268DD" w:rsidRDefault="00D35626" w:rsidP="00D35626">
            <w:pPr>
              <w:jc w:val="both"/>
              <w:rPr>
                <w:i/>
                <w:iCs/>
              </w:rPr>
            </w:pPr>
          </w:p>
          <w:p w14:paraId="7D39B0EC" w14:textId="77777777" w:rsidR="00D35626" w:rsidRPr="000268DD" w:rsidRDefault="00D35626" w:rsidP="00D35626">
            <w:pPr>
              <w:ind w:firstLine="661"/>
              <w:jc w:val="both"/>
            </w:pPr>
            <w:r w:rsidRPr="000268DD">
              <w:rPr>
                <w:i/>
                <w:iCs/>
              </w:rPr>
              <w:t>C</w:t>
            </w:r>
            <w:r w:rsidRPr="000268DD">
              <w:rPr>
                <w:i/>
                <w:iCs/>
                <w:vertAlign w:val="subscript"/>
              </w:rPr>
              <w:t>DG</w:t>
            </w:r>
            <w:r w:rsidRPr="000268DD">
              <w:rPr>
                <w:i/>
                <w:iCs/>
              </w:rPr>
              <w:t xml:space="preserve"> </w:t>
            </w:r>
            <w:r w:rsidRPr="000268DD">
              <w:t>– dabasgāzes cena, pēdējās garantētās piegādes cenas apmērā pārkāpuma fakta konstatācijas mēnesī.</w:t>
            </w:r>
          </w:p>
          <w:p w14:paraId="294536EF" w14:textId="77777777" w:rsidR="00D35626" w:rsidRPr="000268DD" w:rsidRDefault="00D35626" w:rsidP="00D35626">
            <w:pPr>
              <w:jc w:val="both"/>
            </w:pPr>
          </w:p>
          <w:p w14:paraId="5F594990" w14:textId="7C2EC610" w:rsidR="00D35626" w:rsidRDefault="00D35626" w:rsidP="00D35626">
            <w:pPr>
              <w:ind w:left="37"/>
              <w:contextualSpacing/>
            </w:pPr>
            <w:r w:rsidRPr="000268DD">
              <w:t xml:space="preserve">Ja pārkāpuma periodā lietotājs nav veicis samaksu par sadales sistēmas pakalpojuma tarifu </w:t>
            </w:r>
            <w:r w:rsidRPr="000268DD">
              <w:lastRenderedPageBreak/>
              <w:t xml:space="preserve">fiksēto daļu vai veicis to daļēji, aprēķinam, kas iegūts saskaņā ar šajā punktā noteikto formulu pieskaita sadales sistēmas pakalpojuma tarifu fiksēto daļu (pēc atļautās slodzes) par periodu, kurā samaksa nav veikta. Pamatojoties uz veikto </w:t>
            </w:r>
            <w:r w:rsidRPr="00F301F1">
              <w:rPr>
                <w:u w:val="single"/>
              </w:rPr>
              <w:t>pārrēķinu par izlietoto dabasgāzi un sadales sistēmas pakalpojumiem</w:t>
            </w:r>
            <w:r w:rsidRPr="000268DD">
              <w:t>, sistēmas operators izraksta lietotājam rēķinu, kurā norāda arī samaksas termiņu. Lietotājam ir pienākums laikus un pilnā apmērā norēķināties ar sadales sistēmas operatoru.</w:t>
            </w:r>
          </w:p>
          <w:p w14:paraId="2CF742A3" w14:textId="678DA1BE" w:rsidR="00D35626" w:rsidRPr="000268DD" w:rsidRDefault="00D35626" w:rsidP="00D35626">
            <w:pPr>
              <w:jc w:val="both"/>
              <w:rPr>
                <w:highlight w:val="yellow"/>
              </w:rPr>
            </w:pPr>
          </w:p>
        </w:tc>
      </w:tr>
      <w:tr w:rsidR="00D35626" w:rsidRPr="00F27FAC" w14:paraId="40879F3E" w14:textId="77777777" w:rsidTr="00D81B58">
        <w:trPr>
          <w:gridAfter w:val="1"/>
          <w:wAfter w:w="29" w:type="dxa"/>
          <w:trHeight w:val="20"/>
        </w:trPr>
        <w:tc>
          <w:tcPr>
            <w:tcW w:w="851" w:type="dxa"/>
          </w:tcPr>
          <w:p w14:paraId="6D784130" w14:textId="48F97BCB" w:rsidR="00D35626" w:rsidRPr="00524A22" w:rsidRDefault="00BA29B9" w:rsidP="00D35626">
            <w:pPr>
              <w:pStyle w:val="naisc"/>
              <w:spacing w:before="0" w:after="0"/>
              <w:contextualSpacing/>
            </w:pPr>
            <w:r>
              <w:lastRenderedPageBreak/>
              <w:t>15.</w:t>
            </w:r>
          </w:p>
        </w:tc>
        <w:tc>
          <w:tcPr>
            <w:tcW w:w="3402" w:type="dxa"/>
            <w:gridSpan w:val="2"/>
          </w:tcPr>
          <w:p w14:paraId="3057596B" w14:textId="1E5B77EB" w:rsidR="00D35626" w:rsidRPr="00BA29B9" w:rsidRDefault="00D35626" w:rsidP="00D35626">
            <w:pPr>
              <w:ind w:left="37"/>
              <w:contextualSpacing/>
              <w:rPr>
                <w:b/>
              </w:rPr>
            </w:pPr>
            <w:r w:rsidRPr="00BA29B9">
              <w:rPr>
                <w:b/>
              </w:rPr>
              <w:t>Noteikumu Projekta 89.punkts:</w:t>
            </w:r>
          </w:p>
          <w:p w14:paraId="1924262B" w14:textId="11177290" w:rsidR="00D35626" w:rsidRPr="00BA29B9" w:rsidRDefault="00D35626" w:rsidP="00D35626">
            <w:pPr>
              <w:jc w:val="both"/>
            </w:pPr>
            <w:bookmarkStart w:id="5" w:name="_Hlk6406721"/>
            <w:r w:rsidRPr="00BA29B9">
              <w:t xml:space="preserve">89. Ja konstatēts šo noteikumu 87. punktā minētais pārkāpums, lietotājam ir pienākums kompensēt sadales sistēmas operatoram nodarītos zaudējumus. Sadales sistēmas operators veic kompensācijas aprēķinu pēc šādas formulas: </w:t>
            </w:r>
          </w:p>
          <w:p w14:paraId="1AD90874" w14:textId="77777777" w:rsidR="00D35626" w:rsidRPr="00BA29B9" w:rsidRDefault="00D35626" w:rsidP="00D35626">
            <w:pPr>
              <w:jc w:val="both"/>
            </w:pPr>
          </w:p>
          <w:p w14:paraId="132612E6" w14:textId="77777777" w:rsidR="00D35626" w:rsidRPr="00BA29B9" w:rsidRDefault="00D35626" w:rsidP="00D35626">
            <w:pPr>
              <w:jc w:val="center"/>
            </w:pPr>
            <w:r w:rsidRPr="00BA29B9">
              <w:rPr>
                <w:i/>
              </w:rPr>
              <w:t>K = (P</w:t>
            </w:r>
            <w:r w:rsidRPr="00BA29B9">
              <w:rPr>
                <w:i/>
                <w:vertAlign w:val="subscript"/>
              </w:rPr>
              <w:t xml:space="preserve">DG  </w:t>
            </w:r>
            <w:r w:rsidRPr="00BA29B9">
              <w:rPr>
                <w:i/>
              </w:rPr>
              <w:t>- U</w:t>
            </w:r>
            <w:r w:rsidRPr="00BA29B9">
              <w:rPr>
                <w:i/>
                <w:vertAlign w:val="subscript"/>
              </w:rPr>
              <w:t>DG</w:t>
            </w:r>
            <w:r w:rsidRPr="00BA29B9">
              <w:rPr>
                <w:i/>
              </w:rPr>
              <w:t>)*(T</w:t>
            </w:r>
            <w:r w:rsidRPr="00BA29B9">
              <w:rPr>
                <w:i/>
                <w:vertAlign w:val="subscript"/>
              </w:rPr>
              <w:t xml:space="preserve">m </w:t>
            </w:r>
            <w:r w:rsidRPr="00BA29B9">
              <w:rPr>
                <w:i/>
              </w:rPr>
              <w:t>+ C</w:t>
            </w:r>
            <w:r w:rsidRPr="00BA29B9">
              <w:rPr>
                <w:i/>
                <w:vertAlign w:val="subscript"/>
              </w:rPr>
              <w:t>DG</w:t>
            </w:r>
            <w:r w:rsidRPr="00BA29B9">
              <w:rPr>
                <w:i/>
              </w:rPr>
              <w:t>)*2</w:t>
            </w:r>
            <w:r w:rsidRPr="00BA29B9">
              <w:t>, kur:</w:t>
            </w:r>
          </w:p>
          <w:p w14:paraId="36AFC358" w14:textId="77777777" w:rsidR="00D35626" w:rsidRPr="00BA29B9" w:rsidRDefault="00D35626" w:rsidP="00D35626">
            <w:pPr>
              <w:jc w:val="both"/>
            </w:pPr>
          </w:p>
          <w:p w14:paraId="0FE5CCE1" w14:textId="77777777" w:rsidR="00D35626" w:rsidRPr="00BA29B9" w:rsidRDefault="00D35626" w:rsidP="00D35626">
            <w:pPr>
              <w:ind w:left="48" w:firstLine="661"/>
              <w:jc w:val="both"/>
            </w:pPr>
            <w:r w:rsidRPr="00BA29B9">
              <w:rPr>
                <w:i/>
                <w:iCs/>
              </w:rPr>
              <w:t xml:space="preserve">K – </w:t>
            </w:r>
            <w:r w:rsidRPr="00BA29B9">
              <w:t xml:space="preserve">kompensācija, kuru lietotājam jāmaksā sadales sistēmas operatoram, ja </w:t>
            </w:r>
            <w:r w:rsidRPr="00BA29B9">
              <w:lastRenderedPageBreak/>
              <w:t>konstatēts šo noteikumu 87.punktā minētais pārkāpums;</w:t>
            </w:r>
          </w:p>
          <w:p w14:paraId="7DF19945" w14:textId="77777777" w:rsidR="00D35626" w:rsidRPr="00BA29B9" w:rsidRDefault="00D35626" w:rsidP="00D35626">
            <w:pPr>
              <w:jc w:val="both"/>
            </w:pPr>
          </w:p>
          <w:p w14:paraId="3891DB7C" w14:textId="77777777" w:rsidR="00D35626" w:rsidRPr="00BA29B9" w:rsidRDefault="00D35626" w:rsidP="00D35626">
            <w:pPr>
              <w:ind w:firstLine="661"/>
              <w:jc w:val="both"/>
            </w:pPr>
            <w:r w:rsidRPr="00BA29B9">
              <w:rPr>
                <w:i/>
                <w:iCs/>
              </w:rPr>
              <w:t>P</w:t>
            </w:r>
            <w:r w:rsidRPr="00BA29B9">
              <w:rPr>
                <w:i/>
                <w:iCs/>
                <w:vertAlign w:val="subscript"/>
              </w:rPr>
              <w:t>DG</w:t>
            </w:r>
            <w:r w:rsidRPr="00BA29B9">
              <w:t xml:space="preserve"> – patērētās dabasgāzes daudzums, kas aprēķināts atbilstoši šo noteikumu 88. punktam;</w:t>
            </w:r>
          </w:p>
          <w:p w14:paraId="4E9E01C8" w14:textId="77777777" w:rsidR="00D35626" w:rsidRPr="00BA29B9" w:rsidRDefault="00D35626" w:rsidP="00D35626">
            <w:pPr>
              <w:jc w:val="both"/>
            </w:pPr>
          </w:p>
          <w:p w14:paraId="1EB7386A" w14:textId="77777777" w:rsidR="00D35626" w:rsidRPr="00BA29B9" w:rsidRDefault="00D35626" w:rsidP="00D35626">
            <w:pPr>
              <w:ind w:firstLine="661"/>
              <w:jc w:val="both"/>
            </w:pPr>
            <w:r w:rsidRPr="00BA29B9">
              <w:rPr>
                <w:i/>
                <w:iCs/>
              </w:rPr>
              <w:t>U</w:t>
            </w:r>
            <w:r w:rsidRPr="00BA29B9">
              <w:rPr>
                <w:i/>
                <w:iCs/>
                <w:vertAlign w:val="subscript"/>
              </w:rPr>
              <w:t>DG</w:t>
            </w:r>
            <w:r w:rsidRPr="00BA29B9">
              <w:t xml:space="preserve"> – komercuzskaites mēraparāta uzskaitītais dabasgāzes daudzums periodā, kurā noticis 87. punktā minētais pārkāpums;</w:t>
            </w:r>
          </w:p>
          <w:p w14:paraId="75FBFD6A" w14:textId="77777777" w:rsidR="00D35626" w:rsidRPr="00BA29B9" w:rsidRDefault="00D35626" w:rsidP="00D35626">
            <w:pPr>
              <w:jc w:val="both"/>
            </w:pPr>
          </w:p>
          <w:p w14:paraId="5F35D393" w14:textId="77777777" w:rsidR="00D35626" w:rsidRPr="00BA29B9" w:rsidRDefault="00D35626" w:rsidP="00D35626">
            <w:pPr>
              <w:ind w:firstLine="661"/>
              <w:jc w:val="both"/>
            </w:pPr>
            <w:r w:rsidRPr="00BA29B9">
              <w:rPr>
                <w:i/>
                <w:iCs/>
              </w:rPr>
              <w:t>T</w:t>
            </w:r>
            <w:r w:rsidRPr="00BA29B9">
              <w:rPr>
                <w:i/>
                <w:iCs/>
                <w:vertAlign w:val="subscript"/>
              </w:rPr>
              <w:t>m</w:t>
            </w:r>
            <w:r w:rsidRPr="00BA29B9">
              <w:rPr>
                <w:i/>
                <w:iCs/>
              </w:rPr>
              <w:t xml:space="preserve"> </w:t>
            </w:r>
            <w:r w:rsidRPr="00BA29B9">
              <w:t>– sadales sistēmas pakalpojuma tarifu mainīgā daļa (pēc patēriņa grupas);</w:t>
            </w:r>
          </w:p>
          <w:p w14:paraId="2F02A936" w14:textId="77777777" w:rsidR="00D35626" w:rsidRPr="00BA29B9" w:rsidRDefault="00D35626" w:rsidP="00D35626">
            <w:pPr>
              <w:jc w:val="both"/>
              <w:rPr>
                <w:i/>
                <w:iCs/>
              </w:rPr>
            </w:pPr>
          </w:p>
          <w:p w14:paraId="14224B4B" w14:textId="77777777" w:rsidR="00D35626" w:rsidRPr="00BA29B9" w:rsidRDefault="00D35626" w:rsidP="00D35626">
            <w:pPr>
              <w:ind w:firstLine="661"/>
              <w:jc w:val="both"/>
            </w:pPr>
            <w:r w:rsidRPr="00BA29B9">
              <w:rPr>
                <w:i/>
                <w:iCs/>
              </w:rPr>
              <w:t>C</w:t>
            </w:r>
            <w:r w:rsidRPr="00BA29B9">
              <w:rPr>
                <w:i/>
                <w:iCs/>
                <w:vertAlign w:val="subscript"/>
              </w:rPr>
              <w:t>DG</w:t>
            </w:r>
            <w:r w:rsidRPr="00BA29B9">
              <w:rPr>
                <w:i/>
                <w:iCs/>
              </w:rPr>
              <w:t xml:space="preserve"> </w:t>
            </w:r>
            <w:r w:rsidRPr="00BA29B9">
              <w:t>– dabasgāzes cena, pēdējās garantētās piegādes cenas apmērā pārkāpuma fakta konstatācijas mēnesī.</w:t>
            </w:r>
          </w:p>
          <w:p w14:paraId="02AF4B73" w14:textId="77777777" w:rsidR="00D35626" w:rsidRPr="00BA29B9" w:rsidRDefault="00D35626" w:rsidP="00D35626">
            <w:pPr>
              <w:jc w:val="both"/>
            </w:pPr>
          </w:p>
          <w:p w14:paraId="19EE2E08" w14:textId="4B92AF17" w:rsidR="00D35626" w:rsidRPr="00BA29B9" w:rsidRDefault="00D35626" w:rsidP="00D35626">
            <w:pPr>
              <w:ind w:firstLine="661"/>
              <w:jc w:val="both"/>
            </w:pPr>
            <w:r w:rsidRPr="00BA29B9">
              <w:t xml:space="preserve">Ja pārkāpuma periodā lietotājs nav veicis samaksu par sadales sistēmas pakalpojuma tarifu fiksēto daļu vai veicis to daļēji, aprēķinam, kas iegūts saskaņā ar šajā punktā noteikto formulu pieskaita sadales sistēmas pakalpojuma tarifu fiksēto daļu (pēc atļautās slodzes) par periodu, kurā samaksa nav veikta. Pamatojoties uz veikto kompensācijas aprēķinu, </w:t>
            </w:r>
            <w:r w:rsidRPr="00BA29B9">
              <w:lastRenderedPageBreak/>
              <w:t>sistēmas operators izraksta lietotājam rēķinu, kurā norāda arī samaksas termiņu. Lietotājam ir pienākums laikus un pilnā apmērā norēķināties ar sadales sistēmas operatoru.</w:t>
            </w:r>
          </w:p>
          <w:bookmarkEnd w:id="5"/>
          <w:p w14:paraId="3969D35C" w14:textId="65AF823C" w:rsidR="00D35626" w:rsidRPr="00BA29B9" w:rsidRDefault="00D35626" w:rsidP="00D35626">
            <w:pPr>
              <w:contextualSpacing/>
              <w:jc w:val="both"/>
              <w:rPr>
                <w:b/>
              </w:rPr>
            </w:pPr>
          </w:p>
        </w:tc>
        <w:tc>
          <w:tcPr>
            <w:tcW w:w="3544" w:type="dxa"/>
          </w:tcPr>
          <w:p w14:paraId="2C89A1CA" w14:textId="148D2057" w:rsidR="00D35626" w:rsidRPr="00BA29B9" w:rsidRDefault="00D35626" w:rsidP="00D35626">
            <w:pPr>
              <w:contextualSpacing/>
              <w:jc w:val="both"/>
              <w:rPr>
                <w:b/>
                <w:bCs/>
              </w:rPr>
            </w:pPr>
            <w:r w:rsidRPr="00BA29B9">
              <w:rPr>
                <w:b/>
                <w:bCs/>
              </w:rPr>
              <w:lastRenderedPageBreak/>
              <w:t>Latvijas Tirdzniecības un rūpniecības kamera</w:t>
            </w:r>
            <w:r w:rsidR="00E5642B">
              <w:rPr>
                <w:b/>
                <w:bCs/>
              </w:rPr>
              <w:t xml:space="preserve"> (11.09.2019., Nr.2019/914)</w:t>
            </w:r>
          </w:p>
          <w:p w14:paraId="70ABAF6C" w14:textId="5AC30E54" w:rsidR="00D35626" w:rsidRPr="00BA29B9" w:rsidRDefault="00D35626" w:rsidP="00D35626">
            <w:pPr>
              <w:contextualSpacing/>
              <w:jc w:val="both"/>
              <w:rPr>
                <w:bCs/>
              </w:rPr>
            </w:pPr>
            <w:r w:rsidRPr="00BA29B9">
              <w:rPr>
                <w:bCs/>
              </w:rPr>
              <w:t xml:space="preserve">Noteikumu projekta 8.punkts paredz izteikt 89. punkta ievaddaļu šādā redakcijā: “Ja konstatēts šo noteikumu 87. punktā minētais pārkāpums, lietotājam ir pienākums kompensēt sadales sistēmas operatoram nodarītos zaudējumus. Sadales sistēmas operators veic kompensācijas aprēķinu pēc šādas formulas”. Savukārt anotācijā norādīts, ka normas grozīšanas mērķis ir izvairīties no sadales sistēmas pakalpojuma tarifa fiksētās daļas </w:t>
            </w:r>
            <w:r w:rsidRPr="00BA29B9">
              <w:rPr>
                <w:bCs/>
              </w:rPr>
              <w:lastRenderedPageBreak/>
              <w:t>iekļaušanas kompensācijas aprēķinā.</w:t>
            </w:r>
          </w:p>
          <w:p w14:paraId="0575B33B" w14:textId="77777777" w:rsidR="00D35626" w:rsidRPr="00BA29B9" w:rsidRDefault="00D35626" w:rsidP="00D35626">
            <w:pPr>
              <w:contextualSpacing/>
              <w:jc w:val="both"/>
              <w:rPr>
                <w:bCs/>
              </w:rPr>
            </w:pPr>
            <w:r w:rsidRPr="00BA29B9">
              <w:rPr>
                <w:bCs/>
              </w:rPr>
              <w:t xml:space="preserve">Noteikumu iepriekšējā redakcija noteica, ka lietotājam ir pienākums laikus un pilnā apmērā norēķināties ar sadales sistēmas operatoru. Bet noteikumu projekta redakcija paredz normu papildināt ar jēdzienu “nodarītos zaudējumus”. Civillikuma 1770. pants nosaka, ka ar zaudējumu jāsaprot katrs mantiski novērtējams pametums. Saskaņā ar Civillikuma 1775. pantu, katrs zaudējums, kas nav nejaušs, ir jāatlīdzina. Zaudējumu atlīdzības pienākums iestājas, kad vienlaicīgi pastāv šādi priekšnoteikumi jeb atlīdzības pamati: 1) tiesību aizskārēja neattaisnojama darbība, kas attiecīgos gadījumos ietver arī novērtējumu no vainojamības viedokļa; 2) zaudējumu esamība; 3) cēloniskais sakars starp zaudējumiem un neatļauto darbību. </w:t>
            </w:r>
          </w:p>
          <w:p w14:paraId="2BDE5341" w14:textId="0F699A28" w:rsidR="00D35626" w:rsidRPr="00BA29B9" w:rsidRDefault="00D35626" w:rsidP="00D35626">
            <w:pPr>
              <w:contextualSpacing/>
              <w:jc w:val="both"/>
              <w:rPr>
                <w:bCs/>
              </w:rPr>
            </w:pPr>
            <w:r w:rsidRPr="00BA29B9">
              <w:rPr>
                <w:bCs/>
              </w:rPr>
              <w:t xml:space="preserve">Vēršam uzmanību uz to, ka lietotājs var nebūt tā persona, kura pati iejauksies komercuzskaitē. Tā var palūgt to izdarīt kādai citai personai. Attiecīgi radīsies situācijas, kas pieļaus lietotājam izvairīties no kompensācijas maksāšanas, ja tas būs lietojis dabasgāzi bez uzskaites, bet pats </w:t>
            </w:r>
            <w:r w:rsidRPr="00BA29B9">
              <w:rPr>
                <w:bCs/>
              </w:rPr>
              <w:lastRenderedPageBreak/>
              <w:t>personīgi nebūs vainojams neattaisnojamo darbību izdarīšanā (komercuskaites ietekmēšanā), jo tādas darbības būs veikusi kāda cita persona. Tādejādi, lai noteikumu projekts nepaplašinātu personu loku, kuras var būt atbildīgas par noteikumu 87. punktā minētā pārkāpuma izdarīšanu, bet tās būtu vērstas tikai uz dabasgāzes lietotāju, ir nepieciešams noteikumu projekta 89. punkta ievaddaļā vārdus “kompensēt sadales sistēmas operatoram nodarītos zaudējumus” aizstāt ar vārdiem “maksāt sadales sistēmas operatoram kompensāciju”.</w:t>
            </w:r>
          </w:p>
        </w:tc>
        <w:tc>
          <w:tcPr>
            <w:tcW w:w="3089" w:type="dxa"/>
            <w:gridSpan w:val="2"/>
          </w:tcPr>
          <w:p w14:paraId="33BA26D2" w14:textId="7D1D2ECC" w:rsidR="00D35626" w:rsidRPr="00BA29B9" w:rsidRDefault="00D35626" w:rsidP="00D35626">
            <w:pPr>
              <w:pStyle w:val="naisc"/>
              <w:ind w:firstLine="21"/>
              <w:contextualSpacing/>
              <w:jc w:val="both"/>
              <w:rPr>
                <w:b/>
                <w:bCs/>
              </w:rPr>
            </w:pPr>
            <w:r w:rsidRPr="00BA29B9">
              <w:rPr>
                <w:b/>
                <w:bCs/>
              </w:rPr>
              <w:lastRenderedPageBreak/>
              <w:t>Daļēji ņemts vērā.</w:t>
            </w:r>
          </w:p>
          <w:p w14:paraId="1E12698D" w14:textId="08ABC3E0" w:rsidR="00D35626" w:rsidRPr="00BA29B9" w:rsidRDefault="00D35626" w:rsidP="00D35626">
            <w:pPr>
              <w:pStyle w:val="naisc"/>
              <w:ind w:firstLine="21"/>
              <w:contextualSpacing/>
              <w:jc w:val="both"/>
            </w:pPr>
            <w:r w:rsidRPr="00BA29B9">
              <w:t xml:space="preserve">89.punkta redakcija padarīta īsāka un skaidrāka. </w:t>
            </w:r>
          </w:p>
          <w:p w14:paraId="0B2CAE7F" w14:textId="268BEED1" w:rsidR="00D35626" w:rsidRPr="00BA29B9" w:rsidRDefault="00D35626" w:rsidP="00D35626">
            <w:pPr>
              <w:pStyle w:val="naisc"/>
              <w:ind w:firstLine="21"/>
              <w:contextualSpacing/>
              <w:jc w:val="both"/>
              <w:rPr>
                <w:b/>
                <w:bCs/>
              </w:rPr>
            </w:pPr>
            <w:r w:rsidRPr="00BA29B9">
              <w:t xml:space="preserve">Precizēta arī noteikumu anotācija, lai skaidrāk noteiktu to, ka lietotājam, izdarot 87.punktā minēto pārkāpumu ir pienākums norēķināties par nodarītajiem zaudējumiem, tostarp, norēķināties par sadales sistēmas pieslēguma fiksēto daļu, ja lietotājs par to nav norēķinājies. Savukārt, ja lietotājs ir maksājis sadales sistēmas pakalpojuma tarifa fiksēto daļu, taču vienlaikus </w:t>
            </w:r>
            <w:r w:rsidRPr="00BA29B9">
              <w:lastRenderedPageBreak/>
              <w:t>veicis 87.punkta pārkāpumu, kompensācijas aprēķinā neiekļauj dubultu samaksu par fiksēto pieslēguma maksu, ņemot vērā, ka par to lietotājs ir samaksājis.</w:t>
            </w:r>
            <w:r w:rsidRPr="00BA29B9">
              <w:rPr>
                <w:b/>
                <w:bCs/>
              </w:rPr>
              <w:t xml:space="preserve">  </w:t>
            </w:r>
          </w:p>
        </w:tc>
        <w:tc>
          <w:tcPr>
            <w:tcW w:w="3402" w:type="dxa"/>
            <w:gridSpan w:val="2"/>
          </w:tcPr>
          <w:p w14:paraId="23E59B67" w14:textId="0CC50B91" w:rsidR="00D35626" w:rsidRPr="00BA29B9" w:rsidRDefault="00D35626" w:rsidP="00D35626">
            <w:pPr>
              <w:jc w:val="both"/>
            </w:pPr>
            <w:r w:rsidRPr="00BA29B9">
              <w:lastRenderedPageBreak/>
              <w:t xml:space="preserve">89.  Ja konstatēts šo noteikumu 87. punktā minētais pārkāpums, </w:t>
            </w:r>
            <w:r w:rsidRPr="00BA29B9">
              <w:rPr>
                <w:u w:val="single"/>
              </w:rPr>
              <w:t>sadales sistēmas operators veic pārrēķinu par izlietoto dabasgāzi un sadales sistēmas pakalpojumiem</w:t>
            </w:r>
            <w:r w:rsidRPr="00BA29B9">
              <w:t xml:space="preserve"> pēc šādas formulas:</w:t>
            </w:r>
          </w:p>
          <w:p w14:paraId="3A8786CD" w14:textId="77777777" w:rsidR="00D35626" w:rsidRPr="00BA29B9" w:rsidRDefault="00D35626" w:rsidP="00D35626">
            <w:pPr>
              <w:jc w:val="both"/>
            </w:pPr>
          </w:p>
          <w:p w14:paraId="7C4B2BC7" w14:textId="77777777" w:rsidR="00D35626" w:rsidRPr="00BA29B9" w:rsidRDefault="00D35626" w:rsidP="00D35626">
            <w:pPr>
              <w:jc w:val="center"/>
            </w:pPr>
            <w:r w:rsidRPr="00BA29B9">
              <w:rPr>
                <w:i/>
              </w:rPr>
              <w:t>K = (P</w:t>
            </w:r>
            <w:r w:rsidRPr="00BA29B9">
              <w:rPr>
                <w:i/>
                <w:vertAlign w:val="subscript"/>
              </w:rPr>
              <w:t xml:space="preserve">DG  </w:t>
            </w:r>
            <w:r w:rsidRPr="00BA29B9">
              <w:rPr>
                <w:i/>
              </w:rPr>
              <w:t>- U</w:t>
            </w:r>
            <w:r w:rsidRPr="00BA29B9">
              <w:rPr>
                <w:i/>
                <w:vertAlign w:val="subscript"/>
              </w:rPr>
              <w:t>DG</w:t>
            </w:r>
            <w:r w:rsidRPr="00BA29B9">
              <w:rPr>
                <w:i/>
              </w:rPr>
              <w:t>)*(T</w:t>
            </w:r>
            <w:r w:rsidRPr="00BA29B9">
              <w:rPr>
                <w:i/>
                <w:vertAlign w:val="subscript"/>
              </w:rPr>
              <w:t xml:space="preserve">m </w:t>
            </w:r>
            <w:r w:rsidRPr="00BA29B9">
              <w:rPr>
                <w:i/>
              </w:rPr>
              <w:t>+ C</w:t>
            </w:r>
            <w:r w:rsidRPr="00BA29B9">
              <w:rPr>
                <w:i/>
                <w:vertAlign w:val="subscript"/>
              </w:rPr>
              <w:t>DG</w:t>
            </w:r>
            <w:r w:rsidRPr="00BA29B9">
              <w:rPr>
                <w:i/>
              </w:rPr>
              <w:t>)*2</w:t>
            </w:r>
            <w:r w:rsidRPr="00BA29B9">
              <w:t>, kur:</w:t>
            </w:r>
          </w:p>
          <w:p w14:paraId="6ADB722B" w14:textId="77777777" w:rsidR="00D35626" w:rsidRPr="00BA29B9" w:rsidRDefault="00D35626" w:rsidP="00D35626">
            <w:pPr>
              <w:jc w:val="both"/>
            </w:pPr>
          </w:p>
          <w:p w14:paraId="7FB7C5A4" w14:textId="3B20EB08" w:rsidR="00D35626" w:rsidRPr="00BA29B9" w:rsidRDefault="00D35626" w:rsidP="00D35626">
            <w:pPr>
              <w:ind w:left="48" w:firstLine="661"/>
              <w:jc w:val="both"/>
            </w:pPr>
            <w:r w:rsidRPr="00BA29B9">
              <w:rPr>
                <w:i/>
                <w:iCs/>
              </w:rPr>
              <w:t xml:space="preserve">K – </w:t>
            </w:r>
            <w:r w:rsidRPr="00BA29B9">
              <w:rPr>
                <w:u w:val="single"/>
              </w:rPr>
              <w:t>pārrēķins par izlietoto dabasgāzi un sadales sistēmas pakalpojumiem</w:t>
            </w:r>
            <w:r w:rsidRPr="00BA29B9">
              <w:t>;</w:t>
            </w:r>
          </w:p>
          <w:p w14:paraId="482625AE" w14:textId="77777777" w:rsidR="00D35626" w:rsidRPr="00BA29B9" w:rsidRDefault="00D35626" w:rsidP="00D35626">
            <w:pPr>
              <w:jc w:val="both"/>
            </w:pPr>
          </w:p>
          <w:p w14:paraId="7A805CD9" w14:textId="77777777" w:rsidR="00D35626" w:rsidRPr="00BA29B9" w:rsidRDefault="00D35626" w:rsidP="00D35626">
            <w:pPr>
              <w:ind w:firstLine="661"/>
              <w:jc w:val="both"/>
            </w:pPr>
            <w:r w:rsidRPr="00BA29B9">
              <w:rPr>
                <w:i/>
                <w:iCs/>
              </w:rPr>
              <w:t>P</w:t>
            </w:r>
            <w:r w:rsidRPr="00BA29B9">
              <w:rPr>
                <w:i/>
                <w:iCs/>
                <w:vertAlign w:val="subscript"/>
              </w:rPr>
              <w:t>DG</w:t>
            </w:r>
            <w:r w:rsidRPr="00BA29B9">
              <w:t xml:space="preserve"> – patērētās dabasgāzes daudzums, kas </w:t>
            </w:r>
            <w:r w:rsidRPr="00BA29B9">
              <w:lastRenderedPageBreak/>
              <w:t>aprēķināts atbilstoši šo noteikumu 88. punktam;</w:t>
            </w:r>
          </w:p>
          <w:p w14:paraId="2976EC77" w14:textId="77777777" w:rsidR="00D35626" w:rsidRPr="00BA29B9" w:rsidRDefault="00D35626" w:rsidP="00D35626">
            <w:pPr>
              <w:jc w:val="both"/>
            </w:pPr>
          </w:p>
          <w:p w14:paraId="525A5FFB" w14:textId="77777777" w:rsidR="00D35626" w:rsidRPr="00BA29B9" w:rsidRDefault="00D35626" w:rsidP="00D35626">
            <w:pPr>
              <w:ind w:firstLine="661"/>
              <w:jc w:val="both"/>
            </w:pPr>
            <w:r w:rsidRPr="00BA29B9">
              <w:rPr>
                <w:i/>
                <w:iCs/>
              </w:rPr>
              <w:t>U</w:t>
            </w:r>
            <w:r w:rsidRPr="00BA29B9">
              <w:rPr>
                <w:i/>
                <w:iCs/>
                <w:vertAlign w:val="subscript"/>
              </w:rPr>
              <w:t>DG</w:t>
            </w:r>
            <w:r w:rsidRPr="00BA29B9">
              <w:t xml:space="preserve"> – komercuzskaites mēraparāta uzskaitītais dabasgāzes daudzums periodā, kurā noticis 87. punktā minētais pārkāpums;</w:t>
            </w:r>
          </w:p>
          <w:p w14:paraId="7020F659" w14:textId="77777777" w:rsidR="00D35626" w:rsidRPr="00BA29B9" w:rsidRDefault="00D35626" w:rsidP="00D35626">
            <w:pPr>
              <w:jc w:val="both"/>
            </w:pPr>
          </w:p>
          <w:p w14:paraId="3B97B030" w14:textId="77777777" w:rsidR="00D35626" w:rsidRPr="00BA29B9" w:rsidRDefault="00D35626" w:rsidP="00D35626">
            <w:pPr>
              <w:ind w:firstLine="661"/>
              <w:jc w:val="both"/>
            </w:pPr>
            <w:r w:rsidRPr="00BA29B9">
              <w:rPr>
                <w:i/>
                <w:iCs/>
              </w:rPr>
              <w:t>T</w:t>
            </w:r>
            <w:r w:rsidRPr="00BA29B9">
              <w:rPr>
                <w:i/>
                <w:iCs/>
                <w:vertAlign w:val="subscript"/>
              </w:rPr>
              <w:t>m</w:t>
            </w:r>
            <w:r w:rsidRPr="00BA29B9">
              <w:rPr>
                <w:i/>
                <w:iCs/>
              </w:rPr>
              <w:t xml:space="preserve"> </w:t>
            </w:r>
            <w:r w:rsidRPr="00BA29B9">
              <w:t>– sadales sistēmas pakalpojuma tarifu mainīgā daļa (pēc patēriņa grupas);</w:t>
            </w:r>
          </w:p>
          <w:p w14:paraId="454F0504" w14:textId="77777777" w:rsidR="00D35626" w:rsidRPr="00BA29B9" w:rsidRDefault="00D35626" w:rsidP="00D35626">
            <w:pPr>
              <w:jc w:val="both"/>
              <w:rPr>
                <w:i/>
                <w:iCs/>
              </w:rPr>
            </w:pPr>
          </w:p>
          <w:p w14:paraId="038053A8" w14:textId="77777777" w:rsidR="00D35626" w:rsidRPr="00BA29B9" w:rsidRDefault="00D35626" w:rsidP="00D35626">
            <w:pPr>
              <w:ind w:firstLine="661"/>
              <w:jc w:val="both"/>
            </w:pPr>
            <w:r w:rsidRPr="00BA29B9">
              <w:rPr>
                <w:i/>
                <w:iCs/>
              </w:rPr>
              <w:t>C</w:t>
            </w:r>
            <w:r w:rsidRPr="00BA29B9">
              <w:rPr>
                <w:i/>
                <w:iCs/>
                <w:vertAlign w:val="subscript"/>
              </w:rPr>
              <w:t>DG</w:t>
            </w:r>
            <w:r w:rsidRPr="00BA29B9">
              <w:rPr>
                <w:i/>
                <w:iCs/>
              </w:rPr>
              <w:t xml:space="preserve"> </w:t>
            </w:r>
            <w:r w:rsidRPr="00BA29B9">
              <w:t>– dabasgāzes cena, pēdējās garantētās piegādes cenas apmērā pārkāpuma fakta konstatācijas mēnesī.</w:t>
            </w:r>
          </w:p>
          <w:p w14:paraId="6D160867" w14:textId="77777777" w:rsidR="00D35626" w:rsidRPr="00BA29B9" w:rsidRDefault="00D35626" w:rsidP="00D35626">
            <w:pPr>
              <w:jc w:val="both"/>
            </w:pPr>
          </w:p>
          <w:p w14:paraId="4C2EF55C" w14:textId="014D565A" w:rsidR="00D35626" w:rsidRPr="00BA29B9" w:rsidRDefault="00D35626" w:rsidP="00D35626">
            <w:pPr>
              <w:contextualSpacing/>
              <w:jc w:val="both"/>
              <w:rPr>
                <w:szCs w:val="28"/>
              </w:rPr>
            </w:pPr>
            <w:r w:rsidRPr="00BA29B9">
              <w:t xml:space="preserve">Ja pārkāpuma periodā lietotājs nav veicis samaksu par sadales sistēmas pakalpojuma tarifu fiksēto daļu vai veicis to daļēji, aprēķinam, kas iegūts saskaņā ar šajā punktā noteikto formulu pieskaita sadales sistēmas pakalpojuma tarifu fiksēto daļu (pēc atļautās slodzes) par periodu, kurā samaksa nav veikta. Pamatojoties uz veikto kompensācijas aprēķinu, sistēmas operators izraksta lietotājam rēķinu, kurā norāda arī samaksas termiņu. Lietotājam ir pienākums laikus un pilnā </w:t>
            </w:r>
            <w:r w:rsidRPr="00BA29B9">
              <w:lastRenderedPageBreak/>
              <w:t>apmērā norēķināties ar sadales sistēmas operatoru.</w:t>
            </w:r>
          </w:p>
        </w:tc>
      </w:tr>
      <w:tr w:rsidR="00D35626" w:rsidRPr="00F27FAC" w14:paraId="785BB42F" w14:textId="77777777" w:rsidTr="00D81B58">
        <w:tc>
          <w:tcPr>
            <w:tcW w:w="14317" w:type="dxa"/>
            <w:gridSpan w:val="9"/>
          </w:tcPr>
          <w:p w14:paraId="601C61AB" w14:textId="77777777" w:rsidR="00BC1949" w:rsidRDefault="00BC1949" w:rsidP="00D35626">
            <w:pPr>
              <w:spacing w:before="60"/>
              <w:jc w:val="center"/>
              <w:rPr>
                <w:b/>
                <w:iCs/>
              </w:rPr>
            </w:pPr>
          </w:p>
          <w:p w14:paraId="68B16424" w14:textId="3D722C5B" w:rsidR="00D35626" w:rsidRPr="00F27FAC" w:rsidRDefault="00D35626" w:rsidP="00D35626">
            <w:pPr>
              <w:spacing w:before="60"/>
              <w:jc w:val="center"/>
              <w:rPr>
                <w:color w:val="FF0000"/>
              </w:rPr>
            </w:pPr>
            <w:r>
              <w:rPr>
                <w:b/>
                <w:iCs/>
              </w:rPr>
              <w:t xml:space="preserve">III </w:t>
            </w:r>
            <w:r w:rsidRPr="00F27FAC">
              <w:rPr>
                <w:b/>
                <w:iCs/>
              </w:rPr>
              <w:t>IEBILDUMI ATTIECĪBĀ UZ NOTEIKUMU PROJEKTA ANOTĀCIJU</w:t>
            </w:r>
          </w:p>
        </w:tc>
      </w:tr>
      <w:tr w:rsidR="00D35626" w:rsidRPr="00F27FAC" w14:paraId="74C594C9" w14:textId="77777777" w:rsidTr="00D81B58">
        <w:tc>
          <w:tcPr>
            <w:tcW w:w="851" w:type="dxa"/>
          </w:tcPr>
          <w:p w14:paraId="711C599F" w14:textId="4FD13BD2" w:rsidR="00D35626" w:rsidRPr="00BA29B9" w:rsidRDefault="00BA29B9" w:rsidP="00BA29B9">
            <w:pPr>
              <w:spacing w:before="60"/>
              <w:rPr>
                <w:iCs/>
              </w:rPr>
            </w:pPr>
            <w:r w:rsidRPr="00BA29B9">
              <w:rPr>
                <w:iCs/>
              </w:rPr>
              <w:t>1.</w:t>
            </w:r>
          </w:p>
        </w:tc>
        <w:tc>
          <w:tcPr>
            <w:tcW w:w="3402" w:type="dxa"/>
            <w:gridSpan w:val="2"/>
          </w:tcPr>
          <w:p w14:paraId="67A70DFD" w14:textId="77777777" w:rsidR="00D35626" w:rsidRPr="00BA29B9" w:rsidRDefault="00D35626" w:rsidP="00BA29B9">
            <w:pPr>
              <w:spacing w:before="60"/>
              <w:jc w:val="both"/>
              <w:rPr>
                <w:bCs/>
                <w:iCs/>
              </w:rPr>
            </w:pPr>
          </w:p>
        </w:tc>
        <w:tc>
          <w:tcPr>
            <w:tcW w:w="3544" w:type="dxa"/>
          </w:tcPr>
          <w:p w14:paraId="454ED8BC" w14:textId="77777777" w:rsidR="00D35626" w:rsidRPr="00B8541B" w:rsidRDefault="00D35626" w:rsidP="00D35626">
            <w:pPr>
              <w:pStyle w:val="naisc"/>
              <w:spacing w:before="0" w:after="0"/>
              <w:ind w:right="3"/>
              <w:contextualSpacing/>
              <w:jc w:val="left"/>
              <w:rPr>
                <w:b/>
                <w:bCs/>
              </w:rPr>
            </w:pPr>
            <w:r w:rsidRPr="00B8541B">
              <w:rPr>
                <w:b/>
                <w:bCs/>
              </w:rPr>
              <w:t xml:space="preserve">Tieslietu ministrija (14.12.2018. Nr.1-9.1/1407) </w:t>
            </w:r>
          </w:p>
          <w:p w14:paraId="0ED08C0A" w14:textId="35859A27" w:rsidR="00D35626" w:rsidRPr="00BA29B9" w:rsidRDefault="00D35626" w:rsidP="00BA29B9">
            <w:pPr>
              <w:spacing w:before="60"/>
              <w:jc w:val="both"/>
              <w:rPr>
                <w:bCs/>
                <w:iCs/>
              </w:rPr>
            </w:pPr>
            <w:r w:rsidRPr="00BA29B9">
              <w:rPr>
                <w:bCs/>
                <w:iCs/>
              </w:rPr>
              <w:t xml:space="preserve">Anotācijas I sadaļas 2. punktā ir minēts, ka ar projekta 1.5. apakšpunktā paredzētajiem grozījumiem lietotājs varēs pieteikt zemāku slodzi par lietotājam noteikto atļauto maksimālo slodzi gazificētajā objektā, un līdz ar to būs mazākas izmaksas dabasgāzes lietotājam. Šādā veidā dabasgāzes lietotājs bez īpaša administratīvā sloga varēs ietaupīt finanšu līdzekļus. </w:t>
            </w:r>
            <w:r w:rsidRPr="00BA29B9">
              <w:rPr>
                <w:bCs/>
                <w:iCs/>
              </w:rPr>
              <w:lastRenderedPageBreak/>
              <w:t>Savukārt, ja tiks pārsniegta pieteiktā zemākā slodze par lietotājam noteikto atļauto maksimālo slodzi gazificētajā objektā, lietotājam būs pienākums samaksāt sadales sistēmas operatora aprēķinātu papildu maksu par pieteiktās zemākās slodzes par lietotājam noteikto atļauto maksimālo slodzi gazificētajā objektā pārsniegšanu. Vēršam uzmanību uz to, ka nav skaidrs, kā lietotājs varēs pieteikt zemāku slodzi par lietotājam noteikto atļauto maksimālo slodzi gazificētajā objektā un ievērot to bez īpaša administratīvā sloga, ja lietotājam nav attiecīgu specifisku zināšanu. Ievērojot minēto, lūdzam papildināt anotāciju ar izvērstu skaidrojumu par projekta 1.5. apakšpunktā paredzētajiem grozījumiem.</w:t>
            </w:r>
          </w:p>
        </w:tc>
        <w:tc>
          <w:tcPr>
            <w:tcW w:w="3118" w:type="dxa"/>
            <w:gridSpan w:val="3"/>
          </w:tcPr>
          <w:p w14:paraId="71990909" w14:textId="28DA8ADD" w:rsidR="00D35626" w:rsidRPr="00F27FAC" w:rsidRDefault="00D35626" w:rsidP="00BA29B9">
            <w:pPr>
              <w:spacing w:before="60"/>
              <w:rPr>
                <w:b/>
                <w:iCs/>
              </w:rPr>
            </w:pPr>
            <w:r>
              <w:rPr>
                <w:b/>
                <w:iCs/>
              </w:rPr>
              <w:lastRenderedPageBreak/>
              <w:t>Vienošanās panākta saskaņošanas procesā</w:t>
            </w:r>
          </w:p>
        </w:tc>
        <w:tc>
          <w:tcPr>
            <w:tcW w:w="3402" w:type="dxa"/>
            <w:gridSpan w:val="2"/>
          </w:tcPr>
          <w:p w14:paraId="7B8982D6" w14:textId="4CE6B0A5" w:rsidR="00D35626" w:rsidRDefault="00D35626" w:rsidP="00D35626">
            <w:pPr>
              <w:spacing w:before="60"/>
              <w:jc w:val="both"/>
              <w:rPr>
                <w:bCs/>
                <w:iCs/>
              </w:rPr>
            </w:pPr>
            <w:r>
              <w:rPr>
                <w:bCs/>
                <w:iCs/>
              </w:rPr>
              <w:t>Anotācija: (…)</w:t>
            </w:r>
          </w:p>
          <w:p w14:paraId="114400E6" w14:textId="5CA9DCD3" w:rsidR="00D35626" w:rsidRPr="00BA29B9" w:rsidRDefault="00D35626" w:rsidP="00BA29B9">
            <w:pPr>
              <w:spacing w:before="60"/>
              <w:jc w:val="both"/>
              <w:rPr>
                <w:bCs/>
                <w:iCs/>
              </w:rPr>
            </w:pPr>
            <w:r w:rsidRPr="00BA29B9">
              <w:rPr>
                <w:bCs/>
                <w:iCs/>
              </w:rPr>
              <w:t>Noteikumi papildināti ar 4.</w:t>
            </w:r>
            <w:r w:rsidRPr="00BA29B9">
              <w:rPr>
                <w:bCs/>
                <w:iCs/>
                <w:vertAlign w:val="superscript"/>
              </w:rPr>
              <w:t>1</w:t>
            </w:r>
            <w:r w:rsidRPr="00BA29B9">
              <w:rPr>
                <w:bCs/>
                <w:iCs/>
              </w:rPr>
              <w:t xml:space="preserve"> punktu, kas noteic to, kādam jābūt tehniski aprīkotam gazificētajam objektam, lai lietotājs varētu pieteikt sadales sistēmas operatoram slodzi, kas mazāka par atļauto maksimālo slodzi gazificētajā objektā (pieteiktā slodze). 4.</w:t>
            </w:r>
            <w:r w:rsidRPr="00BA29B9">
              <w:rPr>
                <w:bCs/>
                <w:iCs/>
                <w:vertAlign w:val="superscript"/>
              </w:rPr>
              <w:t>1</w:t>
            </w:r>
            <w:r w:rsidRPr="00BA29B9">
              <w:rPr>
                <w:bCs/>
                <w:iCs/>
              </w:rPr>
              <w:t>1. 4.</w:t>
            </w:r>
            <w:r w:rsidRPr="00BA29B9">
              <w:rPr>
                <w:bCs/>
                <w:iCs/>
                <w:vertAlign w:val="superscript"/>
              </w:rPr>
              <w:t>1</w:t>
            </w:r>
            <w:r w:rsidRPr="00BA29B9">
              <w:rPr>
                <w:bCs/>
                <w:iCs/>
              </w:rPr>
              <w:t>2. un  4.</w:t>
            </w:r>
            <w:r w:rsidRPr="00BA29B9">
              <w:rPr>
                <w:bCs/>
                <w:iCs/>
                <w:vertAlign w:val="superscript"/>
              </w:rPr>
              <w:t>1</w:t>
            </w:r>
            <w:r w:rsidRPr="00BA29B9">
              <w:rPr>
                <w:bCs/>
                <w:iCs/>
              </w:rPr>
              <w:t xml:space="preserve">3. apakšpunkts nosaka apstākļus jeb kritērijus, kad lietotājs var pieteikt zemāku slodzi. Šāds mehānisms ir </w:t>
            </w:r>
            <w:r w:rsidRPr="00BA29B9">
              <w:rPr>
                <w:bCs/>
                <w:iCs/>
              </w:rPr>
              <w:lastRenderedPageBreak/>
              <w:t>nepieciešams, lai nodrošinātu elastīgus un pēc iespējas ekonomiski izdevīgākus apstākļus dabasgāzes lietotājiem.</w:t>
            </w:r>
          </w:p>
          <w:p w14:paraId="79C70D5A" w14:textId="77777777" w:rsidR="00D35626" w:rsidRDefault="00D35626" w:rsidP="00D35626">
            <w:pPr>
              <w:spacing w:before="60"/>
              <w:jc w:val="both"/>
              <w:rPr>
                <w:bCs/>
                <w:iCs/>
              </w:rPr>
            </w:pPr>
            <w:r w:rsidRPr="00BA29B9">
              <w:rPr>
                <w:bCs/>
                <w:iCs/>
              </w:rPr>
              <w:t>Noteikumu 4.</w:t>
            </w:r>
            <w:r w:rsidRPr="00BA29B9">
              <w:rPr>
                <w:bCs/>
                <w:iCs/>
                <w:vertAlign w:val="superscript"/>
              </w:rPr>
              <w:t>1</w:t>
            </w:r>
            <w:r w:rsidRPr="00BA29B9">
              <w:rPr>
                <w:bCs/>
                <w:iCs/>
              </w:rPr>
              <w:t xml:space="preserve"> punktā noteiktās prasības saistītas ar to, kā kontrolēt, vai lietotājs faktiski izmanto pieteikto slodzi tikai objektam, kas ir aprīkots ar ikdienas uzskaites vietu, kur ierīkota telemetrijas sistēma komercuzskaites mēraparātu operatīvo datu automatizētai attālinātai nolasīšanai. Šāds regulējums dod lietotājam iespēju izmantot zemāku slodzi nekā pieslēguma atļautā maksimālā slodze, nemainot pieslēguma tehnisko risinājumu, attiecīgi samazinot arī lietotāja izmaksas par sadales sistēmas pakalpojumu. Lietotājam tiek saglabāta iespēja bez papildu izmaksām atjaunot dabasgāzes pieslēguma līgumā vai dabasgāzes tirdzniecības līgumā noteikto atļauto maksimālo slodzi. Lietotājam noderīgu informāciju par slodzes pieteikšanu sadales sistēmas operators publicē savā tīmekļvietnē, taču gadījumi un kārtība, kādā lietotājs var pieteikt samazinātu slodzi, ietverti 4.</w:t>
            </w:r>
            <w:r w:rsidRPr="007C6CEF">
              <w:rPr>
                <w:bCs/>
                <w:iCs/>
                <w:vertAlign w:val="superscript"/>
              </w:rPr>
              <w:t>1</w:t>
            </w:r>
            <w:r w:rsidRPr="007C6CEF">
              <w:rPr>
                <w:bCs/>
                <w:iCs/>
              </w:rPr>
              <w:t xml:space="preserve"> punkta apakšpunktos. Savukārt </w:t>
            </w:r>
            <w:r w:rsidRPr="007C6CEF">
              <w:rPr>
                <w:bCs/>
                <w:iCs/>
              </w:rPr>
              <w:lastRenderedPageBreak/>
              <w:t>4.</w:t>
            </w:r>
            <w:r w:rsidRPr="007C6CEF">
              <w:rPr>
                <w:bCs/>
                <w:iCs/>
                <w:vertAlign w:val="superscript"/>
              </w:rPr>
              <w:t>2</w:t>
            </w:r>
            <w:r w:rsidRPr="007C6CEF">
              <w:rPr>
                <w:bCs/>
                <w:iCs/>
              </w:rPr>
              <w:t xml:space="preserve"> punkts nosaka slodzes pieteikšanas maksimālo biežumu –vienu reizi gadā, un slodzes pieteikums ir spēkā uz laiku līdz lietotājs lūdz atjaunot maksimālo slodzi. Šāds nosacījums saistīts mērķi neradīt pārlieku lielu administratīvo slogu dabasgāzes sadales sistēmas operatoram.</w:t>
            </w:r>
          </w:p>
          <w:p w14:paraId="16FCA152" w14:textId="3BDBC951" w:rsidR="00BC1949" w:rsidRPr="00F27FAC" w:rsidRDefault="00BC1949" w:rsidP="00BA29B9">
            <w:pPr>
              <w:spacing w:before="60"/>
              <w:jc w:val="both"/>
              <w:rPr>
                <w:b/>
                <w:iCs/>
              </w:rPr>
            </w:pPr>
          </w:p>
        </w:tc>
      </w:tr>
      <w:tr w:rsidR="00D35626" w:rsidRPr="00F27FAC" w14:paraId="13D47696" w14:textId="77777777" w:rsidTr="003652DF">
        <w:tc>
          <w:tcPr>
            <w:tcW w:w="851" w:type="dxa"/>
          </w:tcPr>
          <w:p w14:paraId="284228A0" w14:textId="3675E8F0" w:rsidR="00D35626" w:rsidRPr="00BA29B9" w:rsidRDefault="00BA29B9" w:rsidP="00D35626">
            <w:pPr>
              <w:spacing w:before="60"/>
              <w:rPr>
                <w:iCs/>
              </w:rPr>
            </w:pPr>
            <w:r w:rsidRPr="00BA29B9">
              <w:rPr>
                <w:iCs/>
              </w:rPr>
              <w:lastRenderedPageBreak/>
              <w:t>2.</w:t>
            </w:r>
          </w:p>
        </w:tc>
        <w:tc>
          <w:tcPr>
            <w:tcW w:w="3402" w:type="dxa"/>
            <w:gridSpan w:val="2"/>
          </w:tcPr>
          <w:p w14:paraId="0708E89B" w14:textId="7BD0425E" w:rsidR="00D35626" w:rsidRDefault="00D35626" w:rsidP="00D35626">
            <w:pPr>
              <w:spacing w:before="60"/>
              <w:jc w:val="both"/>
            </w:pPr>
            <w:r>
              <w:t>2018.gada 29.novembra Valsts sekretāru sanāksmē izsludinātā Noteikumu Projekta redakcija (V</w:t>
            </w:r>
            <w:r w:rsidRPr="006B76F0">
              <w:t>SS-1210</w:t>
            </w:r>
            <w:r>
              <w:t xml:space="preserve">) </w:t>
            </w:r>
          </w:p>
          <w:p w14:paraId="09A9672F" w14:textId="2FBD2A34" w:rsidR="00D35626" w:rsidRPr="002A0811" w:rsidRDefault="00D35626" w:rsidP="00D35626">
            <w:pPr>
              <w:spacing w:before="60"/>
              <w:jc w:val="both"/>
              <w:rPr>
                <w:bCs/>
                <w:iCs/>
              </w:rPr>
            </w:pPr>
            <w:r w:rsidRPr="002A0811">
              <w:rPr>
                <w:bCs/>
                <w:iCs/>
              </w:rPr>
              <w:t>1.7. Papildināt noteikumu 179. punktu ar otro teikumu šādā redakcijā:</w:t>
            </w:r>
          </w:p>
          <w:p w14:paraId="42E83B75" w14:textId="77777777" w:rsidR="00D35626" w:rsidRPr="002A0811" w:rsidRDefault="00D35626" w:rsidP="00D35626">
            <w:pPr>
              <w:spacing w:before="60"/>
              <w:jc w:val="both"/>
              <w:rPr>
                <w:bCs/>
                <w:iCs/>
              </w:rPr>
            </w:pPr>
          </w:p>
          <w:p w14:paraId="0D1D5141" w14:textId="623DD8FC" w:rsidR="00D35626" w:rsidRPr="007C6CEF" w:rsidRDefault="00D35626" w:rsidP="00D35626">
            <w:pPr>
              <w:spacing w:before="60"/>
              <w:jc w:val="both"/>
              <w:rPr>
                <w:bCs/>
                <w:iCs/>
              </w:rPr>
            </w:pPr>
            <w:r w:rsidRPr="002A0811">
              <w:rPr>
                <w:bCs/>
                <w:iCs/>
              </w:rPr>
              <w:t>“Papildus no 2019. gada 1. janvāra saistītais lietotājs maksā publiskajam tirgotājam sadales sistēmas pakalpojuma tarifa fiksēto daļu par norēķinu periodu.”.</w:t>
            </w:r>
          </w:p>
        </w:tc>
        <w:tc>
          <w:tcPr>
            <w:tcW w:w="3544" w:type="dxa"/>
          </w:tcPr>
          <w:p w14:paraId="7CDD87CC" w14:textId="77777777" w:rsidR="00D35626" w:rsidRPr="00B8541B" w:rsidRDefault="00D35626" w:rsidP="00D35626">
            <w:pPr>
              <w:pStyle w:val="naisc"/>
              <w:spacing w:before="0" w:after="0"/>
              <w:ind w:right="3"/>
              <w:contextualSpacing/>
              <w:jc w:val="left"/>
              <w:rPr>
                <w:b/>
                <w:bCs/>
              </w:rPr>
            </w:pPr>
            <w:r w:rsidRPr="00B8541B">
              <w:rPr>
                <w:b/>
                <w:bCs/>
              </w:rPr>
              <w:t xml:space="preserve">Tieslietu ministrija (14.12.2018. Nr.1-9.1/1407) </w:t>
            </w:r>
          </w:p>
          <w:p w14:paraId="38C2D6E6" w14:textId="77DCF85F" w:rsidR="00D35626" w:rsidRPr="007C6CEF" w:rsidRDefault="00D35626" w:rsidP="00D35626">
            <w:pPr>
              <w:spacing w:before="60"/>
              <w:jc w:val="both"/>
              <w:rPr>
                <w:bCs/>
                <w:iCs/>
              </w:rPr>
            </w:pPr>
            <w:r w:rsidRPr="007C6CEF">
              <w:rPr>
                <w:bCs/>
                <w:iCs/>
              </w:rPr>
              <w:t>Lūdzam papildināt anotāciju ar izvērstu skaidrojumu par projekta 1.7. apakšpunktā ietverto regulējumu.</w:t>
            </w:r>
          </w:p>
        </w:tc>
        <w:tc>
          <w:tcPr>
            <w:tcW w:w="3118" w:type="dxa"/>
            <w:gridSpan w:val="3"/>
          </w:tcPr>
          <w:p w14:paraId="25BAF672" w14:textId="7047CFE5" w:rsidR="00D35626" w:rsidRPr="00F27FAC" w:rsidRDefault="00D35626" w:rsidP="00D35626">
            <w:pPr>
              <w:spacing w:before="60"/>
              <w:rPr>
                <w:b/>
                <w:iCs/>
              </w:rPr>
            </w:pPr>
            <w:r w:rsidRPr="002A0811">
              <w:rPr>
                <w:b/>
                <w:iCs/>
              </w:rPr>
              <w:t>Vienošanās panākta saskaņošanas procesā</w:t>
            </w:r>
            <w:r>
              <w:rPr>
                <w:b/>
                <w:iCs/>
              </w:rPr>
              <w:t>.</w:t>
            </w:r>
          </w:p>
        </w:tc>
        <w:tc>
          <w:tcPr>
            <w:tcW w:w="3402" w:type="dxa"/>
            <w:gridSpan w:val="2"/>
          </w:tcPr>
          <w:p w14:paraId="0B8ED742" w14:textId="77777777" w:rsidR="00D35626" w:rsidRDefault="00D35626" w:rsidP="00D35626">
            <w:pPr>
              <w:spacing w:before="60"/>
              <w:jc w:val="both"/>
              <w:rPr>
                <w:bCs/>
                <w:iCs/>
              </w:rPr>
            </w:pPr>
            <w:r>
              <w:rPr>
                <w:bCs/>
                <w:iCs/>
              </w:rPr>
              <w:t>Anotācija: (…)</w:t>
            </w:r>
          </w:p>
          <w:p w14:paraId="2532C03C" w14:textId="59EEFA52" w:rsidR="00D35626" w:rsidRDefault="00D35626" w:rsidP="00D35626">
            <w:pPr>
              <w:spacing w:before="60"/>
              <w:jc w:val="both"/>
              <w:rPr>
                <w:bCs/>
                <w:iCs/>
              </w:rPr>
            </w:pPr>
            <w:r w:rsidRPr="007C6CEF">
              <w:rPr>
                <w:bCs/>
                <w:iCs/>
              </w:rPr>
              <w:t xml:space="preserve">Enerģētikas likuma 107.panta otrā un trešā daļa cita starpā noteic, ka saistītais lietotājs ir mājsaimniecības lietotājs, kurš nav izmantojis iespēju kļūt par tirgus dalībnieku un šādam lietotājam dabasgāzes piegādi nodrošina publiskais tirgotājs Ministru kabineta noteiktajā kārtībā par </w:t>
            </w:r>
            <w:r>
              <w:rPr>
                <w:bCs/>
                <w:iCs/>
              </w:rPr>
              <w:t>Sabiedrisko pakalpojumu regulēšanas komisijas</w:t>
            </w:r>
            <w:r w:rsidRPr="007C6CEF">
              <w:rPr>
                <w:bCs/>
                <w:iCs/>
              </w:rPr>
              <w:t xml:space="preserve"> noteiktu dabasgāzes cenu. Tā kā līdz šim nepastāvēja sadales sistēmas pakalpojuma diferencētais tarifs ar fiksēto daļu un saskaņā ar Sabiedrisko pakalpojumu regulēšanas komisijas 2018. gada 25. septembra lēmum</w:t>
            </w:r>
            <w:r>
              <w:rPr>
                <w:bCs/>
                <w:iCs/>
              </w:rPr>
              <w:t>u</w:t>
            </w:r>
            <w:r w:rsidRPr="007C6CEF">
              <w:rPr>
                <w:bCs/>
                <w:iCs/>
              </w:rPr>
              <w:t xml:space="preserve"> Nr. 107 "Par akciju sabiedrības "Gaso" dabasgāzes sadales sistēmas pakalpojuma diferencētajiem tarifiem"</w:t>
            </w:r>
            <w:r>
              <w:rPr>
                <w:bCs/>
                <w:iCs/>
              </w:rPr>
              <w:t>, j</w:t>
            </w:r>
            <w:r w:rsidRPr="007C6CEF">
              <w:rPr>
                <w:bCs/>
                <w:iCs/>
              </w:rPr>
              <w:t xml:space="preserve">aunie tarifi stājās </w:t>
            </w:r>
            <w:r w:rsidRPr="007C6CEF">
              <w:rPr>
                <w:bCs/>
                <w:iCs/>
              </w:rPr>
              <w:lastRenderedPageBreak/>
              <w:t>spēkā 2019.gada 1.</w:t>
            </w:r>
            <w:bookmarkStart w:id="6" w:name="_GoBack"/>
            <w:bookmarkEnd w:id="6"/>
            <w:r w:rsidRPr="007C6CEF">
              <w:rPr>
                <w:bCs/>
                <w:iCs/>
              </w:rPr>
              <w:t xml:space="preserve">janvārī, </w:t>
            </w:r>
            <w:r>
              <w:rPr>
                <w:bCs/>
                <w:iCs/>
              </w:rPr>
              <w:t xml:space="preserve">līdz ar to </w:t>
            </w:r>
            <w:r w:rsidRPr="007C6CEF">
              <w:rPr>
                <w:bCs/>
                <w:iCs/>
              </w:rPr>
              <w:t xml:space="preserve">ir nepieciešams precizēt </w:t>
            </w:r>
            <w:r>
              <w:rPr>
                <w:bCs/>
                <w:iCs/>
              </w:rPr>
              <w:t xml:space="preserve">šo </w:t>
            </w:r>
            <w:r w:rsidRPr="007C6CEF">
              <w:rPr>
                <w:bCs/>
                <w:iCs/>
              </w:rPr>
              <w:t>Noteikumu 179. punktu, lai būtu iespējams piemērot sadales sistēmas pakalpojumu diferencētā tarifa fiksēto daļu arī saistītajiem lietotājiem atbilstoši jaunajiem tarifiem.</w:t>
            </w:r>
          </w:p>
          <w:p w14:paraId="108D326F" w14:textId="6458293C" w:rsidR="00BC1949" w:rsidRPr="007C6CEF" w:rsidRDefault="00BC1949" w:rsidP="00D35626">
            <w:pPr>
              <w:spacing w:before="60"/>
              <w:jc w:val="both"/>
              <w:rPr>
                <w:bCs/>
                <w:iCs/>
              </w:rPr>
            </w:pPr>
          </w:p>
        </w:tc>
      </w:tr>
      <w:tr w:rsidR="00D35626" w:rsidRPr="007C6CEF" w14:paraId="0B514EF8"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top w:val="nil"/>
              <w:left w:val="nil"/>
              <w:right w:val="nil"/>
            </w:tcBorders>
          </w:tcPr>
          <w:p w14:paraId="1DA71077" w14:textId="77777777" w:rsidR="00D35626" w:rsidRPr="007C6CEF" w:rsidRDefault="00D35626" w:rsidP="00D35626">
            <w:pPr>
              <w:tabs>
                <w:tab w:val="left" w:pos="1380"/>
              </w:tabs>
              <w:contextualSpacing/>
              <w:jc w:val="both"/>
              <w:rPr>
                <w:b/>
              </w:rPr>
            </w:pPr>
          </w:p>
          <w:p w14:paraId="70D08A2A" w14:textId="17E09454" w:rsidR="00D35626" w:rsidRPr="007C6CEF" w:rsidRDefault="00D35626" w:rsidP="00D35626">
            <w:pPr>
              <w:tabs>
                <w:tab w:val="left" w:pos="1380"/>
              </w:tabs>
              <w:contextualSpacing/>
              <w:jc w:val="both"/>
              <w:rPr>
                <w:b/>
              </w:rPr>
            </w:pPr>
          </w:p>
        </w:tc>
      </w:tr>
      <w:tr w:rsidR="00D35626" w:rsidRPr="00D56214" w14:paraId="2E370C61"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494F2E2D" w14:textId="77777777" w:rsidR="00D35626" w:rsidRPr="00D56214" w:rsidRDefault="00D35626" w:rsidP="00D35626">
            <w:pPr>
              <w:contextualSpacing/>
              <w:jc w:val="both"/>
              <w:rPr>
                <w:sz w:val="22"/>
                <w:szCs w:val="22"/>
              </w:rPr>
            </w:pPr>
          </w:p>
          <w:p w14:paraId="7DAB4305" w14:textId="77777777" w:rsidR="00D35626" w:rsidRPr="00D56214" w:rsidRDefault="00D35626" w:rsidP="00D35626">
            <w:pPr>
              <w:contextualSpacing/>
              <w:jc w:val="both"/>
              <w:rPr>
                <w:sz w:val="22"/>
                <w:szCs w:val="22"/>
              </w:rPr>
            </w:pPr>
            <w:r w:rsidRPr="00D56214">
              <w:rPr>
                <w:sz w:val="22"/>
                <w:szCs w:val="22"/>
              </w:rPr>
              <w:t xml:space="preserve">Ance Ansone </w:t>
            </w:r>
          </w:p>
        </w:tc>
      </w:tr>
      <w:tr w:rsidR="00D35626" w:rsidRPr="00D56214" w14:paraId="65C37432"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10E2BEEE" w14:textId="77777777" w:rsidR="00D35626" w:rsidRPr="00D56214" w:rsidRDefault="00D35626" w:rsidP="00D35626">
            <w:pPr>
              <w:contextualSpacing/>
              <w:jc w:val="both"/>
              <w:rPr>
                <w:sz w:val="22"/>
                <w:szCs w:val="22"/>
              </w:rPr>
            </w:pPr>
            <w:r w:rsidRPr="00D56214">
              <w:rPr>
                <w:sz w:val="22"/>
                <w:szCs w:val="22"/>
              </w:rPr>
              <w:t>(par projektu atbildīgās amatpersonas vārds un uzvārds)</w:t>
            </w:r>
          </w:p>
        </w:tc>
      </w:tr>
      <w:tr w:rsidR="00D35626" w:rsidRPr="00D56214" w14:paraId="6391AB49"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164D83CC" w14:textId="77777777" w:rsidR="00D35626" w:rsidRPr="00D56214" w:rsidRDefault="00D35626" w:rsidP="00D35626">
            <w:pPr>
              <w:contextualSpacing/>
              <w:jc w:val="both"/>
              <w:rPr>
                <w:sz w:val="22"/>
                <w:szCs w:val="22"/>
              </w:rPr>
            </w:pPr>
          </w:p>
          <w:p w14:paraId="36C5F696" w14:textId="77777777" w:rsidR="00D35626" w:rsidRPr="00D56214" w:rsidRDefault="00D35626" w:rsidP="00D35626">
            <w:pPr>
              <w:contextualSpacing/>
              <w:jc w:val="both"/>
              <w:rPr>
                <w:sz w:val="22"/>
                <w:szCs w:val="22"/>
              </w:rPr>
            </w:pPr>
            <w:r w:rsidRPr="00D56214">
              <w:rPr>
                <w:sz w:val="22"/>
                <w:szCs w:val="22"/>
              </w:rPr>
              <w:t>Enerģijas tirgus un infrastruktūras departamenta vecākā eksperte</w:t>
            </w:r>
          </w:p>
        </w:tc>
      </w:tr>
      <w:tr w:rsidR="00D35626" w:rsidRPr="00D56214" w14:paraId="4C7270E4"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666504B5" w14:textId="77777777" w:rsidR="00D35626" w:rsidRPr="00D56214" w:rsidRDefault="00D35626" w:rsidP="00D35626">
            <w:pPr>
              <w:contextualSpacing/>
              <w:jc w:val="both"/>
              <w:rPr>
                <w:sz w:val="22"/>
                <w:szCs w:val="22"/>
              </w:rPr>
            </w:pPr>
            <w:r w:rsidRPr="00D56214">
              <w:rPr>
                <w:sz w:val="22"/>
                <w:szCs w:val="22"/>
              </w:rPr>
              <w:t>(amats)</w:t>
            </w:r>
          </w:p>
        </w:tc>
      </w:tr>
      <w:tr w:rsidR="00D35626" w:rsidRPr="00D56214" w14:paraId="3F6DE87E"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5D61AC33" w14:textId="77777777" w:rsidR="00D35626" w:rsidRPr="00D56214" w:rsidRDefault="00D35626" w:rsidP="00D35626">
            <w:pPr>
              <w:contextualSpacing/>
              <w:jc w:val="both"/>
              <w:rPr>
                <w:sz w:val="22"/>
                <w:szCs w:val="22"/>
              </w:rPr>
            </w:pPr>
          </w:p>
          <w:p w14:paraId="07180469" w14:textId="77777777" w:rsidR="00D35626" w:rsidRPr="00D56214" w:rsidRDefault="00D35626" w:rsidP="00D35626">
            <w:pPr>
              <w:contextualSpacing/>
              <w:jc w:val="both"/>
              <w:rPr>
                <w:sz w:val="22"/>
                <w:szCs w:val="22"/>
              </w:rPr>
            </w:pPr>
            <w:r w:rsidRPr="00D56214">
              <w:rPr>
                <w:sz w:val="22"/>
                <w:szCs w:val="22"/>
              </w:rPr>
              <w:t>67013001</w:t>
            </w:r>
          </w:p>
        </w:tc>
      </w:tr>
      <w:tr w:rsidR="00D35626" w:rsidRPr="00D56214" w14:paraId="32AA8A9C"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767CF406" w14:textId="77777777" w:rsidR="00D35626" w:rsidRPr="00D56214" w:rsidRDefault="00D35626" w:rsidP="00D35626">
            <w:pPr>
              <w:contextualSpacing/>
              <w:jc w:val="both"/>
              <w:rPr>
                <w:sz w:val="22"/>
                <w:szCs w:val="22"/>
              </w:rPr>
            </w:pPr>
            <w:r w:rsidRPr="00D56214">
              <w:rPr>
                <w:sz w:val="22"/>
                <w:szCs w:val="22"/>
              </w:rPr>
              <w:t>(tālruņa un faksa numurs)</w:t>
            </w:r>
          </w:p>
        </w:tc>
      </w:tr>
      <w:tr w:rsidR="00D35626" w:rsidRPr="00D56214" w14:paraId="1CD643E8"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53944309" w14:textId="77777777" w:rsidR="00D35626" w:rsidRPr="00D56214" w:rsidRDefault="00D35626" w:rsidP="00D35626">
            <w:pPr>
              <w:contextualSpacing/>
              <w:jc w:val="both"/>
              <w:rPr>
                <w:sz w:val="22"/>
                <w:szCs w:val="22"/>
              </w:rPr>
            </w:pPr>
          </w:p>
          <w:p w14:paraId="79DC8B3B" w14:textId="77777777" w:rsidR="00D35626" w:rsidRPr="00D56214" w:rsidRDefault="00D35626" w:rsidP="00D35626">
            <w:pPr>
              <w:contextualSpacing/>
              <w:jc w:val="both"/>
              <w:rPr>
                <w:sz w:val="22"/>
                <w:szCs w:val="22"/>
              </w:rPr>
            </w:pPr>
            <w:r w:rsidRPr="00D56214">
              <w:rPr>
                <w:sz w:val="22"/>
                <w:szCs w:val="22"/>
              </w:rPr>
              <w:t>Ance.Ansone@em.gov.lv</w:t>
            </w:r>
          </w:p>
        </w:tc>
      </w:tr>
      <w:tr w:rsidR="00D35626" w:rsidRPr="00D56214" w14:paraId="59F1610F"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right w:val="nil"/>
            </w:tcBorders>
          </w:tcPr>
          <w:p w14:paraId="62F7DD4B" w14:textId="77777777" w:rsidR="00D35626" w:rsidRPr="00D56214" w:rsidRDefault="00D35626" w:rsidP="00D35626">
            <w:pPr>
              <w:contextualSpacing/>
              <w:jc w:val="both"/>
              <w:rPr>
                <w:sz w:val="22"/>
                <w:szCs w:val="22"/>
              </w:rPr>
            </w:pPr>
            <w:r w:rsidRPr="00D56214">
              <w:rPr>
                <w:sz w:val="22"/>
                <w:szCs w:val="22"/>
              </w:rPr>
              <w:t>(e-pasta adrese)</w:t>
            </w:r>
          </w:p>
        </w:tc>
      </w:tr>
      <w:tr w:rsidR="00D35626" w:rsidRPr="00F27FAC" w14:paraId="60469CB9" w14:textId="77777777" w:rsidTr="007C6CEF">
        <w:tblPrEx>
          <w:tblLook w:val="00A0" w:firstRow="1" w:lastRow="0" w:firstColumn="1" w:lastColumn="0" w:noHBand="0" w:noVBand="0"/>
        </w:tblPrEx>
        <w:trPr>
          <w:gridBefore w:val="2"/>
          <w:gridAfter w:val="4"/>
          <w:wBefore w:w="860" w:type="dxa"/>
          <w:wAfter w:w="5670" w:type="dxa"/>
          <w:trHeight w:val="20"/>
        </w:trPr>
        <w:tc>
          <w:tcPr>
            <w:tcW w:w="7787" w:type="dxa"/>
            <w:gridSpan w:val="3"/>
            <w:tcBorders>
              <w:left w:val="nil"/>
              <w:bottom w:val="nil"/>
              <w:right w:val="nil"/>
            </w:tcBorders>
          </w:tcPr>
          <w:p w14:paraId="1C255BFC" w14:textId="77777777" w:rsidR="00D35626" w:rsidRPr="00F27FAC" w:rsidRDefault="00D35626" w:rsidP="00D35626">
            <w:pPr>
              <w:contextualSpacing/>
              <w:jc w:val="both"/>
            </w:pPr>
          </w:p>
        </w:tc>
      </w:tr>
    </w:tbl>
    <w:p w14:paraId="0FF75EAB" w14:textId="77777777" w:rsidR="00AF75EB" w:rsidRPr="00F27FAC" w:rsidRDefault="00AF75EB" w:rsidP="00AF75EB">
      <w:pPr>
        <w:contextualSpacing/>
      </w:pPr>
    </w:p>
    <w:sectPr w:rsidR="00AF75EB" w:rsidRPr="00F27FAC" w:rsidSect="00795C2F">
      <w:headerReference w:type="even" r:id="rId8"/>
      <w:headerReference w:type="default" r:id="rId9"/>
      <w:footerReference w:type="default" r:id="rId10"/>
      <w:footerReference w:type="first" r:id="rId11"/>
      <w:pgSz w:w="16838" w:h="11906" w:orient="landscape" w:code="9"/>
      <w:pgMar w:top="709" w:right="1134" w:bottom="1134" w:left="1701"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0ACE" w14:textId="77777777" w:rsidR="006346E3" w:rsidRDefault="006346E3" w:rsidP="0039783A">
      <w:r>
        <w:separator/>
      </w:r>
    </w:p>
  </w:endnote>
  <w:endnote w:type="continuationSeparator" w:id="0">
    <w:p w14:paraId="19F14B38" w14:textId="77777777" w:rsidR="006346E3" w:rsidRDefault="006346E3"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E97F" w14:textId="73CC6E85" w:rsidR="008B7EE9" w:rsidRPr="0050060B" w:rsidRDefault="00445D76" w:rsidP="005E6970">
    <w:pPr>
      <w:jc w:val="both"/>
      <w:rPr>
        <w:sz w:val="20"/>
        <w:szCs w:val="20"/>
      </w:rPr>
    </w:pPr>
    <w:r w:rsidRPr="005E6970">
      <w:rPr>
        <w:sz w:val="20"/>
        <w:szCs w:val="20"/>
      </w:rPr>
      <w:t>EMNot_</w:t>
    </w:r>
    <w:r w:rsidR="00F20FE4">
      <w:rPr>
        <w:sz w:val="20"/>
        <w:szCs w:val="20"/>
      </w:rPr>
      <w:t>041219</w:t>
    </w:r>
    <w:r w:rsidRPr="005E6970">
      <w:rPr>
        <w:sz w:val="20"/>
        <w:szCs w:val="20"/>
      </w:rPr>
      <w:t>_GrozMK78</w:t>
    </w:r>
    <w:r w:rsidR="008B7EE9">
      <w:rPr>
        <w:sz w:val="20"/>
        <w:szCs w:val="20"/>
      </w:rPr>
      <w:t>.docx</w:t>
    </w:r>
    <w:r w:rsidR="008B7EE9" w:rsidRPr="00604073">
      <w:rPr>
        <w:sz w:val="20"/>
        <w:szCs w:val="20"/>
      </w:rPr>
      <w:t xml:space="preserve">; Izziņa par atzinumos sniegtajiem iebildumiem Ministru kabineta noteikumu projektam </w:t>
    </w:r>
    <w:r w:rsidR="008B7EE9">
      <w:rPr>
        <w:sz w:val="20"/>
        <w:szCs w:val="20"/>
      </w:rPr>
      <w:t>“Grozījumi Ministru kabineta 2017.gada 7.februāra noteikumos Nr.78 “Dabasgāzes tirdzniecības un lietošanas noteikumi”” (VSS-1210)</w:t>
    </w:r>
    <w:r w:rsidR="008B7EE9" w:rsidRPr="00C56C3C">
      <w:rPr>
        <w:sz w:val="20"/>
        <w:szCs w:val="20"/>
      </w:rPr>
      <w:t xml:space="preserve"> </w:t>
    </w:r>
  </w:p>
  <w:p w14:paraId="10EE8388" w14:textId="77777777" w:rsidR="008B7EE9" w:rsidRPr="00CF5AC7" w:rsidRDefault="008B7EE9" w:rsidP="0019580F">
    <w:pPr>
      <w:pStyle w:val="Footer"/>
      <w:ind w:left="-851"/>
    </w:pPr>
  </w:p>
  <w:p w14:paraId="2938BC71" w14:textId="77777777" w:rsidR="008B7EE9" w:rsidRPr="00CF5AC7" w:rsidRDefault="008B7EE9" w:rsidP="008758C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C527" w14:textId="188AB1CA" w:rsidR="008B7EE9" w:rsidRPr="0050060B" w:rsidRDefault="008B7EE9" w:rsidP="00697B88">
    <w:pPr>
      <w:jc w:val="both"/>
      <w:rPr>
        <w:noProof/>
        <w:sz w:val="20"/>
        <w:szCs w:val="20"/>
      </w:rPr>
    </w:pPr>
    <w:r w:rsidRPr="005E6970">
      <w:rPr>
        <w:sz w:val="20"/>
        <w:szCs w:val="20"/>
      </w:rPr>
      <w:t>EMNot_</w:t>
    </w:r>
    <w:r w:rsidR="00BE3D2D">
      <w:rPr>
        <w:sz w:val="20"/>
        <w:szCs w:val="20"/>
      </w:rPr>
      <w:t>041219</w:t>
    </w:r>
    <w:r w:rsidRPr="005E6970">
      <w:rPr>
        <w:sz w:val="20"/>
        <w:szCs w:val="20"/>
      </w:rPr>
      <w:t>_GrozMK78</w:t>
    </w:r>
    <w:r>
      <w:rPr>
        <w:sz w:val="20"/>
        <w:szCs w:val="20"/>
      </w:rPr>
      <w:t>.docx</w:t>
    </w:r>
    <w:r w:rsidRPr="00604073">
      <w:rPr>
        <w:sz w:val="20"/>
        <w:szCs w:val="20"/>
      </w:rPr>
      <w:t xml:space="preserve">; Izziņa par atzinumos sniegtajiem iebildumiem Ministru kabineta noteikumu projektam </w:t>
    </w:r>
    <w:r>
      <w:rPr>
        <w:sz w:val="20"/>
        <w:szCs w:val="20"/>
      </w:rPr>
      <w:t>“Grozījumi Ministru kabineta 2017.gada 7.februāra noteikumos Nr.78 “Dabasgāzes tirdzniecības un lietošanas noteikumi””</w:t>
    </w:r>
    <w:r w:rsidRPr="00C56C3C">
      <w:rPr>
        <w:sz w:val="20"/>
        <w:szCs w:val="20"/>
      </w:rPr>
      <w:t xml:space="preserve"> </w:t>
    </w:r>
    <w:r>
      <w:rPr>
        <w:sz w:val="20"/>
        <w:szCs w:val="20"/>
      </w:rPr>
      <w:t>(VSS-1210)</w:t>
    </w:r>
  </w:p>
  <w:p w14:paraId="06B863D5" w14:textId="77777777" w:rsidR="008B7EE9" w:rsidRDefault="008B7EE9">
    <w:pPr>
      <w:pStyle w:val="Footer"/>
    </w:pPr>
  </w:p>
  <w:p w14:paraId="6ADA8837" w14:textId="77777777" w:rsidR="008B7EE9" w:rsidRPr="00BE0F73" w:rsidRDefault="008B7EE9" w:rsidP="00B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54A9" w14:textId="77777777" w:rsidR="006346E3" w:rsidRDefault="006346E3" w:rsidP="0039783A">
      <w:r>
        <w:separator/>
      </w:r>
    </w:p>
  </w:footnote>
  <w:footnote w:type="continuationSeparator" w:id="0">
    <w:p w14:paraId="6C494B15" w14:textId="77777777" w:rsidR="006346E3" w:rsidRDefault="006346E3" w:rsidP="003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EA1" w14:textId="77777777" w:rsidR="008B7EE9" w:rsidRDefault="008B7EE9"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F8588" w14:textId="77777777" w:rsidR="008B7EE9" w:rsidRDefault="008B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D1F5" w14:textId="77777777" w:rsidR="008B7EE9" w:rsidRDefault="008B7EE9"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77967F" w14:textId="77777777" w:rsidR="008B7EE9" w:rsidRDefault="008B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64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F18"/>
    <w:multiLevelType w:val="hybridMultilevel"/>
    <w:tmpl w:val="DAEABF48"/>
    <w:lvl w:ilvl="0" w:tplc="2D5817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902E8"/>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A00D64"/>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FA71A1"/>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0219C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6661D7"/>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73525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09D02E0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0A2C77D7"/>
    <w:multiLevelType w:val="hybridMultilevel"/>
    <w:tmpl w:val="08F03A18"/>
    <w:lvl w:ilvl="0" w:tplc="F32688A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0DE83EF3"/>
    <w:multiLevelType w:val="hybridMultilevel"/>
    <w:tmpl w:val="9B601B3C"/>
    <w:lvl w:ilvl="0" w:tplc="0018F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CF477A"/>
    <w:multiLevelType w:val="hybridMultilevel"/>
    <w:tmpl w:val="D3A28A36"/>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116E65A0"/>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11E70D75"/>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19BF615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1A084C96"/>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100920"/>
    <w:multiLevelType w:val="singleLevel"/>
    <w:tmpl w:val="7222F8F4"/>
    <w:lvl w:ilvl="0">
      <w:start w:val="1"/>
      <w:numFmt w:val="decimal"/>
      <w:lvlText w:val="5.%1."/>
      <w:legacy w:legacy="1" w:legacySpace="0" w:legacyIndent="413"/>
      <w:lvlJc w:val="left"/>
      <w:rPr>
        <w:rFonts w:ascii="Times New Roman" w:hAnsi="Times New Roman" w:cs="Times New Roman" w:hint="default"/>
      </w:rPr>
    </w:lvl>
  </w:abstractNum>
  <w:abstractNum w:abstractNumId="18" w15:restartNumberingAfterBreak="0">
    <w:nsid w:val="2359360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2B2F9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955C6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163365"/>
    <w:multiLevelType w:val="multilevel"/>
    <w:tmpl w:val="2AE263DA"/>
    <w:lvl w:ilvl="0">
      <w:start w:val="1"/>
      <w:numFmt w:val="decimal"/>
      <w:lvlText w:val="%1."/>
      <w:lvlJc w:val="left"/>
      <w:pPr>
        <w:ind w:left="644" w:hanging="360"/>
      </w:pPr>
      <w:rPr>
        <w:rFonts w:eastAsia="Calibri" w:hint="default"/>
        <w:b w:val="0"/>
        <w:i w:val="0"/>
        <w:color w:val="auto"/>
      </w:rPr>
    </w:lvl>
    <w:lvl w:ilvl="1">
      <w:start w:val="1"/>
      <w:numFmt w:val="decimal"/>
      <w:isLgl/>
      <w:lvlText w:val="%1.%2."/>
      <w:lvlJc w:val="left"/>
      <w:pPr>
        <w:ind w:left="644" w:hanging="360"/>
      </w:pPr>
      <w:rPr>
        <w:rFonts w:eastAsia="Calibri" w:hint="default"/>
      </w:rPr>
    </w:lvl>
    <w:lvl w:ilvl="2">
      <w:start w:val="1"/>
      <w:numFmt w:val="decimal"/>
      <w:isLgl/>
      <w:lvlText w:val="%1.%2.%3."/>
      <w:lvlJc w:val="left"/>
      <w:pPr>
        <w:ind w:left="1724" w:hanging="720"/>
      </w:pPr>
      <w:rPr>
        <w:rFonts w:eastAsia="Calibri" w:hint="default"/>
      </w:rPr>
    </w:lvl>
    <w:lvl w:ilvl="3">
      <w:start w:val="1"/>
      <w:numFmt w:val="decimal"/>
      <w:isLgl/>
      <w:lvlText w:val="%1.%2.%3.%4."/>
      <w:lvlJc w:val="left"/>
      <w:pPr>
        <w:ind w:left="2084" w:hanging="720"/>
      </w:pPr>
      <w:rPr>
        <w:rFonts w:eastAsia="Calibri" w:hint="default"/>
      </w:rPr>
    </w:lvl>
    <w:lvl w:ilvl="4">
      <w:start w:val="1"/>
      <w:numFmt w:val="decimal"/>
      <w:isLgl/>
      <w:lvlText w:val="%1.%2.%3.%4.%5."/>
      <w:lvlJc w:val="left"/>
      <w:pPr>
        <w:ind w:left="2804" w:hanging="1080"/>
      </w:pPr>
      <w:rPr>
        <w:rFonts w:eastAsia="Calibri" w:hint="default"/>
      </w:rPr>
    </w:lvl>
    <w:lvl w:ilvl="5">
      <w:start w:val="1"/>
      <w:numFmt w:val="decimal"/>
      <w:isLgl/>
      <w:lvlText w:val="%1.%2.%3.%4.%5.%6."/>
      <w:lvlJc w:val="left"/>
      <w:pPr>
        <w:ind w:left="3164" w:hanging="1080"/>
      </w:pPr>
      <w:rPr>
        <w:rFonts w:eastAsia="Calibri" w:hint="default"/>
      </w:rPr>
    </w:lvl>
    <w:lvl w:ilvl="6">
      <w:start w:val="1"/>
      <w:numFmt w:val="decimal"/>
      <w:isLgl/>
      <w:lvlText w:val="%1.%2.%3.%4.%5.%6.%7."/>
      <w:lvlJc w:val="left"/>
      <w:pPr>
        <w:ind w:left="3884" w:hanging="1440"/>
      </w:pPr>
      <w:rPr>
        <w:rFonts w:eastAsia="Calibri" w:hint="default"/>
      </w:rPr>
    </w:lvl>
    <w:lvl w:ilvl="7">
      <w:start w:val="1"/>
      <w:numFmt w:val="decimal"/>
      <w:isLgl/>
      <w:lvlText w:val="%1.%2.%3.%4.%5.%6.%7.%8."/>
      <w:lvlJc w:val="left"/>
      <w:pPr>
        <w:ind w:left="4244" w:hanging="1440"/>
      </w:pPr>
      <w:rPr>
        <w:rFonts w:eastAsia="Calibri" w:hint="default"/>
      </w:rPr>
    </w:lvl>
    <w:lvl w:ilvl="8">
      <w:start w:val="1"/>
      <w:numFmt w:val="decimal"/>
      <w:isLgl/>
      <w:lvlText w:val="%1.%2.%3.%4.%5.%6.%7.%8.%9."/>
      <w:lvlJc w:val="left"/>
      <w:pPr>
        <w:ind w:left="4964" w:hanging="1800"/>
      </w:pPr>
      <w:rPr>
        <w:rFonts w:eastAsia="Calibri" w:hint="default"/>
      </w:rPr>
    </w:lvl>
  </w:abstractNum>
  <w:abstractNum w:abstractNumId="22" w15:restartNumberingAfterBreak="0">
    <w:nsid w:val="29280B89"/>
    <w:multiLevelType w:val="hybridMultilevel"/>
    <w:tmpl w:val="67A8119E"/>
    <w:lvl w:ilvl="0" w:tplc="0EF6314E">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32A22FB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490AE2"/>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36341EA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6F52132"/>
    <w:multiLevelType w:val="hybridMultilevel"/>
    <w:tmpl w:val="FA728A7E"/>
    <w:lvl w:ilvl="0" w:tplc="6BF6157E">
      <w:start w:val="7"/>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7" w15:restartNumberingAfterBreak="0">
    <w:nsid w:val="38F66BA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3C7E5D4B"/>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41B339A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43CD4C6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4F474EB"/>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3306F2"/>
    <w:multiLevelType w:val="hybridMultilevel"/>
    <w:tmpl w:val="6362FB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8077445"/>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B056D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4D085FD5"/>
    <w:multiLevelType w:val="hybridMultilevel"/>
    <w:tmpl w:val="F0B01690"/>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4EC5111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506D3D5E"/>
    <w:multiLevelType w:val="hybridMultilevel"/>
    <w:tmpl w:val="5F8A960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511F5FD2"/>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527C2D97"/>
    <w:multiLevelType w:val="hybridMultilevel"/>
    <w:tmpl w:val="977C0DE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A813C9"/>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D21C38"/>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6370131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3FA3C7B"/>
    <w:multiLevelType w:val="hybridMultilevel"/>
    <w:tmpl w:val="F5A8AE74"/>
    <w:lvl w:ilvl="0" w:tplc="3E2C8D0E">
      <w:start w:val="7"/>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9076D8C"/>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025EFC"/>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8" w15:restartNumberingAfterBreak="0">
    <w:nsid w:val="7D8A69D2"/>
    <w:multiLevelType w:val="hybridMultilevel"/>
    <w:tmpl w:val="1A7EA97E"/>
    <w:lvl w:ilvl="0" w:tplc="0426000F">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FA298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EF3105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9"/>
  </w:num>
  <w:num w:numId="3">
    <w:abstractNumId w:val="18"/>
  </w:num>
  <w:num w:numId="4">
    <w:abstractNumId w:val="6"/>
  </w:num>
  <w:num w:numId="5">
    <w:abstractNumId w:val="30"/>
  </w:num>
  <w:num w:numId="6">
    <w:abstractNumId w:val="19"/>
  </w:num>
  <w:num w:numId="7">
    <w:abstractNumId w:val="50"/>
  </w:num>
  <w:num w:numId="8">
    <w:abstractNumId w:val="46"/>
  </w:num>
  <w:num w:numId="9">
    <w:abstractNumId w:val="16"/>
  </w:num>
  <w:num w:numId="10">
    <w:abstractNumId w:val="7"/>
  </w:num>
  <w:num w:numId="11">
    <w:abstractNumId w:val="33"/>
  </w:num>
  <w:num w:numId="12">
    <w:abstractNumId w:val="20"/>
  </w:num>
  <w:num w:numId="13">
    <w:abstractNumId w:val="2"/>
  </w:num>
  <w:num w:numId="14">
    <w:abstractNumId w:val="3"/>
  </w:num>
  <w:num w:numId="15">
    <w:abstractNumId w:val="31"/>
  </w:num>
  <w:num w:numId="16">
    <w:abstractNumId w:val="42"/>
  </w:num>
  <w:num w:numId="17">
    <w:abstractNumId w:val="44"/>
  </w:num>
  <w:num w:numId="18">
    <w:abstractNumId w:val="1"/>
  </w:num>
  <w:num w:numId="19">
    <w:abstractNumId w:val="17"/>
  </w:num>
  <w:num w:numId="20">
    <w:abstractNumId w:val="38"/>
  </w:num>
  <w:num w:numId="21">
    <w:abstractNumId w:val="25"/>
  </w:num>
  <w:num w:numId="22">
    <w:abstractNumId w:val="23"/>
  </w:num>
  <w:num w:numId="23">
    <w:abstractNumId w:val="34"/>
  </w:num>
  <w:num w:numId="24">
    <w:abstractNumId w:val="35"/>
  </w:num>
  <w:num w:numId="25">
    <w:abstractNumId w:val="15"/>
  </w:num>
  <w:num w:numId="26">
    <w:abstractNumId w:val="27"/>
  </w:num>
  <w:num w:numId="27">
    <w:abstractNumId w:val="24"/>
  </w:num>
  <w:num w:numId="28">
    <w:abstractNumId w:val="39"/>
  </w:num>
  <w:num w:numId="29">
    <w:abstractNumId w:val="36"/>
  </w:num>
  <w:num w:numId="30">
    <w:abstractNumId w:val="26"/>
  </w:num>
  <w:num w:numId="31">
    <w:abstractNumId w:val="4"/>
  </w:num>
  <w:num w:numId="32">
    <w:abstractNumId w:val="29"/>
  </w:num>
  <w:num w:numId="33">
    <w:abstractNumId w:val="12"/>
  </w:num>
  <w:num w:numId="34">
    <w:abstractNumId w:val="8"/>
  </w:num>
  <w:num w:numId="35">
    <w:abstractNumId w:val="13"/>
  </w:num>
  <w:num w:numId="36">
    <w:abstractNumId w:val="47"/>
  </w:num>
  <w:num w:numId="37">
    <w:abstractNumId w:val="14"/>
  </w:num>
  <w:num w:numId="38">
    <w:abstractNumId w:val="43"/>
  </w:num>
  <w:num w:numId="39">
    <w:abstractNumId w:val="45"/>
  </w:num>
  <w:num w:numId="40">
    <w:abstractNumId w:val="28"/>
  </w:num>
  <w:num w:numId="41">
    <w:abstractNumId w:val="10"/>
  </w:num>
  <w:num w:numId="42">
    <w:abstractNumId w:val="9"/>
  </w:num>
  <w:num w:numId="43">
    <w:abstractNumId w:val="11"/>
  </w:num>
  <w:num w:numId="44">
    <w:abstractNumId w:val="22"/>
  </w:num>
  <w:num w:numId="45">
    <w:abstractNumId w:val="32"/>
  </w:num>
  <w:num w:numId="46">
    <w:abstractNumId w:val="37"/>
  </w:num>
  <w:num w:numId="47">
    <w:abstractNumId w:val="40"/>
  </w:num>
  <w:num w:numId="48">
    <w:abstractNumId w:val="48"/>
  </w:num>
  <w:num w:numId="49">
    <w:abstractNumId w:val="0"/>
  </w:num>
  <w:num w:numId="50">
    <w:abstractNumId w:val="41"/>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E"/>
    <w:rsid w:val="000004DA"/>
    <w:rsid w:val="00000E33"/>
    <w:rsid w:val="00001224"/>
    <w:rsid w:val="00001949"/>
    <w:rsid w:val="000029F9"/>
    <w:rsid w:val="00005186"/>
    <w:rsid w:val="000053E0"/>
    <w:rsid w:val="000059D9"/>
    <w:rsid w:val="00005B89"/>
    <w:rsid w:val="0000623B"/>
    <w:rsid w:val="000063A2"/>
    <w:rsid w:val="00006D47"/>
    <w:rsid w:val="000072C1"/>
    <w:rsid w:val="0000742C"/>
    <w:rsid w:val="00011FBD"/>
    <w:rsid w:val="00012578"/>
    <w:rsid w:val="00012EB6"/>
    <w:rsid w:val="0001345D"/>
    <w:rsid w:val="00015BEA"/>
    <w:rsid w:val="000168B4"/>
    <w:rsid w:val="00020B39"/>
    <w:rsid w:val="0002149E"/>
    <w:rsid w:val="00021CF9"/>
    <w:rsid w:val="00023209"/>
    <w:rsid w:val="00023724"/>
    <w:rsid w:val="00023CB6"/>
    <w:rsid w:val="00024702"/>
    <w:rsid w:val="00024D94"/>
    <w:rsid w:val="00024E4D"/>
    <w:rsid w:val="0002503B"/>
    <w:rsid w:val="00025A23"/>
    <w:rsid w:val="0002648F"/>
    <w:rsid w:val="000268DD"/>
    <w:rsid w:val="00027B14"/>
    <w:rsid w:val="00030B29"/>
    <w:rsid w:val="000320CD"/>
    <w:rsid w:val="000334F0"/>
    <w:rsid w:val="00033782"/>
    <w:rsid w:val="00033CFF"/>
    <w:rsid w:val="000345F6"/>
    <w:rsid w:val="00035066"/>
    <w:rsid w:val="00035383"/>
    <w:rsid w:val="000365BD"/>
    <w:rsid w:val="00036D51"/>
    <w:rsid w:val="00037714"/>
    <w:rsid w:val="00037967"/>
    <w:rsid w:val="00037D65"/>
    <w:rsid w:val="000401DD"/>
    <w:rsid w:val="0004138B"/>
    <w:rsid w:val="00041E48"/>
    <w:rsid w:val="00042187"/>
    <w:rsid w:val="000422DE"/>
    <w:rsid w:val="00042606"/>
    <w:rsid w:val="00042A83"/>
    <w:rsid w:val="000440B2"/>
    <w:rsid w:val="00045204"/>
    <w:rsid w:val="00050426"/>
    <w:rsid w:val="000517A8"/>
    <w:rsid w:val="000518F7"/>
    <w:rsid w:val="00051BE4"/>
    <w:rsid w:val="00051DD2"/>
    <w:rsid w:val="00052A9F"/>
    <w:rsid w:val="00054F96"/>
    <w:rsid w:val="00055108"/>
    <w:rsid w:val="00056407"/>
    <w:rsid w:val="0005655F"/>
    <w:rsid w:val="00056A19"/>
    <w:rsid w:val="00057719"/>
    <w:rsid w:val="00057FDE"/>
    <w:rsid w:val="000608E0"/>
    <w:rsid w:val="00061493"/>
    <w:rsid w:val="000615BE"/>
    <w:rsid w:val="000618C1"/>
    <w:rsid w:val="0006191F"/>
    <w:rsid w:val="00063520"/>
    <w:rsid w:val="00063CAA"/>
    <w:rsid w:val="00064123"/>
    <w:rsid w:val="00065EEF"/>
    <w:rsid w:val="000670B2"/>
    <w:rsid w:val="00067619"/>
    <w:rsid w:val="000678E4"/>
    <w:rsid w:val="00067C90"/>
    <w:rsid w:val="00070566"/>
    <w:rsid w:val="000716AF"/>
    <w:rsid w:val="00071B42"/>
    <w:rsid w:val="00072801"/>
    <w:rsid w:val="00072AFA"/>
    <w:rsid w:val="0007353F"/>
    <w:rsid w:val="00073735"/>
    <w:rsid w:val="00073A39"/>
    <w:rsid w:val="000750B6"/>
    <w:rsid w:val="00075211"/>
    <w:rsid w:val="0007604E"/>
    <w:rsid w:val="00077A63"/>
    <w:rsid w:val="00080275"/>
    <w:rsid w:val="00081937"/>
    <w:rsid w:val="00081FD3"/>
    <w:rsid w:val="0008272D"/>
    <w:rsid w:val="0008281C"/>
    <w:rsid w:val="00082BE7"/>
    <w:rsid w:val="00082D7F"/>
    <w:rsid w:val="00082F1D"/>
    <w:rsid w:val="00083C6D"/>
    <w:rsid w:val="00084394"/>
    <w:rsid w:val="00084DF7"/>
    <w:rsid w:val="00085808"/>
    <w:rsid w:val="00085F6D"/>
    <w:rsid w:val="00085FBB"/>
    <w:rsid w:val="000910E0"/>
    <w:rsid w:val="00091868"/>
    <w:rsid w:val="000925CD"/>
    <w:rsid w:val="00092B2C"/>
    <w:rsid w:val="000937B1"/>
    <w:rsid w:val="00094355"/>
    <w:rsid w:val="00095392"/>
    <w:rsid w:val="000954C2"/>
    <w:rsid w:val="0009551B"/>
    <w:rsid w:val="00096B73"/>
    <w:rsid w:val="0009754B"/>
    <w:rsid w:val="000A06E5"/>
    <w:rsid w:val="000A0A5B"/>
    <w:rsid w:val="000A1794"/>
    <w:rsid w:val="000A2491"/>
    <w:rsid w:val="000A2698"/>
    <w:rsid w:val="000A369B"/>
    <w:rsid w:val="000A3811"/>
    <w:rsid w:val="000A3D88"/>
    <w:rsid w:val="000A419D"/>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4BE4"/>
    <w:rsid w:val="000C536F"/>
    <w:rsid w:val="000C58D3"/>
    <w:rsid w:val="000C6C9E"/>
    <w:rsid w:val="000D04D1"/>
    <w:rsid w:val="000D14A3"/>
    <w:rsid w:val="000D18EC"/>
    <w:rsid w:val="000D2FE6"/>
    <w:rsid w:val="000D3228"/>
    <w:rsid w:val="000D3F9F"/>
    <w:rsid w:val="000D41CE"/>
    <w:rsid w:val="000D45CB"/>
    <w:rsid w:val="000D45E7"/>
    <w:rsid w:val="000D4A38"/>
    <w:rsid w:val="000D4C16"/>
    <w:rsid w:val="000D5CF1"/>
    <w:rsid w:val="000D6218"/>
    <w:rsid w:val="000D7CC9"/>
    <w:rsid w:val="000E10D6"/>
    <w:rsid w:val="000E2813"/>
    <w:rsid w:val="000E38D3"/>
    <w:rsid w:val="000E6050"/>
    <w:rsid w:val="000E64DE"/>
    <w:rsid w:val="000E6B42"/>
    <w:rsid w:val="000E7625"/>
    <w:rsid w:val="000E7886"/>
    <w:rsid w:val="000E7FE9"/>
    <w:rsid w:val="000F0EC1"/>
    <w:rsid w:val="000F1176"/>
    <w:rsid w:val="000F1D31"/>
    <w:rsid w:val="000F1F35"/>
    <w:rsid w:val="000F2862"/>
    <w:rsid w:val="000F4081"/>
    <w:rsid w:val="000F4F70"/>
    <w:rsid w:val="000F5977"/>
    <w:rsid w:val="000F62E3"/>
    <w:rsid w:val="000F6898"/>
    <w:rsid w:val="000F77CA"/>
    <w:rsid w:val="000F7FDC"/>
    <w:rsid w:val="00100C51"/>
    <w:rsid w:val="001014D5"/>
    <w:rsid w:val="001028E2"/>
    <w:rsid w:val="00103876"/>
    <w:rsid w:val="001043DD"/>
    <w:rsid w:val="00104F22"/>
    <w:rsid w:val="0010538B"/>
    <w:rsid w:val="001059B6"/>
    <w:rsid w:val="00105E98"/>
    <w:rsid w:val="00106BEA"/>
    <w:rsid w:val="00107AA5"/>
    <w:rsid w:val="00110AA1"/>
    <w:rsid w:val="00110D49"/>
    <w:rsid w:val="00111131"/>
    <w:rsid w:val="0011218A"/>
    <w:rsid w:val="001124F2"/>
    <w:rsid w:val="00113C87"/>
    <w:rsid w:val="00114A64"/>
    <w:rsid w:val="001153CD"/>
    <w:rsid w:val="001154D0"/>
    <w:rsid w:val="0011694B"/>
    <w:rsid w:val="00117C52"/>
    <w:rsid w:val="0012142C"/>
    <w:rsid w:val="0012198E"/>
    <w:rsid w:val="00121CA4"/>
    <w:rsid w:val="0012264D"/>
    <w:rsid w:val="001226D1"/>
    <w:rsid w:val="00122C05"/>
    <w:rsid w:val="0012312C"/>
    <w:rsid w:val="0012410B"/>
    <w:rsid w:val="00125328"/>
    <w:rsid w:val="00126BEB"/>
    <w:rsid w:val="00126FE3"/>
    <w:rsid w:val="00130718"/>
    <w:rsid w:val="0013241B"/>
    <w:rsid w:val="0013325D"/>
    <w:rsid w:val="00135F15"/>
    <w:rsid w:val="001361DA"/>
    <w:rsid w:val="00136370"/>
    <w:rsid w:val="00136F80"/>
    <w:rsid w:val="00137A11"/>
    <w:rsid w:val="00137A47"/>
    <w:rsid w:val="00137C0B"/>
    <w:rsid w:val="00140A1C"/>
    <w:rsid w:val="00140D42"/>
    <w:rsid w:val="001423F7"/>
    <w:rsid w:val="0014243E"/>
    <w:rsid w:val="00142DF2"/>
    <w:rsid w:val="001434D4"/>
    <w:rsid w:val="00143675"/>
    <w:rsid w:val="00144104"/>
    <w:rsid w:val="00145A33"/>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6E"/>
    <w:rsid w:val="00157C76"/>
    <w:rsid w:val="0016025D"/>
    <w:rsid w:val="00160A12"/>
    <w:rsid w:val="00160F3C"/>
    <w:rsid w:val="0016169C"/>
    <w:rsid w:val="001616CB"/>
    <w:rsid w:val="00161818"/>
    <w:rsid w:val="00161EB1"/>
    <w:rsid w:val="001636BF"/>
    <w:rsid w:val="00163E88"/>
    <w:rsid w:val="00164CFF"/>
    <w:rsid w:val="00165143"/>
    <w:rsid w:val="001656E6"/>
    <w:rsid w:val="001704E1"/>
    <w:rsid w:val="001706DB"/>
    <w:rsid w:val="001707B0"/>
    <w:rsid w:val="00170E11"/>
    <w:rsid w:val="00172431"/>
    <w:rsid w:val="001728D5"/>
    <w:rsid w:val="00172DBB"/>
    <w:rsid w:val="00176322"/>
    <w:rsid w:val="001767A5"/>
    <w:rsid w:val="00176D94"/>
    <w:rsid w:val="001809C5"/>
    <w:rsid w:val="00181214"/>
    <w:rsid w:val="00181A3F"/>
    <w:rsid w:val="001827B5"/>
    <w:rsid w:val="001847F9"/>
    <w:rsid w:val="0019094B"/>
    <w:rsid w:val="001909B2"/>
    <w:rsid w:val="00191A9A"/>
    <w:rsid w:val="0019274A"/>
    <w:rsid w:val="0019377E"/>
    <w:rsid w:val="00193846"/>
    <w:rsid w:val="00193AEE"/>
    <w:rsid w:val="00194C61"/>
    <w:rsid w:val="00194F39"/>
    <w:rsid w:val="00194FD3"/>
    <w:rsid w:val="0019580F"/>
    <w:rsid w:val="0019669A"/>
    <w:rsid w:val="00196A06"/>
    <w:rsid w:val="001A06B5"/>
    <w:rsid w:val="001A1EE1"/>
    <w:rsid w:val="001A2F41"/>
    <w:rsid w:val="001A2FE1"/>
    <w:rsid w:val="001A417D"/>
    <w:rsid w:val="001A4374"/>
    <w:rsid w:val="001A4A93"/>
    <w:rsid w:val="001A508B"/>
    <w:rsid w:val="001A630D"/>
    <w:rsid w:val="001A6538"/>
    <w:rsid w:val="001A6ABF"/>
    <w:rsid w:val="001A7F33"/>
    <w:rsid w:val="001B1B29"/>
    <w:rsid w:val="001B1E87"/>
    <w:rsid w:val="001B27F0"/>
    <w:rsid w:val="001B292F"/>
    <w:rsid w:val="001B3C27"/>
    <w:rsid w:val="001B4051"/>
    <w:rsid w:val="001B41AF"/>
    <w:rsid w:val="001B4A73"/>
    <w:rsid w:val="001B5026"/>
    <w:rsid w:val="001B585D"/>
    <w:rsid w:val="001C1845"/>
    <w:rsid w:val="001C1D69"/>
    <w:rsid w:val="001C1E4B"/>
    <w:rsid w:val="001C38E2"/>
    <w:rsid w:val="001C3F0D"/>
    <w:rsid w:val="001C3FA3"/>
    <w:rsid w:val="001C45A3"/>
    <w:rsid w:val="001C61D4"/>
    <w:rsid w:val="001C662F"/>
    <w:rsid w:val="001C6724"/>
    <w:rsid w:val="001C69DB"/>
    <w:rsid w:val="001C7119"/>
    <w:rsid w:val="001C73B8"/>
    <w:rsid w:val="001C79FC"/>
    <w:rsid w:val="001D039C"/>
    <w:rsid w:val="001D04BA"/>
    <w:rsid w:val="001D2BF2"/>
    <w:rsid w:val="001D3AD8"/>
    <w:rsid w:val="001D4F10"/>
    <w:rsid w:val="001D7938"/>
    <w:rsid w:val="001E012D"/>
    <w:rsid w:val="001E0478"/>
    <w:rsid w:val="001E0CAA"/>
    <w:rsid w:val="001E16C3"/>
    <w:rsid w:val="001E1EC5"/>
    <w:rsid w:val="001E2194"/>
    <w:rsid w:val="001E2DB0"/>
    <w:rsid w:val="001E3679"/>
    <w:rsid w:val="001E3D52"/>
    <w:rsid w:val="001E3F31"/>
    <w:rsid w:val="001E4741"/>
    <w:rsid w:val="001E571A"/>
    <w:rsid w:val="001E5F57"/>
    <w:rsid w:val="001E6372"/>
    <w:rsid w:val="001E6769"/>
    <w:rsid w:val="001E67E0"/>
    <w:rsid w:val="001E7499"/>
    <w:rsid w:val="001E7951"/>
    <w:rsid w:val="001F02F0"/>
    <w:rsid w:val="001F0D9D"/>
    <w:rsid w:val="001F112C"/>
    <w:rsid w:val="001F13F2"/>
    <w:rsid w:val="001F179F"/>
    <w:rsid w:val="001F1DCB"/>
    <w:rsid w:val="001F2117"/>
    <w:rsid w:val="001F2C8A"/>
    <w:rsid w:val="001F37AB"/>
    <w:rsid w:val="001F4316"/>
    <w:rsid w:val="001F4C93"/>
    <w:rsid w:val="001F4FA6"/>
    <w:rsid w:val="001F5208"/>
    <w:rsid w:val="001F54CC"/>
    <w:rsid w:val="001F5AD7"/>
    <w:rsid w:val="001F5F97"/>
    <w:rsid w:val="0020144B"/>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317E4"/>
    <w:rsid w:val="002318B0"/>
    <w:rsid w:val="0023267B"/>
    <w:rsid w:val="002334B1"/>
    <w:rsid w:val="002336AF"/>
    <w:rsid w:val="00233F63"/>
    <w:rsid w:val="0023607D"/>
    <w:rsid w:val="002402D7"/>
    <w:rsid w:val="00240F83"/>
    <w:rsid w:val="002437F7"/>
    <w:rsid w:val="00245799"/>
    <w:rsid w:val="002458BD"/>
    <w:rsid w:val="00246421"/>
    <w:rsid w:val="00247A62"/>
    <w:rsid w:val="00247FE1"/>
    <w:rsid w:val="00250058"/>
    <w:rsid w:val="002500AA"/>
    <w:rsid w:val="00250120"/>
    <w:rsid w:val="002504B7"/>
    <w:rsid w:val="002513FD"/>
    <w:rsid w:val="00251683"/>
    <w:rsid w:val="002526B8"/>
    <w:rsid w:val="00254031"/>
    <w:rsid w:val="002548B1"/>
    <w:rsid w:val="00254A67"/>
    <w:rsid w:val="00254F19"/>
    <w:rsid w:val="00255093"/>
    <w:rsid w:val="00255C4C"/>
    <w:rsid w:val="00256B59"/>
    <w:rsid w:val="00257F6A"/>
    <w:rsid w:val="002606EF"/>
    <w:rsid w:val="002608DD"/>
    <w:rsid w:val="00261556"/>
    <w:rsid w:val="002617DD"/>
    <w:rsid w:val="00262C73"/>
    <w:rsid w:val="00263799"/>
    <w:rsid w:val="00263C28"/>
    <w:rsid w:val="00264513"/>
    <w:rsid w:val="0026509B"/>
    <w:rsid w:val="00267163"/>
    <w:rsid w:val="002679B2"/>
    <w:rsid w:val="00270C8E"/>
    <w:rsid w:val="00270FE6"/>
    <w:rsid w:val="00271220"/>
    <w:rsid w:val="002712AC"/>
    <w:rsid w:val="00271873"/>
    <w:rsid w:val="00271C9E"/>
    <w:rsid w:val="00272B30"/>
    <w:rsid w:val="002743BE"/>
    <w:rsid w:val="00274C33"/>
    <w:rsid w:val="00276485"/>
    <w:rsid w:val="00276DF0"/>
    <w:rsid w:val="00280130"/>
    <w:rsid w:val="00280262"/>
    <w:rsid w:val="00280A22"/>
    <w:rsid w:val="0028225E"/>
    <w:rsid w:val="002829FB"/>
    <w:rsid w:val="00283821"/>
    <w:rsid w:val="00284311"/>
    <w:rsid w:val="002861F0"/>
    <w:rsid w:val="00286282"/>
    <w:rsid w:val="00286F5A"/>
    <w:rsid w:val="0028739C"/>
    <w:rsid w:val="00287A7F"/>
    <w:rsid w:val="0029085B"/>
    <w:rsid w:val="00290B68"/>
    <w:rsid w:val="00290C56"/>
    <w:rsid w:val="002917B1"/>
    <w:rsid w:val="00291FB8"/>
    <w:rsid w:val="00292B88"/>
    <w:rsid w:val="002931BE"/>
    <w:rsid w:val="0029414C"/>
    <w:rsid w:val="00294623"/>
    <w:rsid w:val="002950DD"/>
    <w:rsid w:val="00295364"/>
    <w:rsid w:val="00295452"/>
    <w:rsid w:val="00295DCB"/>
    <w:rsid w:val="00296F7D"/>
    <w:rsid w:val="002A0811"/>
    <w:rsid w:val="002A1B9E"/>
    <w:rsid w:val="002A2742"/>
    <w:rsid w:val="002A2C9B"/>
    <w:rsid w:val="002A3E12"/>
    <w:rsid w:val="002A4DE5"/>
    <w:rsid w:val="002A5CE4"/>
    <w:rsid w:val="002A5D02"/>
    <w:rsid w:val="002A65F9"/>
    <w:rsid w:val="002A67C9"/>
    <w:rsid w:val="002A7FA6"/>
    <w:rsid w:val="002B043F"/>
    <w:rsid w:val="002B0BC9"/>
    <w:rsid w:val="002B0C92"/>
    <w:rsid w:val="002B16EA"/>
    <w:rsid w:val="002B2A33"/>
    <w:rsid w:val="002B3011"/>
    <w:rsid w:val="002B372F"/>
    <w:rsid w:val="002B3E0F"/>
    <w:rsid w:val="002B52F3"/>
    <w:rsid w:val="002B645D"/>
    <w:rsid w:val="002B666D"/>
    <w:rsid w:val="002B69CB"/>
    <w:rsid w:val="002B77AF"/>
    <w:rsid w:val="002C17AF"/>
    <w:rsid w:val="002C1803"/>
    <w:rsid w:val="002C1CE6"/>
    <w:rsid w:val="002C1EF5"/>
    <w:rsid w:val="002C38A5"/>
    <w:rsid w:val="002C3BC7"/>
    <w:rsid w:val="002C4691"/>
    <w:rsid w:val="002C4886"/>
    <w:rsid w:val="002C50B0"/>
    <w:rsid w:val="002C74F6"/>
    <w:rsid w:val="002C7AC2"/>
    <w:rsid w:val="002D01AA"/>
    <w:rsid w:val="002D1D67"/>
    <w:rsid w:val="002D42EB"/>
    <w:rsid w:val="002D5B51"/>
    <w:rsid w:val="002D721A"/>
    <w:rsid w:val="002E0064"/>
    <w:rsid w:val="002E2DEB"/>
    <w:rsid w:val="002E3155"/>
    <w:rsid w:val="002E3802"/>
    <w:rsid w:val="002E3E94"/>
    <w:rsid w:val="002E3EFF"/>
    <w:rsid w:val="002E4165"/>
    <w:rsid w:val="002E4DA3"/>
    <w:rsid w:val="002E60DC"/>
    <w:rsid w:val="002E64E1"/>
    <w:rsid w:val="002E69C8"/>
    <w:rsid w:val="002E6AF3"/>
    <w:rsid w:val="002E6C25"/>
    <w:rsid w:val="002E7309"/>
    <w:rsid w:val="002E7F7E"/>
    <w:rsid w:val="002F0338"/>
    <w:rsid w:val="002F0ED2"/>
    <w:rsid w:val="002F1605"/>
    <w:rsid w:val="002F292D"/>
    <w:rsid w:val="002F71A1"/>
    <w:rsid w:val="00301300"/>
    <w:rsid w:val="00302A89"/>
    <w:rsid w:val="00303094"/>
    <w:rsid w:val="0030371B"/>
    <w:rsid w:val="00305C67"/>
    <w:rsid w:val="0030691E"/>
    <w:rsid w:val="00306A12"/>
    <w:rsid w:val="003076DF"/>
    <w:rsid w:val="00310210"/>
    <w:rsid w:val="0031088F"/>
    <w:rsid w:val="003118F8"/>
    <w:rsid w:val="00311C56"/>
    <w:rsid w:val="0031209D"/>
    <w:rsid w:val="00312344"/>
    <w:rsid w:val="003129DA"/>
    <w:rsid w:val="00313B8B"/>
    <w:rsid w:val="00314F74"/>
    <w:rsid w:val="00315CD4"/>
    <w:rsid w:val="003212EE"/>
    <w:rsid w:val="00321371"/>
    <w:rsid w:val="0032223C"/>
    <w:rsid w:val="0032259F"/>
    <w:rsid w:val="003245DA"/>
    <w:rsid w:val="0032461C"/>
    <w:rsid w:val="00325965"/>
    <w:rsid w:val="00327185"/>
    <w:rsid w:val="003271E1"/>
    <w:rsid w:val="003272A5"/>
    <w:rsid w:val="0033182F"/>
    <w:rsid w:val="0033231F"/>
    <w:rsid w:val="00332CF8"/>
    <w:rsid w:val="00332DC7"/>
    <w:rsid w:val="0033396E"/>
    <w:rsid w:val="003342C5"/>
    <w:rsid w:val="003347EE"/>
    <w:rsid w:val="00334AF3"/>
    <w:rsid w:val="00334C4A"/>
    <w:rsid w:val="00335BC0"/>
    <w:rsid w:val="003362F1"/>
    <w:rsid w:val="003373C2"/>
    <w:rsid w:val="00340D78"/>
    <w:rsid w:val="003425CC"/>
    <w:rsid w:val="00342A2F"/>
    <w:rsid w:val="0034365B"/>
    <w:rsid w:val="00343B32"/>
    <w:rsid w:val="00344091"/>
    <w:rsid w:val="003453D4"/>
    <w:rsid w:val="0034598C"/>
    <w:rsid w:val="0034638E"/>
    <w:rsid w:val="003465FB"/>
    <w:rsid w:val="0034666B"/>
    <w:rsid w:val="00346E22"/>
    <w:rsid w:val="003478FF"/>
    <w:rsid w:val="003516DD"/>
    <w:rsid w:val="0035198E"/>
    <w:rsid w:val="003519EE"/>
    <w:rsid w:val="00351EBC"/>
    <w:rsid w:val="0035200A"/>
    <w:rsid w:val="00352676"/>
    <w:rsid w:val="00353ACD"/>
    <w:rsid w:val="00354BBB"/>
    <w:rsid w:val="0035610D"/>
    <w:rsid w:val="00356D1A"/>
    <w:rsid w:val="00356F79"/>
    <w:rsid w:val="00357CC0"/>
    <w:rsid w:val="00362A42"/>
    <w:rsid w:val="00363D09"/>
    <w:rsid w:val="00364427"/>
    <w:rsid w:val="0036494B"/>
    <w:rsid w:val="00365153"/>
    <w:rsid w:val="003652DF"/>
    <w:rsid w:val="003653DB"/>
    <w:rsid w:val="00366D06"/>
    <w:rsid w:val="00366EF2"/>
    <w:rsid w:val="00367214"/>
    <w:rsid w:val="00367E58"/>
    <w:rsid w:val="00370EB7"/>
    <w:rsid w:val="00370F0F"/>
    <w:rsid w:val="00371281"/>
    <w:rsid w:val="003714F6"/>
    <w:rsid w:val="003727B7"/>
    <w:rsid w:val="003728AC"/>
    <w:rsid w:val="00372B58"/>
    <w:rsid w:val="00373C97"/>
    <w:rsid w:val="00374DC7"/>
    <w:rsid w:val="00375110"/>
    <w:rsid w:val="00375A22"/>
    <w:rsid w:val="003761CB"/>
    <w:rsid w:val="00376725"/>
    <w:rsid w:val="00377854"/>
    <w:rsid w:val="003808EE"/>
    <w:rsid w:val="00381751"/>
    <w:rsid w:val="00382752"/>
    <w:rsid w:val="00382850"/>
    <w:rsid w:val="0038530F"/>
    <w:rsid w:val="00385A54"/>
    <w:rsid w:val="00385C94"/>
    <w:rsid w:val="00386116"/>
    <w:rsid w:val="00386428"/>
    <w:rsid w:val="00387722"/>
    <w:rsid w:val="00387BDF"/>
    <w:rsid w:val="0039091F"/>
    <w:rsid w:val="00390D52"/>
    <w:rsid w:val="00391A18"/>
    <w:rsid w:val="00392F1F"/>
    <w:rsid w:val="003931FF"/>
    <w:rsid w:val="00393C32"/>
    <w:rsid w:val="003948D0"/>
    <w:rsid w:val="00394ADA"/>
    <w:rsid w:val="00396688"/>
    <w:rsid w:val="00396B0F"/>
    <w:rsid w:val="003977D4"/>
    <w:rsid w:val="0039783A"/>
    <w:rsid w:val="003A0097"/>
    <w:rsid w:val="003A0131"/>
    <w:rsid w:val="003A0DD6"/>
    <w:rsid w:val="003A0F51"/>
    <w:rsid w:val="003A10FD"/>
    <w:rsid w:val="003A13B6"/>
    <w:rsid w:val="003A17FE"/>
    <w:rsid w:val="003A24C5"/>
    <w:rsid w:val="003A3945"/>
    <w:rsid w:val="003A4B92"/>
    <w:rsid w:val="003A4C53"/>
    <w:rsid w:val="003A50E6"/>
    <w:rsid w:val="003A5477"/>
    <w:rsid w:val="003A6244"/>
    <w:rsid w:val="003A674E"/>
    <w:rsid w:val="003A71A4"/>
    <w:rsid w:val="003B0D63"/>
    <w:rsid w:val="003B1616"/>
    <w:rsid w:val="003B1F8F"/>
    <w:rsid w:val="003B2A7C"/>
    <w:rsid w:val="003B309F"/>
    <w:rsid w:val="003B3BB3"/>
    <w:rsid w:val="003B45D4"/>
    <w:rsid w:val="003B4700"/>
    <w:rsid w:val="003B59B8"/>
    <w:rsid w:val="003B5A2B"/>
    <w:rsid w:val="003C229E"/>
    <w:rsid w:val="003C2491"/>
    <w:rsid w:val="003C3471"/>
    <w:rsid w:val="003C5541"/>
    <w:rsid w:val="003C5607"/>
    <w:rsid w:val="003C5E2E"/>
    <w:rsid w:val="003C626D"/>
    <w:rsid w:val="003C67C4"/>
    <w:rsid w:val="003C7077"/>
    <w:rsid w:val="003C71DB"/>
    <w:rsid w:val="003C7CBE"/>
    <w:rsid w:val="003D2A86"/>
    <w:rsid w:val="003D3B67"/>
    <w:rsid w:val="003D3FED"/>
    <w:rsid w:val="003D5788"/>
    <w:rsid w:val="003D5ECA"/>
    <w:rsid w:val="003D6111"/>
    <w:rsid w:val="003D67EA"/>
    <w:rsid w:val="003D681E"/>
    <w:rsid w:val="003D6C9B"/>
    <w:rsid w:val="003D70B9"/>
    <w:rsid w:val="003D7D65"/>
    <w:rsid w:val="003D7E45"/>
    <w:rsid w:val="003E0F34"/>
    <w:rsid w:val="003E19EC"/>
    <w:rsid w:val="003E2CFF"/>
    <w:rsid w:val="003E312C"/>
    <w:rsid w:val="003E3C3D"/>
    <w:rsid w:val="003E3EBF"/>
    <w:rsid w:val="003E3EC7"/>
    <w:rsid w:val="003E4E94"/>
    <w:rsid w:val="003E515F"/>
    <w:rsid w:val="003E7F68"/>
    <w:rsid w:val="003E7FFC"/>
    <w:rsid w:val="003F01C4"/>
    <w:rsid w:val="003F1953"/>
    <w:rsid w:val="003F226C"/>
    <w:rsid w:val="003F2E3A"/>
    <w:rsid w:val="003F4094"/>
    <w:rsid w:val="003F5C6F"/>
    <w:rsid w:val="003F7C05"/>
    <w:rsid w:val="0040032C"/>
    <w:rsid w:val="00400435"/>
    <w:rsid w:val="00400594"/>
    <w:rsid w:val="00402AD6"/>
    <w:rsid w:val="00403213"/>
    <w:rsid w:val="0040419A"/>
    <w:rsid w:val="004042FE"/>
    <w:rsid w:val="004043C8"/>
    <w:rsid w:val="00404BCA"/>
    <w:rsid w:val="00404E48"/>
    <w:rsid w:val="00405E96"/>
    <w:rsid w:val="00407256"/>
    <w:rsid w:val="004073D6"/>
    <w:rsid w:val="004075D7"/>
    <w:rsid w:val="004078AB"/>
    <w:rsid w:val="00407F82"/>
    <w:rsid w:val="004102F5"/>
    <w:rsid w:val="004103B7"/>
    <w:rsid w:val="00411ED8"/>
    <w:rsid w:val="00411EE7"/>
    <w:rsid w:val="00412949"/>
    <w:rsid w:val="00412DB3"/>
    <w:rsid w:val="004134EB"/>
    <w:rsid w:val="0041422D"/>
    <w:rsid w:val="00414239"/>
    <w:rsid w:val="00414396"/>
    <w:rsid w:val="0041494F"/>
    <w:rsid w:val="004169BD"/>
    <w:rsid w:val="00416C02"/>
    <w:rsid w:val="004172B3"/>
    <w:rsid w:val="00417A59"/>
    <w:rsid w:val="004204A5"/>
    <w:rsid w:val="00422AA3"/>
    <w:rsid w:val="00422F2E"/>
    <w:rsid w:val="00423E01"/>
    <w:rsid w:val="00424F5E"/>
    <w:rsid w:val="00426020"/>
    <w:rsid w:val="00426FBB"/>
    <w:rsid w:val="00427842"/>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1267"/>
    <w:rsid w:val="00445D76"/>
    <w:rsid w:val="004468BC"/>
    <w:rsid w:val="004504CF"/>
    <w:rsid w:val="0045061A"/>
    <w:rsid w:val="00450D12"/>
    <w:rsid w:val="0045154D"/>
    <w:rsid w:val="00451820"/>
    <w:rsid w:val="00451942"/>
    <w:rsid w:val="00451F1B"/>
    <w:rsid w:val="00452B05"/>
    <w:rsid w:val="00454132"/>
    <w:rsid w:val="00455F51"/>
    <w:rsid w:val="004560CA"/>
    <w:rsid w:val="00457573"/>
    <w:rsid w:val="00457C3D"/>
    <w:rsid w:val="00457C56"/>
    <w:rsid w:val="004607E1"/>
    <w:rsid w:val="00461225"/>
    <w:rsid w:val="00461BD1"/>
    <w:rsid w:val="00463418"/>
    <w:rsid w:val="004653F2"/>
    <w:rsid w:val="00466FC1"/>
    <w:rsid w:val="00472119"/>
    <w:rsid w:val="0047214D"/>
    <w:rsid w:val="00472315"/>
    <w:rsid w:val="00472B6F"/>
    <w:rsid w:val="00472CC0"/>
    <w:rsid w:val="00472DD4"/>
    <w:rsid w:val="00473E39"/>
    <w:rsid w:val="00474E7F"/>
    <w:rsid w:val="00475A36"/>
    <w:rsid w:val="00475D29"/>
    <w:rsid w:val="00477836"/>
    <w:rsid w:val="00480C62"/>
    <w:rsid w:val="00480DCD"/>
    <w:rsid w:val="004811E5"/>
    <w:rsid w:val="00482346"/>
    <w:rsid w:val="004851C6"/>
    <w:rsid w:val="004869E9"/>
    <w:rsid w:val="00486EB9"/>
    <w:rsid w:val="00490BF8"/>
    <w:rsid w:val="004910AC"/>
    <w:rsid w:val="0049162E"/>
    <w:rsid w:val="00492AE9"/>
    <w:rsid w:val="00492DA0"/>
    <w:rsid w:val="00493887"/>
    <w:rsid w:val="00493F58"/>
    <w:rsid w:val="0049400D"/>
    <w:rsid w:val="00494F88"/>
    <w:rsid w:val="00496A6D"/>
    <w:rsid w:val="0049735C"/>
    <w:rsid w:val="00497627"/>
    <w:rsid w:val="004A076A"/>
    <w:rsid w:val="004A0C4A"/>
    <w:rsid w:val="004A122D"/>
    <w:rsid w:val="004A131E"/>
    <w:rsid w:val="004A26A9"/>
    <w:rsid w:val="004A3866"/>
    <w:rsid w:val="004A4A64"/>
    <w:rsid w:val="004A4A97"/>
    <w:rsid w:val="004A4DE0"/>
    <w:rsid w:val="004A5208"/>
    <w:rsid w:val="004A5707"/>
    <w:rsid w:val="004A6CA0"/>
    <w:rsid w:val="004A6D8E"/>
    <w:rsid w:val="004B106A"/>
    <w:rsid w:val="004B1156"/>
    <w:rsid w:val="004B154B"/>
    <w:rsid w:val="004B294E"/>
    <w:rsid w:val="004B2D19"/>
    <w:rsid w:val="004B3645"/>
    <w:rsid w:val="004B4757"/>
    <w:rsid w:val="004B4A84"/>
    <w:rsid w:val="004B65F7"/>
    <w:rsid w:val="004B6DA6"/>
    <w:rsid w:val="004B7200"/>
    <w:rsid w:val="004C0287"/>
    <w:rsid w:val="004C0B76"/>
    <w:rsid w:val="004C0F8F"/>
    <w:rsid w:val="004C1011"/>
    <w:rsid w:val="004C46F8"/>
    <w:rsid w:val="004C530A"/>
    <w:rsid w:val="004C534F"/>
    <w:rsid w:val="004C54A6"/>
    <w:rsid w:val="004C57E2"/>
    <w:rsid w:val="004C65E0"/>
    <w:rsid w:val="004C76C2"/>
    <w:rsid w:val="004D078B"/>
    <w:rsid w:val="004D11D0"/>
    <w:rsid w:val="004D1DB4"/>
    <w:rsid w:val="004D2B7B"/>
    <w:rsid w:val="004D3AC3"/>
    <w:rsid w:val="004D452A"/>
    <w:rsid w:val="004D569A"/>
    <w:rsid w:val="004D6215"/>
    <w:rsid w:val="004D7017"/>
    <w:rsid w:val="004D7677"/>
    <w:rsid w:val="004D7CE8"/>
    <w:rsid w:val="004D7EF5"/>
    <w:rsid w:val="004E086A"/>
    <w:rsid w:val="004E0AD0"/>
    <w:rsid w:val="004E0C9B"/>
    <w:rsid w:val="004E1FE9"/>
    <w:rsid w:val="004E2010"/>
    <w:rsid w:val="004E323F"/>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7C2"/>
    <w:rsid w:val="004F69D0"/>
    <w:rsid w:val="004F6E5C"/>
    <w:rsid w:val="004F718E"/>
    <w:rsid w:val="004F752A"/>
    <w:rsid w:val="0050015B"/>
    <w:rsid w:val="0050060B"/>
    <w:rsid w:val="00500BA4"/>
    <w:rsid w:val="0050100B"/>
    <w:rsid w:val="005018B1"/>
    <w:rsid w:val="00502833"/>
    <w:rsid w:val="00503FFC"/>
    <w:rsid w:val="005048FD"/>
    <w:rsid w:val="00506C38"/>
    <w:rsid w:val="0050717A"/>
    <w:rsid w:val="00510EA8"/>
    <w:rsid w:val="0051142E"/>
    <w:rsid w:val="005130F8"/>
    <w:rsid w:val="005131C1"/>
    <w:rsid w:val="005137A1"/>
    <w:rsid w:val="00514168"/>
    <w:rsid w:val="005147AA"/>
    <w:rsid w:val="00514BD3"/>
    <w:rsid w:val="0051516B"/>
    <w:rsid w:val="00515C6A"/>
    <w:rsid w:val="00515D32"/>
    <w:rsid w:val="00517B27"/>
    <w:rsid w:val="00520FCC"/>
    <w:rsid w:val="00521747"/>
    <w:rsid w:val="005219C0"/>
    <w:rsid w:val="0052201E"/>
    <w:rsid w:val="0052275B"/>
    <w:rsid w:val="005235EE"/>
    <w:rsid w:val="00523854"/>
    <w:rsid w:val="005248AE"/>
    <w:rsid w:val="0052497C"/>
    <w:rsid w:val="00524A22"/>
    <w:rsid w:val="00524A6C"/>
    <w:rsid w:val="00525A4B"/>
    <w:rsid w:val="00526257"/>
    <w:rsid w:val="00531853"/>
    <w:rsid w:val="00531A27"/>
    <w:rsid w:val="00534327"/>
    <w:rsid w:val="00534344"/>
    <w:rsid w:val="00534776"/>
    <w:rsid w:val="00534BA8"/>
    <w:rsid w:val="005354A4"/>
    <w:rsid w:val="005365E7"/>
    <w:rsid w:val="00536DF6"/>
    <w:rsid w:val="005374EE"/>
    <w:rsid w:val="005412CA"/>
    <w:rsid w:val="00541FA5"/>
    <w:rsid w:val="0054309D"/>
    <w:rsid w:val="00545A89"/>
    <w:rsid w:val="005462B9"/>
    <w:rsid w:val="0054659E"/>
    <w:rsid w:val="0055017B"/>
    <w:rsid w:val="0055184F"/>
    <w:rsid w:val="00551BD7"/>
    <w:rsid w:val="005521BC"/>
    <w:rsid w:val="005527DE"/>
    <w:rsid w:val="00552862"/>
    <w:rsid w:val="00552C11"/>
    <w:rsid w:val="005533FF"/>
    <w:rsid w:val="00554CD9"/>
    <w:rsid w:val="0055575F"/>
    <w:rsid w:val="005557AD"/>
    <w:rsid w:val="0055607F"/>
    <w:rsid w:val="00556A8C"/>
    <w:rsid w:val="005573A4"/>
    <w:rsid w:val="005578AE"/>
    <w:rsid w:val="005579C3"/>
    <w:rsid w:val="0056078E"/>
    <w:rsid w:val="00560CA5"/>
    <w:rsid w:val="00561E5A"/>
    <w:rsid w:val="00565B82"/>
    <w:rsid w:val="00566DCB"/>
    <w:rsid w:val="00567538"/>
    <w:rsid w:val="00571035"/>
    <w:rsid w:val="00572188"/>
    <w:rsid w:val="0057442A"/>
    <w:rsid w:val="00575036"/>
    <w:rsid w:val="00575651"/>
    <w:rsid w:val="00575AC3"/>
    <w:rsid w:val="00576FE6"/>
    <w:rsid w:val="005776EC"/>
    <w:rsid w:val="0058060C"/>
    <w:rsid w:val="00581545"/>
    <w:rsid w:val="00581548"/>
    <w:rsid w:val="00582156"/>
    <w:rsid w:val="00583146"/>
    <w:rsid w:val="00583762"/>
    <w:rsid w:val="005837C3"/>
    <w:rsid w:val="00584495"/>
    <w:rsid w:val="00584684"/>
    <w:rsid w:val="005847C1"/>
    <w:rsid w:val="005850CA"/>
    <w:rsid w:val="00585154"/>
    <w:rsid w:val="00585938"/>
    <w:rsid w:val="00585F7C"/>
    <w:rsid w:val="005860FA"/>
    <w:rsid w:val="005902B5"/>
    <w:rsid w:val="00590883"/>
    <w:rsid w:val="00590C2D"/>
    <w:rsid w:val="00590C69"/>
    <w:rsid w:val="00592819"/>
    <w:rsid w:val="00593B11"/>
    <w:rsid w:val="00595BC7"/>
    <w:rsid w:val="00595F3D"/>
    <w:rsid w:val="00597352"/>
    <w:rsid w:val="0059794E"/>
    <w:rsid w:val="00597A11"/>
    <w:rsid w:val="005A0324"/>
    <w:rsid w:val="005A07FC"/>
    <w:rsid w:val="005A1EF5"/>
    <w:rsid w:val="005A231B"/>
    <w:rsid w:val="005A236E"/>
    <w:rsid w:val="005A37D0"/>
    <w:rsid w:val="005A5C2A"/>
    <w:rsid w:val="005A68B9"/>
    <w:rsid w:val="005A73FE"/>
    <w:rsid w:val="005A7E96"/>
    <w:rsid w:val="005A7FF3"/>
    <w:rsid w:val="005B00BA"/>
    <w:rsid w:val="005B07D7"/>
    <w:rsid w:val="005B305E"/>
    <w:rsid w:val="005B309F"/>
    <w:rsid w:val="005B3222"/>
    <w:rsid w:val="005B4574"/>
    <w:rsid w:val="005B78CE"/>
    <w:rsid w:val="005B7B46"/>
    <w:rsid w:val="005B7F4A"/>
    <w:rsid w:val="005C0043"/>
    <w:rsid w:val="005C0EFC"/>
    <w:rsid w:val="005C497E"/>
    <w:rsid w:val="005C55AF"/>
    <w:rsid w:val="005C61E1"/>
    <w:rsid w:val="005C6C47"/>
    <w:rsid w:val="005C711A"/>
    <w:rsid w:val="005D02DE"/>
    <w:rsid w:val="005D02E2"/>
    <w:rsid w:val="005D0E36"/>
    <w:rsid w:val="005D3999"/>
    <w:rsid w:val="005D4AAC"/>
    <w:rsid w:val="005D56DA"/>
    <w:rsid w:val="005D5F17"/>
    <w:rsid w:val="005D63EB"/>
    <w:rsid w:val="005D73C9"/>
    <w:rsid w:val="005E1D21"/>
    <w:rsid w:val="005E408E"/>
    <w:rsid w:val="005E519D"/>
    <w:rsid w:val="005E5C4C"/>
    <w:rsid w:val="005E5E13"/>
    <w:rsid w:val="005E6970"/>
    <w:rsid w:val="005F0417"/>
    <w:rsid w:val="005F063B"/>
    <w:rsid w:val="005F0B21"/>
    <w:rsid w:val="005F12F5"/>
    <w:rsid w:val="005F166F"/>
    <w:rsid w:val="005F269E"/>
    <w:rsid w:val="005F270D"/>
    <w:rsid w:val="005F2DA6"/>
    <w:rsid w:val="005F2E57"/>
    <w:rsid w:val="005F6CF6"/>
    <w:rsid w:val="005F7504"/>
    <w:rsid w:val="0060052B"/>
    <w:rsid w:val="00600DCF"/>
    <w:rsid w:val="00601BE3"/>
    <w:rsid w:val="0060275B"/>
    <w:rsid w:val="006034CA"/>
    <w:rsid w:val="00603628"/>
    <w:rsid w:val="006037EA"/>
    <w:rsid w:val="00603A9E"/>
    <w:rsid w:val="00604073"/>
    <w:rsid w:val="00604A14"/>
    <w:rsid w:val="00604F32"/>
    <w:rsid w:val="0060504D"/>
    <w:rsid w:val="00605053"/>
    <w:rsid w:val="00605172"/>
    <w:rsid w:val="00605F78"/>
    <w:rsid w:val="00606CDB"/>
    <w:rsid w:val="00607DB4"/>
    <w:rsid w:val="006104F7"/>
    <w:rsid w:val="006109B8"/>
    <w:rsid w:val="00611062"/>
    <w:rsid w:val="00611AB8"/>
    <w:rsid w:val="006122B5"/>
    <w:rsid w:val="00612745"/>
    <w:rsid w:val="00612959"/>
    <w:rsid w:val="00612F0C"/>
    <w:rsid w:val="006138B4"/>
    <w:rsid w:val="00613B32"/>
    <w:rsid w:val="006149C8"/>
    <w:rsid w:val="0061557F"/>
    <w:rsid w:val="00616292"/>
    <w:rsid w:val="00617177"/>
    <w:rsid w:val="00617250"/>
    <w:rsid w:val="006179BA"/>
    <w:rsid w:val="006201BA"/>
    <w:rsid w:val="006201D5"/>
    <w:rsid w:val="006207BA"/>
    <w:rsid w:val="00620FE3"/>
    <w:rsid w:val="00621FBE"/>
    <w:rsid w:val="00622858"/>
    <w:rsid w:val="00624594"/>
    <w:rsid w:val="006266CA"/>
    <w:rsid w:val="00626B93"/>
    <w:rsid w:val="00626BB9"/>
    <w:rsid w:val="006306F4"/>
    <w:rsid w:val="00630A2B"/>
    <w:rsid w:val="00632482"/>
    <w:rsid w:val="00632F24"/>
    <w:rsid w:val="00633C99"/>
    <w:rsid w:val="006346E3"/>
    <w:rsid w:val="00636AF0"/>
    <w:rsid w:val="006379EC"/>
    <w:rsid w:val="00640E9C"/>
    <w:rsid w:val="00641452"/>
    <w:rsid w:val="0064271C"/>
    <w:rsid w:val="00642C67"/>
    <w:rsid w:val="00643EAE"/>
    <w:rsid w:val="00644C82"/>
    <w:rsid w:val="006455D5"/>
    <w:rsid w:val="00645692"/>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56236"/>
    <w:rsid w:val="00660078"/>
    <w:rsid w:val="00660627"/>
    <w:rsid w:val="00661840"/>
    <w:rsid w:val="00661877"/>
    <w:rsid w:val="00661FA7"/>
    <w:rsid w:val="0066230C"/>
    <w:rsid w:val="006625F0"/>
    <w:rsid w:val="00662A62"/>
    <w:rsid w:val="00662AA6"/>
    <w:rsid w:val="00663B28"/>
    <w:rsid w:val="00663FAF"/>
    <w:rsid w:val="00664148"/>
    <w:rsid w:val="006648C8"/>
    <w:rsid w:val="00664A9D"/>
    <w:rsid w:val="0066719A"/>
    <w:rsid w:val="0066730F"/>
    <w:rsid w:val="00670ACE"/>
    <w:rsid w:val="00670B55"/>
    <w:rsid w:val="006725E2"/>
    <w:rsid w:val="006725F1"/>
    <w:rsid w:val="006729C4"/>
    <w:rsid w:val="00672B3C"/>
    <w:rsid w:val="00672FF6"/>
    <w:rsid w:val="006731AF"/>
    <w:rsid w:val="006755CE"/>
    <w:rsid w:val="00675CCE"/>
    <w:rsid w:val="0067605D"/>
    <w:rsid w:val="00676B54"/>
    <w:rsid w:val="00676C7A"/>
    <w:rsid w:val="0067774A"/>
    <w:rsid w:val="00677D51"/>
    <w:rsid w:val="00680719"/>
    <w:rsid w:val="006820BA"/>
    <w:rsid w:val="006843C3"/>
    <w:rsid w:val="00684D39"/>
    <w:rsid w:val="00685128"/>
    <w:rsid w:val="00685470"/>
    <w:rsid w:val="00685556"/>
    <w:rsid w:val="00685A82"/>
    <w:rsid w:val="006864D0"/>
    <w:rsid w:val="00687310"/>
    <w:rsid w:val="00687A0E"/>
    <w:rsid w:val="00687CC7"/>
    <w:rsid w:val="00690BCC"/>
    <w:rsid w:val="00690CC2"/>
    <w:rsid w:val="0069237D"/>
    <w:rsid w:val="0069240D"/>
    <w:rsid w:val="006927EB"/>
    <w:rsid w:val="006929DB"/>
    <w:rsid w:val="00693DD3"/>
    <w:rsid w:val="00696741"/>
    <w:rsid w:val="006977C9"/>
    <w:rsid w:val="0069793B"/>
    <w:rsid w:val="00697B88"/>
    <w:rsid w:val="006A047A"/>
    <w:rsid w:val="006A0547"/>
    <w:rsid w:val="006A3356"/>
    <w:rsid w:val="006A3738"/>
    <w:rsid w:val="006A389B"/>
    <w:rsid w:val="006A38BC"/>
    <w:rsid w:val="006A3FB6"/>
    <w:rsid w:val="006A4F29"/>
    <w:rsid w:val="006A513F"/>
    <w:rsid w:val="006A5524"/>
    <w:rsid w:val="006A55E7"/>
    <w:rsid w:val="006A6091"/>
    <w:rsid w:val="006A682E"/>
    <w:rsid w:val="006A6BDE"/>
    <w:rsid w:val="006A70BC"/>
    <w:rsid w:val="006A7960"/>
    <w:rsid w:val="006A7C9E"/>
    <w:rsid w:val="006A7CFD"/>
    <w:rsid w:val="006B010F"/>
    <w:rsid w:val="006B0234"/>
    <w:rsid w:val="006B072C"/>
    <w:rsid w:val="006B0E19"/>
    <w:rsid w:val="006B14FE"/>
    <w:rsid w:val="006B19EB"/>
    <w:rsid w:val="006B1B17"/>
    <w:rsid w:val="006B586E"/>
    <w:rsid w:val="006B5B60"/>
    <w:rsid w:val="006B6204"/>
    <w:rsid w:val="006B636C"/>
    <w:rsid w:val="006B640A"/>
    <w:rsid w:val="006B6C95"/>
    <w:rsid w:val="006B714D"/>
    <w:rsid w:val="006B73BC"/>
    <w:rsid w:val="006B7699"/>
    <w:rsid w:val="006B76F0"/>
    <w:rsid w:val="006C067E"/>
    <w:rsid w:val="006C1682"/>
    <w:rsid w:val="006C29B4"/>
    <w:rsid w:val="006C2E59"/>
    <w:rsid w:val="006C3EB9"/>
    <w:rsid w:val="006C5A0A"/>
    <w:rsid w:val="006C5E97"/>
    <w:rsid w:val="006C6161"/>
    <w:rsid w:val="006C6924"/>
    <w:rsid w:val="006C6BE8"/>
    <w:rsid w:val="006D0684"/>
    <w:rsid w:val="006D1AED"/>
    <w:rsid w:val="006D2281"/>
    <w:rsid w:val="006D23A8"/>
    <w:rsid w:val="006D3355"/>
    <w:rsid w:val="006D37E7"/>
    <w:rsid w:val="006D59FE"/>
    <w:rsid w:val="006D5B2C"/>
    <w:rsid w:val="006D61F4"/>
    <w:rsid w:val="006D7390"/>
    <w:rsid w:val="006D73B6"/>
    <w:rsid w:val="006D7D38"/>
    <w:rsid w:val="006E0ECA"/>
    <w:rsid w:val="006E13B9"/>
    <w:rsid w:val="006E1433"/>
    <w:rsid w:val="006E2916"/>
    <w:rsid w:val="006E32D5"/>
    <w:rsid w:val="006E34DE"/>
    <w:rsid w:val="006E5D44"/>
    <w:rsid w:val="006E67FB"/>
    <w:rsid w:val="006E6ECD"/>
    <w:rsid w:val="006F04D2"/>
    <w:rsid w:val="006F072D"/>
    <w:rsid w:val="006F0F33"/>
    <w:rsid w:val="006F13FB"/>
    <w:rsid w:val="006F2CB3"/>
    <w:rsid w:val="006F2FD7"/>
    <w:rsid w:val="006F3453"/>
    <w:rsid w:val="006F3F41"/>
    <w:rsid w:val="006F4E10"/>
    <w:rsid w:val="006F4E22"/>
    <w:rsid w:val="006F5924"/>
    <w:rsid w:val="006F6788"/>
    <w:rsid w:val="006F75A7"/>
    <w:rsid w:val="007005F5"/>
    <w:rsid w:val="00703381"/>
    <w:rsid w:val="0070356E"/>
    <w:rsid w:val="00704D33"/>
    <w:rsid w:val="00706136"/>
    <w:rsid w:val="007066E8"/>
    <w:rsid w:val="007074C0"/>
    <w:rsid w:val="0070768C"/>
    <w:rsid w:val="00707CB8"/>
    <w:rsid w:val="00707E2D"/>
    <w:rsid w:val="007108CA"/>
    <w:rsid w:val="0071126D"/>
    <w:rsid w:val="00712AAB"/>
    <w:rsid w:val="00713008"/>
    <w:rsid w:val="00714052"/>
    <w:rsid w:val="00714057"/>
    <w:rsid w:val="007149E8"/>
    <w:rsid w:val="00714E16"/>
    <w:rsid w:val="007151D4"/>
    <w:rsid w:val="00715D39"/>
    <w:rsid w:val="00715F7C"/>
    <w:rsid w:val="00717002"/>
    <w:rsid w:val="00720AD5"/>
    <w:rsid w:val="00721139"/>
    <w:rsid w:val="0072206C"/>
    <w:rsid w:val="00725785"/>
    <w:rsid w:val="007257DA"/>
    <w:rsid w:val="00726427"/>
    <w:rsid w:val="00726E4C"/>
    <w:rsid w:val="00727146"/>
    <w:rsid w:val="007279B9"/>
    <w:rsid w:val="007279CF"/>
    <w:rsid w:val="00730AEC"/>
    <w:rsid w:val="007316ED"/>
    <w:rsid w:val="007318D7"/>
    <w:rsid w:val="00732403"/>
    <w:rsid w:val="00732C2B"/>
    <w:rsid w:val="007330ED"/>
    <w:rsid w:val="00734485"/>
    <w:rsid w:val="007346B4"/>
    <w:rsid w:val="007361FE"/>
    <w:rsid w:val="007367E1"/>
    <w:rsid w:val="00736DDF"/>
    <w:rsid w:val="007402B1"/>
    <w:rsid w:val="00741234"/>
    <w:rsid w:val="00741378"/>
    <w:rsid w:val="00741BA8"/>
    <w:rsid w:val="00742984"/>
    <w:rsid w:val="0074326E"/>
    <w:rsid w:val="00744107"/>
    <w:rsid w:val="0074480F"/>
    <w:rsid w:val="00744A5D"/>
    <w:rsid w:val="007450C1"/>
    <w:rsid w:val="007465AB"/>
    <w:rsid w:val="007465C5"/>
    <w:rsid w:val="00747454"/>
    <w:rsid w:val="0074745B"/>
    <w:rsid w:val="007519B7"/>
    <w:rsid w:val="00752E2B"/>
    <w:rsid w:val="00752E9C"/>
    <w:rsid w:val="00753520"/>
    <w:rsid w:val="00753CFB"/>
    <w:rsid w:val="00754D4E"/>
    <w:rsid w:val="00754FB1"/>
    <w:rsid w:val="007552B7"/>
    <w:rsid w:val="00755630"/>
    <w:rsid w:val="007564EC"/>
    <w:rsid w:val="00757BB0"/>
    <w:rsid w:val="00760BC4"/>
    <w:rsid w:val="00761F00"/>
    <w:rsid w:val="007626F8"/>
    <w:rsid w:val="00762B3B"/>
    <w:rsid w:val="007639EA"/>
    <w:rsid w:val="00763BCE"/>
    <w:rsid w:val="0076656A"/>
    <w:rsid w:val="00771153"/>
    <w:rsid w:val="00771CBB"/>
    <w:rsid w:val="007726C2"/>
    <w:rsid w:val="00772D84"/>
    <w:rsid w:val="00773622"/>
    <w:rsid w:val="00774591"/>
    <w:rsid w:val="00774686"/>
    <w:rsid w:val="00774CEE"/>
    <w:rsid w:val="007753B1"/>
    <w:rsid w:val="00775C7E"/>
    <w:rsid w:val="00776D0D"/>
    <w:rsid w:val="00776DAA"/>
    <w:rsid w:val="007779BD"/>
    <w:rsid w:val="00777C93"/>
    <w:rsid w:val="0078321C"/>
    <w:rsid w:val="00783754"/>
    <w:rsid w:val="00783804"/>
    <w:rsid w:val="0078387B"/>
    <w:rsid w:val="007849F6"/>
    <w:rsid w:val="00784C20"/>
    <w:rsid w:val="00785085"/>
    <w:rsid w:val="00785281"/>
    <w:rsid w:val="00787030"/>
    <w:rsid w:val="00787B74"/>
    <w:rsid w:val="0079057B"/>
    <w:rsid w:val="007906AA"/>
    <w:rsid w:val="00790DDF"/>
    <w:rsid w:val="0079252B"/>
    <w:rsid w:val="00792878"/>
    <w:rsid w:val="007931F2"/>
    <w:rsid w:val="007934D2"/>
    <w:rsid w:val="00793600"/>
    <w:rsid w:val="00794636"/>
    <w:rsid w:val="00795663"/>
    <w:rsid w:val="00795C2F"/>
    <w:rsid w:val="00795ECA"/>
    <w:rsid w:val="00797410"/>
    <w:rsid w:val="007974BE"/>
    <w:rsid w:val="007977E7"/>
    <w:rsid w:val="00797830"/>
    <w:rsid w:val="007979AB"/>
    <w:rsid w:val="007A04C0"/>
    <w:rsid w:val="007A09E4"/>
    <w:rsid w:val="007A250A"/>
    <w:rsid w:val="007A2CE1"/>
    <w:rsid w:val="007A2F04"/>
    <w:rsid w:val="007A32AB"/>
    <w:rsid w:val="007A4BAF"/>
    <w:rsid w:val="007A50C7"/>
    <w:rsid w:val="007A64F3"/>
    <w:rsid w:val="007A6611"/>
    <w:rsid w:val="007A715E"/>
    <w:rsid w:val="007A7464"/>
    <w:rsid w:val="007B0A2E"/>
    <w:rsid w:val="007B119C"/>
    <w:rsid w:val="007B17AA"/>
    <w:rsid w:val="007B2798"/>
    <w:rsid w:val="007B28D7"/>
    <w:rsid w:val="007B2997"/>
    <w:rsid w:val="007B32FF"/>
    <w:rsid w:val="007B348E"/>
    <w:rsid w:val="007B3954"/>
    <w:rsid w:val="007B3C50"/>
    <w:rsid w:val="007B3FD5"/>
    <w:rsid w:val="007B4DD9"/>
    <w:rsid w:val="007B64B7"/>
    <w:rsid w:val="007B7166"/>
    <w:rsid w:val="007B7B38"/>
    <w:rsid w:val="007C0B4B"/>
    <w:rsid w:val="007C0F50"/>
    <w:rsid w:val="007C1670"/>
    <w:rsid w:val="007C1779"/>
    <w:rsid w:val="007C1AE1"/>
    <w:rsid w:val="007C253F"/>
    <w:rsid w:val="007C2B15"/>
    <w:rsid w:val="007C3314"/>
    <w:rsid w:val="007C3E5C"/>
    <w:rsid w:val="007C406D"/>
    <w:rsid w:val="007C4481"/>
    <w:rsid w:val="007C4DE8"/>
    <w:rsid w:val="007C51DB"/>
    <w:rsid w:val="007C6395"/>
    <w:rsid w:val="007C6B73"/>
    <w:rsid w:val="007C6CEF"/>
    <w:rsid w:val="007C6F03"/>
    <w:rsid w:val="007D0B1F"/>
    <w:rsid w:val="007D1F7D"/>
    <w:rsid w:val="007D26DA"/>
    <w:rsid w:val="007D2767"/>
    <w:rsid w:val="007D2891"/>
    <w:rsid w:val="007D371E"/>
    <w:rsid w:val="007D3E4E"/>
    <w:rsid w:val="007D4404"/>
    <w:rsid w:val="007D45DD"/>
    <w:rsid w:val="007D4919"/>
    <w:rsid w:val="007D6076"/>
    <w:rsid w:val="007D637C"/>
    <w:rsid w:val="007D78DB"/>
    <w:rsid w:val="007E05A2"/>
    <w:rsid w:val="007E0821"/>
    <w:rsid w:val="007E16E6"/>
    <w:rsid w:val="007E27BC"/>
    <w:rsid w:val="007E3484"/>
    <w:rsid w:val="007E3AD9"/>
    <w:rsid w:val="007E3C17"/>
    <w:rsid w:val="007E3D46"/>
    <w:rsid w:val="007E4F7F"/>
    <w:rsid w:val="007E67A1"/>
    <w:rsid w:val="007E6D6D"/>
    <w:rsid w:val="007E7A1D"/>
    <w:rsid w:val="007F209F"/>
    <w:rsid w:val="007F4B43"/>
    <w:rsid w:val="007F5B84"/>
    <w:rsid w:val="007F5DB7"/>
    <w:rsid w:val="007F732A"/>
    <w:rsid w:val="00800928"/>
    <w:rsid w:val="00801081"/>
    <w:rsid w:val="008010D3"/>
    <w:rsid w:val="00802187"/>
    <w:rsid w:val="0080251A"/>
    <w:rsid w:val="008027A7"/>
    <w:rsid w:val="00802E82"/>
    <w:rsid w:val="00803C4F"/>
    <w:rsid w:val="00804858"/>
    <w:rsid w:val="008053B9"/>
    <w:rsid w:val="008062B1"/>
    <w:rsid w:val="00810002"/>
    <w:rsid w:val="00810582"/>
    <w:rsid w:val="00810775"/>
    <w:rsid w:val="00811600"/>
    <w:rsid w:val="008116D4"/>
    <w:rsid w:val="008117DA"/>
    <w:rsid w:val="008124C9"/>
    <w:rsid w:val="00812E18"/>
    <w:rsid w:val="008141A1"/>
    <w:rsid w:val="00814563"/>
    <w:rsid w:val="00815B20"/>
    <w:rsid w:val="00815D4C"/>
    <w:rsid w:val="0081625C"/>
    <w:rsid w:val="0081731D"/>
    <w:rsid w:val="00817485"/>
    <w:rsid w:val="008206C2"/>
    <w:rsid w:val="00822874"/>
    <w:rsid w:val="0082298A"/>
    <w:rsid w:val="0082373B"/>
    <w:rsid w:val="008242D7"/>
    <w:rsid w:val="00824D06"/>
    <w:rsid w:val="008263F5"/>
    <w:rsid w:val="00826C5B"/>
    <w:rsid w:val="00827102"/>
    <w:rsid w:val="00827539"/>
    <w:rsid w:val="00827B97"/>
    <w:rsid w:val="008323DE"/>
    <w:rsid w:val="00833F15"/>
    <w:rsid w:val="008344BA"/>
    <w:rsid w:val="00834C05"/>
    <w:rsid w:val="008351D0"/>
    <w:rsid w:val="008356FD"/>
    <w:rsid w:val="00836195"/>
    <w:rsid w:val="00836782"/>
    <w:rsid w:val="0083757C"/>
    <w:rsid w:val="00837825"/>
    <w:rsid w:val="00840316"/>
    <w:rsid w:val="008410F3"/>
    <w:rsid w:val="00841A58"/>
    <w:rsid w:val="00841CA5"/>
    <w:rsid w:val="00841EF4"/>
    <w:rsid w:val="008420EE"/>
    <w:rsid w:val="00843705"/>
    <w:rsid w:val="00843855"/>
    <w:rsid w:val="0084385A"/>
    <w:rsid w:val="00843975"/>
    <w:rsid w:val="00845D4D"/>
    <w:rsid w:val="0084760F"/>
    <w:rsid w:val="00850147"/>
    <w:rsid w:val="0085100E"/>
    <w:rsid w:val="008513C0"/>
    <w:rsid w:val="00851DA9"/>
    <w:rsid w:val="008534F3"/>
    <w:rsid w:val="00853E84"/>
    <w:rsid w:val="00853E8D"/>
    <w:rsid w:val="00854A07"/>
    <w:rsid w:val="00855C1F"/>
    <w:rsid w:val="008562B4"/>
    <w:rsid w:val="00856A3B"/>
    <w:rsid w:val="0085709F"/>
    <w:rsid w:val="0086121E"/>
    <w:rsid w:val="00861A49"/>
    <w:rsid w:val="0086259A"/>
    <w:rsid w:val="00863167"/>
    <w:rsid w:val="00863651"/>
    <w:rsid w:val="0086621D"/>
    <w:rsid w:val="00866D44"/>
    <w:rsid w:val="0087038E"/>
    <w:rsid w:val="00870EA7"/>
    <w:rsid w:val="008713B8"/>
    <w:rsid w:val="00871F0F"/>
    <w:rsid w:val="008723D7"/>
    <w:rsid w:val="008726DE"/>
    <w:rsid w:val="008729F2"/>
    <w:rsid w:val="00872AE9"/>
    <w:rsid w:val="00872BE6"/>
    <w:rsid w:val="0087339B"/>
    <w:rsid w:val="008753E4"/>
    <w:rsid w:val="008758B9"/>
    <w:rsid w:val="008758C5"/>
    <w:rsid w:val="0087751D"/>
    <w:rsid w:val="0087765F"/>
    <w:rsid w:val="0087771A"/>
    <w:rsid w:val="0088154E"/>
    <w:rsid w:val="00881B23"/>
    <w:rsid w:val="00881F93"/>
    <w:rsid w:val="0088256D"/>
    <w:rsid w:val="008827FE"/>
    <w:rsid w:val="0088385D"/>
    <w:rsid w:val="00883944"/>
    <w:rsid w:val="00883C11"/>
    <w:rsid w:val="00884440"/>
    <w:rsid w:val="008859C7"/>
    <w:rsid w:val="008869E9"/>
    <w:rsid w:val="0088768F"/>
    <w:rsid w:val="008879CC"/>
    <w:rsid w:val="008924AF"/>
    <w:rsid w:val="008924C1"/>
    <w:rsid w:val="0089255E"/>
    <w:rsid w:val="0089465D"/>
    <w:rsid w:val="00896147"/>
    <w:rsid w:val="00897618"/>
    <w:rsid w:val="00897EF8"/>
    <w:rsid w:val="008A1B18"/>
    <w:rsid w:val="008A2FEB"/>
    <w:rsid w:val="008A326B"/>
    <w:rsid w:val="008A3CE9"/>
    <w:rsid w:val="008A41EE"/>
    <w:rsid w:val="008A6045"/>
    <w:rsid w:val="008A747D"/>
    <w:rsid w:val="008A7C74"/>
    <w:rsid w:val="008A7F88"/>
    <w:rsid w:val="008B2325"/>
    <w:rsid w:val="008B2608"/>
    <w:rsid w:val="008B2ED7"/>
    <w:rsid w:val="008B33E4"/>
    <w:rsid w:val="008B39B6"/>
    <w:rsid w:val="008B480B"/>
    <w:rsid w:val="008B5801"/>
    <w:rsid w:val="008B6750"/>
    <w:rsid w:val="008B6775"/>
    <w:rsid w:val="008B682D"/>
    <w:rsid w:val="008B7563"/>
    <w:rsid w:val="008B7EE9"/>
    <w:rsid w:val="008C0731"/>
    <w:rsid w:val="008C148A"/>
    <w:rsid w:val="008C1582"/>
    <w:rsid w:val="008C2340"/>
    <w:rsid w:val="008C3AAF"/>
    <w:rsid w:val="008C5089"/>
    <w:rsid w:val="008C5559"/>
    <w:rsid w:val="008C5666"/>
    <w:rsid w:val="008C77CB"/>
    <w:rsid w:val="008C7BC5"/>
    <w:rsid w:val="008C7C6A"/>
    <w:rsid w:val="008C7F2E"/>
    <w:rsid w:val="008D05AA"/>
    <w:rsid w:val="008D1C12"/>
    <w:rsid w:val="008D3A9E"/>
    <w:rsid w:val="008D3AF0"/>
    <w:rsid w:val="008D3CE0"/>
    <w:rsid w:val="008D556E"/>
    <w:rsid w:val="008D5A6D"/>
    <w:rsid w:val="008D6285"/>
    <w:rsid w:val="008E0BE8"/>
    <w:rsid w:val="008E0D9A"/>
    <w:rsid w:val="008E2998"/>
    <w:rsid w:val="008E374F"/>
    <w:rsid w:val="008E37DC"/>
    <w:rsid w:val="008E3E4D"/>
    <w:rsid w:val="008E5DFB"/>
    <w:rsid w:val="008E75C6"/>
    <w:rsid w:val="008E7680"/>
    <w:rsid w:val="008F18F4"/>
    <w:rsid w:val="008F1B91"/>
    <w:rsid w:val="008F20FD"/>
    <w:rsid w:val="008F288A"/>
    <w:rsid w:val="008F290B"/>
    <w:rsid w:val="008F3AC4"/>
    <w:rsid w:val="008F3F7C"/>
    <w:rsid w:val="008F57B7"/>
    <w:rsid w:val="008F64B9"/>
    <w:rsid w:val="008F6676"/>
    <w:rsid w:val="008F7E93"/>
    <w:rsid w:val="00900DC1"/>
    <w:rsid w:val="00902DD7"/>
    <w:rsid w:val="00902F2C"/>
    <w:rsid w:val="009033AE"/>
    <w:rsid w:val="00903DFB"/>
    <w:rsid w:val="0090408A"/>
    <w:rsid w:val="009054BF"/>
    <w:rsid w:val="009066C4"/>
    <w:rsid w:val="009069B4"/>
    <w:rsid w:val="00906ACE"/>
    <w:rsid w:val="00907B2E"/>
    <w:rsid w:val="0091004F"/>
    <w:rsid w:val="00911E9A"/>
    <w:rsid w:val="00911F64"/>
    <w:rsid w:val="00912033"/>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427F"/>
    <w:rsid w:val="00925216"/>
    <w:rsid w:val="0092550F"/>
    <w:rsid w:val="00925B59"/>
    <w:rsid w:val="00926951"/>
    <w:rsid w:val="009269B8"/>
    <w:rsid w:val="00927309"/>
    <w:rsid w:val="009305C8"/>
    <w:rsid w:val="00930AB4"/>
    <w:rsid w:val="00931148"/>
    <w:rsid w:val="0093130A"/>
    <w:rsid w:val="00932A02"/>
    <w:rsid w:val="00932AD0"/>
    <w:rsid w:val="0093309F"/>
    <w:rsid w:val="0093382D"/>
    <w:rsid w:val="00935147"/>
    <w:rsid w:val="00936D64"/>
    <w:rsid w:val="0093762B"/>
    <w:rsid w:val="00940309"/>
    <w:rsid w:val="00940ABA"/>
    <w:rsid w:val="009418A7"/>
    <w:rsid w:val="009422A7"/>
    <w:rsid w:val="009423F3"/>
    <w:rsid w:val="00942C9D"/>
    <w:rsid w:val="0094341B"/>
    <w:rsid w:val="0094412D"/>
    <w:rsid w:val="00944545"/>
    <w:rsid w:val="0094523E"/>
    <w:rsid w:val="009458AE"/>
    <w:rsid w:val="00946022"/>
    <w:rsid w:val="00946261"/>
    <w:rsid w:val="009465E4"/>
    <w:rsid w:val="00946641"/>
    <w:rsid w:val="00946CBF"/>
    <w:rsid w:val="00951372"/>
    <w:rsid w:val="00953232"/>
    <w:rsid w:val="0095413B"/>
    <w:rsid w:val="0095519C"/>
    <w:rsid w:val="00955A74"/>
    <w:rsid w:val="00955C7B"/>
    <w:rsid w:val="00955D86"/>
    <w:rsid w:val="00956C19"/>
    <w:rsid w:val="00956EC9"/>
    <w:rsid w:val="00960C15"/>
    <w:rsid w:val="009614E3"/>
    <w:rsid w:val="00961E1D"/>
    <w:rsid w:val="009620EA"/>
    <w:rsid w:val="00962B09"/>
    <w:rsid w:val="00962C6C"/>
    <w:rsid w:val="0096371E"/>
    <w:rsid w:val="00963A21"/>
    <w:rsid w:val="00963BB7"/>
    <w:rsid w:val="0097055B"/>
    <w:rsid w:val="00970B28"/>
    <w:rsid w:val="00970DFE"/>
    <w:rsid w:val="00970E90"/>
    <w:rsid w:val="0097142F"/>
    <w:rsid w:val="0097237C"/>
    <w:rsid w:val="009723EE"/>
    <w:rsid w:val="00972CC0"/>
    <w:rsid w:val="00972E72"/>
    <w:rsid w:val="0097517D"/>
    <w:rsid w:val="009759C0"/>
    <w:rsid w:val="00976063"/>
    <w:rsid w:val="0097767E"/>
    <w:rsid w:val="009805F0"/>
    <w:rsid w:val="00982000"/>
    <w:rsid w:val="00982217"/>
    <w:rsid w:val="009828A1"/>
    <w:rsid w:val="009847FA"/>
    <w:rsid w:val="009854EC"/>
    <w:rsid w:val="009855A6"/>
    <w:rsid w:val="00985D42"/>
    <w:rsid w:val="00986667"/>
    <w:rsid w:val="00986D77"/>
    <w:rsid w:val="0098704F"/>
    <w:rsid w:val="00987AB7"/>
    <w:rsid w:val="00990575"/>
    <w:rsid w:val="00990B07"/>
    <w:rsid w:val="00990E07"/>
    <w:rsid w:val="0099141E"/>
    <w:rsid w:val="00991F58"/>
    <w:rsid w:val="009944D1"/>
    <w:rsid w:val="0099568D"/>
    <w:rsid w:val="00996360"/>
    <w:rsid w:val="00997480"/>
    <w:rsid w:val="00997489"/>
    <w:rsid w:val="009A008D"/>
    <w:rsid w:val="009A0442"/>
    <w:rsid w:val="009A062C"/>
    <w:rsid w:val="009A0B13"/>
    <w:rsid w:val="009A0C91"/>
    <w:rsid w:val="009A0D6D"/>
    <w:rsid w:val="009A187F"/>
    <w:rsid w:val="009A1926"/>
    <w:rsid w:val="009A1B18"/>
    <w:rsid w:val="009A1FDF"/>
    <w:rsid w:val="009A2846"/>
    <w:rsid w:val="009A3F4E"/>
    <w:rsid w:val="009A4E7E"/>
    <w:rsid w:val="009A505F"/>
    <w:rsid w:val="009A523C"/>
    <w:rsid w:val="009A54A2"/>
    <w:rsid w:val="009A572F"/>
    <w:rsid w:val="009A6723"/>
    <w:rsid w:val="009A6FD4"/>
    <w:rsid w:val="009A7112"/>
    <w:rsid w:val="009A7C42"/>
    <w:rsid w:val="009B1088"/>
    <w:rsid w:val="009B1E9C"/>
    <w:rsid w:val="009B26A4"/>
    <w:rsid w:val="009B2D4F"/>
    <w:rsid w:val="009B3B92"/>
    <w:rsid w:val="009B40EB"/>
    <w:rsid w:val="009B52E2"/>
    <w:rsid w:val="009B7237"/>
    <w:rsid w:val="009B749E"/>
    <w:rsid w:val="009B7900"/>
    <w:rsid w:val="009C1394"/>
    <w:rsid w:val="009C1E13"/>
    <w:rsid w:val="009C336F"/>
    <w:rsid w:val="009C35EA"/>
    <w:rsid w:val="009C39BE"/>
    <w:rsid w:val="009C534D"/>
    <w:rsid w:val="009C74BA"/>
    <w:rsid w:val="009C7B1E"/>
    <w:rsid w:val="009D008D"/>
    <w:rsid w:val="009D0A5C"/>
    <w:rsid w:val="009D0C1F"/>
    <w:rsid w:val="009D18AD"/>
    <w:rsid w:val="009D1A49"/>
    <w:rsid w:val="009D24DD"/>
    <w:rsid w:val="009D3439"/>
    <w:rsid w:val="009D5972"/>
    <w:rsid w:val="009D622E"/>
    <w:rsid w:val="009D6302"/>
    <w:rsid w:val="009E0788"/>
    <w:rsid w:val="009E1F64"/>
    <w:rsid w:val="009E2B44"/>
    <w:rsid w:val="009E2CC9"/>
    <w:rsid w:val="009E35FB"/>
    <w:rsid w:val="009E3A3E"/>
    <w:rsid w:val="009E4C44"/>
    <w:rsid w:val="009E4C9A"/>
    <w:rsid w:val="009E5353"/>
    <w:rsid w:val="009E596A"/>
    <w:rsid w:val="009E7DF0"/>
    <w:rsid w:val="009F0B3D"/>
    <w:rsid w:val="009F1AF3"/>
    <w:rsid w:val="009F1D8C"/>
    <w:rsid w:val="009F25AE"/>
    <w:rsid w:val="009F296E"/>
    <w:rsid w:val="009F35E4"/>
    <w:rsid w:val="009F484A"/>
    <w:rsid w:val="009F4CB5"/>
    <w:rsid w:val="009F5961"/>
    <w:rsid w:val="009F5A3D"/>
    <w:rsid w:val="009F5C7F"/>
    <w:rsid w:val="009F6708"/>
    <w:rsid w:val="009F6D30"/>
    <w:rsid w:val="009F7018"/>
    <w:rsid w:val="00A00677"/>
    <w:rsid w:val="00A00AA8"/>
    <w:rsid w:val="00A00D03"/>
    <w:rsid w:val="00A00F54"/>
    <w:rsid w:val="00A00F87"/>
    <w:rsid w:val="00A03989"/>
    <w:rsid w:val="00A04056"/>
    <w:rsid w:val="00A0415F"/>
    <w:rsid w:val="00A0606F"/>
    <w:rsid w:val="00A062DD"/>
    <w:rsid w:val="00A07D6F"/>
    <w:rsid w:val="00A07DC4"/>
    <w:rsid w:val="00A1200C"/>
    <w:rsid w:val="00A12544"/>
    <w:rsid w:val="00A12BCF"/>
    <w:rsid w:val="00A12EC0"/>
    <w:rsid w:val="00A13074"/>
    <w:rsid w:val="00A134D2"/>
    <w:rsid w:val="00A13667"/>
    <w:rsid w:val="00A14288"/>
    <w:rsid w:val="00A1482A"/>
    <w:rsid w:val="00A1608C"/>
    <w:rsid w:val="00A164C3"/>
    <w:rsid w:val="00A17805"/>
    <w:rsid w:val="00A20439"/>
    <w:rsid w:val="00A205DA"/>
    <w:rsid w:val="00A2110C"/>
    <w:rsid w:val="00A21B9F"/>
    <w:rsid w:val="00A23E18"/>
    <w:rsid w:val="00A2573E"/>
    <w:rsid w:val="00A2675D"/>
    <w:rsid w:val="00A27223"/>
    <w:rsid w:val="00A27EFC"/>
    <w:rsid w:val="00A304DA"/>
    <w:rsid w:val="00A3069B"/>
    <w:rsid w:val="00A30EAD"/>
    <w:rsid w:val="00A3152E"/>
    <w:rsid w:val="00A31681"/>
    <w:rsid w:val="00A31FF8"/>
    <w:rsid w:val="00A322CF"/>
    <w:rsid w:val="00A32374"/>
    <w:rsid w:val="00A34EC0"/>
    <w:rsid w:val="00A36607"/>
    <w:rsid w:val="00A4100A"/>
    <w:rsid w:val="00A41564"/>
    <w:rsid w:val="00A41891"/>
    <w:rsid w:val="00A42921"/>
    <w:rsid w:val="00A42B61"/>
    <w:rsid w:val="00A43146"/>
    <w:rsid w:val="00A448CF"/>
    <w:rsid w:val="00A44975"/>
    <w:rsid w:val="00A4579B"/>
    <w:rsid w:val="00A458A8"/>
    <w:rsid w:val="00A45DAB"/>
    <w:rsid w:val="00A46834"/>
    <w:rsid w:val="00A46EFE"/>
    <w:rsid w:val="00A47881"/>
    <w:rsid w:val="00A50146"/>
    <w:rsid w:val="00A511CB"/>
    <w:rsid w:val="00A51265"/>
    <w:rsid w:val="00A5145B"/>
    <w:rsid w:val="00A51C8D"/>
    <w:rsid w:val="00A5527F"/>
    <w:rsid w:val="00A55E1A"/>
    <w:rsid w:val="00A5694C"/>
    <w:rsid w:val="00A570E8"/>
    <w:rsid w:val="00A573EE"/>
    <w:rsid w:val="00A57CF4"/>
    <w:rsid w:val="00A604E8"/>
    <w:rsid w:val="00A60D78"/>
    <w:rsid w:val="00A60FD4"/>
    <w:rsid w:val="00A6139B"/>
    <w:rsid w:val="00A616DE"/>
    <w:rsid w:val="00A634AD"/>
    <w:rsid w:val="00A652DA"/>
    <w:rsid w:val="00A65957"/>
    <w:rsid w:val="00A668FA"/>
    <w:rsid w:val="00A66C4B"/>
    <w:rsid w:val="00A67102"/>
    <w:rsid w:val="00A677F9"/>
    <w:rsid w:val="00A67ED0"/>
    <w:rsid w:val="00A72ADF"/>
    <w:rsid w:val="00A72E3C"/>
    <w:rsid w:val="00A72E8E"/>
    <w:rsid w:val="00A73CDD"/>
    <w:rsid w:val="00A74A49"/>
    <w:rsid w:val="00A76EB4"/>
    <w:rsid w:val="00A77242"/>
    <w:rsid w:val="00A7770B"/>
    <w:rsid w:val="00A77F3A"/>
    <w:rsid w:val="00A804FC"/>
    <w:rsid w:val="00A80F84"/>
    <w:rsid w:val="00A81BF9"/>
    <w:rsid w:val="00A81D36"/>
    <w:rsid w:val="00A8241D"/>
    <w:rsid w:val="00A82449"/>
    <w:rsid w:val="00A83E10"/>
    <w:rsid w:val="00A843BC"/>
    <w:rsid w:val="00A84C1B"/>
    <w:rsid w:val="00A84D28"/>
    <w:rsid w:val="00A852AB"/>
    <w:rsid w:val="00A859D8"/>
    <w:rsid w:val="00A85CB0"/>
    <w:rsid w:val="00A85FD2"/>
    <w:rsid w:val="00A86AB3"/>
    <w:rsid w:val="00A875EA"/>
    <w:rsid w:val="00A9079E"/>
    <w:rsid w:val="00A90DA0"/>
    <w:rsid w:val="00A90E72"/>
    <w:rsid w:val="00A917F7"/>
    <w:rsid w:val="00A932E7"/>
    <w:rsid w:val="00A936B3"/>
    <w:rsid w:val="00A94740"/>
    <w:rsid w:val="00A96D1F"/>
    <w:rsid w:val="00A97F5D"/>
    <w:rsid w:val="00A97FA3"/>
    <w:rsid w:val="00AA0A35"/>
    <w:rsid w:val="00AA0D2E"/>
    <w:rsid w:val="00AA0E4B"/>
    <w:rsid w:val="00AA2036"/>
    <w:rsid w:val="00AA2D23"/>
    <w:rsid w:val="00AA2D72"/>
    <w:rsid w:val="00AA317E"/>
    <w:rsid w:val="00AA3C3E"/>
    <w:rsid w:val="00AA4018"/>
    <w:rsid w:val="00AA4AA6"/>
    <w:rsid w:val="00AA5C20"/>
    <w:rsid w:val="00AA5CEB"/>
    <w:rsid w:val="00AA639F"/>
    <w:rsid w:val="00AA63FC"/>
    <w:rsid w:val="00AA69EB"/>
    <w:rsid w:val="00AA6EE4"/>
    <w:rsid w:val="00AA798B"/>
    <w:rsid w:val="00AB09DD"/>
    <w:rsid w:val="00AB23EB"/>
    <w:rsid w:val="00AB445B"/>
    <w:rsid w:val="00AB4BD5"/>
    <w:rsid w:val="00AB4E70"/>
    <w:rsid w:val="00AB6403"/>
    <w:rsid w:val="00AB72AD"/>
    <w:rsid w:val="00AB7DF5"/>
    <w:rsid w:val="00AC1326"/>
    <w:rsid w:val="00AC19BF"/>
    <w:rsid w:val="00AC2681"/>
    <w:rsid w:val="00AC2B06"/>
    <w:rsid w:val="00AC2D13"/>
    <w:rsid w:val="00AC35EC"/>
    <w:rsid w:val="00AC3A70"/>
    <w:rsid w:val="00AC4287"/>
    <w:rsid w:val="00AC4ED0"/>
    <w:rsid w:val="00AC552A"/>
    <w:rsid w:val="00AC6A6A"/>
    <w:rsid w:val="00AC6DC6"/>
    <w:rsid w:val="00AD1042"/>
    <w:rsid w:val="00AD2E69"/>
    <w:rsid w:val="00AD4DFB"/>
    <w:rsid w:val="00AD5454"/>
    <w:rsid w:val="00AD54AD"/>
    <w:rsid w:val="00AD5BE9"/>
    <w:rsid w:val="00AD5E74"/>
    <w:rsid w:val="00AD6A02"/>
    <w:rsid w:val="00AE0566"/>
    <w:rsid w:val="00AE2267"/>
    <w:rsid w:val="00AE338B"/>
    <w:rsid w:val="00AE3A5A"/>
    <w:rsid w:val="00AE4375"/>
    <w:rsid w:val="00AE44B3"/>
    <w:rsid w:val="00AE4687"/>
    <w:rsid w:val="00AE49CD"/>
    <w:rsid w:val="00AE4DF4"/>
    <w:rsid w:val="00AE4EF4"/>
    <w:rsid w:val="00AE54C7"/>
    <w:rsid w:val="00AE5FEC"/>
    <w:rsid w:val="00AE7247"/>
    <w:rsid w:val="00AF0DE6"/>
    <w:rsid w:val="00AF15E7"/>
    <w:rsid w:val="00AF1793"/>
    <w:rsid w:val="00AF1C95"/>
    <w:rsid w:val="00AF3128"/>
    <w:rsid w:val="00AF3676"/>
    <w:rsid w:val="00AF3CD4"/>
    <w:rsid w:val="00AF433A"/>
    <w:rsid w:val="00AF4AB9"/>
    <w:rsid w:val="00AF5177"/>
    <w:rsid w:val="00AF5A09"/>
    <w:rsid w:val="00AF5C90"/>
    <w:rsid w:val="00AF69A9"/>
    <w:rsid w:val="00AF75EB"/>
    <w:rsid w:val="00AF7932"/>
    <w:rsid w:val="00AF7E5D"/>
    <w:rsid w:val="00B000EA"/>
    <w:rsid w:val="00B01FCF"/>
    <w:rsid w:val="00B023B7"/>
    <w:rsid w:val="00B02DD6"/>
    <w:rsid w:val="00B03DD8"/>
    <w:rsid w:val="00B04252"/>
    <w:rsid w:val="00B0741E"/>
    <w:rsid w:val="00B07702"/>
    <w:rsid w:val="00B10028"/>
    <w:rsid w:val="00B105E7"/>
    <w:rsid w:val="00B11CCD"/>
    <w:rsid w:val="00B11E40"/>
    <w:rsid w:val="00B11FC4"/>
    <w:rsid w:val="00B13C07"/>
    <w:rsid w:val="00B14E31"/>
    <w:rsid w:val="00B15480"/>
    <w:rsid w:val="00B15E6E"/>
    <w:rsid w:val="00B16272"/>
    <w:rsid w:val="00B179D6"/>
    <w:rsid w:val="00B17D91"/>
    <w:rsid w:val="00B17DF9"/>
    <w:rsid w:val="00B207C0"/>
    <w:rsid w:val="00B20BB2"/>
    <w:rsid w:val="00B2117C"/>
    <w:rsid w:val="00B21F07"/>
    <w:rsid w:val="00B22877"/>
    <w:rsid w:val="00B22999"/>
    <w:rsid w:val="00B22DB8"/>
    <w:rsid w:val="00B2371C"/>
    <w:rsid w:val="00B2457F"/>
    <w:rsid w:val="00B25574"/>
    <w:rsid w:val="00B26009"/>
    <w:rsid w:val="00B26844"/>
    <w:rsid w:val="00B27BD7"/>
    <w:rsid w:val="00B312C8"/>
    <w:rsid w:val="00B31CDC"/>
    <w:rsid w:val="00B33461"/>
    <w:rsid w:val="00B35132"/>
    <w:rsid w:val="00B35383"/>
    <w:rsid w:val="00B3679F"/>
    <w:rsid w:val="00B36810"/>
    <w:rsid w:val="00B40CA8"/>
    <w:rsid w:val="00B40FCD"/>
    <w:rsid w:val="00B4157C"/>
    <w:rsid w:val="00B4204D"/>
    <w:rsid w:val="00B424BC"/>
    <w:rsid w:val="00B4527B"/>
    <w:rsid w:val="00B45E7D"/>
    <w:rsid w:val="00B50A10"/>
    <w:rsid w:val="00B518E4"/>
    <w:rsid w:val="00B51AA0"/>
    <w:rsid w:val="00B51C97"/>
    <w:rsid w:val="00B532B9"/>
    <w:rsid w:val="00B5537B"/>
    <w:rsid w:val="00B56447"/>
    <w:rsid w:val="00B60461"/>
    <w:rsid w:val="00B606BC"/>
    <w:rsid w:val="00B609DF"/>
    <w:rsid w:val="00B619F8"/>
    <w:rsid w:val="00B619FB"/>
    <w:rsid w:val="00B62DAE"/>
    <w:rsid w:val="00B637E4"/>
    <w:rsid w:val="00B64732"/>
    <w:rsid w:val="00B64ABF"/>
    <w:rsid w:val="00B64F96"/>
    <w:rsid w:val="00B65663"/>
    <w:rsid w:val="00B65858"/>
    <w:rsid w:val="00B65CDD"/>
    <w:rsid w:val="00B65DEC"/>
    <w:rsid w:val="00B6613D"/>
    <w:rsid w:val="00B668F6"/>
    <w:rsid w:val="00B6774A"/>
    <w:rsid w:val="00B67B74"/>
    <w:rsid w:val="00B67C89"/>
    <w:rsid w:val="00B7170A"/>
    <w:rsid w:val="00B71851"/>
    <w:rsid w:val="00B72169"/>
    <w:rsid w:val="00B72275"/>
    <w:rsid w:val="00B72849"/>
    <w:rsid w:val="00B72942"/>
    <w:rsid w:val="00B72EAE"/>
    <w:rsid w:val="00B737CF"/>
    <w:rsid w:val="00B73E95"/>
    <w:rsid w:val="00B745A2"/>
    <w:rsid w:val="00B75DF4"/>
    <w:rsid w:val="00B76298"/>
    <w:rsid w:val="00B76856"/>
    <w:rsid w:val="00B76E4B"/>
    <w:rsid w:val="00B7718C"/>
    <w:rsid w:val="00B8009E"/>
    <w:rsid w:val="00B814BF"/>
    <w:rsid w:val="00B81676"/>
    <w:rsid w:val="00B824F6"/>
    <w:rsid w:val="00B82D71"/>
    <w:rsid w:val="00B83933"/>
    <w:rsid w:val="00B83C72"/>
    <w:rsid w:val="00B8444D"/>
    <w:rsid w:val="00B8475F"/>
    <w:rsid w:val="00B8485A"/>
    <w:rsid w:val="00B850CF"/>
    <w:rsid w:val="00B852BA"/>
    <w:rsid w:val="00B86D0C"/>
    <w:rsid w:val="00B873C9"/>
    <w:rsid w:val="00B90399"/>
    <w:rsid w:val="00B91FFA"/>
    <w:rsid w:val="00B9215A"/>
    <w:rsid w:val="00B9264A"/>
    <w:rsid w:val="00B926F0"/>
    <w:rsid w:val="00B92B36"/>
    <w:rsid w:val="00B935E0"/>
    <w:rsid w:val="00B93862"/>
    <w:rsid w:val="00B93D98"/>
    <w:rsid w:val="00B9412E"/>
    <w:rsid w:val="00B94B72"/>
    <w:rsid w:val="00B95520"/>
    <w:rsid w:val="00B96038"/>
    <w:rsid w:val="00B966AF"/>
    <w:rsid w:val="00B96D8A"/>
    <w:rsid w:val="00B96EA5"/>
    <w:rsid w:val="00B9734F"/>
    <w:rsid w:val="00BA0711"/>
    <w:rsid w:val="00BA1153"/>
    <w:rsid w:val="00BA17DB"/>
    <w:rsid w:val="00BA29B9"/>
    <w:rsid w:val="00BA320B"/>
    <w:rsid w:val="00BA3551"/>
    <w:rsid w:val="00BA4EB5"/>
    <w:rsid w:val="00BA76C7"/>
    <w:rsid w:val="00BA78D8"/>
    <w:rsid w:val="00BB02AD"/>
    <w:rsid w:val="00BB089D"/>
    <w:rsid w:val="00BB09F7"/>
    <w:rsid w:val="00BB1AEC"/>
    <w:rsid w:val="00BB2AE0"/>
    <w:rsid w:val="00BB2CF3"/>
    <w:rsid w:val="00BB37C3"/>
    <w:rsid w:val="00BB4376"/>
    <w:rsid w:val="00BB5046"/>
    <w:rsid w:val="00BB5DEA"/>
    <w:rsid w:val="00BB5F43"/>
    <w:rsid w:val="00BB71FC"/>
    <w:rsid w:val="00BB7ECD"/>
    <w:rsid w:val="00BC1949"/>
    <w:rsid w:val="00BC1A2C"/>
    <w:rsid w:val="00BC1ABF"/>
    <w:rsid w:val="00BC1D6B"/>
    <w:rsid w:val="00BC2009"/>
    <w:rsid w:val="00BC267B"/>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6CD9"/>
    <w:rsid w:val="00BE00E9"/>
    <w:rsid w:val="00BE018C"/>
    <w:rsid w:val="00BE0F73"/>
    <w:rsid w:val="00BE13B2"/>
    <w:rsid w:val="00BE2A3D"/>
    <w:rsid w:val="00BE2D85"/>
    <w:rsid w:val="00BE3D2D"/>
    <w:rsid w:val="00BE40E2"/>
    <w:rsid w:val="00BE64C4"/>
    <w:rsid w:val="00BE6608"/>
    <w:rsid w:val="00BF053D"/>
    <w:rsid w:val="00BF2B0F"/>
    <w:rsid w:val="00BF42E8"/>
    <w:rsid w:val="00BF47AF"/>
    <w:rsid w:val="00BF55BF"/>
    <w:rsid w:val="00BF61EB"/>
    <w:rsid w:val="00BF64A2"/>
    <w:rsid w:val="00C003C4"/>
    <w:rsid w:val="00C00438"/>
    <w:rsid w:val="00C00A19"/>
    <w:rsid w:val="00C00F11"/>
    <w:rsid w:val="00C011E0"/>
    <w:rsid w:val="00C01D5A"/>
    <w:rsid w:val="00C03979"/>
    <w:rsid w:val="00C042FA"/>
    <w:rsid w:val="00C04897"/>
    <w:rsid w:val="00C0578D"/>
    <w:rsid w:val="00C05965"/>
    <w:rsid w:val="00C062FF"/>
    <w:rsid w:val="00C07BF7"/>
    <w:rsid w:val="00C07C59"/>
    <w:rsid w:val="00C07FA9"/>
    <w:rsid w:val="00C10BD6"/>
    <w:rsid w:val="00C11306"/>
    <w:rsid w:val="00C11954"/>
    <w:rsid w:val="00C11A0D"/>
    <w:rsid w:val="00C11F30"/>
    <w:rsid w:val="00C127B3"/>
    <w:rsid w:val="00C1372A"/>
    <w:rsid w:val="00C13D41"/>
    <w:rsid w:val="00C15629"/>
    <w:rsid w:val="00C16D66"/>
    <w:rsid w:val="00C17233"/>
    <w:rsid w:val="00C21194"/>
    <w:rsid w:val="00C21332"/>
    <w:rsid w:val="00C22DEC"/>
    <w:rsid w:val="00C230C0"/>
    <w:rsid w:val="00C2348E"/>
    <w:rsid w:val="00C23632"/>
    <w:rsid w:val="00C239A5"/>
    <w:rsid w:val="00C24061"/>
    <w:rsid w:val="00C24B48"/>
    <w:rsid w:val="00C2643B"/>
    <w:rsid w:val="00C26631"/>
    <w:rsid w:val="00C26716"/>
    <w:rsid w:val="00C26B51"/>
    <w:rsid w:val="00C26C16"/>
    <w:rsid w:val="00C27A7F"/>
    <w:rsid w:val="00C31F07"/>
    <w:rsid w:val="00C35041"/>
    <w:rsid w:val="00C35BC5"/>
    <w:rsid w:val="00C35E8F"/>
    <w:rsid w:val="00C3676F"/>
    <w:rsid w:val="00C37DAD"/>
    <w:rsid w:val="00C37E59"/>
    <w:rsid w:val="00C40300"/>
    <w:rsid w:val="00C404E2"/>
    <w:rsid w:val="00C4098A"/>
    <w:rsid w:val="00C4187B"/>
    <w:rsid w:val="00C42018"/>
    <w:rsid w:val="00C425AD"/>
    <w:rsid w:val="00C42DEF"/>
    <w:rsid w:val="00C434DE"/>
    <w:rsid w:val="00C43C54"/>
    <w:rsid w:val="00C45F3D"/>
    <w:rsid w:val="00C4685F"/>
    <w:rsid w:val="00C47949"/>
    <w:rsid w:val="00C501C1"/>
    <w:rsid w:val="00C50373"/>
    <w:rsid w:val="00C50752"/>
    <w:rsid w:val="00C5079A"/>
    <w:rsid w:val="00C50D34"/>
    <w:rsid w:val="00C53297"/>
    <w:rsid w:val="00C53512"/>
    <w:rsid w:val="00C5392F"/>
    <w:rsid w:val="00C54D76"/>
    <w:rsid w:val="00C567F3"/>
    <w:rsid w:val="00C56C3C"/>
    <w:rsid w:val="00C56CE3"/>
    <w:rsid w:val="00C57065"/>
    <w:rsid w:val="00C57785"/>
    <w:rsid w:val="00C6077B"/>
    <w:rsid w:val="00C62476"/>
    <w:rsid w:val="00C62FF1"/>
    <w:rsid w:val="00C6323D"/>
    <w:rsid w:val="00C638CB"/>
    <w:rsid w:val="00C63FFE"/>
    <w:rsid w:val="00C64D2E"/>
    <w:rsid w:val="00C66B52"/>
    <w:rsid w:val="00C66ED9"/>
    <w:rsid w:val="00C7050F"/>
    <w:rsid w:val="00C70569"/>
    <w:rsid w:val="00C71921"/>
    <w:rsid w:val="00C72468"/>
    <w:rsid w:val="00C72B22"/>
    <w:rsid w:val="00C72DE9"/>
    <w:rsid w:val="00C744E6"/>
    <w:rsid w:val="00C7477B"/>
    <w:rsid w:val="00C74DEA"/>
    <w:rsid w:val="00C75461"/>
    <w:rsid w:val="00C759D6"/>
    <w:rsid w:val="00C75A27"/>
    <w:rsid w:val="00C75A43"/>
    <w:rsid w:val="00C76E39"/>
    <w:rsid w:val="00C77734"/>
    <w:rsid w:val="00C7792D"/>
    <w:rsid w:val="00C80BB3"/>
    <w:rsid w:val="00C81335"/>
    <w:rsid w:val="00C83C4E"/>
    <w:rsid w:val="00C84573"/>
    <w:rsid w:val="00C84871"/>
    <w:rsid w:val="00C850A8"/>
    <w:rsid w:val="00C8575E"/>
    <w:rsid w:val="00C87362"/>
    <w:rsid w:val="00C87BA2"/>
    <w:rsid w:val="00C9006E"/>
    <w:rsid w:val="00C9152A"/>
    <w:rsid w:val="00C92CBE"/>
    <w:rsid w:val="00C937B0"/>
    <w:rsid w:val="00C9496E"/>
    <w:rsid w:val="00C94CE9"/>
    <w:rsid w:val="00C9678D"/>
    <w:rsid w:val="00C969B1"/>
    <w:rsid w:val="00CA0579"/>
    <w:rsid w:val="00CA05F2"/>
    <w:rsid w:val="00CA1DE0"/>
    <w:rsid w:val="00CA2521"/>
    <w:rsid w:val="00CA2A27"/>
    <w:rsid w:val="00CA396B"/>
    <w:rsid w:val="00CA456E"/>
    <w:rsid w:val="00CA572B"/>
    <w:rsid w:val="00CA5A12"/>
    <w:rsid w:val="00CA5B96"/>
    <w:rsid w:val="00CA5E9E"/>
    <w:rsid w:val="00CA60EB"/>
    <w:rsid w:val="00CA77F4"/>
    <w:rsid w:val="00CA7AE6"/>
    <w:rsid w:val="00CA7D33"/>
    <w:rsid w:val="00CB1D86"/>
    <w:rsid w:val="00CB2489"/>
    <w:rsid w:val="00CB2A6E"/>
    <w:rsid w:val="00CB35EF"/>
    <w:rsid w:val="00CB41E5"/>
    <w:rsid w:val="00CB61E4"/>
    <w:rsid w:val="00CB6894"/>
    <w:rsid w:val="00CC041D"/>
    <w:rsid w:val="00CC061D"/>
    <w:rsid w:val="00CC0AF6"/>
    <w:rsid w:val="00CC0B7B"/>
    <w:rsid w:val="00CC1394"/>
    <w:rsid w:val="00CC164B"/>
    <w:rsid w:val="00CC28A7"/>
    <w:rsid w:val="00CC3BDB"/>
    <w:rsid w:val="00CC3F76"/>
    <w:rsid w:val="00CC4241"/>
    <w:rsid w:val="00CC492A"/>
    <w:rsid w:val="00CC5C30"/>
    <w:rsid w:val="00CC6088"/>
    <w:rsid w:val="00CD017A"/>
    <w:rsid w:val="00CD05DB"/>
    <w:rsid w:val="00CD0BD2"/>
    <w:rsid w:val="00CD1DE0"/>
    <w:rsid w:val="00CD3004"/>
    <w:rsid w:val="00CD3C84"/>
    <w:rsid w:val="00CD5039"/>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60E2"/>
    <w:rsid w:val="00CF62CD"/>
    <w:rsid w:val="00CF6AFD"/>
    <w:rsid w:val="00CF7F77"/>
    <w:rsid w:val="00D00357"/>
    <w:rsid w:val="00D00B02"/>
    <w:rsid w:val="00D01418"/>
    <w:rsid w:val="00D01700"/>
    <w:rsid w:val="00D03603"/>
    <w:rsid w:val="00D03D88"/>
    <w:rsid w:val="00D07ACA"/>
    <w:rsid w:val="00D101F6"/>
    <w:rsid w:val="00D10677"/>
    <w:rsid w:val="00D10C1C"/>
    <w:rsid w:val="00D10E2B"/>
    <w:rsid w:val="00D1150E"/>
    <w:rsid w:val="00D11818"/>
    <w:rsid w:val="00D11888"/>
    <w:rsid w:val="00D11A83"/>
    <w:rsid w:val="00D11B93"/>
    <w:rsid w:val="00D122FC"/>
    <w:rsid w:val="00D14C13"/>
    <w:rsid w:val="00D16061"/>
    <w:rsid w:val="00D176EB"/>
    <w:rsid w:val="00D17A54"/>
    <w:rsid w:val="00D20C93"/>
    <w:rsid w:val="00D21360"/>
    <w:rsid w:val="00D22518"/>
    <w:rsid w:val="00D23002"/>
    <w:rsid w:val="00D254D8"/>
    <w:rsid w:val="00D25CD5"/>
    <w:rsid w:val="00D2755E"/>
    <w:rsid w:val="00D30C6F"/>
    <w:rsid w:val="00D311E0"/>
    <w:rsid w:val="00D31888"/>
    <w:rsid w:val="00D325DF"/>
    <w:rsid w:val="00D32FE6"/>
    <w:rsid w:val="00D355F8"/>
    <w:rsid w:val="00D35626"/>
    <w:rsid w:val="00D356CC"/>
    <w:rsid w:val="00D36937"/>
    <w:rsid w:val="00D36B78"/>
    <w:rsid w:val="00D37510"/>
    <w:rsid w:val="00D400B8"/>
    <w:rsid w:val="00D40C75"/>
    <w:rsid w:val="00D4150E"/>
    <w:rsid w:val="00D41B62"/>
    <w:rsid w:val="00D43017"/>
    <w:rsid w:val="00D4496E"/>
    <w:rsid w:val="00D460BC"/>
    <w:rsid w:val="00D464A7"/>
    <w:rsid w:val="00D472F0"/>
    <w:rsid w:val="00D4749E"/>
    <w:rsid w:val="00D47C8D"/>
    <w:rsid w:val="00D51FE4"/>
    <w:rsid w:val="00D5214F"/>
    <w:rsid w:val="00D536BA"/>
    <w:rsid w:val="00D539F5"/>
    <w:rsid w:val="00D56214"/>
    <w:rsid w:val="00D5629A"/>
    <w:rsid w:val="00D57505"/>
    <w:rsid w:val="00D57AF2"/>
    <w:rsid w:val="00D60451"/>
    <w:rsid w:val="00D608D8"/>
    <w:rsid w:val="00D6268E"/>
    <w:rsid w:val="00D62ABD"/>
    <w:rsid w:val="00D62CB5"/>
    <w:rsid w:val="00D651DA"/>
    <w:rsid w:val="00D65931"/>
    <w:rsid w:val="00D66B49"/>
    <w:rsid w:val="00D6792E"/>
    <w:rsid w:val="00D7058E"/>
    <w:rsid w:val="00D70D6B"/>
    <w:rsid w:val="00D71D46"/>
    <w:rsid w:val="00D72995"/>
    <w:rsid w:val="00D731D5"/>
    <w:rsid w:val="00D7338D"/>
    <w:rsid w:val="00D73688"/>
    <w:rsid w:val="00D737F9"/>
    <w:rsid w:val="00D73C84"/>
    <w:rsid w:val="00D73DB8"/>
    <w:rsid w:val="00D76863"/>
    <w:rsid w:val="00D76A45"/>
    <w:rsid w:val="00D76AC9"/>
    <w:rsid w:val="00D76C53"/>
    <w:rsid w:val="00D77748"/>
    <w:rsid w:val="00D77971"/>
    <w:rsid w:val="00D81B58"/>
    <w:rsid w:val="00D81FCC"/>
    <w:rsid w:val="00D85404"/>
    <w:rsid w:val="00D87448"/>
    <w:rsid w:val="00D90E45"/>
    <w:rsid w:val="00D90E63"/>
    <w:rsid w:val="00D918F4"/>
    <w:rsid w:val="00D91AD8"/>
    <w:rsid w:val="00D9346E"/>
    <w:rsid w:val="00D95463"/>
    <w:rsid w:val="00D955EC"/>
    <w:rsid w:val="00D9705E"/>
    <w:rsid w:val="00DA06AD"/>
    <w:rsid w:val="00DA225D"/>
    <w:rsid w:val="00DA2E39"/>
    <w:rsid w:val="00DA2ED7"/>
    <w:rsid w:val="00DA2F91"/>
    <w:rsid w:val="00DA5529"/>
    <w:rsid w:val="00DA558A"/>
    <w:rsid w:val="00DA6115"/>
    <w:rsid w:val="00DA6A8F"/>
    <w:rsid w:val="00DA6D37"/>
    <w:rsid w:val="00DA7965"/>
    <w:rsid w:val="00DA7EE4"/>
    <w:rsid w:val="00DB02D7"/>
    <w:rsid w:val="00DB087F"/>
    <w:rsid w:val="00DB0DE5"/>
    <w:rsid w:val="00DB133B"/>
    <w:rsid w:val="00DB1394"/>
    <w:rsid w:val="00DB1CEF"/>
    <w:rsid w:val="00DB2D6F"/>
    <w:rsid w:val="00DB327A"/>
    <w:rsid w:val="00DB3781"/>
    <w:rsid w:val="00DB40E1"/>
    <w:rsid w:val="00DB46CF"/>
    <w:rsid w:val="00DB4E9E"/>
    <w:rsid w:val="00DB516C"/>
    <w:rsid w:val="00DB5FF1"/>
    <w:rsid w:val="00DB6B35"/>
    <w:rsid w:val="00DB7EA1"/>
    <w:rsid w:val="00DC0120"/>
    <w:rsid w:val="00DC082F"/>
    <w:rsid w:val="00DC100E"/>
    <w:rsid w:val="00DC1A55"/>
    <w:rsid w:val="00DC2C07"/>
    <w:rsid w:val="00DC2CCD"/>
    <w:rsid w:val="00DC2D05"/>
    <w:rsid w:val="00DC2FB5"/>
    <w:rsid w:val="00DC40BF"/>
    <w:rsid w:val="00DC4387"/>
    <w:rsid w:val="00DC4401"/>
    <w:rsid w:val="00DC4EA6"/>
    <w:rsid w:val="00DC5B67"/>
    <w:rsid w:val="00DC67C0"/>
    <w:rsid w:val="00DC6C2A"/>
    <w:rsid w:val="00DC785E"/>
    <w:rsid w:val="00DD0460"/>
    <w:rsid w:val="00DD0A76"/>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1E4E"/>
    <w:rsid w:val="00DE2CA1"/>
    <w:rsid w:val="00DE36AA"/>
    <w:rsid w:val="00DE37F5"/>
    <w:rsid w:val="00DE42BF"/>
    <w:rsid w:val="00DE4931"/>
    <w:rsid w:val="00DE4A25"/>
    <w:rsid w:val="00DE7B8F"/>
    <w:rsid w:val="00DF055D"/>
    <w:rsid w:val="00DF0CFE"/>
    <w:rsid w:val="00DF100E"/>
    <w:rsid w:val="00DF3789"/>
    <w:rsid w:val="00DF3CC3"/>
    <w:rsid w:val="00DF459F"/>
    <w:rsid w:val="00DF5770"/>
    <w:rsid w:val="00DF5E2E"/>
    <w:rsid w:val="00DF70DE"/>
    <w:rsid w:val="00DF7555"/>
    <w:rsid w:val="00DF7B26"/>
    <w:rsid w:val="00DF7D24"/>
    <w:rsid w:val="00E00205"/>
    <w:rsid w:val="00E014F3"/>
    <w:rsid w:val="00E014FD"/>
    <w:rsid w:val="00E01DD9"/>
    <w:rsid w:val="00E0268C"/>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DCD"/>
    <w:rsid w:val="00E16E09"/>
    <w:rsid w:val="00E17233"/>
    <w:rsid w:val="00E21EB9"/>
    <w:rsid w:val="00E2298B"/>
    <w:rsid w:val="00E23E5E"/>
    <w:rsid w:val="00E2427B"/>
    <w:rsid w:val="00E2502B"/>
    <w:rsid w:val="00E255AA"/>
    <w:rsid w:val="00E257B4"/>
    <w:rsid w:val="00E267E5"/>
    <w:rsid w:val="00E26844"/>
    <w:rsid w:val="00E269DA"/>
    <w:rsid w:val="00E26B4C"/>
    <w:rsid w:val="00E26ED0"/>
    <w:rsid w:val="00E27F14"/>
    <w:rsid w:val="00E30880"/>
    <w:rsid w:val="00E30ED2"/>
    <w:rsid w:val="00E3122E"/>
    <w:rsid w:val="00E31B28"/>
    <w:rsid w:val="00E31B7D"/>
    <w:rsid w:val="00E32893"/>
    <w:rsid w:val="00E32901"/>
    <w:rsid w:val="00E32DA5"/>
    <w:rsid w:val="00E33EA7"/>
    <w:rsid w:val="00E348D8"/>
    <w:rsid w:val="00E34ED8"/>
    <w:rsid w:val="00E35268"/>
    <w:rsid w:val="00E35289"/>
    <w:rsid w:val="00E36087"/>
    <w:rsid w:val="00E36FD1"/>
    <w:rsid w:val="00E37FE5"/>
    <w:rsid w:val="00E4044F"/>
    <w:rsid w:val="00E42246"/>
    <w:rsid w:val="00E42D61"/>
    <w:rsid w:val="00E43817"/>
    <w:rsid w:val="00E43FE4"/>
    <w:rsid w:val="00E4682B"/>
    <w:rsid w:val="00E468F0"/>
    <w:rsid w:val="00E46BCD"/>
    <w:rsid w:val="00E514ED"/>
    <w:rsid w:val="00E519D0"/>
    <w:rsid w:val="00E526F5"/>
    <w:rsid w:val="00E5307C"/>
    <w:rsid w:val="00E53E95"/>
    <w:rsid w:val="00E541E5"/>
    <w:rsid w:val="00E55889"/>
    <w:rsid w:val="00E5642B"/>
    <w:rsid w:val="00E564B6"/>
    <w:rsid w:val="00E571CC"/>
    <w:rsid w:val="00E5785F"/>
    <w:rsid w:val="00E60474"/>
    <w:rsid w:val="00E607AE"/>
    <w:rsid w:val="00E607CF"/>
    <w:rsid w:val="00E610CC"/>
    <w:rsid w:val="00E618D8"/>
    <w:rsid w:val="00E61F3C"/>
    <w:rsid w:val="00E63539"/>
    <w:rsid w:val="00E635C7"/>
    <w:rsid w:val="00E63C16"/>
    <w:rsid w:val="00E64435"/>
    <w:rsid w:val="00E64537"/>
    <w:rsid w:val="00E65D8F"/>
    <w:rsid w:val="00E66139"/>
    <w:rsid w:val="00E66A57"/>
    <w:rsid w:val="00E67D89"/>
    <w:rsid w:val="00E73360"/>
    <w:rsid w:val="00E737B9"/>
    <w:rsid w:val="00E760C2"/>
    <w:rsid w:val="00E777D2"/>
    <w:rsid w:val="00E81B84"/>
    <w:rsid w:val="00E82789"/>
    <w:rsid w:val="00E82805"/>
    <w:rsid w:val="00E8302D"/>
    <w:rsid w:val="00E83AE7"/>
    <w:rsid w:val="00E83D57"/>
    <w:rsid w:val="00E84283"/>
    <w:rsid w:val="00E8595C"/>
    <w:rsid w:val="00E86023"/>
    <w:rsid w:val="00E8623B"/>
    <w:rsid w:val="00E87180"/>
    <w:rsid w:val="00E87455"/>
    <w:rsid w:val="00E878EE"/>
    <w:rsid w:val="00E90847"/>
    <w:rsid w:val="00E90E28"/>
    <w:rsid w:val="00E92513"/>
    <w:rsid w:val="00E92992"/>
    <w:rsid w:val="00E935F0"/>
    <w:rsid w:val="00E9449D"/>
    <w:rsid w:val="00E94636"/>
    <w:rsid w:val="00E94C10"/>
    <w:rsid w:val="00E965D8"/>
    <w:rsid w:val="00E973E3"/>
    <w:rsid w:val="00E9784B"/>
    <w:rsid w:val="00EA0D7C"/>
    <w:rsid w:val="00EA1034"/>
    <w:rsid w:val="00EA1ABA"/>
    <w:rsid w:val="00EA2AE1"/>
    <w:rsid w:val="00EA2B6B"/>
    <w:rsid w:val="00EA3FFA"/>
    <w:rsid w:val="00EA4A52"/>
    <w:rsid w:val="00EA4DB6"/>
    <w:rsid w:val="00EA5676"/>
    <w:rsid w:val="00EA596F"/>
    <w:rsid w:val="00EA5AA9"/>
    <w:rsid w:val="00EA5FC2"/>
    <w:rsid w:val="00EA7058"/>
    <w:rsid w:val="00EA7FD1"/>
    <w:rsid w:val="00EB0B6C"/>
    <w:rsid w:val="00EB0BF7"/>
    <w:rsid w:val="00EB0E72"/>
    <w:rsid w:val="00EB1B6C"/>
    <w:rsid w:val="00EB2456"/>
    <w:rsid w:val="00EB3451"/>
    <w:rsid w:val="00EB36B0"/>
    <w:rsid w:val="00EB3DDF"/>
    <w:rsid w:val="00EB40A2"/>
    <w:rsid w:val="00EB43B0"/>
    <w:rsid w:val="00EB4445"/>
    <w:rsid w:val="00EB5679"/>
    <w:rsid w:val="00EC0024"/>
    <w:rsid w:val="00EC01EE"/>
    <w:rsid w:val="00EC084C"/>
    <w:rsid w:val="00EC12C4"/>
    <w:rsid w:val="00EC1587"/>
    <w:rsid w:val="00EC1A49"/>
    <w:rsid w:val="00EC1D22"/>
    <w:rsid w:val="00EC1FC7"/>
    <w:rsid w:val="00EC2B00"/>
    <w:rsid w:val="00EC3BCE"/>
    <w:rsid w:val="00EC4C39"/>
    <w:rsid w:val="00EC5ECA"/>
    <w:rsid w:val="00EC6F1D"/>
    <w:rsid w:val="00EC6F33"/>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37CE"/>
    <w:rsid w:val="00EE4319"/>
    <w:rsid w:val="00EE49C6"/>
    <w:rsid w:val="00EE5399"/>
    <w:rsid w:val="00EE5562"/>
    <w:rsid w:val="00EE6705"/>
    <w:rsid w:val="00EE7A27"/>
    <w:rsid w:val="00EF0163"/>
    <w:rsid w:val="00EF0538"/>
    <w:rsid w:val="00EF12A7"/>
    <w:rsid w:val="00EF1AD3"/>
    <w:rsid w:val="00EF2359"/>
    <w:rsid w:val="00EF2868"/>
    <w:rsid w:val="00EF2950"/>
    <w:rsid w:val="00EF2D39"/>
    <w:rsid w:val="00EF3B5C"/>
    <w:rsid w:val="00EF4680"/>
    <w:rsid w:val="00EF4F16"/>
    <w:rsid w:val="00EF53A0"/>
    <w:rsid w:val="00EF62F0"/>
    <w:rsid w:val="00F00208"/>
    <w:rsid w:val="00F0092F"/>
    <w:rsid w:val="00F01287"/>
    <w:rsid w:val="00F01D8C"/>
    <w:rsid w:val="00F022F2"/>
    <w:rsid w:val="00F03E09"/>
    <w:rsid w:val="00F03E4B"/>
    <w:rsid w:val="00F04A33"/>
    <w:rsid w:val="00F0532E"/>
    <w:rsid w:val="00F05342"/>
    <w:rsid w:val="00F061A0"/>
    <w:rsid w:val="00F0664D"/>
    <w:rsid w:val="00F074C8"/>
    <w:rsid w:val="00F07FAD"/>
    <w:rsid w:val="00F11167"/>
    <w:rsid w:val="00F11A0F"/>
    <w:rsid w:val="00F120AA"/>
    <w:rsid w:val="00F120D5"/>
    <w:rsid w:val="00F136C3"/>
    <w:rsid w:val="00F13736"/>
    <w:rsid w:val="00F13E40"/>
    <w:rsid w:val="00F14A3B"/>
    <w:rsid w:val="00F14C19"/>
    <w:rsid w:val="00F151D6"/>
    <w:rsid w:val="00F1637A"/>
    <w:rsid w:val="00F163AF"/>
    <w:rsid w:val="00F16C87"/>
    <w:rsid w:val="00F209FB"/>
    <w:rsid w:val="00F20BEB"/>
    <w:rsid w:val="00F20FE4"/>
    <w:rsid w:val="00F21FDB"/>
    <w:rsid w:val="00F2236A"/>
    <w:rsid w:val="00F23289"/>
    <w:rsid w:val="00F256ED"/>
    <w:rsid w:val="00F25B97"/>
    <w:rsid w:val="00F26679"/>
    <w:rsid w:val="00F27B20"/>
    <w:rsid w:val="00F27FAC"/>
    <w:rsid w:val="00F3003B"/>
    <w:rsid w:val="00F301F1"/>
    <w:rsid w:val="00F322E4"/>
    <w:rsid w:val="00F33638"/>
    <w:rsid w:val="00F34142"/>
    <w:rsid w:val="00F34896"/>
    <w:rsid w:val="00F3513E"/>
    <w:rsid w:val="00F35D6B"/>
    <w:rsid w:val="00F37A6A"/>
    <w:rsid w:val="00F37EB3"/>
    <w:rsid w:val="00F402DE"/>
    <w:rsid w:val="00F403EB"/>
    <w:rsid w:val="00F410AF"/>
    <w:rsid w:val="00F41329"/>
    <w:rsid w:val="00F416A7"/>
    <w:rsid w:val="00F416FE"/>
    <w:rsid w:val="00F426FF"/>
    <w:rsid w:val="00F45628"/>
    <w:rsid w:val="00F45C85"/>
    <w:rsid w:val="00F4678D"/>
    <w:rsid w:val="00F469FF"/>
    <w:rsid w:val="00F46D3F"/>
    <w:rsid w:val="00F47C9E"/>
    <w:rsid w:val="00F511B8"/>
    <w:rsid w:val="00F5199F"/>
    <w:rsid w:val="00F51AC6"/>
    <w:rsid w:val="00F52017"/>
    <w:rsid w:val="00F536CA"/>
    <w:rsid w:val="00F537EC"/>
    <w:rsid w:val="00F53CA6"/>
    <w:rsid w:val="00F55142"/>
    <w:rsid w:val="00F56533"/>
    <w:rsid w:val="00F56819"/>
    <w:rsid w:val="00F56A46"/>
    <w:rsid w:val="00F56C27"/>
    <w:rsid w:val="00F571DE"/>
    <w:rsid w:val="00F627AF"/>
    <w:rsid w:val="00F63C57"/>
    <w:rsid w:val="00F63E30"/>
    <w:rsid w:val="00F63F7B"/>
    <w:rsid w:val="00F64271"/>
    <w:rsid w:val="00F6436E"/>
    <w:rsid w:val="00F64C56"/>
    <w:rsid w:val="00F64CF4"/>
    <w:rsid w:val="00F650D5"/>
    <w:rsid w:val="00F6644F"/>
    <w:rsid w:val="00F67441"/>
    <w:rsid w:val="00F674F7"/>
    <w:rsid w:val="00F707EB"/>
    <w:rsid w:val="00F70DA0"/>
    <w:rsid w:val="00F72F6C"/>
    <w:rsid w:val="00F75777"/>
    <w:rsid w:val="00F75E27"/>
    <w:rsid w:val="00F76A57"/>
    <w:rsid w:val="00F7772C"/>
    <w:rsid w:val="00F77CAA"/>
    <w:rsid w:val="00F810F3"/>
    <w:rsid w:val="00F821DC"/>
    <w:rsid w:val="00F82E9B"/>
    <w:rsid w:val="00F844BF"/>
    <w:rsid w:val="00F85686"/>
    <w:rsid w:val="00F8587A"/>
    <w:rsid w:val="00F86726"/>
    <w:rsid w:val="00F86D71"/>
    <w:rsid w:val="00F87B7E"/>
    <w:rsid w:val="00F90886"/>
    <w:rsid w:val="00F910FC"/>
    <w:rsid w:val="00F9132D"/>
    <w:rsid w:val="00F92B9F"/>
    <w:rsid w:val="00F92D1E"/>
    <w:rsid w:val="00F92EE0"/>
    <w:rsid w:val="00F93B74"/>
    <w:rsid w:val="00F954CD"/>
    <w:rsid w:val="00F959DC"/>
    <w:rsid w:val="00F960F0"/>
    <w:rsid w:val="00F964CF"/>
    <w:rsid w:val="00F965CE"/>
    <w:rsid w:val="00F96B34"/>
    <w:rsid w:val="00F97C17"/>
    <w:rsid w:val="00F97C76"/>
    <w:rsid w:val="00F97FB5"/>
    <w:rsid w:val="00FA2A21"/>
    <w:rsid w:val="00FA36FD"/>
    <w:rsid w:val="00FA4358"/>
    <w:rsid w:val="00FA4A09"/>
    <w:rsid w:val="00FA55AC"/>
    <w:rsid w:val="00FA5AB5"/>
    <w:rsid w:val="00FA60C0"/>
    <w:rsid w:val="00FA666B"/>
    <w:rsid w:val="00FA70E6"/>
    <w:rsid w:val="00FB0457"/>
    <w:rsid w:val="00FB05A9"/>
    <w:rsid w:val="00FB16EF"/>
    <w:rsid w:val="00FB236F"/>
    <w:rsid w:val="00FB2FD8"/>
    <w:rsid w:val="00FB3EC5"/>
    <w:rsid w:val="00FB44E1"/>
    <w:rsid w:val="00FB493A"/>
    <w:rsid w:val="00FB518F"/>
    <w:rsid w:val="00FB526F"/>
    <w:rsid w:val="00FB578C"/>
    <w:rsid w:val="00FB5B7D"/>
    <w:rsid w:val="00FB601A"/>
    <w:rsid w:val="00FB6632"/>
    <w:rsid w:val="00FB6F78"/>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E0120"/>
    <w:rsid w:val="00FE0191"/>
    <w:rsid w:val="00FE0494"/>
    <w:rsid w:val="00FE1B92"/>
    <w:rsid w:val="00FE1EC6"/>
    <w:rsid w:val="00FE3CA0"/>
    <w:rsid w:val="00FE52D3"/>
    <w:rsid w:val="00FF0DBF"/>
    <w:rsid w:val="00FF0E4B"/>
    <w:rsid w:val="00FF0EE9"/>
    <w:rsid w:val="00FF17DC"/>
    <w:rsid w:val="00FF1988"/>
    <w:rsid w:val="00FF1CA0"/>
    <w:rsid w:val="00FF2138"/>
    <w:rsid w:val="00FF4408"/>
    <w:rsid w:val="00FF44A6"/>
    <w:rsid w:val="00FF4AF0"/>
    <w:rsid w:val="00FF57A6"/>
    <w:rsid w:val="00FF6397"/>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FE"/>
    <w:rPr>
      <w:rFonts w:ascii="Times New Roman" w:eastAsia="Times New Roman" w:hAnsi="Times New Roman"/>
      <w:sz w:val="24"/>
      <w:szCs w:val="24"/>
    </w:rPr>
  </w:style>
  <w:style w:type="paragraph" w:styleId="Heading1">
    <w:name w:val="heading 1"/>
    <w:basedOn w:val="Normal"/>
    <w:next w:val="Normal"/>
    <w:link w:val="Heading1Char"/>
    <w:qFormat/>
    <w:rsid w:val="006B7699"/>
    <w:pPr>
      <w:keepNext/>
      <w:outlineLvl w:val="0"/>
    </w:pPr>
    <w:rPr>
      <w:b/>
      <w:bCs/>
      <w:sz w:val="28"/>
      <w:lang w:eastAsia="en-US"/>
    </w:rPr>
  </w:style>
  <w:style w:type="paragraph" w:styleId="Heading2">
    <w:name w:val="heading 2"/>
    <w:basedOn w:val="Normal"/>
    <w:next w:val="Normal"/>
    <w:link w:val="Heading2Char"/>
    <w:uiPriority w:val="9"/>
    <w:unhideWhenUsed/>
    <w:qFormat/>
    <w:rsid w:val="006B620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D0AFE"/>
    <w:pPr>
      <w:spacing w:before="100" w:beforeAutospacing="1" w:after="100" w:afterAutospacing="1"/>
    </w:pPr>
  </w:style>
  <w:style w:type="paragraph" w:customStyle="1" w:styleId="naisf">
    <w:name w:val="naisf"/>
    <w:basedOn w:val="Normal"/>
    <w:link w:val="naisfChar"/>
    <w:rsid w:val="00BD0AFE"/>
    <w:pPr>
      <w:spacing w:before="75" w:after="75"/>
      <w:ind w:firstLine="375"/>
      <w:jc w:val="both"/>
    </w:pPr>
  </w:style>
  <w:style w:type="paragraph" w:customStyle="1" w:styleId="naisnod">
    <w:name w:val="naisnod"/>
    <w:basedOn w:val="Normal"/>
    <w:rsid w:val="00BD0AFE"/>
    <w:pPr>
      <w:spacing w:before="150" w:after="150"/>
      <w:jc w:val="center"/>
    </w:pPr>
    <w:rPr>
      <w:b/>
      <w:bCs/>
    </w:rPr>
  </w:style>
  <w:style w:type="paragraph" w:customStyle="1" w:styleId="naiskr">
    <w:name w:val="naiskr"/>
    <w:basedOn w:val="Normal"/>
    <w:uiPriority w:val="99"/>
    <w:rsid w:val="00BD0AFE"/>
    <w:pPr>
      <w:spacing w:before="75" w:after="75"/>
    </w:pPr>
  </w:style>
  <w:style w:type="paragraph" w:customStyle="1" w:styleId="naisc">
    <w:name w:val="naisc"/>
    <w:basedOn w:val="Normal"/>
    <w:uiPriority w:val="99"/>
    <w:rsid w:val="00BD0AFE"/>
    <w:pPr>
      <w:spacing w:before="75" w:after="75"/>
      <w:jc w:val="center"/>
    </w:pPr>
  </w:style>
  <w:style w:type="paragraph" w:styleId="Header">
    <w:name w:val="header"/>
    <w:basedOn w:val="Normal"/>
    <w:link w:val="HeaderChar"/>
    <w:uiPriority w:val="99"/>
    <w:rsid w:val="00BD0AFE"/>
    <w:pPr>
      <w:tabs>
        <w:tab w:val="center" w:pos="4153"/>
        <w:tab w:val="right" w:pos="8306"/>
      </w:tabs>
    </w:pPr>
  </w:style>
  <w:style w:type="character" w:customStyle="1" w:styleId="HeaderChar">
    <w:name w:val="Header Char"/>
    <w:link w:val="Header"/>
    <w:uiPriority w:val="99"/>
    <w:rsid w:val="00BD0AFE"/>
    <w:rPr>
      <w:rFonts w:ascii="Times New Roman" w:eastAsia="Times New Roman" w:hAnsi="Times New Roman" w:cs="Times New Roman"/>
      <w:sz w:val="24"/>
      <w:szCs w:val="24"/>
      <w:lang w:eastAsia="lv-LV"/>
    </w:rPr>
  </w:style>
  <w:style w:type="character" w:styleId="PageNumber">
    <w:name w:val="page number"/>
    <w:uiPriority w:val="99"/>
    <w:rsid w:val="00BD0AFE"/>
    <w:rPr>
      <w:rFonts w:cs="Times New Roman"/>
    </w:rPr>
  </w:style>
  <w:style w:type="paragraph" w:styleId="Footer">
    <w:name w:val="footer"/>
    <w:basedOn w:val="Normal"/>
    <w:link w:val="FooterChar"/>
    <w:uiPriority w:val="99"/>
    <w:rsid w:val="00BD0AFE"/>
    <w:pPr>
      <w:tabs>
        <w:tab w:val="center" w:pos="4153"/>
        <w:tab w:val="right" w:pos="8306"/>
      </w:tabs>
    </w:pPr>
  </w:style>
  <w:style w:type="character" w:customStyle="1" w:styleId="FooterChar">
    <w:name w:val="Footer Char"/>
    <w:link w:val="Footer"/>
    <w:uiPriority w:val="99"/>
    <w:rsid w:val="00BD0AFE"/>
    <w:rPr>
      <w:rFonts w:ascii="Times New Roman" w:eastAsia="Times New Roman" w:hAnsi="Times New Roman" w:cs="Times New Roman"/>
      <w:sz w:val="24"/>
      <w:szCs w:val="24"/>
      <w:lang w:eastAsia="lv-LV"/>
    </w:rPr>
  </w:style>
  <w:style w:type="paragraph" w:styleId="BodyText2">
    <w:name w:val="Body Text 2"/>
    <w:basedOn w:val="Normal"/>
    <w:link w:val="BodyText2Char"/>
    <w:rsid w:val="00BD0AFE"/>
    <w:pPr>
      <w:jc w:val="center"/>
    </w:pPr>
    <w:rPr>
      <w:b/>
      <w:sz w:val="28"/>
      <w:szCs w:val="20"/>
      <w:lang w:eastAsia="en-US"/>
    </w:rPr>
  </w:style>
  <w:style w:type="character" w:customStyle="1" w:styleId="BodyText2Char">
    <w:name w:val="Body Text 2 Char"/>
    <w:link w:val="BodyText2"/>
    <w:rsid w:val="00BD0AFE"/>
    <w:rPr>
      <w:rFonts w:ascii="Times New Roman" w:eastAsia="Times New Roman" w:hAnsi="Times New Roman" w:cs="Times New Roman"/>
      <w:b/>
      <w:sz w:val="28"/>
      <w:szCs w:val="20"/>
    </w:rPr>
  </w:style>
  <w:style w:type="paragraph" w:customStyle="1" w:styleId="Preformatted">
    <w:name w:val="Preformatted"/>
    <w:basedOn w:val="Normal"/>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ListParagraph">
    <w:name w:val="List Paragraph"/>
    <w:basedOn w:val="Normal"/>
    <w:uiPriority w:val="34"/>
    <w:qFormat/>
    <w:rsid w:val="00BD0AFE"/>
    <w:pPr>
      <w:ind w:left="720"/>
    </w:pPr>
    <w:rPr>
      <w:rFonts w:ascii="Calibri" w:eastAsia="Calibri" w:hAnsi="Calibri"/>
      <w:sz w:val="22"/>
      <w:szCs w:val="22"/>
    </w:rPr>
  </w:style>
  <w:style w:type="paragraph" w:styleId="NoSpacing">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Normal"/>
    <w:rsid w:val="00E64435"/>
    <w:pPr>
      <w:spacing w:before="40"/>
    </w:pPr>
    <w:rPr>
      <w:sz w:val="28"/>
      <w:szCs w:val="20"/>
      <w:lang w:eastAsia="en-US"/>
    </w:rPr>
  </w:style>
  <w:style w:type="character" w:customStyle="1" w:styleId="Heading1Char">
    <w:name w:val="Heading 1 Char"/>
    <w:link w:val="Heading1"/>
    <w:rsid w:val="006B7699"/>
    <w:rPr>
      <w:rFonts w:ascii="Times New Roman" w:eastAsia="Times New Roman" w:hAnsi="Times New Roman" w:cs="Times New Roman"/>
      <w:b/>
      <w:bCs/>
      <w:sz w:val="28"/>
      <w:szCs w:val="24"/>
    </w:rPr>
  </w:style>
  <w:style w:type="character" w:styleId="Hyperlink">
    <w:name w:val="Hyperlink"/>
    <w:unhideWhenUsed/>
    <w:rsid w:val="00A42B61"/>
    <w:rPr>
      <w:color w:val="0000FF"/>
      <w:u w:val="single"/>
    </w:rPr>
  </w:style>
  <w:style w:type="paragraph" w:customStyle="1" w:styleId="CharChar1">
    <w:name w:val="Char Char1"/>
    <w:basedOn w:val="Normal"/>
    <w:rsid w:val="0029414C"/>
    <w:pPr>
      <w:spacing w:before="40"/>
    </w:pPr>
    <w:rPr>
      <w:sz w:val="28"/>
      <w:szCs w:val="20"/>
      <w:lang w:eastAsia="en-US"/>
    </w:rPr>
  </w:style>
  <w:style w:type="paragraph" w:styleId="BodyText">
    <w:name w:val="Body Text"/>
    <w:basedOn w:val="Normal"/>
    <w:link w:val="BodyTextChar"/>
    <w:uiPriority w:val="99"/>
    <w:semiHidden/>
    <w:unhideWhenUsed/>
    <w:rsid w:val="00A43146"/>
    <w:pPr>
      <w:spacing w:after="120"/>
    </w:pPr>
  </w:style>
  <w:style w:type="character" w:customStyle="1" w:styleId="BodyTextChar">
    <w:name w:val="Body Text Char"/>
    <w:link w:val="BodyText"/>
    <w:uiPriority w:val="99"/>
    <w:semiHidden/>
    <w:rsid w:val="00A431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7309"/>
    <w:rPr>
      <w:rFonts w:ascii="Tahoma" w:hAnsi="Tahoma" w:cs="Tahoma"/>
      <w:sz w:val="16"/>
      <w:szCs w:val="16"/>
    </w:rPr>
  </w:style>
  <w:style w:type="character" w:customStyle="1" w:styleId="BalloonTextChar">
    <w:name w:val="Balloon Text Char"/>
    <w:link w:val="BalloonText"/>
    <w:uiPriority w:val="99"/>
    <w:semiHidden/>
    <w:rsid w:val="00927309"/>
    <w:rPr>
      <w:rFonts w:ascii="Tahoma" w:eastAsia="Times New Roman" w:hAnsi="Tahoma" w:cs="Tahoma"/>
      <w:sz w:val="16"/>
      <w:szCs w:val="16"/>
      <w:lang w:eastAsia="lv-LV"/>
    </w:rPr>
  </w:style>
  <w:style w:type="character" w:customStyle="1" w:styleId="Heading2Char">
    <w:name w:val="Heading 2 Char"/>
    <w:link w:val="Heading2"/>
    <w:rsid w:val="006B6204"/>
    <w:rPr>
      <w:rFonts w:ascii="Cambria" w:eastAsia="Times New Roman" w:hAnsi="Cambria" w:cs="Times New Roman"/>
      <w:b/>
      <w:bCs/>
      <w:i/>
      <w:iCs/>
      <w:sz w:val="28"/>
      <w:szCs w:val="28"/>
    </w:rPr>
  </w:style>
  <w:style w:type="paragraph" w:customStyle="1" w:styleId="tv2131">
    <w:name w:val="tv2131"/>
    <w:basedOn w:val="Normal"/>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41452"/>
    <w:pPr>
      <w:spacing w:before="45" w:line="360" w:lineRule="auto"/>
      <w:ind w:firstLine="300"/>
    </w:pPr>
    <w:rPr>
      <w:rFonts w:ascii="Verdana" w:hAnsi="Verdana"/>
      <w:i/>
      <w:iCs/>
      <w:sz w:val="17"/>
      <w:szCs w:val="17"/>
    </w:rPr>
  </w:style>
  <w:style w:type="character" w:styleId="Strong">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
    <w:name w:val="Bez atstarpēm"/>
    <w:uiPriority w:val="1"/>
    <w:qFormat/>
    <w:rsid w:val="00B04252"/>
    <w:rPr>
      <w:sz w:val="22"/>
      <w:szCs w:val="22"/>
      <w:lang w:val="en-US" w:eastAsia="en-US"/>
    </w:rPr>
  </w:style>
  <w:style w:type="character" w:styleId="Emphasis">
    <w:name w:val="Emphasis"/>
    <w:uiPriority w:val="20"/>
    <w:qFormat/>
    <w:rsid w:val="00B04252"/>
    <w:rPr>
      <w:i/>
      <w:iCs/>
    </w:rPr>
  </w:style>
  <w:style w:type="paragraph" w:customStyle="1" w:styleId="tv20787921">
    <w:name w:val="tv207_87_921"/>
    <w:basedOn w:val="Normal"/>
    <w:rsid w:val="00F061A0"/>
    <w:pPr>
      <w:spacing w:after="567" w:line="360" w:lineRule="auto"/>
      <w:jc w:val="center"/>
    </w:pPr>
    <w:rPr>
      <w:rFonts w:ascii="Verdana" w:hAnsi="Verdana"/>
      <w:b/>
      <w:bCs/>
      <w:sz w:val="28"/>
      <w:szCs w:val="28"/>
    </w:rPr>
  </w:style>
  <w:style w:type="paragraph" w:customStyle="1" w:styleId="tv20687921">
    <w:name w:val="tv206_87_921"/>
    <w:basedOn w:val="Normal"/>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Normal"/>
    <w:rsid w:val="00254F19"/>
    <w:pPr>
      <w:spacing w:after="567" w:line="360" w:lineRule="auto"/>
      <w:jc w:val="center"/>
    </w:pPr>
    <w:rPr>
      <w:rFonts w:ascii="Verdana" w:hAnsi="Verdana"/>
      <w:b/>
      <w:bCs/>
      <w:sz w:val="27"/>
      <w:szCs w:val="27"/>
    </w:rPr>
  </w:style>
  <w:style w:type="paragraph" w:customStyle="1" w:styleId="tv90087921">
    <w:name w:val="tv900_87_921"/>
    <w:basedOn w:val="Normal"/>
    <w:rsid w:val="003C229E"/>
    <w:pPr>
      <w:spacing w:after="567" w:line="360" w:lineRule="auto"/>
      <w:ind w:firstLine="300"/>
      <w:jc w:val="right"/>
    </w:pPr>
    <w:rPr>
      <w:rFonts w:ascii="Verdana" w:hAnsi="Verdana"/>
      <w:i/>
      <w:iCs/>
      <w:sz w:val="18"/>
      <w:szCs w:val="18"/>
    </w:rPr>
  </w:style>
  <w:style w:type="paragraph" w:customStyle="1" w:styleId="tv2121">
    <w:name w:val="tv2121"/>
    <w:basedOn w:val="Normal"/>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CommentReference">
    <w:name w:val="annotation reference"/>
    <w:uiPriority w:val="99"/>
    <w:semiHidden/>
    <w:unhideWhenUsed/>
    <w:rsid w:val="007A2CE1"/>
    <w:rPr>
      <w:sz w:val="16"/>
      <w:szCs w:val="16"/>
    </w:rPr>
  </w:style>
  <w:style w:type="paragraph" w:styleId="CommentText">
    <w:name w:val="annotation text"/>
    <w:basedOn w:val="Normal"/>
    <w:link w:val="CommentTextChar"/>
    <w:uiPriority w:val="99"/>
    <w:unhideWhenUsed/>
    <w:rsid w:val="007A2CE1"/>
    <w:rPr>
      <w:sz w:val="20"/>
      <w:szCs w:val="20"/>
      <w:lang w:val="en-GB" w:eastAsia="en-US"/>
    </w:rPr>
  </w:style>
  <w:style w:type="character" w:customStyle="1" w:styleId="CommentTextChar">
    <w:name w:val="Comment Text Char"/>
    <w:link w:val="CommentText"/>
    <w:uiPriority w:val="99"/>
    <w:rsid w:val="007A2CE1"/>
    <w:rPr>
      <w:rFonts w:ascii="Times New Roman" w:eastAsia="Times New Roman" w:hAnsi="Times New Roman"/>
      <w:lang w:val="en-GB" w:eastAsia="en-US"/>
    </w:rPr>
  </w:style>
  <w:style w:type="paragraph" w:customStyle="1" w:styleId="naislab">
    <w:name w:val="naislab"/>
    <w:basedOn w:val="Normal"/>
    <w:rsid w:val="004A5208"/>
    <w:pPr>
      <w:spacing w:before="75" w:after="75"/>
      <w:jc w:val="right"/>
    </w:pPr>
  </w:style>
  <w:style w:type="paragraph" w:styleId="PlainText">
    <w:name w:val="Plain Text"/>
    <w:basedOn w:val="Normal"/>
    <w:link w:val="PlainTextChar"/>
    <w:uiPriority w:val="99"/>
    <w:unhideWhenUsed/>
    <w:rsid w:val="004E2010"/>
    <w:rPr>
      <w:rFonts w:ascii="Calibri" w:eastAsia="Calibri" w:hAnsi="Calibri"/>
      <w:sz w:val="22"/>
      <w:szCs w:val="21"/>
      <w:lang w:eastAsia="en-US"/>
    </w:rPr>
  </w:style>
  <w:style w:type="character" w:customStyle="1" w:styleId="PlainTextChar">
    <w:name w:val="Plain Text Char"/>
    <w:link w:val="PlainText"/>
    <w:uiPriority w:val="99"/>
    <w:rsid w:val="004E2010"/>
    <w:rPr>
      <w:sz w:val="22"/>
      <w:szCs w:val="21"/>
      <w:lang w:eastAsia="en-US"/>
    </w:rPr>
  </w:style>
  <w:style w:type="character" w:customStyle="1" w:styleId="NormalWebChar">
    <w:name w:val="Normal (Web) Char"/>
    <w:link w:val="NormalWeb"/>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FollowedHyperlink">
    <w:name w:val="FollowedHyperlink"/>
    <w:uiPriority w:val="99"/>
    <w:semiHidden/>
    <w:unhideWhenUsed/>
    <w:rsid w:val="002F71A1"/>
    <w:rPr>
      <w:color w:val="800080"/>
      <w:u w:val="single"/>
    </w:rPr>
  </w:style>
  <w:style w:type="paragraph" w:customStyle="1" w:styleId="tv213">
    <w:name w:val="tv213"/>
    <w:basedOn w:val="Normal"/>
    <w:rsid w:val="00F954CD"/>
    <w:pPr>
      <w:ind w:firstLine="709"/>
    </w:pPr>
  </w:style>
  <w:style w:type="paragraph" w:customStyle="1" w:styleId="tv2132">
    <w:name w:val="tv2132"/>
    <w:basedOn w:val="Normal"/>
    <w:rsid w:val="00CF2D45"/>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597A11"/>
    <w:rPr>
      <w:sz w:val="20"/>
      <w:szCs w:val="20"/>
    </w:rPr>
  </w:style>
  <w:style w:type="character" w:customStyle="1" w:styleId="FootnoteTextChar">
    <w:name w:val="Footnote Text Char"/>
    <w:link w:val="FootnoteText"/>
    <w:uiPriority w:val="99"/>
    <w:semiHidden/>
    <w:rsid w:val="00597A11"/>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CommentSubject">
    <w:name w:val="annotation subject"/>
    <w:basedOn w:val="CommentText"/>
    <w:next w:val="CommentText"/>
    <w:link w:val="CommentSubjectChar"/>
    <w:uiPriority w:val="99"/>
    <w:semiHidden/>
    <w:unhideWhenUsed/>
    <w:rsid w:val="001E012D"/>
    <w:rPr>
      <w:b/>
      <w:bCs/>
      <w:lang w:val="lv-LV" w:eastAsia="lv-LV"/>
    </w:rPr>
  </w:style>
  <w:style w:type="character" w:customStyle="1" w:styleId="CommentSubjectChar">
    <w:name w:val="Comment Subject Char"/>
    <w:basedOn w:val="CommentTextChar"/>
    <w:link w:val="CommentSubject"/>
    <w:uiPriority w:val="99"/>
    <w:semiHidden/>
    <w:rsid w:val="001E012D"/>
    <w:rPr>
      <w:rFonts w:ascii="Times New Roman" w:eastAsia="Times New Roman" w:hAnsi="Times New Roman"/>
      <w:b/>
      <w:bCs/>
      <w:lang w:val="en-GB" w:eastAsia="en-US"/>
    </w:rPr>
  </w:style>
  <w:style w:type="character" w:customStyle="1" w:styleId="italic">
    <w:name w:val="italic"/>
    <w:basedOn w:val="DefaultParagraphFont"/>
    <w:rsid w:val="00215131"/>
    <w:rPr>
      <w:i/>
      <w:iCs/>
    </w:rPr>
  </w:style>
  <w:style w:type="paragraph" w:styleId="BodyTextIndent">
    <w:name w:val="Body Text Indent"/>
    <w:basedOn w:val="Normal"/>
    <w:link w:val="BodyTextIndentChar"/>
    <w:uiPriority w:val="99"/>
    <w:unhideWhenUsed/>
    <w:rsid w:val="00372B58"/>
    <w:pPr>
      <w:spacing w:after="120"/>
      <w:ind w:left="283"/>
    </w:pPr>
  </w:style>
  <w:style w:type="character" w:customStyle="1" w:styleId="BodyTextIndentChar">
    <w:name w:val="Body Text Indent Char"/>
    <w:basedOn w:val="DefaultParagraphFont"/>
    <w:link w:val="BodyTextIndent"/>
    <w:uiPriority w:val="99"/>
    <w:rsid w:val="00372B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79B9"/>
    <w:rPr>
      <w:color w:val="605E5C"/>
      <w:shd w:val="clear" w:color="auto" w:fill="E1DFDD"/>
    </w:rPr>
  </w:style>
  <w:style w:type="paragraph" w:styleId="ListBullet">
    <w:name w:val="List Bullet"/>
    <w:basedOn w:val="Normal"/>
    <w:uiPriority w:val="99"/>
    <w:unhideWhenUsed/>
    <w:rsid w:val="00A27EFC"/>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76557860">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55948061">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3714769">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16664531">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184324165">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29554081">
      <w:bodyDiv w:val="1"/>
      <w:marLeft w:val="0"/>
      <w:marRight w:val="0"/>
      <w:marTop w:val="0"/>
      <w:marBottom w:val="0"/>
      <w:divBdr>
        <w:top w:val="none" w:sz="0" w:space="0" w:color="auto"/>
        <w:left w:val="none" w:sz="0" w:space="0" w:color="auto"/>
        <w:bottom w:val="none" w:sz="0" w:space="0" w:color="auto"/>
        <w:right w:val="none" w:sz="0" w:space="0" w:color="auto"/>
      </w:divBdr>
    </w:div>
    <w:div w:id="1644850529">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1906-940B-4DB9-BE58-CC783135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19520</Words>
  <Characters>11127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30586</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Ance Ansone</dc:creator>
  <cp:lastModifiedBy>Ance Ansone</cp:lastModifiedBy>
  <cp:revision>12</cp:revision>
  <cp:lastPrinted>2019-01-10T17:30:00Z</cp:lastPrinted>
  <dcterms:created xsi:type="dcterms:W3CDTF">2019-12-05T14:43:00Z</dcterms:created>
  <dcterms:modified xsi:type="dcterms:W3CDTF">2019-12-06T09:13:00Z</dcterms:modified>
</cp:coreProperties>
</file>