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E5B1" w14:textId="53E25850" w:rsidR="006C613C" w:rsidRPr="00DC34FD" w:rsidRDefault="00623910" w:rsidP="00284228">
      <w:pPr>
        <w:pStyle w:val="naisnod"/>
        <w:spacing w:before="0" w:after="0"/>
        <w:ind w:firstLine="720"/>
        <w:rPr>
          <w:color w:val="000000" w:themeColor="text1"/>
          <w:sz w:val="22"/>
          <w:szCs w:val="22"/>
        </w:rPr>
      </w:pPr>
      <w:bookmarkStart w:id="0" w:name="_GoBack"/>
      <w:bookmarkEnd w:id="0"/>
      <w:r w:rsidRPr="00DC34FD">
        <w:rPr>
          <w:color w:val="000000" w:themeColor="text1"/>
          <w:sz w:val="22"/>
          <w:szCs w:val="22"/>
        </w:rPr>
        <w:t>Izziņa par atzinumos sniegtajiem iebildumiem</w:t>
      </w:r>
      <w:r w:rsidR="006B75C8" w:rsidRPr="00DC34FD">
        <w:rPr>
          <w:color w:val="000000" w:themeColor="text1"/>
          <w:sz w:val="22"/>
          <w:szCs w:val="22"/>
        </w:rPr>
        <w:t xml:space="preserve"> par</w:t>
      </w:r>
    </w:p>
    <w:p w14:paraId="5A02AF2F" w14:textId="040BB3DB" w:rsidR="00623910" w:rsidRPr="00DC34FD" w:rsidRDefault="006D402E" w:rsidP="00284228">
      <w:pPr>
        <w:pStyle w:val="naisnod"/>
        <w:spacing w:before="0" w:after="0"/>
        <w:ind w:firstLine="720"/>
        <w:rPr>
          <w:color w:val="000000" w:themeColor="text1"/>
          <w:sz w:val="22"/>
          <w:szCs w:val="22"/>
        </w:rPr>
      </w:pPr>
      <w:bookmarkStart w:id="1" w:name="_Hlk5367089"/>
      <w:r w:rsidRPr="00DC34FD">
        <w:rPr>
          <w:color w:val="000000" w:themeColor="text1"/>
          <w:sz w:val="22"/>
          <w:szCs w:val="22"/>
        </w:rPr>
        <w:t xml:space="preserve">Ministru kabineta noteikumu </w:t>
      </w:r>
      <w:r w:rsidR="006C613C" w:rsidRPr="00DC34FD">
        <w:rPr>
          <w:color w:val="000000" w:themeColor="text1"/>
          <w:sz w:val="22"/>
          <w:szCs w:val="22"/>
        </w:rPr>
        <w:t>projektu “</w:t>
      </w:r>
      <w:r w:rsidR="00D33DBB">
        <w:rPr>
          <w:color w:val="000000" w:themeColor="text1"/>
          <w:sz w:val="22"/>
          <w:szCs w:val="22"/>
        </w:rPr>
        <w:t>S</w:t>
      </w:r>
      <w:r w:rsidRPr="00DC34FD">
        <w:rPr>
          <w:color w:val="000000" w:themeColor="text1"/>
          <w:sz w:val="22"/>
          <w:szCs w:val="22"/>
        </w:rPr>
        <w:t xml:space="preserve">pēļu </w:t>
      </w:r>
      <w:r w:rsidR="00BF2AB1" w:rsidRPr="00DC34FD">
        <w:rPr>
          <w:color w:val="000000" w:themeColor="text1"/>
          <w:sz w:val="22"/>
          <w:szCs w:val="22"/>
        </w:rPr>
        <w:t xml:space="preserve">un rekreācijas </w:t>
      </w:r>
      <w:r w:rsidRPr="00DC34FD">
        <w:rPr>
          <w:color w:val="000000" w:themeColor="text1"/>
          <w:sz w:val="22"/>
          <w:szCs w:val="22"/>
        </w:rPr>
        <w:t>laukum</w:t>
      </w:r>
      <w:r w:rsidR="00006EFD">
        <w:rPr>
          <w:color w:val="000000" w:themeColor="text1"/>
          <w:sz w:val="22"/>
          <w:szCs w:val="22"/>
        </w:rPr>
        <w:t>u drošuma noteikumi</w:t>
      </w:r>
      <w:r w:rsidR="006C613C" w:rsidRPr="00DC34FD">
        <w:rPr>
          <w:color w:val="000000" w:themeColor="text1"/>
          <w:sz w:val="22"/>
          <w:szCs w:val="22"/>
        </w:rPr>
        <w:t>” (VSS-</w:t>
      </w:r>
      <w:r w:rsidRPr="00DC34FD">
        <w:rPr>
          <w:color w:val="000000" w:themeColor="text1"/>
          <w:sz w:val="22"/>
          <w:szCs w:val="22"/>
        </w:rPr>
        <w:t>219</w:t>
      </w:r>
      <w:r w:rsidR="006C613C" w:rsidRPr="00DC34FD">
        <w:rPr>
          <w:color w:val="000000" w:themeColor="text1"/>
          <w:sz w:val="22"/>
          <w:szCs w:val="22"/>
        </w:rPr>
        <w:t>)</w:t>
      </w:r>
    </w:p>
    <w:bookmarkEnd w:id="1"/>
    <w:p w14:paraId="34078FE4" w14:textId="77777777" w:rsidR="006C613C" w:rsidRPr="00DC34FD" w:rsidRDefault="006C613C" w:rsidP="00284228">
      <w:pPr>
        <w:pStyle w:val="naislab"/>
        <w:spacing w:before="0" w:after="0"/>
        <w:jc w:val="both"/>
        <w:rPr>
          <w:color w:val="000000" w:themeColor="text1"/>
          <w:sz w:val="22"/>
          <w:szCs w:val="22"/>
        </w:rPr>
      </w:pPr>
    </w:p>
    <w:p w14:paraId="2127F44C" w14:textId="77777777" w:rsidR="00623910" w:rsidRPr="00DC34FD" w:rsidRDefault="00623910" w:rsidP="00284228">
      <w:pPr>
        <w:pStyle w:val="naisf"/>
        <w:spacing w:before="0" w:after="0"/>
        <w:rPr>
          <w:b/>
          <w:color w:val="000000" w:themeColor="text1"/>
          <w:sz w:val="22"/>
          <w:szCs w:val="22"/>
        </w:rPr>
      </w:pPr>
      <w:r w:rsidRPr="00DC34FD">
        <w:rPr>
          <w:b/>
          <w:color w:val="000000" w:themeColor="text1"/>
          <w:sz w:val="22"/>
          <w:szCs w:val="22"/>
        </w:rPr>
        <w:t>I. Jautājumi, par kuriem saskaņošanā vienošanās nav panākta</w:t>
      </w:r>
    </w:p>
    <w:p w14:paraId="14D3D29E" w14:textId="77777777" w:rsidR="00623910" w:rsidRPr="00DC34FD" w:rsidRDefault="00623910" w:rsidP="00284228">
      <w:pPr>
        <w:pStyle w:val="naisf"/>
        <w:spacing w:before="0" w:after="0"/>
        <w:rPr>
          <w:b/>
          <w:color w:val="000000" w:themeColor="text1"/>
          <w:sz w:val="22"/>
          <w:szCs w:val="22"/>
        </w:rPr>
      </w:pPr>
    </w:p>
    <w:tbl>
      <w:tblPr>
        <w:tblW w:w="15057" w:type="dxa"/>
        <w:tblInd w:w="-91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1"/>
        <w:gridCol w:w="2437"/>
        <w:gridCol w:w="3402"/>
        <w:gridCol w:w="3119"/>
        <w:gridCol w:w="1417"/>
        <w:gridCol w:w="3941"/>
      </w:tblGrid>
      <w:tr w:rsidR="002C3575" w:rsidRPr="00DC34FD" w14:paraId="0BDDB923" w14:textId="0D7E5630" w:rsidTr="00F81455">
        <w:tc>
          <w:tcPr>
            <w:tcW w:w="741" w:type="dxa"/>
            <w:tcBorders>
              <w:top w:val="single" w:sz="4" w:space="0" w:color="auto"/>
              <w:left w:val="single" w:sz="4" w:space="0" w:color="auto"/>
              <w:bottom w:val="single" w:sz="4" w:space="0" w:color="auto"/>
              <w:right w:val="single" w:sz="4" w:space="0" w:color="auto"/>
            </w:tcBorders>
          </w:tcPr>
          <w:p w14:paraId="55E668A8" w14:textId="7F0A1344" w:rsidR="002C3575" w:rsidRPr="00DC34FD" w:rsidRDefault="002C3575" w:rsidP="00353679">
            <w:pPr>
              <w:spacing w:after="0" w:line="240" w:lineRule="auto"/>
              <w:jc w:val="center"/>
              <w:rPr>
                <w:rFonts w:ascii="Times New Roman" w:hAnsi="Times New Roman" w:cs="Times New Roman"/>
              </w:rPr>
            </w:pPr>
            <w:r w:rsidRPr="00DC34FD">
              <w:rPr>
                <w:rFonts w:ascii="Times New Roman" w:hAnsi="Times New Roman" w:cs="Times New Roman"/>
                <w:color w:val="000000" w:themeColor="text1"/>
              </w:rPr>
              <w:t>Nr. p.k.</w:t>
            </w:r>
          </w:p>
        </w:tc>
        <w:tc>
          <w:tcPr>
            <w:tcW w:w="2437" w:type="dxa"/>
            <w:tcBorders>
              <w:top w:val="single" w:sz="4" w:space="0" w:color="auto"/>
              <w:left w:val="single" w:sz="4" w:space="0" w:color="auto"/>
              <w:bottom w:val="single" w:sz="4" w:space="0" w:color="auto"/>
              <w:right w:val="single" w:sz="4" w:space="0" w:color="auto"/>
            </w:tcBorders>
          </w:tcPr>
          <w:p w14:paraId="0349C895" w14:textId="091A6BE4" w:rsidR="002C3575" w:rsidRPr="00DC34FD" w:rsidRDefault="002C3575" w:rsidP="00353679">
            <w:pPr>
              <w:spacing w:after="0" w:line="240" w:lineRule="auto"/>
              <w:rPr>
                <w:rFonts w:ascii="Times New Roman" w:hAnsi="Times New Roman" w:cs="Times New Roman"/>
                <w:b/>
              </w:rPr>
            </w:pPr>
            <w:r w:rsidRPr="00DC34FD">
              <w:rPr>
                <w:rFonts w:ascii="Times New Roman" w:hAnsi="Times New Roman" w:cs="Times New Roman"/>
                <w:color w:val="000000" w:themeColor="text1"/>
              </w:rPr>
              <w:t>Saskaņošanai nosūtītā projekta redakcija (konkrēta punkta (panta) redakcija)</w:t>
            </w:r>
          </w:p>
        </w:tc>
        <w:tc>
          <w:tcPr>
            <w:tcW w:w="3402" w:type="dxa"/>
            <w:tcBorders>
              <w:top w:val="single" w:sz="4" w:space="0" w:color="auto"/>
              <w:left w:val="single" w:sz="4" w:space="0" w:color="auto"/>
              <w:bottom w:val="single" w:sz="4" w:space="0" w:color="auto"/>
              <w:right w:val="single" w:sz="4" w:space="0" w:color="auto"/>
            </w:tcBorders>
          </w:tcPr>
          <w:p w14:paraId="40A09D8C" w14:textId="3A8C3B91" w:rsidR="002C3575" w:rsidRPr="00DC34FD" w:rsidRDefault="002C3575" w:rsidP="00353679">
            <w:pPr>
              <w:spacing w:after="0" w:line="240" w:lineRule="auto"/>
              <w:jc w:val="center"/>
              <w:rPr>
                <w:rFonts w:ascii="Times New Roman" w:hAnsi="Times New Roman" w:cs="Times New Roman"/>
                <w:b/>
                <w:color w:val="000000" w:themeColor="text1"/>
              </w:rPr>
            </w:pPr>
            <w:r w:rsidRPr="00DC34FD">
              <w:rPr>
                <w:rFonts w:ascii="Times New Roman" w:hAnsi="Times New Roman" w:cs="Times New Roman"/>
                <w:color w:val="000000" w:themeColor="text1"/>
              </w:rPr>
              <w:t>Atzinumā norādītais ministrijas (citas institūcijas) iebildums, kā arī saskaņošanā papildus izteiktais iebildums par projekta konkrēto punktu (pantu)</w:t>
            </w:r>
          </w:p>
        </w:tc>
        <w:tc>
          <w:tcPr>
            <w:tcW w:w="3119" w:type="dxa"/>
            <w:tcBorders>
              <w:top w:val="single" w:sz="4" w:space="0" w:color="auto"/>
              <w:left w:val="single" w:sz="4" w:space="0" w:color="auto"/>
              <w:bottom w:val="single" w:sz="4" w:space="0" w:color="auto"/>
              <w:right w:val="single" w:sz="4" w:space="0" w:color="auto"/>
            </w:tcBorders>
          </w:tcPr>
          <w:p w14:paraId="6CC8DE26" w14:textId="5F2BCB85" w:rsidR="002C3575" w:rsidRPr="00DC34FD" w:rsidRDefault="002C3575" w:rsidP="00353679">
            <w:pPr>
              <w:pStyle w:val="naisc"/>
              <w:spacing w:before="0" w:after="0"/>
              <w:rPr>
                <w:b/>
                <w:sz w:val="22"/>
                <w:szCs w:val="22"/>
              </w:rPr>
            </w:pPr>
            <w:r w:rsidRPr="00DC34FD">
              <w:rPr>
                <w:color w:val="000000" w:themeColor="text1"/>
                <w:sz w:val="22"/>
                <w:szCs w:val="22"/>
              </w:rPr>
              <w:t>Atbildīgās ministrijas pamatojums iebilduma noraidījumam</w:t>
            </w:r>
          </w:p>
        </w:tc>
        <w:tc>
          <w:tcPr>
            <w:tcW w:w="1417" w:type="dxa"/>
            <w:tcBorders>
              <w:top w:val="single" w:sz="4" w:space="0" w:color="auto"/>
              <w:left w:val="single" w:sz="4" w:space="0" w:color="auto"/>
              <w:bottom w:val="single" w:sz="4" w:space="0" w:color="auto"/>
            </w:tcBorders>
          </w:tcPr>
          <w:p w14:paraId="70FF43EC" w14:textId="01B6135D" w:rsidR="002C3575" w:rsidRPr="00DC34FD" w:rsidRDefault="002C3575" w:rsidP="00A057A1">
            <w:pPr>
              <w:spacing w:after="0" w:line="240" w:lineRule="auto"/>
              <w:ind w:left="35"/>
              <w:jc w:val="center"/>
              <w:rPr>
                <w:rFonts w:ascii="Times New Roman" w:hAnsi="Times New Roman" w:cs="Times New Roman"/>
              </w:rPr>
            </w:pPr>
            <w:r w:rsidRPr="00DC34FD">
              <w:rPr>
                <w:rFonts w:ascii="Times New Roman" w:hAnsi="Times New Roman" w:cs="Times New Roman"/>
                <w:color w:val="000000" w:themeColor="text1"/>
              </w:rPr>
              <w:t>Atzinuma sniedzēja uzturētais iebildums, ja tas atšķiras no atzinumā norādītā iebilduma pamatojuma</w:t>
            </w:r>
          </w:p>
        </w:tc>
        <w:tc>
          <w:tcPr>
            <w:tcW w:w="3941" w:type="dxa"/>
            <w:tcBorders>
              <w:top w:val="single" w:sz="4" w:space="0" w:color="auto"/>
              <w:left w:val="single" w:sz="4" w:space="0" w:color="auto"/>
              <w:bottom w:val="single" w:sz="4" w:space="0" w:color="auto"/>
            </w:tcBorders>
          </w:tcPr>
          <w:p w14:paraId="13C55084" w14:textId="1C6C54B9" w:rsidR="002C3575" w:rsidRPr="00DC34FD" w:rsidRDefault="002C3575" w:rsidP="00353679">
            <w:pPr>
              <w:spacing w:after="0" w:line="240" w:lineRule="auto"/>
              <w:ind w:left="322"/>
              <w:jc w:val="both"/>
              <w:rPr>
                <w:rFonts w:ascii="Times New Roman" w:hAnsi="Times New Roman" w:cs="Times New Roman"/>
                <w:color w:val="000000" w:themeColor="text1"/>
              </w:rPr>
            </w:pPr>
            <w:r w:rsidRPr="00DC34FD">
              <w:rPr>
                <w:rFonts w:ascii="Times New Roman" w:hAnsi="Times New Roman" w:cs="Times New Roman"/>
                <w:color w:val="000000" w:themeColor="text1"/>
              </w:rPr>
              <w:t>Projekta attiecīgā punkta (panta) galīgā redakcija</w:t>
            </w:r>
          </w:p>
        </w:tc>
      </w:tr>
      <w:tr w:rsidR="00E4140D" w:rsidRPr="00DC34FD" w14:paraId="72A03B4C" w14:textId="77777777" w:rsidTr="00F81455">
        <w:tc>
          <w:tcPr>
            <w:tcW w:w="741" w:type="dxa"/>
            <w:tcBorders>
              <w:top w:val="single" w:sz="4" w:space="0" w:color="auto"/>
              <w:left w:val="single" w:sz="4" w:space="0" w:color="auto"/>
              <w:bottom w:val="single" w:sz="4" w:space="0" w:color="auto"/>
              <w:right w:val="single" w:sz="4" w:space="0" w:color="auto"/>
            </w:tcBorders>
          </w:tcPr>
          <w:p w14:paraId="7C44340F" w14:textId="0FE702A0" w:rsidR="00E4140D" w:rsidRPr="00DC34FD" w:rsidRDefault="00FA7423" w:rsidP="00353679">
            <w:pPr>
              <w:spacing w:after="0" w:line="240" w:lineRule="auto"/>
              <w:jc w:val="center"/>
              <w:rPr>
                <w:rFonts w:ascii="Times New Roman" w:hAnsi="Times New Roman" w:cs="Times New Roman"/>
                <w:color w:val="000000" w:themeColor="text1"/>
              </w:rPr>
            </w:pPr>
            <w:r w:rsidRPr="00DC34FD">
              <w:rPr>
                <w:rFonts w:ascii="Times New Roman" w:hAnsi="Times New Roman" w:cs="Times New Roman"/>
                <w:color w:val="000000" w:themeColor="text1"/>
              </w:rPr>
              <w:t>1.</w:t>
            </w:r>
          </w:p>
        </w:tc>
        <w:tc>
          <w:tcPr>
            <w:tcW w:w="2437" w:type="dxa"/>
            <w:tcBorders>
              <w:top w:val="single" w:sz="4" w:space="0" w:color="auto"/>
              <w:left w:val="single" w:sz="4" w:space="0" w:color="auto"/>
              <w:bottom w:val="single" w:sz="4" w:space="0" w:color="auto"/>
              <w:right w:val="single" w:sz="4" w:space="0" w:color="auto"/>
            </w:tcBorders>
          </w:tcPr>
          <w:p w14:paraId="5F8E0F45" w14:textId="3D100445" w:rsidR="00E4140D" w:rsidRPr="00DC34FD" w:rsidRDefault="00E4140D" w:rsidP="003B3161">
            <w:pPr>
              <w:spacing w:after="0" w:line="252"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67ECB297" w14:textId="34D7276B" w:rsidR="00E4140D" w:rsidRPr="00DC34FD" w:rsidRDefault="00E4140D" w:rsidP="00457AA6">
            <w:pPr>
              <w:pStyle w:val="NormalWeb"/>
              <w:spacing w:before="0" w:beforeAutospacing="0" w:after="120" w:afterAutospacing="0"/>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E8C339A" w14:textId="28E002C6" w:rsidR="00575498" w:rsidRPr="00DC34FD" w:rsidRDefault="00575498" w:rsidP="00BF5B16">
            <w:pPr>
              <w:jc w:val="both"/>
              <w:rPr>
                <w:rFonts w:ascii="Times New Roman" w:hAnsi="Times New Roman" w:cs="Times New Roman"/>
                <w:color w:val="414142"/>
              </w:rPr>
            </w:pPr>
          </w:p>
        </w:tc>
        <w:tc>
          <w:tcPr>
            <w:tcW w:w="1417" w:type="dxa"/>
            <w:tcBorders>
              <w:top w:val="single" w:sz="4" w:space="0" w:color="auto"/>
              <w:left w:val="single" w:sz="4" w:space="0" w:color="auto"/>
              <w:bottom w:val="single" w:sz="4" w:space="0" w:color="auto"/>
            </w:tcBorders>
          </w:tcPr>
          <w:p w14:paraId="63A49899" w14:textId="77777777" w:rsidR="00E4140D" w:rsidRPr="00DC34FD" w:rsidRDefault="00E4140D" w:rsidP="009660E9">
            <w:pPr>
              <w:spacing w:after="0" w:line="240" w:lineRule="auto"/>
              <w:ind w:left="35"/>
              <w:jc w:val="both"/>
              <w:rPr>
                <w:rFonts w:ascii="Times New Roman" w:hAnsi="Times New Roman" w:cs="Times New Roman"/>
                <w:color w:val="000000" w:themeColor="text1"/>
              </w:rPr>
            </w:pPr>
          </w:p>
        </w:tc>
        <w:tc>
          <w:tcPr>
            <w:tcW w:w="3941" w:type="dxa"/>
            <w:tcBorders>
              <w:top w:val="single" w:sz="4" w:space="0" w:color="auto"/>
              <w:left w:val="single" w:sz="4" w:space="0" w:color="auto"/>
              <w:bottom w:val="single" w:sz="4" w:space="0" w:color="auto"/>
            </w:tcBorders>
          </w:tcPr>
          <w:p w14:paraId="3C7F16F3" w14:textId="51183617" w:rsidR="00282CCA" w:rsidRPr="00DC34FD" w:rsidRDefault="00282CCA" w:rsidP="00282CCA">
            <w:pPr>
              <w:spacing w:after="0" w:line="240" w:lineRule="auto"/>
              <w:jc w:val="both"/>
              <w:rPr>
                <w:rFonts w:ascii="Times New Roman" w:hAnsi="Times New Roman" w:cs="Times New Roman"/>
                <w:b/>
              </w:rPr>
            </w:pPr>
          </w:p>
        </w:tc>
      </w:tr>
    </w:tbl>
    <w:p w14:paraId="4FA6FFFB" w14:textId="4DFCDD35" w:rsidR="00623910" w:rsidRPr="00DC34FD" w:rsidRDefault="00623910" w:rsidP="00284228">
      <w:pPr>
        <w:pStyle w:val="naisf"/>
        <w:spacing w:before="0" w:after="0"/>
        <w:rPr>
          <w:b/>
          <w:color w:val="000000" w:themeColor="text1"/>
          <w:sz w:val="22"/>
          <w:szCs w:val="22"/>
        </w:rPr>
      </w:pPr>
    </w:p>
    <w:p w14:paraId="54040026" w14:textId="77777777" w:rsidR="00FB552A" w:rsidRPr="00DC34FD" w:rsidRDefault="00FB552A" w:rsidP="00284228">
      <w:pPr>
        <w:spacing w:after="0" w:line="240" w:lineRule="auto"/>
        <w:jc w:val="both"/>
        <w:rPr>
          <w:rFonts w:ascii="Times New Roman" w:hAnsi="Times New Roman" w:cs="Times New Roman"/>
          <w:b/>
          <w:color w:val="000000" w:themeColor="text1"/>
        </w:rPr>
      </w:pPr>
    </w:p>
    <w:p w14:paraId="54B718AC" w14:textId="77777777" w:rsidR="00623910" w:rsidRPr="00DC34FD" w:rsidRDefault="00623910" w:rsidP="00284228">
      <w:pPr>
        <w:spacing w:after="0" w:line="240" w:lineRule="auto"/>
        <w:jc w:val="both"/>
        <w:rPr>
          <w:rFonts w:ascii="Times New Roman" w:hAnsi="Times New Roman" w:cs="Times New Roman"/>
          <w:b/>
          <w:color w:val="000000" w:themeColor="text1"/>
        </w:rPr>
      </w:pPr>
      <w:r w:rsidRPr="00DC34FD">
        <w:rPr>
          <w:rFonts w:ascii="Times New Roman" w:hAnsi="Times New Roman" w:cs="Times New Roman"/>
          <w:b/>
          <w:color w:val="000000" w:themeColor="text1"/>
        </w:rPr>
        <w:t>Informācija par starpministriju (starpinstitūciju) sanāksmi vai elektronisko saskaņošanu</w:t>
      </w:r>
    </w:p>
    <w:p w14:paraId="0F3A6C2F" w14:textId="77777777" w:rsidR="00623910" w:rsidRPr="00DC34FD" w:rsidRDefault="00623910" w:rsidP="00284228">
      <w:pPr>
        <w:pStyle w:val="naisf"/>
        <w:spacing w:before="0" w:after="0"/>
        <w:ind w:firstLine="0"/>
        <w:rPr>
          <w:b/>
          <w:color w:val="000000" w:themeColor="text1"/>
          <w:sz w:val="22"/>
          <w:szCs w:val="22"/>
        </w:rPr>
      </w:pPr>
    </w:p>
    <w:tbl>
      <w:tblPr>
        <w:tblW w:w="0" w:type="auto"/>
        <w:tblLook w:val="04A0" w:firstRow="1" w:lastRow="0" w:firstColumn="1" w:lastColumn="0" w:noHBand="0" w:noVBand="1"/>
      </w:tblPr>
      <w:tblGrid>
        <w:gridCol w:w="4531"/>
        <w:gridCol w:w="9472"/>
      </w:tblGrid>
      <w:tr w:rsidR="00623910" w:rsidRPr="00DC34FD" w14:paraId="51B9D2F4" w14:textId="77777777" w:rsidTr="00353679">
        <w:tc>
          <w:tcPr>
            <w:tcW w:w="4531" w:type="dxa"/>
          </w:tcPr>
          <w:p w14:paraId="4F54F78D" w14:textId="2D477DEF" w:rsidR="00CF47F7" w:rsidRPr="00DC34FD" w:rsidRDefault="00CF47F7" w:rsidP="00CF47F7">
            <w:pPr>
              <w:pStyle w:val="naisf"/>
              <w:tabs>
                <w:tab w:val="left" w:pos="1380"/>
              </w:tabs>
              <w:spacing w:before="0" w:after="0"/>
              <w:ind w:firstLine="0"/>
              <w:rPr>
                <w:b/>
                <w:color w:val="000000" w:themeColor="text1"/>
                <w:sz w:val="22"/>
                <w:szCs w:val="22"/>
              </w:rPr>
            </w:pPr>
          </w:p>
        </w:tc>
        <w:tc>
          <w:tcPr>
            <w:tcW w:w="9472" w:type="dxa"/>
          </w:tcPr>
          <w:p w14:paraId="0B506DE4" w14:textId="77777777" w:rsidR="006D4C18" w:rsidRDefault="00CF47F7" w:rsidP="00CF47F7">
            <w:pPr>
              <w:pStyle w:val="naisf"/>
              <w:tabs>
                <w:tab w:val="left" w:pos="1380"/>
              </w:tabs>
              <w:spacing w:before="0" w:after="0"/>
              <w:ind w:firstLine="0"/>
              <w:rPr>
                <w:color w:val="000000" w:themeColor="text1"/>
                <w:sz w:val="22"/>
                <w:szCs w:val="22"/>
              </w:rPr>
            </w:pPr>
            <w:r>
              <w:rPr>
                <w:color w:val="000000" w:themeColor="text1"/>
                <w:sz w:val="22"/>
                <w:szCs w:val="22"/>
              </w:rPr>
              <w:t>12.06.2019. Starpinstitūciju sanāksme</w:t>
            </w:r>
          </w:p>
          <w:p w14:paraId="0E26ADF7" w14:textId="77777777" w:rsidR="00CF47F7" w:rsidRDefault="00CF47F7" w:rsidP="00CF47F7">
            <w:pPr>
              <w:pStyle w:val="naisf"/>
              <w:tabs>
                <w:tab w:val="left" w:pos="1380"/>
              </w:tabs>
              <w:spacing w:before="0" w:after="0"/>
              <w:ind w:firstLine="0"/>
              <w:rPr>
                <w:color w:val="000000" w:themeColor="text1"/>
                <w:sz w:val="22"/>
                <w:szCs w:val="22"/>
              </w:rPr>
            </w:pPr>
            <w:r>
              <w:rPr>
                <w:color w:val="000000" w:themeColor="text1"/>
                <w:sz w:val="22"/>
                <w:szCs w:val="22"/>
              </w:rPr>
              <w:t>15.07.2019. Elektroniskā saskaņošana</w:t>
            </w:r>
          </w:p>
          <w:p w14:paraId="09A9CA12" w14:textId="607B54FD" w:rsidR="003F3CA8" w:rsidRPr="00DC34FD" w:rsidRDefault="003F3CA8" w:rsidP="00CF47F7">
            <w:pPr>
              <w:pStyle w:val="naisf"/>
              <w:tabs>
                <w:tab w:val="left" w:pos="1380"/>
              </w:tabs>
              <w:spacing w:before="0" w:after="0"/>
              <w:ind w:firstLine="0"/>
              <w:rPr>
                <w:color w:val="000000" w:themeColor="text1"/>
                <w:sz w:val="22"/>
                <w:szCs w:val="22"/>
              </w:rPr>
            </w:pPr>
            <w:r>
              <w:rPr>
                <w:color w:val="000000" w:themeColor="text1"/>
                <w:sz w:val="22"/>
                <w:szCs w:val="22"/>
              </w:rPr>
              <w:t>30.07.2019. Elektroniskā saskaņošana</w:t>
            </w:r>
          </w:p>
        </w:tc>
      </w:tr>
      <w:tr w:rsidR="00623910" w:rsidRPr="00DC34FD" w14:paraId="7FE30147" w14:textId="77777777" w:rsidTr="00353679">
        <w:tc>
          <w:tcPr>
            <w:tcW w:w="4531" w:type="dxa"/>
          </w:tcPr>
          <w:p w14:paraId="60DEC03E" w14:textId="77777777" w:rsidR="00623910" w:rsidRPr="00DC34FD" w:rsidRDefault="00623910" w:rsidP="00284228">
            <w:pPr>
              <w:pStyle w:val="naisf"/>
              <w:spacing w:before="0" w:after="0"/>
              <w:ind w:firstLine="0"/>
              <w:rPr>
                <w:b/>
                <w:color w:val="000000" w:themeColor="text1"/>
                <w:sz w:val="22"/>
                <w:szCs w:val="22"/>
              </w:rPr>
            </w:pPr>
          </w:p>
        </w:tc>
        <w:tc>
          <w:tcPr>
            <w:tcW w:w="9472" w:type="dxa"/>
          </w:tcPr>
          <w:p w14:paraId="5C81F00D" w14:textId="77777777" w:rsidR="00623910" w:rsidRPr="00DC34FD" w:rsidRDefault="00623910" w:rsidP="00284228">
            <w:pPr>
              <w:pStyle w:val="naisf"/>
              <w:spacing w:before="0" w:after="0"/>
              <w:ind w:firstLine="0"/>
              <w:rPr>
                <w:b/>
                <w:color w:val="000000" w:themeColor="text1"/>
                <w:sz w:val="22"/>
                <w:szCs w:val="22"/>
              </w:rPr>
            </w:pPr>
          </w:p>
        </w:tc>
      </w:tr>
      <w:tr w:rsidR="00623910" w:rsidRPr="00DC34FD" w14:paraId="6567470E" w14:textId="77777777" w:rsidTr="00353679">
        <w:tc>
          <w:tcPr>
            <w:tcW w:w="4531" w:type="dxa"/>
          </w:tcPr>
          <w:p w14:paraId="42B509D6" w14:textId="77777777" w:rsidR="00623910" w:rsidRPr="00DC34FD" w:rsidRDefault="00623910" w:rsidP="00284228">
            <w:pPr>
              <w:pStyle w:val="naisf"/>
              <w:spacing w:before="0" w:after="0"/>
              <w:ind w:firstLine="0"/>
              <w:rPr>
                <w:b/>
                <w:color w:val="000000" w:themeColor="text1"/>
                <w:sz w:val="22"/>
                <w:szCs w:val="22"/>
              </w:rPr>
            </w:pPr>
            <w:r w:rsidRPr="00DC34FD">
              <w:rPr>
                <w:color w:val="000000" w:themeColor="text1"/>
                <w:sz w:val="22"/>
                <w:szCs w:val="22"/>
              </w:rPr>
              <w:t>Saskaņošanas dalībnieki:</w:t>
            </w:r>
          </w:p>
        </w:tc>
        <w:tc>
          <w:tcPr>
            <w:tcW w:w="9472" w:type="dxa"/>
          </w:tcPr>
          <w:p w14:paraId="36473920" w14:textId="5A1D021B" w:rsidR="00623910" w:rsidRPr="00DC34FD" w:rsidRDefault="00E11FAE" w:rsidP="00CF47F7">
            <w:pPr>
              <w:pStyle w:val="naisf"/>
              <w:pBdr>
                <w:bottom w:val="single" w:sz="12" w:space="1" w:color="auto"/>
              </w:pBdr>
              <w:spacing w:before="0"/>
              <w:ind w:right="5390" w:firstLine="0"/>
              <w:rPr>
                <w:color w:val="000000"/>
                <w:sz w:val="22"/>
                <w:szCs w:val="22"/>
              </w:rPr>
            </w:pPr>
            <w:r>
              <w:rPr>
                <w:color w:val="000000" w:themeColor="text1"/>
                <w:sz w:val="22"/>
                <w:szCs w:val="22"/>
              </w:rPr>
              <w:t xml:space="preserve">Valsts kanceleja, </w:t>
            </w:r>
            <w:r w:rsidR="006C613C" w:rsidRPr="00DC34FD">
              <w:rPr>
                <w:color w:val="000000" w:themeColor="text1"/>
                <w:sz w:val="22"/>
                <w:szCs w:val="22"/>
              </w:rPr>
              <w:t>Tieslietu ministrij</w:t>
            </w:r>
            <w:r w:rsidR="00020128" w:rsidRPr="00DC34FD">
              <w:rPr>
                <w:color w:val="000000" w:themeColor="text1"/>
                <w:sz w:val="22"/>
                <w:szCs w:val="22"/>
              </w:rPr>
              <w:t>a</w:t>
            </w:r>
            <w:r w:rsidR="006C613C" w:rsidRPr="00DC34FD">
              <w:rPr>
                <w:color w:val="000000" w:themeColor="text1"/>
                <w:sz w:val="22"/>
                <w:szCs w:val="22"/>
              </w:rPr>
              <w:t>, Finanšu ministrij</w:t>
            </w:r>
            <w:r w:rsidR="00020128" w:rsidRPr="00DC34FD">
              <w:rPr>
                <w:color w:val="000000" w:themeColor="text1"/>
                <w:sz w:val="22"/>
                <w:szCs w:val="22"/>
              </w:rPr>
              <w:t>a</w:t>
            </w:r>
            <w:r w:rsidR="006C613C" w:rsidRPr="00DC34FD">
              <w:rPr>
                <w:color w:val="000000" w:themeColor="text1"/>
                <w:sz w:val="22"/>
                <w:szCs w:val="22"/>
              </w:rPr>
              <w:t xml:space="preserve">, </w:t>
            </w:r>
            <w:r w:rsidR="00977564" w:rsidRPr="00DC34FD">
              <w:rPr>
                <w:color w:val="000000" w:themeColor="text1"/>
                <w:sz w:val="22"/>
                <w:szCs w:val="22"/>
              </w:rPr>
              <w:t>Veselības ministrija</w:t>
            </w:r>
            <w:r w:rsidR="006C613C" w:rsidRPr="00DC34FD">
              <w:rPr>
                <w:color w:val="000000" w:themeColor="text1"/>
                <w:sz w:val="22"/>
                <w:szCs w:val="22"/>
              </w:rPr>
              <w:t>,</w:t>
            </w:r>
            <w:r w:rsidR="00977564" w:rsidRPr="00DC34FD">
              <w:rPr>
                <w:color w:val="000000" w:themeColor="text1"/>
                <w:sz w:val="22"/>
                <w:szCs w:val="22"/>
              </w:rPr>
              <w:t xml:space="preserve"> Labklājības ministrija,</w:t>
            </w:r>
            <w:r w:rsidR="0026028F">
              <w:rPr>
                <w:color w:val="000000" w:themeColor="text1"/>
                <w:sz w:val="22"/>
                <w:szCs w:val="22"/>
              </w:rPr>
              <w:t xml:space="preserve"> Vides aizsardzības un reģionālās attīstības ministrija,</w:t>
            </w:r>
            <w:r w:rsidR="006C613C" w:rsidRPr="00DC34FD">
              <w:rPr>
                <w:color w:val="000000" w:themeColor="text1"/>
                <w:sz w:val="22"/>
                <w:szCs w:val="22"/>
              </w:rPr>
              <w:t xml:space="preserve"> Latvijas Pašvaldību savienīb</w:t>
            </w:r>
            <w:r w:rsidR="00020128" w:rsidRPr="00DC34FD">
              <w:rPr>
                <w:color w:val="000000" w:themeColor="text1"/>
                <w:sz w:val="22"/>
                <w:szCs w:val="22"/>
              </w:rPr>
              <w:t>a</w:t>
            </w:r>
            <w:r w:rsidR="006C613C" w:rsidRPr="00DC34FD">
              <w:rPr>
                <w:color w:val="000000" w:themeColor="text1"/>
                <w:sz w:val="22"/>
                <w:szCs w:val="22"/>
              </w:rPr>
              <w:t xml:space="preserve">, Latvijas </w:t>
            </w:r>
            <w:r w:rsidR="00977564" w:rsidRPr="00DC34FD">
              <w:rPr>
                <w:color w:val="000000" w:themeColor="text1"/>
                <w:sz w:val="22"/>
                <w:szCs w:val="22"/>
              </w:rPr>
              <w:t xml:space="preserve">Lielo pilsētu asociācija, Latvijas Ainavu arhitektu asociācija, </w:t>
            </w:r>
            <w:r w:rsidR="00977564" w:rsidRPr="00DC34FD">
              <w:rPr>
                <w:color w:val="000000"/>
                <w:sz w:val="22"/>
                <w:szCs w:val="22"/>
              </w:rPr>
              <w:t xml:space="preserve">Reģionālo attīstības centru apvienība, </w:t>
            </w:r>
            <w:r w:rsidR="00F57FAF" w:rsidRPr="00DC34FD">
              <w:rPr>
                <w:color w:val="000000"/>
                <w:sz w:val="22"/>
                <w:szCs w:val="22"/>
              </w:rPr>
              <w:t xml:space="preserve">SIA </w:t>
            </w:r>
            <w:proofErr w:type="spellStart"/>
            <w:r w:rsidR="00F57FAF" w:rsidRPr="00DC34FD">
              <w:rPr>
                <w:color w:val="000000"/>
                <w:sz w:val="22"/>
                <w:szCs w:val="22"/>
              </w:rPr>
              <w:t>Fixman</w:t>
            </w:r>
            <w:proofErr w:type="spellEnd"/>
            <w:r w:rsidR="00F57FAF" w:rsidRPr="00DC34FD">
              <w:rPr>
                <w:color w:val="000000"/>
                <w:sz w:val="22"/>
                <w:szCs w:val="22"/>
              </w:rPr>
              <w:t xml:space="preserve">, SIA </w:t>
            </w:r>
            <w:proofErr w:type="spellStart"/>
            <w:r w:rsidR="00F57FAF" w:rsidRPr="00DC34FD">
              <w:rPr>
                <w:color w:val="000000"/>
                <w:sz w:val="22"/>
                <w:szCs w:val="22"/>
              </w:rPr>
              <w:t>GoPlay</w:t>
            </w:r>
            <w:proofErr w:type="spellEnd"/>
            <w:r w:rsidR="00F57FAF" w:rsidRPr="00DC34FD">
              <w:rPr>
                <w:color w:val="000000"/>
                <w:sz w:val="22"/>
                <w:szCs w:val="22"/>
              </w:rPr>
              <w:t xml:space="preserve">, SIA KSIL Baltic, SIA JLD, SIA Jūrmalas </w:t>
            </w:r>
            <w:proofErr w:type="spellStart"/>
            <w:r w:rsidR="00F57FAF" w:rsidRPr="00DC34FD">
              <w:rPr>
                <w:color w:val="000000"/>
                <w:sz w:val="22"/>
                <w:szCs w:val="22"/>
              </w:rPr>
              <w:t>Mežaparki</w:t>
            </w:r>
            <w:proofErr w:type="spellEnd"/>
            <w:r w:rsidR="00F57FAF" w:rsidRPr="00DC34FD">
              <w:rPr>
                <w:color w:val="000000"/>
                <w:sz w:val="22"/>
                <w:szCs w:val="22"/>
              </w:rPr>
              <w:t>,</w:t>
            </w:r>
            <w:r w:rsidR="0039215C" w:rsidRPr="00DC34FD">
              <w:rPr>
                <w:color w:val="000000"/>
                <w:sz w:val="22"/>
                <w:szCs w:val="22"/>
              </w:rPr>
              <w:t xml:space="preserve"> SIA MK Dizains,</w:t>
            </w:r>
            <w:r w:rsidR="00F57FAF" w:rsidRPr="00DC34FD">
              <w:rPr>
                <w:color w:val="000000"/>
                <w:sz w:val="22"/>
                <w:szCs w:val="22"/>
              </w:rPr>
              <w:t xml:space="preserve"> </w:t>
            </w:r>
            <w:r w:rsidR="0039215C" w:rsidRPr="00DC34FD">
              <w:rPr>
                <w:color w:val="000000"/>
                <w:sz w:val="22"/>
                <w:szCs w:val="22"/>
              </w:rPr>
              <w:t xml:space="preserve">SIA </w:t>
            </w:r>
            <w:proofErr w:type="spellStart"/>
            <w:r w:rsidR="00F57FAF" w:rsidRPr="00DC34FD">
              <w:rPr>
                <w:color w:val="000000"/>
                <w:sz w:val="22"/>
                <w:szCs w:val="22"/>
              </w:rPr>
              <w:t>Bureau</w:t>
            </w:r>
            <w:proofErr w:type="spellEnd"/>
            <w:r w:rsidR="00F57FAF" w:rsidRPr="00DC34FD">
              <w:rPr>
                <w:color w:val="000000"/>
                <w:sz w:val="22"/>
                <w:szCs w:val="22"/>
              </w:rPr>
              <w:t xml:space="preserve"> Veritas Latvia</w:t>
            </w:r>
            <w:r w:rsidR="0039215C" w:rsidRPr="00DC34FD">
              <w:rPr>
                <w:color w:val="000000"/>
                <w:sz w:val="22"/>
                <w:szCs w:val="22"/>
              </w:rPr>
              <w:t xml:space="preserve">, Latvijas Rūpnieku tehniskās </w:t>
            </w:r>
            <w:r w:rsidR="0039215C" w:rsidRPr="00DC34FD">
              <w:rPr>
                <w:color w:val="000000"/>
                <w:sz w:val="22"/>
                <w:szCs w:val="22"/>
              </w:rPr>
              <w:lastRenderedPageBreak/>
              <w:t xml:space="preserve">drošības ekspertu apvienība – TUV </w:t>
            </w:r>
            <w:proofErr w:type="spellStart"/>
            <w:r w:rsidR="0039215C" w:rsidRPr="00DC34FD">
              <w:rPr>
                <w:color w:val="000000"/>
                <w:sz w:val="22"/>
                <w:szCs w:val="22"/>
              </w:rPr>
              <w:t>Rheinland</w:t>
            </w:r>
            <w:proofErr w:type="spellEnd"/>
            <w:r w:rsidR="0039215C" w:rsidRPr="00DC34FD">
              <w:rPr>
                <w:color w:val="000000"/>
                <w:sz w:val="22"/>
                <w:szCs w:val="22"/>
              </w:rPr>
              <w:t xml:space="preserve"> grupa</w:t>
            </w:r>
          </w:p>
        </w:tc>
      </w:tr>
      <w:tr w:rsidR="00623910" w:rsidRPr="00DC34FD" w14:paraId="5DBED368" w14:textId="77777777" w:rsidTr="00353679">
        <w:tc>
          <w:tcPr>
            <w:tcW w:w="4531" w:type="dxa"/>
          </w:tcPr>
          <w:p w14:paraId="461DDA66" w14:textId="77777777" w:rsidR="00623910" w:rsidRPr="00DC34FD" w:rsidRDefault="00623910" w:rsidP="00284228">
            <w:pPr>
              <w:pStyle w:val="naisf"/>
              <w:spacing w:before="0" w:after="0"/>
              <w:ind w:firstLine="0"/>
              <w:rPr>
                <w:color w:val="000000" w:themeColor="text1"/>
                <w:sz w:val="22"/>
                <w:szCs w:val="22"/>
              </w:rPr>
            </w:pPr>
          </w:p>
        </w:tc>
        <w:tc>
          <w:tcPr>
            <w:tcW w:w="9472" w:type="dxa"/>
          </w:tcPr>
          <w:p w14:paraId="02504DA1" w14:textId="77777777" w:rsidR="00623910" w:rsidRPr="00DC34FD" w:rsidRDefault="00623910" w:rsidP="00284228">
            <w:pPr>
              <w:pStyle w:val="naisf"/>
              <w:spacing w:before="0" w:after="0"/>
              <w:ind w:firstLine="0"/>
              <w:rPr>
                <w:color w:val="000000" w:themeColor="text1"/>
                <w:sz w:val="22"/>
                <w:szCs w:val="22"/>
              </w:rPr>
            </w:pPr>
          </w:p>
        </w:tc>
      </w:tr>
      <w:tr w:rsidR="00623910" w:rsidRPr="00DC34FD" w14:paraId="5DB29E4F" w14:textId="77777777" w:rsidTr="00353679">
        <w:tc>
          <w:tcPr>
            <w:tcW w:w="4531" w:type="dxa"/>
          </w:tcPr>
          <w:p w14:paraId="7CC12647" w14:textId="77777777" w:rsidR="00623910" w:rsidRPr="00DC34FD" w:rsidRDefault="00623910" w:rsidP="00284228">
            <w:pPr>
              <w:pStyle w:val="naisf"/>
              <w:spacing w:before="0" w:after="0"/>
              <w:ind w:firstLine="0"/>
              <w:rPr>
                <w:color w:val="000000" w:themeColor="text1"/>
                <w:sz w:val="22"/>
                <w:szCs w:val="22"/>
              </w:rPr>
            </w:pPr>
            <w:r w:rsidRPr="00DC34FD">
              <w:rPr>
                <w:color w:val="000000" w:themeColor="text1"/>
                <w:sz w:val="22"/>
                <w:szCs w:val="22"/>
              </w:rPr>
              <w:t>Saskaņošanas dalībnieki izskatīja šādu ministriju (citu institūciju) iebildumus:</w:t>
            </w:r>
          </w:p>
        </w:tc>
        <w:tc>
          <w:tcPr>
            <w:tcW w:w="9472" w:type="dxa"/>
          </w:tcPr>
          <w:p w14:paraId="18E67F69" w14:textId="4F12440A" w:rsidR="00623910" w:rsidRPr="00DC34FD" w:rsidRDefault="006C613C" w:rsidP="00A057A1">
            <w:pPr>
              <w:pBdr>
                <w:bottom w:val="single" w:sz="12" w:space="1" w:color="auto"/>
              </w:pBdr>
              <w:spacing w:after="0" w:line="240" w:lineRule="auto"/>
              <w:ind w:right="5390"/>
              <w:jc w:val="both"/>
              <w:rPr>
                <w:rFonts w:ascii="Times New Roman" w:hAnsi="Times New Roman" w:cs="Times New Roman"/>
                <w:bCs/>
                <w:color w:val="000000" w:themeColor="text1"/>
              </w:rPr>
            </w:pPr>
            <w:r w:rsidRPr="00DC34FD">
              <w:rPr>
                <w:rFonts w:ascii="Times New Roman" w:hAnsi="Times New Roman" w:cs="Times New Roman"/>
                <w:color w:val="000000" w:themeColor="text1"/>
              </w:rPr>
              <w:t>Tieslietu ministrij</w:t>
            </w:r>
            <w:r w:rsidR="00020128" w:rsidRPr="00DC34FD">
              <w:rPr>
                <w:rFonts w:ascii="Times New Roman" w:hAnsi="Times New Roman" w:cs="Times New Roman"/>
                <w:color w:val="000000" w:themeColor="text1"/>
              </w:rPr>
              <w:t>a</w:t>
            </w:r>
            <w:r w:rsidRPr="00DC34FD">
              <w:rPr>
                <w:rFonts w:ascii="Times New Roman" w:hAnsi="Times New Roman" w:cs="Times New Roman"/>
                <w:color w:val="000000" w:themeColor="text1"/>
              </w:rPr>
              <w:t xml:space="preserve">, </w:t>
            </w:r>
            <w:r w:rsidR="00F57FAF" w:rsidRPr="00DC34FD">
              <w:rPr>
                <w:color w:val="000000" w:themeColor="text1"/>
              </w:rPr>
              <w:t xml:space="preserve">Veselības ministrija, Latvijas Pašvaldību savienība, Latvijas Lielo pilsētu asociācija, Latvijas Ainavu arhitektu asociācija, </w:t>
            </w:r>
            <w:r w:rsidR="00F57FAF" w:rsidRPr="00DC34FD">
              <w:rPr>
                <w:color w:val="000000"/>
              </w:rPr>
              <w:t xml:space="preserve">Reģionālo attīstības centru apvienība, SIA </w:t>
            </w:r>
            <w:proofErr w:type="spellStart"/>
            <w:r w:rsidR="00F57FAF" w:rsidRPr="00DC34FD">
              <w:rPr>
                <w:color w:val="000000"/>
              </w:rPr>
              <w:t>Fixman</w:t>
            </w:r>
            <w:proofErr w:type="spellEnd"/>
            <w:r w:rsidR="00F57FAF" w:rsidRPr="00DC34FD">
              <w:rPr>
                <w:color w:val="000000"/>
              </w:rPr>
              <w:t xml:space="preserve">, SIA </w:t>
            </w:r>
            <w:proofErr w:type="spellStart"/>
            <w:r w:rsidR="00F57FAF" w:rsidRPr="00DC34FD">
              <w:rPr>
                <w:color w:val="000000"/>
              </w:rPr>
              <w:t>GoPlay</w:t>
            </w:r>
            <w:proofErr w:type="spellEnd"/>
            <w:r w:rsidR="00F57FAF" w:rsidRPr="00DC34FD">
              <w:rPr>
                <w:color w:val="000000"/>
              </w:rPr>
              <w:t xml:space="preserve">, SIA KSIL Baltic, SIA JLD, SIA Jūrmalas </w:t>
            </w:r>
            <w:proofErr w:type="spellStart"/>
            <w:r w:rsidR="00F57FAF" w:rsidRPr="00DC34FD">
              <w:rPr>
                <w:color w:val="000000"/>
              </w:rPr>
              <w:t>Mežaparki</w:t>
            </w:r>
            <w:proofErr w:type="spellEnd"/>
            <w:r w:rsidR="00F57FAF" w:rsidRPr="00DC34FD">
              <w:rPr>
                <w:color w:val="000000"/>
              </w:rPr>
              <w:t xml:space="preserve">, </w:t>
            </w:r>
            <w:r w:rsidR="0039215C" w:rsidRPr="00DC34FD">
              <w:rPr>
                <w:color w:val="000000"/>
              </w:rPr>
              <w:t xml:space="preserve">SIA MK Dizains, SIA </w:t>
            </w:r>
            <w:proofErr w:type="spellStart"/>
            <w:r w:rsidR="00F57FAF" w:rsidRPr="00DC34FD">
              <w:rPr>
                <w:color w:val="000000"/>
              </w:rPr>
              <w:t>Bureau</w:t>
            </w:r>
            <w:proofErr w:type="spellEnd"/>
            <w:r w:rsidR="00F57FAF" w:rsidRPr="00DC34FD">
              <w:rPr>
                <w:color w:val="000000"/>
              </w:rPr>
              <w:t xml:space="preserve"> Veritas Latvia</w:t>
            </w:r>
            <w:r w:rsidR="0039215C" w:rsidRPr="00DC34FD">
              <w:rPr>
                <w:color w:val="000000"/>
              </w:rPr>
              <w:t xml:space="preserve">, </w:t>
            </w:r>
            <w:r w:rsidR="0039215C" w:rsidRPr="00DC34FD">
              <w:rPr>
                <w:rFonts w:eastAsia="Times New Roman"/>
                <w:color w:val="000000"/>
                <w:lang w:eastAsia="lv-LV"/>
              </w:rPr>
              <w:t xml:space="preserve">Latvijas Rūpnieku tehniskās drošības ekspertu apvienība – TUV </w:t>
            </w:r>
            <w:proofErr w:type="spellStart"/>
            <w:r w:rsidR="0039215C" w:rsidRPr="00DC34FD">
              <w:rPr>
                <w:rFonts w:eastAsia="Times New Roman"/>
                <w:color w:val="000000"/>
                <w:lang w:eastAsia="lv-LV"/>
              </w:rPr>
              <w:t>Rheinland</w:t>
            </w:r>
            <w:proofErr w:type="spellEnd"/>
            <w:r w:rsidR="0039215C" w:rsidRPr="00DC34FD">
              <w:rPr>
                <w:rFonts w:eastAsia="Times New Roman"/>
                <w:color w:val="000000"/>
                <w:lang w:eastAsia="lv-LV"/>
              </w:rPr>
              <w:t xml:space="preserve"> grupa</w:t>
            </w:r>
            <w:r w:rsidR="00A057A1" w:rsidRPr="00DC34FD">
              <w:rPr>
                <w:rFonts w:ascii="Times New Roman" w:hAnsi="Times New Roman" w:cs="Times New Roman"/>
                <w:color w:val="000000" w:themeColor="text1"/>
              </w:rPr>
              <w:t>.</w:t>
            </w:r>
          </w:p>
        </w:tc>
      </w:tr>
      <w:tr w:rsidR="00623910" w:rsidRPr="00DC34FD" w14:paraId="7CC43055" w14:textId="77777777" w:rsidTr="00353679">
        <w:tc>
          <w:tcPr>
            <w:tcW w:w="4531" w:type="dxa"/>
          </w:tcPr>
          <w:p w14:paraId="28701B43" w14:textId="77777777" w:rsidR="00623910" w:rsidRPr="00DC34FD" w:rsidRDefault="00623910" w:rsidP="00284228">
            <w:pPr>
              <w:pStyle w:val="naisf"/>
              <w:spacing w:before="0" w:after="0"/>
              <w:ind w:firstLine="0"/>
              <w:rPr>
                <w:color w:val="000000" w:themeColor="text1"/>
                <w:sz w:val="22"/>
                <w:szCs w:val="22"/>
              </w:rPr>
            </w:pPr>
          </w:p>
        </w:tc>
        <w:tc>
          <w:tcPr>
            <w:tcW w:w="9472" w:type="dxa"/>
          </w:tcPr>
          <w:p w14:paraId="6FD295A8" w14:textId="77777777" w:rsidR="00623910" w:rsidRPr="00DC34FD" w:rsidRDefault="00623910" w:rsidP="00284228">
            <w:pPr>
              <w:pStyle w:val="naisf"/>
              <w:spacing w:before="0" w:after="0"/>
              <w:ind w:firstLine="0"/>
              <w:rPr>
                <w:color w:val="000000" w:themeColor="text1"/>
                <w:sz w:val="22"/>
                <w:szCs w:val="22"/>
              </w:rPr>
            </w:pPr>
          </w:p>
        </w:tc>
      </w:tr>
      <w:tr w:rsidR="00623910" w:rsidRPr="00DC34FD" w14:paraId="0104C5DA" w14:textId="77777777" w:rsidTr="00353679">
        <w:tc>
          <w:tcPr>
            <w:tcW w:w="4531" w:type="dxa"/>
          </w:tcPr>
          <w:p w14:paraId="0D7F3913" w14:textId="77777777" w:rsidR="00623910" w:rsidRPr="00DC34FD" w:rsidRDefault="00623910" w:rsidP="00284228">
            <w:pPr>
              <w:pStyle w:val="naisf"/>
              <w:spacing w:before="0" w:after="0"/>
              <w:ind w:firstLine="0"/>
              <w:rPr>
                <w:color w:val="000000" w:themeColor="text1"/>
                <w:sz w:val="22"/>
                <w:szCs w:val="22"/>
              </w:rPr>
            </w:pPr>
            <w:r w:rsidRPr="00DC34FD">
              <w:rPr>
                <w:color w:val="000000" w:themeColor="text1"/>
                <w:sz w:val="22"/>
                <w:szCs w:val="22"/>
              </w:rPr>
              <w:t>Ministrijas (citas institūcijas), kuras nav ieradušās uz sanāksmi vai kuras nav atbildējušas uz uzaicinājumu piedalīties elektroniskajā saskaņošanā:</w:t>
            </w:r>
          </w:p>
        </w:tc>
        <w:tc>
          <w:tcPr>
            <w:tcW w:w="9472" w:type="dxa"/>
          </w:tcPr>
          <w:p w14:paraId="4AA781BD" w14:textId="04CF26C2" w:rsidR="006C613C" w:rsidRPr="00DC34FD" w:rsidRDefault="00AC6086" w:rsidP="00284228">
            <w:pPr>
              <w:pBdr>
                <w:bottom w:val="single" w:sz="12" w:space="1" w:color="auto"/>
              </w:pBdr>
              <w:spacing w:after="0" w:line="240" w:lineRule="auto"/>
              <w:ind w:right="5390"/>
              <w:jc w:val="both"/>
              <w:rPr>
                <w:rFonts w:ascii="Times New Roman" w:hAnsi="Times New Roman" w:cs="Times New Roman"/>
                <w:color w:val="000000" w:themeColor="text1"/>
              </w:rPr>
            </w:pPr>
            <w:r>
              <w:rPr>
                <w:color w:val="000000" w:themeColor="text1"/>
              </w:rPr>
              <w:t xml:space="preserve">Vides aizsardzības un reģionālās attīstības ministrija, </w:t>
            </w:r>
            <w:r w:rsidR="002700DF" w:rsidRPr="00DC34FD">
              <w:rPr>
                <w:color w:val="000000" w:themeColor="text1"/>
              </w:rPr>
              <w:t xml:space="preserve">Latvijas Lielo pilsētu asociācija, Latvijas Ainavu arhitektu asociācija, </w:t>
            </w:r>
            <w:r w:rsidR="002700DF" w:rsidRPr="00DC34FD">
              <w:rPr>
                <w:color w:val="000000"/>
              </w:rPr>
              <w:t>Reģionālo attīstības centru apvienība</w:t>
            </w:r>
            <w:r w:rsidR="002700DF">
              <w:rPr>
                <w:color w:val="000000"/>
              </w:rPr>
              <w:t xml:space="preserve"> (to iesniegtie iebildumi, priekšlikumi tika apspriesti speciāli sarīkotās sanāksmēs ar Ekonomikas ministriju un Patērētāju tiesību aizsardzības centru pirms starpinstitūciju 12.06.2019. sanāksmes)</w:t>
            </w:r>
          </w:p>
          <w:p w14:paraId="17290F59" w14:textId="77777777" w:rsidR="006C613C" w:rsidRPr="00DC34FD" w:rsidRDefault="006C613C" w:rsidP="00284228">
            <w:pPr>
              <w:pBdr>
                <w:bottom w:val="single" w:sz="12" w:space="1" w:color="auto"/>
              </w:pBdr>
              <w:spacing w:after="0" w:line="240" w:lineRule="auto"/>
              <w:ind w:right="5390"/>
              <w:jc w:val="both"/>
              <w:rPr>
                <w:rFonts w:ascii="Times New Roman" w:hAnsi="Times New Roman" w:cs="Times New Roman"/>
                <w:bCs/>
                <w:color w:val="000000" w:themeColor="text1"/>
              </w:rPr>
            </w:pPr>
          </w:p>
          <w:p w14:paraId="1D3E7B16" w14:textId="77777777" w:rsidR="00623910" w:rsidRPr="00DC34FD" w:rsidRDefault="00623910" w:rsidP="00284228">
            <w:pPr>
              <w:tabs>
                <w:tab w:val="left" w:pos="2087"/>
              </w:tabs>
              <w:spacing w:after="0" w:line="240" w:lineRule="auto"/>
              <w:ind w:right="-280"/>
              <w:jc w:val="both"/>
              <w:rPr>
                <w:rFonts w:ascii="Times New Roman" w:hAnsi="Times New Roman" w:cs="Times New Roman"/>
                <w:bCs/>
                <w:color w:val="000000" w:themeColor="text1"/>
              </w:rPr>
            </w:pPr>
            <w:r w:rsidRPr="00DC34FD">
              <w:rPr>
                <w:rFonts w:ascii="Times New Roman" w:hAnsi="Times New Roman" w:cs="Times New Roman"/>
                <w:bCs/>
                <w:color w:val="000000" w:themeColor="text1"/>
              </w:rPr>
              <w:softHyphen/>
            </w:r>
            <w:r w:rsidR="006C613C" w:rsidRPr="00DC34FD">
              <w:rPr>
                <w:rFonts w:ascii="Times New Roman" w:hAnsi="Times New Roman" w:cs="Times New Roman"/>
                <w:bCs/>
                <w:color w:val="000000" w:themeColor="text1"/>
              </w:rPr>
              <w:tab/>
            </w:r>
          </w:p>
        </w:tc>
      </w:tr>
    </w:tbl>
    <w:p w14:paraId="2F26DAEB" w14:textId="77777777" w:rsidR="00011C22" w:rsidRPr="00DC34FD" w:rsidRDefault="00011C22" w:rsidP="00284228">
      <w:pPr>
        <w:pStyle w:val="naisf"/>
        <w:spacing w:before="0" w:after="0"/>
        <w:ind w:firstLine="0"/>
        <w:jc w:val="center"/>
        <w:rPr>
          <w:b/>
          <w:sz w:val="22"/>
          <w:szCs w:val="22"/>
        </w:rPr>
      </w:pPr>
    </w:p>
    <w:p w14:paraId="00A92EFC" w14:textId="77777777" w:rsidR="00011C22" w:rsidRPr="00DC34FD" w:rsidRDefault="00011C22" w:rsidP="00284228">
      <w:pPr>
        <w:pStyle w:val="naisf"/>
        <w:spacing w:before="0" w:after="0"/>
        <w:ind w:firstLine="0"/>
        <w:jc w:val="center"/>
        <w:rPr>
          <w:b/>
          <w:sz w:val="22"/>
          <w:szCs w:val="22"/>
        </w:rPr>
      </w:pPr>
    </w:p>
    <w:p w14:paraId="677FCA25" w14:textId="77777777" w:rsidR="00986D8F" w:rsidRPr="00DC34FD" w:rsidRDefault="00986D8F" w:rsidP="00284228">
      <w:pPr>
        <w:pStyle w:val="naisf"/>
        <w:spacing w:before="0" w:after="0"/>
        <w:ind w:firstLine="0"/>
        <w:jc w:val="center"/>
        <w:rPr>
          <w:b/>
          <w:sz w:val="22"/>
          <w:szCs w:val="22"/>
        </w:rPr>
      </w:pPr>
    </w:p>
    <w:p w14:paraId="2C7AE2B5" w14:textId="77777777" w:rsidR="00986D8F" w:rsidRPr="00DC34FD" w:rsidRDefault="00986D8F" w:rsidP="00284228">
      <w:pPr>
        <w:pStyle w:val="naisf"/>
        <w:spacing w:before="0" w:after="0"/>
        <w:ind w:firstLine="0"/>
        <w:jc w:val="center"/>
        <w:rPr>
          <w:b/>
          <w:sz w:val="22"/>
          <w:szCs w:val="22"/>
        </w:rPr>
      </w:pPr>
    </w:p>
    <w:p w14:paraId="0157F780" w14:textId="77777777" w:rsidR="00986D8F" w:rsidRPr="00DC34FD" w:rsidRDefault="00986D8F" w:rsidP="00284228">
      <w:pPr>
        <w:pStyle w:val="naisf"/>
        <w:spacing w:before="0" w:after="0"/>
        <w:ind w:firstLine="0"/>
        <w:jc w:val="center"/>
        <w:rPr>
          <w:b/>
          <w:sz w:val="22"/>
          <w:szCs w:val="22"/>
        </w:rPr>
      </w:pPr>
    </w:p>
    <w:p w14:paraId="062F376B" w14:textId="77777777" w:rsidR="00AE4B7B" w:rsidRDefault="00AE4B7B">
      <w:pPr>
        <w:rPr>
          <w:rFonts w:ascii="Times New Roman" w:eastAsia="Times New Roman" w:hAnsi="Times New Roman" w:cs="Times New Roman"/>
          <w:b/>
          <w:lang w:eastAsia="lv-LV"/>
        </w:rPr>
      </w:pPr>
      <w:r>
        <w:rPr>
          <w:b/>
        </w:rPr>
        <w:br w:type="page"/>
      </w:r>
    </w:p>
    <w:p w14:paraId="757C2EB5" w14:textId="615EA00F" w:rsidR="00623910" w:rsidRPr="00DC34FD" w:rsidRDefault="00623910" w:rsidP="00284228">
      <w:pPr>
        <w:pStyle w:val="naisf"/>
        <w:spacing w:before="0" w:after="0"/>
        <w:ind w:firstLine="0"/>
        <w:jc w:val="center"/>
        <w:rPr>
          <w:b/>
          <w:sz w:val="22"/>
          <w:szCs w:val="22"/>
        </w:rPr>
      </w:pPr>
      <w:r w:rsidRPr="00DC34FD">
        <w:rPr>
          <w:b/>
          <w:sz w:val="22"/>
          <w:szCs w:val="22"/>
        </w:rPr>
        <w:lastRenderedPageBreak/>
        <w:t>II. Jautājumi, par kuriem saskaņošanā vienošanās ir panākta</w:t>
      </w:r>
    </w:p>
    <w:p w14:paraId="3818BDF2" w14:textId="77777777" w:rsidR="00623910" w:rsidRPr="00DC34FD" w:rsidRDefault="00623910" w:rsidP="00284228">
      <w:pPr>
        <w:pStyle w:val="naisf"/>
        <w:spacing w:before="0" w:after="0"/>
        <w:ind w:firstLine="0"/>
        <w:rPr>
          <w:sz w:val="22"/>
          <w:szCs w:val="22"/>
        </w:rPr>
      </w:pPr>
    </w:p>
    <w:tbl>
      <w:tblPr>
        <w:tblW w:w="15485" w:type="dxa"/>
        <w:tblInd w:w="-9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2684"/>
        <w:gridCol w:w="686"/>
        <w:gridCol w:w="4311"/>
        <w:gridCol w:w="1357"/>
        <w:gridCol w:w="1053"/>
        <w:gridCol w:w="4652"/>
      </w:tblGrid>
      <w:tr w:rsidR="00623910" w:rsidRPr="00DC34FD" w14:paraId="0A3689CF" w14:textId="77777777" w:rsidTr="00AF11CB">
        <w:tc>
          <w:tcPr>
            <w:tcW w:w="742" w:type="dxa"/>
            <w:tcBorders>
              <w:top w:val="single" w:sz="6" w:space="0" w:color="000000"/>
              <w:left w:val="single" w:sz="6" w:space="0" w:color="000000"/>
              <w:bottom w:val="single" w:sz="6" w:space="0" w:color="000000"/>
              <w:right w:val="single" w:sz="6" w:space="0" w:color="000000"/>
            </w:tcBorders>
            <w:vAlign w:val="center"/>
          </w:tcPr>
          <w:p w14:paraId="283BAEA1" w14:textId="77777777" w:rsidR="00623910" w:rsidRPr="00DC34FD" w:rsidRDefault="00623910" w:rsidP="00284228">
            <w:pPr>
              <w:pStyle w:val="naisc"/>
              <w:spacing w:before="0" w:after="0"/>
              <w:jc w:val="both"/>
              <w:rPr>
                <w:sz w:val="22"/>
                <w:szCs w:val="22"/>
              </w:rPr>
            </w:pPr>
            <w:r w:rsidRPr="00DC34FD">
              <w:rPr>
                <w:sz w:val="22"/>
                <w:szCs w:val="22"/>
              </w:rPr>
              <w:t>Nr. p. k.</w:t>
            </w:r>
          </w:p>
        </w:tc>
        <w:tc>
          <w:tcPr>
            <w:tcW w:w="3370" w:type="dxa"/>
            <w:gridSpan w:val="2"/>
            <w:tcBorders>
              <w:top w:val="single" w:sz="6" w:space="0" w:color="000000"/>
              <w:left w:val="single" w:sz="6" w:space="0" w:color="000000"/>
              <w:bottom w:val="single" w:sz="6" w:space="0" w:color="000000"/>
              <w:right w:val="single" w:sz="6" w:space="0" w:color="000000"/>
            </w:tcBorders>
            <w:vAlign w:val="center"/>
          </w:tcPr>
          <w:p w14:paraId="14A7156E" w14:textId="77777777" w:rsidR="00623910" w:rsidRPr="00DC34FD" w:rsidRDefault="00623910" w:rsidP="00284228">
            <w:pPr>
              <w:pStyle w:val="naisc"/>
              <w:spacing w:before="0" w:after="0"/>
              <w:ind w:firstLine="12"/>
              <w:jc w:val="both"/>
              <w:rPr>
                <w:sz w:val="22"/>
                <w:szCs w:val="22"/>
              </w:rPr>
            </w:pPr>
            <w:r w:rsidRPr="00DC34FD">
              <w:rPr>
                <w:sz w:val="22"/>
                <w:szCs w:val="22"/>
              </w:rPr>
              <w:t>Saskaņošanai nosūtītā projekta redakcija (konkrēta punkta (panta) redakcija)</w:t>
            </w:r>
          </w:p>
        </w:tc>
        <w:tc>
          <w:tcPr>
            <w:tcW w:w="4311" w:type="dxa"/>
            <w:tcBorders>
              <w:top w:val="single" w:sz="6" w:space="0" w:color="000000"/>
              <w:left w:val="single" w:sz="6" w:space="0" w:color="000000"/>
              <w:bottom w:val="single" w:sz="6" w:space="0" w:color="000000"/>
              <w:right w:val="single" w:sz="6" w:space="0" w:color="000000"/>
            </w:tcBorders>
            <w:vAlign w:val="center"/>
          </w:tcPr>
          <w:p w14:paraId="68EDE69D" w14:textId="77777777" w:rsidR="00623910" w:rsidRPr="00DC34FD" w:rsidRDefault="00623910" w:rsidP="00284228">
            <w:pPr>
              <w:pStyle w:val="naisc"/>
              <w:spacing w:before="0" w:after="0"/>
              <w:ind w:right="3"/>
              <w:jc w:val="both"/>
              <w:rPr>
                <w:sz w:val="22"/>
                <w:szCs w:val="22"/>
              </w:rPr>
            </w:pPr>
            <w:r w:rsidRPr="00DC34FD">
              <w:rPr>
                <w:sz w:val="22"/>
                <w:szCs w:val="22"/>
              </w:rPr>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09B50415" w14:textId="77777777" w:rsidR="00623910" w:rsidRPr="00DC34FD" w:rsidRDefault="00623910" w:rsidP="00284228">
            <w:pPr>
              <w:pStyle w:val="naisc"/>
              <w:spacing w:before="0" w:after="0"/>
              <w:ind w:firstLine="21"/>
              <w:jc w:val="both"/>
              <w:rPr>
                <w:sz w:val="22"/>
                <w:szCs w:val="22"/>
              </w:rPr>
            </w:pPr>
            <w:r w:rsidRPr="00DC34FD">
              <w:rPr>
                <w:sz w:val="22"/>
                <w:szCs w:val="22"/>
              </w:rPr>
              <w:t>Atbildīgās ministrijas norāde par to, ka iebildums ir ņemts vērā, vai informācija par saskaņošanā panākto alternatīvo risinājumu</w:t>
            </w:r>
          </w:p>
        </w:tc>
        <w:tc>
          <w:tcPr>
            <w:tcW w:w="4652" w:type="dxa"/>
            <w:tcBorders>
              <w:top w:val="single" w:sz="4" w:space="0" w:color="auto"/>
              <w:left w:val="single" w:sz="4" w:space="0" w:color="auto"/>
              <w:bottom w:val="single" w:sz="4" w:space="0" w:color="auto"/>
            </w:tcBorders>
            <w:vAlign w:val="center"/>
          </w:tcPr>
          <w:p w14:paraId="006A5474" w14:textId="77777777" w:rsidR="00623910" w:rsidRPr="00DC34FD" w:rsidRDefault="00623910" w:rsidP="00284228">
            <w:pPr>
              <w:spacing w:after="0" w:line="240" w:lineRule="auto"/>
              <w:jc w:val="both"/>
              <w:rPr>
                <w:rFonts w:ascii="Times New Roman" w:hAnsi="Times New Roman" w:cs="Times New Roman"/>
              </w:rPr>
            </w:pPr>
            <w:r w:rsidRPr="00DC34FD">
              <w:rPr>
                <w:rFonts w:ascii="Times New Roman" w:hAnsi="Times New Roman" w:cs="Times New Roman"/>
              </w:rPr>
              <w:t>Projekta attiecīgā punkta (panta) galīgā redakcija</w:t>
            </w:r>
          </w:p>
        </w:tc>
      </w:tr>
      <w:tr w:rsidR="00971479" w:rsidRPr="00DC34FD" w14:paraId="2C18F73A" w14:textId="77777777" w:rsidTr="00AF11CB">
        <w:tc>
          <w:tcPr>
            <w:tcW w:w="742" w:type="dxa"/>
            <w:tcBorders>
              <w:top w:val="single" w:sz="4" w:space="0" w:color="auto"/>
              <w:left w:val="single" w:sz="4" w:space="0" w:color="auto"/>
              <w:bottom w:val="single" w:sz="4" w:space="0" w:color="auto"/>
              <w:right w:val="single" w:sz="4" w:space="0" w:color="auto"/>
            </w:tcBorders>
          </w:tcPr>
          <w:p w14:paraId="6B79B634" w14:textId="77777777" w:rsidR="00971479" w:rsidRPr="00DC34FD" w:rsidRDefault="00971479" w:rsidP="00971479">
            <w:pPr>
              <w:spacing w:after="0" w:line="240" w:lineRule="auto"/>
              <w:jc w:val="center"/>
              <w:rPr>
                <w:rFonts w:ascii="Times New Roman" w:hAnsi="Times New Roman" w:cs="Times New Roman"/>
              </w:rPr>
            </w:pPr>
          </w:p>
        </w:tc>
        <w:tc>
          <w:tcPr>
            <w:tcW w:w="3370" w:type="dxa"/>
            <w:gridSpan w:val="2"/>
            <w:tcBorders>
              <w:top w:val="single" w:sz="4" w:space="0" w:color="auto"/>
              <w:left w:val="single" w:sz="4" w:space="0" w:color="auto"/>
              <w:bottom w:val="single" w:sz="4" w:space="0" w:color="auto"/>
              <w:right w:val="single" w:sz="4" w:space="0" w:color="auto"/>
            </w:tcBorders>
          </w:tcPr>
          <w:p w14:paraId="374FD889" w14:textId="1E1C9F74" w:rsidR="00971479" w:rsidRPr="00DC34FD" w:rsidRDefault="00971479" w:rsidP="00971479">
            <w:pPr>
              <w:tabs>
                <w:tab w:val="left" w:pos="993"/>
              </w:tabs>
              <w:spacing w:after="0" w:line="240" w:lineRule="auto"/>
              <w:jc w:val="both"/>
              <w:rPr>
                <w:rFonts w:ascii="Times New Roman" w:hAnsi="Times New Roman" w:cs="Times New Roman"/>
              </w:rPr>
            </w:pPr>
          </w:p>
        </w:tc>
        <w:tc>
          <w:tcPr>
            <w:tcW w:w="4311" w:type="dxa"/>
            <w:tcBorders>
              <w:top w:val="single" w:sz="4" w:space="0" w:color="auto"/>
              <w:left w:val="single" w:sz="4" w:space="0" w:color="auto"/>
              <w:bottom w:val="single" w:sz="4" w:space="0" w:color="auto"/>
              <w:right w:val="single" w:sz="4" w:space="0" w:color="auto"/>
            </w:tcBorders>
          </w:tcPr>
          <w:p w14:paraId="0D32CC20" w14:textId="292517FA" w:rsidR="00971479" w:rsidRPr="00DC34FD" w:rsidRDefault="00971479" w:rsidP="00971479">
            <w:pPr>
              <w:spacing w:after="0" w:line="240" w:lineRule="auto"/>
              <w:jc w:val="both"/>
              <w:rPr>
                <w:rFonts w:ascii="Times New Roman" w:eastAsia="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70CD9E9F" w14:textId="1D2B81F3" w:rsidR="00971479" w:rsidRPr="00DC34FD" w:rsidRDefault="00971479" w:rsidP="00971479">
            <w:pPr>
              <w:pStyle w:val="naisf"/>
              <w:spacing w:before="0" w:after="0"/>
              <w:ind w:left="70" w:firstLine="0"/>
              <w:rPr>
                <w:b/>
                <w:sz w:val="22"/>
                <w:szCs w:val="22"/>
              </w:rPr>
            </w:pPr>
          </w:p>
        </w:tc>
        <w:tc>
          <w:tcPr>
            <w:tcW w:w="4652" w:type="dxa"/>
            <w:tcBorders>
              <w:top w:val="single" w:sz="4" w:space="0" w:color="auto"/>
              <w:left w:val="single" w:sz="4" w:space="0" w:color="auto"/>
              <w:bottom w:val="single" w:sz="4" w:space="0" w:color="auto"/>
            </w:tcBorders>
          </w:tcPr>
          <w:p w14:paraId="1B4B200B" w14:textId="4529F12D" w:rsidR="00971479" w:rsidRPr="00DC34FD" w:rsidRDefault="00971479" w:rsidP="00971479">
            <w:pPr>
              <w:spacing w:after="0" w:line="240" w:lineRule="auto"/>
              <w:jc w:val="both"/>
              <w:rPr>
                <w:rFonts w:ascii="Times New Roman" w:hAnsi="Times New Roman" w:cs="Times New Roman"/>
              </w:rPr>
            </w:pPr>
          </w:p>
        </w:tc>
      </w:tr>
      <w:tr w:rsidR="00375ADD" w:rsidRPr="00DC34FD" w14:paraId="0B715A2B" w14:textId="77777777" w:rsidTr="00AF11CB">
        <w:trPr>
          <w:trHeight w:val="2025"/>
        </w:trPr>
        <w:tc>
          <w:tcPr>
            <w:tcW w:w="742" w:type="dxa"/>
            <w:vMerge w:val="restart"/>
            <w:tcBorders>
              <w:top w:val="single" w:sz="4" w:space="0" w:color="auto"/>
              <w:left w:val="single" w:sz="4" w:space="0" w:color="auto"/>
              <w:right w:val="single" w:sz="4" w:space="0" w:color="auto"/>
            </w:tcBorders>
          </w:tcPr>
          <w:p w14:paraId="3EE8CAB7" w14:textId="094C7F2D" w:rsidR="00375ADD" w:rsidRPr="00DC34FD" w:rsidRDefault="00375ADD" w:rsidP="00741BD0">
            <w:pPr>
              <w:spacing w:after="0" w:line="240" w:lineRule="auto"/>
              <w:jc w:val="center"/>
              <w:rPr>
                <w:rFonts w:ascii="Times New Roman" w:hAnsi="Times New Roman" w:cs="Times New Roman"/>
              </w:rPr>
            </w:pPr>
            <w:r>
              <w:rPr>
                <w:rFonts w:ascii="Times New Roman" w:hAnsi="Times New Roman" w:cs="Times New Roman"/>
              </w:rPr>
              <w:t>1</w:t>
            </w:r>
            <w:r w:rsidRPr="00DC34FD">
              <w:rPr>
                <w:rFonts w:ascii="Times New Roman" w:hAnsi="Times New Roman" w:cs="Times New Roman"/>
              </w:rPr>
              <w:t>.</w:t>
            </w:r>
          </w:p>
        </w:tc>
        <w:tc>
          <w:tcPr>
            <w:tcW w:w="3370" w:type="dxa"/>
            <w:gridSpan w:val="2"/>
            <w:vMerge w:val="restart"/>
            <w:tcBorders>
              <w:top w:val="single" w:sz="4" w:space="0" w:color="auto"/>
              <w:left w:val="single" w:sz="4" w:space="0" w:color="auto"/>
              <w:right w:val="single" w:sz="4" w:space="0" w:color="auto"/>
            </w:tcBorders>
          </w:tcPr>
          <w:p w14:paraId="5737F15B" w14:textId="32364E0C" w:rsidR="00375ADD" w:rsidRPr="00DC34FD" w:rsidRDefault="00375ADD" w:rsidP="00741BD0">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1. Noteikumi nosaka publiskai lietošanai paredzētu bērnu spēļu laukumu īpašnieka vai tiesiskā valdītāja (turpmāk – valdītājs) pienākumus, spēļu vai citu aktivitāšu iekārtu un aprīkojuma ražotāja, importētāja un izplatītāja pienākumus, kā arī publiskai lietošanai paredzētu bērnu spēļu laukumu un tajos uzstādīto spēļu vai citu aktivitāšu iekārtu un aprīkojuma būtiskās drošuma prasības, marķēšanas prasības, atbilstības novērtēšanas kārtību, pārbaudes un uzturēšanas prasības un uzraudzības kārtību.</w:t>
            </w:r>
          </w:p>
        </w:tc>
        <w:tc>
          <w:tcPr>
            <w:tcW w:w="4311" w:type="dxa"/>
            <w:tcBorders>
              <w:top w:val="single" w:sz="4" w:space="0" w:color="auto"/>
              <w:left w:val="single" w:sz="4" w:space="0" w:color="auto"/>
              <w:bottom w:val="single" w:sz="4" w:space="0" w:color="auto"/>
              <w:right w:val="single" w:sz="4" w:space="0" w:color="auto"/>
            </w:tcBorders>
          </w:tcPr>
          <w:p w14:paraId="1469DDB3" w14:textId="264A8393" w:rsidR="00375ADD" w:rsidRPr="00DC34FD" w:rsidRDefault="00375ADD" w:rsidP="00F569C1">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t>Tieslietu ministrija</w:t>
            </w:r>
          </w:p>
          <w:p w14:paraId="0BAFA76A" w14:textId="2405FA8E" w:rsidR="00375ADD" w:rsidRPr="00DC34FD" w:rsidRDefault="00375ADD" w:rsidP="00741BD0">
            <w:pPr>
              <w:spacing w:after="0" w:line="240" w:lineRule="auto"/>
              <w:jc w:val="both"/>
              <w:rPr>
                <w:rFonts w:ascii="Times New Roman" w:eastAsia="Times New Roman" w:hAnsi="Times New Roman" w:cs="Times New Roman"/>
              </w:rPr>
            </w:pPr>
            <w:r w:rsidRPr="00DC34FD">
              <w:rPr>
                <w:rFonts w:ascii="Times New Roman" w:eastAsia="Times New Roman" w:hAnsi="Times New Roman" w:cs="Times New Roman"/>
              </w:rPr>
              <w:t>Lūdzam projekta 1. punktu izteikt atbilstoši Ministru kabineta 2009. gada 3. februāra noteikumu Nr. 108 "Normatīvo aktu projektu sagatavošanas noteikumi" 100.2. apakšpunktā noteiktajam, ievērojot, ka Preču un pakalpojuma drošuma likuma 8.</w:t>
            </w:r>
            <w:r w:rsidRPr="00DC34FD">
              <w:rPr>
                <w:rFonts w:ascii="Times New Roman" w:eastAsia="Times New Roman" w:hAnsi="Times New Roman" w:cs="Times New Roman"/>
                <w:vertAlign w:val="superscript"/>
              </w:rPr>
              <w:t>1</w:t>
            </w:r>
            <w:r w:rsidRPr="00DC34FD">
              <w:rPr>
                <w:rFonts w:ascii="Times New Roman" w:eastAsia="Times New Roman" w:hAnsi="Times New Roman" w:cs="Times New Roman"/>
              </w:rPr>
              <w:t> pantā noteiktais pilnvarojums Ministru kabinetam nepieļauj projekta 1. punkta paplašinātu redakciju.</w:t>
            </w:r>
          </w:p>
        </w:tc>
        <w:tc>
          <w:tcPr>
            <w:tcW w:w="2410" w:type="dxa"/>
            <w:gridSpan w:val="2"/>
            <w:vMerge w:val="restart"/>
            <w:tcBorders>
              <w:top w:val="single" w:sz="4" w:space="0" w:color="auto"/>
              <w:left w:val="single" w:sz="4" w:space="0" w:color="auto"/>
              <w:right w:val="single" w:sz="4" w:space="0" w:color="auto"/>
            </w:tcBorders>
          </w:tcPr>
          <w:p w14:paraId="5D922595" w14:textId="4117E8AE" w:rsidR="00375ADD" w:rsidRDefault="00375ADD" w:rsidP="00AE72A2">
            <w:pPr>
              <w:pStyle w:val="naisf"/>
              <w:spacing w:before="0" w:after="0"/>
              <w:ind w:left="70" w:firstLine="0"/>
              <w:rPr>
                <w:bCs/>
              </w:rPr>
            </w:pPr>
            <w:r w:rsidRPr="00DC34FD">
              <w:rPr>
                <w:b/>
                <w:sz w:val="22"/>
                <w:szCs w:val="22"/>
              </w:rPr>
              <w:t>Ņemts vērā.</w:t>
            </w:r>
            <w:r w:rsidRPr="00DC34FD">
              <w:rPr>
                <w:sz w:val="22"/>
                <w:szCs w:val="22"/>
              </w:rPr>
              <w:t xml:space="preserve"> No </w:t>
            </w:r>
            <w:r>
              <w:rPr>
                <w:sz w:val="22"/>
                <w:szCs w:val="22"/>
              </w:rPr>
              <w:t>noteikumu projekta</w:t>
            </w:r>
            <w:r w:rsidRPr="00DC34FD">
              <w:rPr>
                <w:sz w:val="22"/>
                <w:szCs w:val="22"/>
              </w:rPr>
              <w:t xml:space="preserve"> pilnvarojum</w:t>
            </w:r>
            <w:r>
              <w:rPr>
                <w:sz w:val="22"/>
                <w:szCs w:val="22"/>
              </w:rPr>
              <w:t>a</w:t>
            </w:r>
            <w:r w:rsidRPr="00DC34FD">
              <w:rPr>
                <w:sz w:val="22"/>
                <w:szCs w:val="22"/>
              </w:rPr>
              <w:t xml:space="preserve"> Ministru kabinetam </w:t>
            </w:r>
            <w:r>
              <w:rPr>
                <w:sz w:val="22"/>
                <w:szCs w:val="22"/>
              </w:rPr>
              <w:t xml:space="preserve">izslēgta </w:t>
            </w:r>
            <w:r w:rsidRPr="00DC34FD">
              <w:rPr>
                <w:iCs/>
                <w:sz w:val="22"/>
                <w:szCs w:val="22"/>
              </w:rPr>
              <w:t>likuma "</w:t>
            </w:r>
            <w:hyperlink r:id="rId8" w:tgtFrame="_blank" w:history="1">
              <w:r w:rsidRPr="00DC34FD">
                <w:rPr>
                  <w:rStyle w:val="Hyperlink"/>
                  <w:iCs/>
                  <w:color w:val="auto"/>
                  <w:sz w:val="22"/>
                  <w:szCs w:val="22"/>
                  <w:u w:val="none"/>
                </w:rPr>
                <w:t>Par atbilstības novērtēšanu</w:t>
              </w:r>
            </w:hyperlink>
            <w:r w:rsidRPr="00DC34FD">
              <w:rPr>
                <w:iCs/>
                <w:sz w:val="22"/>
                <w:szCs w:val="22"/>
              </w:rPr>
              <w:t>" 7. pant</w:t>
            </w:r>
            <w:r>
              <w:rPr>
                <w:iCs/>
                <w:sz w:val="22"/>
                <w:szCs w:val="22"/>
              </w:rPr>
              <w:t xml:space="preserve">a pirmā daļa, papildināta anotācija, norādot, ar kuru tiesību aktu pilnībā ir aptverts </w:t>
            </w:r>
            <w:r w:rsidRPr="00381F0F">
              <w:rPr>
                <w:bCs/>
              </w:rPr>
              <w:t>Preču un pakalpojum</w:t>
            </w:r>
            <w:r>
              <w:rPr>
                <w:bCs/>
              </w:rPr>
              <w:t>u</w:t>
            </w:r>
            <w:r w:rsidRPr="00381F0F">
              <w:rPr>
                <w:bCs/>
              </w:rPr>
              <w:t xml:space="preserve"> drošuma likuma 8.</w:t>
            </w:r>
            <w:r w:rsidRPr="00381F0F">
              <w:rPr>
                <w:bCs/>
                <w:vertAlign w:val="superscript"/>
              </w:rPr>
              <w:t>1</w:t>
            </w:r>
            <w:r w:rsidRPr="00381F0F">
              <w:rPr>
                <w:bCs/>
              </w:rPr>
              <w:t xml:space="preserve"> pantā noteikta</w:t>
            </w:r>
            <w:r>
              <w:rPr>
                <w:bCs/>
              </w:rPr>
              <w:t>is</w:t>
            </w:r>
            <w:r w:rsidRPr="00381F0F">
              <w:rPr>
                <w:bCs/>
              </w:rPr>
              <w:t xml:space="preserve"> pilnvarojum</w:t>
            </w:r>
            <w:r>
              <w:rPr>
                <w:bCs/>
              </w:rPr>
              <w:t xml:space="preserve">s. </w:t>
            </w:r>
          </w:p>
          <w:p w14:paraId="4D4620D2" w14:textId="22F962E4" w:rsidR="00375ADD" w:rsidRPr="00375ADD" w:rsidRDefault="00375ADD" w:rsidP="00AE72A2">
            <w:pPr>
              <w:pStyle w:val="naisf"/>
              <w:spacing w:before="0" w:after="0"/>
              <w:ind w:left="70" w:firstLine="0"/>
              <w:rPr>
                <w:bCs/>
                <w:sz w:val="22"/>
                <w:szCs w:val="22"/>
              </w:rPr>
            </w:pPr>
            <w:r w:rsidRPr="00375ADD">
              <w:rPr>
                <w:b/>
                <w:sz w:val="22"/>
                <w:szCs w:val="22"/>
              </w:rPr>
              <w:t>Panākta vienošanās</w:t>
            </w:r>
            <w:r>
              <w:rPr>
                <w:bCs/>
                <w:sz w:val="22"/>
                <w:szCs w:val="22"/>
              </w:rPr>
              <w:t xml:space="preserve"> par 1.punkta redakciju</w:t>
            </w:r>
            <w:r w:rsidR="003F3CA8">
              <w:rPr>
                <w:bCs/>
                <w:sz w:val="22"/>
                <w:szCs w:val="22"/>
              </w:rPr>
              <w:t xml:space="preserve"> un vārdkopas “būtiskās drošuma prasības” lietojumu noteikumu projektā, kā arī par anotācijas papildināšanu.</w:t>
            </w:r>
          </w:p>
          <w:p w14:paraId="6CB63D4F" w14:textId="25523398" w:rsidR="00375ADD" w:rsidRPr="00DC34FD" w:rsidRDefault="00375ADD" w:rsidP="00741BD0">
            <w:pPr>
              <w:pStyle w:val="naisc"/>
              <w:spacing w:before="0" w:after="0"/>
              <w:jc w:val="both"/>
              <w:rPr>
                <w:sz w:val="22"/>
                <w:szCs w:val="22"/>
              </w:rPr>
            </w:pPr>
          </w:p>
        </w:tc>
        <w:tc>
          <w:tcPr>
            <w:tcW w:w="4652" w:type="dxa"/>
            <w:vMerge w:val="restart"/>
            <w:tcBorders>
              <w:top w:val="single" w:sz="4" w:space="0" w:color="auto"/>
              <w:left w:val="single" w:sz="4" w:space="0" w:color="auto"/>
            </w:tcBorders>
          </w:tcPr>
          <w:p w14:paraId="40472DC0" w14:textId="77777777" w:rsidR="003F3CA8" w:rsidRPr="003F3CA8" w:rsidRDefault="003F3CA8" w:rsidP="003F3CA8">
            <w:pPr>
              <w:pStyle w:val="naislab"/>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 w:firstLine="0"/>
              <w:jc w:val="both"/>
              <w:rPr>
                <w:sz w:val="22"/>
                <w:szCs w:val="22"/>
              </w:rPr>
            </w:pPr>
            <w:bookmarkStart w:id="2" w:name="_Hlk13833786"/>
            <w:r w:rsidRPr="003F3CA8">
              <w:rPr>
                <w:sz w:val="22"/>
                <w:szCs w:val="22"/>
              </w:rPr>
              <w:t xml:space="preserve">Noteikumi nosaka publiskai lietošanai paredzētu spēļu un rekreācijas laukumu un tajos uzstādīto spēļu vai citu aktivitāšu iekārtu un aprīkojuma: </w:t>
            </w:r>
          </w:p>
          <w:p w14:paraId="05B2EC14" w14:textId="77777777" w:rsidR="003F3CA8" w:rsidRPr="003F3CA8" w:rsidRDefault="003F3CA8" w:rsidP="003F3CA8">
            <w:pPr>
              <w:pStyle w:val="naislab"/>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3CA8">
              <w:rPr>
                <w:sz w:val="22"/>
                <w:szCs w:val="22"/>
              </w:rPr>
              <w:t>speciālās prasības riska mazināšanai vai novēršanai;</w:t>
            </w:r>
          </w:p>
          <w:p w14:paraId="3C178020" w14:textId="77777777" w:rsidR="003F3CA8" w:rsidRPr="003F3CA8" w:rsidRDefault="003F3CA8" w:rsidP="003F3CA8">
            <w:pPr>
              <w:pStyle w:val="naislab"/>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3CA8">
              <w:rPr>
                <w:sz w:val="22"/>
                <w:szCs w:val="22"/>
              </w:rPr>
              <w:t>riska mazināšanas vai novēršanas nepieciešamos pasākumus;</w:t>
            </w:r>
          </w:p>
          <w:p w14:paraId="029BD1B9" w14:textId="77777777" w:rsidR="003F3CA8" w:rsidRPr="003F3CA8" w:rsidRDefault="003F3CA8" w:rsidP="003F3CA8">
            <w:pPr>
              <w:pStyle w:val="naislab"/>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3CA8">
              <w:rPr>
                <w:sz w:val="22"/>
                <w:szCs w:val="22"/>
              </w:rPr>
              <w:t>piedāvāšanas kārtību lietošanai;</w:t>
            </w:r>
          </w:p>
          <w:p w14:paraId="265AFB8F" w14:textId="06082C65" w:rsidR="00375ADD" w:rsidRPr="003F3CA8" w:rsidRDefault="003F3CA8" w:rsidP="003F3CA8">
            <w:pPr>
              <w:pStyle w:val="naislab"/>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3F3CA8">
              <w:rPr>
                <w:sz w:val="22"/>
                <w:szCs w:val="22"/>
              </w:rPr>
              <w:t>uzraudzības un kontroles kārtību, kā arī institūcijas, kas to veic</w:t>
            </w:r>
            <w:r w:rsidR="00375ADD" w:rsidRPr="003F3CA8">
              <w:rPr>
                <w:sz w:val="22"/>
                <w:szCs w:val="22"/>
              </w:rPr>
              <w:t>.</w:t>
            </w:r>
            <w:bookmarkEnd w:id="2"/>
          </w:p>
        </w:tc>
      </w:tr>
      <w:tr w:rsidR="00375ADD" w:rsidRPr="00DC34FD" w14:paraId="2C35933B" w14:textId="77777777" w:rsidTr="00D33DBB">
        <w:trPr>
          <w:trHeight w:val="2730"/>
        </w:trPr>
        <w:tc>
          <w:tcPr>
            <w:tcW w:w="742" w:type="dxa"/>
            <w:vMerge/>
            <w:tcBorders>
              <w:left w:val="single" w:sz="4" w:space="0" w:color="auto"/>
              <w:right w:val="single" w:sz="4" w:space="0" w:color="auto"/>
            </w:tcBorders>
          </w:tcPr>
          <w:p w14:paraId="212DF688" w14:textId="77777777" w:rsidR="00375ADD" w:rsidRDefault="00375ADD" w:rsidP="00741BD0">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7B5791F9" w14:textId="77777777" w:rsidR="00375ADD" w:rsidRPr="00DC34FD" w:rsidRDefault="00375ADD" w:rsidP="00741BD0">
            <w:pPr>
              <w:tabs>
                <w:tab w:val="left" w:pos="993"/>
              </w:tabs>
              <w:spacing w:after="0" w:line="240" w:lineRule="auto"/>
              <w:jc w:val="both"/>
              <w:rPr>
                <w:rFonts w:ascii="Times New Roman" w:hAnsi="Times New Roman" w:cs="Times New Roman"/>
              </w:rPr>
            </w:pPr>
          </w:p>
        </w:tc>
        <w:tc>
          <w:tcPr>
            <w:tcW w:w="4311" w:type="dxa"/>
            <w:tcBorders>
              <w:top w:val="single" w:sz="4" w:space="0" w:color="auto"/>
              <w:left w:val="single" w:sz="4" w:space="0" w:color="auto"/>
              <w:bottom w:val="single" w:sz="4" w:space="0" w:color="auto"/>
              <w:right w:val="single" w:sz="4" w:space="0" w:color="auto"/>
            </w:tcBorders>
          </w:tcPr>
          <w:p w14:paraId="0CB6852E" w14:textId="511FFDDE" w:rsidR="00375ADD" w:rsidRDefault="00375ADD" w:rsidP="00381F0F">
            <w:pPr>
              <w:spacing w:after="120" w:line="240" w:lineRule="auto"/>
              <w:ind w:firstLine="720"/>
              <w:jc w:val="both"/>
              <w:rPr>
                <w:b/>
              </w:rPr>
            </w:pPr>
            <w:r>
              <w:rPr>
                <w:b/>
              </w:rPr>
              <w:t>(</w:t>
            </w:r>
            <w:r w:rsidRPr="00E07A47">
              <w:rPr>
                <w:b/>
              </w:rPr>
              <w:t>Par 2019.</w:t>
            </w:r>
            <w:r>
              <w:rPr>
                <w:b/>
              </w:rPr>
              <w:t> </w:t>
            </w:r>
            <w:r w:rsidRPr="00E07A47">
              <w:rPr>
                <w:b/>
              </w:rPr>
              <w:t xml:space="preserve">gada </w:t>
            </w:r>
            <w:r>
              <w:rPr>
                <w:b/>
              </w:rPr>
              <w:t>15</w:t>
            </w:r>
            <w:r w:rsidRPr="00E07A47">
              <w:rPr>
                <w:b/>
              </w:rPr>
              <w:t>.</w:t>
            </w:r>
            <w:r>
              <w:rPr>
                <w:b/>
              </w:rPr>
              <w:t> jūlij</w:t>
            </w:r>
            <w:r w:rsidRPr="00E07A47">
              <w:rPr>
                <w:b/>
              </w:rPr>
              <w:t>a piecu darbdienu saskaņošanai nosūtīt</w:t>
            </w:r>
            <w:r>
              <w:rPr>
                <w:b/>
              </w:rPr>
              <w:t>o</w:t>
            </w:r>
            <w:r w:rsidRPr="00E07A47">
              <w:rPr>
                <w:b/>
              </w:rPr>
              <w:t xml:space="preserve"> precizēt</w:t>
            </w:r>
            <w:r>
              <w:rPr>
                <w:b/>
              </w:rPr>
              <w:t>o</w:t>
            </w:r>
            <w:r w:rsidRPr="00E07A47">
              <w:rPr>
                <w:b/>
              </w:rPr>
              <w:t xml:space="preserve"> tiesību akt</w:t>
            </w:r>
            <w:r>
              <w:rPr>
                <w:b/>
              </w:rPr>
              <w:t>a</w:t>
            </w:r>
            <w:r w:rsidRPr="00E07A47">
              <w:rPr>
                <w:b/>
              </w:rPr>
              <w:t xml:space="preserve"> projekt</w:t>
            </w:r>
            <w:r>
              <w:rPr>
                <w:b/>
              </w:rPr>
              <w:t>u</w:t>
            </w:r>
            <w:r w:rsidRPr="00E07A47">
              <w:rPr>
                <w:b/>
              </w:rPr>
              <w:t>)</w:t>
            </w:r>
          </w:p>
          <w:p w14:paraId="7ECC99CB" w14:textId="77777777" w:rsidR="00375ADD" w:rsidRPr="00381F0F" w:rsidRDefault="00375ADD" w:rsidP="00381F0F">
            <w:pPr>
              <w:spacing w:after="120" w:line="240" w:lineRule="auto"/>
              <w:ind w:firstLine="720"/>
              <w:jc w:val="both"/>
              <w:rPr>
                <w:rFonts w:ascii="Times New Roman" w:hAnsi="Times New Roman" w:cs="Times New Roman"/>
                <w:bCs/>
              </w:rPr>
            </w:pPr>
            <w:r w:rsidRPr="00381F0F">
              <w:rPr>
                <w:rFonts w:ascii="Times New Roman" w:hAnsi="Times New Roman" w:cs="Times New Roman"/>
                <w:bCs/>
              </w:rPr>
              <w:t>Lūdzam izteikt projekta 1. punktu atbilstoši likuma "Par atbilstības novērtēšanu" 7. panta pirmajā daļā un Preču un pakalpojuma drošuma likuma 8.</w:t>
            </w:r>
            <w:r w:rsidRPr="00381F0F">
              <w:rPr>
                <w:rFonts w:ascii="Times New Roman" w:hAnsi="Times New Roman" w:cs="Times New Roman"/>
                <w:bCs/>
                <w:vertAlign w:val="superscript"/>
              </w:rPr>
              <w:t>1</w:t>
            </w:r>
            <w:r w:rsidRPr="00381F0F">
              <w:rPr>
                <w:rFonts w:ascii="Times New Roman" w:hAnsi="Times New Roman" w:cs="Times New Roman"/>
                <w:bCs/>
              </w:rPr>
              <w:t xml:space="preserve"> pantā noteiktajam pilnvarojumam.  Norādām, ka , ja  Saeima kādā likumā ir deleģējusi Ministru kabinetam tiesības izdot noteikumus par kāda jautājuma kārtību, Ministru kabinetam ir tiesības un pienākums noteikt šo kārtību.          Gadījumā, ja ar projektu netiek plānots aptvert visus elementus pilnvarojošā normā, lūdzam </w:t>
            </w:r>
            <w:r w:rsidRPr="00381F0F">
              <w:rPr>
                <w:rFonts w:ascii="Times New Roman" w:hAnsi="Times New Roman" w:cs="Times New Roman"/>
                <w:bCs/>
              </w:rPr>
              <w:lastRenderedPageBreak/>
              <w:t>anotācijā norādīt, kādā no tiesību aktu projektiem pilnvarojums tiks izpildīts pilnībā.</w:t>
            </w:r>
          </w:p>
          <w:p w14:paraId="6988041A" w14:textId="7D24909C" w:rsidR="00375ADD" w:rsidRPr="00381F0F" w:rsidRDefault="00375ADD" w:rsidP="00381F0F">
            <w:pPr>
              <w:spacing w:after="120" w:line="240" w:lineRule="auto"/>
              <w:ind w:firstLine="720"/>
              <w:jc w:val="both"/>
              <w:rPr>
                <w:bCs/>
              </w:rPr>
            </w:pPr>
            <w:r w:rsidRPr="00381F0F">
              <w:rPr>
                <w:rFonts w:ascii="Times New Roman" w:hAnsi="Times New Roman" w:cs="Times New Roman"/>
                <w:bCs/>
                <w:i/>
                <w:iCs/>
              </w:rPr>
              <w:t>(Lūdzam skatīt arī kontekstā, piemēram, ar projekta 5.1. apakšpunktu, 12. 1 apakšpunktu, kuros pretēji projekta 1. punktam tiek minētas arī "būtiskās drošuma prasības".)</w:t>
            </w:r>
          </w:p>
        </w:tc>
        <w:tc>
          <w:tcPr>
            <w:tcW w:w="2410" w:type="dxa"/>
            <w:gridSpan w:val="2"/>
            <w:vMerge/>
            <w:tcBorders>
              <w:left w:val="single" w:sz="4" w:space="0" w:color="auto"/>
              <w:right w:val="single" w:sz="4" w:space="0" w:color="auto"/>
            </w:tcBorders>
          </w:tcPr>
          <w:p w14:paraId="22124305" w14:textId="77777777" w:rsidR="00375ADD" w:rsidRPr="00DC34FD" w:rsidRDefault="00375ADD" w:rsidP="00AE72A2">
            <w:pPr>
              <w:pStyle w:val="naisf"/>
              <w:spacing w:before="0" w:after="0"/>
              <w:ind w:left="70" w:firstLine="0"/>
              <w:rPr>
                <w:b/>
                <w:sz w:val="22"/>
                <w:szCs w:val="22"/>
              </w:rPr>
            </w:pPr>
          </w:p>
        </w:tc>
        <w:tc>
          <w:tcPr>
            <w:tcW w:w="4652" w:type="dxa"/>
            <w:vMerge/>
            <w:tcBorders>
              <w:left w:val="single" w:sz="4" w:space="0" w:color="auto"/>
            </w:tcBorders>
          </w:tcPr>
          <w:p w14:paraId="31A1EE09" w14:textId="77777777" w:rsidR="00375ADD" w:rsidRPr="00F07CB7" w:rsidRDefault="00375ADD" w:rsidP="00F07CB7">
            <w:pPr>
              <w:pStyle w:val="ListParagraph"/>
              <w:numPr>
                <w:ilvl w:val="0"/>
                <w:numId w:val="27"/>
              </w:numPr>
              <w:spacing w:after="0" w:line="240" w:lineRule="auto"/>
              <w:ind w:left="39" w:firstLine="0"/>
              <w:jc w:val="both"/>
              <w:rPr>
                <w:rFonts w:ascii="Times New Roman" w:hAnsi="Times New Roman"/>
              </w:rPr>
            </w:pPr>
          </w:p>
        </w:tc>
      </w:tr>
      <w:tr w:rsidR="00375ADD" w:rsidRPr="00DC34FD" w14:paraId="2A4AE6BB" w14:textId="77777777" w:rsidTr="00AF11CB">
        <w:trPr>
          <w:trHeight w:val="2730"/>
        </w:trPr>
        <w:tc>
          <w:tcPr>
            <w:tcW w:w="742" w:type="dxa"/>
            <w:vMerge/>
            <w:tcBorders>
              <w:left w:val="single" w:sz="4" w:space="0" w:color="auto"/>
              <w:bottom w:val="single" w:sz="4" w:space="0" w:color="auto"/>
              <w:right w:val="single" w:sz="4" w:space="0" w:color="auto"/>
            </w:tcBorders>
          </w:tcPr>
          <w:p w14:paraId="7D90E380" w14:textId="77777777" w:rsidR="00375ADD" w:rsidRDefault="00375ADD" w:rsidP="00741BD0">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3A74AFAB" w14:textId="77777777" w:rsidR="00375ADD" w:rsidRPr="00DC34FD" w:rsidRDefault="00375ADD" w:rsidP="00741BD0">
            <w:pPr>
              <w:tabs>
                <w:tab w:val="left" w:pos="993"/>
              </w:tabs>
              <w:spacing w:after="0" w:line="240" w:lineRule="auto"/>
              <w:jc w:val="both"/>
              <w:rPr>
                <w:rFonts w:ascii="Times New Roman" w:hAnsi="Times New Roman" w:cs="Times New Roman"/>
              </w:rPr>
            </w:pPr>
          </w:p>
        </w:tc>
        <w:tc>
          <w:tcPr>
            <w:tcW w:w="4311" w:type="dxa"/>
            <w:tcBorders>
              <w:top w:val="single" w:sz="4" w:space="0" w:color="auto"/>
              <w:left w:val="single" w:sz="4" w:space="0" w:color="auto"/>
              <w:bottom w:val="single" w:sz="4" w:space="0" w:color="auto"/>
              <w:right w:val="single" w:sz="4" w:space="0" w:color="auto"/>
            </w:tcBorders>
          </w:tcPr>
          <w:p w14:paraId="39E31E59" w14:textId="70BA1A9B" w:rsidR="003F3CA8" w:rsidRDefault="003F3CA8" w:rsidP="003F3CA8">
            <w:pPr>
              <w:spacing w:after="120" w:line="240" w:lineRule="auto"/>
              <w:ind w:firstLine="720"/>
              <w:jc w:val="both"/>
              <w:rPr>
                <w:b/>
              </w:rPr>
            </w:pPr>
            <w:r>
              <w:rPr>
                <w:b/>
              </w:rPr>
              <w:t>(</w:t>
            </w:r>
            <w:r w:rsidRPr="00E07A47">
              <w:rPr>
                <w:b/>
              </w:rPr>
              <w:t>Par 2019.</w:t>
            </w:r>
            <w:r>
              <w:rPr>
                <w:b/>
              </w:rPr>
              <w:t> </w:t>
            </w:r>
            <w:r w:rsidRPr="00E07A47">
              <w:rPr>
                <w:b/>
              </w:rPr>
              <w:t xml:space="preserve">gada </w:t>
            </w:r>
            <w:r>
              <w:rPr>
                <w:b/>
              </w:rPr>
              <w:t>30</w:t>
            </w:r>
            <w:r w:rsidRPr="00E07A47">
              <w:rPr>
                <w:b/>
              </w:rPr>
              <w:t>.</w:t>
            </w:r>
            <w:r>
              <w:rPr>
                <w:b/>
              </w:rPr>
              <w:t> jūlij</w:t>
            </w:r>
            <w:r w:rsidRPr="00E07A47">
              <w:rPr>
                <w:b/>
              </w:rPr>
              <w:t>a piecu darbdienu saskaņošanai nosūtīt</w:t>
            </w:r>
            <w:r>
              <w:rPr>
                <w:b/>
              </w:rPr>
              <w:t>o</w:t>
            </w:r>
            <w:r w:rsidRPr="00E07A47">
              <w:rPr>
                <w:b/>
              </w:rPr>
              <w:t xml:space="preserve"> precizēt</w:t>
            </w:r>
            <w:r>
              <w:rPr>
                <w:b/>
              </w:rPr>
              <w:t>o</w:t>
            </w:r>
            <w:r w:rsidRPr="00E07A47">
              <w:rPr>
                <w:b/>
              </w:rPr>
              <w:t xml:space="preserve"> tiesību akt</w:t>
            </w:r>
            <w:r>
              <w:rPr>
                <w:b/>
              </w:rPr>
              <w:t>a</w:t>
            </w:r>
            <w:r w:rsidRPr="00E07A47">
              <w:rPr>
                <w:b/>
              </w:rPr>
              <w:t xml:space="preserve"> projekt</w:t>
            </w:r>
            <w:r>
              <w:rPr>
                <w:b/>
              </w:rPr>
              <w:t>u</w:t>
            </w:r>
            <w:r w:rsidRPr="00E07A47">
              <w:rPr>
                <w:b/>
              </w:rPr>
              <w:t>)</w:t>
            </w:r>
          </w:p>
          <w:p w14:paraId="67E3FA93" w14:textId="77777777" w:rsidR="00375ADD" w:rsidRPr="003F3CA8" w:rsidRDefault="00375ADD" w:rsidP="003F3CA8">
            <w:pPr>
              <w:spacing w:after="0" w:line="240" w:lineRule="auto"/>
              <w:rPr>
                <w:rFonts w:ascii="Times New Roman" w:hAnsi="Times New Roman"/>
              </w:rPr>
            </w:pPr>
            <w:r w:rsidRPr="003F3CA8">
              <w:rPr>
                <w:rFonts w:ascii="Times New Roman" w:hAnsi="Times New Roman"/>
              </w:rPr>
              <w:t>Aiz noteikumu nosaukuma raksta tās likuma normas uz kā pamata noteikumi ir izdoti. Aiz projekta norādīts, ka projekts "izdots saskaņā ar likuma "Par atbilstības novērtēšanu" 7. panta otro daļu un  Preču un pakalpojumu drošuma likuma 8.</w:t>
            </w:r>
            <w:r w:rsidRPr="003F3CA8">
              <w:rPr>
                <w:rFonts w:ascii="Times New Roman" w:hAnsi="Times New Roman"/>
                <w:vertAlign w:val="superscript"/>
              </w:rPr>
              <w:t>1</w:t>
            </w:r>
            <w:r w:rsidRPr="003F3CA8">
              <w:rPr>
                <w:rFonts w:ascii="Times New Roman" w:hAnsi="Times New Roman"/>
              </w:rPr>
              <w:t xml:space="preserve"> pantu". </w:t>
            </w:r>
          </w:p>
          <w:p w14:paraId="3010D509" w14:textId="77777777" w:rsidR="00375ADD" w:rsidRPr="003F3CA8" w:rsidRDefault="00375ADD" w:rsidP="00375ADD">
            <w:pPr>
              <w:rPr>
                <w:rFonts w:ascii="Times New Roman" w:hAnsi="Times New Roman" w:cs="Times New Roman"/>
              </w:rPr>
            </w:pPr>
            <w:r w:rsidRPr="003F3CA8">
              <w:rPr>
                <w:rFonts w:ascii="Times New Roman" w:hAnsi="Times New Roman" w:cs="Times New Roman"/>
              </w:rPr>
              <w:t>Norādām, ka Preču un pakalpojumu drošuma likuma 8.</w:t>
            </w:r>
            <w:r w:rsidRPr="003F3CA8">
              <w:rPr>
                <w:rFonts w:ascii="Times New Roman" w:hAnsi="Times New Roman" w:cs="Times New Roman"/>
                <w:vertAlign w:val="superscript"/>
              </w:rPr>
              <w:t>1</w:t>
            </w:r>
            <w:r w:rsidRPr="003F3CA8">
              <w:rPr>
                <w:rFonts w:ascii="Times New Roman" w:hAnsi="Times New Roman" w:cs="Times New Roman"/>
              </w:rPr>
              <w:t xml:space="preserve"> pants noteic, ka, ja prece vai pakalpojums var radīt nopietnu risku cilvēka dzīvībai, veselībai, vides vai īpašumam, Ministru kabineta nosaka speciālās prasības </w:t>
            </w:r>
            <w:r w:rsidRPr="003F3CA8">
              <w:rPr>
                <w:rFonts w:ascii="Times New Roman" w:hAnsi="Times New Roman" w:cs="Times New Roman"/>
                <w:b/>
                <w:bCs/>
                <w:u w:val="single"/>
              </w:rPr>
              <w:t>vai</w:t>
            </w:r>
            <w:r w:rsidRPr="003F3CA8">
              <w:rPr>
                <w:rFonts w:ascii="Times New Roman" w:hAnsi="Times New Roman" w:cs="Times New Roman"/>
                <w:u w:val="single"/>
              </w:rPr>
              <w:t xml:space="preserve"> </w:t>
            </w:r>
            <w:r w:rsidRPr="003F3CA8">
              <w:rPr>
                <w:rFonts w:ascii="Times New Roman" w:hAnsi="Times New Roman" w:cs="Times New Roman"/>
              </w:rPr>
              <w:t xml:space="preserve">nepieciešamos pasākumus riska mazināšanai </w:t>
            </w:r>
            <w:r w:rsidRPr="003F3CA8">
              <w:rPr>
                <w:rFonts w:ascii="Times New Roman" w:hAnsi="Times New Roman" w:cs="Times New Roman"/>
                <w:b/>
                <w:bCs/>
                <w:u w:val="single"/>
              </w:rPr>
              <w:t xml:space="preserve">vai </w:t>
            </w:r>
            <w:r w:rsidRPr="003F3CA8">
              <w:rPr>
                <w:rFonts w:ascii="Times New Roman" w:hAnsi="Times New Roman" w:cs="Times New Roman"/>
              </w:rPr>
              <w:t xml:space="preserve">novēršanai, preču aprites </w:t>
            </w:r>
            <w:r w:rsidRPr="003F3CA8">
              <w:rPr>
                <w:rFonts w:ascii="Times New Roman" w:hAnsi="Times New Roman" w:cs="Times New Roman"/>
                <w:b/>
                <w:bCs/>
                <w:u w:val="single"/>
              </w:rPr>
              <w:t>vai</w:t>
            </w:r>
            <w:r w:rsidRPr="003F3CA8">
              <w:rPr>
                <w:rFonts w:ascii="Times New Roman" w:hAnsi="Times New Roman" w:cs="Times New Roman"/>
              </w:rPr>
              <w:t xml:space="preserve"> pakalpojumu piedāvāšanas kārtību, kā arī to uzraudzības un kontroles kārtību.</w:t>
            </w:r>
          </w:p>
          <w:p w14:paraId="10C988DF" w14:textId="77777777" w:rsidR="00375ADD" w:rsidRPr="003F3CA8" w:rsidRDefault="00375ADD" w:rsidP="00375ADD">
            <w:pPr>
              <w:rPr>
                <w:rFonts w:ascii="Times New Roman" w:hAnsi="Times New Roman" w:cs="Times New Roman"/>
              </w:rPr>
            </w:pPr>
            <w:r w:rsidRPr="003F3CA8">
              <w:rPr>
                <w:rFonts w:ascii="Times New Roman" w:hAnsi="Times New Roman" w:cs="Times New Roman"/>
              </w:rPr>
              <w:t>            Norādām, ka minēto saikļu  "vai" lietošana pilnvarojuma normā norāda uz šķīruma attieksmēm (proti, tas s</w:t>
            </w:r>
            <w:r w:rsidRPr="003F3CA8">
              <w:rPr>
                <w:rFonts w:ascii="Times New Roman" w:hAnsi="Times New Roman" w:cs="Times New Roman"/>
                <w:color w:val="212121"/>
                <w:shd w:val="clear" w:color="auto" w:fill="FFFFFF"/>
              </w:rPr>
              <w:t xml:space="preserve">aista saliktā </w:t>
            </w:r>
            <w:r w:rsidRPr="003F3CA8">
              <w:rPr>
                <w:rFonts w:ascii="Times New Roman" w:hAnsi="Times New Roman" w:cs="Times New Roman"/>
                <w:color w:val="212121"/>
                <w:shd w:val="clear" w:color="auto" w:fill="FFFFFF"/>
              </w:rPr>
              <w:lastRenderedPageBreak/>
              <w:t>teikumā vienlīdzīgus palīgteikumus, norādot uz šķīruma sintaktisko attieksmi starp tiem)</w:t>
            </w:r>
            <w:r w:rsidRPr="003F3CA8">
              <w:rPr>
                <w:rFonts w:ascii="Times New Roman" w:hAnsi="Times New Roman" w:cs="Times New Roman"/>
              </w:rPr>
              <w:t>, tādējādi likumdevējs ir paredzējis brīvību Ministru kabinetam noteikt vai, nu:</w:t>
            </w:r>
          </w:p>
          <w:p w14:paraId="1E949B3F" w14:textId="77777777" w:rsidR="00375ADD" w:rsidRPr="003F3CA8" w:rsidRDefault="00375ADD" w:rsidP="00375ADD">
            <w:pPr>
              <w:rPr>
                <w:rFonts w:ascii="Times New Roman" w:hAnsi="Times New Roman" w:cs="Times New Roman"/>
              </w:rPr>
            </w:pPr>
            <w:r w:rsidRPr="003F3CA8">
              <w:rPr>
                <w:rFonts w:ascii="Times New Roman" w:hAnsi="Times New Roman" w:cs="Times New Roman"/>
                <w:b/>
                <w:bCs/>
              </w:rPr>
              <w:t>1)Speciālās prasības</w:t>
            </w:r>
            <w:r w:rsidRPr="003F3CA8">
              <w:rPr>
                <w:rFonts w:ascii="Times New Roman" w:hAnsi="Times New Roman" w:cs="Times New Roman"/>
              </w:rPr>
              <w:t xml:space="preserve"> riska mazināšanai </w:t>
            </w:r>
            <w:r w:rsidRPr="003F3CA8">
              <w:rPr>
                <w:rFonts w:ascii="Times New Roman" w:hAnsi="Times New Roman" w:cs="Times New Roman"/>
                <w:b/>
                <w:bCs/>
                <w:u w:val="single"/>
              </w:rPr>
              <w:t xml:space="preserve">/ vai </w:t>
            </w:r>
            <w:r w:rsidRPr="003F3CA8">
              <w:rPr>
                <w:rFonts w:ascii="Times New Roman" w:hAnsi="Times New Roman" w:cs="Times New Roman"/>
              </w:rPr>
              <w:t>speciālās prasības riska novēršanai</w:t>
            </w:r>
          </w:p>
          <w:p w14:paraId="46147742" w14:textId="77777777" w:rsidR="00375ADD" w:rsidRPr="003F3CA8" w:rsidRDefault="00375ADD" w:rsidP="00375ADD">
            <w:pPr>
              <w:pStyle w:val="ListParagraph"/>
              <w:rPr>
                <w:rFonts w:ascii="Times New Roman" w:hAnsi="Times New Roman"/>
                <w:b/>
                <w:bCs/>
              </w:rPr>
            </w:pPr>
            <w:r w:rsidRPr="003F3CA8">
              <w:rPr>
                <w:rFonts w:ascii="Times New Roman" w:hAnsi="Times New Roman"/>
                <w:b/>
                <w:bCs/>
              </w:rPr>
              <w:t>vai</w:t>
            </w:r>
          </w:p>
          <w:p w14:paraId="1A3001BC" w14:textId="77777777" w:rsidR="00375ADD" w:rsidRPr="003F3CA8" w:rsidRDefault="00375ADD" w:rsidP="00375ADD">
            <w:pPr>
              <w:rPr>
                <w:rFonts w:ascii="Times New Roman" w:hAnsi="Times New Roman" w:cs="Times New Roman"/>
                <w:b/>
                <w:bCs/>
              </w:rPr>
            </w:pPr>
            <w:r w:rsidRPr="003F3CA8">
              <w:rPr>
                <w:rFonts w:ascii="Times New Roman" w:hAnsi="Times New Roman" w:cs="Times New Roman"/>
                <w:b/>
                <w:bCs/>
              </w:rPr>
              <w:t>2) Nepieciešamos pasākumus</w:t>
            </w:r>
            <w:r w:rsidRPr="003F3CA8">
              <w:rPr>
                <w:rFonts w:ascii="Times New Roman" w:hAnsi="Times New Roman" w:cs="Times New Roman"/>
              </w:rPr>
              <w:t xml:space="preserve"> riska mazināšanai / vai riska novēršanai.</w:t>
            </w:r>
          </w:p>
          <w:p w14:paraId="3EBF4C35" w14:textId="77777777" w:rsidR="00375ADD" w:rsidRPr="003F3CA8" w:rsidRDefault="00375ADD" w:rsidP="00375ADD">
            <w:pPr>
              <w:ind w:left="360"/>
              <w:rPr>
                <w:rFonts w:ascii="Times New Roman" w:hAnsi="Times New Roman" w:cs="Times New Roman"/>
              </w:rPr>
            </w:pPr>
            <w:r w:rsidRPr="003F3CA8">
              <w:rPr>
                <w:rFonts w:ascii="Times New Roman" w:hAnsi="Times New Roman" w:cs="Times New Roman"/>
              </w:rPr>
              <w:t xml:space="preserve">Tādējādi Ministru kabineta noteikumos var noteikt, vai nu 1) punktā minētās speciālās prasības (riska mazināšanai </w:t>
            </w:r>
            <w:r w:rsidRPr="003F3CA8">
              <w:rPr>
                <w:rFonts w:ascii="Times New Roman" w:hAnsi="Times New Roman" w:cs="Times New Roman"/>
                <w:u w:val="single"/>
              </w:rPr>
              <w:t xml:space="preserve">vai riska novēršanai), </w:t>
            </w:r>
            <w:r w:rsidRPr="003F3CA8">
              <w:rPr>
                <w:rFonts w:ascii="Times New Roman" w:hAnsi="Times New Roman" w:cs="Times New Roman"/>
              </w:rPr>
              <w:t xml:space="preserve">vai 2) minētos nepieciešamos pasākumus (riska mazināšanai </w:t>
            </w:r>
            <w:r w:rsidRPr="003F3CA8">
              <w:rPr>
                <w:rFonts w:ascii="Times New Roman" w:hAnsi="Times New Roman" w:cs="Times New Roman"/>
                <w:u w:val="single"/>
              </w:rPr>
              <w:t xml:space="preserve">vai </w:t>
            </w:r>
            <w:r w:rsidRPr="003F3CA8">
              <w:rPr>
                <w:rFonts w:ascii="Times New Roman" w:hAnsi="Times New Roman" w:cs="Times New Roman"/>
              </w:rPr>
              <w:t xml:space="preserve">riska novēršanai). Ievērojot minēto, lūdzam precizēt projekta 1. punktu. </w:t>
            </w:r>
          </w:p>
          <w:p w14:paraId="29840ADD" w14:textId="4BDB6EF6" w:rsidR="00375ADD" w:rsidRPr="003F3CA8" w:rsidRDefault="00375ADD" w:rsidP="00375ADD">
            <w:pPr>
              <w:spacing w:after="120" w:line="240" w:lineRule="auto"/>
              <w:ind w:firstLine="720"/>
              <w:jc w:val="both"/>
              <w:rPr>
                <w:b/>
              </w:rPr>
            </w:pPr>
            <w:r w:rsidRPr="003F3CA8">
              <w:rPr>
                <w:rFonts w:ascii="Times New Roman" w:eastAsia="Times New Roman" w:hAnsi="Times New Roman" w:cs="Times New Roman"/>
              </w:rPr>
              <w:t>Papildus lūdzam skatīt Tieslietu ministrijas 22.07.2019. atzinumu, kurā jau norādījām, ka, ja projektā netiek vairs regulētas "būtiskās  objekta prasības", būtu jāprecizē projekta 5.1. apakšpunkts un 12.1 apakšpunkts, kuros parādās vārdkopa "būtiskās drošuma prasības".</w:t>
            </w:r>
          </w:p>
        </w:tc>
        <w:tc>
          <w:tcPr>
            <w:tcW w:w="2410" w:type="dxa"/>
            <w:gridSpan w:val="2"/>
            <w:vMerge/>
            <w:tcBorders>
              <w:left w:val="single" w:sz="4" w:space="0" w:color="auto"/>
              <w:bottom w:val="single" w:sz="4" w:space="0" w:color="auto"/>
              <w:right w:val="single" w:sz="4" w:space="0" w:color="auto"/>
            </w:tcBorders>
          </w:tcPr>
          <w:p w14:paraId="49A18EA9" w14:textId="77777777" w:rsidR="00375ADD" w:rsidRPr="00DC34FD" w:rsidRDefault="00375ADD" w:rsidP="00AE72A2">
            <w:pPr>
              <w:pStyle w:val="naisf"/>
              <w:spacing w:before="0" w:after="0"/>
              <w:ind w:left="70" w:firstLine="0"/>
              <w:rPr>
                <w:b/>
                <w:sz w:val="22"/>
                <w:szCs w:val="22"/>
              </w:rPr>
            </w:pPr>
          </w:p>
        </w:tc>
        <w:tc>
          <w:tcPr>
            <w:tcW w:w="4652" w:type="dxa"/>
            <w:vMerge/>
            <w:tcBorders>
              <w:left w:val="single" w:sz="4" w:space="0" w:color="auto"/>
              <w:bottom w:val="single" w:sz="4" w:space="0" w:color="auto"/>
            </w:tcBorders>
          </w:tcPr>
          <w:p w14:paraId="55EAC315" w14:textId="77777777" w:rsidR="00375ADD" w:rsidRPr="00F07CB7" w:rsidRDefault="00375ADD" w:rsidP="00F07CB7">
            <w:pPr>
              <w:pStyle w:val="ListParagraph"/>
              <w:numPr>
                <w:ilvl w:val="0"/>
                <w:numId w:val="27"/>
              </w:numPr>
              <w:spacing w:after="0" w:line="240" w:lineRule="auto"/>
              <w:ind w:left="39" w:firstLine="0"/>
              <w:jc w:val="both"/>
              <w:rPr>
                <w:rFonts w:ascii="Times New Roman" w:hAnsi="Times New Roman"/>
              </w:rPr>
            </w:pPr>
          </w:p>
        </w:tc>
      </w:tr>
      <w:tr w:rsidR="00292EC1" w:rsidRPr="00DC34FD" w14:paraId="0D62FC44" w14:textId="77777777" w:rsidTr="00AF11CB">
        <w:trPr>
          <w:trHeight w:val="2378"/>
        </w:trPr>
        <w:tc>
          <w:tcPr>
            <w:tcW w:w="742" w:type="dxa"/>
            <w:vMerge w:val="restart"/>
            <w:tcBorders>
              <w:top w:val="single" w:sz="4" w:space="0" w:color="auto"/>
              <w:left w:val="single" w:sz="4" w:space="0" w:color="auto"/>
              <w:right w:val="single" w:sz="4" w:space="0" w:color="auto"/>
            </w:tcBorders>
          </w:tcPr>
          <w:p w14:paraId="500E1155" w14:textId="5D8740CB" w:rsidR="00292EC1" w:rsidRPr="00DC34FD" w:rsidRDefault="00E11FAE" w:rsidP="007067CF">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3370" w:type="dxa"/>
            <w:gridSpan w:val="2"/>
            <w:vMerge w:val="restart"/>
            <w:tcBorders>
              <w:top w:val="single" w:sz="4" w:space="0" w:color="auto"/>
              <w:left w:val="single" w:sz="4" w:space="0" w:color="auto"/>
              <w:right w:val="single" w:sz="4" w:space="0" w:color="auto"/>
            </w:tcBorders>
          </w:tcPr>
          <w:p w14:paraId="0CD79B67" w14:textId="23BBDAAF" w:rsidR="00D33254" w:rsidRPr="00DC34FD" w:rsidRDefault="00D33254" w:rsidP="007067CF">
            <w:pPr>
              <w:pStyle w:val="CommentText"/>
              <w:spacing w:before="60"/>
              <w:jc w:val="both"/>
              <w:rPr>
                <w:sz w:val="22"/>
                <w:szCs w:val="22"/>
              </w:rPr>
            </w:pPr>
            <w:r w:rsidRPr="00DC34FD">
              <w:rPr>
                <w:sz w:val="22"/>
                <w:szCs w:val="22"/>
              </w:rPr>
              <w:t xml:space="preserve">1. </w:t>
            </w:r>
            <w:r w:rsidR="00DB34A6" w:rsidRPr="00DC34FD">
              <w:rPr>
                <w:sz w:val="22"/>
                <w:szCs w:val="22"/>
              </w:rPr>
              <w:t>Noteikumi nosaka publiskai lietošanai paredzētu bērnu spēļu laukumu īpašnieka vai tiesiskā valdītāja (turpmāk – valdītājs) pienākumus, spēļu vai citu aktivitāšu iekārtu un aprīkojuma ražotāja, importētāja un izplatītāja pienākumus, kā arī publiskai lietošanai paredzētu bērnu spēļu laukumu un tajos uzstādīto spēļu vai citu aktivitāšu iekārtu un aprīkojuma būtiskās drošuma prasības, marķēšanas prasības, atbilstības novērtēšanas kārtību, pārbaudes un uzturēšanas prasības un uzraudzības kārtību.</w:t>
            </w:r>
          </w:p>
          <w:p w14:paraId="25D8CC82" w14:textId="00F9DE73" w:rsidR="00292EC1" w:rsidRPr="00DC34FD" w:rsidRDefault="00292EC1" w:rsidP="007067CF">
            <w:pPr>
              <w:pStyle w:val="CommentText"/>
              <w:spacing w:before="60"/>
              <w:jc w:val="both"/>
              <w:rPr>
                <w:sz w:val="22"/>
                <w:szCs w:val="22"/>
              </w:rPr>
            </w:pPr>
            <w:r w:rsidRPr="00DC34FD">
              <w:rPr>
                <w:sz w:val="22"/>
                <w:szCs w:val="22"/>
              </w:rPr>
              <w:t>2. Noteikumi attiecas uz publiskai lietošanai paredzētu bērnu spēļu laukumu ierīkošanu un uzturēšanu, kas:</w:t>
            </w:r>
          </w:p>
          <w:p w14:paraId="092A68AD" w14:textId="77777777" w:rsidR="00292EC1" w:rsidRPr="00DC34FD" w:rsidRDefault="00292EC1" w:rsidP="007067CF">
            <w:pPr>
              <w:pStyle w:val="CommentText"/>
              <w:spacing w:before="60"/>
              <w:jc w:val="both"/>
              <w:rPr>
                <w:sz w:val="22"/>
                <w:szCs w:val="22"/>
              </w:rPr>
            </w:pPr>
            <w:r w:rsidRPr="00DC34FD">
              <w:rPr>
                <w:sz w:val="22"/>
                <w:szCs w:val="22"/>
              </w:rPr>
              <w:t>2.1. tiek aprīkoti ar spēļu vai citu aktivitāšu iekārtām un aprīkojumu, kuru atbalsta struktūra nodarbošanās laikā paliek nekustīga un kuri paredzēti, lai veiktu šādas darbības: kāpelētu, lēkātu, šūpotos, slidinātos, grieztos, rāpotu, līstu, vai veiktu jebkuru šo darbību kombināciju, vai darbotos ar mērķi saglabāt vai uzlabot savas fiziskās vai intelektuālās spējas (turpmāk –  spēļu vai citu aktivitāšu iekārtas);</w:t>
            </w:r>
          </w:p>
          <w:p w14:paraId="46BBD540" w14:textId="77777777" w:rsidR="00292EC1" w:rsidRPr="00DC34FD" w:rsidRDefault="00292EC1" w:rsidP="007067CF">
            <w:pPr>
              <w:pStyle w:val="ListParagraph"/>
              <w:spacing w:after="0" w:line="240" w:lineRule="auto"/>
              <w:ind w:left="279"/>
              <w:jc w:val="both"/>
              <w:rPr>
                <w:rFonts w:ascii="Times New Roman" w:hAnsi="Times New Roman"/>
              </w:rPr>
            </w:pPr>
          </w:p>
        </w:tc>
        <w:tc>
          <w:tcPr>
            <w:tcW w:w="4311" w:type="dxa"/>
            <w:tcBorders>
              <w:top w:val="single" w:sz="4" w:space="0" w:color="auto"/>
              <w:left w:val="single" w:sz="4" w:space="0" w:color="auto"/>
              <w:bottom w:val="single" w:sz="4" w:space="0" w:color="auto"/>
              <w:right w:val="single" w:sz="4" w:space="0" w:color="auto"/>
            </w:tcBorders>
          </w:tcPr>
          <w:p w14:paraId="3AFE7955" w14:textId="77777777" w:rsidR="00292EC1" w:rsidRPr="00DC34FD" w:rsidRDefault="00292EC1" w:rsidP="00FB5F6C">
            <w:pPr>
              <w:pStyle w:val="CommentText"/>
              <w:spacing w:before="60" w:after="0"/>
              <w:jc w:val="center"/>
              <w:rPr>
                <w:b/>
                <w:sz w:val="22"/>
                <w:szCs w:val="22"/>
              </w:rPr>
            </w:pPr>
            <w:r w:rsidRPr="00DC34FD">
              <w:rPr>
                <w:b/>
                <w:sz w:val="22"/>
                <w:szCs w:val="22"/>
              </w:rPr>
              <w:lastRenderedPageBreak/>
              <w:t>Latvijas Lielo pilsētu asociācija</w:t>
            </w:r>
          </w:p>
          <w:p w14:paraId="4F818C77" w14:textId="77777777" w:rsidR="00292EC1" w:rsidRPr="00DC34FD" w:rsidRDefault="00292EC1" w:rsidP="007067CF">
            <w:pPr>
              <w:pStyle w:val="CommentText"/>
              <w:spacing w:before="60" w:after="0"/>
              <w:jc w:val="both"/>
              <w:rPr>
                <w:sz w:val="22"/>
                <w:szCs w:val="22"/>
                <w:u w:val="single"/>
              </w:rPr>
            </w:pPr>
            <w:r w:rsidRPr="00DC34FD">
              <w:rPr>
                <w:sz w:val="22"/>
                <w:szCs w:val="22"/>
              </w:rPr>
              <w:t xml:space="preserve">Praksē mēdz būt laukumi, kuros bez bērnu spēļu (rotaļu) funkcijas ir arī vingrošanas iespēja. Laukums ir zonēts pēc aktivitāšu veida – viena zona bērnu spēlēm (rotaļām), otra zona vingrošanai, pie tam, atsevišķas iekārtas var būt piemērotas lietošanai jau no pirmsskolas vecuma. </w:t>
            </w:r>
            <w:r w:rsidRPr="00DC34FD">
              <w:rPr>
                <w:sz w:val="22"/>
                <w:szCs w:val="22"/>
                <w:u w:val="single"/>
              </w:rPr>
              <w:t>Vingrošanas zona, nenoliedzami, “darbojas ar mērķi saglabāt vai uzlabot savas fiziskās spējas” un būtu nosaucama par “citu aktivitāšu iekārtām”.</w:t>
            </w:r>
          </w:p>
          <w:p w14:paraId="2EF0DD41" w14:textId="37F6A239" w:rsidR="00292EC1" w:rsidRPr="00DC34FD" w:rsidRDefault="00292EC1" w:rsidP="007067CF">
            <w:pPr>
              <w:spacing w:after="0" w:line="240" w:lineRule="auto"/>
              <w:jc w:val="both"/>
              <w:rPr>
                <w:rFonts w:ascii="Times New Roman" w:eastAsia="Times New Roman" w:hAnsi="Times New Roman" w:cs="Times New Roman"/>
                <w:b/>
              </w:rPr>
            </w:pPr>
            <w:r w:rsidRPr="00DC34FD">
              <w:rPr>
                <w:rFonts w:ascii="Times New Roman" w:hAnsi="Times New Roman" w:cs="Times New Roman"/>
              </w:rPr>
              <w:t>Ja šajos noteikumos nav ietverti nosacījumi vingrošanas laukumiem, tad noteikumu 3. punktā ir jāparedz, ka noteikumi neattiecas uz “vingrošanas laukumiem, vingrošanas ierīcēm un vingrošanas  aprīkojumu”.</w:t>
            </w:r>
          </w:p>
        </w:tc>
        <w:tc>
          <w:tcPr>
            <w:tcW w:w="2410" w:type="dxa"/>
            <w:gridSpan w:val="2"/>
            <w:vMerge w:val="restart"/>
            <w:tcBorders>
              <w:top w:val="single" w:sz="4" w:space="0" w:color="auto"/>
              <w:left w:val="single" w:sz="4" w:space="0" w:color="auto"/>
              <w:right w:val="single" w:sz="4" w:space="0" w:color="auto"/>
            </w:tcBorders>
          </w:tcPr>
          <w:p w14:paraId="4EAE437B" w14:textId="77777777" w:rsidR="00292EC1" w:rsidRPr="00DC34FD" w:rsidRDefault="00292EC1" w:rsidP="007067CF">
            <w:pPr>
              <w:pStyle w:val="naisc"/>
              <w:spacing w:before="0" w:after="0"/>
              <w:jc w:val="left"/>
              <w:rPr>
                <w:sz w:val="22"/>
                <w:szCs w:val="22"/>
              </w:rPr>
            </w:pPr>
            <w:r w:rsidRPr="00DC34FD">
              <w:rPr>
                <w:b/>
                <w:sz w:val="22"/>
                <w:szCs w:val="22"/>
              </w:rPr>
              <w:t>Ņemts vērā.</w:t>
            </w:r>
            <w:r w:rsidRPr="00DC34FD">
              <w:rPr>
                <w:sz w:val="22"/>
                <w:szCs w:val="22"/>
              </w:rPr>
              <w:t xml:space="preserve"> Noteikumu projektam precizēts nosaukums, kas norāda uz to, ka Noteikumu projekts attiecas ne tikai uz bērnu spēļu laukumiem, bet arī vingrošanas, aktīvās atpūtas laukumiem.</w:t>
            </w:r>
          </w:p>
          <w:p w14:paraId="6964DAC1" w14:textId="338F64F1" w:rsidR="00D33254" w:rsidRPr="00DC34FD" w:rsidRDefault="00D33254" w:rsidP="007067CF">
            <w:pPr>
              <w:pStyle w:val="naisc"/>
              <w:spacing w:before="0" w:after="0"/>
              <w:jc w:val="left"/>
              <w:rPr>
                <w:b/>
                <w:sz w:val="22"/>
                <w:szCs w:val="22"/>
              </w:rPr>
            </w:pPr>
            <w:r w:rsidRPr="00DC34FD">
              <w:rPr>
                <w:sz w:val="22"/>
                <w:szCs w:val="22"/>
              </w:rPr>
              <w:t>Attiecīgi precizēts arī 1. un 2.punkts.</w:t>
            </w:r>
          </w:p>
        </w:tc>
        <w:tc>
          <w:tcPr>
            <w:tcW w:w="4652" w:type="dxa"/>
            <w:vMerge w:val="restart"/>
            <w:tcBorders>
              <w:top w:val="single" w:sz="4" w:space="0" w:color="auto"/>
              <w:left w:val="single" w:sz="4" w:space="0" w:color="auto"/>
            </w:tcBorders>
          </w:tcPr>
          <w:p w14:paraId="027FD83A" w14:textId="4C70819E" w:rsidR="00292EC1" w:rsidRPr="00DC34FD" w:rsidRDefault="00292EC1" w:rsidP="007067CF">
            <w:pPr>
              <w:spacing w:line="240" w:lineRule="auto"/>
              <w:jc w:val="both"/>
              <w:rPr>
                <w:rFonts w:ascii="Times New Roman" w:hAnsi="Times New Roman" w:cs="Times New Roman"/>
                <w:b/>
                <w:bCs/>
              </w:rPr>
            </w:pPr>
            <w:r w:rsidRPr="00DC34FD">
              <w:rPr>
                <w:rFonts w:ascii="Times New Roman" w:hAnsi="Times New Roman" w:cs="Times New Roman"/>
              </w:rPr>
              <w:t xml:space="preserve">Precizētais nosaukums: </w:t>
            </w:r>
            <w:r w:rsidR="00FD14A2">
              <w:rPr>
                <w:rFonts w:ascii="Times New Roman" w:hAnsi="Times New Roman" w:cs="Times New Roman"/>
                <w:b/>
                <w:bCs/>
              </w:rPr>
              <w:t>S</w:t>
            </w:r>
            <w:r w:rsidRPr="00DC34FD">
              <w:rPr>
                <w:rFonts w:ascii="Times New Roman" w:hAnsi="Times New Roman" w:cs="Times New Roman"/>
                <w:b/>
              </w:rPr>
              <w:t>pēļu un rekreācijas laukum</w:t>
            </w:r>
            <w:r w:rsidR="00FD14A2">
              <w:rPr>
                <w:rFonts w:ascii="Times New Roman" w:hAnsi="Times New Roman" w:cs="Times New Roman"/>
                <w:b/>
              </w:rPr>
              <w:t>u d</w:t>
            </w:r>
            <w:r w:rsidR="00FD14A2" w:rsidRPr="00DC34FD">
              <w:rPr>
                <w:rFonts w:ascii="Times New Roman" w:hAnsi="Times New Roman" w:cs="Times New Roman"/>
                <w:b/>
              </w:rPr>
              <w:t>rošuma</w:t>
            </w:r>
            <w:r w:rsidR="00FD14A2">
              <w:rPr>
                <w:rFonts w:ascii="Times New Roman" w:hAnsi="Times New Roman" w:cs="Times New Roman"/>
                <w:b/>
              </w:rPr>
              <w:t xml:space="preserve"> noteikumi</w:t>
            </w:r>
          </w:p>
          <w:p w14:paraId="1F321DA0" w14:textId="77777777" w:rsidR="003F3CA8" w:rsidRPr="003F3CA8" w:rsidRDefault="003F3CA8" w:rsidP="003F3CA8">
            <w:pPr>
              <w:pStyle w:val="naislab"/>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1" w:hanging="31"/>
              <w:jc w:val="both"/>
              <w:rPr>
                <w:sz w:val="22"/>
                <w:szCs w:val="22"/>
              </w:rPr>
            </w:pPr>
            <w:r w:rsidRPr="003F3CA8">
              <w:rPr>
                <w:sz w:val="22"/>
                <w:szCs w:val="22"/>
              </w:rPr>
              <w:t xml:space="preserve">Noteikumi nosaka publiskai lietošanai paredzētu spēļu un rekreācijas laukumu un tajos uzstādīto spēļu vai citu aktivitāšu iekārtu un aprīkojuma: </w:t>
            </w:r>
          </w:p>
          <w:p w14:paraId="60A75013" w14:textId="77777777" w:rsidR="003F3CA8" w:rsidRPr="003F3CA8" w:rsidRDefault="003F3CA8" w:rsidP="003F3CA8">
            <w:pPr>
              <w:pStyle w:val="naislab"/>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3CA8">
              <w:rPr>
                <w:sz w:val="22"/>
                <w:szCs w:val="22"/>
              </w:rPr>
              <w:t>speciālās prasības riska mazināšanai vai novēršanai;</w:t>
            </w:r>
          </w:p>
          <w:p w14:paraId="0DB7D7A6" w14:textId="77777777" w:rsidR="003F3CA8" w:rsidRPr="003F3CA8" w:rsidRDefault="003F3CA8" w:rsidP="003F3CA8">
            <w:pPr>
              <w:pStyle w:val="naislab"/>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3CA8">
              <w:rPr>
                <w:sz w:val="22"/>
                <w:szCs w:val="22"/>
              </w:rPr>
              <w:t>riska mazināšanas vai novēršanas nepieciešamos pasākumus;</w:t>
            </w:r>
          </w:p>
          <w:p w14:paraId="60D8C09D" w14:textId="77777777" w:rsidR="003F3CA8" w:rsidRPr="003F3CA8" w:rsidRDefault="003F3CA8" w:rsidP="003F3CA8">
            <w:pPr>
              <w:pStyle w:val="naislab"/>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3F3CA8">
              <w:rPr>
                <w:sz w:val="22"/>
                <w:szCs w:val="22"/>
              </w:rPr>
              <w:t>piedāvāšanas kārtību lietošanai;</w:t>
            </w:r>
          </w:p>
          <w:p w14:paraId="173FB5FC" w14:textId="7662218C" w:rsidR="00D33254" w:rsidRPr="003F3CA8" w:rsidRDefault="003F3CA8" w:rsidP="003F3CA8">
            <w:pPr>
              <w:spacing w:after="0" w:line="240" w:lineRule="auto"/>
              <w:jc w:val="both"/>
              <w:rPr>
                <w:rFonts w:ascii="Times New Roman" w:hAnsi="Times New Roman" w:cs="Times New Roman"/>
              </w:rPr>
            </w:pPr>
            <w:r w:rsidRPr="003F3CA8">
              <w:rPr>
                <w:rFonts w:ascii="Times New Roman" w:hAnsi="Times New Roman" w:cs="Times New Roman"/>
              </w:rPr>
              <w:t>uzraudzības un kontroles kārtību, kā arī institūcijas, kas to veic.</w:t>
            </w:r>
          </w:p>
          <w:p w14:paraId="02354657" w14:textId="1C9DCA87" w:rsidR="00D33254" w:rsidRPr="00DC34FD" w:rsidRDefault="00D33254" w:rsidP="003F3CA8">
            <w:pPr>
              <w:numPr>
                <w:ilvl w:val="0"/>
                <w:numId w:val="33"/>
              </w:numPr>
              <w:spacing w:after="0" w:line="240" w:lineRule="auto"/>
              <w:ind w:left="39" w:hanging="39"/>
              <w:jc w:val="both"/>
              <w:rPr>
                <w:rFonts w:ascii="Times New Roman" w:hAnsi="Times New Roman" w:cs="Times New Roman"/>
              </w:rPr>
            </w:pPr>
            <w:r w:rsidRPr="003F3CA8">
              <w:rPr>
                <w:rFonts w:ascii="Times New Roman" w:hAnsi="Times New Roman" w:cs="Times New Roman"/>
              </w:rPr>
              <w:t>Noteikumi attiecas uz publiskai</w:t>
            </w:r>
            <w:r w:rsidRPr="00DC34FD">
              <w:rPr>
                <w:rFonts w:ascii="Times New Roman" w:hAnsi="Times New Roman" w:cs="Times New Roman"/>
              </w:rPr>
              <w:t xml:space="preserve"> lietošanai paredzētiem spēļu un rekreācijas laukumiem (turpmāk – publiskie spēļu </w:t>
            </w:r>
            <w:r w:rsidR="00CC381C" w:rsidRPr="00DC34FD">
              <w:rPr>
                <w:rFonts w:ascii="Times New Roman" w:hAnsi="Times New Roman" w:cs="Times New Roman"/>
              </w:rPr>
              <w:t xml:space="preserve">un rekreācijas </w:t>
            </w:r>
            <w:r w:rsidRPr="00DC34FD">
              <w:rPr>
                <w:rFonts w:ascii="Times New Roman" w:hAnsi="Times New Roman" w:cs="Times New Roman"/>
              </w:rPr>
              <w:t>laukumi), kas:</w:t>
            </w:r>
          </w:p>
          <w:p w14:paraId="5D291DA4" w14:textId="4BA915B9" w:rsidR="00292EC1" w:rsidRPr="00DC34FD" w:rsidRDefault="00CC381C" w:rsidP="007067CF">
            <w:pPr>
              <w:spacing w:after="0" w:line="240" w:lineRule="auto"/>
              <w:jc w:val="both"/>
              <w:rPr>
                <w:rFonts w:ascii="Times New Roman" w:hAnsi="Times New Roman" w:cs="Times New Roman"/>
              </w:rPr>
            </w:pPr>
            <w:r w:rsidRPr="00DC34FD">
              <w:rPr>
                <w:rFonts w:ascii="Times New Roman" w:hAnsi="Times New Roman" w:cs="Times New Roman"/>
              </w:rPr>
              <w:t>[..]</w:t>
            </w:r>
          </w:p>
        </w:tc>
      </w:tr>
      <w:tr w:rsidR="00292EC1" w:rsidRPr="00DC34FD" w14:paraId="6F9273E9" w14:textId="77777777" w:rsidTr="00AF11CB">
        <w:trPr>
          <w:trHeight w:val="2377"/>
        </w:trPr>
        <w:tc>
          <w:tcPr>
            <w:tcW w:w="742" w:type="dxa"/>
            <w:vMerge/>
            <w:tcBorders>
              <w:left w:val="single" w:sz="4" w:space="0" w:color="auto"/>
              <w:bottom w:val="single" w:sz="4" w:space="0" w:color="auto"/>
              <w:right w:val="single" w:sz="4" w:space="0" w:color="auto"/>
            </w:tcBorders>
          </w:tcPr>
          <w:p w14:paraId="149C8972" w14:textId="77777777" w:rsidR="00292EC1" w:rsidRPr="00DC34FD" w:rsidRDefault="00292EC1" w:rsidP="007067CF">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545189D8" w14:textId="77777777" w:rsidR="00292EC1" w:rsidRPr="00DC34FD" w:rsidRDefault="00292EC1" w:rsidP="007067CF">
            <w:pPr>
              <w:pStyle w:val="CommentText"/>
              <w:spacing w:before="6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3FDBDB51" w14:textId="42D0F236" w:rsidR="00292EC1" w:rsidRPr="00DC34FD" w:rsidRDefault="00292EC1" w:rsidP="00FB5F6C">
            <w:pPr>
              <w:pStyle w:val="CommentText"/>
              <w:spacing w:before="60" w:after="0"/>
              <w:jc w:val="center"/>
              <w:rPr>
                <w:b/>
                <w:sz w:val="22"/>
                <w:szCs w:val="22"/>
              </w:rPr>
            </w:pPr>
            <w:r w:rsidRPr="00DC34FD">
              <w:rPr>
                <w:b/>
                <w:sz w:val="22"/>
                <w:szCs w:val="22"/>
              </w:rPr>
              <w:t>Latvijas Ainavu arhitektu asociācija</w:t>
            </w:r>
          </w:p>
          <w:p w14:paraId="6261EA65" w14:textId="77777777" w:rsidR="00292EC1" w:rsidRPr="00DC34FD" w:rsidRDefault="00292EC1" w:rsidP="00292EC1">
            <w:pPr>
              <w:pStyle w:val="CommentText"/>
              <w:spacing w:before="60" w:after="0"/>
              <w:jc w:val="both"/>
              <w:rPr>
                <w:sz w:val="22"/>
                <w:szCs w:val="22"/>
              </w:rPr>
            </w:pPr>
            <w:r w:rsidRPr="00DC34FD">
              <w:rPr>
                <w:sz w:val="22"/>
                <w:szCs w:val="22"/>
              </w:rPr>
              <w:t>Būtu precizējams Noteikumu nosaukums, ņemot vērā, ka tie ietvers dažādu laukumu aktivitātes.</w:t>
            </w:r>
          </w:p>
          <w:p w14:paraId="6905384C" w14:textId="77777777" w:rsidR="00292EC1" w:rsidRPr="00DC34FD" w:rsidRDefault="00292EC1" w:rsidP="00292EC1">
            <w:pPr>
              <w:pStyle w:val="CommentText"/>
              <w:spacing w:before="60" w:after="0"/>
              <w:jc w:val="both"/>
              <w:rPr>
                <w:sz w:val="22"/>
                <w:szCs w:val="22"/>
              </w:rPr>
            </w:pPr>
            <w:r w:rsidRPr="00DC34FD">
              <w:rPr>
                <w:sz w:val="22"/>
                <w:szCs w:val="22"/>
              </w:rPr>
              <w:t xml:space="preserve">Priekšlikums: </w:t>
            </w:r>
            <w:r w:rsidRPr="00DC34FD">
              <w:rPr>
                <w:bCs/>
                <w:sz w:val="22"/>
                <w:szCs w:val="22"/>
              </w:rPr>
              <w:t xml:space="preserve">Drošuma prasības spēļu (rotaļu), treniņu un aktīvās atpūtas laukumiem </w:t>
            </w:r>
            <w:r w:rsidRPr="00DC34FD">
              <w:rPr>
                <w:sz w:val="22"/>
                <w:szCs w:val="22"/>
              </w:rPr>
              <w:t xml:space="preserve">Rotaļu laukumu lietotājs, kā to paredz Noteikumu saturs, var būt ne tikai bērns (Bērns ir persona, kas nav sasniegusi 18 gadu vecumu - „Bērnu tiesību aizsardzības likums”), bet arī jaunietis (persona vecumā no 13 līdz 25 gadiem – „Jaunatnes likums”), vai pieaugušais, izmantojot spēļu (rotaļu) laukuma teritoriju vai iekārtu (piemēram, šūpoles) savām atpūtas vai izziņas, vai rotaļu iecerēm, piemēram, svinot tradicionālos svētkus (Lieldienas), vai vingrojumiem (āra vingrošanas iekārtas), vai </w:t>
            </w:r>
            <w:r w:rsidRPr="00DC34FD">
              <w:rPr>
                <w:sz w:val="22"/>
                <w:szCs w:val="22"/>
              </w:rPr>
              <w:lastRenderedPageBreak/>
              <w:t>veiklības un spēka treniņiem (</w:t>
            </w:r>
            <w:proofErr w:type="spellStart"/>
            <w:r w:rsidRPr="00DC34FD">
              <w:rPr>
                <w:sz w:val="22"/>
                <w:szCs w:val="22"/>
              </w:rPr>
              <w:t>parkour</w:t>
            </w:r>
            <w:proofErr w:type="spellEnd"/>
            <w:r w:rsidRPr="00DC34FD">
              <w:rPr>
                <w:sz w:val="22"/>
                <w:szCs w:val="22"/>
              </w:rPr>
              <w:t xml:space="preserve"> iekārtas) u.tml.</w:t>
            </w:r>
          </w:p>
          <w:p w14:paraId="26E0869E" w14:textId="77777777" w:rsidR="00D33254" w:rsidRPr="00DC34FD" w:rsidRDefault="00D33254" w:rsidP="00292EC1">
            <w:pPr>
              <w:pStyle w:val="CommentText"/>
              <w:spacing w:before="60" w:after="0"/>
              <w:jc w:val="both"/>
              <w:rPr>
                <w:sz w:val="22"/>
                <w:szCs w:val="22"/>
              </w:rPr>
            </w:pPr>
          </w:p>
          <w:p w14:paraId="5721FC7C" w14:textId="0E99317F" w:rsidR="00D33254" w:rsidRPr="00DC34FD" w:rsidRDefault="00D33254" w:rsidP="00292EC1">
            <w:pPr>
              <w:pStyle w:val="CommentText"/>
              <w:spacing w:before="60" w:after="0"/>
              <w:jc w:val="both"/>
              <w:rPr>
                <w:sz w:val="22"/>
                <w:szCs w:val="22"/>
              </w:rPr>
            </w:pPr>
            <w:r w:rsidRPr="00DC34FD">
              <w:rPr>
                <w:sz w:val="22"/>
                <w:szCs w:val="22"/>
              </w:rPr>
              <w:t xml:space="preserve">Precizējama Noteikumu projekta 1.punkta redakcija: 1.Noteikumi nosaka publiskai lietošanai paredzētu </w:t>
            </w:r>
            <w:r w:rsidRPr="00DC34FD">
              <w:rPr>
                <w:b/>
                <w:bCs/>
                <w:sz w:val="22"/>
                <w:szCs w:val="22"/>
              </w:rPr>
              <w:t xml:space="preserve">bērnu </w:t>
            </w:r>
            <w:r w:rsidRPr="00DC34FD">
              <w:rPr>
                <w:sz w:val="22"/>
                <w:szCs w:val="22"/>
              </w:rPr>
              <w:t xml:space="preserve">spēļu </w:t>
            </w:r>
            <w:r w:rsidRPr="00DC34FD">
              <w:rPr>
                <w:b/>
                <w:bCs/>
                <w:sz w:val="22"/>
                <w:szCs w:val="22"/>
              </w:rPr>
              <w:t xml:space="preserve">(rotaļu), treniņu un aktīvās atpūtas </w:t>
            </w:r>
            <w:r w:rsidRPr="00DC34FD">
              <w:rPr>
                <w:sz w:val="22"/>
                <w:szCs w:val="22"/>
              </w:rPr>
              <w:t>laukumu [..]</w:t>
            </w:r>
          </w:p>
        </w:tc>
        <w:tc>
          <w:tcPr>
            <w:tcW w:w="2410" w:type="dxa"/>
            <w:gridSpan w:val="2"/>
            <w:vMerge/>
            <w:tcBorders>
              <w:left w:val="single" w:sz="4" w:space="0" w:color="auto"/>
              <w:bottom w:val="single" w:sz="4" w:space="0" w:color="auto"/>
              <w:right w:val="single" w:sz="4" w:space="0" w:color="auto"/>
            </w:tcBorders>
          </w:tcPr>
          <w:p w14:paraId="4DDFF2CB" w14:textId="77777777" w:rsidR="00292EC1" w:rsidRPr="00DC34FD" w:rsidRDefault="00292EC1" w:rsidP="007067CF">
            <w:pPr>
              <w:pStyle w:val="naisc"/>
              <w:spacing w:before="0" w:after="0"/>
              <w:jc w:val="left"/>
              <w:rPr>
                <w:b/>
                <w:sz w:val="22"/>
                <w:szCs w:val="22"/>
              </w:rPr>
            </w:pPr>
          </w:p>
        </w:tc>
        <w:tc>
          <w:tcPr>
            <w:tcW w:w="4652" w:type="dxa"/>
            <w:vMerge/>
            <w:tcBorders>
              <w:left w:val="single" w:sz="4" w:space="0" w:color="auto"/>
              <w:bottom w:val="single" w:sz="4" w:space="0" w:color="auto"/>
            </w:tcBorders>
          </w:tcPr>
          <w:p w14:paraId="2372361B" w14:textId="77777777" w:rsidR="00292EC1" w:rsidRPr="00DC34FD" w:rsidRDefault="00292EC1" w:rsidP="007067CF">
            <w:pPr>
              <w:spacing w:line="240" w:lineRule="auto"/>
              <w:jc w:val="both"/>
              <w:rPr>
                <w:rFonts w:ascii="Times New Roman" w:hAnsi="Times New Roman" w:cs="Times New Roman"/>
              </w:rPr>
            </w:pPr>
          </w:p>
        </w:tc>
      </w:tr>
      <w:tr w:rsidR="00D33254" w:rsidRPr="00DC34FD" w14:paraId="00340E1D" w14:textId="77777777" w:rsidTr="00AF11CB">
        <w:trPr>
          <w:trHeight w:val="2377"/>
        </w:trPr>
        <w:tc>
          <w:tcPr>
            <w:tcW w:w="742" w:type="dxa"/>
            <w:tcBorders>
              <w:left w:val="single" w:sz="4" w:space="0" w:color="auto"/>
              <w:bottom w:val="single" w:sz="4" w:space="0" w:color="auto"/>
              <w:right w:val="single" w:sz="4" w:space="0" w:color="auto"/>
            </w:tcBorders>
          </w:tcPr>
          <w:p w14:paraId="7E331B8D" w14:textId="73F44A56" w:rsidR="00D33254" w:rsidRPr="00DC34FD" w:rsidRDefault="00E11FAE" w:rsidP="007067CF">
            <w:pPr>
              <w:spacing w:after="0" w:line="240" w:lineRule="auto"/>
              <w:jc w:val="center"/>
              <w:rPr>
                <w:rFonts w:ascii="Times New Roman" w:hAnsi="Times New Roman" w:cs="Times New Roman"/>
              </w:rPr>
            </w:pPr>
            <w:r>
              <w:rPr>
                <w:rFonts w:ascii="Times New Roman" w:hAnsi="Times New Roman" w:cs="Times New Roman"/>
              </w:rPr>
              <w:t>3.</w:t>
            </w:r>
          </w:p>
        </w:tc>
        <w:tc>
          <w:tcPr>
            <w:tcW w:w="3370" w:type="dxa"/>
            <w:gridSpan w:val="2"/>
            <w:tcBorders>
              <w:left w:val="single" w:sz="4" w:space="0" w:color="auto"/>
              <w:bottom w:val="single" w:sz="4" w:space="0" w:color="auto"/>
              <w:right w:val="single" w:sz="4" w:space="0" w:color="auto"/>
            </w:tcBorders>
          </w:tcPr>
          <w:p w14:paraId="128A9875" w14:textId="77777777" w:rsidR="00D33254" w:rsidRPr="00DC34FD" w:rsidRDefault="00D33254" w:rsidP="00D33254">
            <w:pPr>
              <w:pStyle w:val="CommentText"/>
              <w:spacing w:before="60"/>
              <w:jc w:val="both"/>
              <w:rPr>
                <w:sz w:val="22"/>
                <w:szCs w:val="22"/>
              </w:rPr>
            </w:pPr>
            <w:r w:rsidRPr="00DC34FD">
              <w:rPr>
                <w:sz w:val="22"/>
                <w:szCs w:val="22"/>
              </w:rPr>
              <w:t>2. Noteikumi attiecas uz publiskai lietošanai paredzētu bērnu spēļu laukumu ierīkošanu un uzturēšanu, kas:</w:t>
            </w:r>
          </w:p>
          <w:p w14:paraId="385D55C9" w14:textId="77777777" w:rsidR="00D33254" w:rsidRPr="00DC34FD" w:rsidRDefault="00D33254" w:rsidP="00D33254">
            <w:pPr>
              <w:pStyle w:val="CommentText"/>
              <w:spacing w:before="60"/>
              <w:jc w:val="both"/>
              <w:rPr>
                <w:sz w:val="22"/>
                <w:szCs w:val="22"/>
              </w:rPr>
            </w:pPr>
            <w:r w:rsidRPr="00DC34FD">
              <w:rPr>
                <w:sz w:val="22"/>
                <w:szCs w:val="22"/>
              </w:rPr>
              <w:t>2.1. tiek aprīkoti ar spēļu vai citu aktivitāšu iekārtām un aprīkojumu, kuru atbalsta struktūra nodarbošanās laikā paliek nekustīga un kuri paredzēti, lai veiktu šādas darbības: kāpelētu, lēkātu, šūpotos, slidinātos, grieztos, rāpotu, līstu, vai veiktu jebkuru šo darbību kombināciju, vai darbotos ar mērķi saglabāt vai uzlabot savas fiziskās vai intelektuālās spējas (turpmāk –  spēļu vai citu aktivitāšu iekārtas);</w:t>
            </w:r>
          </w:p>
          <w:p w14:paraId="09B4F3CD" w14:textId="0872C678" w:rsidR="00D33254" w:rsidRPr="00DC34FD" w:rsidRDefault="00D33254" w:rsidP="00D33254">
            <w:pPr>
              <w:pStyle w:val="CommentText"/>
              <w:numPr>
                <w:ilvl w:val="1"/>
                <w:numId w:val="21"/>
              </w:numPr>
              <w:spacing w:before="60"/>
              <w:ind w:left="0" w:firstLine="0"/>
              <w:jc w:val="both"/>
              <w:rPr>
                <w:sz w:val="22"/>
                <w:szCs w:val="22"/>
              </w:rPr>
            </w:pPr>
            <w:r w:rsidRPr="00DC34FD">
              <w:rPr>
                <w:sz w:val="22"/>
                <w:szCs w:val="22"/>
              </w:rPr>
              <w:t xml:space="preserve">neatkarīgi no to faktiskās izmantošanas vai īpašuma piederības kalpo sabiedrības kopējo vajadzību un interešu nodrošināšanai un kuri par maksu vai bez maksas ir pieejami ikvienam spēļu vai citu aktivitāšu iekārtas </w:t>
            </w:r>
            <w:r w:rsidRPr="00DC34FD">
              <w:rPr>
                <w:sz w:val="22"/>
                <w:szCs w:val="22"/>
              </w:rPr>
              <w:lastRenderedPageBreak/>
              <w:t>lietotājam, kas nav attiecīgās vietas īpašnieks, tiesiskais valdītājs, turētājs, algots darbinieks vai cita persona, kuras atrašanās attiecīgajā vietā ir saistīta ar darba pienākumu izpildi (turpmāk – publiskie spēļu laukumi).</w:t>
            </w:r>
          </w:p>
        </w:tc>
        <w:tc>
          <w:tcPr>
            <w:tcW w:w="4311" w:type="dxa"/>
            <w:tcBorders>
              <w:top w:val="single" w:sz="4" w:space="0" w:color="auto"/>
              <w:left w:val="single" w:sz="4" w:space="0" w:color="auto"/>
              <w:bottom w:val="single" w:sz="4" w:space="0" w:color="auto"/>
              <w:right w:val="single" w:sz="4" w:space="0" w:color="auto"/>
            </w:tcBorders>
          </w:tcPr>
          <w:p w14:paraId="553793FB" w14:textId="77777777" w:rsidR="00D33254" w:rsidRPr="00DC34FD" w:rsidRDefault="00D33254" w:rsidP="00D33254">
            <w:pPr>
              <w:pStyle w:val="CommentText"/>
              <w:spacing w:before="60" w:after="0"/>
              <w:jc w:val="center"/>
              <w:rPr>
                <w:b/>
                <w:sz w:val="22"/>
                <w:szCs w:val="22"/>
              </w:rPr>
            </w:pPr>
            <w:r w:rsidRPr="00DC34FD">
              <w:rPr>
                <w:b/>
                <w:sz w:val="22"/>
                <w:szCs w:val="22"/>
              </w:rPr>
              <w:lastRenderedPageBreak/>
              <w:t>Latvijas Ainavu arhitektu asociācija</w:t>
            </w:r>
          </w:p>
          <w:p w14:paraId="7DF9B172" w14:textId="680E0C5B" w:rsidR="00D33254" w:rsidRPr="00DC34FD" w:rsidRDefault="00D33254" w:rsidP="00D33254">
            <w:pPr>
              <w:pStyle w:val="CommentText"/>
              <w:spacing w:before="60" w:after="0"/>
              <w:jc w:val="both"/>
              <w:rPr>
                <w:sz w:val="22"/>
                <w:szCs w:val="22"/>
              </w:rPr>
            </w:pPr>
            <w:r w:rsidRPr="00DC34FD">
              <w:rPr>
                <w:sz w:val="22"/>
                <w:szCs w:val="22"/>
              </w:rPr>
              <w:t xml:space="preserve">Ar publiskā rotaļu laukuma lietojumu, būtu nepārprotami jāuzrāda tās iestādes, uz kurām jau šobrīd ir skaidrs, ka šie noteikumi attieksies nepārprotami. Tādējādi, Noteikumu būtība raisīs mazāk pārpratumu un jautājumu, kā arī vēlākas neskaidrības par to, kurās teritorijās ir publisks rotaļu laukums, to izsakot sekojošā redakcijā: </w:t>
            </w:r>
            <w:r w:rsidRPr="00DC34FD">
              <w:rPr>
                <w:bCs/>
                <w:sz w:val="22"/>
                <w:szCs w:val="22"/>
              </w:rPr>
              <w:t xml:space="preserve">Publisks spēļu (rotaļu) un/vai treniņu, un/vai aktīvās atpūtas laukums </w:t>
            </w:r>
            <w:r w:rsidRPr="00DC34FD">
              <w:rPr>
                <w:sz w:val="22"/>
                <w:szCs w:val="22"/>
              </w:rPr>
              <w:t>- neatkarīgi no tā faktiskās izmantošanas vai īpašuma piederības kalpo sabiedrības kopējo vajadzību un interešu nodrošināšanai un kurš par maksu vai bez maksas ir pieejams ikvienam spēļu vai citu aktivitāšu iekārtas lietotājam, kas nav attiecīgās vietas īpašnieks, tiesiskais valdītājs, turētājs, algots darbinieks vai cita persona, kuras atrašanās attiecīgajā vietā ir saistīta ar darba pienākumu izpildi. Piemēram, parkos, skvēros, pludmalēs, laukumos, ielās, daudzdzīvokļu māju iekšpagalmu, kultūras iestāžu, izglītības iestāžu, medicīnas iestāžu, sakrālo objektu, rehabilitācijas iestāžu, komercdarbības iestāžu teritorijās, u.c.</w:t>
            </w:r>
          </w:p>
        </w:tc>
        <w:tc>
          <w:tcPr>
            <w:tcW w:w="2410" w:type="dxa"/>
            <w:gridSpan w:val="2"/>
            <w:tcBorders>
              <w:left w:val="single" w:sz="4" w:space="0" w:color="auto"/>
              <w:bottom w:val="single" w:sz="4" w:space="0" w:color="auto"/>
              <w:right w:val="single" w:sz="4" w:space="0" w:color="auto"/>
            </w:tcBorders>
          </w:tcPr>
          <w:p w14:paraId="527ECD40" w14:textId="77777777" w:rsidR="00D33254" w:rsidRPr="00DC34FD" w:rsidRDefault="00F57FAF" w:rsidP="007067CF">
            <w:pPr>
              <w:pStyle w:val="naisc"/>
              <w:spacing w:before="0" w:after="0"/>
              <w:jc w:val="left"/>
              <w:rPr>
                <w:sz w:val="22"/>
                <w:szCs w:val="22"/>
              </w:rPr>
            </w:pPr>
            <w:r w:rsidRPr="00DC34FD">
              <w:rPr>
                <w:b/>
                <w:sz w:val="22"/>
                <w:szCs w:val="22"/>
              </w:rPr>
              <w:t>Ņemts vērā.</w:t>
            </w:r>
          </w:p>
          <w:p w14:paraId="6F196888" w14:textId="5268DD5A" w:rsidR="00F57FAF" w:rsidRPr="00DC34FD" w:rsidRDefault="00F57FAF" w:rsidP="007067CF">
            <w:pPr>
              <w:pStyle w:val="naisc"/>
              <w:spacing w:before="0" w:after="0"/>
              <w:jc w:val="left"/>
              <w:rPr>
                <w:sz w:val="22"/>
                <w:szCs w:val="22"/>
              </w:rPr>
            </w:pPr>
            <w:r w:rsidRPr="00DC34FD">
              <w:rPr>
                <w:sz w:val="22"/>
                <w:szCs w:val="22"/>
              </w:rPr>
              <w:t>Punkts precizēts, izmantojot būvniecības regulējumā lietoto jēdzienu “publiskā ārtelpa” un atsevišķi nodalot un definējot iekštelpās uzstādītos spēļu laukumus, uz kuriem attiecas noteikumi.</w:t>
            </w:r>
          </w:p>
        </w:tc>
        <w:tc>
          <w:tcPr>
            <w:tcW w:w="4652" w:type="dxa"/>
            <w:tcBorders>
              <w:left w:val="single" w:sz="4" w:space="0" w:color="auto"/>
              <w:bottom w:val="single" w:sz="4" w:space="0" w:color="auto"/>
            </w:tcBorders>
          </w:tcPr>
          <w:p w14:paraId="44A08000" w14:textId="566A78E2" w:rsidR="00D33254" w:rsidRPr="00DC34FD" w:rsidRDefault="00D33254" w:rsidP="00EF0160">
            <w:pPr>
              <w:pStyle w:val="naislab"/>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9"/>
              <w:jc w:val="both"/>
              <w:rPr>
                <w:sz w:val="22"/>
                <w:szCs w:val="22"/>
              </w:rPr>
            </w:pPr>
            <w:r w:rsidRPr="00DC34FD">
              <w:rPr>
                <w:sz w:val="22"/>
                <w:szCs w:val="22"/>
              </w:rPr>
              <w:t>Noteikumi attiecas uz publiskai lietošanai paredzētiem spēļu un rekreācijas laukumiem (turpmāk – publiskie spēļu</w:t>
            </w:r>
            <w:r w:rsidR="00CC381C" w:rsidRPr="00DC34FD">
              <w:rPr>
                <w:sz w:val="22"/>
                <w:szCs w:val="22"/>
              </w:rPr>
              <w:t xml:space="preserve"> un rekreācijas</w:t>
            </w:r>
            <w:r w:rsidRPr="00DC34FD">
              <w:rPr>
                <w:sz w:val="22"/>
                <w:szCs w:val="22"/>
              </w:rPr>
              <w:t xml:space="preserve"> laukumi), kas:</w:t>
            </w:r>
          </w:p>
          <w:p w14:paraId="5C5B592A" w14:textId="77777777" w:rsidR="00D33254" w:rsidRPr="00DC34FD" w:rsidRDefault="00D33254" w:rsidP="00EF0160">
            <w:pPr>
              <w:pStyle w:val="naislab"/>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64" w:hanging="464"/>
              <w:jc w:val="both"/>
              <w:rPr>
                <w:sz w:val="22"/>
                <w:szCs w:val="22"/>
              </w:rPr>
            </w:pPr>
            <w:r w:rsidRPr="00DC34FD">
              <w:rPr>
                <w:sz w:val="22"/>
                <w:szCs w:val="22"/>
              </w:rPr>
              <w:t>tiek aprīkoti ar spēļu vai citu aktivitāšu iekārtām un aprīkojumu, kuru atbalsta struktūra nodarbošanās laikā paliek nekustīga un kuri paredzēti, lai veiktu šādas darbības: kāpelētu, lēkātu, šūpotos, slidinātos, grieztos, rāpotu, līstu, vai veiktu jebkuru šo darbību kombināciju, vai darbotos ar mērķi saglabāt vai uzlabot savas fiziskās vai intelektuālās spējas (turpmāk –  spēļu vai citu aktivitāšu iekārtas);</w:t>
            </w:r>
          </w:p>
          <w:p w14:paraId="4CB1259A" w14:textId="30B32BBB" w:rsidR="00EF0160" w:rsidRPr="00DC34FD" w:rsidRDefault="00D33254" w:rsidP="00D33254">
            <w:pPr>
              <w:pStyle w:val="naislab"/>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64" w:hanging="425"/>
              <w:jc w:val="both"/>
              <w:rPr>
                <w:sz w:val="22"/>
                <w:szCs w:val="22"/>
              </w:rPr>
            </w:pPr>
            <w:r w:rsidRPr="00DC34FD">
              <w:rPr>
                <w:sz w:val="22"/>
                <w:szCs w:val="22"/>
              </w:rPr>
              <w:t>tiek izbūvēti publiskajā ārtelpā;</w:t>
            </w:r>
          </w:p>
          <w:p w14:paraId="1BA7B7AF" w14:textId="77777777" w:rsidR="00CC381C" w:rsidRPr="00DC34FD" w:rsidRDefault="00D33254" w:rsidP="00D33254">
            <w:pPr>
              <w:pStyle w:val="naislab"/>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64" w:hanging="425"/>
              <w:jc w:val="both"/>
              <w:rPr>
                <w:sz w:val="22"/>
                <w:szCs w:val="22"/>
              </w:rPr>
            </w:pPr>
            <w:r w:rsidRPr="00DC34FD">
              <w:rPr>
                <w:sz w:val="22"/>
                <w:szCs w:val="22"/>
              </w:rPr>
              <w:t>tiek uzstādīti iekštelpās un neatkarīgi no to faktiskās izmantošanas vai īpašuma piederības kalpo sabiedrības kopējo vajadzību un interešu nodrošināšanai un kuri par maksu vai bez maksas ir pieejami ikvienam spēļu vai citu aktivitāšu iekārtas lietotājam, kas nav attiecīgās vietas īpašnieks, tiesiskais valdītājs, turētājs, algots darbinieks vai cita persona, kuras atrašanās attiecīgajā vietā ir saistīta ar darba pienākumu izpildi</w:t>
            </w:r>
            <w:r w:rsidR="00CC381C" w:rsidRPr="00DC34FD">
              <w:rPr>
                <w:sz w:val="22"/>
                <w:szCs w:val="22"/>
              </w:rPr>
              <w:t xml:space="preserve">. </w:t>
            </w:r>
          </w:p>
          <w:p w14:paraId="3CCC2F01" w14:textId="48A922C5" w:rsidR="00D33254" w:rsidRPr="00DC34FD" w:rsidRDefault="00CC381C" w:rsidP="00CC381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64"/>
              <w:jc w:val="both"/>
              <w:rPr>
                <w:sz w:val="22"/>
                <w:szCs w:val="22"/>
              </w:rPr>
            </w:pPr>
            <w:r w:rsidRPr="00DC34FD">
              <w:rPr>
                <w:sz w:val="22"/>
                <w:szCs w:val="22"/>
              </w:rPr>
              <w:lastRenderedPageBreak/>
              <w:t>Šo noteikumu izpratnē par publiska spēļu un rekreācijas laukuma vai spēļu vai citu aktivitāšu iekārtas uzstādīšanu ir uzskatāma gan to uzstādīšana iekštelpās, gan to izbūve publiskajā ārtelpā, un šo noteikumu prasības par uzstādīšanu ir attiecināmas arī uz izbūvi.</w:t>
            </w:r>
          </w:p>
        </w:tc>
      </w:tr>
      <w:tr w:rsidR="00B3511F" w:rsidRPr="00DC34FD" w14:paraId="02801E56" w14:textId="77777777" w:rsidTr="00AF11CB">
        <w:trPr>
          <w:trHeight w:val="2377"/>
        </w:trPr>
        <w:tc>
          <w:tcPr>
            <w:tcW w:w="742" w:type="dxa"/>
            <w:tcBorders>
              <w:left w:val="single" w:sz="4" w:space="0" w:color="auto"/>
              <w:bottom w:val="single" w:sz="4" w:space="0" w:color="auto"/>
              <w:right w:val="single" w:sz="4" w:space="0" w:color="auto"/>
            </w:tcBorders>
          </w:tcPr>
          <w:p w14:paraId="5F1876A7" w14:textId="6557275D" w:rsidR="00B3511F" w:rsidRPr="00DC34FD" w:rsidRDefault="00E11FAE" w:rsidP="007067CF">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3370" w:type="dxa"/>
            <w:gridSpan w:val="2"/>
            <w:tcBorders>
              <w:left w:val="single" w:sz="4" w:space="0" w:color="auto"/>
              <w:bottom w:val="single" w:sz="4" w:space="0" w:color="auto"/>
              <w:right w:val="single" w:sz="4" w:space="0" w:color="auto"/>
            </w:tcBorders>
          </w:tcPr>
          <w:p w14:paraId="16D1FC74" w14:textId="77777777" w:rsidR="00B3511F" w:rsidRPr="00DC34FD" w:rsidRDefault="00B3511F" w:rsidP="00D33254">
            <w:pPr>
              <w:pStyle w:val="CommentText"/>
              <w:spacing w:before="60"/>
              <w:jc w:val="both"/>
              <w:rPr>
                <w:sz w:val="22"/>
                <w:szCs w:val="22"/>
              </w:rPr>
            </w:pPr>
            <w:r w:rsidRPr="00DC34FD">
              <w:rPr>
                <w:sz w:val="22"/>
                <w:szCs w:val="22"/>
              </w:rPr>
              <w:t xml:space="preserve">3. Noteikumi neattiecas uz: </w:t>
            </w:r>
          </w:p>
          <w:p w14:paraId="610CC83A" w14:textId="77777777" w:rsidR="00B3511F" w:rsidRPr="00DC34FD" w:rsidRDefault="00B3511F" w:rsidP="00D33254">
            <w:pPr>
              <w:pStyle w:val="CommentText"/>
              <w:spacing w:before="60"/>
              <w:jc w:val="both"/>
              <w:rPr>
                <w:sz w:val="22"/>
                <w:szCs w:val="22"/>
              </w:rPr>
            </w:pPr>
            <w:r w:rsidRPr="00DC34FD">
              <w:rPr>
                <w:sz w:val="22"/>
                <w:szCs w:val="22"/>
              </w:rPr>
              <w:t xml:space="preserve">3.1.iekārtām, kas paredzētas lietošanai mājas apstākļos; </w:t>
            </w:r>
          </w:p>
          <w:p w14:paraId="162D92DD" w14:textId="77777777" w:rsidR="002B47FC" w:rsidRPr="00DC34FD" w:rsidRDefault="00B3511F" w:rsidP="00D33254">
            <w:pPr>
              <w:pStyle w:val="CommentText"/>
              <w:spacing w:before="60"/>
              <w:jc w:val="both"/>
              <w:rPr>
                <w:sz w:val="22"/>
                <w:szCs w:val="22"/>
              </w:rPr>
            </w:pPr>
            <w:r w:rsidRPr="00DC34FD">
              <w:rPr>
                <w:sz w:val="22"/>
                <w:szCs w:val="22"/>
              </w:rPr>
              <w:t xml:space="preserve">3.2.piepūšamām rotaļu iekārtām; 3.3.skrituļošanas sporta būvju aprīkojumu; </w:t>
            </w:r>
          </w:p>
          <w:p w14:paraId="444BF5A7" w14:textId="5BEC600C" w:rsidR="00B3511F" w:rsidRPr="00DC34FD" w:rsidRDefault="00B3511F" w:rsidP="00D33254">
            <w:pPr>
              <w:pStyle w:val="CommentText"/>
              <w:spacing w:before="60"/>
              <w:jc w:val="both"/>
              <w:rPr>
                <w:sz w:val="22"/>
                <w:szCs w:val="22"/>
              </w:rPr>
            </w:pPr>
            <w:r w:rsidRPr="00DC34FD">
              <w:rPr>
                <w:sz w:val="22"/>
                <w:szCs w:val="22"/>
              </w:rPr>
              <w:t xml:space="preserve">3.4.publiskajām atrakciju iekārtām; 3.5.ūdens atrakciju iekārtām; </w:t>
            </w:r>
          </w:p>
          <w:p w14:paraId="488CDDAD" w14:textId="472F7970" w:rsidR="00B3511F" w:rsidRPr="00DC34FD" w:rsidRDefault="00B3511F" w:rsidP="00D33254">
            <w:pPr>
              <w:pStyle w:val="CommentText"/>
              <w:spacing w:before="60"/>
              <w:jc w:val="both"/>
              <w:rPr>
                <w:sz w:val="22"/>
                <w:szCs w:val="22"/>
              </w:rPr>
            </w:pPr>
            <w:r w:rsidRPr="00DC34FD">
              <w:rPr>
                <w:sz w:val="22"/>
                <w:szCs w:val="22"/>
              </w:rPr>
              <w:t>3.6.iekārtām, kuru lietošanai ir jānodrošina</w:t>
            </w:r>
            <w:r w:rsidR="002B47FC" w:rsidRPr="00DC34FD">
              <w:rPr>
                <w:sz w:val="22"/>
                <w:szCs w:val="22"/>
              </w:rPr>
              <w:t xml:space="preserve"> </w:t>
            </w:r>
            <w:r w:rsidRPr="00DC34FD">
              <w:rPr>
                <w:sz w:val="22"/>
                <w:szCs w:val="22"/>
              </w:rPr>
              <w:t>kompetenta uzraudzība.</w:t>
            </w:r>
          </w:p>
        </w:tc>
        <w:tc>
          <w:tcPr>
            <w:tcW w:w="4311" w:type="dxa"/>
            <w:tcBorders>
              <w:top w:val="single" w:sz="4" w:space="0" w:color="auto"/>
              <w:left w:val="single" w:sz="4" w:space="0" w:color="auto"/>
              <w:bottom w:val="single" w:sz="4" w:space="0" w:color="auto"/>
              <w:right w:val="single" w:sz="4" w:space="0" w:color="auto"/>
            </w:tcBorders>
          </w:tcPr>
          <w:p w14:paraId="08188470" w14:textId="77777777" w:rsidR="00B3511F" w:rsidRPr="00DC34FD" w:rsidRDefault="00B3511F" w:rsidP="00B3511F">
            <w:pPr>
              <w:pStyle w:val="CommentText"/>
              <w:spacing w:before="60" w:after="0"/>
              <w:jc w:val="center"/>
              <w:rPr>
                <w:b/>
                <w:sz w:val="22"/>
                <w:szCs w:val="22"/>
              </w:rPr>
            </w:pPr>
            <w:r w:rsidRPr="00DC34FD">
              <w:rPr>
                <w:b/>
                <w:sz w:val="22"/>
                <w:szCs w:val="22"/>
              </w:rPr>
              <w:t>Latvijas Ainavu arhitektu asociācija</w:t>
            </w:r>
          </w:p>
          <w:p w14:paraId="14915070" w14:textId="77777777" w:rsidR="002B47FC" w:rsidRPr="00DC34FD" w:rsidRDefault="00B3511F" w:rsidP="00B3511F">
            <w:pPr>
              <w:pStyle w:val="CommentText"/>
              <w:spacing w:before="60" w:after="0"/>
              <w:jc w:val="both"/>
              <w:rPr>
                <w:sz w:val="22"/>
                <w:szCs w:val="22"/>
              </w:rPr>
            </w:pPr>
            <w:r w:rsidRPr="00DC34FD">
              <w:rPr>
                <w:sz w:val="22"/>
                <w:szCs w:val="22"/>
              </w:rPr>
              <w:t xml:space="preserve">Noteikumos ietvertās prasības nebūtu attiecināmas uz iekārtu konstrukcijām, kuras ir kultūras mantojuma tradīciju liecības (piemēram, Lieldienu koka šūpoles, kas izvietotas attiecīgu muzeju teritorijās, u.tml.), un to piekļuve tiek organizēta (tās nav brīvi pieejamas, bez muzeja administrācijas uzraudzības). </w:t>
            </w:r>
          </w:p>
          <w:p w14:paraId="5F211D19" w14:textId="156DF4B5" w:rsidR="00B3511F" w:rsidRPr="00DC34FD" w:rsidRDefault="00B3511F" w:rsidP="00B3511F">
            <w:pPr>
              <w:pStyle w:val="CommentText"/>
              <w:spacing w:before="60" w:after="0"/>
              <w:jc w:val="both"/>
              <w:rPr>
                <w:sz w:val="22"/>
                <w:szCs w:val="22"/>
              </w:rPr>
            </w:pPr>
            <w:r w:rsidRPr="00DC34FD">
              <w:rPr>
                <w:sz w:val="22"/>
                <w:szCs w:val="22"/>
              </w:rPr>
              <w:t>Noteikumu 3.punkts ir papildināms ar 3.7. apakšpunktu sekojošā redakcijā: 3.7. iekārtām, kurām ir kultūrvēsturiskas</w:t>
            </w:r>
            <w:r w:rsidR="002B47FC" w:rsidRPr="00DC34FD">
              <w:rPr>
                <w:sz w:val="22"/>
                <w:szCs w:val="22"/>
              </w:rPr>
              <w:t xml:space="preserve"> liecības nozīme, un tās atrodas muzeja teritorijā, kura nav brīvi pieejama un, iekārta tiek lietota, teritorijas atbildīgās personas uzraudzībā.</w:t>
            </w:r>
          </w:p>
        </w:tc>
        <w:tc>
          <w:tcPr>
            <w:tcW w:w="2410" w:type="dxa"/>
            <w:gridSpan w:val="2"/>
            <w:tcBorders>
              <w:left w:val="single" w:sz="4" w:space="0" w:color="auto"/>
              <w:bottom w:val="single" w:sz="4" w:space="0" w:color="auto"/>
              <w:right w:val="single" w:sz="4" w:space="0" w:color="auto"/>
            </w:tcBorders>
          </w:tcPr>
          <w:p w14:paraId="14662D77" w14:textId="1A533591" w:rsidR="00B3511F" w:rsidRPr="00DC34FD" w:rsidRDefault="00CC381C" w:rsidP="007067CF">
            <w:pPr>
              <w:pStyle w:val="naisc"/>
              <w:spacing w:before="0" w:after="0"/>
              <w:jc w:val="left"/>
              <w:rPr>
                <w:b/>
                <w:sz w:val="22"/>
                <w:szCs w:val="22"/>
              </w:rPr>
            </w:pPr>
            <w:r w:rsidRPr="00DC34FD">
              <w:rPr>
                <w:b/>
                <w:sz w:val="22"/>
                <w:szCs w:val="22"/>
              </w:rPr>
              <w:t>Panākta vienošanās</w:t>
            </w:r>
          </w:p>
        </w:tc>
        <w:tc>
          <w:tcPr>
            <w:tcW w:w="4652" w:type="dxa"/>
            <w:tcBorders>
              <w:left w:val="single" w:sz="4" w:space="0" w:color="auto"/>
              <w:bottom w:val="single" w:sz="4" w:space="0" w:color="auto"/>
            </w:tcBorders>
          </w:tcPr>
          <w:p w14:paraId="34CB1F38" w14:textId="77777777" w:rsidR="00CC381C" w:rsidRPr="00DC34FD" w:rsidRDefault="00CC381C" w:rsidP="00CC381C">
            <w:pPr>
              <w:pStyle w:val="CommentText"/>
              <w:spacing w:before="60"/>
              <w:jc w:val="both"/>
              <w:rPr>
                <w:sz w:val="22"/>
                <w:szCs w:val="22"/>
              </w:rPr>
            </w:pPr>
            <w:r w:rsidRPr="00DC34FD">
              <w:rPr>
                <w:sz w:val="22"/>
                <w:szCs w:val="22"/>
              </w:rPr>
              <w:t xml:space="preserve">3. Noteikumi neattiecas uz: </w:t>
            </w:r>
          </w:p>
          <w:p w14:paraId="6F797318" w14:textId="77777777" w:rsidR="00CC381C" w:rsidRPr="00DC34FD" w:rsidRDefault="00CC381C" w:rsidP="00CC381C">
            <w:pPr>
              <w:pStyle w:val="CommentText"/>
              <w:spacing w:before="60"/>
              <w:jc w:val="both"/>
              <w:rPr>
                <w:sz w:val="22"/>
                <w:szCs w:val="22"/>
              </w:rPr>
            </w:pPr>
            <w:r w:rsidRPr="00DC34FD">
              <w:rPr>
                <w:sz w:val="22"/>
                <w:szCs w:val="22"/>
              </w:rPr>
              <w:t xml:space="preserve">3.1.iekārtām, kas paredzētas lietošanai mājas apstākļos; </w:t>
            </w:r>
          </w:p>
          <w:p w14:paraId="64288F82" w14:textId="77777777" w:rsidR="00CC381C" w:rsidRPr="00DC34FD" w:rsidRDefault="00CC381C" w:rsidP="00CC381C">
            <w:pPr>
              <w:pStyle w:val="CommentText"/>
              <w:spacing w:before="60"/>
              <w:jc w:val="both"/>
              <w:rPr>
                <w:sz w:val="22"/>
                <w:szCs w:val="22"/>
              </w:rPr>
            </w:pPr>
            <w:r w:rsidRPr="00DC34FD">
              <w:rPr>
                <w:sz w:val="22"/>
                <w:szCs w:val="22"/>
              </w:rPr>
              <w:t xml:space="preserve">3.2.piepūšamām rotaļu iekārtām; </w:t>
            </w:r>
          </w:p>
          <w:p w14:paraId="21415210" w14:textId="2D937958" w:rsidR="00CC381C" w:rsidRPr="00DC34FD" w:rsidRDefault="00CC381C" w:rsidP="00CC381C">
            <w:pPr>
              <w:pStyle w:val="CommentText"/>
              <w:spacing w:before="60"/>
              <w:jc w:val="both"/>
              <w:rPr>
                <w:sz w:val="22"/>
                <w:szCs w:val="22"/>
              </w:rPr>
            </w:pPr>
            <w:r w:rsidRPr="00DC34FD">
              <w:rPr>
                <w:sz w:val="22"/>
                <w:szCs w:val="22"/>
              </w:rPr>
              <w:t>3.3.</w:t>
            </w:r>
            <w:r w:rsidRPr="00DC34FD">
              <w:rPr>
                <w:rFonts w:eastAsia="Times New Roman"/>
                <w:sz w:val="26"/>
                <w:szCs w:val="26"/>
                <w:lang w:eastAsia="lv-LV"/>
              </w:rPr>
              <w:t xml:space="preserve"> </w:t>
            </w:r>
            <w:r w:rsidRPr="00DC34FD">
              <w:rPr>
                <w:sz w:val="22"/>
                <w:szCs w:val="22"/>
              </w:rPr>
              <w:t xml:space="preserve">virvju atrakciju aprīkojumu; </w:t>
            </w:r>
          </w:p>
          <w:p w14:paraId="11C14CB6" w14:textId="77777777" w:rsidR="00E11FAE" w:rsidRDefault="00CC381C" w:rsidP="00CC381C">
            <w:pPr>
              <w:pStyle w:val="CommentText"/>
              <w:spacing w:before="60"/>
              <w:jc w:val="both"/>
              <w:rPr>
                <w:sz w:val="22"/>
                <w:szCs w:val="22"/>
              </w:rPr>
            </w:pPr>
            <w:r w:rsidRPr="00DC34FD">
              <w:rPr>
                <w:sz w:val="22"/>
                <w:szCs w:val="22"/>
              </w:rPr>
              <w:t xml:space="preserve">3.4.publiskajām atrakciju iekārtām; </w:t>
            </w:r>
          </w:p>
          <w:p w14:paraId="61F5EA7B" w14:textId="0C00B235" w:rsidR="00CC381C" w:rsidRPr="00DC34FD" w:rsidRDefault="00CC381C" w:rsidP="00CC381C">
            <w:pPr>
              <w:pStyle w:val="CommentText"/>
              <w:spacing w:before="60"/>
              <w:jc w:val="both"/>
              <w:rPr>
                <w:sz w:val="22"/>
                <w:szCs w:val="22"/>
              </w:rPr>
            </w:pPr>
            <w:r w:rsidRPr="00DC34FD">
              <w:rPr>
                <w:sz w:val="22"/>
                <w:szCs w:val="22"/>
              </w:rPr>
              <w:t xml:space="preserve">3.5.ūdens atrakciju iekārtām; </w:t>
            </w:r>
          </w:p>
          <w:p w14:paraId="2EEAD87E" w14:textId="32315324" w:rsidR="00B3511F" w:rsidRPr="00DC34FD" w:rsidRDefault="00CC381C" w:rsidP="00E11FAE">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DC34FD">
              <w:rPr>
                <w:sz w:val="22"/>
                <w:szCs w:val="22"/>
              </w:rPr>
              <w:t>3.6.iekārtām, kuru lietošanai ir jānodrošina kompetenta uzraudzība.</w:t>
            </w:r>
          </w:p>
        </w:tc>
      </w:tr>
      <w:tr w:rsidR="00CC1581" w:rsidRPr="00DC34FD" w14:paraId="68AC1689" w14:textId="77777777" w:rsidTr="00AF11CB">
        <w:tc>
          <w:tcPr>
            <w:tcW w:w="742" w:type="dxa"/>
            <w:vMerge w:val="restart"/>
            <w:tcBorders>
              <w:top w:val="single" w:sz="4" w:space="0" w:color="auto"/>
              <w:left w:val="single" w:sz="4" w:space="0" w:color="auto"/>
              <w:right w:val="single" w:sz="4" w:space="0" w:color="auto"/>
            </w:tcBorders>
          </w:tcPr>
          <w:p w14:paraId="0971B679" w14:textId="753B32C1" w:rsidR="00CC1581" w:rsidRPr="00DC34FD" w:rsidRDefault="00E11FAE" w:rsidP="007067CF">
            <w:pPr>
              <w:spacing w:after="0" w:line="240" w:lineRule="auto"/>
              <w:jc w:val="center"/>
              <w:rPr>
                <w:rFonts w:ascii="Times New Roman" w:hAnsi="Times New Roman" w:cs="Times New Roman"/>
              </w:rPr>
            </w:pPr>
            <w:r>
              <w:rPr>
                <w:rFonts w:ascii="Times New Roman" w:hAnsi="Times New Roman" w:cs="Times New Roman"/>
              </w:rPr>
              <w:t>5.</w:t>
            </w:r>
          </w:p>
        </w:tc>
        <w:tc>
          <w:tcPr>
            <w:tcW w:w="3370" w:type="dxa"/>
            <w:gridSpan w:val="2"/>
            <w:vMerge w:val="restart"/>
            <w:tcBorders>
              <w:top w:val="single" w:sz="4" w:space="0" w:color="auto"/>
              <w:left w:val="single" w:sz="4" w:space="0" w:color="auto"/>
              <w:right w:val="single" w:sz="4" w:space="0" w:color="auto"/>
            </w:tcBorders>
          </w:tcPr>
          <w:p w14:paraId="76F88677" w14:textId="3314226E"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 xml:space="preserve">4. Šo noteikumu prasības par </w:t>
            </w:r>
            <w:proofErr w:type="spellStart"/>
            <w:r w:rsidRPr="00DC34FD">
              <w:rPr>
                <w:sz w:val="22"/>
                <w:szCs w:val="22"/>
              </w:rPr>
              <w:t>pēcuzstādīšanas</w:t>
            </w:r>
            <w:proofErr w:type="spellEnd"/>
            <w:r w:rsidRPr="00DC34FD">
              <w:rPr>
                <w:sz w:val="22"/>
                <w:szCs w:val="22"/>
              </w:rPr>
              <w:t xml:space="preserve"> pārbaudes veikšanu un reģistrāciju attiecas uz spēļu laukumu, kurā spēļu vai citu aktivitāšu iekārta atbilst kādai vai vairākām no šādām pazīmēm:</w:t>
            </w:r>
          </w:p>
          <w:p w14:paraId="374B8D53" w14:textId="77777777"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 xml:space="preserve">4.1. ir paredzētas, lai ar to veiktu vairāk par divām šo noteikumu </w:t>
            </w:r>
            <w:r w:rsidRPr="00DC34FD">
              <w:rPr>
                <w:sz w:val="22"/>
                <w:szCs w:val="22"/>
              </w:rPr>
              <w:lastRenderedPageBreak/>
              <w:t>2.1.apakšpunktā minētajām darbībām;</w:t>
            </w:r>
          </w:p>
          <w:p w14:paraId="687979FF" w14:textId="77777777"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4.2. ir uzstādāma atbilstoši īpaši noteiktām uzstādīšanas prasībām;</w:t>
            </w:r>
          </w:p>
          <w:p w14:paraId="174A2B78" w14:textId="77777777"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4.3. var radīt augstu risku, ņemot vērā krišanas augstumu un forsēto kustību;</w:t>
            </w:r>
          </w:p>
          <w:p w14:paraId="6A71ED96" w14:textId="1372496D" w:rsidR="00CC1581" w:rsidRPr="00DC34FD" w:rsidRDefault="00CC1581" w:rsidP="007067CF">
            <w:pPr>
              <w:pStyle w:val="CommentText"/>
              <w:spacing w:before="60"/>
              <w:jc w:val="both"/>
              <w:rPr>
                <w:sz w:val="22"/>
                <w:szCs w:val="22"/>
              </w:rPr>
            </w:pPr>
            <w:r w:rsidRPr="00DC34FD">
              <w:rPr>
                <w:sz w:val="22"/>
                <w:szCs w:val="22"/>
              </w:rPr>
              <w:t>4.4. katra atsevišķi neatbilst nevienai šo noteikumu 4.1. līdz 4.3. apakšpunktā minētajām pazīmēm, bet kopā uzstādītas vairāk par trīs vienā laukumā.</w:t>
            </w:r>
          </w:p>
        </w:tc>
        <w:tc>
          <w:tcPr>
            <w:tcW w:w="4311" w:type="dxa"/>
            <w:tcBorders>
              <w:top w:val="single" w:sz="4" w:space="0" w:color="auto"/>
              <w:left w:val="single" w:sz="4" w:space="0" w:color="auto"/>
              <w:bottom w:val="single" w:sz="4" w:space="0" w:color="auto"/>
              <w:right w:val="single" w:sz="4" w:space="0" w:color="auto"/>
            </w:tcBorders>
          </w:tcPr>
          <w:p w14:paraId="7277EE12" w14:textId="77777777" w:rsidR="00CC1581" w:rsidRPr="00DC34FD" w:rsidRDefault="00CC1581" w:rsidP="00FB5F6C">
            <w:pPr>
              <w:pStyle w:val="CommentText"/>
              <w:spacing w:before="60" w:after="0"/>
              <w:jc w:val="center"/>
              <w:rPr>
                <w:b/>
                <w:sz w:val="22"/>
                <w:szCs w:val="22"/>
              </w:rPr>
            </w:pPr>
            <w:r w:rsidRPr="00DC34FD">
              <w:rPr>
                <w:b/>
                <w:sz w:val="22"/>
                <w:szCs w:val="22"/>
              </w:rPr>
              <w:lastRenderedPageBreak/>
              <w:t>Latvijas Lielo pilsētu asociācija</w:t>
            </w:r>
          </w:p>
          <w:p w14:paraId="2277A23B" w14:textId="5FD80C54" w:rsidR="00CC1581" w:rsidRPr="00DC34FD" w:rsidRDefault="00CC1581" w:rsidP="007067CF">
            <w:pPr>
              <w:pStyle w:val="CommentText"/>
              <w:jc w:val="both"/>
              <w:rPr>
                <w:sz w:val="22"/>
                <w:szCs w:val="22"/>
              </w:rPr>
            </w:pPr>
            <w:r w:rsidRPr="00DC34FD">
              <w:rPr>
                <w:sz w:val="22"/>
                <w:szCs w:val="22"/>
              </w:rPr>
              <w:t xml:space="preserve">Nepieciešams pārskatīt šajā punktā noteiktās prasības. Ir jānosaka skaidri un pamatoti kritēriji, jo pašreizējā redakcijā reģistrācija jāveic visiem, pat dažām publiski uzstādītām rotaļu iekārtām, kas rada nevajadzīgu administratīvo un finansiālo slogu valsts, pašvaldības iestādēm un privātpersonām, jo pat gadījumos, ja mikrorajonā daudzdzīvokļu </w:t>
            </w:r>
            <w:r w:rsidRPr="00DC34FD">
              <w:rPr>
                <w:sz w:val="22"/>
                <w:szCs w:val="22"/>
              </w:rPr>
              <w:lastRenderedPageBreak/>
              <w:t>nama iekšpagalmā tiek uzstādīta smilšu kaste, šūpuļzirdziņš un slidkalniņš (vecuma grupai 2 - 4 gadi), to nāksies reģistrēt pie šādas redakcijas. Tas ir nevajadzīgs administratīvais slogs, nepiekrītam anotācijā rakstītajam.</w:t>
            </w:r>
          </w:p>
          <w:p w14:paraId="62977DC9" w14:textId="77777777" w:rsidR="00CC1581" w:rsidRPr="00DC34FD" w:rsidRDefault="00CC1581" w:rsidP="007067CF">
            <w:pPr>
              <w:pStyle w:val="CommentText"/>
              <w:jc w:val="both"/>
              <w:rPr>
                <w:sz w:val="22"/>
                <w:szCs w:val="22"/>
              </w:rPr>
            </w:pPr>
            <w:r w:rsidRPr="00DC34FD">
              <w:rPr>
                <w:sz w:val="22"/>
                <w:szCs w:val="22"/>
              </w:rPr>
              <w:t xml:space="preserve">Rosinām 4. punktu </w:t>
            </w:r>
            <w:proofErr w:type="spellStart"/>
            <w:r w:rsidRPr="00DC34FD">
              <w:rPr>
                <w:sz w:val="22"/>
                <w:szCs w:val="22"/>
              </w:rPr>
              <w:t>punktu</w:t>
            </w:r>
            <w:proofErr w:type="spellEnd"/>
            <w:r w:rsidRPr="00DC34FD">
              <w:rPr>
                <w:sz w:val="22"/>
                <w:szCs w:val="22"/>
              </w:rPr>
              <w:t xml:space="preserve"> izteikt šādā redakcijā: </w:t>
            </w:r>
          </w:p>
          <w:p w14:paraId="68C16561" w14:textId="77777777" w:rsidR="00CC1581" w:rsidRPr="00DC34FD" w:rsidRDefault="00CC1581" w:rsidP="007067CF">
            <w:pPr>
              <w:pStyle w:val="CommentText"/>
              <w:jc w:val="both"/>
              <w:rPr>
                <w:sz w:val="22"/>
                <w:szCs w:val="22"/>
              </w:rPr>
            </w:pPr>
            <w:r w:rsidRPr="00DC34FD">
              <w:rPr>
                <w:sz w:val="22"/>
                <w:szCs w:val="22"/>
              </w:rPr>
              <w:t>“4. Publiskajā spēļu laukumā pārredzamā vietā vai gadījumā, ja ir viena spēļu vai citu aktivitāšu iekārta – uz iekārtas, izvieto informācijas plāksni ar šādu informāciju:</w:t>
            </w:r>
          </w:p>
          <w:p w14:paraId="5E5B2084" w14:textId="77777777" w:rsidR="00CC1581" w:rsidRPr="00DC34FD" w:rsidRDefault="00CC1581" w:rsidP="007067CF">
            <w:pPr>
              <w:pStyle w:val="CommentText"/>
              <w:jc w:val="both"/>
              <w:rPr>
                <w:sz w:val="22"/>
                <w:szCs w:val="22"/>
              </w:rPr>
            </w:pPr>
            <w:r w:rsidRPr="00DC34FD">
              <w:rPr>
                <w:sz w:val="22"/>
                <w:szCs w:val="22"/>
              </w:rPr>
              <w:t>4.1. neatliekamās palīdzības tālruņa numurs;</w:t>
            </w:r>
          </w:p>
          <w:p w14:paraId="68FB3F78" w14:textId="77777777" w:rsidR="00CC1581" w:rsidRPr="00DC34FD" w:rsidRDefault="00CC1581" w:rsidP="007067CF">
            <w:pPr>
              <w:pStyle w:val="CommentText"/>
              <w:jc w:val="both"/>
              <w:rPr>
                <w:sz w:val="22"/>
                <w:szCs w:val="22"/>
              </w:rPr>
            </w:pPr>
            <w:r w:rsidRPr="00DC34FD">
              <w:rPr>
                <w:sz w:val="22"/>
                <w:szCs w:val="22"/>
              </w:rPr>
              <w:t>4.2. spēļu vai citu aktivitāšu iekārtas vai to laukuma īpašnieks/valdītājs, apsaimniekotājs (sakarā ar to, ka atbildīgā persona var mainīties, lūgums to neiekļaut, kā obligātu nosacījumu) un tālruņa numuri saziņai ar īpašnieku/valdītāju;</w:t>
            </w:r>
          </w:p>
          <w:p w14:paraId="09BEBE6E" w14:textId="77777777" w:rsidR="00CC1581" w:rsidRPr="00DC34FD" w:rsidRDefault="00CC1581" w:rsidP="007067CF">
            <w:pPr>
              <w:pStyle w:val="CommentText"/>
              <w:jc w:val="both"/>
              <w:rPr>
                <w:sz w:val="22"/>
                <w:szCs w:val="22"/>
              </w:rPr>
            </w:pPr>
            <w:r w:rsidRPr="00DC34FD">
              <w:rPr>
                <w:sz w:val="22"/>
                <w:szCs w:val="22"/>
              </w:rPr>
              <w:t>4.3. spēļu vai citu aktivitāšu iekārtas vai to laukuma adrese;</w:t>
            </w:r>
          </w:p>
          <w:p w14:paraId="759C41A6" w14:textId="77777777" w:rsidR="00CC1581" w:rsidRPr="00DC34FD" w:rsidRDefault="00CC1581" w:rsidP="007067CF">
            <w:pPr>
              <w:pStyle w:val="ListParagraph"/>
              <w:spacing w:after="160"/>
              <w:ind w:left="0"/>
              <w:jc w:val="both"/>
              <w:rPr>
                <w:rFonts w:ascii="Times New Roman" w:hAnsi="Times New Roman"/>
              </w:rPr>
            </w:pPr>
            <w:r w:rsidRPr="00DC34FD">
              <w:rPr>
                <w:rFonts w:ascii="Times New Roman" w:hAnsi="Times New Roman"/>
              </w:rPr>
              <w:t>4.4. nepieciešamības gadījumā – vērš uzmanību uz iespējamo apdraudējumu un kaitējuma risku, kas var rasties, lietojot spēļu vai citu aktivitāšu iekārtas, kā arī iespējām no tā izvairīties.”</w:t>
            </w:r>
          </w:p>
          <w:p w14:paraId="2FB48516" w14:textId="068F6648" w:rsidR="00CC1581" w:rsidRPr="00DC34FD" w:rsidRDefault="00CC1581" w:rsidP="007067CF">
            <w:pPr>
              <w:pStyle w:val="CommentText"/>
              <w:spacing w:before="60" w:after="0"/>
              <w:jc w:val="both"/>
              <w:rPr>
                <w:b/>
                <w:sz w:val="22"/>
                <w:szCs w:val="22"/>
              </w:rPr>
            </w:pPr>
            <w:r w:rsidRPr="00DC34FD">
              <w:rPr>
                <w:sz w:val="22"/>
                <w:szCs w:val="22"/>
              </w:rPr>
              <w:t xml:space="preserve">Ja LLPA redakcija netiek ņemta vērā, ir jāprecizē termini “augsts risks”, “krišanas augstums” un “forsētā kustība”, lai šo </w:t>
            </w:r>
            <w:r w:rsidRPr="00DC34FD">
              <w:rPr>
                <w:sz w:val="22"/>
                <w:szCs w:val="22"/>
              </w:rPr>
              <w:lastRenderedPageBreak/>
              <w:t>noteikumu 4. punktā minēto prasību būtu iespējams piemērot (interpretēt) nepārprotami.</w:t>
            </w:r>
          </w:p>
        </w:tc>
        <w:tc>
          <w:tcPr>
            <w:tcW w:w="2410" w:type="dxa"/>
            <w:gridSpan w:val="2"/>
            <w:vMerge w:val="restart"/>
            <w:tcBorders>
              <w:top w:val="single" w:sz="4" w:space="0" w:color="auto"/>
              <w:left w:val="single" w:sz="4" w:space="0" w:color="auto"/>
              <w:right w:val="single" w:sz="4" w:space="0" w:color="auto"/>
            </w:tcBorders>
          </w:tcPr>
          <w:p w14:paraId="3B625E8E" w14:textId="320AD259" w:rsidR="00CC1581" w:rsidRPr="00DC34FD" w:rsidRDefault="00CC1581" w:rsidP="007067CF">
            <w:pPr>
              <w:pStyle w:val="naisc"/>
              <w:spacing w:before="0" w:after="0"/>
              <w:jc w:val="left"/>
              <w:rPr>
                <w:b/>
                <w:sz w:val="22"/>
                <w:szCs w:val="22"/>
              </w:rPr>
            </w:pPr>
            <w:r w:rsidRPr="00DC34FD">
              <w:rPr>
                <w:b/>
                <w:sz w:val="22"/>
                <w:szCs w:val="22"/>
              </w:rPr>
              <w:lastRenderedPageBreak/>
              <w:t>Ņemts vērā, pārskatot prasības 4.punktā (bet ne izslēdzot 4.punktu vispār)</w:t>
            </w:r>
          </w:p>
        </w:tc>
        <w:tc>
          <w:tcPr>
            <w:tcW w:w="4652" w:type="dxa"/>
            <w:vMerge w:val="restart"/>
            <w:tcBorders>
              <w:top w:val="single" w:sz="4" w:space="0" w:color="auto"/>
              <w:left w:val="single" w:sz="4" w:space="0" w:color="auto"/>
            </w:tcBorders>
          </w:tcPr>
          <w:p w14:paraId="7A7D7AD1" w14:textId="31381DE6" w:rsidR="00CC1581" w:rsidRPr="00DC34FD" w:rsidRDefault="00A14FA0" w:rsidP="00EF0160">
            <w:pPr>
              <w:pStyle w:val="naislab"/>
              <w:numPr>
                <w:ilvl w:val="0"/>
                <w:numId w:val="24"/>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22" w:hanging="322"/>
              <w:jc w:val="both"/>
              <w:rPr>
                <w:sz w:val="22"/>
                <w:szCs w:val="22"/>
              </w:rPr>
            </w:pPr>
            <w:r w:rsidRPr="00A14FA0">
              <w:rPr>
                <w:sz w:val="22"/>
                <w:szCs w:val="22"/>
              </w:rPr>
              <w:t xml:space="preserve">Šo noteikumu prasības par </w:t>
            </w:r>
            <w:proofErr w:type="spellStart"/>
            <w:r w:rsidRPr="00A14FA0">
              <w:rPr>
                <w:sz w:val="22"/>
                <w:szCs w:val="22"/>
              </w:rPr>
              <w:t>pēcuzstādīšanas</w:t>
            </w:r>
            <w:proofErr w:type="spellEnd"/>
            <w:r w:rsidRPr="00A14FA0">
              <w:rPr>
                <w:sz w:val="22"/>
                <w:szCs w:val="22"/>
              </w:rPr>
              <w:t xml:space="preserve"> pārbaudes veikšanu un reģistrāciju attiecas uz publisku spēļu un rekreācijas laukumu, kurā spēļu vai citu aktivitāšu iekārta atbilst kādai vai vairākām no šādām pazīmēm</w:t>
            </w:r>
            <w:r w:rsidR="00CC1581" w:rsidRPr="00DC34FD">
              <w:rPr>
                <w:sz w:val="22"/>
                <w:szCs w:val="22"/>
              </w:rPr>
              <w:t>:</w:t>
            </w:r>
          </w:p>
          <w:p w14:paraId="6469F23F" w14:textId="05684118" w:rsidR="00CC1581" w:rsidRPr="00DC34FD" w:rsidRDefault="00CC1581" w:rsidP="00EF0160">
            <w:pPr>
              <w:pStyle w:val="naislab"/>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48" w:hanging="426"/>
              <w:jc w:val="both"/>
              <w:rPr>
                <w:sz w:val="22"/>
                <w:szCs w:val="22"/>
              </w:rPr>
            </w:pPr>
            <w:r w:rsidRPr="00DC34FD">
              <w:rPr>
                <w:sz w:val="22"/>
                <w:szCs w:val="22"/>
              </w:rPr>
              <w:t>ir paredzēta, lai ar to veiktu vairāk par divām šo noteikumu 2.1.apakšpunktā minētajām darbībām;</w:t>
            </w:r>
          </w:p>
          <w:p w14:paraId="4F7F50D3" w14:textId="77777777" w:rsidR="00CC1581" w:rsidRPr="00DC34FD" w:rsidRDefault="00CC1581" w:rsidP="00EF0160">
            <w:pPr>
              <w:pStyle w:val="naislab"/>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48" w:hanging="426"/>
              <w:jc w:val="both"/>
              <w:rPr>
                <w:sz w:val="22"/>
                <w:szCs w:val="22"/>
              </w:rPr>
            </w:pPr>
            <w:r w:rsidRPr="00DC34FD">
              <w:rPr>
                <w:sz w:val="22"/>
                <w:szCs w:val="22"/>
              </w:rPr>
              <w:lastRenderedPageBreak/>
              <w:t>kopā uzstādītas vairāk par četrām vienā laukumā.</w:t>
            </w:r>
          </w:p>
          <w:p w14:paraId="47D244F4" w14:textId="77777777" w:rsidR="00CC1581" w:rsidRPr="00DC34FD" w:rsidRDefault="00CC1581" w:rsidP="007067CF">
            <w:pPr>
              <w:spacing w:line="240" w:lineRule="auto"/>
              <w:jc w:val="both"/>
              <w:rPr>
                <w:rFonts w:ascii="Times New Roman" w:hAnsi="Times New Roman" w:cs="Times New Roman"/>
              </w:rPr>
            </w:pPr>
          </w:p>
        </w:tc>
      </w:tr>
      <w:tr w:rsidR="00CC1581" w:rsidRPr="00DC34FD" w14:paraId="53F99FB2" w14:textId="77777777" w:rsidTr="00AF11CB">
        <w:tc>
          <w:tcPr>
            <w:tcW w:w="742" w:type="dxa"/>
            <w:vMerge/>
            <w:tcBorders>
              <w:left w:val="single" w:sz="4" w:space="0" w:color="auto"/>
              <w:right w:val="single" w:sz="4" w:space="0" w:color="auto"/>
            </w:tcBorders>
          </w:tcPr>
          <w:p w14:paraId="5B96C510" w14:textId="77777777" w:rsidR="00CC1581" w:rsidRPr="00DC34FD" w:rsidRDefault="00CC1581" w:rsidP="007067CF">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4212DB24" w14:textId="77777777"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2A705A97" w14:textId="77777777" w:rsidR="00CC1581" w:rsidRPr="00DC34FD" w:rsidRDefault="00CC1581" w:rsidP="000B391C">
            <w:pPr>
              <w:pStyle w:val="CommentText"/>
              <w:spacing w:before="60" w:after="0"/>
              <w:jc w:val="center"/>
              <w:rPr>
                <w:b/>
                <w:color w:val="000000"/>
                <w:sz w:val="22"/>
                <w:szCs w:val="22"/>
              </w:rPr>
            </w:pPr>
            <w:r w:rsidRPr="00DC34FD">
              <w:rPr>
                <w:b/>
                <w:color w:val="000000"/>
                <w:sz w:val="22"/>
                <w:szCs w:val="22"/>
              </w:rPr>
              <w:t>Reģionālo attīstības centru apvienība</w:t>
            </w:r>
          </w:p>
          <w:p w14:paraId="33500E0D" w14:textId="77777777" w:rsidR="00CC1581" w:rsidRPr="00DC34FD" w:rsidRDefault="00CC1581" w:rsidP="000B391C">
            <w:pPr>
              <w:pStyle w:val="CommentText"/>
              <w:spacing w:before="60" w:after="0"/>
              <w:rPr>
                <w:sz w:val="22"/>
                <w:szCs w:val="22"/>
              </w:rPr>
            </w:pPr>
            <w:r w:rsidRPr="00DC34FD">
              <w:rPr>
                <w:sz w:val="22"/>
                <w:szCs w:val="22"/>
                <w:u w:val="single"/>
              </w:rPr>
              <w:t>RACA rosina</w:t>
            </w:r>
            <w:r w:rsidRPr="00DC34FD">
              <w:rPr>
                <w:sz w:val="22"/>
                <w:szCs w:val="22"/>
              </w:rPr>
              <w:t xml:space="preserve"> noteikumu projekta  punktu 4.1. izteikt sekojošā redakcijā:  „ir paredzētas, lai ar to veiktu vairāk par četrām šo noteikumu 2.1. apakšpunktā minētajām darbībām”</w:t>
            </w:r>
          </w:p>
          <w:p w14:paraId="686DD63B" w14:textId="179AB743" w:rsidR="00CC1581" w:rsidRPr="00DC34FD" w:rsidRDefault="00CC1581" w:rsidP="00EC2DF9">
            <w:pPr>
              <w:pStyle w:val="CommentText"/>
              <w:spacing w:before="60" w:after="0"/>
              <w:jc w:val="both"/>
              <w:rPr>
                <w:sz w:val="22"/>
                <w:szCs w:val="22"/>
              </w:rPr>
            </w:pPr>
            <w:r w:rsidRPr="00DC34FD">
              <w:rPr>
                <w:sz w:val="22"/>
                <w:szCs w:val="22"/>
              </w:rPr>
              <w:t>RACA secina, ka piedāvātā definīcija publiskai lietošanai paredzētu bērnu spēļu laukumu ierīkošanu un uzturēšanu ir ļoti plaša un no definīcijas izriet, ka jebkuras šūpoles un smilšu kaste ir uzskatāma par publiskai lietošanai paredzētu bērnu spēļu laukumu</w:t>
            </w:r>
          </w:p>
        </w:tc>
        <w:tc>
          <w:tcPr>
            <w:tcW w:w="2410" w:type="dxa"/>
            <w:gridSpan w:val="2"/>
            <w:vMerge/>
            <w:tcBorders>
              <w:left w:val="single" w:sz="4" w:space="0" w:color="auto"/>
              <w:right w:val="single" w:sz="4" w:space="0" w:color="auto"/>
            </w:tcBorders>
          </w:tcPr>
          <w:p w14:paraId="58C093B0" w14:textId="77777777" w:rsidR="00CC1581" w:rsidRPr="00DC34FD" w:rsidRDefault="00CC1581" w:rsidP="007067CF">
            <w:pPr>
              <w:pStyle w:val="naisc"/>
              <w:spacing w:before="0" w:after="0"/>
              <w:jc w:val="left"/>
              <w:rPr>
                <w:b/>
                <w:sz w:val="22"/>
                <w:szCs w:val="22"/>
              </w:rPr>
            </w:pPr>
          </w:p>
        </w:tc>
        <w:tc>
          <w:tcPr>
            <w:tcW w:w="4652" w:type="dxa"/>
            <w:vMerge/>
            <w:tcBorders>
              <w:left w:val="single" w:sz="4" w:space="0" w:color="auto"/>
            </w:tcBorders>
          </w:tcPr>
          <w:p w14:paraId="6EEEA33F" w14:textId="77777777" w:rsidR="00CC1581" w:rsidRPr="00DC34FD" w:rsidRDefault="00CC1581" w:rsidP="00EF0160">
            <w:pPr>
              <w:pStyle w:val="naislab"/>
              <w:numPr>
                <w:ilvl w:val="0"/>
                <w:numId w:val="25"/>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22" w:hanging="322"/>
              <w:jc w:val="both"/>
              <w:rPr>
                <w:sz w:val="22"/>
                <w:szCs w:val="22"/>
              </w:rPr>
            </w:pPr>
          </w:p>
        </w:tc>
      </w:tr>
      <w:tr w:rsidR="00CC1581" w:rsidRPr="00DC34FD" w14:paraId="2151D11B" w14:textId="77777777" w:rsidTr="00AF11CB">
        <w:trPr>
          <w:trHeight w:val="1365"/>
        </w:trPr>
        <w:tc>
          <w:tcPr>
            <w:tcW w:w="742" w:type="dxa"/>
            <w:vMerge/>
            <w:tcBorders>
              <w:left w:val="single" w:sz="4" w:space="0" w:color="auto"/>
              <w:right w:val="single" w:sz="4" w:space="0" w:color="auto"/>
            </w:tcBorders>
          </w:tcPr>
          <w:p w14:paraId="2CEAEF2E" w14:textId="77777777" w:rsidR="00CC1581" w:rsidRPr="00DC34FD" w:rsidRDefault="00CC1581" w:rsidP="007067CF">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4BE687A9" w14:textId="77777777"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464771DE" w14:textId="0653C88C" w:rsidR="00CC1581" w:rsidRPr="00DC34FD" w:rsidRDefault="00CC1581" w:rsidP="008639D7">
            <w:pPr>
              <w:pStyle w:val="CommentText"/>
              <w:spacing w:before="60"/>
              <w:jc w:val="center"/>
              <w:rPr>
                <w:b/>
                <w:color w:val="000000"/>
                <w:sz w:val="22"/>
                <w:szCs w:val="22"/>
              </w:rPr>
            </w:pPr>
            <w:r w:rsidRPr="00DC34FD">
              <w:rPr>
                <w:b/>
                <w:color w:val="000000"/>
                <w:sz w:val="22"/>
                <w:szCs w:val="22"/>
              </w:rPr>
              <w:t>Latvijas Pašvaldību savienība</w:t>
            </w:r>
          </w:p>
          <w:p w14:paraId="1CBCCEE5" w14:textId="31528866" w:rsidR="00CC1581" w:rsidRPr="00DC34FD" w:rsidRDefault="00CC1581" w:rsidP="008639D7">
            <w:pPr>
              <w:pStyle w:val="CommentText"/>
              <w:spacing w:before="60"/>
              <w:jc w:val="both"/>
              <w:rPr>
                <w:color w:val="000000"/>
                <w:sz w:val="22"/>
                <w:szCs w:val="22"/>
              </w:rPr>
            </w:pPr>
            <w:r w:rsidRPr="00DC34FD">
              <w:rPr>
                <w:color w:val="000000"/>
                <w:sz w:val="22"/>
                <w:szCs w:val="22"/>
              </w:rPr>
              <w:t xml:space="preserve">Pilnībā pārstrādājams Noteikumu projekta 4. punkts, jo uzskatām, ka Noteikumu projektā precīzi nosakāmi reģistrācijas kritēriji. Pašreizējā redakcija pieprasa </w:t>
            </w:r>
            <w:proofErr w:type="spellStart"/>
            <w:r w:rsidRPr="00DC34FD">
              <w:rPr>
                <w:color w:val="000000"/>
                <w:sz w:val="22"/>
                <w:szCs w:val="22"/>
              </w:rPr>
              <w:t>pēcuzstādīšanas</w:t>
            </w:r>
            <w:proofErr w:type="spellEnd"/>
            <w:r w:rsidRPr="00DC34FD">
              <w:rPr>
                <w:color w:val="000000"/>
                <w:sz w:val="22"/>
                <w:szCs w:val="22"/>
              </w:rPr>
              <w:t xml:space="preserve"> pārbaudes veikšanas un reģistrāciju veikt, pat tad, ja rotaļu laukumā iekārtota papildus jauna smilšu kaste vai slidkalniņš</w:t>
            </w:r>
          </w:p>
          <w:p w14:paraId="65EF30F7" w14:textId="77777777" w:rsidR="00CC1581" w:rsidRPr="00DC34FD" w:rsidRDefault="00CC1581" w:rsidP="000B391C">
            <w:pPr>
              <w:pStyle w:val="CommentText"/>
              <w:spacing w:before="60" w:after="0"/>
              <w:jc w:val="center"/>
              <w:rPr>
                <w:b/>
                <w:color w:val="000000"/>
                <w:sz w:val="22"/>
                <w:szCs w:val="22"/>
              </w:rPr>
            </w:pPr>
          </w:p>
        </w:tc>
        <w:tc>
          <w:tcPr>
            <w:tcW w:w="2410" w:type="dxa"/>
            <w:gridSpan w:val="2"/>
            <w:vMerge/>
            <w:tcBorders>
              <w:left w:val="single" w:sz="4" w:space="0" w:color="auto"/>
              <w:right w:val="single" w:sz="4" w:space="0" w:color="auto"/>
            </w:tcBorders>
          </w:tcPr>
          <w:p w14:paraId="24365404" w14:textId="77777777" w:rsidR="00CC1581" w:rsidRPr="00DC34FD" w:rsidRDefault="00CC1581" w:rsidP="007067CF">
            <w:pPr>
              <w:pStyle w:val="naisc"/>
              <w:spacing w:before="0" w:after="0"/>
              <w:jc w:val="left"/>
              <w:rPr>
                <w:b/>
                <w:sz w:val="22"/>
                <w:szCs w:val="22"/>
              </w:rPr>
            </w:pPr>
          </w:p>
        </w:tc>
        <w:tc>
          <w:tcPr>
            <w:tcW w:w="4652" w:type="dxa"/>
            <w:vMerge/>
            <w:tcBorders>
              <w:left w:val="single" w:sz="4" w:space="0" w:color="auto"/>
            </w:tcBorders>
          </w:tcPr>
          <w:p w14:paraId="5341E097" w14:textId="77777777" w:rsidR="00CC1581" w:rsidRPr="00DC34FD" w:rsidRDefault="00CC1581" w:rsidP="00EF0160">
            <w:pPr>
              <w:pStyle w:val="naislab"/>
              <w:numPr>
                <w:ilvl w:val="0"/>
                <w:numId w:val="25"/>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22" w:hanging="322"/>
              <w:jc w:val="both"/>
              <w:rPr>
                <w:sz w:val="22"/>
                <w:szCs w:val="22"/>
              </w:rPr>
            </w:pPr>
          </w:p>
        </w:tc>
      </w:tr>
      <w:tr w:rsidR="00CC1581" w:rsidRPr="00DC34FD" w14:paraId="656D06A7" w14:textId="77777777" w:rsidTr="00AF11CB">
        <w:trPr>
          <w:trHeight w:val="1129"/>
        </w:trPr>
        <w:tc>
          <w:tcPr>
            <w:tcW w:w="742" w:type="dxa"/>
            <w:vMerge/>
            <w:tcBorders>
              <w:left w:val="single" w:sz="4" w:space="0" w:color="auto"/>
              <w:right w:val="single" w:sz="4" w:space="0" w:color="auto"/>
            </w:tcBorders>
          </w:tcPr>
          <w:p w14:paraId="61934EEF" w14:textId="77777777" w:rsidR="00CC1581" w:rsidRPr="00DC34FD" w:rsidRDefault="00CC1581" w:rsidP="007067CF">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6B4801B6" w14:textId="77777777"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15747BCD" w14:textId="281E3108" w:rsidR="00CC1581" w:rsidRPr="00DC34FD" w:rsidRDefault="00CC1581" w:rsidP="00943748">
            <w:pPr>
              <w:pStyle w:val="CommentText"/>
              <w:spacing w:before="60"/>
              <w:jc w:val="center"/>
              <w:rPr>
                <w:sz w:val="22"/>
                <w:szCs w:val="22"/>
              </w:rPr>
            </w:pPr>
            <w:r w:rsidRPr="00DC34FD">
              <w:rPr>
                <w:b/>
                <w:color w:val="000000"/>
                <w:sz w:val="22"/>
                <w:szCs w:val="22"/>
              </w:rPr>
              <w:t>Latvijas</w:t>
            </w:r>
            <w:r w:rsidRPr="00DC34FD">
              <w:rPr>
                <w:sz w:val="22"/>
                <w:szCs w:val="22"/>
              </w:rPr>
              <w:t xml:space="preserve"> </w:t>
            </w:r>
            <w:r w:rsidRPr="00DC34FD">
              <w:rPr>
                <w:b/>
                <w:sz w:val="22"/>
                <w:szCs w:val="22"/>
              </w:rPr>
              <w:t>Ainavu arhitektu asociācija</w:t>
            </w:r>
          </w:p>
          <w:p w14:paraId="6EBD3E99" w14:textId="443A8E5E" w:rsidR="00CC1581" w:rsidRPr="00DC34FD" w:rsidRDefault="00CC1581" w:rsidP="00943748">
            <w:pPr>
              <w:pStyle w:val="CommentText"/>
              <w:spacing w:before="60"/>
              <w:jc w:val="both"/>
              <w:rPr>
                <w:sz w:val="22"/>
                <w:szCs w:val="22"/>
              </w:rPr>
            </w:pPr>
            <w:r w:rsidRPr="00DC34FD">
              <w:rPr>
                <w:sz w:val="22"/>
                <w:szCs w:val="22"/>
              </w:rPr>
              <w:t xml:space="preserve">Noteikumos ietvertā būtība ir </w:t>
            </w:r>
            <w:proofErr w:type="spellStart"/>
            <w:r w:rsidRPr="00DC34FD">
              <w:rPr>
                <w:sz w:val="22"/>
                <w:szCs w:val="22"/>
              </w:rPr>
              <w:t>apzniāt</w:t>
            </w:r>
            <w:proofErr w:type="spellEnd"/>
            <w:r w:rsidRPr="00DC34FD">
              <w:rPr>
                <w:sz w:val="22"/>
                <w:szCs w:val="22"/>
              </w:rPr>
              <w:t xml:space="preserve"> un apkopot informāciju par spēļu (rotaļu), treniņu un aktīvās atpūtas iekārtām un to izvietošanas vietām, iekārtu valdītājam nosakot atbildību, veikt regulāras iekārtu pārbaudes. Tādējādi LAAA ieskatā, arī nelielās iekārtas ir reģistrējamas, savukārt to drošuma prasības ir </w:t>
            </w:r>
            <w:proofErr w:type="spellStart"/>
            <w:r w:rsidRPr="00DC34FD">
              <w:rPr>
                <w:sz w:val="22"/>
                <w:szCs w:val="22"/>
              </w:rPr>
              <w:t>saktāmas</w:t>
            </w:r>
            <w:proofErr w:type="spellEnd"/>
            <w:r w:rsidRPr="00DC34FD">
              <w:rPr>
                <w:sz w:val="22"/>
                <w:szCs w:val="22"/>
              </w:rPr>
              <w:t xml:space="preserve"> kontekstā ar iekārtu izvietojumu </w:t>
            </w:r>
            <w:r w:rsidRPr="00DC34FD">
              <w:rPr>
                <w:sz w:val="22"/>
                <w:szCs w:val="22"/>
              </w:rPr>
              <w:lastRenderedPageBreak/>
              <w:t xml:space="preserve">teritorijā un iekārtu tehnisko stāvokli. Tāpat jāņem vērā apstāklis, ka lietotāja kritienā arī pret vienkāršu iekārtu var rasties cietušā persona, tādējādi, būtu jānodrošina arī šo iekārtu regulāra pārbaude un viss no tā izrietošais. Tāpat, būtu skaidrāk nosakāmi kritēriji, pēc kuriem krišanas augstums tiek vērtēts kā riskants (tas būtu vismaz 60cm, ņemot vērā, ka sākot no šī augstuma ir nepieciešams triecienu absorbējošs segums), to atspoguļojot noteikumos lietoto terminu skaidrojumā (skatīt redakciju šīs tabulas 3.punktā). </w:t>
            </w:r>
          </w:p>
          <w:p w14:paraId="339747AC" w14:textId="77777777" w:rsidR="00CC1581" w:rsidRPr="00DC34FD" w:rsidRDefault="00CC1581" w:rsidP="00943748">
            <w:pPr>
              <w:pStyle w:val="CommentText"/>
              <w:spacing w:before="60"/>
              <w:jc w:val="both"/>
              <w:rPr>
                <w:sz w:val="22"/>
                <w:szCs w:val="22"/>
              </w:rPr>
            </w:pPr>
            <w:r w:rsidRPr="00DC34FD">
              <w:rPr>
                <w:sz w:val="22"/>
                <w:szCs w:val="22"/>
              </w:rPr>
              <w:t xml:space="preserve">Koriģēt 4. punkta redakciju: Šo noteikumu prasības par </w:t>
            </w:r>
            <w:proofErr w:type="spellStart"/>
            <w:r w:rsidRPr="00DC34FD">
              <w:rPr>
                <w:sz w:val="22"/>
                <w:szCs w:val="22"/>
              </w:rPr>
              <w:t>pēcuzstādīšanas</w:t>
            </w:r>
            <w:proofErr w:type="spellEnd"/>
            <w:r w:rsidRPr="00DC34FD">
              <w:rPr>
                <w:sz w:val="22"/>
                <w:szCs w:val="22"/>
              </w:rPr>
              <w:t xml:space="preserve"> pārbaudes veikšanu </w:t>
            </w:r>
            <w:r w:rsidRPr="00DC34FD">
              <w:rPr>
                <w:strike/>
                <w:sz w:val="22"/>
                <w:szCs w:val="22"/>
              </w:rPr>
              <w:t>un reģistrāciju</w:t>
            </w:r>
            <w:r w:rsidRPr="00DC34FD">
              <w:rPr>
                <w:sz w:val="22"/>
                <w:szCs w:val="22"/>
              </w:rPr>
              <w:t xml:space="preserve"> attiecas uz spēļu laukumu, kurā spēļu vai citu aktivitāšu iekārta atbilst kādai vai vairākām no šādām pazīmēm:</w:t>
            </w:r>
          </w:p>
          <w:p w14:paraId="28DE00CA" w14:textId="77777777" w:rsidR="00CC1581" w:rsidRPr="00DC34FD" w:rsidRDefault="00CC1581" w:rsidP="00943748">
            <w:pPr>
              <w:pStyle w:val="CommentText"/>
              <w:spacing w:before="60"/>
              <w:jc w:val="both"/>
              <w:rPr>
                <w:sz w:val="22"/>
                <w:szCs w:val="22"/>
              </w:rPr>
            </w:pPr>
            <w:r w:rsidRPr="00DC34FD">
              <w:rPr>
                <w:sz w:val="22"/>
                <w:szCs w:val="22"/>
              </w:rPr>
              <w:t xml:space="preserve">Papildināt 4.1. apakšpunktu: 4.1. ir paredzētas, lai ar to veiktu vairāk par divām šo noteikumu 2.1.apakšpunktā minētajām darbībām, izņemot iekārtas, kuras var radīt augstu risku; </w:t>
            </w:r>
          </w:p>
          <w:p w14:paraId="4476899F" w14:textId="5D2D2B2B" w:rsidR="00CC1581" w:rsidRPr="00DC34FD" w:rsidRDefault="00CC1581" w:rsidP="00943748">
            <w:pPr>
              <w:pStyle w:val="CommentText"/>
              <w:spacing w:before="60"/>
              <w:jc w:val="both"/>
              <w:rPr>
                <w:b/>
                <w:color w:val="000000"/>
                <w:sz w:val="22"/>
                <w:szCs w:val="22"/>
              </w:rPr>
            </w:pPr>
            <w:r w:rsidRPr="00DC34FD">
              <w:rPr>
                <w:sz w:val="22"/>
                <w:szCs w:val="22"/>
              </w:rPr>
              <w:t>Svītrot 4.3. apakšpunktu.</w:t>
            </w:r>
          </w:p>
        </w:tc>
        <w:tc>
          <w:tcPr>
            <w:tcW w:w="2410" w:type="dxa"/>
            <w:gridSpan w:val="2"/>
            <w:vMerge/>
            <w:tcBorders>
              <w:left w:val="single" w:sz="4" w:space="0" w:color="auto"/>
              <w:right w:val="single" w:sz="4" w:space="0" w:color="auto"/>
            </w:tcBorders>
          </w:tcPr>
          <w:p w14:paraId="128A5ED3" w14:textId="77777777" w:rsidR="00CC1581" w:rsidRPr="00DC34FD" w:rsidRDefault="00CC1581" w:rsidP="007067CF">
            <w:pPr>
              <w:pStyle w:val="naisc"/>
              <w:spacing w:before="0" w:after="0"/>
              <w:jc w:val="left"/>
              <w:rPr>
                <w:b/>
                <w:sz w:val="22"/>
                <w:szCs w:val="22"/>
              </w:rPr>
            </w:pPr>
          </w:p>
        </w:tc>
        <w:tc>
          <w:tcPr>
            <w:tcW w:w="4652" w:type="dxa"/>
            <w:vMerge/>
            <w:tcBorders>
              <w:left w:val="single" w:sz="4" w:space="0" w:color="auto"/>
            </w:tcBorders>
          </w:tcPr>
          <w:p w14:paraId="616471C2" w14:textId="77777777" w:rsidR="00CC1581" w:rsidRPr="00DC34FD" w:rsidRDefault="00CC1581" w:rsidP="00EF0160">
            <w:pPr>
              <w:pStyle w:val="naislab"/>
              <w:numPr>
                <w:ilvl w:val="0"/>
                <w:numId w:val="25"/>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22" w:hanging="322"/>
              <w:jc w:val="both"/>
              <w:rPr>
                <w:sz w:val="22"/>
                <w:szCs w:val="22"/>
              </w:rPr>
            </w:pPr>
          </w:p>
        </w:tc>
      </w:tr>
      <w:tr w:rsidR="00CC1581" w:rsidRPr="00DC34FD" w14:paraId="0B2A74CC" w14:textId="77777777" w:rsidTr="00AF11CB">
        <w:trPr>
          <w:trHeight w:val="1554"/>
        </w:trPr>
        <w:tc>
          <w:tcPr>
            <w:tcW w:w="742" w:type="dxa"/>
            <w:vMerge/>
            <w:tcBorders>
              <w:left w:val="single" w:sz="4" w:space="0" w:color="auto"/>
              <w:bottom w:val="single" w:sz="4" w:space="0" w:color="auto"/>
              <w:right w:val="single" w:sz="4" w:space="0" w:color="auto"/>
            </w:tcBorders>
          </w:tcPr>
          <w:p w14:paraId="1E80895B" w14:textId="77777777" w:rsidR="00CC1581" w:rsidRPr="00DC34FD" w:rsidRDefault="00CC1581" w:rsidP="007067CF">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44221E9C" w14:textId="77777777" w:rsidR="00CC1581" w:rsidRPr="00DC34FD" w:rsidRDefault="00CC1581" w:rsidP="007067CF">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34CA2D0A" w14:textId="77777777" w:rsidR="00CC1581" w:rsidRPr="00DC34FD" w:rsidRDefault="00CC1581" w:rsidP="00CC1581">
            <w:pPr>
              <w:pStyle w:val="CommentText"/>
              <w:spacing w:before="60" w:after="0"/>
              <w:jc w:val="center"/>
              <w:rPr>
                <w:b/>
                <w:sz w:val="22"/>
                <w:szCs w:val="22"/>
              </w:rPr>
            </w:pPr>
            <w:r w:rsidRPr="00DC34FD">
              <w:rPr>
                <w:b/>
                <w:sz w:val="22"/>
                <w:szCs w:val="22"/>
              </w:rPr>
              <w:t xml:space="preserve">Latvijas Rūpnieku tehniskās drošības ekspertu apvienība – TUV </w:t>
            </w:r>
            <w:proofErr w:type="spellStart"/>
            <w:r w:rsidRPr="00DC34FD">
              <w:rPr>
                <w:b/>
                <w:sz w:val="22"/>
                <w:szCs w:val="22"/>
              </w:rPr>
              <w:t>Rheinland</w:t>
            </w:r>
            <w:proofErr w:type="spellEnd"/>
            <w:r w:rsidRPr="00DC34FD">
              <w:rPr>
                <w:b/>
                <w:sz w:val="22"/>
                <w:szCs w:val="22"/>
              </w:rPr>
              <w:t xml:space="preserve"> grupa</w:t>
            </w:r>
          </w:p>
          <w:p w14:paraId="6BFD1A24" w14:textId="416053C7" w:rsidR="00CC1581" w:rsidRPr="00DC34FD" w:rsidRDefault="00CC1581" w:rsidP="00CC1581">
            <w:pPr>
              <w:pStyle w:val="CommentText"/>
              <w:spacing w:before="60"/>
              <w:jc w:val="both"/>
              <w:rPr>
                <w:color w:val="000000"/>
                <w:sz w:val="22"/>
                <w:szCs w:val="22"/>
              </w:rPr>
            </w:pPr>
            <w:r w:rsidRPr="00DC34FD">
              <w:rPr>
                <w:color w:val="000000"/>
                <w:sz w:val="22"/>
                <w:szCs w:val="22"/>
              </w:rPr>
              <w:t>Iespējams, ka 4.punktā definēto reģistrējamo iekārtu uzskaitījums ir pārāk plašs</w:t>
            </w:r>
          </w:p>
        </w:tc>
        <w:tc>
          <w:tcPr>
            <w:tcW w:w="2410" w:type="dxa"/>
            <w:gridSpan w:val="2"/>
            <w:vMerge/>
            <w:tcBorders>
              <w:left w:val="single" w:sz="4" w:space="0" w:color="auto"/>
              <w:bottom w:val="single" w:sz="4" w:space="0" w:color="auto"/>
              <w:right w:val="single" w:sz="4" w:space="0" w:color="auto"/>
            </w:tcBorders>
          </w:tcPr>
          <w:p w14:paraId="67E0BE41" w14:textId="77777777" w:rsidR="00CC1581" w:rsidRPr="00DC34FD" w:rsidRDefault="00CC1581" w:rsidP="007067CF">
            <w:pPr>
              <w:pStyle w:val="naisc"/>
              <w:spacing w:before="0" w:after="0"/>
              <w:jc w:val="left"/>
              <w:rPr>
                <w:b/>
                <w:sz w:val="22"/>
                <w:szCs w:val="22"/>
              </w:rPr>
            </w:pPr>
          </w:p>
        </w:tc>
        <w:tc>
          <w:tcPr>
            <w:tcW w:w="4652" w:type="dxa"/>
            <w:vMerge/>
            <w:tcBorders>
              <w:left w:val="single" w:sz="4" w:space="0" w:color="auto"/>
              <w:bottom w:val="single" w:sz="4" w:space="0" w:color="auto"/>
            </w:tcBorders>
          </w:tcPr>
          <w:p w14:paraId="33EFA219" w14:textId="77777777" w:rsidR="00CC1581" w:rsidRPr="00DC34FD" w:rsidRDefault="00CC1581" w:rsidP="00EF0160">
            <w:pPr>
              <w:pStyle w:val="naislab"/>
              <w:numPr>
                <w:ilvl w:val="0"/>
                <w:numId w:val="25"/>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22" w:hanging="322"/>
              <w:jc w:val="both"/>
              <w:rPr>
                <w:sz w:val="22"/>
                <w:szCs w:val="22"/>
              </w:rPr>
            </w:pPr>
          </w:p>
        </w:tc>
      </w:tr>
      <w:tr w:rsidR="002B5DB3" w:rsidRPr="00DC34FD" w14:paraId="0ED4FB50" w14:textId="77777777" w:rsidTr="00AF11CB">
        <w:trPr>
          <w:trHeight w:val="2153"/>
        </w:trPr>
        <w:tc>
          <w:tcPr>
            <w:tcW w:w="742" w:type="dxa"/>
            <w:vMerge w:val="restart"/>
            <w:tcBorders>
              <w:top w:val="single" w:sz="4" w:space="0" w:color="auto"/>
              <w:left w:val="single" w:sz="4" w:space="0" w:color="auto"/>
              <w:right w:val="single" w:sz="4" w:space="0" w:color="auto"/>
            </w:tcBorders>
          </w:tcPr>
          <w:p w14:paraId="169CE676" w14:textId="3BA3E282" w:rsidR="002B5DB3" w:rsidRPr="00DC34FD" w:rsidRDefault="002B5DB3" w:rsidP="00741BD0">
            <w:pPr>
              <w:spacing w:after="0" w:line="240" w:lineRule="auto"/>
              <w:jc w:val="center"/>
              <w:rPr>
                <w:rFonts w:ascii="Times New Roman" w:hAnsi="Times New Roman" w:cs="Times New Roman"/>
              </w:rPr>
            </w:pPr>
            <w:r>
              <w:rPr>
                <w:rFonts w:ascii="Times New Roman" w:hAnsi="Times New Roman" w:cs="Times New Roman"/>
              </w:rPr>
              <w:lastRenderedPageBreak/>
              <w:t>6</w:t>
            </w:r>
            <w:r w:rsidRPr="00DC34FD">
              <w:rPr>
                <w:rFonts w:ascii="Times New Roman" w:hAnsi="Times New Roman" w:cs="Times New Roman"/>
              </w:rPr>
              <w:t>.</w:t>
            </w:r>
          </w:p>
        </w:tc>
        <w:tc>
          <w:tcPr>
            <w:tcW w:w="3370" w:type="dxa"/>
            <w:gridSpan w:val="2"/>
            <w:vMerge w:val="restart"/>
            <w:tcBorders>
              <w:top w:val="single" w:sz="4" w:space="0" w:color="auto"/>
              <w:left w:val="single" w:sz="4" w:space="0" w:color="auto"/>
              <w:right w:val="single" w:sz="4" w:space="0" w:color="auto"/>
            </w:tcBorders>
          </w:tcPr>
          <w:p w14:paraId="5AF77A43" w14:textId="69522217" w:rsidR="002B5DB3" w:rsidRPr="00DC34FD" w:rsidRDefault="002B5DB3" w:rsidP="007067CF">
            <w:pPr>
              <w:pStyle w:val="ListParagraph"/>
              <w:numPr>
                <w:ilvl w:val="0"/>
                <w:numId w:val="2"/>
              </w:numPr>
              <w:spacing w:after="0" w:line="240" w:lineRule="auto"/>
              <w:ind w:left="-81" w:firstLine="0"/>
              <w:jc w:val="both"/>
              <w:rPr>
                <w:rFonts w:ascii="Times New Roman" w:hAnsi="Times New Roman"/>
              </w:rPr>
            </w:pPr>
            <w:r w:rsidRPr="00DC34FD">
              <w:rPr>
                <w:rFonts w:ascii="Times New Roman" w:hAnsi="Times New Roman"/>
              </w:rPr>
              <w:t>Publisko spēļu laukumu atļauts ierīkot un nodrošināt tā pieejamību par maksu vai bez maksas, tikai pastāvot šādiem nosacījumiem:</w:t>
            </w:r>
          </w:p>
          <w:p w14:paraId="7E659864" w14:textId="0AD0463B" w:rsidR="002B5DB3" w:rsidRDefault="002B5DB3" w:rsidP="007067CF">
            <w:pPr>
              <w:pStyle w:val="naislab"/>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1" w:firstLine="0"/>
              <w:jc w:val="both"/>
              <w:rPr>
                <w:sz w:val="22"/>
                <w:szCs w:val="22"/>
              </w:rPr>
            </w:pPr>
            <w:r w:rsidRPr="00DC34FD">
              <w:rPr>
                <w:sz w:val="22"/>
                <w:szCs w:val="22"/>
              </w:rPr>
              <w:t>ir veikta tā reģistrācija, ja saskaņā ar šiem noteikumiem tāda ir jāveic.</w:t>
            </w:r>
          </w:p>
          <w:p w14:paraId="7322F828" w14:textId="470E2438" w:rsidR="00C32984" w:rsidRPr="00DC34FD" w:rsidRDefault="00C32984" w:rsidP="00C32984">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1"/>
              <w:jc w:val="both"/>
              <w:rPr>
                <w:sz w:val="22"/>
                <w:szCs w:val="22"/>
              </w:rPr>
            </w:pPr>
            <w:r>
              <w:rPr>
                <w:sz w:val="22"/>
                <w:szCs w:val="22"/>
              </w:rPr>
              <w:t xml:space="preserve">25. </w:t>
            </w:r>
            <w:r w:rsidRPr="00C32984">
              <w:rPr>
                <w:sz w:val="22"/>
                <w:szCs w:val="22"/>
              </w:rPr>
              <w:t>Centram identificējot publisku spēļu un rekreācijas laukumu, kurš nav reģistrēts vai kura dati nav aktualizēti reģistrā, Centrs pieprasa tā valdītājam iesniegt attiecīgu reģistrācijas pieteikumu. Centram ir tiesības pēc savas iniciatīvas veikt publiskā spēļu un rekreācijas laukuma reģistrāciju vai tā datu aktualizāciju</w:t>
            </w:r>
          </w:p>
          <w:p w14:paraId="47576FC1" w14:textId="77777777" w:rsidR="002B5DB3" w:rsidRPr="00DC34FD" w:rsidRDefault="002B5DB3" w:rsidP="00F569C1">
            <w:pPr>
              <w:spacing w:after="0" w:line="240" w:lineRule="auto"/>
              <w:ind w:left="-81"/>
              <w:jc w:val="both"/>
              <w:rPr>
                <w:rFonts w:ascii="Times New Roman" w:hAnsi="Times New Roman" w:cs="Times New Roman"/>
              </w:rPr>
            </w:pPr>
          </w:p>
        </w:tc>
        <w:tc>
          <w:tcPr>
            <w:tcW w:w="4311" w:type="dxa"/>
            <w:tcBorders>
              <w:top w:val="single" w:sz="4" w:space="0" w:color="auto"/>
              <w:left w:val="single" w:sz="4" w:space="0" w:color="auto"/>
              <w:bottom w:val="single" w:sz="4" w:space="0" w:color="auto"/>
              <w:right w:val="single" w:sz="4" w:space="0" w:color="auto"/>
            </w:tcBorders>
          </w:tcPr>
          <w:p w14:paraId="4CF42E48" w14:textId="77777777" w:rsidR="002B5DB3" w:rsidRPr="00DC34FD" w:rsidRDefault="002B5DB3" w:rsidP="00F569C1">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t>Tieslietu ministrija</w:t>
            </w:r>
          </w:p>
          <w:p w14:paraId="24200F2C" w14:textId="6EC4E4EF" w:rsidR="002B5DB3" w:rsidRPr="00DC34FD" w:rsidRDefault="002B5DB3" w:rsidP="00F569C1">
            <w:pPr>
              <w:spacing w:after="0" w:line="240" w:lineRule="auto"/>
              <w:jc w:val="both"/>
              <w:rPr>
                <w:rFonts w:ascii="Times New Roman" w:hAnsi="Times New Roman" w:cs="Times New Roman"/>
                <w:b/>
                <w:color w:val="000000" w:themeColor="text1"/>
              </w:rPr>
            </w:pPr>
            <w:r w:rsidRPr="00DC34FD">
              <w:rPr>
                <w:rFonts w:ascii="Times New Roman" w:eastAsia="Times New Roman" w:hAnsi="Times New Roman" w:cs="Times New Roman"/>
              </w:rPr>
              <w:t>Projekta 5.4. apakšpunkts un V nodaļa paredz noteikt publisko spēļu laukumu reģistrāciju. Norādām, ka saskaņā ar Preču un pakalpojuma drošuma likuma 8.</w:t>
            </w:r>
            <w:r w:rsidRPr="00DC34FD">
              <w:rPr>
                <w:rFonts w:ascii="Times New Roman" w:eastAsia="Times New Roman" w:hAnsi="Times New Roman" w:cs="Times New Roman"/>
                <w:vertAlign w:val="superscript"/>
              </w:rPr>
              <w:t>1</w:t>
            </w:r>
            <w:r w:rsidRPr="00DC34FD">
              <w:rPr>
                <w:rFonts w:ascii="Times New Roman" w:eastAsia="Times New Roman" w:hAnsi="Times New Roman" w:cs="Times New Roman"/>
              </w:rPr>
              <w:t> pantu Ministru kabinets var noteikt speciālas prasības vai nepieciešamos pasākumus riska mazināšanai vai novēršanai, preču aprites vai pakalpojumu piedāvāšanas kārtību, kā arī to uzraudzības un kontroles kārtību. Ievērojot minēto, kā arī to, ka nav skaidrs, vai minētā reģistrācija tiek noteikta kā speciāla prasība riska mazināšanai vai novēršanai, lūdzam to skaidrot projekta sākotnējās (</w:t>
            </w:r>
            <w:proofErr w:type="spellStart"/>
            <w:r w:rsidRPr="00DC34FD">
              <w:rPr>
                <w:rFonts w:ascii="Times New Roman" w:eastAsia="Times New Roman" w:hAnsi="Times New Roman" w:cs="Times New Roman"/>
                <w:i/>
              </w:rPr>
              <w:t>ex</w:t>
            </w:r>
            <w:proofErr w:type="spellEnd"/>
            <w:r w:rsidRPr="00DC34FD">
              <w:rPr>
                <w:rFonts w:ascii="Times New Roman" w:eastAsia="Times New Roman" w:hAnsi="Times New Roman" w:cs="Times New Roman"/>
                <w:i/>
              </w:rPr>
              <w:t xml:space="preserve"> – </w:t>
            </w:r>
            <w:proofErr w:type="spellStart"/>
            <w:r w:rsidRPr="00DC34FD">
              <w:rPr>
                <w:rFonts w:ascii="Times New Roman" w:eastAsia="Times New Roman" w:hAnsi="Times New Roman" w:cs="Times New Roman"/>
                <w:i/>
              </w:rPr>
              <w:t>ante</w:t>
            </w:r>
            <w:proofErr w:type="spellEnd"/>
            <w:r w:rsidRPr="00DC34FD">
              <w:rPr>
                <w:rFonts w:ascii="Times New Roman" w:eastAsia="Times New Roman" w:hAnsi="Times New Roman" w:cs="Times New Roman"/>
                <w:i/>
              </w:rPr>
              <w:t xml:space="preserve">) </w:t>
            </w:r>
            <w:r w:rsidRPr="00DC34FD">
              <w:rPr>
                <w:rFonts w:ascii="Times New Roman" w:eastAsia="Times New Roman" w:hAnsi="Times New Roman" w:cs="Times New Roman"/>
              </w:rPr>
              <w:t xml:space="preserve"> ietekmes novērtējuma ziņojumā (turpmāk – anotācija). Papildus lūdzam  anotācijā skaidrot šādas reģistrācijas tiesiskās sekas.</w:t>
            </w:r>
          </w:p>
        </w:tc>
        <w:tc>
          <w:tcPr>
            <w:tcW w:w="2410" w:type="dxa"/>
            <w:gridSpan w:val="2"/>
            <w:vMerge w:val="restart"/>
            <w:tcBorders>
              <w:top w:val="single" w:sz="4" w:space="0" w:color="auto"/>
              <w:left w:val="single" w:sz="4" w:space="0" w:color="auto"/>
              <w:right w:val="single" w:sz="4" w:space="0" w:color="auto"/>
            </w:tcBorders>
          </w:tcPr>
          <w:p w14:paraId="7CF2C833" w14:textId="06A7742E" w:rsidR="002B5DB3" w:rsidRPr="00DC34FD" w:rsidRDefault="002B5DB3" w:rsidP="002B5DB3">
            <w:pPr>
              <w:pStyle w:val="naisc"/>
              <w:spacing w:before="0" w:after="0"/>
              <w:jc w:val="left"/>
              <w:rPr>
                <w:sz w:val="22"/>
                <w:szCs w:val="22"/>
              </w:rPr>
            </w:pPr>
            <w:r w:rsidRPr="00DC34FD">
              <w:rPr>
                <w:b/>
                <w:sz w:val="22"/>
                <w:szCs w:val="22"/>
              </w:rPr>
              <w:t>Ņemts vērā.</w:t>
            </w:r>
            <w:r w:rsidRPr="00DC34FD">
              <w:rPr>
                <w:sz w:val="22"/>
                <w:szCs w:val="22"/>
              </w:rPr>
              <w:t xml:space="preserve"> </w:t>
            </w:r>
            <w:r>
              <w:rPr>
                <w:sz w:val="22"/>
                <w:szCs w:val="22"/>
              </w:rPr>
              <w:t>Precizēt</w:t>
            </w:r>
            <w:r w:rsidRPr="00DC34FD">
              <w:rPr>
                <w:sz w:val="22"/>
                <w:szCs w:val="22"/>
              </w:rPr>
              <w:t>a anotācija</w:t>
            </w:r>
            <w:r>
              <w:rPr>
                <w:sz w:val="22"/>
                <w:szCs w:val="22"/>
              </w:rPr>
              <w:t xml:space="preserve"> un 25. punkts.</w:t>
            </w:r>
          </w:p>
        </w:tc>
        <w:tc>
          <w:tcPr>
            <w:tcW w:w="4652" w:type="dxa"/>
            <w:vMerge w:val="restart"/>
            <w:tcBorders>
              <w:top w:val="single" w:sz="4" w:space="0" w:color="auto"/>
              <w:left w:val="single" w:sz="4" w:space="0" w:color="auto"/>
            </w:tcBorders>
          </w:tcPr>
          <w:p w14:paraId="13C04559" w14:textId="77777777" w:rsidR="002B5DB3" w:rsidRPr="00DC34FD" w:rsidRDefault="002B5DB3" w:rsidP="00EE02AA">
            <w:pPr>
              <w:pStyle w:val="ListParagraph"/>
              <w:numPr>
                <w:ilvl w:val="0"/>
                <w:numId w:val="30"/>
              </w:numPr>
              <w:spacing w:after="0" w:line="240" w:lineRule="auto"/>
              <w:jc w:val="both"/>
              <w:rPr>
                <w:rFonts w:ascii="Times New Roman" w:hAnsi="Times New Roman"/>
              </w:rPr>
            </w:pPr>
            <w:r w:rsidRPr="00DC34FD">
              <w:rPr>
                <w:rFonts w:ascii="Times New Roman" w:hAnsi="Times New Roman"/>
              </w:rPr>
              <w:t>Publisko spēļu laukumu atļauts ierīkot un nodrošināt tā pieejamību par maksu vai bez maksas, tikai pastāvot šādiem nosacījumiem:</w:t>
            </w:r>
          </w:p>
          <w:p w14:paraId="52313183" w14:textId="77777777" w:rsidR="002B5DB3" w:rsidRPr="00DC34FD" w:rsidRDefault="002B5DB3" w:rsidP="00EE02AA">
            <w:pPr>
              <w:pStyle w:val="naislab"/>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DC34FD">
              <w:rPr>
                <w:sz w:val="22"/>
                <w:szCs w:val="22"/>
              </w:rPr>
              <w:t>ir veikta tā reģistrācija, ja saskaņā ar šiem noteikumiem tāda ir jāveic.</w:t>
            </w:r>
          </w:p>
          <w:p w14:paraId="08F735BB" w14:textId="7D3CFB4B" w:rsidR="002B5DB3" w:rsidRPr="00DC34FD" w:rsidRDefault="002B5DB3" w:rsidP="00EE02AA">
            <w:pPr>
              <w:spacing w:after="0" w:line="240" w:lineRule="auto"/>
              <w:jc w:val="both"/>
              <w:rPr>
                <w:rFonts w:ascii="Times New Roman" w:hAnsi="Times New Roman" w:cs="Times New Roman"/>
              </w:rPr>
            </w:pPr>
            <w:r>
              <w:rPr>
                <w:rFonts w:ascii="Times New Roman" w:hAnsi="Times New Roman" w:cs="Times New Roman"/>
              </w:rPr>
              <w:t xml:space="preserve">25. </w:t>
            </w:r>
            <w:r w:rsidRPr="00EE02AA">
              <w:rPr>
                <w:rFonts w:ascii="Times New Roman" w:hAnsi="Times New Roman" w:cs="Times New Roman"/>
              </w:rPr>
              <w:t>Centram identificējot publisku spēļu un rekreācijas laukumu, kurš nav reģistrēts vai kura dati nav aktualizēti reģistrā, Centrs veic par to atzīmi reģistrā Centra konstatēto datu apjomā un pieprasa tā valdītājam iesniegt attiecīgu reģistrācijas pieteikumu</w:t>
            </w:r>
          </w:p>
        </w:tc>
      </w:tr>
      <w:tr w:rsidR="002B5DB3" w:rsidRPr="00DC34FD" w14:paraId="0102D4F8" w14:textId="77777777" w:rsidTr="00AF11CB">
        <w:trPr>
          <w:trHeight w:val="2152"/>
        </w:trPr>
        <w:tc>
          <w:tcPr>
            <w:tcW w:w="742" w:type="dxa"/>
            <w:vMerge/>
            <w:tcBorders>
              <w:left w:val="single" w:sz="4" w:space="0" w:color="auto"/>
              <w:bottom w:val="single" w:sz="4" w:space="0" w:color="auto"/>
              <w:right w:val="single" w:sz="4" w:space="0" w:color="auto"/>
            </w:tcBorders>
          </w:tcPr>
          <w:p w14:paraId="4F94B308" w14:textId="77777777" w:rsidR="002B5DB3" w:rsidRDefault="002B5DB3" w:rsidP="00741BD0">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16A515D9" w14:textId="77777777" w:rsidR="002B5DB3" w:rsidRPr="00DC34FD" w:rsidRDefault="002B5DB3" w:rsidP="007067CF">
            <w:pPr>
              <w:pStyle w:val="ListParagraph"/>
              <w:numPr>
                <w:ilvl w:val="0"/>
                <w:numId w:val="2"/>
              </w:numPr>
              <w:spacing w:after="0" w:line="240" w:lineRule="auto"/>
              <w:ind w:left="-81" w:firstLine="0"/>
              <w:jc w:val="both"/>
              <w:rPr>
                <w:rFonts w:ascii="Times New Roman" w:hAnsi="Times New Roman"/>
              </w:rPr>
            </w:pPr>
          </w:p>
        </w:tc>
        <w:tc>
          <w:tcPr>
            <w:tcW w:w="4311" w:type="dxa"/>
            <w:tcBorders>
              <w:top w:val="single" w:sz="4" w:space="0" w:color="auto"/>
              <w:left w:val="single" w:sz="4" w:space="0" w:color="auto"/>
              <w:bottom w:val="single" w:sz="4" w:space="0" w:color="auto"/>
              <w:right w:val="single" w:sz="4" w:space="0" w:color="auto"/>
            </w:tcBorders>
          </w:tcPr>
          <w:p w14:paraId="36E1F063" w14:textId="77777777" w:rsidR="002B5DB3" w:rsidRPr="002B5DB3" w:rsidRDefault="002B5DB3" w:rsidP="002B5DB3">
            <w:pPr>
              <w:spacing w:after="120" w:line="240" w:lineRule="auto"/>
              <w:ind w:firstLine="720"/>
              <w:jc w:val="both"/>
              <w:rPr>
                <w:rFonts w:ascii="Times New Roman" w:hAnsi="Times New Roman" w:cs="Times New Roman"/>
                <w:bCs/>
              </w:rPr>
            </w:pPr>
            <w:r w:rsidRPr="002B5DB3">
              <w:rPr>
                <w:rFonts w:ascii="Times New Roman" w:hAnsi="Times New Roman" w:cs="Times New Roman"/>
                <w:b/>
              </w:rPr>
              <w:t>(Par 2019. gada 15. jūlijā piecu darbdienu saskaņošanai nosūtīto precizēto tiesību akta projektu un izziņu)</w:t>
            </w:r>
          </w:p>
          <w:p w14:paraId="746BC7FE" w14:textId="77777777" w:rsidR="002B5DB3" w:rsidRPr="002B5DB3" w:rsidRDefault="002B5DB3" w:rsidP="002B5DB3">
            <w:pPr>
              <w:spacing w:after="120"/>
              <w:jc w:val="both"/>
              <w:rPr>
                <w:rFonts w:ascii="Times New Roman" w:hAnsi="Times New Roman" w:cs="Times New Roman"/>
                <w:color w:val="000000"/>
              </w:rPr>
            </w:pPr>
            <w:r w:rsidRPr="002B5DB3">
              <w:rPr>
                <w:rFonts w:ascii="Times New Roman" w:hAnsi="Times New Roman" w:cs="Times New Roman"/>
                <w:color w:val="000000"/>
              </w:rPr>
              <w:t>Tieslietu ministrija iepriekš savā atzinumā un saskaņošanas sanāksmē norādīja, ka šobrīd projekts (projekta 5.4. un 25. punkts) un anotācija paredz pretrunīgu informāciju, proti, vienā no projekta punktiem ir norādīts, ka spēļu laukumu reģistrācija ir nosacījums to uzstādīšanai, savukārt citā – ka Patērētāju tiesību aizsardzības centrs to var darīt pēc savas iniciatīvas.</w:t>
            </w:r>
          </w:p>
          <w:p w14:paraId="65E45EFF" w14:textId="77777777" w:rsidR="002B5DB3" w:rsidRPr="002B5DB3" w:rsidRDefault="002B5DB3" w:rsidP="002B5DB3">
            <w:pPr>
              <w:spacing w:after="120"/>
              <w:ind w:firstLine="720"/>
              <w:jc w:val="both"/>
              <w:rPr>
                <w:rFonts w:ascii="Times New Roman" w:hAnsi="Times New Roman" w:cs="Times New Roman"/>
                <w:color w:val="000000"/>
              </w:rPr>
            </w:pPr>
            <w:r w:rsidRPr="002B5DB3">
              <w:rPr>
                <w:rFonts w:ascii="Times New Roman" w:hAnsi="Times New Roman" w:cs="Times New Roman"/>
                <w:color w:val="000000"/>
              </w:rPr>
              <w:t xml:space="preserve">Ievērojot minēto, lūdzam atkārtoti precizēt projektu, kā arī precizēt anotācijā minēto apgalvojumu, ka, ja valdītājs nereģistrējas, tad "tas var liecināt par atbildības </w:t>
            </w:r>
            <w:r w:rsidRPr="002B5DB3">
              <w:rPr>
                <w:rFonts w:ascii="Times New Roman" w:hAnsi="Times New Roman" w:cs="Times New Roman"/>
                <w:color w:val="000000"/>
              </w:rPr>
              <w:lastRenderedPageBreak/>
              <w:t>neuzņemšanos par spēļu laukuma uzturēšanu un veicamajām korektīvajām darbībām riska novēršanai (ja tādas jāveic), un PTAC var attiecīgi pieņemt lēmumu atbilstoši normatīvajiem aktiem par preču un pakalpojumu drošumu, aizliedzot spēļu vai citu aktivitāšu iekārtas lietošanu un publiskā spēļu un rekreācijas laukuma piedāvāšanu lietošanai".</w:t>
            </w:r>
          </w:p>
          <w:p w14:paraId="5643D470" w14:textId="77777777" w:rsidR="002B5DB3" w:rsidRPr="002B5DB3" w:rsidRDefault="002B5DB3" w:rsidP="00F569C1">
            <w:pPr>
              <w:spacing w:after="0" w:line="240" w:lineRule="auto"/>
              <w:jc w:val="center"/>
              <w:rPr>
                <w:rFonts w:ascii="Times New Roman" w:eastAsia="Times New Roman" w:hAnsi="Times New Roman" w:cs="Times New Roman"/>
                <w:b/>
              </w:rPr>
            </w:pPr>
          </w:p>
        </w:tc>
        <w:tc>
          <w:tcPr>
            <w:tcW w:w="2410" w:type="dxa"/>
            <w:gridSpan w:val="2"/>
            <w:vMerge/>
            <w:tcBorders>
              <w:left w:val="single" w:sz="4" w:space="0" w:color="auto"/>
              <w:bottom w:val="single" w:sz="4" w:space="0" w:color="auto"/>
              <w:right w:val="single" w:sz="4" w:space="0" w:color="auto"/>
            </w:tcBorders>
          </w:tcPr>
          <w:p w14:paraId="0339A5C8" w14:textId="77777777" w:rsidR="002B5DB3" w:rsidRPr="00DC34FD" w:rsidRDefault="002B5DB3" w:rsidP="00A2509E">
            <w:pPr>
              <w:pStyle w:val="naisc"/>
              <w:spacing w:before="0" w:after="0"/>
              <w:jc w:val="left"/>
              <w:rPr>
                <w:b/>
                <w:sz w:val="22"/>
                <w:szCs w:val="22"/>
              </w:rPr>
            </w:pPr>
          </w:p>
        </w:tc>
        <w:tc>
          <w:tcPr>
            <w:tcW w:w="4652" w:type="dxa"/>
            <w:vMerge/>
            <w:tcBorders>
              <w:left w:val="single" w:sz="4" w:space="0" w:color="auto"/>
              <w:bottom w:val="single" w:sz="4" w:space="0" w:color="auto"/>
            </w:tcBorders>
          </w:tcPr>
          <w:p w14:paraId="55999C02" w14:textId="77777777" w:rsidR="002B5DB3" w:rsidRPr="00DC34FD" w:rsidRDefault="002B5DB3" w:rsidP="00EE02AA">
            <w:pPr>
              <w:pStyle w:val="ListParagraph"/>
              <w:numPr>
                <w:ilvl w:val="0"/>
                <w:numId w:val="30"/>
              </w:numPr>
              <w:spacing w:after="0" w:line="240" w:lineRule="auto"/>
              <w:jc w:val="both"/>
              <w:rPr>
                <w:rFonts w:ascii="Times New Roman" w:hAnsi="Times New Roman"/>
              </w:rPr>
            </w:pPr>
          </w:p>
        </w:tc>
      </w:tr>
      <w:tr w:rsidR="004E6FCB" w:rsidRPr="00DC34FD" w14:paraId="04B88FAB" w14:textId="77777777" w:rsidTr="00AF11CB">
        <w:tc>
          <w:tcPr>
            <w:tcW w:w="742" w:type="dxa"/>
            <w:tcBorders>
              <w:top w:val="single" w:sz="4" w:space="0" w:color="auto"/>
              <w:left w:val="single" w:sz="4" w:space="0" w:color="auto"/>
              <w:bottom w:val="single" w:sz="4" w:space="0" w:color="auto"/>
              <w:right w:val="single" w:sz="4" w:space="0" w:color="auto"/>
            </w:tcBorders>
          </w:tcPr>
          <w:p w14:paraId="36C771DE" w14:textId="2F0192BB" w:rsidR="004E6FCB" w:rsidRPr="00DC34FD" w:rsidRDefault="00E11FAE" w:rsidP="00741BD0">
            <w:pPr>
              <w:spacing w:after="0" w:line="240" w:lineRule="auto"/>
              <w:jc w:val="center"/>
              <w:rPr>
                <w:rFonts w:ascii="Times New Roman" w:hAnsi="Times New Roman" w:cs="Times New Roman"/>
              </w:rPr>
            </w:pPr>
            <w:r>
              <w:rPr>
                <w:rFonts w:ascii="Times New Roman" w:hAnsi="Times New Roman" w:cs="Times New Roman"/>
              </w:rPr>
              <w:t>7.</w:t>
            </w:r>
          </w:p>
        </w:tc>
        <w:tc>
          <w:tcPr>
            <w:tcW w:w="3370" w:type="dxa"/>
            <w:gridSpan w:val="2"/>
            <w:tcBorders>
              <w:top w:val="single" w:sz="4" w:space="0" w:color="auto"/>
              <w:left w:val="single" w:sz="4" w:space="0" w:color="auto"/>
              <w:bottom w:val="single" w:sz="4" w:space="0" w:color="auto"/>
              <w:right w:val="single" w:sz="4" w:space="0" w:color="auto"/>
            </w:tcBorders>
          </w:tcPr>
          <w:p w14:paraId="1C6819CF" w14:textId="315FE83B" w:rsidR="004E6FCB" w:rsidRPr="00DC34FD" w:rsidRDefault="001C6DE0" w:rsidP="001C6DE0">
            <w:pPr>
              <w:pStyle w:val="ListParagraph"/>
              <w:spacing w:after="0" w:line="240" w:lineRule="auto"/>
              <w:ind w:left="-81"/>
              <w:jc w:val="both"/>
              <w:rPr>
                <w:rFonts w:ascii="Times New Roman" w:hAnsi="Times New Roman"/>
              </w:rPr>
            </w:pPr>
            <w:r w:rsidRPr="00DC34FD">
              <w:rPr>
                <w:rFonts w:ascii="Times New Roman" w:hAnsi="Times New Roman"/>
              </w:rPr>
              <w:t>6. Publiskais spēļu laukums un tajā uzstādītā spēļu vai citu aktivitāšu iekārta, kas atbilst piemērojamo standartu vai to daļu prasībām (turpmāk – piemērojamie standarti), uzskatāma par atbilstošu tām šajos noteikumos minētajām būtiskajām drošuma prasībām, kuras aptver šie standarti.</w:t>
            </w:r>
          </w:p>
        </w:tc>
        <w:tc>
          <w:tcPr>
            <w:tcW w:w="4311" w:type="dxa"/>
            <w:tcBorders>
              <w:top w:val="single" w:sz="4" w:space="0" w:color="auto"/>
              <w:left w:val="single" w:sz="4" w:space="0" w:color="auto"/>
              <w:bottom w:val="single" w:sz="4" w:space="0" w:color="auto"/>
              <w:right w:val="single" w:sz="4" w:space="0" w:color="auto"/>
            </w:tcBorders>
          </w:tcPr>
          <w:p w14:paraId="09E699D0" w14:textId="59B5DF24" w:rsidR="00E11FAE" w:rsidRPr="00E11FAE" w:rsidRDefault="00E11FAE" w:rsidP="00E11FAE">
            <w:pPr>
              <w:spacing w:after="0" w:line="240" w:lineRule="auto"/>
              <w:jc w:val="center"/>
              <w:rPr>
                <w:rFonts w:ascii="Times New Roman" w:hAnsi="Times New Roman" w:cs="Times New Roman"/>
                <w:b/>
              </w:rPr>
            </w:pPr>
            <w:r>
              <w:rPr>
                <w:rFonts w:ascii="Times New Roman" w:hAnsi="Times New Roman" w:cs="Times New Roman"/>
                <w:b/>
              </w:rPr>
              <w:t>Latvijas Ainavu arhitektu asociācija</w:t>
            </w:r>
          </w:p>
          <w:p w14:paraId="60B2CA9A" w14:textId="6A66EEDE" w:rsidR="004E6FCB" w:rsidRPr="00DC34FD" w:rsidRDefault="004E6FCB" w:rsidP="004E6FCB">
            <w:pPr>
              <w:spacing w:after="0" w:line="240" w:lineRule="auto"/>
              <w:jc w:val="both"/>
              <w:rPr>
                <w:rFonts w:ascii="Times New Roman" w:eastAsia="Times New Roman" w:hAnsi="Times New Roman" w:cs="Times New Roman"/>
                <w:b/>
              </w:rPr>
            </w:pPr>
            <w:r w:rsidRPr="00DC34FD">
              <w:rPr>
                <w:rFonts w:ascii="Times New Roman" w:hAnsi="Times New Roman" w:cs="Times New Roman"/>
              </w:rPr>
              <w:t xml:space="preserve">Noteikumu 6. punktā nav skaidri pateikts, ka standartos noteiktās prasības ir būtiskākas, par šajos Noteikumos noteiktajām prasībām. Noteikumos iekļautās prasības ir pārāk vispārīgas un viegli interpretējamas, savukārt standartos norādītā informācija tik plašu interpretāciju par drošības apsvērumiem nepieļauj, un sniedz detalizētus drošības prasību aprakstus. Par svarīgākām nosakot Noteikumos aprakstītās drošuma prasības, tiks veicināta neatbilstošas dokumentācijas izstrāde veidojot iepirkumus par jaunu rotaļu iekārtu izveidi, kas vēlāk radīs </w:t>
            </w:r>
            <w:proofErr w:type="spellStart"/>
            <w:r w:rsidRPr="00DC34FD">
              <w:rPr>
                <w:rFonts w:ascii="Times New Roman" w:hAnsi="Times New Roman" w:cs="Times New Roman"/>
              </w:rPr>
              <w:t>būtisksu</w:t>
            </w:r>
            <w:proofErr w:type="spellEnd"/>
            <w:r w:rsidRPr="00DC34FD">
              <w:rPr>
                <w:rFonts w:ascii="Times New Roman" w:hAnsi="Times New Roman" w:cs="Times New Roman"/>
              </w:rPr>
              <w:t xml:space="preserve"> riskus neatbilstošu rotaļu laukumu izveidē un to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pārbaužu veikšanas rezultātos. Noteikumu 6. punkts ir precizējams: 6. Publiskais spēļu laukums ir uzskatāms par atbilstošu, ja tā izveide ir veikta piemērojot kādu no atbilstošās jomas nacionālajiem vai starptautiskiem standartiem </w:t>
            </w:r>
            <w:r w:rsidRPr="00DC34FD">
              <w:rPr>
                <w:rFonts w:ascii="Times New Roman" w:hAnsi="Times New Roman" w:cs="Times New Roman"/>
                <w:strike/>
              </w:rPr>
              <w:t xml:space="preserve">un tajā uzstādītās spēļu vai citu aktivitāšu iekārtas ir uzstādītas atbilstoši ražotāja </w:t>
            </w:r>
            <w:r w:rsidRPr="00DC34FD">
              <w:rPr>
                <w:rFonts w:ascii="Times New Roman" w:hAnsi="Times New Roman" w:cs="Times New Roman"/>
                <w:strike/>
              </w:rPr>
              <w:lastRenderedPageBreak/>
              <w:t>noteiktajām prasībām. un tajā uzstādītā spēļu vai citu aktivitāšu iekārta, kas atbilst piemērojamo standartu vai to daļu prasībām (turpmāk – piemērojamie standarti), uzskatāma par atbilstošu tām šajos noteikumos minētajām būtiskajām drošuma prasībām, kuras aptver šie standarti</w:t>
            </w:r>
            <w:r w:rsidRPr="00DC34FD">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642A0DDD" w14:textId="77777777" w:rsidR="001C6DE0" w:rsidRPr="00DC34FD" w:rsidRDefault="001C6DE0" w:rsidP="00A2509E">
            <w:pPr>
              <w:pStyle w:val="naisc"/>
              <w:spacing w:before="0" w:after="0"/>
              <w:jc w:val="left"/>
              <w:rPr>
                <w:b/>
                <w:sz w:val="22"/>
                <w:szCs w:val="22"/>
              </w:rPr>
            </w:pPr>
            <w:r w:rsidRPr="00DC34FD">
              <w:rPr>
                <w:b/>
                <w:sz w:val="22"/>
                <w:szCs w:val="22"/>
              </w:rPr>
              <w:lastRenderedPageBreak/>
              <w:t>Panākta vienošanās.</w:t>
            </w:r>
          </w:p>
          <w:p w14:paraId="46135CD2" w14:textId="059C9C6F" w:rsidR="004E6FCB" w:rsidRPr="00DC34FD" w:rsidRDefault="001C6DE0" w:rsidP="00A2509E">
            <w:pPr>
              <w:pStyle w:val="naisc"/>
              <w:spacing w:before="0" w:after="0"/>
              <w:jc w:val="left"/>
              <w:rPr>
                <w:b/>
                <w:sz w:val="22"/>
                <w:szCs w:val="22"/>
              </w:rPr>
            </w:pPr>
            <w:r w:rsidRPr="00DC34FD">
              <w:rPr>
                <w:sz w:val="22"/>
                <w:szCs w:val="22"/>
              </w:rPr>
              <w:t>Noteikumu projektā nosaka pamatprasības. Tehniskos raksturlielumus satur standarti, kuru piemērošana nodrošina atbilstības prezumpciju.</w:t>
            </w:r>
          </w:p>
        </w:tc>
        <w:tc>
          <w:tcPr>
            <w:tcW w:w="4652" w:type="dxa"/>
            <w:tcBorders>
              <w:top w:val="single" w:sz="4" w:space="0" w:color="auto"/>
              <w:left w:val="single" w:sz="4" w:space="0" w:color="auto"/>
              <w:bottom w:val="single" w:sz="4" w:space="0" w:color="auto"/>
            </w:tcBorders>
          </w:tcPr>
          <w:p w14:paraId="6FDCCD30" w14:textId="79E5C824" w:rsidR="004E6FCB" w:rsidRPr="00DC34FD" w:rsidRDefault="001C6DE0" w:rsidP="00F81455">
            <w:pPr>
              <w:spacing w:after="0" w:line="240" w:lineRule="auto"/>
              <w:jc w:val="both"/>
              <w:rPr>
                <w:rFonts w:ascii="Times New Roman" w:hAnsi="Times New Roman" w:cs="Times New Roman"/>
              </w:rPr>
            </w:pPr>
            <w:r w:rsidRPr="00DC34FD">
              <w:rPr>
                <w:rFonts w:ascii="Times New Roman" w:hAnsi="Times New Roman" w:cs="Times New Roman"/>
              </w:rPr>
              <w:t xml:space="preserve">6. Publiskais spēļu </w:t>
            </w:r>
            <w:r w:rsidR="00CC381C" w:rsidRPr="00DC34FD">
              <w:rPr>
                <w:rFonts w:ascii="Times New Roman" w:hAnsi="Times New Roman" w:cs="Times New Roman"/>
              </w:rPr>
              <w:t xml:space="preserve">un rekreācijas </w:t>
            </w:r>
            <w:r w:rsidRPr="00DC34FD">
              <w:rPr>
                <w:rFonts w:ascii="Times New Roman" w:hAnsi="Times New Roman" w:cs="Times New Roman"/>
              </w:rPr>
              <w:t>laukums un tajā uzstādītā spēļu vai citu aktivitāšu iekārta, kas atbilst piemērojamo standartu vai to daļu prasībām (turpmāk – piemērojamie standarti), uzskatāma par atbilstošu tām šajos noteikumos minētajām būtiskajām drošuma prasībām, kuras aptver šie standarti.</w:t>
            </w:r>
          </w:p>
        </w:tc>
      </w:tr>
      <w:tr w:rsidR="00AC6612" w:rsidRPr="00DC34FD" w14:paraId="04EDC0D8" w14:textId="77777777" w:rsidTr="00AF11CB">
        <w:trPr>
          <w:trHeight w:val="2528"/>
        </w:trPr>
        <w:tc>
          <w:tcPr>
            <w:tcW w:w="742" w:type="dxa"/>
            <w:vMerge w:val="restart"/>
            <w:tcBorders>
              <w:top w:val="single" w:sz="4" w:space="0" w:color="auto"/>
              <w:left w:val="single" w:sz="4" w:space="0" w:color="auto"/>
              <w:right w:val="single" w:sz="4" w:space="0" w:color="auto"/>
            </w:tcBorders>
          </w:tcPr>
          <w:p w14:paraId="550687B5" w14:textId="1B2D5885" w:rsidR="00AC6612" w:rsidRPr="00DC34FD" w:rsidRDefault="0054303E" w:rsidP="00AA3595">
            <w:pPr>
              <w:spacing w:after="0" w:line="240" w:lineRule="auto"/>
              <w:jc w:val="center"/>
              <w:rPr>
                <w:rFonts w:ascii="Times New Roman" w:hAnsi="Times New Roman" w:cs="Times New Roman"/>
              </w:rPr>
            </w:pPr>
            <w:r>
              <w:rPr>
                <w:rFonts w:ascii="Times New Roman" w:hAnsi="Times New Roman" w:cs="Times New Roman"/>
              </w:rPr>
              <w:t>8.</w:t>
            </w:r>
          </w:p>
        </w:tc>
        <w:tc>
          <w:tcPr>
            <w:tcW w:w="3370" w:type="dxa"/>
            <w:gridSpan w:val="2"/>
            <w:vMerge w:val="restart"/>
            <w:tcBorders>
              <w:top w:val="single" w:sz="4" w:space="0" w:color="auto"/>
              <w:left w:val="single" w:sz="4" w:space="0" w:color="auto"/>
              <w:right w:val="single" w:sz="4" w:space="0" w:color="auto"/>
            </w:tcBorders>
          </w:tcPr>
          <w:p w14:paraId="7690FDEC" w14:textId="36AA554D" w:rsidR="00AC6612" w:rsidRPr="00DC34FD" w:rsidRDefault="00AC6612" w:rsidP="00AA3595">
            <w:pPr>
              <w:pStyle w:val="ListParagraph"/>
              <w:spacing w:after="0" w:line="240" w:lineRule="auto"/>
              <w:ind w:left="-81"/>
              <w:jc w:val="both"/>
              <w:rPr>
                <w:rFonts w:ascii="Times New Roman" w:hAnsi="Times New Roman"/>
              </w:rPr>
            </w:pPr>
            <w:r w:rsidRPr="00DC34FD">
              <w:rPr>
                <w:rFonts w:ascii="Times New Roman" w:hAnsi="Times New Roman"/>
              </w:rPr>
              <w:t>7. Nacionālā standartizācijas institūcija pēc Ekonomikas ministrijas ieteikuma savā tīmekļa vietnē publicē to piemērojamo standartu sarakstu, kurus var piemērot šo noteikumu prasību izpildei.</w:t>
            </w:r>
          </w:p>
        </w:tc>
        <w:tc>
          <w:tcPr>
            <w:tcW w:w="4311" w:type="dxa"/>
            <w:tcBorders>
              <w:top w:val="single" w:sz="4" w:space="0" w:color="auto"/>
              <w:left w:val="single" w:sz="4" w:space="0" w:color="auto"/>
              <w:bottom w:val="single" w:sz="4" w:space="0" w:color="auto"/>
              <w:right w:val="single" w:sz="4" w:space="0" w:color="auto"/>
            </w:tcBorders>
          </w:tcPr>
          <w:p w14:paraId="32DD38F9" w14:textId="77777777" w:rsidR="00AC6612" w:rsidRPr="00DC34FD" w:rsidRDefault="00AC6612" w:rsidP="00AA3595">
            <w:pPr>
              <w:pStyle w:val="CommentText"/>
              <w:spacing w:before="60" w:after="0"/>
              <w:jc w:val="center"/>
              <w:rPr>
                <w:b/>
                <w:sz w:val="22"/>
                <w:szCs w:val="22"/>
              </w:rPr>
            </w:pPr>
            <w:r w:rsidRPr="00DC34FD">
              <w:rPr>
                <w:b/>
                <w:sz w:val="22"/>
                <w:szCs w:val="22"/>
              </w:rPr>
              <w:t>Latvijas Lielo pilsētu asociācija</w:t>
            </w:r>
          </w:p>
          <w:p w14:paraId="336A3867" w14:textId="1191AEA5" w:rsidR="00AC6612" w:rsidRPr="00DC34FD" w:rsidRDefault="00AC6612" w:rsidP="00AA3595">
            <w:pPr>
              <w:spacing w:after="0" w:line="240" w:lineRule="auto"/>
              <w:jc w:val="both"/>
              <w:rPr>
                <w:rFonts w:ascii="Times New Roman" w:eastAsia="Times New Roman" w:hAnsi="Times New Roman" w:cs="Times New Roman"/>
                <w:b/>
              </w:rPr>
            </w:pPr>
            <w:r w:rsidRPr="00DC34FD">
              <w:rPr>
                <w:rFonts w:ascii="Times New Roman" w:hAnsi="Times New Roman" w:cs="Times New Roman"/>
              </w:rPr>
              <w:t>Formulējums “pēc Ekonomikas ministrijas ieteikuma” – neatbilst normatīvā akta tehnikai. Iesakām svītrot. Kā arī rosinām s</w:t>
            </w:r>
            <w:r w:rsidRPr="00DC34FD">
              <w:rPr>
                <w:rFonts w:ascii="Times New Roman" w:hAnsi="Times New Roman" w:cs="Times New Roman"/>
                <w:bCs/>
              </w:rPr>
              <w:t>vītrot vārdu “sarakstu”, punktā nosakot, ka ir jānodrošina standartu publikāciju, lai spēļu laukumu apsaimniekotājs (pašvaldība) varētu brīvi iepazīties ar standartiem. Standartiem nav jābūt maksas dokumentam, it īpaši, ja tiek prasīta to ievērošana.</w:t>
            </w:r>
          </w:p>
        </w:tc>
        <w:tc>
          <w:tcPr>
            <w:tcW w:w="2410" w:type="dxa"/>
            <w:gridSpan w:val="2"/>
            <w:vMerge w:val="restart"/>
            <w:tcBorders>
              <w:top w:val="single" w:sz="4" w:space="0" w:color="auto"/>
              <w:left w:val="single" w:sz="4" w:space="0" w:color="auto"/>
              <w:right w:val="single" w:sz="4" w:space="0" w:color="auto"/>
            </w:tcBorders>
          </w:tcPr>
          <w:p w14:paraId="735AF9E0" w14:textId="77777777" w:rsidR="00AC6612" w:rsidRPr="00DC34FD" w:rsidRDefault="00AC6612" w:rsidP="0087453C">
            <w:pPr>
              <w:pStyle w:val="naisc"/>
              <w:spacing w:before="0" w:after="0"/>
              <w:jc w:val="both"/>
              <w:rPr>
                <w:sz w:val="22"/>
                <w:szCs w:val="22"/>
              </w:rPr>
            </w:pPr>
            <w:r w:rsidRPr="00DC34FD">
              <w:rPr>
                <w:b/>
                <w:sz w:val="22"/>
                <w:szCs w:val="22"/>
              </w:rPr>
              <w:t>Panākta vienošanās.</w:t>
            </w:r>
          </w:p>
          <w:p w14:paraId="02762804" w14:textId="1F72595A" w:rsidR="00AC6612" w:rsidRPr="00DC34FD" w:rsidRDefault="00AC6612" w:rsidP="00AA3595">
            <w:pPr>
              <w:pStyle w:val="naisc"/>
              <w:spacing w:before="0" w:after="0"/>
              <w:jc w:val="left"/>
              <w:rPr>
                <w:sz w:val="22"/>
                <w:szCs w:val="22"/>
              </w:rPr>
            </w:pPr>
            <w:r w:rsidRPr="00DC34FD">
              <w:rPr>
                <w:sz w:val="22"/>
                <w:szCs w:val="22"/>
              </w:rPr>
              <w:t>Formulējums atbilst gan juridiskajai tehnikai, gan līdzīgiem normatīvajiem aktiem, gan ar Ministru kabineta 2016. gada 21. septembra rīkojumu Nr. 534 atbalstītajam konceptuālajam ziņojumam “Par Latvijas nacionālās standartizācijas sistēmas pilnveidošanu”.</w:t>
            </w:r>
          </w:p>
          <w:p w14:paraId="0D029007" w14:textId="625E397B" w:rsidR="00AC6612" w:rsidRPr="00DC34FD" w:rsidRDefault="00AC6612" w:rsidP="00AA3595">
            <w:pPr>
              <w:pStyle w:val="naisc"/>
              <w:spacing w:before="0" w:after="0"/>
              <w:jc w:val="left"/>
              <w:rPr>
                <w:sz w:val="22"/>
                <w:szCs w:val="22"/>
              </w:rPr>
            </w:pPr>
            <w:r w:rsidRPr="00DC34FD">
              <w:rPr>
                <w:sz w:val="22"/>
                <w:szCs w:val="22"/>
              </w:rPr>
              <w:t>Ar Noteikumu projektu netiek prasīta standartu obligāta ievērošana.</w:t>
            </w:r>
          </w:p>
        </w:tc>
        <w:tc>
          <w:tcPr>
            <w:tcW w:w="4652" w:type="dxa"/>
            <w:vMerge w:val="restart"/>
            <w:tcBorders>
              <w:top w:val="single" w:sz="4" w:space="0" w:color="auto"/>
              <w:left w:val="single" w:sz="4" w:space="0" w:color="auto"/>
            </w:tcBorders>
          </w:tcPr>
          <w:p w14:paraId="365C1065" w14:textId="5D767703" w:rsidR="00AC6612" w:rsidRPr="00DC34FD" w:rsidRDefault="00AC6612" w:rsidP="00AA3595">
            <w:pPr>
              <w:spacing w:after="0" w:line="240" w:lineRule="auto"/>
              <w:jc w:val="both"/>
              <w:rPr>
                <w:rFonts w:ascii="Times New Roman" w:hAnsi="Times New Roman" w:cs="Times New Roman"/>
              </w:rPr>
            </w:pPr>
            <w:r w:rsidRPr="00DC34FD">
              <w:rPr>
                <w:rFonts w:ascii="Times New Roman" w:hAnsi="Times New Roman" w:cs="Times New Roman"/>
              </w:rPr>
              <w:t>7. Nacionālā standartizācijas institūcija pēc Ekonomikas ministrijas ieteikuma savā tīmekļa vietnē publicē to piemērojamo standartu sarakstu, kurus var piemērot šo noteikumu prasību izpildei.</w:t>
            </w:r>
          </w:p>
        </w:tc>
      </w:tr>
      <w:tr w:rsidR="00AC6612" w:rsidRPr="00DC34FD" w14:paraId="2E36553F" w14:textId="77777777" w:rsidTr="00AF11CB">
        <w:trPr>
          <w:trHeight w:val="1260"/>
        </w:trPr>
        <w:tc>
          <w:tcPr>
            <w:tcW w:w="742" w:type="dxa"/>
            <w:vMerge/>
            <w:tcBorders>
              <w:left w:val="single" w:sz="4" w:space="0" w:color="auto"/>
              <w:right w:val="single" w:sz="4" w:space="0" w:color="auto"/>
            </w:tcBorders>
          </w:tcPr>
          <w:p w14:paraId="44E03D10" w14:textId="77777777" w:rsidR="00AC6612" w:rsidRPr="00DC34FD" w:rsidRDefault="00AC6612" w:rsidP="00AA3595">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69936162" w14:textId="77777777" w:rsidR="00AC6612" w:rsidRPr="00DC34FD" w:rsidRDefault="00AC6612" w:rsidP="00AA3595">
            <w:pPr>
              <w:pStyle w:val="ListParagraph"/>
              <w:spacing w:after="0" w:line="240" w:lineRule="auto"/>
              <w:ind w:left="-81"/>
              <w:jc w:val="both"/>
              <w:rPr>
                <w:rFonts w:ascii="Times New Roman" w:hAnsi="Times New Roman"/>
              </w:rPr>
            </w:pPr>
          </w:p>
        </w:tc>
        <w:tc>
          <w:tcPr>
            <w:tcW w:w="4311" w:type="dxa"/>
            <w:tcBorders>
              <w:top w:val="single" w:sz="4" w:space="0" w:color="auto"/>
              <w:left w:val="single" w:sz="4" w:space="0" w:color="auto"/>
              <w:bottom w:val="single" w:sz="4" w:space="0" w:color="auto"/>
              <w:right w:val="single" w:sz="4" w:space="0" w:color="auto"/>
            </w:tcBorders>
          </w:tcPr>
          <w:p w14:paraId="488E989E" w14:textId="38CAA562" w:rsidR="00AC6612" w:rsidRPr="00DC34FD" w:rsidRDefault="00AC6612" w:rsidP="00D52C66">
            <w:pPr>
              <w:pStyle w:val="CommentText"/>
              <w:spacing w:before="60"/>
              <w:jc w:val="center"/>
              <w:rPr>
                <w:b/>
                <w:sz w:val="22"/>
                <w:szCs w:val="22"/>
              </w:rPr>
            </w:pPr>
            <w:r w:rsidRPr="00DC34FD">
              <w:rPr>
                <w:b/>
                <w:sz w:val="22"/>
                <w:szCs w:val="22"/>
              </w:rPr>
              <w:t>Latvijas Pašvaldību savienība</w:t>
            </w:r>
          </w:p>
          <w:p w14:paraId="06A0A620" w14:textId="4236BA1C" w:rsidR="00AC6612" w:rsidRPr="00DC34FD" w:rsidRDefault="00AC6612" w:rsidP="00D52C66">
            <w:pPr>
              <w:pStyle w:val="CommentText"/>
              <w:spacing w:before="60"/>
              <w:rPr>
                <w:sz w:val="22"/>
                <w:szCs w:val="22"/>
              </w:rPr>
            </w:pPr>
            <w:r w:rsidRPr="00DC34FD">
              <w:rPr>
                <w:sz w:val="22"/>
                <w:szCs w:val="22"/>
              </w:rPr>
              <w:t xml:space="preserve">Ar šiem noteikumiem nepamatoti tiek noteikts, ka standartu piemērošana ir obligāta.  </w:t>
            </w:r>
          </w:p>
          <w:p w14:paraId="560BCCE2" w14:textId="77777777" w:rsidR="00AC6612" w:rsidRPr="00DC34FD" w:rsidRDefault="00AC6612" w:rsidP="00AA3595">
            <w:pPr>
              <w:pStyle w:val="CommentText"/>
              <w:spacing w:before="60" w:after="0"/>
              <w:jc w:val="center"/>
              <w:rPr>
                <w:b/>
                <w:sz w:val="22"/>
                <w:szCs w:val="22"/>
              </w:rPr>
            </w:pPr>
          </w:p>
        </w:tc>
        <w:tc>
          <w:tcPr>
            <w:tcW w:w="2410" w:type="dxa"/>
            <w:gridSpan w:val="2"/>
            <w:vMerge/>
            <w:tcBorders>
              <w:left w:val="single" w:sz="4" w:space="0" w:color="auto"/>
              <w:right w:val="single" w:sz="4" w:space="0" w:color="auto"/>
            </w:tcBorders>
          </w:tcPr>
          <w:p w14:paraId="1DBFE39A" w14:textId="77777777" w:rsidR="00AC6612" w:rsidRPr="00DC34FD" w:rsidRDefault="00AC6612" w:rsidP="0087453C">
            <w:pPr>
              <w:pStyle w:val="naisc"/>
              <w:spacing w:before="0" w:after="0"/>
              <w:jc w:val="both"/>
              <w:rPr>
                <w:b/>
                <w:sz w:val="22"/>
                <w:szCs w:val="22"/>
              </w:rPr>
            </w:pPr>
          </w:p>
        </w:tc>
        <w:tc>
          <w:tcPr>
            <w:tcW w:w="4652" w:type="dxa"/>
            <w:vMerge/>
            <w:tcBorders>
              <w:left w:val="single" w:sz="4" w:space="0" w:color="auto"/>
            </w:tcBorders>
          </w:tcPr>
          <w:p w14:paraId="658B5B31" w14:textId="77777777" w:rsidR="00AC6612" w:rsidRPr="00DC34FD" w:rsidRDefault="00AC6612" w:rsidP="00AA3595">
            <w:pPr>
              <w:spacing w:after="0" w:line="240" w:lineRule="auto"/>
              <w:jc w:val="both"/>
              <w:rPr>
                <w:rFonts w:ascii="Times New Roman" w:hAnsi="Times New Roman" w:cs="Times New Roman"/>
              </w:rPr>
            </w:pPr>
          </w:p>
        </w:tc>
      </w:tr>
      <w:tr w:rsidR="00AC6612" w:rsidRPr="00DC34FD" w14:paraId="50AFF54D" w14:textId="77777777" w:rsidTr="00AF11CB">
        <w:trPr>
          <w:trHeight w:val="1260"/>
        </w:trPr>
        <w:tc>
          <w:tcPr>
            <w:tcW w:w="742" w:type="dxa"/>
            <w:vMerge/>
            <w:tcBorders>
              <w:left w:val="single" w:sz="4" w:space="0" w:color="auto"/>
              <w:bottom w:val="single" w:sz="4" w:space="0" w:color="auto"/>
              <w:right w:val="single" w:sz="4" w:space="0" w:color="auto"/>
            </w:tcBorders>
          </w:tcPr>
          <w:p w14:paraId="26041FE2" w14:textId="77777777" w:rsidR="00AC6612" w:rsidRPr="00DC34FD" w:rsidRDefault="00AC6612" w:rsidP="00AA3595">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0747FAA6" w14:textId="77777777" w:rsidR="00AC6612" w:rsidRPr="00DC34FD" w:rsidRDefault="00AC6612" w:rsidP="00AA3595">
            <w:pPr>
              <w:pStyle w:val="ListParagraph"/>
              <w:spacing w:after="0" w:line="240" w:lineRule="auto"/>
              <w:ind w:left="-81"/>
              <w:jc w:val="both"/>
              <w:rPr>
                <w:rFonts w:ascii="Times New Roman" w:hAnsi="Times New Roman"/>
              </w:rPr>
            </w:pPr>
          </w:p>
        </w:tc>
        <w:tc>
          <w:tcPr>
            <w:tcW w:w="4311" w:type="dxa"/>
            <w:tcBorders>
              <w:top w:val="single" w:sz="4" w:space="0" w:color="auto"/>
              <w:left w:val="single" w:sz="4" w:space="0" w:color="auto"/>
              <w:bottom w:val="single" w:sz="4" w:space="0" w:color="auto"/>
              <w:right w:val="single" w:sz="4" w:space="0" w:color="auto"/>
            </w:tcBorders>
          </w:tcPr>
          <w:p w14:paraId="3278333A" w14:textId="77777777" w:rsidR="00AC6612" w:rsidRPr="00DC34FD" w:rsidRDefault="00AC6612" w:rsidP="00AC6612">
            <w:pPr>
              <w:autoSpaceDE w:val="0"/>
              <w:autoSpaceDN w:val="0"/>
              <w:adjustRightInd w:val="0"/>
              <w:spacing w:after="0" w:line="240" w:lineRule="auto"/>
              <w:rPr>
                <w:rFonts w:ascii="Arial" w:hAnsi="Arial" w:cs="Arial"/>
                <w:color w:val="000000"/>
                <w:sz w:val="24"/>
                <w:szCs w:val="24"/>
              </w:rPr>
            </w:pPr>
          </w:p>
          <w:p w14:paraId="485217AE" w14:textId="58B7E661" w:rsidR="00AC6612" w:rsidRPr="00DC34FD" w:rsidRDefault="00AC6612" w:rsidP="00AC6612">
            <w:pPr>
              <w:autoSpaceDE w:val="0"/>
              <w:autoSpaceDN w:val="0"/>
              <w:adjustRightInd w:val="0"/>
              <w:spacing w:after="0" w:line="240" w:lineRule="auto"/>
              <w:jc w:val="both"/>
              <w:rPr>
                <w:rFonts w:ascii="Times New Roman" w:hAnsi="Times New Roman" w:cs="Times New Roman"/>
                <w:b/>
                <w:color w:val="000000"/>
              </w:rPr>
            </w:pPr>
            <w:r w:rsidRPr="00DC34FD">
              <w:rPr>
                <w:rFonts w:ascii="Arial" w:hAnsi="Arial" w:cs="Arial"/>
                <w:color w:val="000000"/>
                <w:sz w:val="24"/>
                <w:szCs w:val="24"/>
              </w:rPr>
              <w:t xml:space="preserve"> </w:t>
            </w:r>
            <w:r w:rsidRPr="00DC34FD">
              <w:rPr>
                <w:rFonts w:ascii="Times New Roman" w:hAnsi="Times New Roman" w:cs="Times New Roman"/>
                <w:b/>
                <w:color w:val="000000"/>
              </w:rPr>
              <w:t>Latvijas Ainavu arhitektu asociācija</w:t>
            </w:r>
          </w:p>
          <w:p w14:paraId="6F6758BE" w14:textId="69AEE3E4" w:rsidR="00AC6612" w:rsidRPr="00DC34FD" w:rsidRDefault="00AC6612" w:rsidP="00AC6612">
            <w:pPr>
              <w:autoSpaceDE w:val="0"/>
              <w:autoSpaceDN w:val="0"/>
              <w:adjustRightInd w:val="0"/>
              <w:spacing w:after="0" w:line="240" w:lineRule="auto"/>
              <w:jc w:val="both"/>
              <w:rPr>
                <w:rFonts w:ascii="Arial" w:hAnsi="Arial" w:cs="Arial"/>
                <w:color w:val="000000"/>
              </w:rPr>
            </w:pPr>
            <w:r w:rsidRPr="00DC34FD">
              <w:rPr>
                <w:rFonts w:ascii="Times New Roman" w:hAnsi="Times New Roman" w:cs="Times New Roman"/>
                <w:color w:val="000000"/>
              </w:rPr>
              <w:t>Balstoties uz standartizācijas likuma 13. panta otrajā daļā noteikto - Ministru kabinets var noteikt obligāti piemērojamus Latvijas nacionālos standartus. Tādējādi, Noteikumu projektā ir iekļaujamas precīzas atsauces uz atsevišķiem standartiem, kuriem būtu jābūt.</w:t>
            </w:r>
          </w:p>
        </w:tc>
        <w:tc>
          <w:tcPr>
            <w:tcW w:w="2410" w:type="dxa"/>
            <w:gridSpan w:val="2"/>
            <w:vMerge/>
            <w:tcBorders>
              <w:left w:val="single" w:sz="4" w:space="0" w:color="auto"/>
              <w:bottom w:val="single" w:sz="4" w:space="0" w:color="auto"/>
              <w:right w:val="single" w:sz="4" w:space="0" w:color="auto"/>
            </w:tcBorders>
          </w:tcPr>
          <w:p w14:paraId="6AC451D4" w14:textId="77777777" w:rsidR="00AC6612" w:rsidRPr="00DC34FD" w:rsidRDefault="00AC6612" w:rsidP="0087453C">
            <w:pPr>
              <w:pStyle w:val="naisc"/>
              <w:spacing w:before="0" w:after="0"/>
              <w:jc w:val="both"/>
              <w:rPr>
                <w:b/>
                <w:sz w:val="22"/>
                <w:szCs w:val="22"/>
              </w:rPr>
            </w:pPr>
          </w:p>
        </w:tc>
        <w:tc>
          <w:tcPr>
            <w:tcW w:w="4652" w:type="dxa"/>
            <w:vMerge/>
            <w:tcBorders>
              <w:left w:val="single" w:sz="4" w:space="0" w:color="auto"/>
              <w:bottom w:val="single" w:sz="4" w:space="0" w:color="auto"/>
            </w:tcBorders>
          </w:tcPr>
          <w:p w14:paraId="088425EF" w14:textId="77777777" w:rsidR="00AC6612" w:rsidRPr="00DC34FD" w:rsidRDefault="00AC6612" w:rsidP="00AA3595">
            <w:pPr>
              <w:spacing w:after="0" w:line="240" w:lineRule="auto"/>
              <w:jc w:val="both"/>
              <w:rPr>
                <w:rFonts w:ascii="Times New Roman" w:hAnsi="Times New Roman" w:cs="Times New Roman"/>
              </w:rPr>
            </w:pPr>
          </w:p>
        </w:tc>
      </w:tr>
      <w:tr w:rsidR="00915061" w:rsidRPr="00DC34FD" w14:paraId="7D39B751" w14:textId="77777777" w:rsidTr="00AF11CB">
        <w:trPr>
          <w:trHeight w:val="1875"/>
        </w:trPr>
        <w:tc>
          <w:tcPr>
            <w:tcW w:w="742" w:type="dxa"/>
            <w:vMerge w:val="restart"/>
            <w:tcBorders>
              <w:top w:val="single" w:sz="4" w:space="0" w:color="auto"/>
              <w:left w:val="single" w:sz="4" w:space="0" w:color="auto"/>
              <w:right w:val="single" w:sz="4" w:space="0" w:color="auto"/>
            </w:tcBorders>
          </w:tcPr>
          <w:p w14:paraId="662C1C58" w14:textId="46AEB038" w:rsidR="00915061" w:rsidRPr="00DC34FD" w:rsidRDefault="00915061" w:rsidP="0087453C">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3370" w:type="dxa"/>
            <w:gridSpan w:val="2"/>
            <w:vMerge w:val="restart"/>
            <w:tcBorders>
              <w:top w:val="single" w:sz="4" w:space="0" w:color="auto"/>
              <w:left w:val="single" w:sz="4" w:space="0" w:color="auto"/>
              <w:right w:val="single" w:sz="4" w:space="0" w:color="auto"/>
            </w:tcBorders>
          </w:tcPr>
          <w:p w14:paraId="24E265C6" w14:textId="77777777" w:rsidR="00915061" w:rsidRPr="00DC34FD" w:rsidRDefault="00915061" w:rsidP="0087453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DC34FD">
              <w:rPr>
                <w:sz w:val="22"/>
                <w:szCs w:val="22"/>
              </w:rPr>
              <w:t>9. Publiskajā spēļu laukumā pārredzamā vietā vai gadījumā, ja ir viena spēļu vai citu aktivitāšu iekārta – uz iekārtas, izvieto informācijas plāksni ar šādu informāciju:</w:t>
            </w:r>
          </w:p>
          <w:p w14:paraId="45483F19" w14:textId="1C6731E7" w:rsidR="00915061" w:rsidRPr="00DC34FD" w:rsidRDefault="00915061" w:rsidP="0087453C">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w:t>
            </w:r>
          </w:p>
        </w:tc>
        <w:tc>
          <w:tcPr>
            <w:tcW w:w="4311" w:type="dxa"/>
            <w:tcBorders>
              <w:top w:val="single" w:sz="4" w:space="0" w:color="auto"/>
              <w:left w:val="single" w:sz="4" w:space="0" w:color="auto"/>
              <w:bottom w:val="single" w:sz="4" w:space="0" w:color="auto"/>
              <w:right w:val="single" w:sz="4" w:space="0" w:color="auto"/>
            </w:tcBorders>
          </w:tcPr>
          <w:p w14:paraId="68D38E90" w14:textId="77777777" w:rsidR="00915061" w:rsidRPr="00DC34FD" w:rsidRDefault="00915061" w:rsidP="0087453C">
            <w:pPr>
              <w:pStyle w:val="CommentText"/>
              <w:spacing w:before="60" w:after="0"/>
              <w:jc w:val="center"/>
              <w:rPr>
                <w:b/>
                <w:sz w:val="22"/>
                <w:szCs w:val="22"/>
              </w:rPr>
            </w:pPr>
            <w:r w:rsidRPr="00DC34FD">
              <w:rPr>
                <w:b/>
                <w:sz w:val="22"/>
                <w:szCs w:val="22"/>
              </w:rPr>
              <w:t>Latvijas Lielo pilsētu asociācija</w:t>
            </w:r>
          </w:p>
          <w:p w14:paraId="3DF21DA5" w14:textId="52115877" w:rsidR="00915061" w:rsidRPr="00DC34FD" w:rsidRDefault="00915061" w:rsidP="0087453C">
            <w:pPr>
              <w:pStyle w:val="CommentText"/>
              <w:jc w:val="both"/>
              <w:rPr>
                <w:sz w:val="22"/>
                <w:szCs w:val="22"/>
              </w:rPr>
            </w:pPr>
            <w:r w:rsidRPr="00DC34FD">
              <w:rPr>
                <w:sz w:val="22"/>
                <w:szCs w:val="22"/>
              </w:rPr>
              <w:t xml:space="preserve">Šajā punktā minēto informāciju izvieto pie visiem rotaļu laukumiem, arī pie tiem, kas, piemērojot LLPA piedāvāto 4. punkta redakciju, netiek reģistrēti. </w:t>
            </w:r>
          </w:p>
          <w:p w14:paraId="0C681BA9" w14:textId="77777777" w:rsidR="00915061" w:rsidRPr="00DC34FD" w:rsidRDefault="00915061" w:rsidP="0087453C">
            <w:pPr>
              <w:pStyle w:val="CommentText"/>
              <w:jc w:val="both"/>
              <w:rPr>
                <w:sz w:val="22"/>
                <w:szCs w:val="22"/>
              </w:rPr>
            </w:pPr>
            <w:r w:rsidRPr="00DC34FD">
              <w:rPr>
                <w:sz w:val="22"/>
                <w:szCs w:val="22"/>
              </w:rPr>
              <w:t>Vienlaikus, pamatojoties uz 13.03.2019. aizvadītājā sabiedriskās apspriešanas sanāksmē diskutēto, lūdzam 9. punktu papildināt ar apakšpunktu šādā redakcijā:</w:t>
            </w:r>
          </w:p>
          <w:p w14:paraId="7FA987D5" w14:textId="10F9D845" w:rsidR="00915061" w:rsidRPr="00DC34FD" w:rsidRDefault="00915061" w:rsidP="0087453C">
            <w:pPr>
              <w:spacing w:after="0" w:line="240" w:lineRule="auto"/>
              <w:jc w:val="both"/>
              <w:rPr>
                <w:rFonts w:ascii="Times New Roman" w:eastAsia="Times New Roman" w:hAnsi="Times New Roman" w:cs="Times New Roman"/>
                <w:b/>
              </w:rPr>
            </w:pPr>
            <w:r w:rsidRPr="00DC34FD">
              <w:rPr>
                <w:rFonts w:ascii="Times New Roman" w:hAnsi="Times New Roman" w:cs="Times New Roman"/>
                <w:i/>
              </w:rPr>
              <w:t>“9.5. spēļu laukumu īpašniekam/valdītājam ir tiesības izvietot citu papildus informāciju, ja tā nepieciešama spēļu laukumu drošas ekspluatācijas nolūkos.”</w:t>
            </w:r>
          </w:p>
        </w:tc>
        <w:tc>
          <w:tcPr>
            <w:tcW w:w="2410" w:type="dxa"/>
            <w:gridSpan w:val="2"/>
            <w:vMerge w:val="restart"/>
            <w:tcBorders>
              <w:top w:val="single" w:sz="4" w:space="0" w:color="auto"/>
              <w:left w:val="single" w:sz="4" w:space="0" w:color="auto"/>
              <w:right w:val="single" w:sz="4" w:space="0" w:color="auto"/>
            </w:tcBorders>
          </w:tcPr>
          <w:p w14:paraId="0573FFD7" w14:textId="77777777" w:rsidR="00915061" w:rsidRPr="00DC34FD" w:rsidRDefault="00915061" w:rsidP="0087453C">
            <w:pPr>
              <w:pStyle w:val="naisc"/>
              <w:spacing w:before="0" w:after="0"/>
              <w:jc w:val="both"/>
              <w:rPr>
                <w:sz w:val="22"/>
                <w:szCs w:val="22"/>
              </w:rPr>
            </w:pPr>
            <w:r w:rsidRPr="00DC34FD">
              <w:rPr>
                <w:b/>
                <w:sz w:val="22"/>
                <w:szCs w:val="22"/>
              </w:rPr>
              <w:t>Panākta vienošanās.</w:t>
            </w:r>
          </w:p>
          <w:p w14:paraId="25CCE9D8" w14:textId="3C63B478" w:rsidR="00915061" w:rsidRPr="00DC34FD" w:rsidRDefault="00670BAA" w:rsidP="0087453C">
            <w:pPr>
              <w:pStyle w:val="naisc"/>
              <w:spacing w:before="0" w:after="0"/>
              <w:jc w:val="both"/>
              <w:rPr>
                <w:sz w:val="22"/>
                <w:szCs w:val="22"/>
              </w:rPr>
            </w:pPr>
            <w:r>
              <w:rPr>
                <w:sz w:val="22"/>
                <w:szCs w:val="22"/>
              </w:rPr>
              <w:t>Papildināta anotācija, ka n</w:t>
            </w:r>
            <w:r w:rsidR="00915061" w:rsidRPr="00DC34FD">
              <w:rPr>
                <w:sz w:val="22"/>
                <w:szCs w:val="22"/>
              </w:rPr>
              <w:t>oteikumu projekts neliedz iespējas izvietot citu papildu informāciju</w:t>
            </w:r>
            <w:r w:rsidR="00915061">
              <w:rPr>
                <w:sz w:val="22"/>
                <w:szCs w:val="22"/>
              </w:rPr>
              <w:t xml:space="preserve"> (tai skaitā laukuma lietošanas noteikumus)</w:t>
            </w:r>
            <w:r w:rsidR="00915061" w:rsidRPr="00DC34FD">
              <w:rPr>
                <w:sz w:val="22"/>
                <w:szCs w:val="22"/>
              </w:rPr>
              <w:t>.</w:t>
            </w:r>
          </w:p>
        </w:tc>
        <w:tc>
          <w:tcPr>
            <w:tcW w:w="4652" w:type="dxa"/>
            <w:vMerge w:val="restart"/>
            <w:tcBorders>
              <w:top w:val="single" w:sz="4" w:space="0" w:color="auto"/>
              <w:left w:val="single" w:sz="4" w:space="0" w:color="auto"/>
            </w:tcBorders>
          </w:tcPr>
          <w:p w14:paraId="19BAA947" w14:textId="1591EDFA" w:rsidR="00915061" w:rsidRPr="00DC34FD" w:rsidRDefault="00915061" w:rsidP="0087453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DC34FD">
              <w:rPr>
                <w:sz w:val="22"/>
                <w:szCs w:val="22"/>
              </w:rPr>
              <w:t>9. Publiskajā spēļu un rekreācijas laukumā pārredzamā vietā vai gadījumā, ja ir viena spēļu vai citu aktivitāšu iekārta – uz iekārtas, izvieto informācijas plāksni ar šādu informāciju:</w:t>
            </w:r>
          </w:p>
          <w:p w14:paraId="4133D9DC" w14:textId="28FCB899" w:rsidR="00915061" w:rsidRPr="00DC34FD" w:rsidRDefault="00915061" w:rsidP="0087453C">
            <w:pPr>
              <w:spacing w:after="0" w:line="240" w:lineRule="auto"/>
              <w:jc w:val="both"/>
              <w:rPr>
                <w:rFonts w:ascii="Times New Roman" w:hAnsi="Times New Roman" w:cs="Times New Roman"/>
              </w:rPr>
            </w:pPr>
            <w:r w:rsidRPr="00DC34FD">
              <w:rPr>
                <w:rFonts w:ascii="Times New Roman" w:hAnsi="Times New Roman" w:cs="Times New Roman"/>
              </w:rPr>
              <w:t>[..]</w:t>
            </w:r>
          </w:p>
        </w:tc>
      </w:tr>
      <w:tr w:rsidR="00915061" w:rsidRPr="00DC34FD" w14:paraId="6D65C50F" w14:textId="77777777" w:rsidTr="00AF11CB">
        <w:trPr>
          <w:trHeight w:val="938"/>
        </w:trPr>
        <w:tc>
          <w:tcPr>
            <w:tcW w:w="742" w:type="dxa"/>
            <w:vMerge/>
            <w:tcBorders>
              <w:left w:val="single" w:sz="4" w:space="0" w:color="auto"/>
              <w:right w:val="single" w:sz="4" w:space="0" w:color="auto"/>
            </w:tcBorders>
          </w:tcPr>
          <w:p w14:paraId="3CDFC34F" w14:textId="77777777" w:rsidR="00915061" w:rsidRPr="00DC34FD" w:rsidRDefault="00915061" w:rsidP="0087453C">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6F5475DA" w14:textId="77777777" w:rsidR="00915061" w:rsidRPr="00DC34FD" w:rsidRDefault="00915061" w:rsidP="0087453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163A2954" w14:textId="4A9EDC18" w:rsidR="00915061" w:rsidRPr="00DC34FD" w:rsidRDefault="00915061" w:rsidP="001C6DE0">
            <w:pPr>
              <w:pStyle w:val="CommentText"/>
              <w:spacing w:before="60" w:after="0"/>
              <w:jc w:val="both"/>
              <w:rPr>
                <w:b/>
                <w:sz w:val="22"/>
                <w:szCs w:val="22"/>
              </w:rPr>
            </w:pPr>
            <w:r w:rsidRPr="00DC34FD">
              <w:rPr>
                <w:b/>
                <w:color w:val="000000"/>
                <w:sz w:val="22"/>
                <w:szCs w:val="22"/>
              </w:rPr>
              <w:t>Latvijas Ainavu arhitektu asociācija</w:t>
            </w:r>
            <w:r w:rsidRPr="00DC34FD">
              <w:rPr>
                <w:sz w:val="22"/>
                <w:szCs w:val="22"/>
              </w:rPr>
              <w:t xml:space="preserve"> Noteikumu 9. punkts ir papildināms ar 9.5. apakšpunktu sekojošā redakcijā: 9.5. citu informāciju (piemēram, pašvaldības policijas tālrunis, tuvākā publiski pieejamā tālruņa adrese u.tml.).</w:t>
            </w:r>
          </w:p>
        </w:tc>
        <w:tc>
          <w:tcPr>
            <w:tcW w:w="2410" w:type="dxa"/>
            <w:gridSpan w:val="2"/>
            <w:vMerge/>
            <w:tcBorders>
              <w:left w:val="single" w:sz="4" w:space="0" w:color="auto"/>
              <w:right w:val="single" w:sz="4" w:space="0" w:color="auto"/>
            </w:tcBorders>
          </w:tcPr>
          <w:p w14:paraId="50503C2E" w14:textId="77777777" w:rsidR="00915061" w:rsidRPr="00DC34FD" w:rsidRDefault="00915061" w:rsidP="0087453C">
            <w:pPr>
              <w:pStyle w:val="naisc"/>
              <w:spacing w:before="0" w:after="0"/>
              <w:jc w:val="both"/>
              <w:rPr>
                <w:b/>
                <w:sz w:val="22"/>
                <w:szCs w:val="22"/>
              </w:rPr>
            </w:pPr>
          </w:p>
        </w:tc>
        <w:tc>
          <w:tcPr>
            <w:tcW w:w="4652" w:type="dxa"/>
            <w:vMerge/>
            <w:tcBorders>
              <w:left w:val="single" w:sz="4" w:space="0" w:color="auto"/>
            </w:tcBorders>
          </w:tcPr>
          <w:p w14:paraId="3121812F" w14:textId="77777777" w:rsidR="00915061" w:rsidRPr="00DC34FD" w:rsidRDefault="00915061" w:rsidP="0087453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tc>
      </w:tr>
      <w:tr w:rsidR="00915061" w:rsidRPr="00DC34FD" w14:paraId="6C1C09A9" w14:textId="77777777" w:rsidTr="00AF11CB">
        <w:trPr>
          <w:trHeight w:val="937"/>
        </w:trPr>
        <w:tc>
          <w:tcPr>
            <w:tcW w:w="742" w:type="dxa"/>
            <w:vMerge/>
            <w:tcBorders>
              <w:left w:val="single" w:sz="4" w:space="0" w:color="auto"/>
              <w:bottom w:val="single" w:sz="4" w:space="0" w:color="auto"/>
              <w:right w:val="single" w:sz="4" w:space="0" w:color="auto"/>
            </w:tcBorders>
          </w:tcPr>
          <w:p w14:paraId="7FD6325C" w14:textId="77777777" w:rsidR="00915061" w:rsidRPr="00DC34FD" w:rsidRDefault="00915061" w:rsidP="0087453C">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5756FE6A" w14:textId="77777777" w:rsidR="00915061" w:rsidRPr="00DC34FD" w:rsidRDefault="00915061" w:rsidP="0087453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7CF2F52B" w14:textId="77777777" w:rsidR="00915061" w:rsidRDefault="00915061" w:rsidP="00915061">
            <w:pPr>
              <w:spacing w:after="120" w:line="240" w:lineRule="auto"/>
              <w:ind w:firstLine="720"/>
              <w:jc w:val="both"/>
              <w:rPr>
                <w:b/>
                <w:color w:val="000000"/>
              </w:rPr>
            </w:pPr>
            <w:r>
              <w:rPr>
                <w:b/>
                <w:color w:val="000000"/>
              </w:rPr>
              <w:t xml:space="preserve">Veselības ministrija </w:t>
            </w:r>
          </w:p>
          <w:p w14:paraId="144B0210" w14:textId="38E842F4" w:rsidR="00915061" w:rsidRDefault="00915061" w:rsidP="00915061">
            <w:pPr>
              <w:spacing w:after="120" w:line="240" w:lineRule="auto"/>
              <w:ind w:firstLine="720"/>
              <w:jc w:val="both"/>
              <w:rPr>
                <w:bCs/>
              </w:rPr>
            </w:pPr>
            <w:r>
              <w:rPr>
                <w:b/>
              </w:rPr>
              <w:t>(</w:t>
            </w:r>
            <w:r w:rsidRPr="00E07A47">
              <w:rPr>
                <w:b/>
              </w:rPr>
              <w:t>Par 2019.</w:t>
            </w:r>
            <w:r>
              <w:rPr>
                <w:b/>
              </w:rPr>
              <w:t> </w:t>
            </w:r>
            <w:r w:rsidRPr="00E07A47">
              <w:rPr>
                <w:b/>
              </w:rPr>
              <w:t xml:space="preserve">gada </w:t>
            </w:r>
            <w:r>
              <w:rPr>
                <w:b/>
              </w:rPr>
              <w:t>15</w:t>
            </w:r>
            <w:r w:rsidRPr="00E07A47">
              <w:rPr>
                <w:b/>
              </w:rPr>
              <w:t>.</w:t>
            </w:r>
            <w:r>
              <w:rPr>
                <w:b/>
              </w:rPr>
              <w:t> jūlij</w:t>
            </w:r>
            <w:r w:rsidRPr="00E07A47">
              <w:rPr>
                <w:b/>
              </w:rPr>
              <w:t>a piecu darbdienu saskaņošanai nosūtīt</w:t>
            </w:r>
            <w:r>
              <w:rPr>
                <w:b/>
              </w:rPr>
              <w:t>o</w:t>
            </w:r>
            <w:r w:rsidRPr="00E07A47">
              <w:rPr>
                <w:b/>
              </w:rPr>
              <w:t xml:space="preserve"> precizēt</w:t>
            </w:r>
            <w:r>
              <w:rPr>
                <w:b/>
              </w:rPr>
              <w:t>o</w:t>
            </w:r>
            <w:r w:rsidRPr="00E07A47">
              <w:rPr>
                <w:b/>
              </w:rPr>
              <w:t xml:space="preserve"> tiesību akt</w:t>
            </w:r>
            <w:r>
              <w:rPr>
                <w:b/>
              </w:rPr>
              <w:t>a</w:t>
            </w:r>
            <w:r w:rsidRPr="00E07A47">
              <w:rPr>
                <w:b/>
              </w:rPr>
              <w:t xml:space="preserve"> projekt</w:t>
            </w:r>
            <w:r>
              <w:rPr>
                <w:b/>
              </w:rPr>
              <w:t>u</w:t>
            </w:r>
            <w:r w:rsidRPr="00E07A47">
              <w:rPr>
                <w:b/>
              </w:rPr>
              <w:t>)</w:t>
            </w:r>
          </w:p>
          <w:p w14:paraId="2B7E0118" w14:textId="30B469C9" w:rsidR="00915061" w:rsidRPr="00915061" w:rsidRDefault="00915061" w:rsidP="00915061">
            <w:pPr>
              <w:pStyle w:val="CommentText"/>
              <w:spacing w:before="60" w:after="0"/>
              <w:jc w:val="both"/>
              <w:rPr>
                <w:bCs/>
                <w:color w:val="000000"/>
                <w:sz w:val="22"/>
                <w:szCs w:val="22"/>
              </w:rPr>
            </w:pPr>
            <w:r w:rsidRPr="00915061">
              <w:rPr>
                <w:bCs/>
                <w:color w:val="000000"/>
                <w:sz w:val="22"/>
                <w:szCs w:val="22"/>
              </w:rPr>
              <w:t>Ņemot vērā, ka drošība un tīrība spēļu un rekreācijas laukumā (turpmāk – laukums) lielā mērā ir atkarīga arī no laukuma lietotāju uzvedības lūdzam:</w:t>
            </w:r>
          </w:p>
          <w:p w14:paraId="1BFCCCA3" w14:textId="1F8F0627" w:rsidR="00915061" w:rsidRPr="00915061" w:rsidRDefault="00915061" w:rsidP="00915061">
            <w:pPr>
              <w:pStyle w:val="CommentText"/>
              <w:spacing w:before="60" w:after="0"/>
              <w:jc w:val="both"/>
              <w:rPr>
                <w:bCs/>
                <w:color w:val="000000"/>
                <w:sz w:val="22"/>
                <w:szCs w:val="22"/>
              </w:rPr>
            </w:pPr>
            <w:r>
              <w:rPr>
                <w:bCs/>
                <w:color w:val="000000"/>
                <w:sz w:val="22"/>
                <w:szCs w:val="22"/>
              </w:rPr>
              <w:t>1.</w:t>
            </w:r>
            <w:r w:rsidRPr="00915061">
              <w:rPr>
                <w:bCs/>
                <w:color w:val="000000"/>
                <w:sz w:val="22"/>
                <w:szCs w:val="22"/>
              </w:rPr>
              <w:t xml:space="preserve"> Papildināt projektu ar 9.5. apakšpunktu, nosakot pienākumu laukuma īpašniekam vai tiesiskajam valdītājam (turpmāk – valdītājs) noteikt būtiskos laukuma lietotāja pienākumus </w:t>
            </w:r>
            <w:r w:rsidRPr="00915061">
              <w:rPr>
                <w:bCs/>
                <w:color w:val="000000"/>
                <w:sz w:val="22"/>
                <w:szCs w:val="22"/>
              </w:rPr>
              <w:lastRenderedPageBreak/>
              <w:t xml:space="preserve">un atbildību un šo informāciju darīt pieejamu laukuma lietotājiem. Laukuma lietošanas kārtībā jānosaka aizliegtās darbības, lai novērstu veselības un drošības apdraudējumu (piemēram, par pieaugušo uzraudzības bērniem nodrošināšanu; par bīstamu darbību neveikšanu - neienest bīstamus priekšmetus, nelietot motorizētus transportlīdzekļus; par laukumu un iekārtu lietošanu atbilstoši to mērķim; tīši nebojāt iekārtas u.c.). </w:t>
            </w:r>
          </w:p>
          <w:p w14:paraId="4C4357AA" w14:textId="0B8B319D" w:rsidR="00915061" w:rsidRPr="00915061" w:rsidRDefault="00915061" w:rsidP="00915061">
            <w:pPr>
              <w:pStyle w:val="CommentText"/>
              <w:spacing w:before="60" w:after="0"/>
              <w:jc w:val="both"/>
              <w:rPr>
                <w:bCs/>
                <w:color w:val="000000"/>
                <w:sz w:val="22"/>
                <w:szCs w:val="22"/>
              </w:rPr>
            </w:pPr>
            <w:r w:rsidRPr="00915061">
              <w:rPr>
                <w:bCs/>
                <w:color w:val="000000"/>
                <w:sz w:val="22"/>
                <w:szCs w:val="22"/>
              </w:rPr>
              <w:t>2. Papildināt projektu ar 9.6. apakšpunktu, lai laukumos publiskajā ārtelpā nodrošinātu informāciju par smēķēšanas aizliegumu un izteikt to šādā redakcijā:</w:t>
            </w:r>
          </w:p>
          <w:p w14:paraId="4E86F56A" w14:textId="77777777" w:rsidR="00915061" w:rsidRPr="00915061" w:rsidRDefault="00915061" w:rsidP="00915061">
            <w:pPr>
              <w:pStyle w:val="CommentText"/>
              <w:spacing w:before="60" w:after="0"/>
              <w:jc w:val="both"/>
              <w:rPr>
                <w:bCs/>
                <w:color w:val="000000"/>
                <w:sz w:val="22"/>
                <w:szCs w:val="22"/>
              </w:rPr>
            </w:pPr>
            <w:r w:rsidRPr="00915061">
              <w:rPr>
                <w:bCs/>
                <w:color w:val="000000"/>
                <w:sz w:val="22"/>
                <w:szCs w:val="22"/>
              </w:rPr>
              <w:t>“9.6. informatīvo zīmi “Smēķēt aizliegts” vai informāciju par smēķēšanas ierobežojumiem spēļu un rekreācijas laukumā atbilstoši normatīvajiem aktiem par tabakas izstrādājumu, augu smēķēšanas produktu, elektronisko smēķēšanas ierīču un to šķidrumu apriti;”</w:t>
            </w:r>
          </w:p>
          <w:p w14:paraId="2A81C97D" w14:textId="3D641B58" w:rsidR="00915061" w:rsidRPr="00915061" w:rsidRDefault="00915061" w:rsidP="00915061">
            <w:pPr>
              <w:pStyle w:val="CommentText"/>
              <w:spacing w:before="60" w:after="0"/>
              <w:jc w:val="both"/>
              <w:rPr>
                <w:bCs/>
                <w:color w:val="000000"/>
                <w:sz w:val="22"/>
                <w:szCs w:val="22"/>
              </w:rPr>
            </w:pPr>
            <w:r w:rsidRPr="00915061">
              <w:rPr>
                <w:bCs/>
                <w:color w:val="000000"/>
                <w:sz w:val="22"/>
                <w:szCs w:val="22"/>
              </w:rPr>
              <w:t>3. Papildināt projektu ar 9.7. apakšpunktu, lai laukumos nodrošinātu informāciju par drošības prasībām saistībā ar alkohola, narkotisko un psihotropo vielu ietekmi un izteikt to šādā redakcijā:</w:t>
            </w:r>
          </w:p>
          <w:p w14:paraId="3F6B0040" w14:textId="501B7C0D" w:rsidR="00915061" w:rsidRPr="00DC34FD" w:rsidRDefault="00915061" w:rsidP="00915061">
            <w:pPr>
              <w:pStyle w:val="CommentText"/>
              <w:spacing w:before="60" w:after="0"/>
              <w:jc w:val="both"/>
              <w:rPr>
                <w:b/>
                <w:color w:val="000000"/>
                <w:sz w:val="22"/>
                <w:szCs w:val="22"/>
              </w:rPr>
            </w:pPr>
            <w:r w:rsidRPr="00915061">
              <w:rPr>
                <w:bCs/>
                <w:color w:val="000000"/>
                <w:sz w:val="22"/>
                <w:szCs w:val="22"/>
              </w:rPr>
              <w:t>“9.7. informāciju par drošu uzvedību, nosakot, ka alkohola lietošana un atrašanās, spēļu un rekreācijas laukumā alkohola, narkotisko vai psihotropo vielu ietekmē ir aizliegta.”</w:t>
            </w:r>
          </w:p>
        </w:tc>
        <w:tc>
          <w:tcPr>
            <w:tcW w:w="2410" w:type="dxa"/>
            <w:gridSpan w:val="2"/>
            <w:vMerge/>
            <w:tcBorders>
              <w:left w:val="single" w:sz="4" w:space="0" w:color="auto"/>
              <w:bottom w:val="single" w:sz="4" w:space="0" w:color="auto"/>
              <w:right w:val="single" w:sz="4" w:space="0" w:color="auto"/>
            </w:tcBorders>
          </w:tcPr>
          <w:p w14:paraId="06F565A1" w14:textId="77777777" w:rsidR="00915061" w:rsidRPr="00DC34FD" w:rsidRDefault="00915061" w:rsidP="0087453C">
            <w:pPr>
              <w:pStyle w:val="naisc"/>
              <w:spacing w:before="0" w:after="0"/>
              <w:jc w:val="both"/>
              <w:rPr>
                <w:b/>
                <w:sz w:val="22"/>
                <w:szCs w:val="22"/>
              </w:rPr>
            </w:pPr>
          </w:p>
        </w:tc>
        <w:tc>
          <w:tcPr>
            <w:tcW w:w="4652" w:type="dxa"/>
            <w:vMerge/>
            <w:tcBorders>
              <w:left w:val="single" w:sz="4" w:space="0" w:color="auto"/>
              <w:bottom w:val="single" w:sz="4" w:space="0" w:color="auto"/>
            </w:tcBorders>
          </w:tcPr>
          <w:p w14:paraId="0F4884D1" w14:textId="77777777" w:rsidR="00915061" w:rsidRPr="00DC34FD" w:rsidRDefault="00915061" w:rsidP="0087453C">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tc>
      </w:tr>
      <w:tr w:rsidR="00741BD0" w:rsidRPr="00DC34FD" w14:paraId="6BABCF7C" w14:textId="77777777" w:rsidTr="00AF11CB">
        <w:tc>
          <w:tcPr>
            <w:tcW w:w="742" w:type="dxa"/>
            <w:tcBorders>
              <w:top w:val="single" w:sz="4" w:space="0" w:color="auto"/>
              <w:left w:val="single" w:sz="4" w:space="0" w:color="auto"/>
              <w:bottom w:val="single" w:sz="4" w:space="0" w:color="auto"/>
              <w:right w:val="single" w:sz="4" w:space="0" w:color="auto"/>
            </w:tcBorders>
          </w:tcPr>
          <w:p w14:paraId="1BB9DE44" w14:textId="4439D7B4" w:rsidR="00741BD0" w:rsidRPr="00DC34FD" w:rsidRDefault="0054303E" w:rsidP="00741BD0">
            <w:pPr>
              <w:spacing w:after="0" w:line="240" w:lineRule="auto"/>
              <w:jc w:val="center"/>
              <w:rPr>
                <w:rFonts w:ascii="Times New Roman" w:hAnsi="Times New Roman" w:cs="Times New Roman"/>
              </w:rPr>
            </w:pPr>
            <w:r>
              <w:rPr>
                <w:rFonts w:ascii="Times New Roman" w:hAnsi="Times New Roman" w:cs="Times New Roman"/>
              </w:rPr>
              <w:t>10</w:t>
            </w:r>
            <w:r w:rsidR="001D755F" w:rsidRPr="00DC34FD">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4196072A" w14:textId="10AC86AB" w:rsidR="00741BD0" w:rsidRPr="00DC34FD" w:rsidRDefault="001D755F" w:rsidP="00741BD0">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10. Spēļu vai citu aktivitāšu iekārtas specifiskās drošuma prasības noteiktas šo noteikumu 1. pielikumā.</w:t>
            </w:r>
          </w:p>
        </w:tc>
        <w:tc>
          <w:tcPr>
            <w:tcW w:w="4311" w:type="dxa"/>
            <w:tcBorders>
              <w:top w:val="single" w:sz="4" w:space="0" w:color="auto"/>
              <w:left w:val="single" w:sz="4" w:space="0" w:color="auto"/>
              <w:bottom w:val="single" w:sz="4" w:space="0" w:color="auto"/>
              <w:right w:val="single" w:sz="4" w:space="0" w:color="auto"/>
            </w:tcBorders>
          </w:tcPr>
          <w:p w14:paraId="5E0AB931" w14:textId="77777777" w:rsidR="00F569C1" w:rsidRPr="00DC34FD" w:rsidRDefault="00F569C1" w:rsidP="00F569C1">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t>Tieslietu ministrija</w:t>
            </w:r>
          </w:p>
          <w:p w14:paraId="626CEE3C" w14:textId="10062139" w:rsidR="00741BD0" w:rsidRPr="00DC34FD" w:rsidRDefault="00F569C1" w:rsidP="00741BD0">
            <w:pPr>
              <w:spacing w:after="0" w:line="240" w:lineRule="auto"/>
              <w:jc w:val="both"/>
              <w:rPr>
                <w:rFonts w:ascii="Times New Roman" w:eastAsia="Times New Roman" w:hAnsi="Times New Roman" w:cs="Times New Roman"/>
              </w:rPr>
            </w:pPr>
            <w:r w:rsidRPr="00DC34FD">
              <w:rPr>
                <w:rFonts w:ascii="Times New Roman" w:eastAsia="Times New Roman" w:hAnsi="Times New Roman" w:cs="Times New Roman"/>
              </w:rPr>
              <w:t xml:space="preserve">Projekta 10. punkts noteic, ka spēļu vai citu aktivitāšu specifiskās drošuma prasības noteiktas šo noteikumu 1. pielikumā. </w:t>
            </w:r>
            <w:r w:rsidRPr="00DC34FD">
              <w:rPr>
                <w:rFonts w:ascii="Times New Roman" w:eastAsia="Times New Roman" w:hAnsi="Times New Roman" w:cs="Times New Roman"/>
              </w:rPr>
              <w:lastRenderedPageBreak/>
              <w:t>Ievērojot, ka šādas prasības tiešā mērā attiecas uz noteikumu pamattekstu, lūdzam izvērtēt projekta 1. pielikumā ietvertās informācijas iekļaušanu projekta pamattekstā.</w:t>
            </w:r>
          </w:p>
        </w:tc>
        <w:tc>
          <w:tcPr>
            <w:tcW w:w="2410" w:type="dxa"/>
            <w:gridSpan w:val="2"/>
            <w:tcBorders>
              <w:top w:val="single" w:sz="4" w:space="0" w:color="auto"/>
              <w:left w:val="single" w:sz="4" w:space="0" w:color="auto"/>
              <w:bottom w:val="single" w:sz="4" w:space="0" w:color="auto"/>
              <w:right w:val="single" w:sz="4" w:space="0" w:color="auto"/>
            </w:tcBorders>
          </w:tcPr>
          <w:p w14:paraId="62425C4A" w14:textId="61A69A23" w:rsidR="00741BD0" w:rsidRPr="00DC34FD" w:rsidRDefault="000B35AC" w:rsidP="00741BD0">
            <w:pPr>
              <w:pStyle w:val="naisc"/>
              <w:spacing w:before="0" w:after="0"/>
              <w:jc w:val="both"/>
              <w:rPr>
                <w:sz w:val="22"/>
                <w:szCs w:val="22"/>
              </w:rPr>
            </w:pPr>
            <w:r>
              <w:rPr>
                <w:b/>
                <w:sz w:val="22"/>
                <w:szCs w:val="22"/>
              </w:rPr>
              <w:lastRenderedPageBreak/>
              <w:t>Ņemts vērā</w:t>
            </w:r>
            <w:r w:rsidR="00A2509E" w:rsidRPr="00DC34FD">
              <w:rPr>
                <w:b/>
                <w:sz w:val="22"/>
                <w:szCs w:val="22"/>
              </w:rPr>
              <w:t>.</w:t>
            </w:r>
          </w:p>
          <w:p w14:paraId="07FC5F06" w14:textId="06D2EEF0" w:rsidR="00A2509E" w:rsidRPr="00DC34FD" w:rsidRDefault="000B35AC" w:rsidP="00741BD0">
            <w:pPr>
              <w:pStyle w:val="naisc"/>
              <w:spacing w:before="0" w:after="0"/>
              <w:jc w:val="both"/>
              <w:rPr>
                <w:sz w:val="22"/>
                <w:szCs w:val="22"/>
              </w:rPr>
            </w:pPr>
            <w:r>
              <w:rPr>
                <w:sz w:val="22"/>
                <w:szCs w:val="22"/>
              </w:rPr>
              <w:t>Precizēts 10.punkts, ietverot tajā 1.pielikuma saturu</w:t>
            </w:r>
            <w:r w:rsidR="00A2509E" w:rsidRPr="00DC34FD">
              <w:rPr>
                <w:sz w:val="22"/>
                <w:szCs w:val="22"/>
              </w:rPr>
              <w:t>.</w:t>
            </w:r>
          </w:p>
        </w:tc>
        <w:tc>
          <w:tcPr>
            <w:tcW w:w="4652" w:type="dxa"/>
            <w:tcBorders>
              <w:top w:val="single" w:sz="4" w:space="0" w:color="auto"/>
              <w:left w:val="single" w:sz="4" w:space="0" w:color="auto"/>
              <w:bottom w:val="single" w:sz="4" w:space="0" w:color="auto"/>
            </w:tcBorders>
          </w:tcPr>
          <w:p w14:paraId="702EC63B"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w:t>
            </w:r>
            <w:r w:rsidRPr="00670BAA">
              <w:rPr>
                <w:rFonts w:ascii="Times New Roman" w:hAnsi="Times New Roman" w:cs="Times New Roman"/>
              </w:rPr>
              <w:tab/>
              <w:t xml:space="preserve">Publiskajam spēļu un rekreācijas laukumam un tajā uzstādītai spēļu vai citu aktivitāšu iekārtai ir šādas specifiskās drošuma prasības: </w:t>
            </w:r>
          </w:p>
          <w:p w14:paraId="4D77AEB5"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lastRenderedPageBreak/>
              <w:t>10.1.</w:t>
            </w:r>
            <w:r w:rsidRPr="00670BAA">
              <w:rPr>
                <w:rFonts w:ascii="Times New Roman" w:hAnsi="Times New Roman" w:cs="Times New Roman"/>
              </w:rPr>
              <w:tab/>
              <w:t>spēļu vai citu aktivitāšu iekārtai un tās daļām jābūt mehāniski izturīgām un stabilām, lai izturētu paredzēto lietošanas slodzi, nesalūstot vai nedeformējoties un tādējādi neradītu fiziskas traumas risku, ņemot vērā, ka ar to darbosies viens vai vairāki bērni vai pieaugušie;</w:t>
            </w:r>
          </w:p>
          <w:p w14:paraId="0376378A"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10.2.</w:t>
            </w:r>
            <w:r w:rsidRPr="00670BAA">
              <w:rPr>
                <w:rFonts w:ascii="Times New Roman" w:hAnsi="Times New Roman" w:cs="Times New Roman"/>
              </w:rPr>
              <w:tab/>
              <w:t>spēļu vai citu aktivitāšu iekārtas šķautnēm, izvirzījumiem, auklām, trosēm un stiprinājumiem jābūt konstruētiem, ražotiem un uzstādītiem tā, lai pēc iespējas mazinātu risku gūt fiziskas traumas saskarē ar tiem;</w:t>
            </w:r>
          </w:p>
          <w:p w14:paraId="693D5E2E"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10.3.</w:t>
            </w:r>
            <w:r w:rsidRPr="00670BAA">
              <w:rPr>
                <w:rFonts w:ascii="Times New Roman" w:hAnsi="Times New Roman" w:cs="Times New Roman"/>
              </w:rPr>
              <w:tab/>
              <w:t>spēļu vai citu aktivitāšu iekārta vai tās daļas nedrīkst radīt nožņaugšanās un nosmakšanas risku;</w:t>
            </w:r>
          </w:p>
          <w:p w14:paraId="7252FBA0"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10.4.</w:t>
            </w:r>
            <w:r w:rsidRPr="00670BAA">
              <w:rPr>
                <w:rFonts w:ascii="Times New Roman" w:hAnsi="Times New Roman" w:cs="Times New Roman"/>
              </w:rPr>
              <w:tab/>
              <w:t>spēļu vai citu aktivitāšu iekārtā, kurā iespējams iekļūt iekšā un kas tādējādi veido slēgtu telpu, jābūt izejai, pa kuru var izkļūt no tās un ko paredzētais lietotājs var viegli atvērt no iekšpuses;</w:t>
            </w:r>
          </w:p>
          <w:p w14:paraId="748C1F0F"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10.5.</w:t>
            </w:r>
            <w:r w:rsidRPr="00670BAA">
              <w:rPr>
                <w:rFonts w:ascii="Times New Roman" w:hAnsi="Times New Roman" w:cs="Times New Roman"/>
              </w:rPr>
              <w:tab/>
              <w:t>spēļu vai citu aktivitāšu iekārtas izgatavošanai neizmanto materiālus, kuru virsma ir uzliesmojoša;</w:t>
            </w:r>
          </w:p>
          <w:p w14:paraId="3E907F0E"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w:t>
            </w:r>
            <w:r w:rsidRPr="00670BAA">
              <w:rPr>
                <w:rFonts w:ascii="Times New Roman" w:hAnsi="Times New Roman" w:cs="Times New Roman"/>
              </w:rPr>
              <w:tab/>
              <w:t>spēļu vai citu aktivitāšu iekārtu konstruē un ražo, kā arī uzstāda tā, lai:</w:t>
            </w:r>
          </w:p>
          <w:p w14:paraId="4867189F"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10.6.1.</w:t>
            </w:r>
            <w:r w:rsidRPr="00670BAA">
              <w:rPr>
                <w:rFonts w:ascii="Times New Roman" w:hAnsi="Times New Roman" w:cs="Times New Roman"/>
              </w:rPr>
              <w:tab/>
              <w:t>būtu minimāls tās izmantošanai raksturīgais apdraudējums, ko izraisa tās daļu kustība;</w:t>
            </w:r>
          </w:p>
          <w:p w14:paraId="3628721D"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10.6.2.</w:t>
            </w:r>
            <w:r w:rsidRPr="00670BAA">
              <w:rPr>
                <w:rFonts w:ascii="Times New Roman" w:hAnsi="Times New Roman" w:cs="Times New Roman"/>
              </w:rPr>
              <w:tab/>
              <w:t>nevienas pieejamas virsmas maksimālā un minimālā temperatūra neizraisītu ievainojumus, ja tai pieskaras (tai skaitā saules radītais karstums);</w:t>
            </w:r>
          </w:p>
          <w:p w14:paraId="48AEA105"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10.6.3.</w:t>
            </w:r>
            <w:r w:rsidRPr="00670BAA">
              <w:rPr>
                <w:rFonts w:ascii="Times New Roman" w:hAnsi="Times New Roman" w:cs="Times New Roman"/>
              </w:rPr>
              <w:tab/>
              <w:t>tā neradītu draudus veselībai vai risku ievainot acis vai ādu, izmantojot lāzerus, gaismas diodes vai citus starojuma veidus;</w:t>
            </w:r>
          </w:p>
          <w:p w14:paraId="6E641887"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10.6.4.</w:t>
            </w:r>
            <w:r w:rsidRPr="00670BAA">
              <w:rPr>
                <w:rFonts w:ascii="Times New Roman" w:hAnsi="Times New Roman" w:cs="Times New Roman"/>
              </w:rPr>
              <w:tab/>
              <w:t xml:space="preserve">tās pieejamība neradītu apdraudējumu noteikta vecumposma bērnam, tādējādi apdraudot </w:t>
            </w:r>
            <w:r w:rsidRPr="00670BAA">
              <w:rPr>
                <w:rFonts w:ascii="Times New Roman" w:hAnsi="Times New Roman" w:cs="Times New Roman"/>
              </w:rPr>
              <w:lastRenderedPageBreak/>
              <w:t>viņa veselību, kā arī lai tiktu ņemta vērā bērnam raksturīgā uzvedība;</w:t>
            </w:r>
          </w:p>
          <w:p w14:paraId="110DD979"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10.6.5.</w:t>
            </w:r>
            <w:r w:rsidRPr="00670BAA">
              <w:rPr>
                <w:rFonts w:ascii="Times New Roman" w:hAnsi="Times New Roman" w:cs="Times New Roman"/>
              </w:rPr>
              <w:tab/>
              <w:t>tā neradītu elektrisko apdraudējumu cilvēka veselībai;</w:t>
            </w:r>
          </w:p>
          <w:p w14:paraId="5B5CB61F"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10.6.6.</w:t>
            </w:r>
            <w:r w:rsidRPr="00670BAA">
              <w:rPr>
                <w:rFonts w:ascii="Times New Roman" w:hAnsi="Times New Roman" w:cs="Times New Roman"/>
              </w:rPr>
              <w:tab/>
              <w:t>tā neradītu radioaktivitātes un hidraulisku vai pneimatisku mehānismu apdraudējumu cilvēka veselībai</w:t>
            </w:r>
          </w:p>
          <w:p w14:paraId="0EC3A1D3"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10.6.7.</w:t>
            </w:r>
            <w:r w:rsidRPr="00670BAA">
              <w:rPr>
                <w:rFonts w:ascii="Times New Roman" w:hAnsi="Times New Roman" w:cs="Times New Roman"/>
              </w:rPr>
              <w:tab/>
              <w:t>tā neradītu higiēnas un sanitāro apstākļu apdraudējumu cilvēka veselībai;</w:t>
            </w:r>
          </w:p>
          <w:p w14:paraId="0223D7F9"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w:t>
            </w:r>
            <w:r w:rsidRPr="00670BAA">
              <w:rPr>
                <w:rFonts w:ascii="Times New Roman" w:hAnsi="Times New Roman" w:cs="Times New Roman"/>
              </w:rPr>
              <w:tab/>
              <w:t>spēļu vai citu aktivitāšu iekārtu, kā arī laukumu un tā pārklājumu konstruē, ražo, uzstāda un izvieto tā, lai:</w:t>
            </w:r>
          </w:p>
          <w:p w14:paraId="34212767"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10.7.1.</w:t>
            </w:r>
            <w:r w:rsidRPr="00670BAA">
              <w:rPr>
                <w:rFonts w:ascii="Times New Roman" w:hAnsi="Times New Roman" w:cs="Times New Roman"/>
              </w:rPr>
              <w:tab/>
              <w:t>iespējami samazinātu ķermeņa daļu saspiešanas vai iesprūšanas risku vai apģērba un tā daļu iespiešanas risku, kā arī krišanas un trieciena risku;</w:t>
            </w:r>
          </w:p>
          <w:p w14:paraId="76F159E2"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10.7.2.</w:t>
            </w:r>
            <w:r w:rsidRPr="00670BAA">
              <w:rPr>
                <w:rFonts w:ascii="Times New Roman" w:hAnsi="Times New Roman" w:cs="Times New Roman"/>
              </w:rPr>
              <w:tab/>
              <w:t>nerastos risks cilvēka veselībai, nonākot saskarē ar ķīmiskām vielām vai maisījumiem, no kuriem ir veidota vai kurus satur iekārta vai laukuma pārklājums, ja spēļu vai citu aktivitāšu iekārtu izmanto paredzētajā vai paredzamajā veidā, ņemot vērā lietotāja parastu uzvedību;</w:t>
            </w:r>
          </w:p>
          <w:p w14:paraId="64DB1239" w14:textId="77777777" w:rsidR="00BE415C"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10.7.3.</w:t>
            </w:r>
            <w:r w:rsidRPr="00670BAA">
              <w:rPr>
                <w:rFonts w:ascii="Times New Roman" w:hAnsi="Times New Roman" w:cs="Times New Roman"/>
              </w:rPr>
              <w:tab/>
              <w:t>spēļu un rekreācijas laukumā tiktu ievērotas drošības zonas un novērsti vai mazināti vides riski un lai būtu nodrošināta neatliekamās medicīniskās palīdzības, kā arī bērnu pieskatītāju un citu pieaugušo piekļuve</w:t>
            </w:r>
            <w:r w:rsidR="00BE415C">
              <w:rPr>
                <w:rFonts w:ascii="Times New Roman" w:hAnsi="Times New Roman" w:cs="Times New Roman"/>
              </w:rPr>
              <w:t>;</w:t>
            </w:r>
          </w:p>
          <w:p w14:paraId="77D619E1" w14:textId="4F7AD260" w:rsidR="00741BD0" w:rsidRPr="00DC34FD" w:rsidRDefault="00BE415C" w:rsidP="00670BAA">
            <w:pPr>
              <w:spacing w:after="0" w:line="240" w:lineRule="auto"/>
              <w:jc w:val="both"/>
              <w:rPr>
                <w:rFonts w:ascii="Times New Roman" w:hAnsi="Times New Roman" w:cs="Times New Roman"/>
              </w:rPr>
            </w:pPr>
            <w:r>
              <w:rPr>
                <w:rFonts w:ascii="Times New Roman" w:hAnsi="Times New Roman" w:cs="Times New Roman"/>
              </w:rPr>
              <w:t xml:space="preserve">10.8. </w:t>
            </w:r>
            <w:r w:rsidRPr="00BE415C">
              <w:rPr>
                <w:rFonts w:ascii="Times New Roman" w:hAnsi="Times New Roman" w:cs="Times New Roman"/>
              </w:rPr>
              <w:t>spēļu un rekreācijas laukumā nodrošina sakoptu vidi, tīrības uzturēšanu un atkritumu savākšanu</w:t>
            </w:r>
            <w:r w:rsidR="00670BAA">
              <w:rPr>
                <w:rFonts w:ascii="Times New Roman" w:hAnsi="Times New Roman" w:cs="Times New Roman"/>
              </w:rPr>
              <w:t>.</w:t>
            </w:r>
          </w:p>
        </w:tc>
      </w:tr>
      <w:tr w:rsidR="00EC2DF9" w:rsidRPr="00DC34FD" w14:paraId="750A02FA" w14:textId="77777777" w:rsidTr="00AF11CB">
        <w:tc>
          <w:tcPr>
            <w:tcW w:w="742" w:type="dxa"/>
            <w:tcBorders>
              <w:top w:val="single" w:sz="4" w:space="0" w:color="auto"/>
              <w:left w:val="single" w:sz="4" w:space="0" w:color="auto"/>
              <w:bottom w:val="single" w:sz="4" w:space="0" w:color="auto"/>
              <w:right w:val="single" w:sz="4" w:space="0" w:color="auto"/>
            </w:tcBorders>
          </w:tcPr>
          <w:p w14:paraId="2C21E148" w14:textId="7BD9EBE6" w:rsidR="00EC2DF9" w:rsidRPr="00DC34FD" w:rsidRDefault="0054303E" w:rsidP="00741BD0">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3370" w:type="dxa"/>
            <w:gridSpan w:val="2"/>
            <w:tcBorders>
              <w:top w:val="single" w:sz="4" w:space="0" w:color="auto"/>
              <w:left w:val="single" w:sz="4" w:space="0" w:color="auto"/>
              <w:bottom w:val="single" w:sz="4" w:space="0" w:color="auto"/>
              <w:right w:val="single" w:sz="4" w:space="0" w:color="auto"/>
            </w:tcBorders>
          </w:tcPr>
          <w:p w14:paraId="2ACC4E91" w14:textId="580AB4E1" w:rsidR="00EC2DF9" w:rsidRPr="00DC34FD" w:rsidRDefault="00EC2DF9" w:rsidP="00741BD0">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 xml:space="preserve">11. Spēļu vai citu aktivitāšu iekārta, kas ir ražota vai laista tirgū kādā Eiropas Savienības dalībvalstī, Turcijā vai kādā Eiropas Ekonomikas zonas valstī un atbilst </w:t>
            </w:r>
            <w:r w:rsidRPr="00DC34FD">
              <w:rPr>
                <w:rFonts w:ascii="Times New Roman" w:hAnsi="Times New Roman" w:cs="Times New Roman"/>
              </w:rPr>
              <w:lastRenderedPageBreak/>
              <w:t>attiecīgās valsts tiesiskajam regulējumam, kas nodrošina līdzvērtīgu šo noteikumu prasību līmeni, ir uzskatāma par atbilstošu šo noteikumu prasībām</w:t>
            </w:r>
          </w:p>
        </w:tc>
        <w:tc>
          <w:tcPr>
            <w:tcW w:w="4311" w:type="dxa"/>
            <w:tcBorders>
              <w:top w:val="single" w:sz="4" w:space="0" w:color="auto"/>
              <w:left w:val="single" w:sz="4" w:space="0" w:color="auto"/>
              <w:bottom w:val="single" w:sz="4" w:space="0" w:color="auto"/>
              <w:right w:val="single" w:sz="4" w:space="0" w:color="auto"/>
            </w:tcBorders>
          </w:tcPr>
          <w:p w14:paraId="5984AF78" w14:textId="77777777" w:rsidR="00EC2DF9" w:rsidRPr="00DC34FD" w:rsidRDefault="00EC2DF9" w:rsidP="00EC2DF9">
            <w:pPr>
              <w:pStyle w:val="CommentText"/>
              <w:spacing w:before="60" w:after="0"/>
              <w:jc w:val="center"/>
              <w:rPr>
                <w:b/>
                <w:color w:val="000000"/>
                <w:sz w:val="22"/>
                <w:szCs w:val="22"/>
              </w:rPr>
            </w:pPr>
            <w:r w:rsidRPr="00DC34FD">
              <w:rPr>
                <w:b/>
                <w:color w:val="000000"/>
                <w:sz w:val="22"/>
                <w:szCs w:val="22"/>
              </w:rPr>
              <w:lastRenderedPageBreak/>
              <w:t>Reģionālo attīstības centru apvienība</w:t>
            </w:r>
          </w:p>
          <w:p w14:paraId="7AEEC81F" w14:textId="541FA544" w:rsidR="00EC2DF9" w:rsidRPr="00DC34FD" w:rsidRDefault="00EC2DF9" w:rsidP="00EC2DF9">
            <w:pPr>
              <w:spacing w:after="0" w:line="240" w:lineRule="auto"/>
              <w:jc w:val="both"/>
              <w:rPr>
                <w:rFonts w:ascii="Times New Roman" w:eastAsia="Times New Roman" w:hAnsi="Times New Roman" w:cs="Times New Roman"/>
              </w:rPr>
            </w:pPr>
            <w:r w:rsidRPr="00DC34FD">
              <w:rPr>
                <w:rFonts w:ascii="Times New Roman" w:eastAsia="Times New Roman" w:hAnsi="Times New Roman" w:cs="Times New Roman"/>
              </w:rPr>
              <w:t xml:space="preserve">RACA norāda, ka nav saprotams, kādēļ šajā punktā izvirzītajām prasībām nevarētu atbilst trešās valsts ražotājs, kurš nav pieminēts (šajā </w:t>
            </w:r>
            <w:r w:rsidRPr="00DC34FD">
              <w:rPr>
                <w:rFonts w:ascii="Times New Roman" w:eastAsia="Times New Roman" w:hAnsi="Times New Roman" w:cs="Times New Roman"/>
              </w:rPr>
              <w:lastRenderedPageBreak/>
              <w:t>punktā), bet kura produkcija ir izgājusi sertifikāciju kādā no Eiropas Savienības dalībvalstīm.</w:t>
            </w:r>
          </w:p>
        </w:tc>
        <w:tc>
          <w:tcPr>
            <w:tcW w:w="2410" w:type="dxa"/>
            <w:gridSpan w:val="2"/>
            <w:tcBorders>
              <w:top w:val="single" w:sz="4" w:space="0" w:color="auto"/>
              <w:left w:val="single" w:sz="4" w:space="0" w:color="auto"/>
              <w:bottom w:val="single" w:sz="4" w:space="0" w:color="auto"/>
              <w:right w:val="single" w:sz="4" w:space="0" w:color="auto"/>
            </w:tcBorders>
          </w:tcPr>
          <w:p w14:paraId="7FFD3A78" w14:textId="77777777" w:rsidR="00EC2DF9" w:rsidRPr="00DC34FD" w:rsidRDefault="00EC2DF9" w:rsidP="00EC2DF9">
            <w:pPr>
              <w:pStyle w:val="naisc"/>
              <w:spacing w:before="0" w:after="0"/>
              <w:jc w:val="both"/>
              <w:rPr>
                <w:sz w:val="22"/>
                <w:szCs w:val="22"/>
              </w:rPr>
            </w:pPr>
            <w:r w:rsidRPr="00DC34FD">
              <w:rPr>
                <w:b/>
                <w:sz w:val="22"/>
                <w:szCs w:val="22"/>
              </w:rPr>
              <w:lastRenderedPageBreak/>
              <w:t>Panākta vienošanās.</w:t>
            </w:r>
          </w:p>
          <w:p w14:paraId="7FBEDFCA" w14:textId="77777777" w:rsidR="00EC2DF9" w:rsidRDefault="00EC2DF9" w:rsidP="00741BD0">
            <w:pPr>
              <w:pStyle w:val="naisc"/>
              <w:spacing w:before="0" w:after="0"/>
              <w:jc w:val="both"/>
              <w:rPr>
                <w:sz w:val="22"/>
                <w:szCs w:val="22"/>
              </w:rPr>
            </w:pPr>
            <w:r w:rsidRPr="00DC34FD">
              <w:rPr>
                <w:sz w:val="22"/>
                <w:szCs w:val="22"/>
              </w:rPr>
              <w:t xml:space="preserve">Noteikumu projekta 11.punkts paredz savstarpējās atzīšanas principu attiecībā uz </w:t>
            </w:r>
            <w:r w:rsidRPr="00DC34FD">
              <w:rPr>
                <w:sz w:val="22"/>
                <w:szCs w:val="22"/>
              </w:rPr>
              <w:lastRenderedPageBreak/>
              <w:t>citās ES, EEZ valstīs un Turcijā ražotām un tirgū laistām iekārtām, taču tas nekādā veidā neierobežo trešajās valstīs ražoto (un Latvijas tirgū ienākošo) iekārtu atzīšanu par atbilstošām, ja to ražotājs vai importētājs ir nodrošinājis visu šo Noteikumu projekta prasību izpildi.</w:t>
            </w:r>
          </w:p>
          <w:p w14:paraId="358036FD" w14:textId="50CE7507" w:rsidR="00A770AC" w:rsidRPr="00A770AC" w:rsidRDefault="00A770AC" w:rsidP="00741BD0">
            <w:pPr>
              <w:pStyle w:val="naisc"/>
              <w:spacing w:before="0" w:after="0"/>
              <w:jc w:val="both"/>
              <w:rPr>
                <w:sz w:val="22"/>
                <w:szCs w:val="22"/>
              </w:rPr>
            </w:pPr>
            <w:r>
              <w:rPr>
                <w:b/>
                <w:bCs/>
                <w:sz w:val="22"/>
                <w:szCs w:val="22"/>
              </w:rPr>
              <w:t>Punkts precizēts</w:t>
            </w:r>
            <w:r>
              <w:rPr>
                <w:sz w:val="22"/>
                <w:szCs w:val="22"/>
              </w:rPr>
              <w:t xml:space="preserve">, ņemot vērā Eiropas Komisijas redakcionālo priekšlikumu </w:t>
            </w:r>
          </w:p>
        </w:tc>
        <w:tc>
          <w:tcPr>
            <w:tcW w:w="4652" w:type="dxa"/>
            <w:tcBorders>
              <w:top w:val="single" w:sz="4" w:space="0" w:color="auto"/>
              <w:left w:val="single" w:sz="4" w:space="0" w:color="auto"/>
              <w:bottom w:val="single" w:sz="4" w:space="0" w:color="auto"/>
            </w:tcBorders>
          </w:tcPr>
          <w:p w14:paraId="12CA46C7" w14:textId="0A0EF449" w:rsidR="00EC2DF9" w:rsidRPr="00DC34FD" w:rsidRDefault="00EC2DF9" w:rsidP="00544AC8">
            <w:pPr>
              <w:spacing w:after="0" w:line="240" w:lineRule="auto"/>
              <w:jc w:val="both"/>
              <w:rPr>
                <w:rFonts w:ascii="Times New Roman" w:hAnsi="Times New Roman" w:cs="Times New Roman"/>
              </w:rPr>
            </w:pPr>
            <w:r w:rsidRPr="00DC34FD">
              <w:rPr>
                <w:rFonts w:ascii="Times New Roman" w:hAnsi="Times New Roman" w:cs="Times New Roman"/>
              </w:rPr>
              <w:lastRenderedPageBreak/>
              <w:t xml:space="preserve">11. </w:t>
            </w:r>
            <w:r w:rsidR="00A770AC" w:rsidRPr="00A770AC">
              <w:rPr>
                <w:rFonts w:ascii="Times New Roman" w:hAnsi="Times New Roman" w:cs="Times New Roman"/>
              </w:rPr>
              <w:t xml:space="preserve">Spēļu vai citu aktivitāšu iekārta, kas tiek likumīgi tirgota citā Eiropas Savienības dalībvalstī vai Turcijā, vai kuras izcelsme ir un kuru likumīgi tirgo kādā no Eiropas Brīvās tirdzniecības asociācijas valstīm, kura ir Eiropas Ekonomikas </w:t>
            </w:r>
            <w:r w:rsidR="00A770AC" w:rsidRPr="00A770AC">
              <w:rPr>
                <w:rFonts w:ascii="Times New Roman" w:hAnsi="Times New Roman" w:cs="Times New Roman"/>
              </w:rPr>
              <w:lastRenderedPageBreak/>
              <w:t>zonas līguma līgumslēdzēja puse, ir uzskatāma par atbilstošu šo noteikumu prasībām, ievērojot tieši piemērojamos Eiropas Savienības tiesību aktos noteikto par preču savstarpēju atzīšanu</w:t>
            </w:r>
            <w:r w:rsidR="00A770AC">
              <w:rPr>
                <w:rFonts w:ascii="Times New Roman" w:hAnsi="Times New Roman" w:cs="Times New Roman"/>
              </w:rPr>
              <w:t>.</w:t>
            </w:r>
          </w:p>
        </w:tc>
      </w:tr>
      <w:tr w:rsidR="00AC50A3" w:rsidRPr="00DC34FD" w14:paraId="7A4EE60C" w14:textId="77777777" w:rsidTr="00AF11CB">
        <w:tc>
          <w:tcPr>
            <w:tcW w:w="742" w:type="dxa"/>
            <w:tcBorders>
              <w:top w:val="single" w:sz="4" w:space="0" w:color="auto"/>
              <w:left w:val="single" w:sz="4" w:space="0" w:color="auto"/>
              <w:bottom w:val="single" w:sz="4" w:space="0" w:color="auto"/>
              <w:right w:val="single" w:sz="4" w:space="0" w:color="auto"/>
            </w:tcBorders>
          </w:tcPr>
          <w:p w14:paraId="6D6BC68C" w14:textId="05EC249B" w:rsidR="00AC50A3" w:rsidRPr="00DC34FD" w:rsidRDefault="0054303E" w:rsidP="00741BD0">
            <w:pPr>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3370" w:type="dxa"/>
            <w:gridSpan w:val="2"/>
            <w:tcBorders>
              <w:top w:val="single" w:sz="4" w:space="0" w:color="auto"/>
              <w:left w:val="single" w:sz="4" w:space="0" w:color="auto"/>
              <w:bottom w:val="single" w:sz="4" w:space="0" w:color="auto"/>
              <w:right w:val="single" w:sz="4" w:space="0" w:color="auto"/>
            </w:tcBorders>
          </w:tcPr>
          <w:p w14:paraId="5AACD222" w14:textId="64A7C125" w:rsidR="00AC50A3" w:rsidRPr="00DC34FD" w:rsidRDefault="00AC50A3" w:rsidP="00741BD0">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III nodaļa kopumā</w:t>
            </w:r>
          </w:p>
        </w:tc>
        <w:tc>
          <w:tcPr>
            <w:tcW w:w="4311" w:type="dxa"/>
            <w:tcBorders>
              <w:top w:val="single" w:sz="4" w:space="0" w:color="auto"/>
              <w:left w:val="single" w:sz="4" w:space="0" w:color="auto"/>
              <w:bottom w:val="single" w:sz="4" w:space="0" w:color="auto"/>
              <w:right w:val="single" w:sz="4" w:space="0" w:color="auto"/>
            </w:tcBorders>
          </w:tcPr>
          <w:p w14:paraId="3A68C1E8" w14:textId="77777777" w:rsidR="00AC50A3" w:rsidRPr="00DC34FD" w:rsidRDefault="00AC50A3" w:rsidP="00AC50A3">
            <w:pPr>
              <w:pStyle w:val="CommentText"/>
              <w:spacing w:before="60"/>
              <w:jc w:val="center"/>
              <w:rPr>
                <w:b/>
                <w:color w:val="000000"/>
                <w:sz w:val="22"/>
                <w:szCs w:val="22"/>
              </w:rPr>
            </w:pPr>
            <w:r w:rsidRPr="00DC34FD">
              <w:rPr>
                <w:b/>
                <w:color w:val="000000"/>
                <w:sz w:val="22"/>
                <w:szCs w:val="22"/>
              </w:rPr>
              <w:t>Latvijas Pašvaldību savienība</w:t>
            </w:r>
          </w:p>
          <w:p w14:paraId="17365AAA" w14:textId="02CAD562" w:rsidR="00AC50A3" w:rsidRPr="00DC34FD" w:rsidRDefault="00AC50A3" w:rsidP="00AC50A3">
            <w:pPr>
              <w:pStyle w:val="CommentText"/>
              <w:spacing w:before="60"/>
              <w:rPr>
                <w:color w:val="000000"/>
                <w:sz w:val="22"/>
                <w:szCs w:val="22"/>
              </w:rPr>
            </w:pPr>
            <w:r w:rsidRPr="00DC34FD">
              <w:rPr>
                <w:color w:val="000000"/>
                <w:sz w:val="22"/>
                <w:szCs w:val="22"/>
              </w:rPr>
              <w:t xml:space="preserve">Noteikumu projektā netiek definēta </w:t>
            </w:r>
            <w:proofErr w:type="spellStart"/>
            <w:r w:rsidRPr="00DC34FD">
              <w:rPr>
                <w:color w:val="000000"/>
                <w:sz w:val="22"/>
                <w:szCs w:val="22"/>
              </w:rPr>
              <w:t>būvspeciālista</w:t>
            </w:r>
            <w:proofErr w:type="spellEnd"/>
            <w:r w:rsidRPr="00DC34FD">
              <w:rPr>
                <w:color w:val="000000"/>
                <w:sz w:val="22"/>
                <w:szCs w:val="22"/>
              </w:rPr>
              <w:t xml:space="preserve"> – projektētāja dokumentācijas izstrādātāja atbildība, noteikumi orientēti tikai uz seku novēršanu (</w:t>
            </w:r>
            <w:proofErr w:type="spellStart"/>
            <w:r w:rsidRPr="00DC34FD">
              <w:rPr>
                <w:color w:val="000000"/>
                <w:sz w:val="22"/>
                <w:szCs w:val="22"/>
              </w:rPr>
              <w:t>pēcuzstādīšanas</w:t>
            </w:r>
            <w:proofErr w:type="spellEnd"/>
            <w:r w:rsidRPr="00DC34FD">
              <w:rPr>
                <w:color w:val="000000"/>
                <w:sz w:val="22"/>
                <w:szCs w:val="22"/>
              </w:rPr>
              <w:t xml:space="preserve"> pārbaužu ieviešana). Nav skaidrs, kas šo Noteikumu izpratnē ir “ Tehniskā dokumentācija”.</w:t>
            </w:r>
          </w:p>
          <w:p w14:paraId="33064422" w14:textId="77777777" w:rsidR="00AC50A3" w:rsidRPr="00DC34FD" w:rsidRDefault="00AC50A3" w:rsidP="00EC2DF9">
            <w:pPr>
              <w:pStyle w:val="CommentText"/>
              <w:spacing w:before="60" w:after="0"/>
              <w:jc w:val="center"/>
              <w:rPr>
                <w:b/>
                <w:color w:val="000000"/>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78BC8F30" w14:textId="77777777" w:rsidR="00AC50A3" w:rsidRPr="00DC34FD" w:rsidRDefault="00AC50A3" w:rsidP="00AC50A3">
            <w:pPr>
              <w:pStyle w:val="naisc"/>
              <w:spacing w:before="0" w:after="0"/>
              <w:jc w:val="both"/>
              <w:rPr>
                <w:sz w:val="22"/>
                <w:szCs w:val="22"/>
              </w:rPr>
            </w:pPr>
            <w:r w:rsidRPr="00DC34FD">
              <w:rPr>
                <w:b/>
                <w:sz w:val="22"/>
                <w:szCs w:val="22"/>
              </w:rPr>
              <w:t>Panākta vienošanās.</w:t>
            </w:r>
          </w:p>
          <w:p w14:paraId="29636540" w14:textId="77777777" w:rsidR="005D7B93" w:rsidRDefault="00AC50A3" w:rsidP="00AC50A3">
            <w:pPr>
              <w:pStyle w:val="naisc"/>
              <w:spacing w:before="0" w:after="0"/>
              <w:jc w:val="both"/>
              <w:rPr>
                <w:sz w:val="22"/>
                <w:szCs w:val="22"/>
              </w:rPr>
            </w:pPr>
            <w:r w:rsidRPr="00DC34FD">
              <w:rPr>
                <w:sz w:val="22"/>
                <w:szCs w:val="22"/>
              </w:rPr>
              <w:t xml:space="preserve">Noteikumu projekts paredz ražotāja, importētāja, izplatītāja </w:t>
            </w:r>
            <w:r w:rsidR="001F458D" w:rsidRPr="00DC34FD">
              <w:rPr>
                <w:sz w:val="22"/>
                <w:szCs w:val="22"/>
              </w:rPr>
              <w:t xml:space="preserve">atbildību </w:t>
            </w:r>
            <w:r w:rsidR="00D316F8" w:rsidRPr="00DC34FD">
              <w:rPr>
                <w:sz w:val="22"/>
                <w:szCs w:val="22"/>
              </w:rPr>
              <w:t>par iekārtu atbilstību, tai skaitā par tehnisko dokumentāciju, savukārt valdītājam ir noteikta atbildība par atbilstošu iekārtu izvēli un atbilstošu to uzstādīšanu. Valdītājs ir tiesīgs pats izvērtēt, kā nodrošināt</w:t>
            </w:r>
            <w:r w:rsidR="00694ECF" w:rsidRPr="00DC34FD">
              <w:rPr>
                <w:sz w:val="22"/>
                <w:szCs w:val="22"/>
              </w:rPr>
              <w:t xml:space="preserve">, piemēram, </w:t>
            </w:r>
            <w:r w:rsidR="00D316F8" w:rsidRPr="00DC34FD">
              <w:rPr>
                <w:sz w:val="22"/>
                <w:szCs w:val="22"/>
              </w:rPr>
              <w:t>procesā iesaistīt</w:t>
            </w:r>
            <w:r w:rsidR="00694ECF" w:rsidRPr="00DC34FD">
              <w:rPr>
                <w:sz w:val="22"/>
                <w:szCs w:val="22"/>
              </w:rPr>
              <w:t xml:space="preserve">ā projektētāja dokumentācijas atbilstību. </w:t>
            </w:r>
          </w:p>
          <w:p w14:paraId="1270A7C4" w14:textId="7BAFF0D9" w:rsidR="00AC50A3" w:rsidRPr="00DC34FD" w:rsidRDefault="005D7B93" w:rsidP="00AC50A3">
            <w:pPr>
              <w:pStyle w:val="naisc"/>
              <w:spacing w:before="0" w:after="0"/>
              <w:jc w:val="both"/>
              <w:rPr>
                <w:b/>
                <w:sz w:val="22"/>
                <w:szCs w:val="22"/>
              </w:rPr>
            </w:pPr>
            <w:r>
              <w:rPr>
                <w:sz w:val="22"/>
                <w:szCs w:val="22"/>
              </w:rPr>
              <w:lastRenderedPageBreak/>
              <w:t>Papildināta anotācija, paskaidrojot, ko ietver</w:t>
            </w:r>
            <w:r w:rsidR="00694ECF" w:rsidRPr="00DC34FD">
              <w:rPr>
                <w:sz w:val="22"/>
                <w:szCs w:val="22"/>
              </w:rPr>
              <w:t xml:space="preserve"> “tehniskā dokumentācija”.</w:t>
            </w:r>
          </w:p>
        </w:tc>
        <w:tc>
          <w:tcPr>
            <w:tcW w:w="4652" w:type="dxa"/>
            <w:tcBorders>
              <w:top w:val="single" w:sz="4" w:space="0" w:color="auto"/>
              <w:left w:val="single" w:sz="4" w:space="0" w:color="auto"/>
              <w:bottom w:val="single" w:sz="4" w:space="0" w:color="auto"/>
            </w:tcBorders>
          </w:tcPr>
          <w:p w14:paraId="06E0D4C3" w14:textId="77777777" w:rsidR="00AC50A3" w:rsidRPr="00DC34FD" w:rsidRDefault="00AC50A3" w:rsidP="00544AC8">
            <w:pPr>
              <w:spacing w:after="0" w:line="240" w:lineRule="auto"/>
              <w:jc w:val="both"/>
              <w:rPr>
                <w:rFonts w:ascii="Times New Roman" w:hAnsi="Times New Roman" w:cs="Times New Roman"/>
              </w:rPr>
            </w:pPr>
          </w:p>
        </w:tc>
      </w:tr>
      <w:tr w:rsidR="00A40E32" w:rsidRPr="00DC34FD" w14:paraId="5E3B8441" w14:textId="77777777" w:rsidTr="00AF11CB">
        <w:trPr>
          <w:trHeight w:val="6955"/>
        </w:trPr>
        <w:tc>
          <w:tcPr>
            <w:tcW w:w="742" w:type="dxa"/>
            <w:vMerge w:val="restart"/>
            <w:tcBorders>
              <w:top w:val="single" w:sz="4" w:space="0" w:color="auto"/>
              <w:left w:val="single" w:sz="4" w:space="0" w:color="auto"/>
              <w:right w:val="single" w:sz="4" w:space="0" w:color="auto"/>
            </w:tcBorders>
          </w:tcPr>
          <w:p w14:paraId="223FB95F" w14:textId="4CC1CAAB" w:rsidR="00A40E32" w:rsidRPr="00DC34FD" w:rsidRDefault="0054303E" w:rsidP="00D569DE">
            <w:pPr>
              <w:spacing w:after="0" w:line="240" w:lineRule="auto"/>
              <w:jc w:val="center"/>
              <w:rPr>
                <w:rFonts w:ascii="Times New Roman" w:hAnsi="Times New Roman" w:cs="Times New Roman"/>
              </w:rPr>
            </w:pPr>
            <w:r>
              <w:rPr>
                <w:rFonts w:ascii="Times New Roman" w:hAnsi="Times New Roman" w:cs="Times New Roman"/>
              </w:rPr>
              <w:t>13.</w:t>
            </w:r>
          </w:p>
        </w:tc>
        <w:tc>
          <w:tcPr>
            <w:tcW w:w="3370" w:type="dxa"/>
            <w:gridSpan w:val="2"/>
            <w:vMerge w:val="restart"/>
            <w:tcBorders>
              <w:top w:val="single" w:sz="4" w:space="0" w:color="auto"/>
              <w:left w:val="single" w:sz="4" w:space="0" w:color="auto"/>
              <w:right w:val="single" w:sz="4" w:space="0" w:color="auto"/>
            </w:tcBorders>
          </w:tcPr>
          <w:p w14:paraId="63C5909F" w14:textId="77777777" w:rsidR="00A40E32" w:rsidRPr="00DC34FD" w:rsidRDefault="00A40E32" w:rsidP="00D569DE">
            <w:pPr>
              <w:numPr>
                <w:ilvl w:val="0"/>
                <w:numId w:val="13"/>
              </w:numPr>
              <w:shd w:val="clear" w:color="auto" w:fill="FFFFFF"/>
              <w:spacing w:before="100" w:beforeAutospacing="1" w:after="100" w:afterAutospacing="1"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Spēļu vai citu aktivitāšu iekārtas ražotājs nodrošina, ka:</w:t>
            </w:r>
          </w:p>
          <w:p w14:paraId="2D4A19A0" w14:textId="77777777" w:rsidR="00A40E32" w:rsidRPr="00DC34FD" w:rsidRDefault="00A40E32" w:rsidP="00D569DE">
            <w:pPr>
              <w:numPr>
                <w:ilvl w:val="1"/>
                <w:numId w:val="13"/>
              </w:numPr>
              <w:shd w:val="clear" w:color="auto" w:fill="FFFFFF"/>
              <w:spacing w:before="100" w:beforeAutospacing="1" w:after="100" w:afterAutospacing="1"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tā ir projektēta un ražota, ievērojot šajos noteikumos noteiktās būtiskās drošuma prasības, nodrošinot, ka iekārta nerada drošības un veselības apdraudējumu, to uzturot un pielāgojot saskaņā ar ražotāja norādījumiem, un ka netiek pieļauts iekārtas radīts drošības un veselības apdraudējums tās plānotajā lietošanas laikā, ņemot vērā iespējamību, ka iekārta var tikt lietota ne tikai tās paredzētajā, bet arī neparedzētajā veidā;</w:t>
            </w:r>
          </w:p>
          <w:p w14:paraId="0EC5DE41" w14:textId="77777777" w:rsidR="00A40E32" w:rsidRPr="00DC34FD" w:rsidRDefault="00A40E32" w:rsidP="00D569DE">
            <w:pPr>
              <w:numPr>
                <w:ilvl w:val="1"/>
                <w:numId w:val="13"/>
              </w:numPr>
              <w:shd w:val="clear" w:color="auto" w:fill="FFFFFF"/>
              <w:spacing w:before="100" w:beforeAutospacing="1" w:after="100" w:afterAutospacing="1"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ir izstrādāta tās tehniskā dokumentācija vienā no Eiropas Savienības dalībvalstu oficiālajām valodām, un tajā ir ietverti visi </w:t>
            </w:r>
            <w:r w:rsidRPr="00DC34FD">
              <w:rPr>
                <w:rFonts w:ascii="Times New Roman" w:eastAsia="Times New Roman" w:hAnsi="Times New Roman" w:cs="Times New Roman"/>
                <w:lang w:eastAsia="lv-LV"/>
              </w:rPr>
              <w:lastRenderedPageBreak/>
              <w:t>dati vai norādes par līdzekļiem, kurus ražotājs izmantojis, lai nodrošinātu atbilstību būtiskajām drošuma prasībām, tai skaitā:</w:t>
            </w:r>
          </w:p>
          <w:p w14:paraId="57EC0FE5" w14:textId="77777777" w:rsidR="00A40E32" w:rsidRPr="00DC34FD" w:rsidRDefault="00A40E32" w:rsidP="00D569DE">
            <w:pPr>
              <w:numPr>
                <w:ilvl w:val="2"/>
                <w:numId w:val="13"/>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detalizēts spēļu vai citu aktivitāšu iekārtas projekta un ražošanas procesa apraksts, tai skaitā rasējumi un shēmas, informācija par šādās iekārtās izmantotajām sastāvdaļām un materiāliem, kā arī drošuma datu lapas par izmantotajām ķīmiskajām vielām, ko saņem no ķīmisko vielu piegādātājiem; </w:t>
            </w:r>
          </w:p>
          <w:p w14:paraId="162AAB72" w14:textId="77777777" w:rsidR="00A40E32" w:rsidRPr="00DC34FD" w:rsidRDefault="00A40E32" w:rsidP="00D569DE">
            <w:pPr>
              <w:numPr>
                <w:ilvl w:val="2"/>
                <w:numId w:val="13"/>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novērtējums par šo noteikumu 1. pielikumā uzskaitītajiem apdraudējumiem, ko var radīt iekārta, un iespējamo saskarsmi ar šiem apdraudējumiem;</w:t>
            </w:r>
          </w:p>
          <w:p w14:paraId="7DFFF36D" w14:textId="77777777" w:rsidR="00A40E32" w:rsidRPr="00DC34FD" w:rsidRDefault="00A40E32" w:rsidP="00D569DE">
            <w:pPr>
              <w:numPr>
                <w:ilvl w:val="2"/>
                <w:numId w:val="13"/>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testēšanas pārskati un to līdzekļu apraksts, ar kuriem ražotājs nodrošinājis </w:t>
            </w:r>
            <w:r w:rsidRPr="00DC34FD">
              <w:rPr>
                <w:rFonts w:ascii="Times New Roman" w:eastAsia="Times New Roman" w:hAnsi="Times New Roman" w:cs="Times New Roman"/>
                <w:lang w:eastAsia="lv-LV"/>
              </w:rPr>
              <w:lastRenderedPageBreak/>
              <w:t>iekārtas atbilstību piemērojamiem standartiem vai citām tehniskajām prasībām;</w:t>
            </w:r>
          </w:p>
          <w:p w14:paraId="5F2A9395" w14:textId="77777777" w:rsidR="00A40E32" w:rsidRPr="00DC34FD" w:rsidRDefault="00A40E32" w:rsidP="00D569DE">
            <w:pPr>
              <w:numPr>
                <w:ilvl w:val="2"/>
                <w:numId w:val="13"/>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iekārtas uzstādīšanas, lietošanas un uzturēšanas instrukcija valsts valodā, kurā ņemta vērā lietotāja paredzamā rīcība;</w:t>
            </w:r>
          </w:p>
          <w:p w14:paraId="7F6CA60C" w14:textId="77777777" w:rsidR="00A40E32" w:rsidRPr="00DC34FD" w:rsidRDefault="00A40E32" w:rsidP="00D569DE">
            <w:pPr>
              <w:numPr>
                <w:ilvl w:val="1"/>
                <w:numId w:val="13"/>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tehniskā dokumentācija tiek saglabāta 10 gadus pēc spēļu vai citu aktivitāšu iekārtas laišanas tirgū, lai tā būtu pieejama Patērētāju tiesību aizsardzības centram (turpmāk – Centrs);</w:t>
            </w:r>
          </w:p>
          <w:p w14:paraId="062B2248" w14:textId="77777777" w:rsidR="00A40E32" w:rsidRPr="00DC34FD" w:rsidRDefault="00A40E32" w:rsidP="00D569DE">
            <w:pPr>
              <w:numPr>
                <w:ilvl w:val="1"/>
                <w:numId w:val="13"/>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uz tās ir viegli saskatāmā, salasāmā un neizdzēšamā veidā norādīts:</w:t>
            </w:r>
          </w:p>
          <w:p w14:paraId="3FCEEAD0" w14:textId="77777777" w:rsidR="00A40E32" w:rsidRPr="00DC34FD" w:rsidRDefault="00A40E32" w:rsidP="00D569DE">
            <w:pPr>
              <w:numPr>
                <w:ilvl w:val="2"/>
                <w:numId w:val="13"/>
              </w:numPr>
              <w:shd w:val="clear" w:color="auto" w:fill="FFFFFF"/>
              <w:spacing w:after="0"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ražotāja nosaukums (firma) vai reģistrēta preču zīme un adrese;</w:t>
            </w:r>
          </w:p>
          <w:p w14:paraId="0013126C" w14:textId="77777777" w:rsidR="00A40E32" w:rsidRPr="00DC34FD" w:rsidRDefault="00A40E32" w:rsidP="00D569DE">
            <w:pPr>
              <w:numPr>
                <w:ilvl w:val="2"/>
                <w:numId w:val="13"/>
              </w:numPr>
              <w:shd w:val="clear" w:color="auto" w:fill="FFFFFF"/>
              <w:spacing w:after="0"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iekārtas atsauces numurs vai cits identifikācijas elements un ražošanas gads;</w:t>
            </w:r>
          </w:p>
          <w:p w14:paraId="01B72BA9" w14:textId="42A6237B" w:rsidR="00A40E32" w:rsidRPr="00DC34FD" w:rsidRDefault="00A40E32" w:rsidP="00D569DE">
            <w:pPr>
              <w:pStyle w:val="naislab"/>
              <w:numPr>
                <w:ilvl w:val="2"/>
                <w:numId w:val="13"/>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7" w:hanging="426"/>
              <w:jc w:val="both"/>
              <w:rPr>
                <w:sz w:val="22"/>
                <w:szCs w:val="22"/>
              </w:rPr>
            </w:pPr>
            <w:r w:rsidRPr="00DC34FD">
              <w:rPr>
                <w:sz w:val="22"/>
                <w:szCs w:val="22"/>
              </w:rPr>
              <w:t>pamatnes līmeņa atzīme.</w:t>
            </w:r>
          </w:p>
        </w:tc>
        <w:tc>
          <w:tcPr>
            <w:tcW w:w="4311" w:type="dxa"/>
            <w:tcBorders>
              <w:top w:val="single" w:sz="4" w:space="0" w:color="auto"/>
              <w:left w:val="single" w:sz="4" w:space="0" w:color="auto"/>
              <w:right w:val="single" w:sz="4" w:space="0" w:color="auto"/>
            </w:tcBorders>
          </w:tcPr>
          <w:p w14:paraId="2C4DA83A" w14:textId="77777777" w:rsidR="00A40E32" w:rsidRPr="00DC34FD" w:rsidRDefault="00A40E32" w:rsidP="00D569DE">
            <w:pPr>
              <w:pStyle w:val="CommentText"/>
              <w:spacing w:before="60" w:after="0"/>
              <w:jc w:val="center"/>
              <w:rPr>
                <w:b/>
                <w:color w:val="000000"/>
                <w:sz w:val="22"/>
                <w:szCs w:val="22"/>
              </w:rPr>
            </w:pPr>
            <w:r w:rsidRPr="00DC34FD">
              <w:rPr>
                <w:b/>
                <w:color w:val="000000"/>
                <w:sz w:val="22"/>
                <w:szCs w:val="22"/>
              </w:rPr>
              <w:lastRenderedPageBreak/>
              <w:t>Reģionālo attīstības centru apvienība</w:t>
            </w:r>
          </w:p>
          <w:p w14:paraId="3A3B8127" w14:textId="77777777" w:rsidR="00A40E32" w:rsidRPr="00DC34FD" w:rsidRDefault="00A40E32" w:rsidP="00D569DE">
            <w:pPr>
              <w:pStyle w:val="CommentText"/>
              <w:spacing w:before="60" w:after="0"/>
              <w:rPr>
                <w:sz w:val="22"/>
                <w:szCs w:val="22"/>
              </w:rPr>
            </w:pPr>
            <w:r w:rsidRPr="00DC34FD">
              <w:rPr>
                <w:sz w:val="22"/>
                <w:szCs w:val="22"/>
              </w:rPr>
              <w:t xml:space="preserve">RACA vērš uzmanību, noteikumu projekta 12. punktā izvirzītās </w:t>
            </w:r>
            <w:proofErr w:type="spellStart"/>
            <w:r w:rsidRPr="00DC34FD">
              <w:rPr>
                <w:sz w:val="22"/>
                <w:szCs w:val="22"/>
              </w:rPr>
              <w:t>parasības</w:t>
            </w:r>
            <w:proofErr w:type="spellEnd"/>
            <w:r w:rsidRPr="00DC34FD">
              <w:rPr>
                <w:sz w:val="22"/>
                <w:szCs w:val="22"/>
              </w:rPr>
              <w:t xml:space="preserve"> izslēdz jebkādu vietējo amatnieku līdzdalību publiskai lietošanai paredzētu bērnu spēļu laukumu ierīkošanā.</w:t>
            </w:r>
          </w:p>
          <w:p w14:paraId="5A5AF2DB" w14:textId="77777777" w:rsidR="00A40E32" w:rsidRPr="00DC34FD" w:rsidRDefault="00A40E32" w:rsidP="00D569DE">
            <w:pPr>
              <w:pStyle w:val="CommentText"/>
              <w:spacing w:before="60" w:after="0"/>
              <w:jc w:val="center"/>
              <w:rPr>
                <w:sz w:val="22"/>
                <w:szCs w:val="22"/>
              </w:rPr>
            </w:pPr>
            <w:r w:rsidRPr="00DC34FD">
              <w:rPr>
                <w:sz w:val="22"/>
                <w:szCs w:val="22"/>
              </w:rPr>
              <w:t>RACA uzskata, ka noteikumu projektā izvirzītajām prasībām būtu vēlams paredzēt arī vienkāršākas prasības, sekmējot vietējo amatnieku pienesumu.</w:t>
            </w:r>
          </w:p>
          <w:p w14:paraId="660D5CE3" w14:textId="77777777" w:rsidR="00A40E32" w:rsidRPr="00DC34FD" w:rsidRDefault="00A40E32" w:rsidP="00D569DE">
            <w:pPr>
              <w:pStyle w:val="CommentText"/>
              <w:spacing w:before="60" w:after="0"/>
              <w:jc w:val="center"/>
              <w:rPr>
                <w:sz w:val="22"/>
                <w:szCs w:val="22"/>
              </w:rPr>
            </w:pPr>
          </w:p>
          <w:p w14:paraId="226EDF21" w14:textId="77777777" w:rsidR="00A40E32" w:rsidRPr="00DC34FD" w:rsidRDefault="00A40E32" w:rsidP="00D569DE">
            <w:pPr>
              <w:pStyle w:val="CommentText"/>
              <w:spacing w:before="60" w:after="0"/>
              <w:jc w:val="both"/>
              <w:rPr>
                <w:sz w:val="22"/>
                <w:szCs w:val="22"/>
              </w:rPr>
            </w:pPr>
          </w:p>
          <w:p w14:paraId="6B12A412" w14:textId="49A6E368" w:rsidR="00A40E32" w:rsidRPr="00DC34FD" w:rsidRDefault="00A40E32" w:rsidP="00D569DE">
            <w:pPr>
              <w:pStyle w:val="CommentText"/>
              <w:spacing w:before="60" w:after="0"/>
              <w:jc w:val="both"/>
              <w:rPr>
                <w:sz w:val="22"/>
                <w:szCs w:val="22"/>
              </w:rPr>
            </w:pPr>
          </w:p>
        </w:tc>
        <w:tc>
          <w:tcPr>
            <w:tcW w:w="2410" w:type="dxa"/>
            <w:gridSpan w:val="2"/>
            <w:vMerge w:val="restart"/>
            <w:tcBorders>
              <w:top w:val="single" w:sz="4" w:space="0" w:color="auto"/>
              <w:left w:val="single" w:sz="4" w:space="0" w:color="auto"/>
              <w:right w:val="single" w:sz="4" w:space="0" w:color="auto"/>
            </w:tcBorders>
          </w:tcPr>
          <w:p w14:paraId="01CAE051" w14:textId="77777777" w:rsidR="00A40E32" w:rsidRPr="00DC34FD" w:rsidRDefault="00A40E32" w:rsidP="00D569DE">
            <w:pPr>
              <w:pStyle w:val="naisc"/>
              <w:spacing w:before="0" w:after="0"/>
              <w:jc w:val="both"/>
              <w:rPr>
                <w:sz w:val="22"/>
                <w:szCs w:val="22"/>
              </w:rPr>
            </w:pPr>
            <w:r w:rsidRPr="00DC34FD">
              <w:rPr>
                <w:b/>
                <w:sz w:val="22"/>
                <w:szCs w:val="22"/>
              </w:rPr>
              <w:t>Panākta vienošanās.</w:t>
            </w:r>
          </w:p>
          <w:p w14:paraId="4D692299" w14:textId="77777777" w:rsidR="00A40E32" w:rsidRPr="00DC34FD" w:rsidRDefault="00A40E32" w:rsidP="00D569DE">
            <w:pPr>
              <w:pStyle w:val="naisc"/>
              <w:spacing w:before="0" w:after="0"/>
              <w:jc w:val="both"/>
              <w:rPr>
                <w:sz w:val="22"/>
                <w:szCs w:val="22"/>
              </w:rPr>
            </w:pPr>
            <w:r w:rsidRPr="00DC34FD">
              <w:rPr>
                <w:sz w:val="22"/>
                <w:szCs w:val="22"/>
              </w:rPr>
              <w:t>Noteikumu projekta 12.punkts paredz iespēju arī amatniekam nodrošināt savu ražojumu atbilstību ar paša ražotāja sagatavotu dokumentāciju, ja tā izpilda šo Noteikumu prasības.</w:t>
            </w:r>
          </w:p>
          <w:p w14:paraId="01A1E002" w14:textId="41A41F76" w:rsidR="00A40E32" w:rsidRPr="00DC34FD" w:rsidRDefault="00A40E32" w:rsidP="00D569DE">
            <w:pPr>
              <w:pStyle w:val="naisc"/>
              <w:jc w:val="both"/>
              <w:rPr>
                <w:sz w:val="22"/>
                <w:szCs w:val="22"/>
              </w:rPr>
            </w:pPr>
            <w:r w:rsidRPr="00DC34FD">
              <w:rPr>
                <w:sz w:val="22"/>
                <w:szCs w:val="22"/>
              </w:rPr>
              <w:t>Attiecībā uz SIA “</w:t>
            </w:r>
            <w:proofErr w:type="spellStart"/>
            <w:r w:rsidRPr="00DC34FD">
              <w:rPr>
                <w:sz w:val="22"/>
                <w:szCs w:val="22"/>
              </w:rPr>
              <w:t>GoPlay</w:t>
            </w:r>
            <w:proofErr w:type="spellEnd"/>
            <w:r w:rsidRPr="00DC34FD">
              <w:rPr>
                <w:sz w:val="22"/>
                <w:szCs w:val="22"/>
              </w:rPr>
              <w:t xml:space="preserve">” priekšlikumu papildināt Noteikumu projektu ar prasībām par sertifikāciju norādāms, ka ne Latvijas nacionālajos, ne Eiropas Savienības tiesību aktos nav tiesiska pamatojuma, lai noteiktu sertifikātu kā vienīgo līdzekli, kas apliecinātu atbilstību Noteikumu projekta regulējamajā jomā. Tirgus uzraudzības iestādes un atbilstības novērtēšanas </w:t>
            </w:r>
            <w:r w:rsidRPr="00DC34FD">
              <w:rPr>
                <w:sz w:val="22"/>
                <w:szCs w:val="22"/>
              </w:rPr>
              <w:lastRenderedPageBreak/>
              <w:t>institūcijas arī pēc cita veida dokumentācijas var pārliecināties par atbilstību, ja ražotājs ir spējis apliecināt, ka ir veikti visi pasākumi, lai nodrošinātu atbilstību. Sertifikāta nepieciešamību var noteikt pieprasījums tirgū, taču ar Noteikumu projektu šāda prasība kā obligāta nevar tikt noteikta.</w:t>
            </w:r>
          </w:p>
          <w:p w14:paraId="452D30CA" w14:textId="1AE1398A" w:rsidR="00A40E32" w:rsidRPr="00DC34FD" w:rsidRDefault="00A40E32" w:rsidP="00D569DE">
            <w:pPr>
              <w:pStyle w:val="naisc"/>
              <w:spacing w:before="0" w:after="0"/>
              <w:jc w:val="both"/>
              <w:rPr>
                <w:b/>
                <w:sz w:val="22"/>
                <w:szCs w:val="22"/>
              </w:rPr>
            </w:pPr>
          </w:p>
        </w:tc>
        <w:tc>
          <w:tcPr>
            <w:tcW w:w="4652" w:type="dxa"/>
            <w:vMerge w:val="restart"/>
            <w:tcBorders>
              <w:top w:val="single" w:sz="4" w:space="0" w:color="auto"/>
              <w:left w:val="single" w:sz="4" w:space="0" w:color="auto"/>
            </w:tcBorders>
          </w:tcPr>
          <w:p w14:paraId="3D71AC76" w14:textId="77777777" w:rsidR="00A40E32" w:rsidRPr="00DC34FD" w:rsidRDefault="00A40E32" w:rsidP="00D569DE">
            <w:pPr>
              <w:numPr>
                <w:ilvl w:val="0"/>
                <w:numId w:val="14"/>
              </w:numPr>
              <w:shd w:val="clear" w:color="auto" w:fill="FFFFFF"/>
              <w:spacing w:before="100" w:beforeAutospacing="1" w:after="100" w:afterAutospacing="1" w:line="293" w:lineRule="atLeast"/>
              <w:ind w:left="322" w:hanging="322"/>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lastRenderedPageBreak/>
              <w:t>Spēļu vai citu aktivitāšu iekārtas ražotājs nodrošina, ka:</w:t>
            </w:r>
          </w:p>
          <w:p w14:paraId="4CF1F86B" w14:textId="536D0E78" w:rsidR="00A40E32" w:rsidRPr="00DC34FD" w:rsidRDefault="00A40E32" w:rsidP="00D569DE">
            <w:pPr>
              <w:numPr>
                <w:ilvl w:val="1"/>
                <w:numId w:val="14"/>
              </w:numPr>
              <w:shd w:val="clear" w:color="auto" w:fill="FFFFFF"/>
              <w:spacing w:before="100" w:beforeAutospacing="1" w:after="100" w:afterAutospacing="1"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tā ir projektēta un ražota, ievērojot šajos noteikumos noteiktās drošuma prasības, nodrošinot, ka iekārta nerada drošības un veselības apdraudējumu, to uzturot un </w:t>
            </w:r>
            <w:r w:rsidR="00CC381C" w:rsidRPr="00DC34FD">
              <w:rPr>
                <w:rFonts w:ascii="Times New Roman" w:eastAsia="Times New Roman" w:hAnsi="Times New Roman" w:cs="Times New Roman"/>
                <w:lang w:eastAsia="lv-LV"/>
              </w:rPr>
              <w:t>liet</w:t>
            </w:r>
            <w:r w:rsidRPr="00DC34FD">
              <w:rPr>
                <w:rFonts w:ascii="Times New Roman" w:eastAsia="Times New Roman" w:hAnsi="Times New Roman" w:cs="Times New Roman"/>
                <w:lang w:eastAsia="lv-LV"/>
              </w:rPr>
              <w:t>ojot saskaņā ar ražotāja norādījumiem, un ka netiek pieļauts iekārtas radīts drošības un veselības apdraudējums tās plānotajā lietošanas laikā, ņemot vērā iespējamību, ka iekārta var tikt lietota ne tikai tās paredzētajā, bet arī paredz</w:t>
            </w:r>
            <w:r w:rsidR="00CC381C" w:rsidRPr="00DC34FD">
              <w:rPr>
                <w:rFonts w:ascii="Times New Roman" w:eastAsia="Times New Roman" w:hAnsi="Times New Roman" w:cs="Times New Roman"/>
                <w:lang w:eastAsia="lv-LV"/>
              </w:rPr>
              <w:t>am</w:t>
            </w:r>
            <w:r w:rsidRPr="00DC34FD">
              <w:rPr>
                <w:rFonts w:ascii="Times New Roman" w:eastAsia="Times New Roman" w:hAnsi="Times New Roman" w:cs="Times New Roman"/>
                <w:lang w:eastAsia="lv-LV"/>
              </w:rPr>
              <w:t>ajā veidā;</w:t>
            </w:r>
          </w:p>
          <w:p w14:paraId="79D3FAA2" w14:textId="19D1037D" w:rsidR="00A40E32" w:rsidRPr="00DC34FD" w:rsidRDefault="00A40E32" w:rsidP="00D569DE">
            <w:pPr>
              <w:numPr>
                <w:ilvl w:val="1"/>
                <w:numId w:val="14"/>
              </w:numPr>
              <w:shd w:val="clear" w:color="auto" w:fill="FFFFFF"/>
              <w:spacing w:before="100" w:beforeAutospacing="1" w:after="100" w:afterAutospacing="1"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ir izstrādāta tās tehniskā dokumentācija vienā no Eiropas Savienības dalībvalstu oficiālajām valodām, un tajā ir ietverti visi dati vai norādes par līdzekļiem, kurus ražotājs izmantojis, lai nodrošinātu atbilstību drošuma prasībām, tai skaitā:</w:t>
            </w:r>
          </w:p>
          <w:p w14:paraId="544309EB" w14:textId="77777777" w:rsidR="00A40E32" w:rsidRPr="00DC34FD" w:rsidRDefault="00A40E32" w:rsidP="00D569DE">
            <w:pPr>
              <w:numPr>
                <w:ilvl w:val="2"/>
                <w:numId w:val="14"/>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detalizēts spēļu vai citu aktivitāšu iekārtas projekta un ražošanas procesa apraksts, tai skaitā rasējumi un shēmas, informācija par šādās iekārtās izmantotajām sastāvdaļām un materiāliem, kā arī drošuma datu lapas par izmantotajām ķīmiskajām </w:t>
            </w:r>
            <w:r w:rsidRPr="00DC34FD">
              <w:rPr>
                <w:rFonts w:ascii="Times New Roman" w:eastAsia="Times New Roman" w:hAnsi="Times New Roman" w:cs="Times New Roman"/>
                <w:lang w:eastAsia="lv-LV"/>
              </w:rPr>
              <w:lastRenderedPageBreak/>
              <w:t xml:space="preserve">vielām, ko saņem no ķīmisko vielu piegādātājiem; </w:t>
            </w:r>
          </w:p>
          <w:p w14:paraId="2AE059F5" w14:textId="54CBDA7E" w:rsidR="00A40E32" w:rsidRPr="00DC34FD" w:rsidRDefault="00A40E32" w:rsidP="00D569DE">
            <w:pPr>
              <w:numPr>
                <w:ilvl w:val="2"/>
                <w:numId w:val="14"/>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novērtējums par šo noteikumu 1. pielikumā </w:t>
            </w:r>
            <w:r w:rsidR="00CC381C" w:rsidRPr="00DC34FD">
              <w:rPr>
                <w:rFonts w:ascii="Times New Roman" w:eastAsia="Times New Roman" w:hAnsi="Times New Roman" w:cs="Times New Roman"/>
                <w:lang w:eastAsia="lv-LV"/>
              </w:rPr>
              <w:t>minētajās prasībās aptvertajiem</w:t>
            </w:r>
            <w:r w:rsidRPr="00DC34FD">
              <w:rPr>
                <w:rFonts w:ascii="Times New Roman" w:eastAsia="Times New Roman" w:hAnsi="Times New Roman" w:cs="Times New Roman"/>
                <w:lang w:eastAsia="lv-LV"/>
              </w:rPr>
              <w:t xml:space="preserve"> apdraudējumiem, ko var radīt iekārta, un iespējamo saskarsmi ar šiem apdraudējumiem;</w:t>
            </w:r>
          </w:p>
          <w:p w14:paraId="7BE7E0D2" w14:textId="50DBD5D6" w:rsidR="00A40E32" w:rsidRPr="00DC34FD" w:rsidRDefault="00A40E32" w:rsidP="00D569DE">
            <w:pPr>
              <w:numPr>
                <w:ilvl w:val="2"/>
                <w:numId w:val="14"/>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testēšanas pārskati un to līdzekļu apraksts, ar kuriem ražotājs nodrošinājis iekārtas atbilstību piemērojamiem standartiem vai citām tehniskajām </w:t>
            </w:r>
            <w:r w:rsidR="00517238" w:rsidRPr="00DC34FD">
              <w:rPr>
                <w:rFonts w:ascii="Times New Roman" w:eastAsia="Times New Roman" w:hAnsi="Times New Roman" w:cs="Times New Roman"/>
                <w:lang w:eastAsia="lv-LV"/>
              </w:rPr>
              <w:t>specifikācij</w:t>
            </w:r>
            <w:r w:rsidRPr="00DC34FD">
              <w:rPr>
                <w:rFonts w:ascii="Times New Roman" w:eastAsia="Times New Roman" w:hAnsi="Times New Roman" w:cs="Times New Roman"/>
                <w:lang w:eastAsia="lv-LV"/>
              </w:rPr>
              <w:t>ām;</w:t>
            </w:r>
          </w:p>
          <w:p w14:paraId="09A8C9CF" w14:textId="77777777" w:rsidR="00A40E32" w:rsidRPr="00DC34FD" w:rsidRDefault="00A40E32" w:rsidP="00D569DE">
            <w:pPr>
              <w:numPr>
                <w:ilvl w:val="2"/>
                <w:numId w:val="14"/>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iekārtas uzstādīšanas, lietošanas un uzturēšanas instrukcija valsts valodā, kurā ņemta vērā lietotāja paredzamā rīcība;</w:t>
            </w:r>
          </w:p>
          <w:p w14:paraId="2B52C4DF" w14:textId="77777777" w:rsidR="00A40E32" w:rsidRPr="00DC34FD" w:rsidRDefault="00A40E32" w:rsidP="00D569DE">
            <w:pPr>
              <w:numPr>
                <w:ilvl w:val="1"/>
                <w:numId w:val="14"/>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tehniskā dokumentācija tiek saglabāta 10 gadus pēc spēļu vai citu aktivitāšu iekārtas laišanas tirgū, lai tā būtu pieejama Patērētāju tiesību aizsardzības centram (turpmāk – Centrs);</w:t>
            </w:r>
          </w:p>
          <w:p w14:paraId="21575B1B" w14:textId="77777777" w:rsidR="00A40E32" w:rsidRPr="00DC34FD" w:rsidRDefault="00A40E32" w:rsidP="00D569DE">
            <w:pPr>
              <w:numPr>
                <w:ilvl w:val="1"/>
                <w:numId w:val="14"/>
              </w:numPr>
              <w:shd w:val="clear" w:color="auto" w:fill="FFFFFF"/>
              <w:spacing w:before="100" w:beforeAutospacing="1" w:after="100" w:afterAutospacing="1" w:line="240" w:lineRule="auto"/>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uz tās ir viegli saskatāmā, salasāmā un neizdzēšamā veidā norādīts:</w:t>
            </w:r>
          </w:p>
          <w:p w14:paraId="2F4EE836" w14:textId="77777777" w:rsidR="00A40E32" w:rsidRPr="00DC34FD" w:rsidRDefault="00A40E32" w:rsidP="00D569DE">
            <w:pPr>
              <w:numPr>
                <w:ilvl w:val="2"/>
                <w:numId w:val="14"/>
              </w:numPr>
              <w:shd w:val="clear" w:color="auto" w:fill="FFFFFF"/>
              <w:spacing w:after="0"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ražotāja nosaukums (firma) vai reģistrēta preču zīme un adrese;</w:t>
            </w:r>
          </w:p>
          <w:p w14:paraId="012F2B73" w14:textId="77777777" w:rsidR="00A40E32" w:rsidRPr="00DC34FD" w:rsidRDefault="00A40E32" w:rsidP="00D569DE">
            <w:pPr>
              <w:numPr>
                <w:ilvl w:val="2"/>
                <w:numId w:val="14"/>
              </w:numPr>
              <w:shd w:val="clear" w:color="auto" w:fill="FFFFFF"/>
              <w:spacing w:after="0" w:line="293" w:lineRule="atLeast"/>
              <w:ind w:left="487" w:hanging="426"/>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 xml:space="preserve"> iekārtas atsauces numurs vai cits identifikācijas elements un ražošanas gads;</w:t>
            </w:r>
          </w:p>
          <w:p w14:paraId="71B595AA" w14:textId="142C554D" w:rsidR="00A40E32" w:rsidRPr="00DC34FD" w:rsidRDefault="00A40E32" w:rsidP="00D569DE">
            <w:pPr>
              <w:pStyle w:val="ListParagraph"/>
              <w:numPr>
                <w:ilvl w:val="2"/>
                <w:numId w:val="14"/>
              </w:numPr>
              <w:spacing w:after="0" w:line="240" w:lineRule="auto"/>
              <w:ind w:left="606" w:hanging="567"/>
              <w:jc w:val="both"/>
              <w:rPr>
                <w:rFonts w:ascii="Times New Roman" w:hAnsi="Times New Roman"/>
              </w:rPr>
            </w:pPr>
            <w:r w:rsidRPr="00DC34FD">
              <w:rPr>
                <w:rFonts w:ascii="Times New Roman" w:hAnsi="Times New Roman"/>
              </w:rPr>
              <w:lastRenderedPageBreak/>
              <w:t>pamatnes līmeņa atzīme.</w:t>
            </w:r>
          </w:p>
        </w:tc>
      </w:tr>
      <w:tr w:rsidR="00A40E32" w:rsidRPr="00DC34FD" w14:paraId="0F354224" w14:textId="77777777" w:rsidTr="00AF11CB">
        <w:trPr>
          <w:trHeight w:val="6955"/>
        </w:trPr>
        <w:tc>
          <w:tcPr>
            <w:tcW w:w="742" w:type="dxa"/>
            <w:vMerge/>
            <w:tcBorders>
              <w:left w:val="single" w:sz="4" w:space="0" w:color="auto"/>
              <w:right w:val="single" w:sz="4" w:space="0" w:color="auto"/>
            </w:tcBorders>
          </w:tcPr>
          <w:p w14:paraId="028B6D61" w14:textId="77777777" w:rsidR="00A40E32" w:rsidRPr="00DC34FD" w:rsidRDefault="00A40E32" w:rsidP="00D569DE">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39EFD916" w14:textId="77777777" w:rsidR="00A40E32" w:rsidRPr="00DC34FD" w:rsidRDefault="00A40E32" w:rsidP="00D569DE">
            <w:pPr>
              <w:numPr>
                <w:ilvl w:val="0"/>
                <w:numId w:val="13"/>
              </w:numPr>
              <w:shd w:val="clear" w:color="auto" w:fill="FFFFFF"/>
              <w:spacing w:before="100" w:beforeAutospacing="1" w:after="100" w:afterAutospacing="1" w:line="293" w:lineRule="atLeast"/>
              <w:ind w:left="487" w:hanging="426"/>
              <w:jc w:val="both"/>
              <w:rPr>
                <w:rFonts w:ascii="Times New Roman" w:eastAsia="Times New Roman" w:hAnsi="Times New Roman" w:cs="Times New Roman"/>
                <w:lang w:eastAsia="lv-LV"/>
              </w:rPr>
            </w:pPr>
          </w:p>
        </w:tc>
        <w:tc>
          <w:tcPr>
            <w:tcW w:w="4311" w:type="dxa"/>
            <w:tcBorders>
              <w:top w:val="single" w:sz="4" w:space="0" w:color="auto"/>
              <w:left w:val="single" w:sz="4" w:space="0" w:color="auto"/>
              <w:right w:val="single" w:sz="4" w:space="0" w:color="auto"/>
            </w:tcBorders>
          </w:tcPr>
          <w:p w14:paraId="5B5C7697" w14:textId="77777777" w:rsidR="00A40E32" w:rsidRPr="00DC34FD" w:rsidRDefault="00A40E32" w:rsidP="00A40E32">
            <w:pPr>
              <w:pStyle w:val="CommentText"/>
              <w:spacing w:before="60" w:after="0"/>
              <w:jc w:val="center"/>
              <w:rPr>
                <w:sz w:val="22"/>
                <w:szCs w:val="22"/>
              </w:rPr>
            </w:pPr>
            <w:r w:rsidRPr="00DC34FD">
              <w:rPr>
                <w:b/>
                <w:sz w:val="22"/>
                <w:szCs w:val="22"/>
              </w:rPr>
              <w:t>SIA “</w:t>
            </w:r>
            <w:proofErr w:type="spellStart"/>
            <w:r w:rsidRPr="00DC34FD">
              <w:rPr>
                <w:b/>
                <w:sz w:val="22"/>
                <w:szCs w:val="22"/>
              </w:rPr>
              <w:t>GoPlay</w:t>
            </w:r>
            <w:proofErr w:type="spellEnd"/>
            <w:r w:rsidRPr="00DC34FD">
              <w:rPr>
                <w:b/>
                <w:sz w:val="22"/>
                <w:szCs w:val="22"/>
              </w:rPr>
              <w:t>”</w:t>
            </w:r>
          </w:p>
          <w:p w14:paraId="053E5986" w14:textId="77777777" w:rsidR="00A40E32" w:rsidRPr="00DC34FD" w:rsidRDefault="00A40E32" w:rsidP="00A40E32">
            <w:pPr>
              <w:pStyle w:val="CommentText"/>
              <w:spacing w:before="60" w:after="0"/>
              <w:jc w:val="both"/>
              <w:rPr>
                <w:sz w:val="22"/>
                <w:szCs w:val="22"/>
              </w:rPr>
            </w:pPr>
            <w:r w:rsidRPr="00DC34FD">
              <w:rPr>
                <w:sz w:val="22"/>
                <w:szCs w:val="22"/>
              </w:rPr>
              <w:t>Lūdzam Noteikumu projektā vēlreiz izvērtēt attiecīgos punktus un papildināt ar prasībām pēc sertifikācijas... un nevis sertifikātu vietā iesniegt testēšanas pārskatus, tehniskās dokumentācijas un citus neatbilstošus dokumentus, popularizējot neizvēlēties sertificētas preces, bet uzticēties ražotāja dokumentācijai.</w:t>
            </w:r>
          </w:p>
          <w:p w14:paraId="4167F956" w14:textId="77777777" w:rsidR="00A40E32" w:rsidRPr="00DC34FD" w:rsidRDefault="00A40E32" w:rsidP="00D569DE">
            <w:pPr>
              <w:pStyle w:val="CommentText"/>
              <w:spacing w:before="60" w:after="0"/>
              <w:jc w:val="center"/>
              <w:rPr>
                <w:b/>
                <w:color w:val="000000"/>
                <w:sz w:val="22"/>
                <w:szCs w:val="22"/>
              </w:rPr>
            </w:pPr>
          </w:p>
        </w:tc>
        <w:tc>
          <w:tcPr>
            <w:tcW w:w="2410" w:type="dxa"/>
            <w:gridSpan w:val="2"/>
            <w:vMerge/>
            <w:tcBorders>
              <w:left w:val="single" w:sz="4" w:space="0" w:color="auto"/>
              <w:right w:val="single" w:sz="4" w:space="0" w:color="auto"/>
            </w:tcBorders>
          </w:tcPr>
          <w:p w14:paraId="4CD528A4" w14:textId="77777777" w:rsidR="00A40E32" w:rsidRPr="00DC34FD" w:rsidRDefault="00A40E32" w:rsidP="00D569DE">
            <w:pPr>
              <w:pStyle w:val="naisc"/>
              <w:spacing w:before="0" w:after="0"/>
              <w:jc w:val="both"/>
              <w:rPr>
                <w:b/>
                <w:sz w:val="22"/>
                <w:szCs w:val="22"/>
              </w:rPr>
            </w:pPr>
          </w:p>
        </w:tc>
        <w:tc>
          <w:tcPr>
            <w:tcW w:w="4652" w:type="dxa"/>
            <w:vMerge/>
            <w:tcBorders>
              <w:left w:val="single" w:sz="4" w:space="0" w:color="auto"/>
            </w:tcBorders>
          </w:tcPr>
          <w:p w14:paraId="2884F199" w14:textId="77777777" w:rsidR="00A40E32" w:rsidRPr="00DC34FD" w:rsidRDefault="00A40E32" w:rsidP="00D569DE">
            <w:pPr>
              <w:numPr>
                <w:ilvl w:val="0"/>
                <w:numId w:val="14"/>
              </w:numPr>
              <w:shd w:val="clear" w:color="auto" w:fill="FFFFFF"/>
              <w:spacing w:before="100" w:beforeAutospacing="1" w:after="100" w:afterAutospacing="1" w:line="293" w:lineRule="atLeast"/>
              <w:ind w:left="322" w:hanging="322"/>
              <w:jc w:val="both"/>
              <w:rPr>
                <w:rFonts w:ascii="Times New Roman" w:eastAsia="Times New Roman" w:hAnsi="Times New Roman" w:cs="Times New Roman"/>
                <w:lang w:eastAsia="lv-LV"/>
              </w:rPr>
            </w:pPr>
          </w:p>
        </w:tc>
      </w:tr>
      <w:tr w:rsidR="00A40E32" w:rsidRPr="00DC34FD" w14:paraId="18F4E11C" w14:textId="77777777" w:rsidTr="00AF11CB">
        <w:trPr>
          <w:trHeight w:val="6955"/>
        </w:trPr>
        <w:tc>
          <w:tcPr>
            <w:tcW w:w="742" w:type="dxa"/>
            <w:vMerge/>
            <w:tcBorders>
              <w:left w:val="single" w:sz="4" w:space="0" w:color="auto"/>
              <w:right w:val="single" w:sz="4" w:space="0" w:color="auto"/>
            </w:tcBorders>
          </w:tcPr>
          <w:p w14:paraId="09372477" w14:textId="77777777" w:rsidR="00A40E32" w:rsidRPr="00DC34FD" w:rsidRDefault="00A40E32"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237EA45A" w14:textId="77777777" w:rsidR="00A40E32" w:rsidRPr="00DC34FD" w:rsidRDefault="00A40E32" w:rsidP="00A40E32">
            <w:pPr>
              <w:numPr>
                <w:ilvl w:val="0"/>
                <w:numId w:val="13"/>
              </w:numPr>
              <w:shd w:val="clear" w:color="auto" w:fill="FFFFFF"/>
              <w:spacing w:before="100" w:beforeAutospacing="1" w:after="100" w:afterAutospacing="1" w:line="293" w:lineRule="atLeast"/>
              <w:ind w:left="487" w:hanging="426"/>
              <w:jc w:val="both"/>
              <w:rPr>
                <w:rFonts w:ascii="Times New Roman" w:eastAsia="Times New Roman" w:hAnsi="Times New Roman" w:cs="Times New Roman"/>
                <w:lang w:eastAsia="lv-LV"/>
              </w:rPr>
            </w:pPr>
          </w:p>
        </w:tc>
        <w:tc>
          <w:tcPr>
            <w:tcW w:w="4311" w:type="dxa"/>
            <w:tcBorders>
              <w:top w:val="single" w:sz="4" w:space="0" w:color="auto"/>
              <w:left w:val="single" w:sz="4" w:space="0" w:color="auto"/>
              <w:right w:val="single" w:sz="4" w:space="0" w:color="auto"/>
            </w:tcBorders>
          </w:tcPr>
          <w:p w14:paraId="06F2387C" w14:textId="77777777" w:rsidR="00A40E32" w:rsidRPr="00DC34FD" w:rsidRDefault="00A40E32" w:rsidP="00A40E32">
            <w:pPr>
              <w:autoSpaceDE w:val="0"/>
              <w:autoSpaceDN w:val="0"/>
              <w:adjustRightInd w:val="0"/>
              <w:spacing w:after="0" w:line="240" w:lineRule="auto"/>
              <w:jc w:val="center"/>
              <w:rPr>
                <w:rFonts w:ascii="Times New Roman" w:hAnsi="Times New Roman" w:cs="Times New Roman"/>
                <w:color w:val="000000"/>
                <w:lang w:val="en-US"/>
              </w:rPr>
            </w:pPr>
            <w:r w:rsidRPr="00DC34FD">
              <w:rPr>
                <w:rFonts w:ascii="Times New Roman" w:hAnsi="Times New Roman" w:cs="Times New Roman"/>
                <w:b/>
                <w:bCs/>
                <w:color w:val="000000"/>
                <w:lang w:val="en-US"/>
              </w:rPr>
              <w:t xml:space="preserve">SIA </w:t>
            </w:r>
            <w:proofErr w:type="spellStart"/>
            <w:r w:rsidRPr="00DC34FD">
              <w:rPr>
                <w:rFonts w:ascii="Times New Roman" w:hAnsi="Times New Roman" w:cs="Times New Roman"/>
                <w:b/>
                <w:bCs/>
                <w:color w:val="000000"/>
                <w:lang w:val="en-US"/>
              </w:rPr>
              <w:t>Jūrmalas</w:t>
            </w:r>
            <w:proofErr w:type="spellEnd"/>
            <w:r w:rsidRPr="00DC34FD">
              <w:rPr>
                <w:rFonts w:ascii="Times New Roman" w:hAnsi="Times New Roman" w:cs="Times New Roman"/>
                <w:b/>
                <w:bCs/>
                <w:color w:val="000000"/>
                <w:lang w:val="en-US"/>
              </w:rPr>
              <w:t xml:space="preserve"> </w:t>
            </w:r>
            <w:proofErr w:type="spellStart"/>
            <w:r w:rsidRPr="00DC34FD">
              <w:rPr>
                <w:rFonts w:ascii="Times New Roman" w:hAnsi="Times New Roman" w:cs="Times New Roman"/>
                <w:b/>
                <w:bCs/>
                <w:color w:val="000000"/>
                <w:lang w:val="en-US"/>
              </w:rPr>
              <w:t>Mežaparki</w:t>
            </w:r>
            <w:proofErr w:type="spellEnd"/>
          </w:p>
          <w:p w14:paraId="156D918A" w14:textId="77777777" w:rsidR="00A40E32" w:rsidRPr="00DC34FD" w:rsidRDefault="00A40E32" w:rsidP="00A40E32">
            <w:pPr>
              <w:autoSpaceDE w:val="0"/>
              <w:autoSpaceDN w:val="0"/>
              <w:adjustRightInd w:val="0"/>
              <w:spacing w:after="0" w:line="240" w:lineRule="auto"/>
              <w:jc w:val="center"/>
              <w:rPr>
                <w:rFonts w:ascii="Times New Roman" w:hAnsi="Times New Roman" w:cs="Times New Roman"/>
                <w:color w:val="000000"/>
                <w:lang w:val="en-US"/>
              </w:rPr>
            </w:pPr>
            <w:r w:rsidRPr="00DC34FD">
              <w:rPr>
                <w:rFonts w:ascii="Times New Roman" w:hAnsi="Times New Roman" w:cs="Times New Roman"/>
                <w:b/>
                <w:bCs/>
                <w:color w:val="000000"/>
                <w:lang w:val="en-US"/>
              </w:rPr>
              <w:t xml:space="preserve">SIA </w:t>
            </w:r>
            <w:proofErr w:type="spellStart"/>
            <w:r w:rsidRPr="00DC34FD">
              <w:rPr>
                <w:rFonts w:ascii="Times New Roman" w:hAnsi="Times New Roman" w:cs="Times New Roman"/>
                <w:b/>
                <w:bCs/>
                <w:color w:val="000000"/>
                <w:lang w:val="en-US"/>
              </w:rPr>
              <w:t>Fixman</w:t>
            </w:r>
            <w:proofErr w:type="spellEnd"/>
          </w:p>
          <w:p w14:paraId="27752038" w14:textId="77777777" w:rsidR="00A40E32" w:rsidRPr="00DC34FD" w:rsidRDefault="00A40E32" w:rsidP="00A40E32">
            <w:pPr>
              <w:autoSpaceDE w:val="0"/>
              <w:autoSpaceDN w:val="0"/>
              <w:adjustRightInd w:val="0"/>
              <w:spacing w:after="0" w:line="240" w:lineRule="auto"/>
              <w:jc w:val="center"/>
              <w:rPr>
                <w:rFonts w:ascii="Times New Roman" w:hAnsi="Times New Roman" w:cs="Times New Roman"/>
                <w:color w:val="000000"/>
                <w:lang w:val="en-US"/>
              </w:rPr>
            </w:pPr>
            <w:r w:rsidRPr="00DC34FD">
              <w:rPr>
                <w:rFonts w:ascii="Times New Roman" w:hAnsi="Times New Roman" w:cs="Times New Roman"/>
                <w:b/>
                <w:bCs/>
                <w:color w:val="000000"/>
                <w:lang w:val="en-US"/>
              </w:rPr>
              <w:t>SIA KSIL Baltic</w:t>
            </w:r>
          </w:p>
          <w:p w14:paraId="5361C9F4" w14:textId="77777777" w:rsidR="00A40E32" w:rsidRPr="00DC34FD" w:rsidRDefault="00A40E32" w:rsidP="00A40E32">
            <w:pPr>
              <w:spacing w:after="0" w:line="240" w:lineRule="auto"/>
              <w:ind w:left="113"/>
              <w:jc w:val="center"/>
              <w:rPr>
                <w:rFonts w:ascii="Times New Roman" w:hAnsi="Times New Roman" w:cs="Times New Roman"/>
              </w:rPr>
            </w:pPr>
            <w:r w:rsidRPr="00DC34FD">
              <w:rPr>
                <w:rFonts w:ascii="Times New Roman" w:hAnsi="Times New Roman" w:cs="Times New Roman"/>
                <w:b/>
                <w:bCs/>
                <w:color w:val="000000"/>
                <w:lang w:val="en-US"/>
              </w:rPr>
              <w:t>SIA JLD</w:t>
            </w:r>
          </w:p>
          <w:p w14:paraId="4C73D03C" w14:textId="698D65A9" w:rsidR="00A40E32" w:rsidRPr="00DC34FD" w:rsidRDefault="00A40E32" w:rsidP="00A40E32">
            <w:pPr>
              <w:pStyle w:val="CommentText"/>
              <w:spacing w:before="60" w:after="0"/>
              <w:jc w:val="both"/>
              <w:rPr>
                <w:b/>
                <w:color w:val="000000"/>
                <w:sz w:val="22"/>
                <w:szCs w:val="22"/>
              </w:rPr>
            </w:pPr>
            <w:r w:rsidRPr="00DC34FD">
              <w:rPr>
                <w:sz w:val="22"/>
                <w:szCs w:val="22"/>
              </w:rPr>
              <w:t>Lūdzam izvērtēt un pamatot nepieciešamību iesniegt ražošanas procesa aprakstu, definēt, kas ar to tiek saprasts, jo lielākie Eiropas rotaļu iekārtu ražotāji šādus materiālus no savas puses trešajām pusēm neizsniedz. Ar vāji izskaidrotu šīs prasības pamatojumu un aprakstu, kas tiek sagaidīts, šī prasība kļūst par formalitāti, kur ikviens var brīvā formā aprakstīt jebko, ko nevar noraidīt, jo nav definēts, kāds mērķis un kāda informācija īsti būtu saņēmējam jāsaņem no šāda dokumenta.</w:t>
            </w:r>
          </w:p>
        </w:tc>
        <w:tc>
          <w:tcPr>
            <w:tcW w:w="2410" w:type="dxa"/>
            <w:gridSpan w:val="2"/>
            <w:vMerge/>
            <w:tcBorders>
              <w:left w:val="single" w:sz="4" w:space="0" w:color="auto"/>
              <w:right w:val="single" w:sz="4" w:space="0" w:color="auto"/>
            </w:tcBorders>
          </w:tcPr>
          <w:p w14:paraId="120868D6" w14:textId="77777777" w:rsidR="00A40E32" w:rsidRPr="00DC34FD" w:rsidRDefault="00A40E32" w:rsidP="00A40E32">
            <w:pPr>
              <w:pStyle w:val="naisc"/>
              <w:spacing w:before="0" w:after="0"/>
              <w:jc w:val="both"/>
              <w:rPr>
                <w:b/>
                <w:sz w:val="22"/>
                <w:szCs w:val="22"/>
              </w:rPr>
            </w:pPr>
          </w:p>
        </w:tc>
        <w:tc>
          <w:tcPr>
            <w:tcW w:w="4652" w:type="dxa"/>
            <w:vMerge/>
            <w:tcBorders>
              <w:left w:val="single" w:sz="4" w:space="0" w:color="auto"/>
            </w:tcBorders>
          </w:tcPr>
          <w:p w14:paraId="67AAA7D1" w14:textId="77777777" w:rsidR="00A40E32" w:rsidRPr="00DC34FD" w:rsidRDefault="00A40E32" w:rsidP="00A40E32">
            <w:pPr>
              <w:numPr>
                <w:ilvl w:val="0"/>
                <w:numId w:val="14"/>
              </w:numPr>
              <w:shd w:val="clear" w:color="auto" w:fill="FFFFFF"/>
              <w:spacing w:before="100" w:beforeAutospacing="1" w:after="100" w:afterAutospacing="1" w:line="293" w:lineRule="atLeast"/>
              <w:ind w:left="322" w:hanging="322"/>
              <w:jc w:val="both"/>
              <w:rPr>
                <w:rFonts w:ascii="Times New Roman" w:eastAsia="Times New Roman" w:hAnsi="Times New Roman" w:cs="Times New Roman"/>
                <w:lang w:eastAsia="lv-LV"/>
              </w:rPr>
            </w:pPr>
          </w:p>
        </w:tc>
      </w:tr>
      <w:tr w:rsidR="00A40E32" w:rsidRPr="00DC34FD" w14:paraId="68C07683" w14:textId="77777777" w:rsidTr="00AF11CB">
        <w:trPr>
          <w:trHeight w:val="4210"/>
        </w:trPr>
        <w:tc>
          <w:tcPr>
            <w:tcW w:w="742" w:type="dxa"/>
            <w:tcBorders>
              <w:top w:val="single" w:sz="4" w:space="0" w:color="auto"/>
              <w:left w:val="single" w:sz="4" w:space="0" w:color="auto"/>
              <w:right w:val="single" w:sz="4" w:space="0" w:color="auto"/>
            </w:tcBorders>
          </w:tcPr>
          <w:p w14:paraId="396CDF2E" w14:textId="7C3E6BD1" w:rsidR="00A40E32" w:rsidRPr="00DC34FD" w:rsidRDefault="0054303E" w:rsidP="00A40E32">
            <w:pPr>
              <w:spacing w:after="0" w:line="240" w:lineRule="auto"/>
              <w:jc w:val="center"/>
              <w:rPr>
                <w:rFonts w:ascii="Times New Roman" w:hAnsi="Times New Roman" w:cs="Times New Roman"/>
              </w:rPr>
            </w:pPr>
            <w:r>
              <w:rPr>
                <w:rFonts w:ascii="Times New Roman" w:hAnsi="Times New Roman" w:cs="Times New Roman"/>
              </w:rPr>
              <w:lastRenderedPageBreak/>
              <w:t>14.</w:t>
            </w:r>
          </w:p>
        </w:tc>
        <w:tc>
          <w:tcPr>
            <w:tcW w:w="3370" w:type="dxa"/>
            <w:gridSpan w:val="2"/>
            <w:tcBorders>
              <w:top w:val="single" w:sz="4" w:space="0" w:color="auto"/>
              <w:left w:val="single" w:sz="4" w:space="0" w:color="auto"/>
              <w:right w:val="single" w:sz="4" w:space="0" w:color="auto"/>
            </w:tcBorders>
          </w:tcPr>
          <w:p w14:paraId="49201E22" w14:textId="77777777" w:rsidR="00A40E32" w:rsidRPr="00DC34FD" w:rsidRDefault="00A40E32" w:rsidP="00A40E3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12. Spēļu vai citu aktivitāšu iekārtas ražotājs nodrošina, ka:</w:t>
            </w:r>
          </w:p>
          <w:p w14:paraId="20BAAF6B" w14:textId="7030CF46" w:rsidR="00A40E32" w:rsidRPr="00DC34FD" w:rsidRDefault="00A40E32" w:rsidP="00A40E32">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12.1. tā ir projektēta un ražota, ievērojot šajos noteikumos noteiktās būtiskās drošuma prasības, nodrošinot, ka iekārta nerada drošības un veselības apdraudējumu, to uzturot un pielāgojot saskaņā ar ražotāja norādījumiem, un ka netiek pieļauts iekārtas radīts drošības un veselības apdraudējums tās plānotajā lietošanas laikā, ņemot vērā iespējamību, ka iekārta var tikt lietota ne tikai tās paredzētajā, bet arī neparedzētajā veidā;</w:t>
            </w:r>
          </w:p>
        </w:tc>
        <w:tc>
          <w:tcPr>
            <w:tcW w:w="4311" w:type="dxa"/>
            <w:tcBorders>
              <w:top w:val="single" w:sz="4" w:space="0" w:color="auto"/>
              <w:left w:val="single" w:sz="4" w:space="0" w:color="auto"/>
              <w:right w:val="single" w:sz="4" w:space="0" w:color="auto"/>
            </w:tcBorders>
          </w:tcPr>
          <w:p w14:paraId="576F0C72" w14:textId="24258402"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34E86F31" w14:textId="6F52D2D4"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hAnsi="Times New Roman" w:cs="Times New Roman"/>
              </w:rPr>
              <w:t>Nepieciešams precizēt, ko sevī ietver termins “neparedzētais lietošanas veids”.</w:t>
            </w:r>
          </w:p>
        </w:tc>
        <w:tc>
          <w:tcPr>
            <w:tcW w:w="2410" w:type="dxa"/>
            <w:gridSpan w:val="2"/>
            <w:tcBorders>
              <w:top w:val="single" w:sz="4" w:space="0" w:color="auto"/>
              <w:left w:val="single" w:sz="4" w:space="0" w:color="auto"/>
              <w:right w:val="single" w:sz="4" w:space="0" w:color="auto"/>
            </w:tcBorders>
          </w:tcPr>
          <w:p w14:paraId="6B1172AA" w14:textId="1AE31643" w:rsidR="00A40E32" w:rsidRPr="00DC34FD" w:rsidRDefault="00DC34FD" w:rsidP="00A40E32">
            <w:pPr>
              <w:pStyle w:val="naisc"/>
              <w:spacing w:before="0" w:after="0"/>
              <w:jc w:val="both"/>
              <w:rPr>
                <w:sz w:val="22"/>
                <w:szCs w:val="22"/>
              </w:rPr>
            </w:pPr>
            <w:r w:rsidRPr="00DC34FD">
              <w:rPr>
                <w:b/>
                <w:sz w:val="22"/>
                <w:szCs w:val="22"/>
              </w:rPr>
              <w:t>Ņemts vērā</w:t>
            </w:r>
            <w:r w:rsidR="00A40E32" w:rsidRPr="00DC34FD">
              <w:rPr>
                <w:b/>
                <w:sz w:val="22"/>
                <w:szCs w:val="22"/>
              </w:rPr>
              <w:t>.</w:t>
            </w:r>
          </w:p>
          <w:p w14:paraId="3EBBCD1D" w14:textId="10749E85" w:rsidR="00A40E32" w:rsidRPr="00DC34FD" w:rsidRDefault="00DC34FD" w:rsidP="00A40E32">
            <w:pPr>
              <w:pStyle w:val="naisc"/>
              <w:spacing w:before="0" w:after="0"/>
              <w:jc w:val="both"/>
              <w:rPr>
                <w:sz w:val="22"/>
                <w:szCs w:val="22"/>
              </w:rPr>
            </w:pPr>
            <w:r w:rsidRPr="00DC34FD">
              <w:rPr>
                <w:sz w:val="22"/>
                <w:szCs w:val="22"/>
              </w:rPr>
              <w:t>Punkts precizēts</w:t>
            </w:r>
            <w:r w:rsidR="00A40E32" w:rsidRPr="00DC34FD">
              <w:rPr>
                <w:sz w:val="22"/>
                <w:szCs w:val="22"/>
              </w:rPr>
              <w:t>.</w:t>
            </w:r>
          </w:p>
          <w:p w14:paraId="53FE840A" w14:textId="7323C7FB" w:rsidR="00A40E32" w:rsidRPr="00DC34FD" w:rsidRDefault="00A40E32" w:rsidP="00A40E32">
            <w:pPr>
              <w:pStyle w:val="naisc"/>
              <w:spacing w:before="0" w:after="0"/>
              <w:jc w:val="both"/>
              <w:rPr>
                <w:b/>
                <w:sz w:val="22"/>
                <w:szCs w:val="22"/>
              </w:rPr>
            </w:pPr>
          </w:p>
        </w:tc>
        <w:tc>
          <w:tcPr>
            <w:tcW w:w="4652" w:type="dxa"/>
            <w:tcBorders>
              <w:top w:val="single" w:sz="4" w:space="0" w:color="auto"/>
              <w:left w:val="single" w:sz="4" w:space="0" w:color="auto"/>
            </w:tcBorders>
          </w:tcPr>
          <w:p w14:paraId="4090A191" w14:textId="77777777" w:rsidR="00DC34FD" w:rsidRPr="00DC34FD" w:rsidRDefault="00DC34FD" w:rsidP="00DC34FD">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12. Spēļu vai citu aktivitāšu iekārtas ražotājs nodrošina, ka:</w:t>
            </w:r>
          </w:p>
          <w:p w14:paraId="661C5A48" w14:textId="027F897D" w:rsidR="00A40E32" w:rsidRPr="00DC34FD" w:rsidRDefault="00DC34FD" w:rsidP="00DC34FD">
            <w:pPr>
              <w:spacing w:after="0" w:line="240" w:lineRule="auto"/>
              <w:jc w:val="both"/>
              <w:rPr>
                <w:rFonts w:ascii="Times New Roman" w:hAnsi="Times New Roman" w:cs="Times New Roman"/>
              </w:rPr>
            </w:pPr>
            <w:r w:rsidRPr="00DC34FD">
              <w:rPr>
                <w:rFonts w:ascii="Times New Roman" w:hAnsi="Times New Roman" w:cs="Times New Roman"/>
              </w:rPr>
              <w:t>12.1. tā ir projektēta un ražota, ievērojot šajos noteikumos noteiktās drošuma prasības, nodrošinot, ka iekārta nerada drošības un veselības apdraudējumu, to uzturot un lietojot saskaņā ar ražotāja norādījumiem, un ka netiek pieļauts iekārtas radīts drošības un veselības apdraudējums tās plānotajā lietošanas laikā, ņemot vērā iespējamību, ka iekārta var tikt lietota ne tikai tās paredzētajā, bet arī paredzamajā veidā;</w:t>
            </w:r>
          </w:p>
        </w:tc>
      </w:tr>
      <w:tr w:rsidR="00A40E32" w:rsidRPr="00DC34FD" w14:paraId="62EFF084" w14:textId="77777777" w:rsidTr="00AF11CB">
        <w:trPr>
          <w:trHeight w:val="4210"/>
        </w:trPr>
        <w:tc>
          <w:tcPr>
            <w:tcW w:w="742" w:type="dxa"/>
            <w:tcBorders>
              <w:top w:val="single" w:sz="4" w:space="0" w:color="auto"/>
              <w:left w:val="single" w:sz="4" w:space="0" w:color="auto"/>
              <w:right w:val="single" w:sz="4" w:space="0" w:color="auto"/>
            </w:tcBorders>
          </w:tcPr>
          <w:p w14:paraId="3FF864EE" w14:textId="1E33FF98" w:rsidR="00A40E32" w:rsidRPr="00DC34FD" w:rsidRDefault="0054303E" w:rsidP="00A40E32">
            <w:pPr>
              <w:spacing w:after="0" w:line="240" w:lineRule="auto"/>
              <w:jc w:val="center"/>
              <w:rPr>
                <w:rFonts w:ascii="Times New Roman" w:hAnsi="Times New Roman" w:cs="Times New Roman"/>
              </w:rPr>
            </w:pPr>
            <w:r>
              <w:rPr>
                <w:rFonts w:ascii="Times New Roman" w:hAnsi="Times New Roman" w:cs="Times New Roman"/>
              </w:rPr>
              <w:t>15.</w:t>
            </w:r>
          </w:p>
        </w:tc>
        <w:tc>
          <w:tcPr>
            <w:tcW w:w="3370" w:type="dxa"/>
            <w:gridSpan w:val="2"/>
            <w:tcBorders>
              <w:top w:val="single" w:sz="4" w:space="0" w:color="auto"/>
              <w:left w:val="single" w:sz="4" w:space="0" w:color="auto"/>
              <w:right w:val="single" w:sz="4" w:space="0" w:color="auto"/>
            </w:tcBorders>
          </w:tcPr>
          <w:p w14:paraId="3744D29B" w14:textId="5D56D11C" w:rsidR="00A40E32" w:rsidRPr="00DC34FD" w:rsidRDefault="00A40E32" w:rsidP="00A40E3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12.2. ir izstrādāta tās tehniskā dokumentācija vienā no Eiropas Savienības dalībvalstu oficiālajām valodām, un tajā ir ietverti visi dati vai norādes par līdzekļiem, kurus ražotājs izmantojis, lai nodrošinātu atbilstību būtiskajām drošuma prasībām, tai skaitā:</w:t>
            </w:r>
          </w:p>
        </w:tc>
        <w:tc>
          <w:tcPr>
            <w:tcW w:w="4311" w:type="dxa"/>
            <w:tcBorders>
              <w:top w:val="single" w:sz="4" w:space="0" w:color="auto"/>
              <w:left w:val="single" w:sz="4" w:space="0" w:color="auto"/>
              <w:right w:val="single" w:sz="4" w:space="0" w:color="auto"/>
            </w:tcBorders>
          </w:tcPr>
          <w:p w14:paraId="6DFA149E" w14:textId="77777777" w:rsidR="00A40E32" w:rsidRPr="00DC34FD" w:rsidRDefault="00A40E32" w:rsidP="00A40E32">
            <w:pPr>
              <w:pStyle w:val="CommentText"/>
              <w:spacing w:before="60" w:after="0"/>
              <w:jc w:val="center"/>
              <w:rPr>
                <w:b/>
                <w:color w:val="000000"/>
                <w:sz w:val="22"/>
                <w:szCs w:val="22"/>
              </w:rPr>
            </w:pPr>
            <w:r w:rsidRPr="00DC34FD">
              <w:rPr>
                <w:b/>
                <w:color w:val="000000"/>
                <w:sz w:val="22"/>
                <w:szCs w:val="22"/>
              </w:rPr>
              <w:t>Reģionālo attīstības centru apvienība</w:t>
            </w:r>
          </w:p>
          <w:p w14:paraId="66505D79" w14:textId="6C7698FA" w:rsidR="00A40E32" w:rsidRPr="00DC34FD" w:rsidRDefault="00A40E32" w:rsidP="00A40E32">
            <w:pPr>
              <w:pStyle w:val="CommentText"/>
              <w:spacing w:before="60" w:after="0"/>
              <w:jc w:val="both"/>
              <w:rPr>
                <w:b/>
                <w:sz w:val="22"/>
                <w:szCs w:val="22"/>
              </w:rPr>
            </w:pPr>
            <w:r w:rsidRPr="00DC34FD">
              <w:rPr>
                <w:color w:val="000000"/>
                <w:sz w:val="22"/>
                <w:szCs w:val="22"/>
                <w:u w:val="single"/>
              </w:rPr>
              <w:t>RACA rosina</w:t>
            </w:r>
            <w:r w:rsidRPr="00DC34FD">
              <w:rPr>
                <w:color w:val="000000"/>
                <w:sz w:val="22"/>
                <w:szCs w:val="22"/>
              </w:rPr>
              <w:t xml:space="preserve"> noteikumu projekta 12.2. punktu izteikt </w:t>
            </w:r>
            <w:r w:rsidRPr="00DC34FD">
              <w:rPr>
                <w:sz w:val="22"/>
                <w:szCs w:val="22"/>
              </w:rPr>
              <w:t>sekojošā redakcijā:</w:t>
            </w:r>
            <w:r w:rsidRPr="00DC34FD">
              <w:rPr>
                <w:rFonts w:eastAsia="Times New Roman"/>
                <w:sz w:val="22"/>
                <w:szCs w:val="22"/>
                <w:lang w:eastAsia="lv-LV"/>
              </w:rPr>
              <w:t xml:space="preserve"> „</w:t>
            </w:r>
            <w:r w:rsidRPr="00DC34FD">
              <w:rPr>
                <w:sz w:val="22"/>
                <w:szCs w:val="22"/>
              </w:rPr>
              <w:t>ir izstrādāta tās tehniskā dokumentācija vienā no Eiropas Savienības dalībvalstu oficiālajām valodām ar tulkojumu latviešu valodā”.</w:t>
            </w:r>
          </w:p>
        </w:tc>
        <w:tc>
          <w:tcPr>
            <w:tcW w:w="2410" w:type="dxa"/>
            <w:gridSpan w:val="2"/>
            <w:tcBorders>
              <w:top w:val="single" w:sz="4" w:space="0" w:color="auto"/>
              <w:left w:val="single" w:sz="4" w:space="0" w:color="auto"/>
              <w:right w:val="single" w:sz="4" w:space="0" w:color="auto"/>
            </w:tcBorders>
          </w:tcPr>
          <w:p w14:paraId="798EEC96" w14:textId="77777777" w:rsidR="00A40E32" w:rsidRPr="00DC34FD" w:rsidRDefault="00A40E32" w:rsidP="00A40E32">
            <w:pPr>
              <w:pStyle w:val="naisc"/>
              <w:spacing w:before="0" w:after="0"/>
              <w:jc w:val="both"/>
              <w:rPr>
                <w:b/>
                <w:sz w:val="22"/>
                <w:szCs w:val="22"/>
              </w:rPr>
            </w:pPr>
            <w:r w:rsidRPr="00DC34FD">
              <w:rPr>
                <w:b/>
                <w:sz w:val="22"/>
                <w:szCs w:val="22"/>
              </w:rPr>
              <w:t>Panākta vienošanās.</w:t>
            </w:r>
          </w:p>
          <w:p w14:paraId="341ECAA4" w14:textId="19FE5B5A" w:rsidR="00A40E32" w:rsidRPr="00DC34FD" w:rsidRDefault="00A40E32" w:rsidP="00A40E32">
            <w:pPr>
              <w:pStyle w:val="naisc"/>
              <w:spacing w:before="0" w:after="0"/>
              <w:jc w:val="both"/>
              <w:rPr>
                <w:sz w:val="22"/>
                <w:szCs w:val="22"/>
              </w:rPr>
            </w:pPr>
            <w:r w:rsidRPr="00DC34FD">
              <w:rPr>
                <w:sz w:val="22"/>
                <w:szCs w:val="22"/>
              </w:rPr>
              <w:t>Tehniskā dokumentācija var būt nepieciešama Centram. Būtu nesamērīgi vienmēr un visos gadījumos (neatkarīgi no faktiskās nepieciešamības) pieprasīt tulkojumu latviešu valodā.</w:t>
            </w:r>
          </w:p>
        </w:tc>
        <w:tc>
          <w:tcPr>
            <w:tcW w:w="4652" w:type="dxa"/>
            <w:tcBorders>
              <w:top w:val="single" w:sz="4" w:space="0" w:color="auto"/>
              <w:left w:val="single" w:sz="4" w:space="0" w:color="auto"/>
            </w:tcBorders>
          </w:tcPr>
          <w:p w14:paraId="1C50CDB2" w14:textId="71CA20ED" w:rsidR="00A40E32" w:rsidRPr="00DC34FD" w:rsidRDefault="00A40E32" w:rsidP="00A40E32">
            <w:pPr>
              <w:spacing w:after="0" w:line="240" w:lineRule="auto"/>
              <w:jc w:val="both"/>
              <w:rPr>
                <w:rFonts w:ascii="Times New Roman" w:hAnsi="Times New Roman" w:cs="Times New Roman"/>
              </w:rPr>
            </w:pPr>
            <w:r w:rsidRPr="00DC34FD">
              <w:rPr>
                <w:rFonts w:ascii="Times New Roman" w:eastAsia="Times New Roman" w:hAnsi="Times New Roman" w:cs="Times New Roman"/>
                <w:lang w:eastAsia="lv-LV"/>
              </w:rPr>
              <w:t>12.2. ir izstrādāta tās tehniskā dokumentācija vienā no Eiropas Savienības dalībvalstu oficiālajām valodām, un tajā ir ietverti visi dati vai norādes par līdzekļiem, kurus ražotājs izmantojis, lai nodrošinātu atbilstību drošuma prasībām, tai skaitā:</w:t>
            </w:r>
          </w:p>
        </w:tc>
      </w:tr>
      <w:tr w:rsidR="00A40E32" w:rsidRPr="00DC34FD" w14:paraId="6D2869F9" w14:textId="77777777" w:rsidTr="00AF11CB">
        <w:tc>
          <w:tcPr>
            <w:tcW w:w="742" w:type="dxa"/>
            <w:tcBorders>
              <w:top w:val="single" w:sz="4" w:space="0" w:color="auto"/>
              <w:left w:val="single" w:sz="4" w:space="0" w:color="auto"/>
              <w:bottom w:val="single" w:sz="4" w:space="0" w:color="auto"/>
              <w:right w:val="single" w:sz="4" w:space="0" w:color="auto"/>
            </w:tcBorders>
          </w:tcPr>
          <w:p w14:paraId="3943C6E7" w14:textId="4BE125DA" w:rsidR="00A40E32" w:rsidRPr="00DC34FD" w:rsidRDefault="0054303E" w:rsidP="00A40E32">
            <w:pPr>
              <w:spacing w:after="0" w:line="240" w:lineRule="auto"/>
              <w:jc w:val="center"/>
              <w:rPr>
                <w:rFonts w:ascii="Times New Roman" w:hAnsi="Times New Roman" w:cs="Times New Roman"/>
              </w:rPr>
            </w:pPr>
            <w:r>
              <w:rPr>
                <w:rFonts w:ascii="Times New Roman" w:hAnsi="Times New Roman" w:cs="Times New Roman"/>
              </w:rPr>
              <w:lastRenderedPageBreak/>
              <w:t>1</w:t>
            </w:r>
            <w:r w:rsidR="00A40E32" w:rsidRPr="00DC34FD">
              <w:rPr>
                <w:rFonts w:ascii="Times New Roman" w:hAnsi="Times New Roman" w:cs="Times New Roman"/>
              </w:rPr>
              <w:t>6.</w:t>
            </w:r>
          </w:p>
        </w:tc>
        <w:tc>
          <w:tcPr>
            <w:tcW w:w="3370" w:type="dxa"/>
            <w:gridSpan w:val="2"/>
            <w:tcBorders>
              <w:top w:val="single" w:sz="4" w:space="0" w:color="auto"/>
              <w:left w:val="single" w:sz="4" w:space="0" w:color="auto"/>
              <w:bottom w:val="single" w:sz="4" w:space="0" w:color="auto"/>
              <w:right w:val="single" w:sz="4" w:space="0" w:color="auto"/>
            </w:tcBorders>
          </w:tcPr>
          <w:p w14:paraId="5B78DD8B" w14:textId="77777777" w:rsidR="00A40E32" w:rsidRPr="00DC34FD" w:rsidRDefault="00A40E32" w:rsidP="00A40E32">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12.3. tehniskā dokumentācija tiek saglabāta 10 gadus pēc spēļu vai citu aktivitāšu iekārtas laišanas tirgū, lai tā būtu pieejama Patērētāju tiesību aizsardzības centram (turpmāk – Centrs);</w:t>
            </w:r>
          </w:p>
          <w:p w14:paraId="5A39B682" w14:textId="673115F8" w:rsidR="00A40E32" w:rsidRPr="00DC34FD" w:rsidRDefault="00A40E32" w:rsidP="00A40E32">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13. Spēļu vai citu aktivitāšu iekārtas importētāja pienākums ir laist tirgū tikai šo noteikumu prasībām atbilstošas spēļu vai citu aktivitāšu iekārtas, un tas nodrošina, ka pirms iekārtas laišanas tirgū ražotājs ir veicis tā pienākumus atbilstoši šo noteikumu 12. punktam, tai skaitā pievienojis šo noteikumu 12.2.4. apakšpunktā noteiktos dokumentus valsts valodā. Spēļu vai citu aktivitāšu iekārtas importētājs saglabā tehnisko dokumentāciju 10 gadus pēc spēļu vai citu aktivitāšu iekārtas laišanas tirgū, lai tā būtu pieejama Centram.</w:t>
            </w:r>
          </w:p>
        </w:tc>
        <w:tc>
          <w:tcPr>
            <w:tcW w:w="4311" w:type="dxa"/>
            <w:tcBorders>
              <w:top w:val="single" w:sz="4" w:space="0" w:color="auto"/>
              <w:left w:val="single" w:sz="4" w:space="0" w:color="auto"/>
              <w:bottom w:val="single" w:sz="4" w:space="0" w:color="auto"/>
              <w:right w:val="single" w:sz="4" w:space="0" w:color="auto"/>
            </w:tcBorders>
          </w:tcPr>
          <w:p w14:paraId="293640B5" w14:textId="77777777"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t>Tieslietu ministrija</w:t>
            </w:r>
          </w:p>
          <w:p w14:paraId="3AEC42A6" w14:textId="215D364C" w:rsidR="00A40E32" w:rsidRPr="00DC34FD" w:rsidRDefault="00A40E32" w:rsidP="00A40E32">
            <w:pPr>
              <w:spacing w:after="0" w:line="240" w:lineRule="auto"/>
              <w:ind w:firstLine="709"/>
              <w:jc w:val="both"/>
              <w:rPr>
                <w:rFonts w:ascii="Times New Roman" w:eastAsia="Times New Roman" w:hAnsi="Times New Roman" w:cs="Times New Roman"/>
              </w:rPr>
            </w:pPr>
            <w:r w:rsidRPr="00DC34FD">
              <w:rPr>
                <w:rFonts w:ascii="Times New Roman" w:eastAsia="Times New Roman" w:hAnsi="Times New Roman" w:cs="Times New Roman"/>
              </w:rPr>
              <w:t>Projekta 12.3. apakšpunkts un 13. punkts paredz pienākumu tehnisko dokumentāciju saglabāt 10 gadus pēc spēļu vai citu aktivitāšu iekārtu laišanas tirgū, lai tā būtu pieejama Patērētāju tiesību aizsardzības centram. Lūdzam anotācijā izvērtēt šādas informācijas glabāšanas termiņa samērīgumu un nepieciešamību.</w:t>
            </w:r>
          </w:p>
        </w:tc>
        <w:tc>
          <w:tcPr>
            <w:tcW w:w="2410" w:type="dxa"/>
            <w:gridSpan w:val="2"/>
            <w:tcBorders>
              <w:top w:val="single" w:sz="4" w:space="0" w:color="auto"/>
              <w:left w:val="single" w:sz="4" w:space="0" w:color="auto"/>
              <w:bottom w:val="single" w:sz="4" w:space="0" w:color="auto"/>
              <w:right w:val="single" w:sz="4" w:space="0" w:color="auto"/>
            </w:tcBorders>
          </w:tcPr>
          <w:p w14:paraId="14C59FA8" w14:textId="1E1C3CE0" w:rsidR="00A40E32" w:rsidRPr="00DC34FD" w:rsidRDefault="00A40E32" w:rsidP="00A40E32">
            <w:pPr>
              <w:pStyle w:val="naisc"/>
              <w:spacing w:before="0" w:after="0"/>
              <w:jc w:val="both"/>
              <w:rPr>
                <w:sz w:val="22"/>
                <w:szCs w:val="22"/>
              </w:rPr>
            </w:pPr>
            <w:r w:rsidRPr="00DC34FD">
              <w:rPr>
                <w:b/>
                <w:sz w:val="22"/>
                <w:szCs w:val="22"/>
              </w:rPr>
              <w:t>Ņemts vērā.</w:t>
            </w:r>
            <w:r w:rsidRPr="00DC34FD">
              <w:rPr>
                <w:sz w:val="22"/>
                <w:szCs w:val="22"/>
              </w:rPr>
              <w:t xml:space="preserve"> Papildināta anotācija.</w:t>
            </w:r>
          </w:p>
        </w:tc>
        <w:tc>
          <w:tcPr>
            <w:tcW w:w="4652" w:type="dxa"/>
            <w:tcBorders>
              <w:top w:val="single" w:sz="4" w:space="0" w:color="auto"/>
              <w:left w:val="single" w:sz="4" w:space="0" w:color="auto"/>
              <w:bottom w:val="single" w:sz="4" w:space="0" w:color="auto"/>
            </w:tcBorders>
          </w:tcPr>
          <w:p w14:paraId="7C8A9FFB" w14:textId="1806DDB7" w:rsidR="00A40E32" w:rsidRPr="00DC34FD" w:rsidRDefault="00A40E32" w:rsidP="00A40E32">
            <w:pPr>
              <w:spacing w:after="0" w:line="240" w:lineRule="auto"/>
              <w:jc w:val="both"/>
              <w:rPr>
                <w:rFonts w:ascii="Times New Roman" w:hAnsi="Times New Roman" w:cs="Times New Roman"/>
              </w:rPr>
            </w:pPr>
          </w:p>
        </w:tc>
      </w:tr>
      <w:tr w:rsidR="00A40E32" w:rsidRPr="00DC34FD" w14:paraId="36D3B7DB" w14:textId="77777777" w:rsidTr="00AF11CB">
        <w:trPr>
          <w:trHeight w:val="3396"/>
        </w:trPr>
        <w:tc>
          <w:tcPr>
            <w:tcW w:w="742" w:type="dxa"/>
            <w:tcBorders>
              <w:top w:val="single" w:sz="4" w:space="0" w:color="auto"/>
              <w:left w:val="single" w:sz="4" w:space="0" w:color="auto"/>
              <w:bottom w:val="single" w:sz="4" w:space="0" w:color="auto"/>
              <w:right w:val="single" w:sz="4" w:space="0" w:color="auto"/>
            </w:tcBorders>
          </w:tcPr>
          <w:p w14:paraId="1AA8C564" w14:textId="1775FD45" w:rsidR="00A40E32" w:rsidRPr="00DC34FD" w:rsidRDefault="0054303E" w:rsidP="00A40E32">
            <w:pPr>
              <w:spacing w:after="0" w:line="240" w:lineRule="auto"/>
              <w:jc w:val="center"/>
              <w:rPr>
                <w:rFonts w:ascii="Times New Roman" w:hAnsi="Times New Roman" w:cs="Times New Roman"/>
              </w:rPr>
            </w:pPr>
            <w:r>
              <w:rPr>
                <w:rFonts w:ascii="Times New Roman" w:hAnsi="Times New Roman" w:cs="Times New Roman"/>
              </w:rPr>
              <w:lastRenderedPageBreak/>
              <w:t>1</w:t>
            </w:r>
            <w:r w:rsidR="00A40E32" w:rsidRPr="00DC34FD">
              <w:rPr>
                <w:rFonts w:ascii="Times New Roman" w:hAnsi="Times New Roman" w:cs="Times New Roman"/>
              </w:rPr>
              <w:t>7.</w:t>
            </w:r>
          </w:p>
        </w:tc>
        <w:tc>
          <w:tcPr>
            <w:tcW w:w="3370" w:type="dxa"/>
            <w:gridSpan w:val="2"/>
            <w:tcBorders>
              <w:top w:val="single" w:sz="4" w:space="0" w:color="auto"/>
              <w:left w:val="single" w:sz="4" w:space="0" w:color="auto"/>
              <w:bottom w:val="single" w:sz="4" w:space="0" w:color="auto"/>
              <w:right w:val="single" w:sz="4" w:space="0" w:color="auto"/>
            </w:tcBorders>
          </w:tcPr>
          <w:p w14:paraId="75AB14B8" w14:textId="512834EC" w:rsidR="00A40E32" w:rsidRPr="00DC34FD" w:rsidRDefault="00A40E32" w:rsidP="00A40E32">
            <w:pPr>
              <w:pStyle w:val="ListParagraph"/>
              <w:numPr>
                <w:ilvl w:val="1"/>
                <w:numId w:val="4"/>
              </w:numPr>
              <w:tabs>
                <w:tab w:val="left" w:pos="993"/>
              </w:tabs>
              <w:spacing w:after="0" w:line="240" w:lineRule="auto"/>
              <w:ind w:left="0" w:firstLine="0"/>
              <w:jc w:val="both"/>
              <w:rPr>
                <w:rFonts w:ascii="Times New Roman" w:hAnsi="Times New Roman"/>
              </w:rPr>
            </w:pPr>
            <w:r w:rsidRPr="00DC34FD">
              <w:rPr>
                <w:rFonts w:ascii="Times New Roman" w:hAnsi="Times New Roman"/>
              </w:rPr>
              <w:t>pēc Centra pamatota pieprasījuma sniegt visu nepieciešamo informāciju un dokumentāciju Centram valsts valodā vai citā pieņemamā valodā, lai pierādītu spēļu vai citu aktivitāšu iekārtas atbilstību;</w:t>
            </w:r>
          </w:p>
          <w:p w14:paraId="60E6DF14" w14:textId="77777777" w:rsidR="00A40E32" w:rsidRPr="00DC34FD" w:rsidRDefault="00A40E32" w:rsidP="00A40E32">
            <w:pPr>
              <w:pStyle w:val="ListParagraph"/>
              <w:numPr>
                <w:ilvl w:val="1"/>
                <w:numId w:val="4"/>
              </w:numPr>
              <w:tabs>
                <w:tab w:val="left" w:pos="993"/>
              </w:tabs>
              <w:spacing w:after="0" w:line="240" w:lineRule="auto"/>
              <w:ind w:left="0" w:firstLine="0"/>
              <w:jc w:val="both"/>
              <w:rPr>
                <w:rFonts w:ascii="Times New Roman" w:hAnsi="Times New Roman"/>
              </w:rPr>
            </w:pPr>
            <w:r w:rsidRPr="00DC34FD">
              <w:rPr>
                <w:rFonts w:ascii="Times New Roman" w:hAnsi="Times New Roman"/>
              </w:rPr>
              <w:t>pēc Centra pieprasījuma sadarboties ar Centru jebkādos pasākumos, lai novērstu piedāvāto spēļu vai citu aktivitāšu iekārtas radīto risku.</w:t>
            </w:r>
          </w:p>
          <w:p w14:paraId="19D23463" w14:textId="59E34726" w:rsidR="00A40E32" w:rsidRPr="00DC34FD" w:rsidRDefault="00A40E32" w:rsidP="00A40E32">
            <w:pPr>
              <w:pStyle w:val="tv213"/>
              <w:numPr>
                <w:ilvl w:val="1"/>
                <w:numId w:val="5"/>
              </w:numPr>
              <w:shd w:val="clear" w:color="auto" w:fill="FFFFFF"/>
              <w:spacing w:before="0" w:beforeAutospacing="0" w:after="0" w:afterAutospacing="0" w:line="293" w:lineRule="atLeast"/>
              <w:ind w:left="0" w:firstLine="0"/>
              <w:jc w:val="both"/>
              <w:rPr>
                <w:sz w:val="22"/>
                <w:szCs w:val="22"/>
              </w:rPr>
            </w:pPr>
            <w:r w:rsidRPr="00DC34FD">
              <w:rPr>
                <w:sz w:val="22"/>
                <w:szCs w:val="22"/>
              </w:rPr>
              <w:t>pēc Centra pieprasījuma sadarboties ar Centru jebkādos pasākumos, lai novērstu uzstādītās spēļu vai citu aktivitāšu iekārtas radīto risku, tai skaitā sniegt Centram visu nepieciešamo un pieejamo informāciju un dokumentāciju, lai pierādītu spēļu vai citu aktivitāšu iekārtas atbilstību;</w:t>
            </w:r>
          </w:p>
          <w:p w14:paraId="48AE89B8" w14:textId="77777777" w:rsidR="00A40E32" w:rsidRPr="00DC34FD" w:rsidRDefault="00A40E32" w:rsidP="00A40E32">
            <w:pPr>
              <w:pStyle w:val="ListParagraph"/>
              <w:numPr>
                <w:ilvl w:val="1"/>
                <w:numId w:val="5"/>
              </w:numPr>
              <w:tabs>
                <w:tab w:val="left" w:pos="993"/>
              </w:tabs>
              <w:spacing w:after="0" w:line="240" w:lineRule="auto"/>
              <w:ind w:left="0" w:firstLine="0"/>
              <w:jc w:val="both"/>
              <w:rPr>
                <w:rFonts w:ascii="Times New Roman" w:hAnsi="Times New Roman"/>
              </w:rPr>
            </w:pPr>
            <w:r w:rsidRPr="00DC34FD">
              <w:rPr>
                <w:rFonts w:ascii="Times New Roman" w:hAnsi="Times New Roman"/>
              </w:rPr>
              <w:t xml:space="preserve">pēc Centra pieprasījuma nodrošināt </w:t>
            </w:r>
            <w:bookmarkStart w:id="3" w:name="_Hlk528115856"/>
            <w:r w:rsidRPr="00DC34FD">
              <w:rPr>
                <w:rFonts w:ascii="Times New Roman" w:hAnsi="Times New Roman"/>
              </w:rPr>
              <w:t xml:space="preserve">publiskā spēļu laukuma vai attiecīgā spēļu vai citu aktivitāšu iekārtas nepieejamību līdz </w:t>
            </w:r>
            <w:bookmarkEnd w:id="3"/>
            <w:r w:rsidRPr="00DC34FD">
              <w:rPr>
                <w:rFonts w:ascii="Times New Roman" w:hAnsi="Times New Roman"/>
              </w:rPr>
              <w:t>to radītā riska novēršanai.</w:t>
            </w:r>
          </w:p>
          <w:p w14:paraId="35562B02" w14:textId="77ED1519" w:rsidR="00A40E32" w:rsidRPr="00DC34FD" w:rsidRDefault="00A40E32" w:rsidP="00A40E32">
            <w:pPr>
              <w:pStyle w:val="ListParagraph"/>
              <w:tabs>
                <w:tab w:val="left" w:pos="993"/>
              </w:tabs>
              <w:spacing w:after="0" w:line="240" w:lineRule="auto"/>
              <w:ind w:left="0"/>
              <w:jc w:val="both"/>
              <w:rPr>
                <w:rFonts w:ascii="Times New Roman" w:hAnsi="Times New Roman"/>
              </w:rPr>
            </w:pPr>
            <w:r w:rsidRPr="00DC34FD">
              <w:rPr>
                <w:rFonts w:ascii="Times New Roman" w:hAnsi="Times New Roman"/>
              </w:rPr>
              <w:t xml:space="preserve">26. Centram identificējot publisku spēļu laukumu, kurš nav reģistrēts vai kura dati nav aktualizēti reģistrā, Centrs pēc savas iniciatīvas veic publiskā spēļu laukuma reģistrāciju vai tā datu aktualizāciju, </w:t>
            </w:r>
            <w:r w:rsidRPr="00DC34FD">
              <w:rPr>
                <w:rFonts w:ascii="Times New Roman" w:hAnsi="Times New Roman"/>
              </w:rPr>
              <w:lastRenderedPageBreak/>
              <w:t>nepieciešamības gadījumā pieprasot informāciju tā valdītājam.</w:t>
            </w:r>
          </w:p>
        </w:tc>
        <w:tc>
          <w:tcPr>
            <w:tcW w:w="4311" w:type="dxa"/>
            <w:tcBorders>
              <w:top w:val="single" w:sz="4" w:space="0" w:color="auto"/>
              <w:left w:val="single" w:sz="4" w:space="0" w:color="auto"/>
              <w:bottom w:val="single" w:sz="4" w:space="0" w:color="auto"/>
              <w:right w:val="single" w:sz="4" w:space="0" w:color="auto"/>
            </w:tcBorders>
          </w:tcPr>
          <w:p w14:paraId="05542F07" w14:textId="77777777"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lastRenderedPageBreak/>
              <w:t>Tieslietu ministrija</w:t>
            </w:r>
          </w:p>
          <w:p w14:paraId="404A9783" w14:textId="77777777" w:rsidR="00A40E32" w:rsidRPr="00DC34FD" w:rsidRDefault="00A40E32" w:rsidP="00A40E32">
            <w:pPr>
              <w:spacing w:after="0" w:line="240" w:lineRule="auto"/>
              <w:ind w:firstLine="709"/>
              <w:jc w:val="both"/>
              <w:rPr>
                <w:rFonts w:ascii="Times New Roman" w:eastAsia="Times New Roman" w:hAnsi="Times New Roman" w:cs="Times New Roman"/>
              </w:rPr>
            </w:pPr>
            <w:r w:rsidRPr="00DC34FD">
              <w:rPr>
                <w:rFonts w:ascii="Times New Roman" w:eastAsia="Times New Roman" w:hAnsi="Times New Roman" w:cs="Times New Roman"/>
              </w:rPr>
              <w:t xml:space="preserve">Projekta 15.3., 15.4., 16.7., 16.8. apakšpunkts un 26. punkts noteic ražotāja, importētāja un izplatītāja, kā arī valdītāja pienākumu pēc Patērētāju tiesību aizsardzības centra pieprasījuma sniegt visu nepieciešamo informāciju un dokumentāciju Centram un sadarboties jebkādos pasākumos, lai novērstu spēļu vai citu aktivitāšu iekārtu radīto risku. </w:t>
            </w:r>
          </w:p>
          <w:p w14:paraId="6A0B3F24" w14:textId="3738D41F" w:rsidR="00A40E32" w:rsidRPr="00DC34FD" w:rsidRDefault="00A40E32" w:rsidP="00A40E32">
            <w:pPr>
              <w:spacing w:after="0" w:line="240" w:lineRule="auto"/>
              <w:ind w:firstLine="709"/>
              <w:jc w:val="both"/>
              <w:rPr>
                <w:rFonts w:ascii="Times New Roman" w:eastAsia="Times New Roman" w:hAnsi="Times New Roman" w:cs="Times New Roman"/>
              </w:rPr>
            </w:pPr>
            <w:r w:rsidRPr="00DC34FD">
              <w:rPr>
                <w:rFonts w:ascii="Times New Roman" w:eastAsia="Times New Roman" w:hAnsi="Times New Roman" w:cs="Times New Roman"/>
              </w:rPr>
              <w:tab/>
              <w:t>Vēršam uzmanību, ka Preču un pakalpojuma drošuma likuma 8. panta piektā un sestā daļa noteic pienākumu sadarboties ar uzraudzības un kontroles iestādēm, kā arī informēt par preces vai pakalpojuma risku. Ievērojot, ka šāds regulējums jau ir noteikts Preču un pakalpojuma drošuma likumā, lūdzam attiecīgo regulējumu projektā nedublēt. Ievērojot minēto, lūdzam precizēt projekta 15.3., 15.4., 16.7., 16.8. apakšpunktu un 26. punktu.</w:t>
            </w:r>
          </w:p>
        </w:tc>
        <w:tc>
          <w:tcPr>
            <w:tcW w:w="2410" w:type="dxa"/>
            <w:gridSpan w:val="2"/>
            <w:tcBorders>
              <w:top w:val="single" w:sz="4" w:space="0" w:color="auto"/>
              <w:left w:val="single" w:sz="4" w:space="0" w:color="auto"/>
              <w:bottom w:val="single" w:sz="4" w:space="0" w:color="auto"/>
              <w:right w:val="single" w:sz="4" w:space="0" w:color="auto"/>
            </w:tcBorders>
          </w:tcPr>
          <w:p w14:paraId="68400ACA" w14:textId="77777777" w:rsidR="00A40E32" w:rsidRPr="00DC34FD" w:rsidRDefault="00A40E32" w:rsidP="00A40E32">
            <w:pPr>
              <w:pStyle w:val="naisc"/>
              <w:spacing w:before="0" w:after="0"/>
              <w:jc w:val="left"/>
              <w:rPr>
                <w:b/>
                <w:sz w:val="22"/>
                <w:szCs w:val="22"/>
              </w:rPr>
            </w:pPr>
            <w:r w:rsidRPr="00DC34FD">
              <w:rPr>
                <w:b/>
                <w:sz w:val="22"/>
                <w:szCs w:val="22"/>
              </w:rPr>
              <w:t>Panākta vienošanās.</w:t>
            </w:r>
          </w:p>
          <w:p w14:paraId="7445BBA8" w14:textId="3FD06500" w:rsidR="00A40E32" w:rsidRPr="00DC34FD" w:rsidRDefault="00A40E32" w:rsidP="00A40E32">
            <w:pPr>
              <w:pStyle w:val="naisc"/>
              <w:spacing w:before="0" w:after="0"/>
              <w:jc w:val="left"/>
              <w:rPr>
                <w:sz w:val="22"/>
                <w:szCs w:val="22"/>
              </w:rPr>
            </w:pPr>
            <w:r w:rsidRPr="00DC34FD">
              <w:rPr>
                <w:sz w:val="22"/>
                <w:szCs w:val="22"/>
              </w:rPr>
              <w:t>Noteikumu projekt</w:t>
            </w:r>
            <w:r w:rsidR="00F62633">
              <w:rPr>
                <w:sz w:val="22"/>
                <w:szCs w:val="22"/>
              </w:rPr>
              <w:t xml:space="preserve">ā saglabāti vienkopus noteiktie visi tieši uz spēļu laukumiem attiecināmie </w:t>
            </w:r>
            <w:r w:rsidR="00F62633" w:rsidRPr="00DC34FD">
              <w:t>ražotāja, importētāja un izplatītāja, kā arī valdītāja pienākum</w:t>
            </w:r>
            <w:r w:rsidR="00F62633">
              <w:t>i, bet precizēts 25.punkts, izslēdzot Centra tiesības pieprasīt informāciju valdītājam, kuras ir jau noteiktas citos normatīvajos aktos</w:t>
            </w:r>
            <w:r w:rsidRPr="00DC34FD">
              <w:rPr>
                <w:sz w:val="22"/>
                <w:szCs w:val="22"/>
              </w:rPr>
              <w:t>.</w:t>
            </w:r>
          </w:p>
        </w:tc>
        <w:tc>
          <w:tcPr>
            <w:tcW w:w="4652" w:type="dxa"/>
            <w:tcBorders>
              <w:top w:val="single" w:sz="4" w:space="0" w:color="auto"/>
              <w:left w:val="single" w:sz="4" w:space="0" w:color="auto"/>
              <w:bottom w:val="single" w:sz="4" w:space="0" w:color="auto"/>
            </w:tcBorders>
          </w:tcPr>
          <w:p w14:paraId="687D1056" w14:textId="32545AE3" w:rsidR="00A40E32" w:rsidRPr="00DC34FD" w:rsidRDefault="00A40E32" w:rsidP="00A40E32">
            <w:pPr>
              <w:pStyle w:val="ListParagraph"/>
              <w:numPr>
                <w:ilvl w:val="1"/>
                <w:numId w:val="6"/>
              </w:numPr>
              <w:tabs>
                <w:tab w:val="left" w:pos="993"/>
              </w:tabs>
              <w:spacing w:after="0" w:line="240" w:lineRule="auto"/>
              <w:ind w:left="0" w:firstLine="0"/>
              <w:jc w:val="both"/>
              <w:rPr>
                <w:rFonts w:ascii="Times New Roman" w:hAnsi="Times New Roman"/>
              </w:rPr>
            </w:pPr>
            <w:r w:rsidRPr="00DC34FD">
              <w:rPr>
                <w:rFonts w:ascii="Times New Roman" w:hAnsi="Times New Roman"/>
              </w:rPr>
              <w:t>pēc Centra pamatota pieprasījuma sniegt visu nepieciešamo informāciju un dokumentāciju Centram</w:t>
            </w:r>
            <w:r w:rsidR="00982938" w:rsidRPr="00982938">
              <w:rPr>
                <w:rFonts w:ascii="Times New Roman" w:hAnsi="Times New Roman"/>
                <w:sz w:val="26"/>
                <w:szCs w:val="26"/>
                <w:lang w:eastAsia="lv-LV"/>
              </w:rPr>
              <w:t xml:space="preserve"> </w:t>
            </w:r>
            <w:r w:rsidR="00982938" w:rsidRPr="00982938">
              <w:rPr>
                <w:rFonts w:ascii="Times New Roman" w:hAnsi="Times New Roman"/>
              </w:rPr>
              <w:t>valsts valodā vai citā pieņemamā valodā</w:t>
            </w:r>
            <w:r w:rsidRPr="00DC34FD">
              <w:rPr>
                <w:rFonts w:ascii="Times New Roman" w:hAnsi="Times New Roman"/>
              </w:rPr>
              <w:t>, lai pierādītu spēļu vai citu aktivitāšu iekārtas atbilstību;</w:t>
            </w:r>
          </w:p>
          <w:p w14:paraId="20E8A1FD" w14:textId="77777777" w:rsidR="00A40E32" w:rsidRPr="00DC34FD" w:rsidRDefault="00A40E32" w:rsidP="00A40E32">
            <w:pPr>
              <w:pStyle w:val="ListParagraph"/>
              <w:numPr>
                <w:ilvl w:val="1"/>
                <w:numId w:val="6"/>
              </w:numPr>
              <w:tabs>
                <w:tab w:val="left" w:pos="993"/>
              </w:tabs>
              <w:spacing w:after="0" w:line="240" w:lineRule="auto"/>
              <w:ind w:left="0" w:firstLine="0"/>
              <w:jc w:val="both"/>
              <w:rPr>
                <w:rFonts w:ascii="Times New Roman" w:hAnsi="Times New Roman"/>
              </w:rPr>
            </w:pPr>
            <w:r w:rsidRPr="00DC34FD">
              <w:rPr>
                <w:rFonts w:ascii="Times New Roman" w:hAnsi="Times New Roman"/>
              </w:rPr>
              <w:t>pēc Centra pieprasījuma sadarboties ar Centru jebkādos pasākumos, lai novērstu piedāvāto spēļu vai citu aktivitāšu iekārtas radīto risku.</w:t>
            </w:r>
          </w:p>
          <w:p w14:paraId="179B2C39" w14:textId="77777777" w:rsidR="00A40E32" w:rsidRPr="00DC34FD" w:rsidRDefault="00A40E32" w:rsidP="00A40E32">
            <w:pPr>
              <w:pStyle w:val="tv213"/>
              <w:numPr>
                <w:ilvl w:val="1"/>
                <w:numId w:val="7"/>
              </w:numPr>
              <w:shd w:val="clear" w:color="auto" w:fill="FFFFFF"/>
              <w:spacing w:before="0" w:beforeAutospacing="0" w:after="0" w:afterAutospacing="0" w:line="293" w:lineRule="atLeast"/>
              <w:ind w:left="0" w:firstLine="0"/>
              <w:jc w:val="both"/>
              <w:rPr>
                <w:sz w:val="22"/>
                <w:szCs w:val="22"/>
              </w:rPr>
            </w:pPr>
            <w:r w:rsidRPr="00DC34FD">
              <w:rPr>
                <w:sz w:val="22"/>
                <w:szCs w:val="22"/>
              </w:rPr>
              <w:t>pēc Centra pieprasījuma sadarboties ar Centru jebkādos pasākumos, lai novērstu uzstādītās spēļu vai citu aktivitāšu iekārtas radīto risku, tai skaitā sniegt Centram visu nepieciešamo un pieejamo informāciju un dokumentāciju, lai pierādītu spēļu vai citu aktivitāšu iekārtas atbilstību;</w:t>
            </w:r>
          </w:p>
          <w:p w14:paraId="36FC3ADC" w14:textId="77777777" w:rsidR="00A40E32" w:rsidRPr="00DC34FD" w:rsidRDefault="00A40E32" w:rsidP="00A40E32">
            <w:pPr>
              <w:pStyle w:val="ListParagraph"/>
              <w:numPr>
                <w:ilvl w:val="1"/>
                <w:numId w:val="7"/>
              </w:numPr>
              <w:tabs>
                <w:tab w:val="left" w:pos="993"/>
              </w:tabs>
              <w:spacing w:after="0" w:line="240" w:lineRule="auto"/>
              <w:ind w:left="0" w:firstLine="0"/>
              <w:jc w:val="both"/>
              <w:rPr>
                <w:rFonts w:ascii="Times New Roman" w:hAnsi="Times New Roman"/>
              </w:rPr>
            </w:pPr>
            <w:r w:rsidRPr="00DC34FD">
              <w:rPr>
                <w:rFonts w:ascii="Times New Roman" w:hAnsi="Times New Roman"/>
              </w:rPr>
              <w:t>pēc Centra pieprasījuma nodrošināt publiskā spēļu laukuma vai attiecīgā spēļu vai citu aktivitāšu iekārtas nepieejamību līdz to radītā riska novēršanai.</w:t>
            </w:r>
          </w:p>
          <w:p w14:paraId="539283B6" w14:textId="7F42838F" w:rsidR="00A40E32" w:rsidRPr="00DC34FD" w:rsidRDefault="00A40E32" w:rsidP="00A40E32">
            <w:pPr>
              <w:spacing w:after="0" w:line="240" w:lineRule="auto"/>
              <w:jc w:val="both"/>
              <w:rPr>
                <w:rFonts w:ascii="Times New Roman" w:hAnsi="Times New Roman" w:cs="Times New Roman"/>
              </w:rPr>
            </w:pPr>
            <w:r w:rsidRPr="00DC34FD">
              <w:rPr>
                <w:rFonts w:ascii="Times New Roman" w:hAnsi="Times New Roman" w:cs="Times New Roman"/>
              </w:rPr>
              <w:t>2</w:t>
            </w:r>
            <w:r w:rsidR="00F62633">
              <w:rPr>
                <w:rFonts w:ascii="Times New Roman" w:hAnsi="Times New Roman" w:cs="Times New Roman"/>
              </w:rPr>
              <w:t>5</w:t>
            </w:r>
            <w:r w:rsidRPr="00DC34FD">
              <w:rPr>
                <w:rFonts w:ascii="Times New Roman" w:hAnsi="Times New Roman" w:cs="Times New Roman"/>
              </w:rPr>
              <w:t xml:space="preserve">. </w:t>
            </w:r>
            <w:r w:rsidR="00982938" w:rsidRPr="00982938">
              <w:rPr>
                <w:rFonts w:ascii="Times New Roman" w:hAnsi="Times New Roman" w:cs="Times New Roman"/>
              </w:rPr>
              <w:t>Centram identificējot publisku spēļu un rekreācijas laukumu, kurš nav reģistrēts vai kura dati nav aktualizēti reģistrā, Centrs veic par to atzīmi reģistrā Centra konstatēto datu apjomā un pieprasa tā valdītājam iesniegt attiecīgu reģistrācijas pieteikumu</w:t>
            </w:r>
            <w:r w:rsidRPr="00DC34FD">
              <w:rPr>
                <w:rFonts w:ascii="Times New Roman" w:hAnsi="Times New Roman" w:cs="Times New Roman"/>
              </w:rPr>
              <w:t>.</w:t>
            </w:r>
          </w:p>
        </w:tc>
      </w:tr>
      <w:tr w:rsidR="00A40E32" w:rsidRPr="00DC34FD" w14:paraId="7A711A73" w14:textId="77777777" w:rsidTr="00AF11CB">
        <w:tc>
          <w:tcPr>
            <w:tcW w:w="742" w:type="dxa"/>
            <w:tcBorders>
              <w:top w:val="single" w:sz="4" w:space="0" w:color="auto"/>
              <w:left w:val="single" w:sz="4" w:space="0" w:color="auto"/>
              <w:bottom w:val="single" w:sz="4" w:space="0" w:color="auto"/>
              <w:right w:val="single" w:sz="4" w:space="0" w:color="auto"/>
            </w:tcBorders>
          </w:tcPr>
          <w:p w14:paraId="06186429" w14:textId="703E1865" w:rsidR="00A40E32" w:rsidRPr="00DC34FD" w:rsidRDefault="0054303E" w:rsidP="00A40E32">
            <w:pPr>
              <w:spacing w:after="0" w:line="240" w:lineRule="auto"/>
              <w:jc w:val="center"/>
              <w:rPr>
                <w:rFonts w:ascii="Times New Roman" w:hAnsi="Times New Roman" w:cs="Times New Roman"/>
              </w:rPr>
            </w:pPr>
            <w:r>
              <w:rPr>
                <w:rFonts w:ascii="Times New Roman" w:hAnsi="Times New Roman" w:cs="Times New Roman"/>
              </w:rPr>
              <w:t>18.</w:t>
            </w:r>
          </w:p>
        </w:tc>
        <w:tc>
          <w:tcPr>
            <w:tcW w:w="3370" w:type="dxa"/>
            <w:gridSpan w:val="2"/>
            <w:tcBorders>
              <w:top w:val="single" w:sz="4" w:space="0" w:color="auto"/>
              <w:left w:val="single" w:sz="4" w:space="0" w:color="auto"/>
              <w:bottom w:val="single" w:sz="4" w:space="0" w:color="auto"/>
              <w:right w:val="single" w:sz="4" w:space="0" w:color="auto"/>
            </w:tcBorders>
          </w:tcPr>
          <w:p w14:paraId="05CA0809" w14:textId="77777777" w:rsidR="00A40E32" w:rsidRPr="00DC34FD" w:rsidRDefault="00A40E32" w:rsidP="00A40E3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C34FD">
              <w:rPr>
                <w:sz w:val="22"/>
                <w:szCs w:val="22"/>
              </w:rPr>
              <w:t>16. Publiska spēļu laukuma valdītājam ir šādi pienākumi:</w:t>
            </w:r>
          </w:p>
          <w:p w14:paraId="70C723E7" w14:textId="32A2EFA7" w:rsidR="00A40E32" w:rsidRPr="00DC34FD" w:rsidRDefault="00A40E32" w:rsidP="00A40E32">
            <w:pPr>
              <w:pStyle w:val="tv213"/>
              <w:shd w:val="clear" w:color="auto" w:fill="FFFFFF"/>
              <w:spacing w:before="0" w:beforeAutospacing="0" w:after="0" w:afterAutospacing="0" w:line="293" w:lineRule="atLeast"/>
              <w:ind w:left="-81"/>
              <w:jc w:val="both"/>
              <w:rPr>
                <w:sz w:val="22"/>
                <w:szCs w:val="22"/>
              </w:rPr>
            </w:pPr>
            <w:r w:rsidRPr="00DC34FD">
              <w:rPr>
                <w:sz w:val="22"/>
                <w:szCs w:val="22"/>
              </w:rPr>
              <w:t>16.1. publiskajā spēļu laukumā uzstādīt tikai šo noteikumu prasībām atbilstošas spēļu vai citu aktivitāšu iekārtas;</w:t>
            </w:r>
          </w:p>
        </w:tc>
        <w:tc>
          <w:tcPr>
            <w:tcW w:w="4311" w:type="dxa"/>
            <w:tcBorders>
              <w:top w:val="single" w:sz="4" w:space="0" w:color="auto"/>
              <w:left w:val="single" w:sz="4" w:space="0" w:color="auto"/>
              <w:bottom w:val="single" w:sz="4" w:space="0" w:color="auto"/>
              <w:right w:val="single" w:sz="4" w:space="0" w:color="auto"/>
            </w:tcBorders>
          </w:tcPr>
          <w:p w14:paraId="6FB8ED8A" w14:textId="77777777"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22B938CD" w14:textId="2FD09DDB" w:rsidR="00A40E32" w:rsidRPr="00DC34FD" w:rsidRDefault="00A40E32" w:rsidP="00A40E32">
            <w:pPr>
              <w:spacing w:after="120" w:line="240" w:lineRule="auto"/>
              <w:ind w:firstLine="720"/>
              <w:jc w:val="both"/>
              <w:rPr>
                <w:rFonts w:ascii="Times New Roman" w:eastAsia="Times New Roman" w:hAnsi="Times New Roman" w:cs="Times New Roman"/>
                <w:b/>
              </w:rPr>
            </w:pPr>
            <w:r w:rsidRPr="00DC34FD">
              <w:rPr>
                <w:rFonts w:ascii="Times New Roman" w:hAnsi="Times New Roman" w:cs="Times New Roman"/>
              </w:rPr>
              <w:t>Nav saprotams, kā spēļu laukumu valdītājs varēs objektīvi nodrošināt šo noteikumu 16.1. apakšpunktā minēto atbilstoši, kam spēļu laukumu valdītājam ir pienākums “uzstādīt tikai šo noteikumu prasībām atbilstošas spēļu vai citu aktivitāšu iekārtas”. Lūdzam papildināt šo apakšpunktu: “nepieciešamības gadījumā konsultējoties ar Pārbaudes veicēju jau projektēšanas sākuma stadijā”.</w:t>
            </w:r>
          </w:p>
        </w:tc>
        <w:tc>
          <w:tcPr>
            <w:tcW w:w="2410" w:type="dxa"/>
            <w:gridSpan w:val="2"/>
            <w:tcBorders>
              <w:top w:val="single" w:sz="4" w:space="0" w:color="auto"/>
              <w:left w:val="single" w:sz="4" w:space="0" w:color="auto"/>
              <w:bottom w:val="single" w:sz="4" w:space="0" w:color="auto"/>
              <w:right w:val="single" w:sz="4" w:space="0" w:color="auto"/>
            </w:tcBorders>
          </w:tcPr>
          <w:p w14:paraId="36C4C8E5" w14:textId="6BC3A83E" w:rsidR="00A40E32" w:rsidRPr="00DC34FD" w:rsidRDefault="00A40E32" w:rsidP="00A40E32">
            <w:pPr>
              <w:pStyle w:val="naisc"/>
              <w:spacing w:before="0" w:after="0"/>
              <w:jc w:val="both"/>
              <w:rPr>
                <w:b/>
                <w:sz w:val="22"/>
                <w:szCs w:val="22"/>
              </w:rPr>
            </w:pPr>
            <w:r w:rsidRPr="00DC34FD">
              <w:rPr>
                <w:b/>
                <w:sz w:val="22"/>
                <w:szCs w:val="22"/>
              </w:rPr>
              <w:t>Panākta vienošanās.</w:t>
            </w:r>
            <w:r w:rsidRPr="00DC34FD">
              <w:rPr>
                <w:sz w:val="22"/>
                <w:szCs w:val="22"/>
              </w:rPr>
              <w:t xml:space="preserve"> Noteikumu projekts neliedz iespējas konsultēties ar Pārbaudes veicēju arī projektēšanas sākuma stadijā.</w:t>
            </w:r>
          </w:p>
        </w:tc>
        <w:tc>
          <w:tcPr>
            <w:tcW w:w="4652" w:type="dxa"/>
            <w:tcBorders>
              <w:top w:val="single" w:sz="4" w:space="0" w:color="auto"/>
              <w:left w:val="single" w:sz="4" w:space="0" w:color="auto"/>
              <w:bottom w:val="single" w:sz="4" w:space="0" w:color="auto"/>
            </w:tcBorders>
          </w:tcPr>
          <w:p w14:paraId="6C546A2A" w14:textId="77777777" w:rsidR="00A40E32" w:rsidRPr="00DC34FD" w:rsidRDefault="00A40E32" w:rsidP="00A40E32">
            <w:pPr>
              <w:spacing w:after="0" w:line="240" w:lineRule="auto"/>
              <w:jc w:val="both"/>
              <w:rPr>
                <w:rFonts w:ascii="Times New Roman" w:hAnsi="Times New Roman" w:cs="Times New Roman"/>
              </w:rPr>
            </w:pPr>
            <w:r w:rsidRPr="00DC34FD">
              <w:rPr>
                <w:rFonts w:ascii="Times New Roman" w:hAnsi="Times New Roman" w:cs="Times New Roman"/>
              </w:rPr>
              <w:t>16. Publiska spēļu laukuma valdītājam ir šādi pienākumi:</w:t>
            </w:r>
          </w:p>
          <w:p w14:paraId="365BCA6A" w14:textId="7D79C24B" w:rsidR="00A40E32" w:rsidRPr="00DC34FD" w:rsidRDefault="00A40E32" w:rsidP="00A40E32">
            <w:pPr>
              <w:spacing w:after="0" w:line="240" w:lineRule="auto"/>
              <w:jc w:val="both"/>
              <w:rPr>
                <w:rFonts w:ascii="Times New Roman" w:hAnsi="Times New Roman" w:cs="Times New Roman"/>
              </w:rPr>
            </w:pPr>
            <w:r w:rsidRPr="00DC34FD">
              <w:rPr>
                <w:rFonts w:ascii="Times New Roman" w:hAnsi="Times New Roman" w:cs="Times New Roman"/>
              </w:rPr>
              <w:t>16.1. publiskajā spēļu laukumā uzstādīt tikai šo noteikumu prasībām atbilstošas spēļu vai citu aktivitāšu iekārtas;</w:t>
            </w:r>
          </w:p>
        </w:tc>
      </w:tr>
      <w:tr w:rsidR="00035158" w:rsidRPr="00DC34FD" w14:paraId="05BB2782" w14:textId="77777777" w:rsidTr="00AF11CB">
        <w:tc>
          <w:tcPr>
            <w:tcW w:w="742" w:type="dxa"/>
            <w:tcBorders>
              <w:top w:val="single" w:sz="4" w:space="0" w:color="auto"/>
              <w:left w:val="single" w:sz="4" w:space="0" w:color="auto"/>
              <w:bottom w:val="single" w:sz="4" w:space="0" w:color="auto"/>
              <w:right w:val="single" w:sz="4" w:space="0" w:color="auto"/>
            </w:tcBorders>
          </w:tcPr>
          <w:p w14:paraId="1DC6AF06" w14:textId="0E0E8C73" w:rsidR="00035158" w:rsidRPr="00DC34FD" w:rsidRDefault="0054303E" w:rsidP="00A40E32">
            <w:pPr>
              <w:spacing w:after="0" w:line="240" w:lineRule="auto"/>
              <w:jc w:val="center"/>
              <w:rPr>
                <w:rFonts w:ascii="Times New Roman" w:hAnsi="Times New Roman" w:cs="Times New Roman"/>
              </w:rPr>
            </w:pPr>
            <w:r>
              <w:rPr>
                <w:rFonts w:ascii="Times New Roman" w:hAnsi="Times New Roman" w:cs="Times New Roman"/>
              </w:rPr>
              <w:t>19.</w:t>
            </w:r>
          </w:p>
        </w:tc>
        <w:tc>
          <w:tcPr>
            <w:tcW w:w="3370" w:type="dxa"/>
            <w:gridSpan w:val="2"/>
            <w:tcBorders>
              <w:top w:val="single" w:sz="4" w:space="0" w:color="auto"/>
              <w:left w:val="single" w:sz="4" w:space="0" w:color="auto"/>
              <w:bottom w:val="single" w:sz="4" w:space="0" w:color="auto"/>
              <w:right w:val="single" w:sz="4" w:space="0" w:color="auto"/>
            </w:tcBorders>
          </w:tcPr>
          <w:p w14:paraId="6A3535B8" w14:textId="77E74C36" w:rsidR="00035158" w:rsidRPr="00DC34FD" w:rsidRDefault="00035158" w:rsidP="00035158">
            <w:pPr>
              <w:pStyle w:val="tv213"/>
              <w:shd w:val="clear" w:color="auto" w:fill="FFFFFF"/>
              <w:spacing w:before="0" w:beforeAutospacing="0" w:after="0" w:afterAutospacing="0" w:line="293" w:lineRule="atLeast"/>
              <w:ind w:left="-81"/>
              <w:jc w:val="both"/>
              <w:rPr>
                <w:sz w:val="22"/>
                <w:szCs w:val="22"/>
              </w:rPr>
            </w:pPr>
            <w:r w:rsidRPr="00DC34FD">
              <w:rPr>
                <w:sz w:val="22"/>
                <w:szCs w:val="22"/>
              </w:rPr>
              <w:t>16.2. publisko spēļu laukumu ierīkot un spēļu vai citu aktivitāšu iekārtas tajā uzstādīt saskaņā ar šajos noteikumos noteiktajām prasībām un ražotāja norādījumiem;</w:t>
            </w:r>
          </w:p>
        </w:tc>
        <w:tc>
          <w:tcPr>
            <w:tcW w:w="4311" w:type="dxa"/>
            <w:tcBorders>
              <w:top w:val="single" w:sz="4" w:space="0" w:color="auto"/>
              <w:left w:val="single" w:sz="4" w:space="0" w:color="auto"/>
              <w:bottom w:val="single" w:sz="4" w:space="0" w:color="auto"/>
              <w:right w:val="single" w:sz="4" w:space="0" w:color="auto"/>
            </w:tcBorders>
          </w:tcPr>
          <w:p w14:paraId="694AA8BE" w14:textId="44433BED" w:rsidR="00035158" w:rsidRPr="00DC34FD" w:rsidRDefault="00035158" w:rsidP="00035158">
            <w:pPr>
              <w:pStyle w:val="CommentText"/>
              <w:spacing w:before="60" w:after="0"/>
              <w:jc w:val="center"/>
              <w:rPr>
                <w:b/>
                <w:sz w:val="22"/>
                <w:szCs w:val="22"/>
              </w:rPr>
            </w:pPr>
            <w:r w:rsidRPr="00DC34FD">
              <w:rPr>
                <w:b/>
                <w:sz w:val="22"/>
                <w:szCs w:val="22"/>
              </w:rPr>
              <w:t>Latvijas Ainavu arhitektu asociācija</w:t>
            </w:r>
          </w:p>
          <w:p w14:paraId="165ACB0F" w14:textId="29AA9E75" w:rsidR="00035158" w:rsidRPr="00DC34FD" w:rsidRDefault="00035158" w:rsidP="00035158">
            <w:pPr>
              <w:spacing w:after="120" w:line="240" w:lineRule="auto"/>
              <w:jc w:val="both"/>
              <w:rPr>
                <w:rFonts w:ascii="Times New Roman" w:eastAsia="Times New Roman" w:hAnsi="Times New Roman" w:cs="Times New Roman"/>
                <w:b/>
              </w:rPr>
            </w:pPr>
            <w:r w:rsidRPr="00DC34FD">
              <w:rPr>
                <w:rFonts w:ascii="Times New Roman" w:hAnsi="Times New Roman" w:cs="Times New Roman"/>
              </w:rPr>
              <w:t xml:space="preserve">LAAA vērš uzmanību uz apstākli, ka laukuma izbūvē būtiskākie riski var tikt novērsti jau projektēšanas stadijā. Tādējādi, LAAA ieskatā, Noteikumos galvenokārt būtu jāuzsver laukuma izvērtēšana projekta dokumentācijas ietvaros, nosakot, ka publiskai lietošanai paredzēto laukumu projektos ir jānorāda tie drošības standarti, pēc kuriem projektētājs ir </w:t>
            </w:r>
            <w:r w:rsidRPr="00DC34FD">
              <w:rPr>
                <w:rFonts w:ascii="Times New Roman" w:hAnsi="Times New Roman" w:cs="Times New Roman"/>
              </w:rPr>
              <w:lastRenderedPageBreak/>
              <w:t>vadījies, izstrādājot laukuma izbūves risinājumus. Esošā Noteikumu redakcija jautājumu par neatbilstošiem segumiem, pārāk ciešām drošības zonām vai neatbilstošiem rotaļu elementiem risina tikai pie objekta nodošanas ekspluatācijā, kas pēc savas būtības būs seku, nevis cēloņu novēršana. Tāpat, netiek uzsvērta projektētāja izvirzīto prasību ievērošanas nodrošināšana (piemēram, papildus nožogojums, vai citas prasības, kā arī norādes par to, lai izmantojamā laukuma novietne jau sākotnēji tiktu izvēlēta tam atbilstošā vietā), ne tikai būves izbūves bet arī ekspluatācijas laikā norādītajos noteikumos. Papildināt 16.2. apakšpunktu: 16.2.publisko spēļu laukumu ierīkot un spēļu vai citu aktivitāšu iekārtas tajā uzstādīt saskaņā ar šajos noteikumos noteiktajām prasībām, laukuma projektētāja un ražotāja norādījumiem;</w:t>
            </w:r>
          </w:p>
        </w:tc>
        <w:tc>
          <w:tcPr>
            <w:tcW w:w="2410" w:type="dxa"/>
            <w:gridSpan w:val="2"/>
            <w:tcBorders>
              <w:top w:val="single" w:sz="4" w:space="0" w:color="auto"/>
              <w:left w:val="single" w:sz="4" w:space="0" w:color="auto"/>
              <w:bottom w:val="single" w:sz="4" w:space="0" w:color="auto"/>
              <w:right w:val="single" w:sz="4" w:space="0" w:color="auto"/>
            </w:tcBorders>
          </w:tcPr>
          <w:p w14:paraId="342CB18D" w14:textId="3E8BE40D" w:rsidR="00035158" w:rsidRPr="00DC34FD" w:rsidRDefault="00E912DD" w:rsidP="00A40E32">
            <w:pPr>
              <w:pStyle w:val="naisc"/>
              <w:spacing w:before="0" w:after="0"/>
              <w:jc w:val="both"/>
              <w:rPr>
                <w:b/>
                <w:sz w:val="22"/>
                <w:szCs w:val="22"/>
              </w:rPr>
            </w:pPr>
            <w:r w:rsidRPr="00DC34FD">
              <w:rPr>
                <w:b/>
                <w:sz w:val="22"/>
                <w:szCs w:val="22"/>
              </w:rPr>
              <w:lastRenderedPageBreak/>
              <w:t>Panākta vienošanās.</w:t>
            </w:r>
            <w:r w:rsidRPr="00DC34FD">
              <w:rPr>
                <w:sz w:val="22"/>
                <w:szCs w:val="22"/>
              </w:rPr>
              <w:t xml:space="preserve"> Noteikumu projekts paredz valdītājam atbildību par uzstādīšanas procesa pabeigšanu atbilstoši Noteikumu prasībām. Valdītājs var pēc saviem ieskatiem izlemt, kurā </w:t>
            </w:r>
            <w:r w:rsidRPr="00DC34FD">
              <w:rPr>
                <w:sz w:val="22"/>
                <w:szCs w:val="22"/>
              </w:rPr>
              <w:lastRenderedPageBreak/>
              <w:t>starpstadijā un kā nodrošināt iesaistīto pušu darbību atbilstoši Noteikumu prasībām. Noteikumu projekts to neierobežo.</w:t>
            </w:r>
          </w:p>
        </w:tc>
        <w:tc>
          <w:tcPr>
            <w:tcW w:w="4652" w:type="dxa"/>
            <w:tcBorders>
              <w:top w:val="single" w:sz="4" w:space="0" w:color="auto"/>
              <w:left w:val="single" w:sz="4" w:space="0" w:color="auto"/>
              <w:bottom w:val="single" w:sz="4" w:space="0" w:color="auto"/>
            </w:tcBorders>
          </w:tcPr>
          <w:p w14:paraId="31A4436B" w14:textId="4DB941EA" w:rsidR="00035158" w:rsidRPr="00DC34FD" w:rsidRDefault="00E912DD" w:rsidP="00A40E32">
            <w:pPr>
              <w:spacing w:after="0" w:line="240" w:lineRule="auto"/>
              <w:jc w:val="both"/>
              <w:rPr>
                <w:rFonts w:ascii="Times New Roman" w:hAnsi="Times New Roman" w:cs="Times New Roman"/>
              </w:rPr>
            </w:pPr>
            <w:r w:rsidRPr="00DC34FD">
              <w:rPr>
                <w:rFonts w:ascii="Times New Roman" w:hAnsi="Times New Roman" w:cs="Times New Roman"/>
              </w:rPr>
              <w:lastRenderedPageBreak/>
              <w:t>16.2. uzstādīt publisko spēļu laukumu un spēļu vai citu aktivitāšu iekārtas tajā saskaņā ar šajos noteikumos noteiktajām prasībām un ražotāja norādījumiem;</w:t>
            </w:r>
          </w:p>
        </w:tc>
      </w:tr>
      <w:tr w:rsidR="0026797F" w:rsidRPr="00DC34FD" w14:paraId="2796E412" w14:textId="77777777" w:rsidTr="00AF11CB">
        <w:trPr>
          <w:trHeight w:val="1200"/>
        </w:trPr>
        <w:tc>
          <w:tcPr>
            <w:tcW w:w="742" w:type="dxa"/>
            <w:vMerge w:val="restart"/>
            <w:tcBorders>
              <w:top w:val="single" w:sz="4" w:space="0" w:color="auto"/>
              <w:left w:val="single" w:sz="4" w:space="0" w:color="auto"/>
              <w:right w:val="single" w:sz="4" w:space="0" w:color="auto"/>
            </w:tcBorders>
          </w:tcPr>
          <w:p w14:paraId="68694ABD" w14:textId="07760388" w:rsidR="0026797F" w:rsidRPr="00DC34FD" w:rsidRDefault="0026797F" w:rsidP="00A40E32">
            <w:pPr>
              <w:spacing w:after="0" w:line="240" w:lineRule="auto"/>
              <w:jc w:val="center"/>
              <w:rPr>
                <w:rFonts w:ascii="Times New Roman" w:hAnsi="Times New Roman" w:cs="Times New Roman"/>
              </w:rPr>
            </w:pPr>
            <w:r>
              <w:rPr>
                <w:rFonts w:ascii="Times New Roman" w:hAnsi="Times New Roman" w:cs="Times New Roman"/>
              </w:rPr>
              <w:t>20.</w:t>
            </w:r>
          </w:p>
        </w:tc>
        <w:tc>
          <w:tcPr>
            <w:tcW w:w="3370" w:type="dxa"/>
            <w:gridSpan w:val="2"/>
            <w:vMerge w:val="restart"/>
            <w:tcBorders>
              <w:top w:val="single" w:sz="4" w:space="0" w:color="auto"/>
              <w:left w:val="single" w:sz="4" w:space="0" w:color="auto"/>
              <w:right w:val="single" w:sz="4" w:space="0" w:color="auto"/>
            </w:tcBorders>
          </w:tcPr>
          <w:p w14:paraId="20A583CE" w14:textId="77777777" w:rsidR="0026797F" w:rsidRPr="00DC34FD" w:rsidRDefault="0026797F" w:rsidP="00A40E32">
            <w:pPr>
              <w:pStyle w:val="tv213"/>
              <w:numPr>
                <w:ilvl w:val="1"/>
                <w:numId w:val="8"/>
              </w:numPr>
              <w:shd w:val="clear" w:color="auto" w:fill="FFFFFF"/>
              <w:spacing w:before="0" w:beforeAutospacing="0" w:after="0" w:afterAutospacing="0" w:line="293" w:lineRule="atLeast"/>
              <w:ind w:left="-81" w:firstLine="0"/>
              <w:jc w:val="both"/>
              <w:rPr>
                <w:sz w:val="22"/>
                <w:szCs w:val="22"/>
              </w:rPr>
            </w:pPr>
            <w:r w:rsidRPr="00DC34FD">
              <w:rPr>
                <w:sz w:val="22"/>
                <w:szCs w:val="22"/>
              </w:rPr>
              <w:t>nodrošināt spēļu vai citu aktivitāšu iekārtu pārbaudi un uzturēšanu saskaņā ar ražotāja norādījumiem un higiēnas un sanitārajām prasībām un ne retāk, kā norādījis ražotājs;</w:t>
            </w:r>
          </w:p>
          <w:p w14:paraId="5AD2F1B1" w14:textId="77777777" w:rsidR="0026797F" w:rsidRDefault="0026797F" w:rsidP="00A40E32">
            <w:pPr>
              <w:tabs>
                <w:tab w:val="left" w:pos="993"/>
              </w:tabs>
              <w:spacing w:after="0" w:line="240" w:lineRule="auto"/>
              <w:jc w:val="both"/>
              <w:rPr>
                <w:rFonts w:ascii="Times New Roman" w:hAnsi="Times New Roman" w:cs="Times New Roman"/>
              </w:rPr>
            </w:pPr>
          </w:p>
          <w:p w14:paraId="2FD25A36" w14:textId="77777777" w:rsidR="00974AAD" w:rsidRPr="00974AAD" w:rsidRDefault="00974AAD" w:rsidP="00974AAD">
            <w:pPr>
              <w:rPr>
                <w:rFonts w:ascii="Times New Roman" w:hAnsi="Times New Roman" w:cs="Times New Roman"/>
              </w:rPr>
            </w:pPr>
          </w:p>
          <w:p w14:paraId="0951B141" w14:textId="77777777" w:rsidR="00974AAD" w:rsidRPr="00974AAD" w:rsidRDefault="00974AAD" w:rsidP="00974AAD">
            <w:pPr>
              <w:rPr>
                <w:rFonts w:ascii="Times New Roman" w:hAnsi="Times New Roman" w:cs="Times New Roman"/>
              </w:rPr>
            </w:pPr>
          </w:p>
          <w:p w14:paraId="74AC2299" w14:textId="77777777" w:rsidR="00974AAD" w:rsidRPr="00974AAD" w:rsidRDefault="00974AAD" w:rsidP="00974AAD">
            <w:pPr>
              <w:rPr>
                <w:rFonts w:ascii="Times New Roman" w:hAnsi="Times New Roman" w:cs="Times New Roman"/>
              </w:rPr>
            </w:pPr>
          </w:p>
          <w:p w14:paraId="2A6531CB" w14:textId="1E09AFDB" w:rsidR="00974AAD" w:rsidRPr="00974AAD" w:rsidRDefault="00974AAD" w:rsidP="00974AAD">
            <w:pPr>
              <w:rPr>
                <w:rFonts w:ascii="Times New Roman" w:hAnsi="Times New Roman" w:cs="Times New Roman"/>
              </w:rPr>
            </w:pPr>
          </w:p>
        </w:tc>
        <w:tc>
          <w:tcPr>
            <w:tcW w:w="4311" w:type="dxa"/>
            <w:tcBorders>
              <w:top w:val="single" w:sz="4" w:space="0" w:color="auto"/>
              <w:left w:val="single" w:sz="4" w:space="0" w:color="auto"/>
              <w:bottom w:val="single" w:sz="4" w:space="0" w:color="auto"/>
              <w:right w:val="single" w:sz="4" w:space="0" w:color="auto"/>
            </w:tcBorders>
          </w:tcPr>
          <w:p w14:paraId="08BE4989" w14:textId="77777777" w:rsidR="0026797F" w:rsidRPr="00DC34FD" w:rsidRDefault="0026797F" w:rsidP="00A40E32">
            <w:pPr>
              <w:spacing w:after="120" w:line="240" w:lineRule="auto"/>
              <w:ind w:firstLine="720"/>
              <w:jc w:val="both"/>
              <w:rPr>
                <w:rFonts w:ascii="Times New Roman" w:eastAsia="Times New Roman" w:hAnsi="Times New Roman" w:cs="Times New Roman"/>
                <w:b/>
              </w:rPr>
            </w:pPr>
            <w:r w:rsidRPr="00DC34FD">
              <w:rPr>
                <w:rFonts w:ascii="Times New Roman" w:eastAsia="Times New Roman" w:hAnsi="Times New Roman" w:cs="Times New Roman"/>
                <w:b/>
              </w:rPr>
              <w:t>Veselības ministrija</w:t>
            </w:r>
          </w:p>
          <w:p w14:paraId="0733F943" w14:textId="0717BC21" w:rsidR="0026797F" w:rsidRPr="00DC34FD" w:rsidRDefault="0026797F" w:rsidP="00A40E32">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rPr>
              <w:t>Projekta 16.4. apakšpunkts nosaka pienākumu spēļu laukuma valdītājam nodrošināt spēļu vai citu aktivitāšu iekārtu pārbaudi un uzturēšanu saskaņā ar ražotāja norādījumiem un higiēnas un sanitārajām prasībām un ne retāk, kā norādījis ražotājs. Lūdzam projektā precizēt vai anotācijā skaidrot, ko sevī ietver publiska spēļu laukuma higiēnas un sanitārās prasības.</w:t>
            </w:r>
          </w:p>
        </w:tc>
        <w:tc>
          <w:tcPr>
            <w:tcW w:w="2410" w:type="dxa"/>
            <w:gridSpan w:val="2"/>
            <w:vMerge w:val="restart"/>
            <w:tcBorders>
              <w:top w:val="single" w:sz="4" w:space="0" w:color="auto"/>
              <w:left w:val="single" w:sz="4" w:space="0" w:color="auto"/>
              <w:right w:val="single" w:sz="4" w:space="0" w:color="auto"/>
            </w:tcBorders>
          </w:tcPr>
          <w:p w14:paraId="779265A8" w14:textId="37F7FC61" w:rsidR="0026797F" w:rsidRPr="00670BAA" w:rsidRDefault="00E93987" w:rsidP="00A40E32">
            <w:pPr>
              <w:pStyle w:val="naisc"/>
              <w:spacing w:before="0" w:after="0"/>
              <w:jc w:val="both"/>
              <w:rPr>
                <w:sz w:val="22"/>
                <w:szCs w:val="22"/>
              </w:rPr>
            </w:pPr>
            <w:r>
              <w:rPr>
                <w:b/>
                <w:sz w:val="22"/>
                <w:szCs w:val="22"/>
              </w:rPr>
              <w:t>Ņ</w:t>
            </w:r>
            <w:r w:rsidR="0026797F" w:rsidRPr="00670BAA">
              <w:rPr>
                <w:b/>
                <w:sz w:val="22"/>
                <w:szCs w:val="22"/>
              </w:rPr>
              <w:t>emts vērā</w:t>
            </w:r>
            <w:r>
              <w:rPr>
                <w:b/>
                <w:sz w:val="22"/>
                <w:szCs w:val="22"/>
              </w:rPr>
              <w:t>, kā arī</w:t>
            </w:r>
            <w:r w:rsidR="0026797F" w:rsidRPr="00670BAA">
              <w:rPr>
                <w:b/>
                <w:sz w:val="22"/>
                <w:szCs w:val="22"/>
              </w:rPr>
              <w:t xml:space="preserve"> panākta vienošanās.</w:t>
            </w:r>
            <w:r w:rsidR="0026797F" w:rsidRPr="00670BAA">
              <w:rPr>
                <w:sz w:val="22"/>
                <w:szCs w:val="22"/>
              </w:rPr>
              <w:t xml:space="preserve"> </w:t>
            </w:r>
          </w:p>
          <w:p w14:paraId="6FEE41E0" w14:textId="4F887612" w:rsidR="0026797F" w:rsidRPr="00670BAA" w:rsidRDefault="0026797F" w:rsidP="00A40E32">
            <w:pPr>
              <w:pStyle w:val="naisc"/>
              <w:spacing w:before="0" w:after="0"/>
              <w:jc w:val="both"/>
              <w:rPr>
                <w:b/>
                <w:sz w:val="22"/>
                <w:szCs w:val="22"/>
              </w:rPr>
            </w:pPr>
            <w:r w:rsidRPr="00670BAA">
              <w:rPr>
                <w:sz w:val="22"/>
                <w:szCs w:val="22"/>
              </w:rPr>
              <w:t>Precizēts projekta 16.4. apakšpunkts, akceptējot piedāvāto redakciju</w:t>
            </w:r>
            <w:r w:rsidR="00974AAD" w:rsidRPr="00670BAA">
              <w:rPr>
                <w:sz w:val="22"/>
                <w:szCs w:val="22"/>
              </w:rPr>
              <w:t>. Pārējais aptverts</w:t>
            </w:r>
            <w:r w:rsidR="00670BAA" w:rsidRPr="00670BAA">
              <w:rPr>
                <w:sz w:val="22"/>
                <w:szCs w:val="22"/>
              </w:rPr>
              <w:t xml:space="preserve"> 10.6.7. un</w:t>
            </w:r>
            <w:r w:rsidR="00974AAD" w:rsidRPr="00670BAA">
              <w:rPr>
                <w:sz w:val="22"/>
                <w:szCs w:val="22"/>
              </w:rPr>
              <w:t xml:space="preserve"> 10.</w:t>
            </w:r>
            <w:r w:rsidR="00670BAA" w:rsidRPr="00670BAA">
              <w:rPr>
                <w:sz w:val="22"/>
                <w:szCs w:val="22"/>
              </w:rPr>
              <w:t>7</w:t>
            </w:r>
            <w:r w:rsidR="00974AAD" w:rsidRPr="00670BAA">
              <w:rPr>
                <w:sz w:val="22"/>
                <w:szCs w:val="22"/>
              </w:rPr>
              <w:t>.</w:t>
            </w:r>
            <w:r w:rsidR="00670BAA" w:rsidRPr="00670BAA">
              <w:rPr>
                <w:sz w:val="22"/>
                <w:szCs w:val="22"/>
              </w:rPr>
              <w:t>3</w:t>
            </w:r>
            <w:r w:rsidR="00974AAD" w:rsidRPr="00670BAA">
              <w:rPr>
                <w:sz w:val="22"/>
                <w:szCs w:val="22"/>
              </w:rPr>
              <w:t>.</w:t>
            </w:r>
            <w:r w:rsidRPr="00670BAA">
              <w:rPr>
                <w:sz w:val="22"/>
                <w:szCs w:val="22"/>
              </w:rPr>
              <w:t> apakšpunkt</w:t>
            </w:r>
            <w:r w:rsidR="00974AAD" w:rsidRPr="00670BAA">
              <w:rPr>
                <w:sz w:val="22"/>
                <w:szCs w:val="22"/>
              </w:rPr>
              <w:t>ā</w:t>
            </w:r>
            <w:r w:rsidRPr="00670BAA">
              <w:rPr>
                <w:sz w:val="22"/>
                <w:szCs w:val="22"/>
              </w:rPr>
              <w:t>. Papildināta arī anotācija atbilstoši Veselības ministrijas priekšlikumam.</w:t>
            </w:r>
          </w:p>
        </w:tc>
        <w:tc>
          <w:tcPr>
            <w:tcW w:w="4652" w:type="dxa"/>
            <w:vMerge w:val="restart"/>
            <w:tcBorders>
              <w:top w:val="single" w:sz="4" w:space="0" w:color="auto"/>
              <w:left w:val="single" w:sz="4" w:space="0" w:color="auto"/>
            </w:tcBorders>
          </w:tcPr>
          <w:p w14:paraId="072610C5" w14:textId="0208B066" w:rsidR="0026797F" w:rsidRPr="00670BAA" w:rsidRDefault="0026797F" w:rsidP="00E43860">
            <w:pPr>
              <w:pStyle w:val="ListParagraph"/>
              <w:numPr>
                <w:ilvl w:val="1"/>
                <w:numId w:val="26"/>
              </w:numPr>
              <w:spacing w:after="0" w:line="240" w:lineRule="auto"/>
              <w:ind w:left="0" w:firstLine="0"/>
              <w:jc w:val="both"/>
              <w:rPr>
                <w:rFonts w:ascii="Times New Roman" w:hAnsi="Times New Roman"/>
              </w:rPr>
            </w:pPr>
            <w:r w:rsidRPr="00670BAA">
              <w:rPr>
                <w:rFonts w:ascii="Times New Roman" w:hAnsi="Times New Roman"/>
              </w:rPr>
              <w:t>regulāri nodrošināt spēļu vai citu aktivitāšu iekārtu, kā arī spēļu un rekreācijas laukumā pastāvošo higiēnas un sanitāro apstākļu pārbaudi un uzturēšanu saskaņā ar šo noteikumu prasībām</w:t>
            </w:r>
            <w:r w:rsidR="00634BA7">
              <w:rPr>
                <w:rFonts w:ascii="Times New Roman" w:hAnsi="Times New Roman"/>
              </w:rPr>
              <w:t xml:space="preserve"> un</w:t>
            </w:r>
            <w:r w:rsidRPr="00670BAA">
              <w:rPr>
                <w:rFonts w:ascii="Times New Roman" w:hAnsi="Times New Roman"/>
              </w:rPr>
              <w:t xml:space="preserve"> ražotāja norādījumiem, ja ražotājs tādus ir iekļāvis iekārtu dokumentācijā;</w:t>
            </w:r>
          </w:p>
          <w:p w14:paraId="4FA9955A"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w:t>
            </w:r>
            <w:r w:rsidRPr="00670BAA">
              <w:rPr>
                <w:rFonts w:ascii="Times New Roman" w:hAnsi="Times New Roman" w:cs="Times New Roman"/>
              </w:rPr>
              <w:tab/>
              <w:t xml:space="preserve">Publiskajam spēļu un rekreācijas laukumam un tajā uzstādītai spēļu vai citu aktivitāšu iekārtai ir šādas specifiskās drošuma prasības: </w:t>
            </w:r>
          </w:p>
          <w:p w14:paraId="37D377AF"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10.1.</w:t>
            </w:r>
            <w:r w:rsidRPr="00670BAA">
              <w:rPr>
                <w:rFonts w:ascii="Times New Roman" w:hAnsi="Times New Roman" w:cs="Times New Roman"/>
              </w:rPr>
              <w:tab/>
              <w:t xml:space="preserve">spēļu vai citu aktivitāšu iekārtai un tās daļām jābūt mehāniski izturīgām un stabilām, lai izturētu paredzēto lietošanas slodzi, nesalūstot vai nedeformējoties un tādējādi neradītu fiziskas </w:t>
            </w:r>
            <w:r w:rsidRPr="00670BAA">
              <w:rPr>
                <w:rFonts w:ascii="Times New Roman" w:hAnsi="Times New Roman" w:cs="Times New Roman"/>
              </w:rPr>
              <w:lastRenderedPageBreak/>
              <w:t>traumas risku, ņemot vērā, ka ar to darbosies viens vai vairāki bērni vai pieaugušie;</w:t>
            </w:r>
          </w:p>
          <w:p w14:paraId="46A3542F"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10.2.</w:t>
            </w:r>
            <w:r w:rsidRPr="00670BAA">
              <w:rPr>
                <w:rFonts w:ascii="Times New Roman" w:hAnsi="Times New Roman" w:cs="Times New Roman"/>
              </w:rPr>
              <w:tab/>
              <w:t>spēļu vai citu aktivitāšu iekārtas šķautnēm, izvirzījumiem, auklām, trosēm un stiprinājumiem jābūt konstruētiem, ražotiem un uzstādītiem tā, lai pēc iespējas mazinātu risku gūt fiziskas traumas saskarē ar tiem;</w:t>
            </w:r>
          </w:p>
          <w:p w14:paraId="02E1603A"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10.3.</w:t>
            </w:r>
            <w:r w:rsidRPr="00670BAA">
              <w:rPr>
                <w:rFonts w:ascii="Times New Roman" w:hAnsi="Times New Roman" w:cs="Times New Roman"/>
              </w:rPr>
              <w:tab/>
              <w:t>spēļu vai citu aktivitāšu iekārta vai tās daļas nedrīkst radīt nožņaugšanās un nosmakšanas risku;</w:t>
            </w:r>
          </w:p>
          <w:p w14:paraId="1B3539AF"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10.4.</w:t>
            </w:r>
            <w:r w:rsidRPr="00670BAA">
              <w:rPr>
                <w:rFonts w:ascii="Times New Roman" w:hAnsi="Times New Roman" w:cs="Times New Roman"/>
              </w:rPr>
              <w:tab/>
              <w:t>spēļu vai citu aktivitāšu iekārtā, kurā iespējams iekļūt iekšā un kas tādējādi veido slēgtu telpu, jābūt izejai, pa kuru var izkļūt no tās un ko paredzētais lietotājs var viegli atvērt no iekšpuses;</w:t>
            </w:r>
          </w:p>
          <w:p w14:paraId="63F2B349"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10.5.</w:t>
            </w:r>
            <w:r w:rsidRPr="00670BAA">
              <w:rPr>
                <w:rFonts w:ascii="Times New Roman" w:hAnsi="Times New Roman" w:cs="Times New Roman"/>
              </w:rPr>
              <w:tab/>
              <w:t>spēļu vai citu aktivitāšu iekārtas izgatavošanai neizmanto materiālus, kuru virsma ir uzliesmojoša;</w:t>
            </w:r>
          </w:p>
          <w:p w14:paraId="70D4D7A6"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w:t>
            </w:r>
            <w:r w:rsidRPr="00670BAA">
              <w:rPr>
                <w:rFonts w:ascii="Times New Roman" w:hAnsi="Times New Roman" w:cs="Times New Roman"/>
              </w:rPr>
              <w:tab/>
              <w:t>spēļu vai citu aktivitāšu iekārtu konstruē un ražo, kā arī uzstāda tā, lai:</w:t>
            </w:r>
          </w:p>
          <w:p w14:paraId="3061FD3B"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10.6.1.</w:t>
            </w:r>
            <w:r w:rsidRPr="00670BAA">
              <w:rPr>
                <w:rFonts w:ascii="Times New Roman" w:hAnsi="Times New Roman" w:cs="Times New Roman"/>
              </w:rPr>
              <w:tab/>
              <w:t>būtu minimāls tās izmantošanai raksturīgais apdraudējums, ko izraisa tās daļu kustība;</w:t>
            </w:r>
          </w:p>
          <w:p w14:paraId="3A3C9913"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10.6.2.</w:t>
            </w:r>
            <w:r w:rsidRPr="00670BAA">
              <w:rPr>
                <w:rFonts w:ascii="Times New Roman" w:hAnsi="Times New Roman" w:cs="Times New Roman"/>
              </w:rPr>
              <w:tab/>
              <w:t>nevienas pieejamas virsmas maksimālā un minimālā temperatūra neizraisītu ievainojumus, ja tai pieskaras (tai skaitā saules radītais karstums);</w:t>
            </w:r>
          </w:p>
          <w:p w14:paraId="41C9432C"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10.6.3.</w:t>
            </w:r>
            <w:r w:rsidRPr="00670BAA">
              <w:rPr>
                <w:rFonts w:ascii="Times New Roman" w:hAnsi="Times New Roman" w:cs="Times New Roman"/>
              </w:rPr>
              <w:tab/>
              <w:t>tā neradītu draudus veselībai vai risku ievainot acis vai ādu, izmantojot lāzerus, gaismas diodes vai citus starojuma veidus;</w:t>
            </w:r>
          </w:p>
          <w:p w14:paraId="6122BD95"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10.6.4.</w:t>
            </w:r>
            <w:r w:rsidRPr="00670BAA">
              <w:rPr>
                <w:rFonts w:ascii="Times New Roman" w:hAnsi="Times New Roman" w:cs="Times New Roman"/>
              </w:rPr>
              <w:tab/>
              <w:t>tās pieejamība neradītu apdraudējumu noteikta vecumposma bērnam, tādējādi apdraudot viņa veselību, kā arī lai tiktu ņemta vērā bērnam raksturīgā uzvedība;</w:t>
            </w:r>
          </w:p>
          <w:p w14:paraId="0CCFEBBA"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10.6.5.</w:t>
            </w:r>
            <w:r w:rsidRPr="00670BAA">
              <w:rPr>
                <w:rFonts w:ascii="Times New Roman" w:hAnsi="Times New Roman" w:cs="Times New Roman"/>
              </w:rPr>
              <w:tab/>
              <w:t>tā neradītu elektrisko apdraudējumu cilvēka veselībai;</w:t>
            </w:r>
          </w:p>
          <w:p w14:paraId="1F92F5F2"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lastRenderedPageBreak/>
              <w:t>10.6.6.</w:t>
            </w:r>
            <w:r w:rsidRPr="00670BAA">
              <w:rPr>
                <w:rFonts w:ascii="Times New Roman" w:hAnsi="Times New Roman" w:cs="Times New Roman"/>
              </w:rPr>
              <w:tab/>
              <w:t>tā neradītu radioaktivitātes un hidraulisku vai pneimatisku mehānismu apdraudējumu cilvēka veselībai</w:t>
            </w:r>
          </w:p>
          <w:p w14:paraId="63F2014E"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10.6.7.</w:t>
            </w:r>
            <w:r w:rsidRPr="00670BAA">
              <w:rPr>
                <w:rFonts w:ascii="Times New Roman" w:hAnsi="Times New Roman" w:cs="Times New Roman"/>
              </w:rPr>
              <w:tab/>
              <w:t>tā neradītu higiēnas un sanitāro apstākļu apdraudējumu cilvēka veselībai;</w:t>
            </w:r>
          </w:p>
          <w:p w14:paraId="5628F69C"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w:t>
            </w:r>
            <w:r w:rsidRPr="00670BAA">
              <w:rPr>
                <w:rFonts w:ascii="Times New Roman" w:hAnsi="Times New Roman" w:cs="Times New Roman"/>
              </w:rPr>
              <w:tab/>
              <w:t>spēļu vai citu aktivitāšu iekārtu, kā arī laukumu un tā pārklājumu konstruē, ražo, uzstāda un izvieto tā, lai:</w:t>
            </w:r>
          </w:p>
          <w:p w14:paraId="7C89A060"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10.7.1.</w:t>
            </w:r>
            <w:r w:rsidRPr="00670BAA">
              <w:rPr>
                <w:rFonts w:ascii="Times New Roman" w:hAnsi="Times New Roman" w:cs="Times New Roman"/>
              </w:rPr>
              <w:tab/>
              <w:t>iespējami samazinātu ķermeņa daļu saspiešanas vai iesprūšanas risku vai apģērba un tā daļu iespiešanas risku, kā arī krišanas un trieciena risku;</w:t>
            </w:r>
          </w:p>
          <w:p w14:paraId="46DA7DAF" w14:textId="77777777" w:rsidR="00670BAA"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10.7.2.</w:t>
            </w:r>
            <w:r w:rsidRPr="00670BAA">
              <w:rPr>
                <w:rFonts w:ascii="Times New Roman" w:hAnsi="Times New Roman" w:cs="Times New Roman"/>
              </w:rPr>
              <w:tab/>
              <w:t>nerastos risks cilvēka veselībai, nonākot saskarē ar ķīmiskām vielām vai maisījumiem, no kuriem ir veidota vai kurus satur iekārta vai laukuma pārklājums, ja spēļu vai citu aktivitāšu iekārtu izmanto paredzētajā vai paredzamajā veidā, ņemot vērā lietotāja parastu uzvedību;</w:t>
            </w:r>
          </w:p>
          <w:p w14:paraId="2262139B" w14:textId="764C5351" w:rsidR="0026797F" w:rsidRPr="00670BAA" w:rsidRDefault="00670BAA" w:rsidP="00670BAA">
            <w:pPr>
              <w:spacing w:after="0" w:line="240" w:lineRule="auto"/>
              <w:jc w:val="both"/>
              <w:rPr>
                <w:rFonts w:ascii="Times New Roman" w:hAnsi="Times New Roman" w:cs="Times New Roman"/>
              </w:rPr>
            </w:pPr>
            <w:r w:rsidRPr="00670BAA">
              <w:rPr>
                <w:rFonts w:ascii="Times New Roman" w:hAnsi="Times New Roman" w:cs="Times New Roman"/>
              </w:rPr>
              <w:t>10.7.3.</w:t>
            </w:r>
            <w:r w:rsidRPr="00670BAA">
              <w:rPr>
                <w:rFonts w:ascii="Times New Roman" w:hAnsi="Times New Roman" w:cs="Times New Roman"/>
              </w:rPr>
              <w:tab/>
              <w:t>spēļu un rekreācijas laukumā tiktu ievērotas drošības zonas un novērsti vai mazināti vides riski un lai būtu nodrošināta neatliekamās medicīniskās palīdzības, kā arī bērnu pieskatītāju un citu pieaugušo piekļuve.</w:t>
            </w:r>
          </w:p>
        </w:tc>
      </w:tr>
      <w:tr w:rsidR="0026797F" w:rsidRPr="00DC34FD" w14:paraId="5BDB2DF3" w14:textId="77777777" w:rsidTr="00AF11CB">
        <w:trPr>
          <w:trHeight w:val="1200"/>
        </w:trPr>
        <w:tc>
          <w:tcPr>
            <w:tcW w:w="742" w:type="dxa"/>
            <w:vMerge/>
            <w:tcBorders>
              <w:left w:val="single" w:sz="4" w:space="0" w:color="auto"/>
              <w:bottom w:val="single" w:sz="4" w:space="0" w:color="auto"/>
              <w:right w:val="single" w:sz="4" w:space="0" w:color="auto"/>
            </w:tcBorders>
          </w:tcPr>
          <w:p w14:paraId="1F8C77C0" w14:textId="77777777" w:rsidR="0026797F" w:rsidRDefault="0026797F"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6ADAB5A6" w14:textId="77777777" w:rsidR="0026797F" w:rsidRPr="00DC34FD" w:rsidRDefault="0026797F" w:rsidP="00A40E32">
            <w:pPr>
              <w:pStyle w:val="tv213"/>
              <w:numPr>
                <w:ilvl w:val="1"/>
                <w:numId w:val="8"/>
              </w:numPr>
              <w:shd w:val="clear" w:color="auto" w:fill="FFFFFF"/>
              <w:spacing w:before="0" w:beforeAutospacing="0" w:after="0" w:afterAutospacing="0" w:line="293" w:lineRule="atLeast"/>
              <w:ind w:left="-81" w:firstLine="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53B2C263" w14:textId="77777777" w:rsidR="0026797F" w:rsidRDefault="0026797F" w:rsidP="00A40E32">
            <w:pPr>
              <w:spacing w:after="120" w:line="240" w:lineRule="auto"/>
              <w:ind w:firstLine="720"/>
              <w:jc w:val="both"/>
              <w:rPr>
                <w:bCs/>
              </w:rPr>
            </w:pPr>
            <w:r>
              <w:rPr>
                <w:b/>
              </w:rPr>
              <w:t>(</w:t>
            </w:r>
            <w:r w:rsidRPr="00E07A47">
              <w:rPr>
                <w:b/>
              </w:rPr>
              <w:t>Par 2019.</w:t>
            </w:r>
            <w:r>
              <w:rPr>
                <w:b/>
              </w:rPr>
              <w:t> </w:t>
            </w:r>
            <w:r w:rsidRPr="00E07A47">
              <w:rPr>
                <w:b/>
              </w:rPr>
              <w:t xml:space="preserve">gada </w:t>
            </w:r>
            <w:r>
              <w:rPr>
                <w:b/>
              </w:rPr>
              <w:t>15</w:t>
            </w:r>
            <w:r w:rsidRPr="00E07A47">
              <w:rPr>
                <w:b/>
              </w:rPr>
              <w:t>.</w:t>
            </w:r>
            <w:r>
              <w:rPr>
                <w:b/>
              </w:rPr>
              <w:t> jūlij</w:t>
            </w:r>
            <w:r w:rsidRPr="00E07A47">
              <w:rPr>
                <w:b/>
              </w:rPr>
              <w:t>a piecu darbdienu saskaņošanai nosūtīt</w:t>
            </w:r>
            <w:r>
              <w:rPr>
                <w:b/>
              </w:rPr>
              <w:t>o</w:t>
            </w:r>
            <w:r w:rsidRPr="00E07A47">
              <w:rPr>
                <w:b/>
              </w:rPr>
              <w:t xml:space="preserve"> precizēt</w:t>
            </w:r>
            <w:r>
              <w:rPr>
                <w:b/>
              </w:rPr>
              <w:t>o</w:t>
            </w:r>
            <w:r w:rsidRPr="00E07A47">
              <w:rPr>
                <w:b/>
              </w:rPr>
              <w:t xml:space="preserve"> tiesību akt</w:t>
            </w:r>
            <w:r>
              <w:rPr>
                <w:b/>
              </w:rPr>
              <w:t>a</w:t>
            </w:r>
            <w:r w:rsidRPr="00E07A47">
              <w:rPr>
                <w:b/>
              </w:rPr>
              <w:t xml:space="preserve"> projekt</w:t>
            </w:r>
            <w:r>
              <w:rPr>
                <w:b/>
              </w:rPr>
              <w:t>u</w:t>
            </w:r>
            <w:r w:rsidRPr="00E07A47">
              <w:rPr>
                <w:b/>
              </w:rPr>
              <w:t>)</w:t>
            </w:r>
          </w:p>
          <w:p w14:paraId="08F2DA2A" w14:textId="77777777" w:rsidR="00974AAD" w:rsidRPr="00974AAD" w:rsidRDefault="00974AAD" w:rsidP="00974AAD">
            <w:pPr>
              <w:spacing w:after="120" w:line="240" w:lineRule="auto"/>
              <w:ind w:firstLine="720"/>
              <w:jc w:val="both"/>
              <w:rPr>
                <w:rFonts w:ascii="Times New Roman" w:eastAsia="Times New Roman" w:hAnsi="Times New Roman" w:cs="Times New Roman"/>
                <w:bCs/>
              </w:rPr>
            </w:pPr>
            <w:r w:rsidRPr="00974AAD">
              <w:rPr>
                <w:rFonts w:ascii="Times New Roman" w:eastAsia="Times New Roman" w:hAnsi="Times New Roman" w:cs="Times New Roman"/>
                <w:bCs/>
              </w:rPr>
              <w:t xml:space="preserve">Projekta 16.4. apakšpunkts nosaka pienākumu laukuma valdītājam nodrošināt </w:t>
            </w:r>
            <w:r w:rsidRPr="00974AAD">
              <w:rPr>
                <w:rFonts w:ascii="Times New Roman" w:eastAsia="Times New Roman" w:hAnsi="Times New Roman" w:cs="Times New Roman"/>
                <w:bCs/>
              </w:rPr>
              <w:lastRenderedPageBreak/>
              <w:t xml:space="preserve">spēļu vai citu aktivitāšu iekārtu, kā arī laukumā pastāvošo higiēnas un sanitāro apstākļu pārbaudi un uzturēšanu saskaņā ar projektā noteiktajām prasībām, ražotāja norādījumiem un ne retāk, kā norādījis ražotājs. </w:t>
            </w:r>
          </w:p>
          <w:p w14:paraId="67A840EA" w14:textId="77777777" w:rsidR="00974AAD" w:rsidRPr="00974AAD" w:rsidRDefault="00974AAD" w:rsidP="00974AAD">
            <w:pPr>
              <w:spacing w:after="120" w:line="240" w:lineRule="auto"/>
              <w:ind w:firstLine="720"/>
              <w:jc w:val="both"/>
              <w:rPr>
                <w:rFonts w:ascii="Times New Roman" w:eastAsia="Times New Roman" w:hAnsi="Times New Roman" w:cs="Times New Roman"/>
                <w:bCs/>
              </w:rPr>
            </w:pPr>
            <w:r w:rsidRPr="00974AAD">
              <w:rPr>
                <w:rFonts w:ascii="Times New Roman" w:eastAsia="Times New Roman" w:hAnsi="Times New Roman" w:cs="Times New Roman"/>
                <w:bCs/>
              </w:rPr>
              <w:t>Iepriekš izteiktajā Veselības ministrijas iebildumā lūdzām projektā precizēt vai anotācijā skaidrot, ko sevī ietver higiēnas un sanitārās prasības. Lai gan šobrīd projektā un tā anotācijā vārds ‘prasības’ ir nomainīts uz vārdu ‘apstākļi’, joprojām nav noteikti skaidri saprotami kritēriji valdītājam, par to, kas būs jāpārbauda. Vienlaicīgi arī nav saprotams, cik bieži šādas pārbaudes būtu jāveic, jo spēļu un rekreācijas iekārtu ražotāju sagatavotajā dokumentācijā nebūs norādes par higiēnas un sanitāro apstākļu pārbaužu veikšanas biežumu.</w:t>
            </w:r>
          </w:p>
          <w:p w14:paraId="3CCF5209" w14:textId="6AB64729" w:rsidR="00974AAD" w:rsidRPr="00974AAD" w:rsidRDefault="00974AAD" w:rsidP="00974AAD">
            <w:pPr>
              <w:spacing w:after="120" w:line="240" w:lineRule="auto"/>
              <w:ind w:firstLine="720"/>
              <w:jc w:val="both"/>
              <w:rPr>
                <w:rFonts w:ascii="Times New Roman" w:eastAsia="Times New Roman" w:hAnsi="Times New Roman" w:cs="Times New Roman"/>
                <w:bCs/>
              </w:rPr>
            </w:pPr>
            <w:r w:rsidRPr="00974AAD">
              <w:rPr>
                <w:rFonts w:ascii="Times New Roman" w:eastAsia="Times New Roman" w:hAnsi="Times New Roman" w:cs="Times New Roman"/>
                <w:bCs/>
              </w:rPr>
              <w:t xml:space="preserve"> Tādēļ lūdzam precizēt projekta 16.4. apakšpunktu izsakot to šādā redakcijā: “16.4. regulāri nodrošināt spēļu vai citu aktivitāšu iekārtu, kā arī spēļu un rekreācijas laukumā pastāvošo higiēnas un sanitāro apstākļu pārbaudi un uzturēšanu saskaņā ar šo noteikumu prasībām un ražotāja norādījumiem, ja ražotājs tādus ir iekļāvis iekārtu dokumentācijā;”</w:t>
            </w:r>
          </w:p>
          <w:p w14:paraId="788AF4DD" w14:textId="1A793403" w:rsidR="00974AAD" w:rsidRPr="00974AAD" w:rsidRDefault="00974AAD" w:rsidP="00974AAD">
            <w:pPr>
              <w:spacing w:after="120" w:line="240" w:lineRule="auto"/>
              <w:ind w:firstLine="720"/>
              <w:jc w:val="both"/>
              <w:rPr>
                <w:rFonts w:ascii="Times New Roman" w:eastAsia="Times New Roman" w:hAnsi="Times New Roman" w:cs="Times New Roman"/>
                <w:bCs/>
              </w:rPr>
            </w:pPr>
            <w:r w:rsidRPr="00974AAD">
              <w:rPr>
                <w:rFonts w:ascii="Times New Roman" w:eastAsia="Times New Roman" w:hAnsi="Times New Roman" w:cs="Times New Roman"/>
                <w:bCs/>
              </w:rPr>
              <w:t>Lai noteiktu konkrētākas prasības higiēnas un sanitāro apstākļu pārbaudei, kā arī noteiktu atsevišķas būtiskas drošuma prasības, kas projektā nav noteiktas, lūdzam papildināt projektu ar 10.8. un 10.9. apakšpunktiem šādā redakcijā:</w:t>
            </w:r>
          </w:p>
          <w:p w14:paraId="05E0BB13" w14:textId="77777777" w:rsidR="00974AAD" w:rsidRPr="00974AAD" w:rsidRDefault="00974AAD" w:rsidP="00974AAD">
            <w:pPr>
              <w:spacing w:after="120" w:line="240" w:lineRule="auto"/>
              <w:ind w:firstLine="720"/>
              <w:jc w:val="both"/>
              <w:rPr>
                <w:rFonts w:ascii="Times New Roman" w:eastAsia="Times New Roman" w:hAnsi="Times New Roman" w:cs="Times New Roman"/>
                <w:bCs/>
              </w:rPr>
            </w:pPr>
            <w:r w:rsidRPr="00974AAD">
              <w:rPr>
                <w:rFonts w:ascii="Times New Roman" w:eastAsia="Times New Roman" w:hAnsi="Times New Roman" w:cs="Times New Roman"/>
                <w:bCs/>
              </w:rPr>
              <w:lastRenderedPageBreak/>
              <w:t>“10.8. publiskā spēļu un rekreācijas laukumā tiek nodrošināta tīrības uzturēšana, atkritumu savākšana, tas ir sakopts un paredzētajā lietošanas laikā apgaismots;</w:t>
            </w:r>
          </w:p>
          <w:p w14:paraId="63778448" w14:textId="197573E3" w:rsidR="00974AAD" w:rsidRPr="00974AAD" w:rsidRDefault="00974AAD" w:rsidP="00974AAD">
            <w:pPr>
              <w:spacing w:after="120" w:line="240" w:lineRule="auto"/>
              <w:ind w:firstLine="720"/>
              <w:jc w:val="both"/>
              <w:rPr>
                <w:rFonts w:ascii="Times New Roman" w:eastAsia="Times New Roman" w:hAnsi="Times New Roman" w:cs="Times New Roman"/>
                <w:bCs/>
              </w:rPr>
            </w:pPr>
            <w:r w:rsidRPr="00974AAD">
              <w:rPr>
                <w:rFonts w:ascii="Times New Roman" w:eastAsia="Times New Roman" w:hAnsi="Times New Roman" w:cs="Times New Roman"/>
                <w:bCs/>
              </w:rPr>
              <w:t xml:space="preserve">10.9. ja publiskā spēļu un rekreācijas laukuma teritorijā ir ūdenstilpes, tās ir iežogotas vai norobežotas.”  </w:t>
            </w:r>
          </w:p>
        </w:tc>
        <w:tc>
          <w:tcPr>
            <w:tcW w:w="2410" w:type="dxa"/>
            <w:gridSpan w:val="2"/>
            <w:vMerge/>
            <w:tcBorders>
              <w:left w:val="single" w:sz="4" w:space="0" w:color="auto"/>
              <w:bottom w:val="single" w:sz="4" w:space="0" w:color="auto"/>
              <w:right w:val="single" w:sz="4" w:space="0" w:color="auto"/>
            </w:tcBorders>
          </w:tcPr>
          <w:p w14:paraId="7B1ABC68" w14:textId="77777777" w:rsidR="0026797F" w:rsidRPr="00DC34FD" w:rsidRDefault="0026797F" w:rsidP="00A40E32">
            <w:pPr>
              <w:pStyle w:val="naisc"/>
              <w:spacing w:before="0" w:after="0"/>
              <w:jc w:val="both"/>
              <w:rPr>
                <w:b/>
                <w:sz w:val="22"/>
                <w:szCs w:val="22"/>
              </w:rPr>
            </w:pPr>
          </w:p>
        </w:tc>
        <w:tc>
          <w:tcPr>
            <w:tcW w:w="4652" w:type="dxa"/>
            <w:vMerge/>
            <w:tcBorders>
              <w:left w:val="single" w:sz="4" w:space="0" w:color="auto"/>
              <w:bottom w:val="single" w:sz="4" w:space="0" w:color="auto"/>
            </w:tcBorders>
          </w:tcPr>
          <w:p w14:paraId="4BBAE475" w14:textId="77777777" w:rsidR="0026797F" w:rsidRPr="00E43860" w:rsidRDefault="0026797F" w:rsidP="00E43860">
            <w:pPr>
              <w:pStyle w:val="ListParagraph"/>
              <w:numPr>
                <w:ilvl w:val="1"/>
                <w:numId w:val="26"/>
              </w:numPr>
              <w:spacing w:after="0" w:line="240" w:lineRule="auto"/>
              <w:ind w:left="0" w:firstLine="0"/>
              <w:jc w:val="both"/>
              <w:rPr>
                <w:rFonts w:ascii="Times New Roman" w:hAnsi="Times New Roman"/>
              </w:rPr>
            </w:pPr>
          </w:p>
        </w:tc>
      </w:tr>
      <w:tr w:rsidR="003F2FA6" w:rsidRPr="00DC34FD" w14:paraId="6CEC6175" w14:textId="77777777" w:rsidTr="00AF11CB">
        <w:trPr>
          <w:trHeight w:val="4575"/>
        </w:trPr>
        <w:tc>
          <w:tcPr>
            <w:tcW w:w="742" w:type="dxa"/>
            <w:vMerge w:val="restart"/>
            <w:tcBorders>
              <w:top w:val="single" w:sz="4" w:space="0" w:color="auto"/>
              <w:left w:val="single" w:sz="4" w:space="0" w:color="auto"/>
              <w:right w:val="single" w:sz="4" w:space="0" w:color="auto"/>
            </w:tcBorders>
          </w:tcPr>
          <w:p w14:paraId="3A63AFC0" w14:textId="7181F838" w:rsidR="003F2FA6" w:rsidRPr="00DC34FD" w:rsidRDefault="003F2FA6" w:rsidP="00A40E32">
            <w:pPr>
              <w:spacing w:after="0" w:line="240" w:lineRule="auto"/>
              <w:jc w:val="center"/>
              <w:rPr>
                <w:rFonts w:ascii="Times New Roman" w:hAnsi="Times New Roman" w:cs="Times New Roman"/>
              </w:rPr>
            </w:pPr>
            <w:r>
              <w:rPr>
                <w:rFonts w:ascii="Times New Roman" w:hAnsi="Times New Roman" w:cs="Times New Roman"/>
              </w:rPr>
              <w:lastRenderedPageBreak/>
              <w:t>21.</w:t>
            </w:r>
          </w:p>
        </w:tc>
        <w:tc>
          <w:tcPr>
            <w:tcW w:w="3370" w:type="dxa"/>
            <w:gridSpan w:val="2"/>
            <w:vMerge w:val="restart"/>
            <w:tcBorders>
              <w:top w:val="single" w:sz="4" w:space="0" w:color="auto"/>
              <w:left w:val="single" w:sz="4" w:space="0" w:color="auto"/>
              <w:right w:val="single" w:sz="4" w:space="0" w:color="auto"/>
            </w:tcBorders>
          </w:tcPr>
          <w:p w14:paraId="6949415A" w14:textId="77777777" w:rsidR="003F2FA6" w:rsidRPr="00DC34FD" w:rsidRDefault="003F2FA6" w:rsidP="00E43860">
            <w:pPr>
              <w:pStyle w:val="naisc"/>
              <w:numPr>
                <w:ilvl w:val="1"/>
                <w:numId w:val="26"/>
              </w:numPr>
              <w:ind w:left="0" w:firstLine="0"/>
              <w:jc w:val="both"/>
              <w:rPr>
                <w:sz w:val="22"/>
                <w:szCs w:val="22"/>
              </w:rPr>
            </w:pPr>
            <w:r w:rsidRPr="00DC34FD">
              <w:rPr>
                <w:sz w:val="22"/>
                <w:szCs w:val="22"/>
              </w:rPr>
              <w:t>nodrošināt šādas spēļu vai citu aktivitāšu iekārtu, to detaļu un spēļu laukuma pārklājuma pārbaudes:</w:t>
            </w:r>
          </w:p>
          <w:p w14:paraId="3A5CF9AE" w14:textId="77777777" w:rsidR="003F2FA6" w:rsidRPr="00DC34FD" w:rsidRDefault="003F2FA6" w:rsidP="00A40E32">
            <w:pPr>
              <w:pStyle w:val="naisc"/>
              <w:jc w:val="both"/>
              <w:rPr>
                <w:sz w:val="22"/>
                <w:szCs w:val="22"/>
              </w:rPr>
            </w:pPr>
            <w:r w:rsidRPr="00DC34FD">
              <w:rPr>
                <w:sz w:val="22"/>
                <w:szCs w:val="22"/>
              </w:rPr>
              <w:t>16.5.1. regulāra vizuāla pārbaude, kuru veic atbilstoši publiskā spēļu laukuma noslodzei, specifikai un iespējamiem riskiem un kurā pārbauda vispārējo spēļu vai citu aktivitāšu iekārtu, to detaļu un spēļu laukuma pārklājuma stāvokli un konstatē defektus un acīmredzamus apdraudējumus (ja tādi ir), ko izraisījusi mantas bojāšana, lietošanas vai laika apstākļi;</w:t>
            </w:r>
          </w:p>
          <w:p w14:paraId="1BE355D7" w14:textId="77777777" w:rsidR="003F2FA6" w:rsidRPr="00DC34FD" w:rsidRDefault="003F2FA6" w:rsidP="00A40E32">
            <w:pPr>
              <w:pStyle w:val="naisc"/>
              <w:jc w:val="both"/>
              <w:rPr>
                <w:sz w:val="22"/>
                <w:szCs w:val="22"/>
              </w:rPr>
            </w:pPr>
            <w:r w:rsidRPr="00DC34FD">
              <w:rPr>
                <w:sz w:val="22"/>
                <w:szCs w:val="22"/>
              </w:rPr>
              <w:t>16.5.2. ekspluatācijas pārbaude, kuru veic ne retāk kā četras reizes gadā un kurā tiek detalizētāk pētīti defekti, iekārtu darbība, dažāda veida nodilums, nolietojums, stabilitāte pārmērīgu kustību dēļ;</w:t>
            </w:r>
          </w:p>
          <w:p w14:paraId="77A407B5" w14:textId="77777777" w:rsidR="003F2FA6" w:rsidRPr="00DC34FD" w:rsidRDefault="003F2FA6" w:rsidP="00A40E32">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 xml:space="preserve">16.5.3. ikgadējā galvenā pārbaude, kuru veic ne retāk kā vienu reizi gadā un kurā tiek noteikts iekārtas vispārējais drošuma līmenis, nosakot vispārējo iekārtu, pamatu un pārklājuma drošuma līmeni, tiek pārbaudīta iekārtas funkcionalitāte un stabilitāte, jo īpaši konstatējot bojājumus un defektus, kas radušies mantas bojāšanas dēļ, dažādu veidu nodilumu, ilgtermiņa strukturālas problēmas, iekārtas drošuma līmeņa </w:t>
            </w:r>
            <w:r w:rsidRPr="00DC34FD">
              <w:rPr>
                <w:rFonts w:ascii="Times New Roman" w:hAnsi="Times New Roman" w:cs="Times New Roman"/>
              </w:rPr>
              <w:lastRenderedPageBreak/>
              <w:t>izmaiņas, tiek veikta riska novērtēšana;</w:t>
            </w:r>
          </w:p>
          <w:p w14:paraId="1D5A3A9C" w14:textId="2C0079C2" w:rsidR="003F2FA6" w:rsidRPr="00DC34FD" w:rsidRDefault="003F2FA6" w:rsidP="00A40E32">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16.6. ja publiska spēļu laukuma valdītājs uzskata vai tam ir iemesls uzskatīt, ka spēļu vai citu aktivitāšu iekārta, kuru tas uzstādījis, neatbilst būtiskajām drošuma prasībām, nodrošināt, ka tiek veiktas korektīvās darbības, kādas ir nepieciešamas un ir iespējamas, lai panāktu spēļu vai citu aktivitāšu iekārtas atbilstību, kā arī nodrošināt publiskā spēļu laukuma vai attiecīgās spēļu vai citu aktivitāšu iekārtas nepieejamību, kamēr tiek veiktas korektīvās darbības;</w:t>
            </w:r>
          </w:p>
        </w:tc>
        <w:tc>
          <w:tcPr>
            <w:tcW w:w="4311" w:type="dxa"/>
            <w:tcBorders>
              <w:top w:val="single" w:sz="4" w:space="0" w:color="auto"/>
              <w:left w:val="single" w:sz="4" w:space="0" w:color="auto"/>
              <w:bottom w:val="single" w:sz="4" w:space="0" w:color="auto"/>
              <w:right w:val="single" w:sz="4" w:space="0" w:color="auto"/>
            </w:tcBorders>
          </w:tcPr>
          <w:p w14:paraId="4C9DB5E7" w14:textId="77777777" w:rsidR="003F2FA6" w:rsidRPr="00DC34FD" w:rsidRDefault="003F2FA6" w:rsidP="00A40E32">
            <w:pPr>
              <w:spacing w:after="120" w:line="240" w:lineRule="auto"/>
              <w:ind w:firstLine="720"/>
              <w:jc w:val="both"/>
              <w:rPr>
                <w:rFonts w:ascii="Times New Roman" w:eastAsia="Times New Roman" w:hAnsi="Times New Roman" w:cs="Times New Roman"/>
                <w:b/>
              </w:rPr>
            </w:pPr>
            <w:r w:rsidRPr="00DC34FD">
              <w:rPr>
                <w:rFonts w:ascii="Times New Roman" w:eastAsia="Times New Roman" w:hAnsi="Times New Roman" w:cs="Times New Roman"/>
                <w:b/>
              </w:rPr>
              <w:lastRenderedPageBreak/>
              <w:t>Veselības ministrija</w:t>
            </w:r>
          </w:p>
          <w:p w14:paraId="29872EB1" w14:textId="59583CF4" w:rsidR="003F2FA6" w:rsidRPr="00DC34FD" w:rsidRDefault="003F2FA6" w:rsidP="00CF47F7">
            <w:pPr>
              <w:spacing w:after="0" w:line="240" w:lineRule="auto"/>
              <w:jc w:val="both"/>
              <w:rPr>
                <w:rFonts w:ascii="Times New Roman" w:eastAsia="Times New Roman" w:hAnsi="Times New Roman" w:cs="Times New Roman"/>
                <w:b/>
              </w:rPr>
            </w:pPr>
            <w:r w:rsidRPr="00DC34FD">
              <w:rPr>
                <w:rFonts w:ascii="Times New Roman" w:hAnsi="Times New Roman" w:cs="Times New Roman"/>
              </w:rPr>
              <w:t>Projekta 16.5. apakšpunkts nosaka pienākumu spēļu laukuma valdītājam nodrošināt vairākas spēļu vai citu aktivitāšu iekārtu, to detaļu un spēļu laukuma pārklājuma regulārās pārbaudes, t.sk. vizuālā pārbaude, ekspluatācijas pārbaude, ikgadējā galvenā pārbaude. Lūdzam projektā precizēt vai anotācijā skaidrot, kas ir tiesīgs veikt minētās pārbaudes.</w:t>
            </w:r>
          </w:p>
        </w:tc>
        <w:tc>
          <w:tcPr>
            <w:tcW w:w="2410" w:type="dxa"/>
            <w:gridSpan w:val="2"/>
            <w:vMerge w:val="restart"/>
            <w:tcBorders>
              <w:top w:val="single" w:sz="4" w:space="0" w:color="auto"/>
              <w:left w:val="single" w:sz="4" w:space="0" w:color="auto"/>
              <w:right w:val="single" w:sz="4" w:space="0" w:color="auto"/>
            </w:tcBorders>
          </w:tcPr>
          <w:p w14:paraId="733A12FF" w14:textId="77777777" w:rsidR="003F2FA6" w:rsidRDefault="003F2FA6" w:rsidP="00A40E32">
            <w:pPr>
              <w:pStyle w:val="naisc"/>
              <w:spacing w:before="0" w:after="0"/>
              <w:jc w:val="both"/>
              <w:rPr>
                <w:sz w:val="22"/>
                <w:szCs w:val="22"/>
              </w:rPr>
            </w:pPr>
            <w:r>
              <w:rPr>
                <w:b/>
                <w:sz w:val="22"/>
                <w:szCs w:val="22"/>
              </w:rPr>
              <w:t>Ņemts vērā</w:t>
            </w:r>
            <w:r w:rsidRPr="00DC34FD">
              <w:rPr>
                <w:b/>
                <w:sz w:val="22"/>
                <w:szCs w:val="22"/>
              </w:rPr>
              <w:t>.</w:t>
            </w:r>
            <w:r w:rsidRPr="00DC34FD">
              <w:rPr>
                <w:sz w:val="22"/>
                <w:szCs w:val="22"/>
              </w:rPr>
              <w:t xml:space="preserve"> </w:t>
            </w:r>
          </w:p>
          <w:p w14:paraId="2E79D814" w14:textId="5D9D3654" w:rsidR="003F2FA6" w:rsidRPr="00DC34FD" w:rsidRDefault="003F2FA6" w:rsidP="00A40E32">
            <w:pPr>
              <w:pStyle w:val="naisc"/>
              <w:spacing w:before="0" w:after="0"/>
              <w:jc w:val="both"/>
              <w:rPr>
                <w:sz w:val="22"/>
                <w:szCs w:val="22"/>
              </w:rPr>
            </w:pPr>
            <w:r>
              <w:rPr>
                <w:sz w:val="22"/>
                <w:szCs w:val="22"/>
              </w:rPr>
              <w:t xml:space="preserve">Anotācijā paskaidrots, ka </w:t>
            </w:r>
            <w:r w:rsidRPr="00DC34FD">
              <w:rPr>
                <w:sz w:val="22"/>
                <w:szCs w:val="22"/>
              </w:rPr>
              <w:t xml:space="preserve">Noteikumu projekts izvirza prasības vienīgi </w:t>
            </w:r>
            <w:proofErr w:type="spellStart"/>
            <w:r w:rsidRPr="00DC34FD">
              <w:rPr>
                <w:sz w:val="22"/>
                <w:szCs w:val="22"/>
              </w:rPr>
              <w:t>pēcuzstādīšanas</w:t>
            </w:r>
            <w:proofErr w:type="spellEnd"/>
            <w:r w:rsidRPr="00DC34FD">
              <w:rPr>
                <w:sz w:val="22"/>
                <w:szCs w:val="22"/>
              </w:rPr>
              <w:t xml:space="preserve"> pārbaudes veicējam</w:t>
            </w:r>
            <w:r>
              <w:rPr>
                <w:sz w:val="22"/>
                <w:szCs w:val="22"/>
              </w:rPr>
              <w:t xml:space="preserve"> un ka</w:t>
            </w:r>
            <w:r w:rsidRPr="00DC34FD">
              <w:rPr>
                <w:sz w:val="22"/>
                <w:szCs w:val="22"/>
              </w:rPr>
              <w:t xml:space="preserve"> </w:t>
            </w:r>
            <w:r>
              <w:rPr>
                <w:sz w:val="22"/>
                <w:szCs w:val="22"/>
              </w:rPr>
              <w:t>p</w:t>
            </w:r>
            <w:r w:rsidRPr="00DC34FD">
              <w:rPr>
                <w:sz w:val="22"/>
                <w:szCs w:val="22"/>
              </w:rPr>
              <w:t>ārējās pārbaudes var veikt jebkura persona pēc valdītāja ieskatiem.</w:t>
            </w:r>
          </w:p>
          <w:p w14:paraId="65BA3DC3" w14:textId="77777777" w:rsidR="003F2FA6" w:rsidRDefault="003F2FA6" w:rsidP="00A40E32">
            <w:pPr>
              <w:pStyle w:val="naisc"/>
              <w:spacing w:before="0" w:after="0"/>
              <w:jc w:val="both"/>
              <w:rPr>
                <w:sz w:val="22"/>
                <w:szCs w:val="22"/>
              </w:rPr>
            </w:pPr>
            <w:r w:rsidRPr="00DC34FD">
              <w:rPr>
                <w:sz w:val="22"/>
                <w:szCs w:val="22"/>
              </w:rPr>
              <w:t xml:space="preserve">Tomēr, ņemot vērā nozares pārstāvju viedokli, ka būtiskas problēmas nozarē rodas ar spēļu laukumu uzturēšanu un pārbaužu nodrošināšanu tajos, līdz ar šā Noteikumu projekta pieņemšanu Ministru kabinetā paredzēts Ministru kabineta sēdes </w:t>
            </w:r>
            <w:proofErr w:type="spellStart"/>
            <w:r w:rsidRPr="00DC34FD">
              <w:rPr>
                <w:sz w:val="22"/>
                <w:szCs w:val="22"/>
              </w:rPr>
              <w:t>protokollēmumā</w:t>
            </w:r>
            <w:proofErr w:type="spellEnd"/>
            <w:r w:rsidRPr="00DC34FD">
              <w:rPr>
                <w:sz w:val="22"/>
                <w:szCs w:val="22"/>
              </w:rPr>
              <w:t xml:space="preserve"> ietvert uzdevumu Ekonomikas ministrijai pēc pieciem gadiem iesniegt Ministru kabinetā ziņojumu </w:t>
            </w:r>
            <w:bookmarkStart w:id="4" w:name="_Hlk24705537"/>
            <w:r w:rsidRPr="00DC34FD">
              <w:rPr>
                <w:sz w:val="22"/>
                <w:szCs w:val="22"/>
              </w:rPr>
              <w:t xml:space="preserve">par nepieciešamību pārskatīt Noteikumu projekta noteikumus par to, kādiem spēļu laukumiem veicamas </w:t>
            </w:r>
            <w:proofErr w:type="spellStart"/>
            <w:r w:rsidRPr="00DC34FD">
              <w:rPr>
                <w:sz w:val="22"/>
                <w:szCs w:val="22"/>
              </w:rPr>
              <w:t>pēcuzstādīšanas</w:t>
            </w:r>
            <w:proofErr w:type="spellEnd"/>
            <w:r w:rsidRPr="00DC34FD">
              <w:rPr>
                <w:sz w:val="22"/>
                <w:szCs w:val="22"/>
              </w:rPr>
              <w:t xml:space="preserve"> pārbaudes un kuras no pārbaudēm un cik bieži </w:t>
            </w:r>
            <w:r w:rsidRPr="00DC34FD">
              <w:rPr>
                <w:sz w:val="22"/>
                <w:szCs w:val="22"/>
              </w:rPr>
              <w:lastRenderedPageBreak/>
              <w:t>būtu veicamas akreditētām institūcijām</w:t>
            </w:r>
            <w:bookmarkEnd w:id="4"/>
            <w:r w:rsidRPr="00DC34FD">
              <w:rPr>
                <w:sz w:val="22"/>
                <w:szCs w:val="22"/>
              </w:rPr>
              <w:t>.</w:t>
            </w:r>
          </w:p>
          <w:p w14:paraId="421702BC" w14:textId="22B607E4" w:rsidR="003F2FA6" w:rsidRPr="00DC34FD" w:rsidRDefault="00670BAA" w:rsidP="00A40E32">
            <w:pPr>
              <w:pStyle w:val="naisc"/>
              <w:spacing w:before="0" w:after="0"/>
              <w:jc w:val="both"/>
              <w:rPr>
                <w:b/>
                <w:sz w:val="22"/>
                <w:szCs w:val="22"/>
              </w:rPr>
            </w:pPr>
            <w:r>
              <w:rPr>
                <w:b/>
                <w:bCs/>
                <w:sz w:val="22"/>
                <w:szCs w:val="22"/>
              </w:rPr>
              <w:t xml:space="preserve">Panākta vienošanās, ka: </w:t>
            </w:r>
            <w:r>
              <w:rPr>
                <w:sz w:val="22"/>
                <w:szCs w:val="22"/>
              </w:rPr>
              <w:t>p</w:t>
            </w:r>
            <w:r w:rsidR="003F2FA6">
              <w:rPr>
                <w:sz w:val="22"/>
                <w:szCs w:val="22"/>
              </w:rPr>
              <w:t>iecu gadu termiņš (kurā ieskaitāms arī 18 mēnešu pārejas periods) ir uzskatāms par optimālu termiņu, kurā būtu iespējams izvērtēt Noteikumu projekta piemērošanu un iesniegt Ministru kabinetā attiecīgu ziņojumu.</w:t>
            </w:r>
          </w:p>
        </w:tc>
        <w:tc>
          <w:tcPr>
            <w:tcW w:w="4652" w:type="dxa"/>
            <w:vMerge w:val="restart"/>
            <w:tcBorders>
              <w:top w:val="single" w:sz="4" w:space="0" w:color="auto"/>
              <w:left w:val="single" w:sz="4" w:space="0" w:color="auto"/>
            </w:tcBorders>
          </w:tcPr>
          <w:p w14:paraId="07D0B640" w14:textId="77777777" w:rsidR="003F2FA6" w:rsidRPr="00DC34FD" w:rsidRDefault="003F2FA6" w:rsidP="00A40E32">
            <w:pPr>
              <w:spacing w:after="0" w:line="240" w:lineRule="auto"/>
              <w:jc w:val="both"/>
              <w:rPr>
                <w:rFonts w:ascii="Times New Roman" w:hAnsi="Times New Roman" w:cs="Times New Roman"/>
              </w:rPr>
            </w:pPr>
          </w:p>
        </w:tc>
      </w:tr>
      <w:tr w:rsidR="003F2FA6" w:rsidRPr="00DC34FD" w14:paraId="7E7C8701" w14:textId="77777777" w:rsidTr="00AF11CB">
        <w:trPr>
          <w:trHeight w:val="4058"/>
        </w:trPr>
        <w:tc>
          <w:tcPr>
            <w:tcW w:w="742" w:type="dxa"/>
            <w:vMerge/>
            <w:tcBorders>
              <w:left w:val="single" w:sz="4" w:space="0" w:color="auto"/>
              <w:right w:val="single" w:sz="4" w:space="0" w:color="auto"/>
            </w:tcBorders>
          </w:tcPr>
          <w:p w14:paraId="4E217840" w14:textId="77777777" w:rsidR="003F2FA6" w:rsidRPr="00DC34FD" w:rsidRDefault="003F2FA6"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750F1EBE" w14:textId="77777777" w:rsidR="003F2FA6" w:rsidRPr="00DC34FD" w:rsidRDefault="003F2FA6" w:rsidP="00E43860">
            <w:pPr>
              <w:pStyle w:val="naisc"/>
              <w:numPr>
                <w:ilvl w:val="1"/>
                <w:numId w:val="26"/>
              </w:numPr>
              <w:ind w:left="0" w:firstLine="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0E7DB59A" w14:textId="77777777" w:rsidR="003F2FA6" w:rsidRPr="00DC34FD" w:rsidRDefault="003F2FA6" w:rsidP="00C44707">
            <w:pPr>
              <w:pStyle w:val="CommentText"/>
              <w:spacing w:before="60" w:after="0"/>
              <w:jc w:val="center"/>
              <w:rPr>
                <w:b/>
                <w:sz w:val="22"/>
                <w:szCs w:val="22"/>
              </w:rPr>
            </w:pPr>
            <w:r w:rsidRPr="00DC34FD">
              <w:rPr>
                <w:b/>
                <w:sz w:val="22"/>
                <w:szCs w:val="22"/>
              </w:rPr>
              <w:t xml:space="preserve">Latvijas Rūpnieku tehniskās drošības ekspertu apvienība – TUV </w:t>
            </w:r>
            <w:proofErr w:type="spellStart"/>
            <w:r w:rsidRPr="00DC34FD">
              <w:rPr>
                <w:b/>
                <w:sz w:val="22"/>
                <w:szCs w:val="22"/>
              </w:rPr>
              <w:t>Rheinland</w:t>
            </w:r>
            <w:proofErr w:type="spellEnd"/>
            <w:r w:rsidRPr="00DC34FD">
              <w:rPr>
                <w:b/>
                <w:sz w:val="22"/>
                <w:szCs w:val="22"/>
              </w:rPr>
              <w:t xml:space="preserve"> grupa</w:t>
            </w:r>
          </w:p>
          <w:p w14:paraId="54AE701E" w14:textId="77777777" w:rsidR="003F2FA6" w:rsidRPr="00DC34FD" w:rsidRDefault="003F2FA6" w:rsidP="00A40E32">
            <w:pPr>
              <w:spacing w:after="120" w:line="240" w:lineRule="auto"/>
              <w:ind w:firstLine="720"/>
              <w:jc w:val="both"/>
              <w:rPr>
                <w:rFonts w:ascii="Times New Roman" w:eastAsia="Times New Roman" w:hAnsi="Times New Roman" w:cs="Times New Roman"/>
              </w:rPr>
            </w:pPr>
            <w:r w:rsidRPr="00DC34FD">
              <w:rPr>
                <w:rFonts w:ascii="Times New Roman" w:eastAsia="Times New Roman" w:hAnsi="Times New Roman" w:cs="Times New Roman"/>
              </w:rPr>
              <w:t>Uzskatām, ka arī ikgadējās galvenās pārbaudes ir jāveic akreditētām inspicēšanas institūcijām. Līdz ar to piedāvājam izteikt punktus 16.5.3. un 16.6. sekojošā redakcijā:</w:t>
            </w:r>
          </w:p>
          <w:p w14:paraId="5DDEFFCE" w14:textId="77777777" w:rsidR="003F2FA6" w:rsidRPr="00DC34FD" w:rsidRDefault="003F2FA6" w:rsidP="00A40E32">
            <w:pPr>
              <w:spacing w:after="120" w:line="240" w:lineRule="auto"/>
              <w:ind w:firstLine="720"/>
              <w:jc w:val="both"/>
              <w:rPr>
                <w:rFonts w:ascii="Times New Roman" w:hAnsi="Times New Roman" w:cs="Times New Roman"/>
                <w:i/>
              </w:rPr>
            </w:pPr>
            <w:r w:rsidRPr="00DC34FD">
              <w:rPr>
                <w:rFonts w:ascii="Times New Roman" w:hAnsi="Times New Roman" w:cs="Times New Roman"/>
                <w:i/>
              </w:rPr>
              <w:t xml:space="preserve">16.5.3. ikgadējā galvenā pārbaude, kuru veic akreditēta inspicēšanas institūcija un kuru veic ne retāk kā vienu reizi gadā un kurā tiek noteikts iekārtas vispārējais drošuma līmenis, nosakot vispārējo iekārtu, pamatu un pārklājuma drošuma līmeni, tiek pārbaudīta iekārtas funkcionalitāte un stabilitāte, jo īpaši konstatējot bojājumus un defektus, kas radušies mantas bojāšanas dēļ, dažādu veidu </w:t>
            </w:r>
            <w:r w:rsidRPr="00DC34FD">
              <w:rPr>
                <w:rFonts w:ascii="Times New Roman" w:hAnsi="Times New Roman" w:cs="Times New Roman"/>
                <w:i/>
              </w:rPr>
              <w:lastRenderedPageBreak/>
              <w:t>nodilumu, ilgtermiņa strukturālas problēmas, iekārtas drošuma līmeņa izmaiņas;</w:t>
            </w:r>
          </w:p>
          <w:p w14:paraId="601B43A7" w14:textId="32E9AD88" w:rsidR="003F2FA6" w:rsidRPr="00DC34FD" w:rsidRDefault="003F2FA6" w:rsidP="00A40E32">
            <w:pPr>
              <w:spacing w:after="120" w:line="240" w:lineRule="auto"/>
              <w:ind w:firstLine="720"/>
              <w:jc w:val="both"/>
              <w:rPr>
                <w:rFonts w:ascii="Times New Roman" w:eastAsia="Times New Roman" w:hAnsi="Times New Roman" w:cs="Times New Roman"/>
                <w:i/>
              </w:rPr>
            </w:pPr>
            <w:r w:rsidRPr="00DC34FD">
              <w:rPr>
                <w:rFonts w:ascii="Times New Roman" w:eastAsia="Times New Roman" w:hAnsi="Times New Roman" w:cs="Times New Roman"/>
                <w:i/>
              </w:rPr>
              <w:t>16.6. ja akreditēta inspicēšanas institūcija vai publiska spēļu laukuma valdītājs uzskata, ka spēļu vai citu aktivitāšu iekārta neatbilst būtiskajām drošuma prasībām, valdītājam jānodrošina, ka tiek veiktas korektīvās darbības, kādas ir nepieciešamas un ir iespējamas, lai panāktu spēļu vai citu aktivitāšu iekārtas atbilstību, kā arī jānodrošina publiskā spēļu laukuma vai attiecīgās spēļu vai citu aktivitāšu iekārtas nepieejamību, kamēr tiek veiktas korektīvās darbības;</w:t>
            </w:r>
          </w:p>
        </w:tc>
        <w:tc>
          <w:tcPr>
            <w:tcW w:w="2410" w:type="dxa"/>
            <w:gridSpan w:val="2"/>
            <w:vMerge/>
            <w:tcBorders>
              <w:left w:val="single" w:sz="4" w:space="0" w:color="auto"/>
              <w:right w:val="single" w:sz="4" w:space="0" w:color="auto"/>
            </w:tcBorders>
          </w:tcPr>
          <w:p w14:paraId="10FF356A" w14:textId="77777777" w:rsidR="003F2FA6" w:rsidRPr="00DC34FD" w:rsidRDefault="003F2FA6" w:rsidP="00A40E32">
            <w:pPr>
              <w:pStyle w:val="naisc"/>
              <w:spacing w:before="0" w:after="0"/>
              <w:jc w:val="both"/>
              <w:rPr>
                <w:b/>
                <w:sz w:val="22"/>
                <w:szCs w:val="22"/>
              </w:rPr>
            </w:pPr>
          </w:p>
        </w:tc>
        <w:tc>
          <w:tcPr>
            <w:tcW w:w="4652" w:type="dxa"/>
            <w:vMerge/>
            <w:tcBorders>
              <w:left w:val="single" w:sz="4" w:space="0" w:color="auto"/>
            </w:tcBorders>
          </w:tcPr>
          <w:p w14:paraId="29B0CB85" w14:textId="77777777" w:rsidR="003F2FA6" w:rsidRPr="00DC34FD" w:rsidRDefault="003F2FA6" w:rsidP="00A40E32">
            <w:pPr>
              <w:spacing w:after="0" w:line="240" w:lineRule="auto"/>
              <w:jc w:val="both"/>
              <w:rPr>
                <w:rFonts w:ascii="Times New Roman" w:hAnsi="Times New Roman" w:cs="Times New Roman"/>
              </w:rPr>
            </w:pPr>
          </w:p>
        </w:tc>
      </w:tr>
      <w:tr w:rsidR="003F2FA6" w:rsidRPr="00DC34FD" w14:paraId="19189F74" w14:textId="77777777" w:rsidTr="00AF11CB">
        <w:trPr>
          <w:trHeight w:val="703"/>
        </w:trPr>
        <w:tc>
          <w:tcPr>
            <w:tcW w:w="742" w:type="dxa"/>
            <w:vMerge/>
            <w:tcBorders>
              <w:left w:val="single" w:sz="4" w:space="0" w:color="auto"/>
              <w:bottom w:val="single" w:sz="4" w:space="0" w:color="auto"/>
              <w:right w:val="single" w:sz="4" w:space="0" w:color="auto"/>
            </w:tcBorders>
          </w:tcPr>
          <w:p w14:paraId="433D6D17" w14:textId="77777777" w:rsidR="003F2FA6" w:rsidRPr="00DC34FD" w:rsidRDefault="003F2FA6"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268EF0F6" w14:textId="77777777" w:rsidR="003F2FA6" w:rsidRPr="00DC34FD" w:rsidRDefault="003F2FA6" w:rsidP="00E43860">
            <w:pPr>
              <w:pStyle w:val="naisc"/>
              <w:numPr>
                <w:ilvl w:val="1"/>
                <w:numId w:val="26"/>
              </w:numPr>
              <w:ind w:left="0" w:firstLine="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26D9D566" w14:textId="77777777" w:rsidR="003F2FA6" w:rsidRDefault="003F2FA6" w:rsidP="003F2FA6">
            <w:pPr>
              <w:spacing w:after="120" w:line="240" w:lineRule="auto"/>
              <w:ind w:firstLine="720"/>
              <w:jc w:val="both"/>
              <w:rPr>
                <w:b/>
                <w:color w:val="000000"/>
              </w:rPr>
            </w:pPr>
            <w:r>
              <w:rPr>
                <w:b/>
                <w:color w:val="000000"/>
              </w:rPr>
              <w:t xml:space="preserve">Veselības ministrija </w:t>
            </w:r>
          </w:p>
          <w:p w14:paraId="0DDC8180" w14:textId="31D9677C" w:rsidR="003F2FA6" w:rsidRDefault="003F2FA6" w:rsidP="003F2FA6">
            <w:pPr>
              <w:spacing w:after="120" w:line="240" w:lineRule="auto"/>
              <w:ind w:firstLine="720"/>
              <w:jc w:val="both"/>
              <w:rPr>
                <w:bCs/>
              </w:rPr>
            </w:pPr>
            <w:r>
              <w:rPr>
                <w:b/>
              </w:rPr>
              <w:t>(</w:t>
            </w:r>
            <w:r w:rsidRPr="00E07A47">
              <w:rPr>
                <w:b/>
              </w:rPr>
              <w:t>Par 2019.</w:t>
            </w:r>
            <w:r>
              <w:rPr>
                <w:b/>
              </w:rPr>
              <w:t> </w:t>
            </w:r>
            <w:r w:rsidRPr="00E07A47">
              <w:rPr>
                <w:b/>
              </w:rPr>
              <w:t xml:space="preserve">gada </w:t>
            </w:r>
            <w:r>
              <w:rPr>
                <w:b/>
              </w:rPr>
              <w:t>15</w:t>
            </w:r>
            <w:r w:rsidRPr="00E07A47">
              <w:rPr>
                <w:b/>
              </w:rPr>
              <w:t>.</w:t>
            </w:r>
            <w:r>
              <w:rPr>
                <w:b/>
              </w:rPr>
              <w:t> jūlijā</w:t>
            </w:r>
            <w:r w:rsidRPr="00E07A47">
              <w:rPr>
                <w:b/>
              </w:rPr>
              <w:t xml:space="preserve"> piecu darbdienu saskaņošanai nosūtīt</w:t>
            </w:r>
            <w:r>
              <w:rPr>
                <w:b/>
              </w:rPr>
              <w:t>o</w:t>
            </w:r>
            <w:r w:rsidRPr="00E07A47">
              <w:rPr>
                <w:b/>
              </w:rPr>
              <w:t xml:space="preserve"> precizēt</w:t>
            </w:r>
            <w:r>
              <w:rPr>
                <w:b/>
              </w:rPr>
              <w:t>o</w:t>
            </w:r>
            <w:r w:rsidRPr="00E07A47">
              <w:rPr>
                <w:b/>
              </w:rPr>
              <w:t xml:space="preserve"> tiesību akt</w:t>
            </w:r>
            <w:r>
              <w:rPr>
                <w:b/>
              </w:rPr>
              <w:t>a</w:t>
            </w:r>
            <w:r w:rsidRPr="00E07A47">
              <w:rPr>
                <w:b/>
              </w:rPr>
              <w:t xml:space="preserve"> projekt</w:t>
            </w:r>
            <w:r>
              <w:rPr>
                <w:b/>
              </w:rPr>
              <w:t>u un izziņu</w:t>
            </w:r>
            <w:r w:rsidRPr="00E07A47">
              <w:rPr>
                <w:b/>
              </w:rPr>
              <w:t>)</w:t>
            </w:r>
          </w:p>
          <w:p w14:paraId="3084B435" w14:textId="77777777" w:rsidR="002F60FE" w:rsidRPr="002F60FE" w:rsidRDefault="002F60FE" w:rsidP="002F60FE">
            <w:pPr>
              <w:pStyle w:val="CommentText"/>
              <w:spacing w:before="60" w:after="0"/>
              <w:jc w:val="both"/>
              <w:rPr>
                <w:bCs/>
                <w:sz w:val="22"/>
                <w:szCs w:val="22"/>
              </w:rPr>
            </w:pPr>
            <w:r w:rsidRPr="002F60FE">
              <w:rPr>
                <w:bCs/>
                <w:sz w:val="22"/>
                <w:szCs w:val="22"/>
              </w:rPr>
              <w:t xml:space="preserve">Saistībā ar Veselības ministrijas iepriekš izteikto iebildumu par to, kas būs tiesīgs veikt valdītājam noteiktās pārbaudes spēļu vai citām aktivitāšu iekārtām, to detaļām un laukuma pārklājumam, projekta izziņas 21.punktā ir norādīts, ka nozarē ir būtiskas problēmas ar spēļu laukumu uzturēšanu un pārbaužu nodrošināšanu tajos. Kā arī, ka līdz ar šī projekta pieņemšanu Ministru kabinetā ir paredzēts Ministru kabineta sēdes </w:t>
            </w:r>
            <w:proofErr w:type="spellStart"/>
            <w:r w:rsidRPr="002F60FE">
              <w:rPr>
                <w:bCs/>
                <w:sz w:val="22"/>
                <w:szCs w:val="22"/>
              </w:rPr>
              <w:t>protokollēmumā</w:t>
            </w:r>
            <w:proofErr w:type="spellEnd"/>
            <w:r w:rsidRPr="002F60FE">
              <w:rPr>
                <w:bCs/>
                <w:sz w:val="22"/>
                <w:szCs w:val="22"/>
              </w:rPr>
              <w:t xml:space="preserve"> ietvert uzdevumu Ekonomikas ministrijai pēc pieciem gadiem iesniegt Ministru kabinetā ziņojumu par </w:t>
            </w:r>
            <w:r w:rsidRPr="002F60FE">
              <w:rPr>
                <w:bCs/>
                <w:sz w:val="22"/>
                <w:szCs w:val="22"/>
              </w:rPr>
              <w:lastRenderedPageBreak/>
              <w:t xml:space="preserve">nepieciešamību pārskatīt projekta noteikumus par to, kādiem spēļu laukumiem veicamas </w:t>
            </w:r>
            <w:proofErr w:type="spellStart"/>
            <w:r w:rsidRPr="002F60FE">
              <w:rPr>
                <w:bCs/>
                <w:sz w:val="22"/>
                <w:szCs w:val="22"/>
              </w:rPr>
              <w:t>pēcuzstādīšanas</w:t>
            </w:r>
            <w:proofErr w:type="spellEnd"/>
            <w:r w:rsidRPr="002F60FE">
              <w:rPr>
                <w:bCs/>
                <w:sz w:val="22"/>
                <w:szCs w:val="22"/>
              </w:rPr>
              <w:t xml:space="preserve"> pārbaudes un kuras no pārbaudēm un cik bieži būtu veicamas akreditētām institūcijām. </w:t>
            </w:r>
          </w:p>
          <w:p w14:paraId="54BECC88" w14:textId="659EB456" w:rsidR="003F2FA6" w:rsidRPr="00DC34FD" w:rsidRDefault="002F60FE" w:rsidP="002F60FE">
            <w:pPr>
              <w:pStyle w:val="CommentText"/>
              <w:spacing w:before="60" w:after="0"/>
              <w:jc w:val="both"/>
              <w:rPr>
                <w:b/>
                <w:sz w:val="22"/>
                <w:szCs w:val="22"/>
              </w:rPr>
            </w:pPr>
            <w:r w:rsidRPr="002F60FE">
              <w:rPr>
                <w:bCs/>
                <w:sz w:val="22"/>
                <w:szCs w:val="22"/>
              </w:rPr>
              <w:t>Ņemot vērā, ka nozarē ar šo ir būtiskas problēmas un ir nepieciešams samazināt bērnu spēļu iekārtu un spēļu laukumu radīto cilvēka ievainojumu un traumu risku, uzskatām, ka ir jānosaka īsāks laika periods minētā ziņojuma iesniegšanai un problēmas risinājumu rašanai. Tādēļ lūdzam vēlreiz izvērtēt noteikto laika periodu un samazināt to līdz vismaz divu gadu periodam</w:t>
            </w:r>
            <w:r>
              <w:rPr>
                <w:bCs/>
                <w:sz w:val="22"/>
                <w:szCs w:val="22"/>
              </w:rPr>
              <w:t>.</w:t>
            </w:r>
          </w:p>
        </w:tc>
        <w:tc>
          <w:tcPr>
            <w:tcW w:w="2410" w:type="dxa"/>
            <w:gridSpan w:val="2"/>
            <w:vMerge/>
            <w:tcBorders>
              <w:left w:val="single" w:sz="4" w:space="0" w:color="auto"/>
              <w:bottom w:val="single" w:sz="4" w:space="0" w:color="auto"/>
              <w:right w:val="single" w:sz="4" w:space="0" w:color="auto"/>
            </w:tcBorders>
          </w:tcPr>
          <w:p w14:paraId="36B95BF7" w14:textId="77777777" w:rsidR="003F2FA6" w:rsidRPr="00DC34FD" w:rsidRDefault="003F2FA6" w:rsidP="00A40E32">
            <w:pPr>
              <w:pStyle w:val="naisc"/>
              <w:spacing w:before="0" w:after="0"/>
              <w:jc w:val="both"/>
              <w:rPr>
                <w:b/>
                <w:sz w:val="22"/>
                <w:szCs w:val="22"/>
              </w:rPr>
            </w:pPr>
          </w:p>
        </w:tc>
        <w:tc>
          <w:tcPr>
            <w:tcW w:w="4652" w:type="dxa"/>
            <w:vMerge/>
            <w:tcBorders>
              <w:left w:val="single" w:sz="4" w:space="0" w:color="auto"/>
              <w:bottom w:val="single" w:sz="4" w:space="0" w:color="auto"/>
            </w:tcBorders>
          </w:tcPr>
          <w:p w14:paraId="0009F56A" w14:textId="77777777" w:rsidR="003F2FA6" w:rsidRPr="00DC34FD" w:rsidRDefault="003F2FA6" w:rsidP="00A40E32">
            <w:pPr>
              <w:spacing w:after="0" w:line="240" w:lineRule="auto"/>
              <w:jc w:val="both"/>
              <w:rPr>
                <w:rFonts w:ascii="Times New Roman" w:hAnsi="Times New Roman" w:cs="Times New Roman"/>
              </w:rPr>
            </w:pPr>
          </w:p>
        </w:tc>
      </w:tr>
      <w:tr w:rsidR="00A40E32" w:rsidRPr="00DC34FD" w14:paraId="21EEAA35" w14:textId="77777777" w:rsidTr="00AF11CB">
        <w:tc>
          <w:tcPr>
            <w:tcW w:w="742" w:type="dxa"/>
            <w:tcBorders>
              <w:top w:val="single" w:sz="4" w:space="0" w:color="auto"/>
              <w:left w:val="single" w:sz="4" w:space="0" w:color="auto"/>
              <w:bottom w:val="single" w:sz="4" w:space="0" w:color="auto"/>
              <w:right w:val="single" w:sz="4" w:space="0" w:color="auto"/>
            </w:tcBorders>
          </w:tcPr>
          <w:p w14:paraId="14F154EA" w14:textId="07B63A3C"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22.</w:t>
            </w:r>
          </w:p>
        </w:tc>
        <w:tc>
          <w:tcPr>
            <w:tcW w:w="3370" w:type="dxa"/>
            <w:gridSpan w:val="2"/>
            <w:tcBorders>
              <w:top w:val="single" w:sz="4" w:space="0" w:color="auto"/>
              <w:left w:val="single" w:sz="4" w:space="0" w:color="auto"/>
              <w:bottom w:val="single" w:sz="4" w:space="0" w:color="auto"/>
              <w:right w:val="single" w:sz="4" w:space="0" w:color="auto"/>
            </w:tcBorders>
          </w:tcPr>
          <w:p w14:paraId="23686957" w14:textId="77777777" w:rsidR="00A40E32" w:rsidRPr="00DC34FD" w:rsidRDefault="00A40E32" w:rsidP="00A40E32">
            <w:pPr>
              <w:pStyle w:val="tv213"/>
              <w:shd w:val="clear" w:color="auto" w:fill="FFFFFF"/>
              <w:spacing w:before="0" w:beforeAutospacing="0" w:after="0" w:afterAutospacing="0"/>
              <w:jc w:val="both"/>
              <w:rPr>
                <w:sz w:val="22"/>
                <w:szCs w:val="22"/>
              </w:rPr>
            </w:pPr>
            <w:r w:rsidRPr="00DC34FD">
              <w:rPr>
                <w:sz w:val="22"/>
                <w:szCs w:val="22"/>
              </w:rPr>
              <w:t>17. Visus pārbaudes rezultātus, kas minēti šo noteikumu 16.5. apakšpunktā, fiksē rakstveidā un veic visus nepieciešamos pasākumus, lai pēc iespējas laicīgāk novērstu konstatētos bojājumus.</w:t>
            </w:r>
          </w:p>
          <w:p w14:paraId="779DFB41" w14:textId="77777777" w:rsidR="00A40E32" w:rsidRPr="00DC34FD" w:rsidRDefault="00A40E32" w:rsidP="00A40E32">
            <w:pPr>
              <w:shd w:val="clear" w:color="auto" w:fill="FFFFFF"/>
              <w:jc w:val="both"/>
              <w:rPr>
                <w:rFonts w:ascii="Times New Roman" w:hAnsi="Times New Roman" w:cs="Times New Roman"/>
                <w:lang w:eastAsia="lv-LV"/>
              </w:rPr>
            </w:pPr>
          </w:p>
          <w:p w14:paraId="09535E11" w14:textId="77777777" w:rsidR="00A40E32" w:rsidRPr="00DC34FD" w:rsidRDefault="00A40E32" w:rsidP="00A40E32">
            <w:pPr>
              <w:pStyle w:val="naisc"/>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40D7C512" w14:textId="77777777"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02BCE5DA" w14:textId="77777777" w:rsidR="00A40E32" w:rsidRPr="00DC34FD" w:rsidRDefault="00A40E32" w:rsidP="00A40E32">
            <w:pPr>
              <w:jc w:val="both"/>
              <w:rPr>
                <w:rFonts w:ascii="Times New Roman" w:hAnsi="Times New Roman" w:cs="Times New Roman"/>
                <w:bCs/>
              </w:rPr>
            </w:pPr>
            <w:r w:rsidRPr="00DC34FD">
              <w:rPr>
                <w:rFonts w:ascii="Times New Roman" w:hAnsi="Times New Roman" w:cs="Times New Roman"/>
              </w:rPr>
              <w:t xml:space="preserve">Iesakām pārbaudes rezultātus fiksēt rakstveidā šo noteikumu 16.5.2. un 16.5.3. apakšpunktā noteiktajās pārbaudēs, tādējādi samazinot administratīvo slogu, jo ikdienas regulārās pārbaudes rotaļu laukumos tiek veiktas vidēji reizi vienā vai divās nedēļās (vai pēc vajadzības). Noteikumu 16.5.1. apakšpunktā minētās pārbaudes rezultātus fiksē rakstiski, ja tiek konstatēti iespējami tūlītēji apdraudējumi spēļu laukuma apmeklētājiem. </w:t>
            </w:r>
            <w:r w:rsidRPr="00DC34FD">
              <w:rPr>
                <w:rFonts w:ascii="Times New Roman" w:hAnsi="Times New Roman" w:cs="Times New Roman"/>
                <w:bCs/>
              </w:rPr>
              <w:t xml:space="preserve">Turpretī ekspluatācijas pārbaudes un ikgadējās galvenās pārbaudes visas tiek fiksētas rakstiski. Rosinām 15. punktu izteikt sekojošā redakcijā: </w:t>
            </w:r>
          </w:p>
          <w:p w14:paraId="5E4C6979" w14:textId="23CA8BC7" w:rsidR="00A40E32" w:rsidRPr="00DC34FD" w:rsidRDefault="00A40E32" w:rsidP="00A40E32">
            <w:pPr>
              <w:spacing w:after="120" w:line="240" w:lineRule="auto"/>
              <w:ind w:firstLine="720"/>
              <w:jc w:val="both"/>
              <w:rPr>
                <w:rFonts w:ascii="Times New Roman" w:eastAsia="Times New Roman" w:hAnsi="Times New Roman" w:cs="Times New Roman"/>
                <w:b/>
              </w:rPr>
            </w:pPr>
            <w:r w:rsidRPr="00DC34FD">
              <w:rPr>
                <w:rFonts w:ascii="Times New Roman" w:hAnsi="Times New Roman" w:cs="Times New Roman"/>
                <w:bCs/>
                <w:i/>
              </w:rPr>
              <w:t xml:space="preserve">“17. Visus pārbaudes rezultātus, kas minēti šo noteikumu 16.5.2. un 16.5.3. apakšpunktā, fiksē rakstiski un veic visus </w:t>
            </w:r>
            <w:r w:rsidRPr="00DC34FD">
              <w:rPr>
                <w:rFonts w:ascii="Times New Roman" w:hAnsi="Times New Roman" w:cs="Times New Roman"/>
                <w:bCs/>
                <w:i/>
              </w:rPr>
              <w:lastRenderedPageBreak/>
              <w:t>nepieciešamos pasākumus, lai pēc iespējas laicīgāk novērstu konstatētos bojājumus. Noteikumu 16.5.1. apakšpunktā minētās pārbaudes rezultātus fiksē rakstiski, ja tiek konstatēti iespējami tūlītēji apdraudējumi spēļu laukuma apmeklētājiem”.</w:t>
            </w:r>
          </w:p>
        </w:tc>
        <w:tc>
          <w:tcPr>
            <w:tcW w:w="2410" w:type="dxa"/>
            <w:gridSpan w:val="2"/>
            <w:tcBorders>
              <w:top w:val="single" w:sz="4" w:space="0" w:color="auto"/>
              <w:left w:val="single" w:sz="4" w:space="0" w:color="auto"/>
              <w:bottom w:val="single" w:sz="4" w:space="0" w:color="auto"/>
              <w:right w:val="single" w:sz="4" w:space="0" w:color="auto"/>
            </w:tcBorders>
          </w:tcPr>
          <w:p w14:paraId="347722BF" w14:textId="037008DC" w:rsidR="00A40E32" w:rsidRPr="00DC34FD" w:rsidRDefault="00A40E32" w:rsidP="00A40E32">
            <w:pPr>
              <w:pStyle w:val="naisc"/>
              <w:spacing w:before="0" w:after="0"/>
              <w:jc w:val="both"/>
              <w:rPr>
                <w:b/>
                <w:sz w:val="22"/>
                <w:szCs w:val="22"/>
              </w:rPr>
            </w:pPr>
            <w:r w:rsidRPr="00DC34FD">
              <w:rPr>
                <w:b/>
                <w:sz w:val="22"/>
                <w:szCs w:val="22"/>
              </w:rPr>
              <w:lastRenderedPageBreak/>
              <w:t>Panākta vienošanās.</w:t>
            </w:r>
            <w:r w:rsidRPr="00DC34FD">
              <w:rPr>
                <w:sz w:val="22"/>
                <w:szCs w:val="22"/>
              </w:rPr>
              <w:t xml:space="preserve"> Nav pamata nefiksēt rakstveidā pārbaudes rezultātu, ja pārbaude tiešām ir tikusi veikta. Turklāt valdītājam rakstveidā fiksētie pārbaudes rezultāti kalpos kā apliecinājums uzraudzības iestādei, ka ir izpildītas pārbaudes veikšanas prasības.</w:t>
            </w:r>
          </w:p>
        </w:tc>
        <w:tc>
          <w:tcPr>
            <w:tcW w:w="4652" w:type="dxa"/>
            <w:tcBorders>
              <w:top w:val="single" w:sz="4" w:space="0" w:color="auto"/>
              <w:left w:val="single" w:sz="4" w:space="0" w:color="auto"/>
              <w:bottom w:val="single" w:sz="4" w:space="0" w:color="auto"/>
            </w:tcBorders>
          </w:tcPr>
          <w:p w14:paraId="597CC06B" w14:textId="77777777" w:rsidR="00A40E32" w:rsidRPr="00DC34FD" w:rsidRDefault="00A40E32" w:rsidP="00A40E32">
            <w:pPr>
              <w:spacing w:after="0" w:line="240" w:lineRule="auto"/>
              <w:jc w:val="both"/>
              <w:rPr>
                <w:rFonts w:ascii="Times New Roman" w:hAnsi="Times New Roman" w:cs="Times New Roman"/>
              </w:rPr>
            </w:pPr>
          </w:p>
        </w:tc>
      </w:tr>
      <w:tr w:rsidR="00EF0160" w:rsidRPr="00DC34FD" w14:paraId="3CE361D2" w14:textId="77777777" w:rsidTr="00AF11CB">
        <w:trPr>
          <w:trHeight w:val="1553"/>
        </w:trPr>
        <w:tc>
          <w:tcPr>
            <w:tcW w:w="742" w:type="dxa"/>
            <w:vMerge w:val="restart"/>
            <w:tcBorders>
              <w:top w:val="single" w:sz="4" w:space="0" w:color="auto"/>
              <w:left w:val="single" w:sz="4" w:space="0" w:color="auto"/>
              <w:right w:val="single" w:sz="4" w:space="0" w:color="auto"/>
            </w:tcBorders>
          </w:tcPr>
          <w:p w14:paraId="34CB6FBE" w14:textId="3893F59C" w:rsidR="00EF0160"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23.</w:t>
            </w:r>
          </w:p>
        </w:tc>
        <w:tc>
          <w:tcPr>
            <w:tcW w:w="3370" w:type="dxa"/>
            <w:gridSpan w:val="2"/>
            <w:vMerge w:val="restart"/>
            <w:tcBorders>
              <w:top w:val="single" w:sz="4" w:space="0" w:color="auto"/>
              <w:left w:val="single" w:sz="4" w:space="0" w:color="auto"/>
              <w:right w:val="single" w:sz="4" w:space="0" w:color="auto"/>
            </w:tcBorders>
          </w:tcPr>
          <w:p w14:paraId="7B8AA051" w14:textId="106BECE2" w:rsidR="00EF0160" w:rsidRPr="00DC34FD" w:rsidRDefault="00EF0160" w:rsidP="00A40E32">
            <w:pPr>
              <w:pStyle w:val="tv213"/>
              <w:shd w:val="clear" w:color="auto" w:fill="FFFFFF"/>
              <w:spacing w:before="0" w:beforeAutospacing="0" w:after="0" w:afterAutospacing="0"/>
              <w:jc w:val="both"/>
              <w:rPr>
                <w:sz w:val="22"/>
                <w:szCs w:val="22"/>
              </w:rPr>
            </w:pPr>
            <w:r w:rsidRPr="00DC34FD">
              <w:rPr>
                <w:sz w:val="22"/>
                <w:szCs w:val="22"/>
              </w:rPr>
              <w:t>18. Publiskā spēļu laukuma valdītājs reģistrē informāciju par laukumā notikušiem nelaimes gadījumiem, par kuriem kļuvis zināms, veic riska novērtējumu un par nopietniem nelaimes gadījumiem, kuru rezultātā ir bijusi nepieciešama neatliekamā medicīniskā palīdzība, paziņo Centram</w:t>
            </w:r>
          </w:p>
        </w:tc>
        <w:tc>
          <w:tcPr>
            <w:tcW w:w="4311" w:type="dxa"/>
            <w:tcBorders>
              <w:top w:val="single" w:sz="4" w:space="0" w:color="auto"/>
              <w:left w:val="single" w:sz="4" w:space="0" w:color="auto"/>
              <w:bottom w:val="single" w:sz="4" w:space="0" w:color="auto"/>
              <w:right w:val="single" w:sz="4" w:space="0" w:color="auto"/>
            </w:tcBorders>
          </w:tcPr>
          <w:p w14:paraId="30B017AF" w14:textId="77777777" w:rsidR="00EF0160" w:rsidRPr="00DC34FD" w:rsidRDefault="00EF0160" w:rsidP="00A40E32">
            <w:pPr>
              <w:pStyle w:val="CommentText"/>
              <w:spacing w:before="60" w:after="0"/>
              <w:jc w:val="center"/>
              <w:rPr>
                <w:b/>
                <w:sz w:val="22"/>
                <w:szCs w:val="22"/>
              </w:rPr>
            </w:pPr>
            <w:r w:rsidRPr="00DC34FD">
              <w:rPr>
                <w:b/>
                <w:sz w:val="22"/>
                <w:szCs w:val="22"/>
              </w:rPr>
              <w:t>Latvijas Lielo pilsētu asociācija</w:t>
            </w:r>
          </w:p>
          <w:p w14:paraId="176B5BF7" w14:textId="77777777" w:rsidR="00EF0160" w:rsidRPr="00DC34FD" w:rsidRDefault="00EF0160" w:rsidP="00A40E32">
            <w:pPr>
              <w:pStyle w:val="CommentText"/>
              <w:jc w:val="both"/>
              <w:rPr>
                <w:sz w:val="22"/>
                <w:szCs w:val="22"/>
              </w:rPr>
            </w:pPr>
            <w:r w:rsidRPr="00DC34FD">
              <w:rPr>
                <w:sz w:val="22"/>
                <w:szCs w:val="22"/>
              </w:rPr>
              <w:t>Rosinām 18. punktu izteikt šādā redakcijā:</w:t>
            </w:r>
          </w:p>
          <w:p w14:paraId="10352A88" w14:textId="0CB3DF9C" w:rsidR="00EF0160" w:rsidRPr="00DC34FD" w:rsidRDefault="00EF0160" w:rsidP="00A40E32">
            <w:pPr>
              <w:jc w:val="both"/>
              <w:rPr>
                <w:rFonts w:ascii="Times New Roman" w:hAnsi="Times New Roman" w:cs="Times New Roman"/>
              </w:rPr>
            </w:pPr>
            <w:r w:rsidRPr="00DC34FD">
              <w:rPr>
                <w:rFonts w:ascii="Times New Roman" w:hAnsi="Times New Roman" w:cs="Times New Roman"/>
                <w:i/>
              </w:rPr>
              <w:t xml:space="preserve">“18. Publiskā spēļu laukuma valdītājs, </w:t>
            </w:r>
            <w:r w:rsidRPr="00DC34FD">
              <w:rPr>
                <w:rFonts w:ascii="Times New Roman" w:hAnsi="Times New Roman" w:cs="Times New Roman"/>
                <w:i/>
                <w:u w:val="single"/>
              </w:rPr>
              <w:t>vai tā pilnvarota persona, kas veic laukumu apsaimniekošanu,</w:t>
            </w:r>
            <w:r w:rsidRPr="00DC34FD">
              <w:rPr>
                <w:rFonts w:ascii="Times New Roman" w:hAnsi="Times New Roman" w:cs="Times New Roman"/>
                <w:i/>
              </w:rPr>
              <w:t xml:space="preserve"> reģistrē informāciju par laukumā notikušiem nelaimes gadījumiem, par kuriem kļuvis zināms, veic riska novērtējumu un par nopietniem nelaimes gadījumiem, kuru rezultātā ir bijusi nepieciešama neatliekamā medicīniskā palīdzība, paziņo Centram.”</w:t>
            </w:r>
          </w:p>
        </w:tc>
        <w:tc>
          <w:tcPr>
            <w:tcW w:w="2410" w:type="dxa"/>
            <w:gridSpan w:val="2"/>
            <w:vMerge w:val="restart"/>
            <w:tcBorders>
              <w:top w:val="single" w:sz="4" w:space="0" w:color="auto"/>
              <w:left w:val="single" w:sz="4" w:space="0" w:color="auto"/>
              <w:right w:val="single" w:sz="4" w:space="0" w:color="auto"/>
            </w:tcBorders>
          </w:tcPr>
          <w:p w14:paraId="405A3EB8" w14:textId="77777777" w:rsidR="00EF0160" w:rsidRPr="00DC34FD" w:rsidRDefault="00EF0160" w:rsidP="00A40E32">
            <w:pPr>
              <w:pStyle w:val="naisc"/>
              <w:spacing w:before="0" w:after="0"/>
              <w:jc w:val="both"/>
              <w:rPr>
                <w:sz w:val="22"/>
                <w:szCs w:val="22"/>
              </w:rPr>
            </w:pPr>
            <w:r w:rsidRPr="00DC34FD">
              <w:rPr>
                <w:b/>
                <w:sz w:val="22"/>
                <w:szCs w:val="22"/>
              </w:rPr>
              <w:t>Panākta vienošanās.</w:t>
            </w:r>
            <w:r w:rsidRPr="00DC34FD">
              <w:rPr>
                <w:sz w:val="22"/>
                <w:szCs w:val="22"/>
              </w:rPr>
              <w:t xml:space="preserve"> Noteikumu projekts neaizliedz valdītājam pilnvarot personas veikt laukumu apsaimniekošanu.</w:t>
            </w:r>
          </w:p>
          <w:p w14:paraId="62AD547C" w14:textId="64DD7299" w:rsidR="00867C5A" w:rsidRPr="00DC34FD" w:rsidRDefault="00867C5A" w:rsidP="00A40E32">
            <w:pPr>
              <w:pStyle w:val="naisc"/>
              <w:spacing w:before="0" w:after="0"/>
              <w:jc w:val="both"/>
              <w:rPr>
                <w:b/>
                <w:sz w:val="22"/>
                <w:szCs w:val="22"/>
              </w:rPr>
            </w:pPr>
            <w:r w:rsidRPr="00DC34FD">
              <w:rPr>
                <w:sz w:val="22"/>
                <w:szCs w:val="22"/>
              </w:rPr>
              <w:t xml:space="preserve">Savukārt īpašas nelaimes gadījumu konstatācijas akta veidlapas ietveršana Noteikumu projektā neveicinās drošumu. Galvenais ir panākt, lai Centram tiktu ziņots par nelaimes </w:t>
            </w:r>
            <w:r w:rsidR="00B3511F" w:rsidRPr="00DC34FD">
              <w:rPr>
                <w:sz w:val="22"/>
                <w:szCs w:val="22"/>
              </w:rPr>
              <w:t>gadījumiem neatkarīgi no ziņojuma formas.</w:t>
            </w:r>
          </w:p>
        </w:tc>
        <w:tc>
          <w:tcPr>
            <w:tcW w:w="4652" w:type="dxa"/>
            <w:vMerge w:val="restart"/>
            <w:tcBorders>
              <w:top w:val="single" w:sz="4" w:space="0" w:color="auto"/>
              <w:left w:val="single" w:sz="4" w:space="0" w:color="auto"/>
            </w:tcBorders>
          </w:tcPr>
          <w:p w14:paraId="2E8EF1EA" w14:textId="77777777" w:rsidR="00EF0160" w:rsidRPr="00DC34FD" w:rsidRDefault="00EF0160" w:rsidP="00A40E32">
            <w:pPr>
              <w:spacing w:after="0" w:line="240" w:lineRule="auto"/>
              <w:jc w:val="both"/>
              <w:rPr>
                <w:rFonts w:ascii="Times New Roman" w:hAnsi="Times New Roman" w:cs="Times New Roman"/>
              </w:rPr>
            </w:pPr>
          </w:p>
        </w:tc>
      </w:tr>
      <w:tr w:rsidR="00EF0160" w:rsidRPr="00DC34FD" w14:paraId="6E6E91E3" w14:textId="77777777" w:rsidTr="00AF11CB">
        <w:trPr>
          <w:trHeight w:val="1552"/>
        </w:trPr>
        <w:tc>
          <w:tcPr>
            <w:tcW w:w="742" w:type="dxa"/>
            <w:vMerge/>
            <w:tcBorders>
              <w:left w:val="single" w:sz="4" w:space="0" w:color="auto"/>
              <w:bottom w:val="single" w:sz="4" w:space="0" w:color="auto"/>
              <w:right w:val="single" w:sz="4" w:space="0" w:color="auto"/>
            </w:tcBorders>
          </w:tcPr>
          <w:p w14:paraId="2CDC3771" w14:textId="77777777" w:rsidR="00EF0160" w:rsidRPr="00DC34FD" w:rsidRDefault="00EF0160"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1747BD00" w14:textId="77777777" w:rsidR="00EF0160" w:rsidRPr="00DC34FD" w:rsidRDefault="00EF0160"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045A02C8" w14:textId="16141024" w:rsidR="00EF0160" w:rsidRPr="00DC34FD" w:rsidRDefault="00EF0160" w:rsidP="00EF0160">
            <w:pPr>
              <w:pStyle w:val="CommentText"/>
              <w:spacing w:before="60" w:after="0"/>
              <w:jc w:val="center"/>
              <w:rPr>
                <w:b/>
                <w:sz w:val="22"/>
                <w:szCs w:val="22"/>
              </w:rPr>
            </w:pPr>
            <w:r w:rsidRPr="00DC34FD">
              <w:rPr>
                <w:b/>
                <w:sz w:val="22"/>
                <w:szCs w:val="22"/>
              </w:rPr>
              <w:t>Latvijas Ainavu arhitektu asociācija</w:t>
            </w:r>
          </w:p>
          <w:p w14:paraId="3902A470" w14:textId="57716A51" w:rsidR="00EF0160" w:rsidRPr="00DC34FD" w:rsidRDefault="00EF0160" w:rsidP="00EF0160">
            <w:pPr>
              <w:pStyle w:val="CommentText"/>
              <w:spacing w:before="60" w:after="0"/>
              <w:jc w:val="both"/>
              <w:rPr>
                <w:sz w:val="22"/>
                <w:szCs w:val="22"/>
              </w:rPr>
            </w:pPr>
            <w:r w:rsidRPr="00DC34FD">
              <w:rPr>
                <w:sz w:val="22"/>
                <w:szCs w:val="22"/>
              </w:rPr>
              <w:t>Būtu uzsverama spēļu (rotaļu) laukumu un to iekārtu lietotāju atbildība arī šo Noteikumu izpratnē. Kā arī, Noteikumos ietvertajai redakcijai būtu jāsatur veidlapa, kas būtu obligāti aizpildāma pie katra negadījuma, tādējādi konstatējot patiesos negadījumu cēloņus un būtu iespējams veikt tālāku notikušā analīzi (ir izstrādājama un Noteikumu projekta pielikumos iekļaujama veidlapa).</w:t>
            </w:r>
          </w:p>
          <w:p w14:paraId="48C1969A" w14:textId="77777777" w:rsidR="00EF0160" w:rsidRPr="00DC34FD" w:rsidRDefault="00EF0160" w:rsidP="00EF0160">
            <w:pPr>
              <w:pStyle w:val="CommentText"/>
              <w:spacing w:before="60" w:after="0"/>
              <w:jc w:val="both"/>
              <w:rPr>
                <w:sz w:val="22"/>
                <w:szCs w:val="22"/>
              </w:rPr>
            </w:pPr>
            <w:r w:rsidRPr="00DC34FD">
              <w:rPr>
                <w:sz w:val="22"/>
                <w:szCs w:val="22"/>
              </w:rPr>
              <w:t>Papildināt Noteikumu projektu ar 3. pielikumu: Nelaimes gadījuma konstatācijas akts.</w:t>
            </w:r>
          </w:p>
          <w:p w14:paraId="362A5F66" w14:textId="3FDE29D1" w:rsidR="00EF0160" w:rsidRPr="00DC34FD" w:rsidRDefault="00EF0160" w:rsidP="00EF0160">
            <w:pPr>
              <w:pStyle w:val="CommentText"/>
              <w:spacing w:before="60" w:after="0"/>
              <w:jc w:val="both"/>
              <w:rPr>
                <w:b/>
                <w:sz w:val="22"/>
                <w:szCs w:val="22"/>
              </w:rPr>
            </w:pPr>
            <w:r w:rsidRPr="00DC34FD">
              <w:rPr>
                <w:sz w:val="22"/>
                <w:szCs w:val="22"/>
              </w:rPr>
              <w:t xml:space="preserve">Papildināt Noteikumu 18. punkta redakciju: Informācijas reģistrēšanai par nelaimes </w:t>
            </w:r>
            <w:r w:rsidRPr="00DC34FD">
              <w:rPr>
                <w:sz w:val="22"/>
                <w:szCs w:val="22"/>
              </w:rPr>
              <w:lastRenderedPageBreak/>
              <w:t>gadījumu ir jāsatur dati saskaņā ar šo noteikumu 3. pielikumā norādīto informāciju.</w:t>
            </w:r>
          </w:p>
        </w:tc>
        <w:tc>
          <w:tcPr>
            <w:tcW w:w="2410" w:type="dxa"/>
            <w:gridSpan w:val="2"/>
            <w:vMerge/>
            <w:tcBorders>
              <w:left w:val="single" w:sz="4" w:space="0" w:color="auto"/>
              <w:bottom w:val="single" w:sz="4" w:space="0" w:color="auto"/>
              <w:right w:val="single" w:sz="4" w:space="0" w:color="auto"/>
            </w:tcBorders>
          </w:tcPr>
          <w:p w14:paraId="129AA0F4" w14:textId="77777777" w:rsidR="00EF0160" w:rsidRPr="00DC34FD" w:rsidRDefault="00EF0160" w:rsidP="00A40E32">
            <w:pPr>
              <w:pStyle w:val="naisc"/>
              <w:spacing w:before="0" w:after="0"/>
              <w:jc w:val="both"/>
              <w:rPr>
                <w:b/>
                <w:sz w:val="22"/>
                <w:szCs w:val="22"/>
              </w:rPr>
            </w:pPr>
          </w:p>
        </w:tc>
        <w:tc>
          <w:tcPr>
            <w:tcW w:w="4652" w:type="dxa"/>
            <w:vMerge/>
            <w:tcBorders>
              <w:left w:val="single" w:sz="4" w:space="0" w:color="auto"/>
              <w:bottom w:val="single" w:sz="4" w:space="0" w:color="auto"/>
            </w:tcBorders>
          </w:tcPr>
          <w:p w14:paraId="511D5C66" w14:textId="77777777" w:rsidR="00EF0160" w:rsidRPr="00DC34FD" w:rsidRDefault="00EF0160" w:rsidP="00A40E32">
            <w:pPr>
              <w:spacing w:after="0" w:line="240" w:lineRule="auto"/>
              <w:jc w:val="both"/>
              <w:rPr>
                <w:rFonts w:ascii="Times New Roman" w:hAnsi="Times New Roman" w:cs="Times New Roman"/>
              </w:rPr>
            </w:pPr>
          </w:p>
        </w:tc>
      </w:tr>
      <w:tr w:rsidR="004E6FCB" w:rsidRPr="00DC34FD" w14:paraId="7BF2F623" w14:textId="77777777" w:rsidTr="00AF11CB">
        <w:trPr>
          <w:trHeight w:val="1697"/>
        </w:trPr>
        <w:tc>
          <w:tcPr>
            <w:tcW w:w="742" w:type="dxa"/>
            <w:vMerge w:val="restart"/>
            <w:tcBorders>
              <w:top w:val="single" w:sz="4" w:space="0" w:color="auto"/>
              <w:left w:val="single" w:sz="4" w:space="0" w:color="auto"/>
              <w:right w:val="single" w:sz="4" w:space="0" w:color="auto"/>
            </w:tcBorders>
          </w:tcPr>
          <w:p w14:paraId="489EAF4E" w14:textId="583A7C96" w:rsidR="004E6FCB"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24.</w:t>
            </w:r>
          </w:p>
        </w:tc>
        <w:tc>
          <w:tcPr>
            <w:tcW w:w="3370" w:type="dxa"/>
            <w:gridSpan w:val="2"/>
            <w:vMerge w:val="restart"/>
            <w:tcBorders>
              <w:top w:val="single" w:sz="4" w:space="0" w:color="auto"/>
              <w:left w:val="single" w:sz="4" w:space="0" w:color="auto"/>
              <w:right w:val="single" w:sz="4" w:space="0" w:color="auto"/>
            </w:tcBorders>
          </w:tcPr>
          <w:p w14:paraId="0AB8190F" w14:textId="6B962515" w:rsidR="004E6FCB" w:rsidRPr="00DC34FD" w:rsidRDefault="004E6FCB" w:rsidP="00A40E32">
            <w:pPr>
              <w:pStyle w:val="tv213"/>
              <w:shd w:val="clear" w:color="auto" w:fill="FFFFFF"/>
              <w:spacing w:before="0" w:beforeAutospacing="0" w:after="0" w:afterAutospacing="0"/>
              <w:jc w:val="both"/>
              <w:rPr>
                <w:sz w:val="22"/>
                <w:szCs w:val="22"/>
              </w:rPr>
            </w:pPr>
            <w:r w:rsidRPr="00DC34FD">
              <w:rPr>
                <w:sz w:val="22"/>
                <w:szCs w:val="22"/>
              </w:rPr>
              <w:t xml:space="preserve">19. </w:t>
            </w:r>
            <w:proofErr w:type="spellStart"/>
            <w:r w:rsidRPr="00DC34FD">
              <w:rPr>
                <w:sz w:val="22"/>
                <w:szCs w:val="22"/>
              </w:rPr>
              <w:t>Pēcuzstādīšanas</w:t>
            </w:r>
            <w:proofErr w:type="spellEnd"/>
            <w:r w:rsidRPr="00DC34FD">
              <w:rPr>
                <w:sz w:val="22"/>
                <w:szCs w:val="22"/>
              </w:rPr>
              <w:t xml:space="preserve"> pārbaudi veic pirms spēļu vai citu aktivitāšu iekārta vai laukums tiek atvērts publiskai lietošanai</w:t>
            </w:r>
          </w:p>
        </w:tc>
        <w:tc>
          <w:tcPr>
            <w:tcW w:w="4311" w:type="dxa"/>
            <w:tcBorders>
              <w:top w:val="single" w:sz="4" w:space="0" w:color="auto"/>
              <w:left w:val="single" w:sz="4" w:space="0" w:color="auto"/>
              <w:bottom w:val="single" w:sz="4" w:space="0" w:color="auto"/>
              <w:right w:val="single" w:sz="4" w:space="0" w:color="auto"/>
            </w:tcBorders>
          </w:tcPr>
          <w:p w14:paraId="6E896DBD" w14:textId="77777777" w:rsidR="004E6FCB" w:rsidRPr="00DC34FD" w:rsidRDefault="004E6FCB" w:rsidP="00A40E32">
            <w:pPr>
              <w:pStyle w:val="CommentText"/>
              <w:spacing w:before="60" w:after="0"/>
              <w:jc w:val="center"/>
              <w:rPr>
                <w:b/>
                <w:sz w:val="22"/>
                <w:szCs w:val="22"/>
              </w:rPr>
            </w:pPr>
            <w:r w:rsidRPr="00DC34FD">
              <w:rPr>
                <w:b/>
                <w:sz w:val="22"/>
                <w:szCs w:val="22"/>
              </w:rPr>
              <w:t>Latvijas Lielo pilsētu asociācija</w:t>
            </w:r>
          </w:p>
          <w:p w14:paraId="7A19866B" w14:textId="77777777" w:rsidR="004E6FCB" w:rsidRPr="00DC34FD" w:rsidRDefault="004E6FCB" w:rsidP="00A40E32">
            <w:pPr>
              <w:pStyle w:val="CommentText"/>
              <w:spacing w:before="60" w:after="0"/>
              <w:jc w:val="both"/>
              <w:rPr>
                <w:sz w:val="22"/>
                <w:szCs w:val="22"/>
              </w:rPr>
            </w:pPr>
            <w:r w:rsidRPr="00DC34FD">
              <w:rPr>
                <w:sz w:val="22"/>
                <w:szCs w:val="22"/>
              </w:rPr>
              <w:t xml:space="preserve">Spēļu vai citu aktivitāšu iekārtas vai laukuma </w:t>
            </w:r>
            <w:proofErr w:type="spellStart"/>
            <w:r w:rsidRPr="00DC34FD">
              <w:rPr>
                <w:sz w:val="22"/>
                <w:szCs w:val="22"/>
                <w:u w:val="single"/>
              </w:rPr>
              <w:t>pēcuzstādīšanas</w:t>
            </w:r>
            <w:proofErr w:type="spellEnd"/>
            <w:r w:rsidRPr="00DC34FD">
              <w:rPr>
                <w:sz w:val="22"/>
                <w:szCs w:val="22"/>
                <w:u w:val="single"/>
              </w:rPr>
              <w:t xml:space="preserve"> pārbaudi veic pirms objekta nodošanas ekspluatācijā.</w:t>
            </w:r>
            <w:r w:rsidRPr="00DC34FD">
              <w:rPr>
                <w:sz w:val="22"/>
                <w:szCs w:val="22"/>
              </w:rPr>
              <w:t xml:space="preserve"> </w:t>
            </w:r>
          </w:p>
          <w:p w14:paraId="4046B760" w14:textId="77777777" w:rsidR="004E6FCB" w:rsidRPr="00DC34FD" w:rsidRDefault="004E6FCB" w:rsidP="00A40E32">
            <w:pPr>
              <w:pStyle w:val="CommentText"/>
              <w:spacing w:before="60" w:after="0"/>
              <w:jc w:val="both"/>
              <w:rPr>
                <w:b/>
                <w:bCs/>
                <w:i/>
                <w:sz w:val="22"/>
                <w:szCs w:val="22"/>
              </w:rPr>
            </w:pPr>
          </w:p>
          <w:p w14:paraId="53A60022" w14:textId="73F5A521" w:rsidR="004E6FCB" w:rsidRPr="00DC34FD" w:rsidRDefault="004E6FCB" w:rsidP="00A40E32">
            <w:pPr>
              <w:jc w:val="both"/>
              <w:rPr>
                <w:rFonts w:ascii="Times New Roman" w:hAnsi="Times New Roman" w:cs="Times New Roman"/>
              </w:rPr>
            </w:pPr>
            <w:r w:rsidRPr="00DC34FD">
              <w:rPr>
                <w:rFonts w:ascii="Times New Roman" w:hAnsi="Times New Roman" w:cs="Times New Roman"/>
              </w:rPr>
              <w:t xml:space="preserve">Nepieciešams precizēt, vai ar terminu “atvērt publiskai lietošanai” (atbilstoši noteikumu 19. punktā minētajam) tiek saprasts tas pats, kas pieņemt būvi ekspluatācijā, atbilstoši Būvniecības likuma 21. panta otrajā punktā noteiktajam. Situācija, kurā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pārbaude tiek veikta pēc tam, kad objekts jau ir pieņemts ekspluatācijā (taču vēl nav atvērts publiskai lietošanai), nav pieļaujama.</w:t>
            </w:r>
          </w:p>
        </w:tc>
        <w:tc>
          <w:tcPr>
            <w:tcW w:w="2410" w:type="dxa"/>
            <w:gridSpan w:val="2"/>
            <w:vMerge w:val="restart"/>
            <w:tcBorders>
              <w:top w:val="single" w:sz="4" w:space="0" w:color="auto"/>
              <w:left w:val="single" w:sz="4" w:space="0" w:color="auto"/>
              <w:right w:val="single" w:sz="4" w:space="0" w:color="auto"/>
            </w:tcBorders>
          </w:tcPr>
          <w:p w14:paraId="6D2797FA" w14:textId="77777777" w:rsidR="004E6FCB" w:rsidRPr="00DC34FD" w:rsidRDefault="004E6FCB" w:rsidP="00A40E32">
            <w:pPr>
              <w:pStyle w:val="naisc"/>
              <w:spacing w:before="0" w:after="0"/>
              <w:jc w:val="both"/>
              <w:rPr>
                <w:sz w:val="22"/>
                <w:szCs w:val="22"/>
              </w:rPr>
            </w:pPr>
            <w:r w:rsidRPr="00DC34FD">
              <w:rPr>
                <w:b/>
                <w:sz w:val="22"/>
                <w:szCs w:val="22"/>
              </w:rPr>
              <w:t>Ņemts vērā.</w:t>
            </w:r>
            <w:r w:rsidRPr="00DC34FD">
              <w:rPr>
                <w:sz w:val="22"/>
                <w:szCs w:val="22"/>
              </w:rPr>
              <w:t xml:space="preserve"> </w:t>
            </w:r>
          </w:p>
          <w:p w14:paraId="225FEE39" w14:textId="51A9762E" w:rsidR="004E6FCB" w:rsidRPr="00DC34FD" w:rsidRDefault="004E6FCB" w:rsidP="00A40E32">
            <w:pPr>
              <w:pStyle w:val="naisc"/>
              <w:spacing w:before="0" w:after="0"/>
              <w:jc w:val="both"/>
              <w:rPr>
                <w:sz w:val="22"/>
                <w:szCs w:val="22"/>
              </w:rPr>
            </w:pPr>
            <w:r w:rsidRPr="00DC34FD">
              <w:rPr>
                <w:sz w:val="22"/>
                <w:szCs w:val="22"/>
              </w:rPr>
              <w:t>Precizēts 19.punkta pirmais teikums (Noteikumu projekts attiecas arī uz publiskajiem spēļu laukumiem, kas tiek uzstādīti iekštelpās un ekspluatācijā nav jānodod).</w:t>
            </w:r>
          </w:p>
        </w:tc>
        <w:tc>
          <w:tcPr>
            <w:tcW w:w="4652" w:type="dxa"/>
            <w:vMerge w:val="restart"/>
            <w:tcBorders>
              <w:top w:val="single" w:sz="4" w:space="0" w:color="auto"/>
              <w:left w:val="single" w:sz="4" w:space="0" w:color="auto"/>
            </w:tcBorders>
          </w:tcPr>
          <w:p w14:paraId="5542BA53" w14:textId="6E10C6E4" w:rsidR="004E6FCB" w:rsidRPr="00DC34FD" w:rsidRDefault="004E6FCB" w:rsidP="00A40E32">
            <w:pPr>
              <w:spacing w:after="0" w:line="240" w:lineRule="auto"/>
              <w:jc w:val="both"/>
              <w:rPr>
                <w:rFonts w:ascii="Times New Roman" w:hAnsi="Times New Roman" w:cs="Times New Roman"/>
              </w:rPr>
            </w:pPr>
            <w:r w:rsidRPr="00DC34FD">
              <w:rPr>
                <w:rFonts w:ascii="Times New Roman" w:hAnsi="Times New Roman" w:cs="Times New Roman"/>
              </w:rPr>
              <w:t xml:space="preserve">19.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pārbaudi veic pirms publiskā spēļu </w:t>
            </w:r>
            <w:r w:rsidR="00517238" w:rsidRPr="00DC34FD">
              <w:rPr>
                <w:rFonts w:ascii="Times New Roman" w:hAnsi="Times New Roman" w:cs="Times New Roman"/>
              </w:rPr>
              <w:t xml:space="preserve">un rekreācijas </w:t>
            </w:r>
            <w:r w:rsidRPr="00DC34FD">
              <w:rPr>
                <w:rFonts w:ascii="Times New Roman" w:hAnsi="Times New Roman" w:cs="Times New Roman"/>
              </w:rPr>
              <w:t>laukuma nodošanas ekspluatācijā vai attiecīgi pirms tā atvēršanas publiskai lietošanai, ja publiskais spēļu laukums nav jānodod ekspluatācijā…</w:t>
            </w:r>
          </w:p>
        </w:tc>
      </w:tr>
      <w:tr w:rsidR="004E6FCB" w:rsidRPr="00DC34FD" w14:paraId="0E193CDA" w14:textId="77777777" w:rsidTr="00AF11CB">
        <w:trPr>
          <w:trHeight w:val="915"/>
        </w:trPr>
        <w:tc>
          <w:tcPr>
            <w:tcW w:w="742" w:type="dxa"/>
            <w:vMerge/>
            <w:tcBorders>
              <w:left w:val="single" w:sz="4" w:space="0" w:color="auto"/>
              <w:right w:val="single" w:sz="4" w:space="0" w:color="auto"/>
            </w:tcBorders>
          </w:tcPr>
          <w:p w14:paraId="07D93464" w14:textId="77777777" w:rsidR="004E6FCB" w:rsidRPr="00DC34FD" w:rsidRDefault="004E6FCB"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32BB893D" w14:textId="77777777" w:rsidR="004E6FCB" w:rsidRPr="00DC34FD" w:rsidRDefault="004E6FCB"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3C750426" w14:textId="77777777" w:rsidR="004E6FCB" w:rsidRPr="00DC34FD" w:rsidRDefault="004E6FCB" w:rsidP="00A40E32">
            <w:pPr>
              <w:spacing w:after="0" w:line="20" w:lineRule="atLeast"/>
              <w:contextualSpacing/>
              <w:jc w:val="center"/>
              <w:rPr>
                <w:rFonts w:ascii="Times New Roman" w:eastAsia="Calibri" w:hAnsi="Times New Roman"/>
                <w:b/>
              </w:rPr>
            </w:pPr>
            <w:r w:rsidRPr="00DC34FD">
              <w:rPr>
                <w:rFonts w:ascii="Times New Roman" w:eastAsia="Calibri" w:hAnsi="Times New Roman"/>
                <w:b/>
              </w:rPr>
              <w:t>Latvijas Pašvaldību savienība</w:t>
            </w:r>
          </w:p>
          <w:p w14:paraId="280BF523" w14:textId="39DF0950" w:rsidR="004E6FCB" w:rsidRPr="00DC34FD" w:rsidRDefault="004E6FCB" w:rsidP="00A40E32">
            <w:pPr>
              <w:spacing w:after="0" w:line="20" w:lineRule="atLeast"/>
              <w:contextualSpacing/>
              <w:jc w:val="both"/>
              <w:rPr>
                <w:rFonts w:ascii="Times New Roman" w:eastAsia="Calibri" w:hAnsi="Times New Roman"/>
              </w:rPr>
            </w:pPr>
            <w:r w:rsidRPr="00DC34FD">
              <w:rPr>
                <w:rFonts w:ascii="Times New Roman" w:eastAsia="Calibri" w:hAnsi="Times New Roman"/>
              </w:rPr>
              <w:t xml:space="preserve">Ierosinām precizēt Noteikumu projekta 19. punktu, izsakot to šādā redakcijā: “Spēļu vai citu aktivitāšu iekārtas vai laukuma </w:t>
            </w:r>
            <w:proofErr w:type="spellStart"/>
            <w:r w:rsidRPr="00DC34FD">
              <w:rPr>
                <w:rFonts w:ascii="Times New Roman" w:eastAsia="Calibri" w:hAnsi="Times New Roman"/>
              </w:rPr>
              <w:t>pēcuzstādīšanas</w:t>
            </w:r>
            <w:proofErr w:type="spellEnd"/>
            <w:r w:rsidRPr="00DC34FD">
              <w:rPr>
                <w:rFonts w:ascii="Times New Roman" w:eastAsia="Calibri" w:hAnsi="Times New Roman"/>
              </w:rPr>
              <w:t xml:space="preserve"> pārbaudi veic pirms objekta nodošanas ekspluatācijā”. </w:t>
            </w:r>
          </w:p>
          <w:p w14:paraId="5F8CC9BE" w14:textId="77777777" w:rsidR="004E6FCB" w:rsidRPr="00DC34FD" w:rsidRDefault="004E6FCB" w:rsidP="00A40E32">
            <w:pPr>
              <w:pStyle w:val="CommentText"/>
              <w:spacing w:before="60" w:after="0"/>
              <w:jc w:val="center"/>
              <w:rPr>
                <w:b/>
                <w:sz w:val="22"/>
                <w:szCs w:val="22"/>
              </w:rPr>
            </w:pPr>
          </w:p>
        </w:tc>
        <w:tc>
          <w:tcPr>
            <w:tcW w:w="2410" w:type="dxa"/>
            <w:gridSpan w:val="2"/>
            <w:vMerge/>
            <w:tcBorders>
              <w:left w:val="single" w:sz="4" w:space="0" w:color="auto"/>
              <w:right w:val="single" w:sz="4" w:space="0" w:color="auto"/>
            </w:tcBorders>
          </w:tcPr>
          <w:p w14:paraId="37245D09" w14:textId="77777777" w:rsidR="004E6FCB" w:rsidRPr="00DC34FD" w:rsidRDefault="004E6FCB" w:rsidP="00A40E32">
            <w:pPr>
              <w:pStyle w:val="naisc"/>
              <w:spacing w:before="0" w:after="0"/>
              <w:jc w:val="both"/>
              <w:rPr>
                <w:b/>
                <w:sz w:val="22"/>
                <w:szCs w:val="22"/>
              </w:rPr>
            </w:pPr>
          </w:p>
        </w:tc>
        <w:tc>
          <w:tcPr>
            <w:tcW w:w="4652" w:type="dxa"/>
            <w:vMerge/>
            <w:tcBorders>
              <w:left w:val="single" w:sz="4" w:space="0" w:color="auto"/>
            </w:tcBorders>
          </w:tcPr>
          <w:p w14:paraId="0911E20A" w14:textId="77777777" w:rsidR="004E6FCB" w:rsidRPr="00DC34FD" w:rsidRDefault="004E6FCB" w:rsidP="00A40E32">
            <w:pPr>
              <w:spacing w:after="0" w:line="240" w:lineRule="auto"/>
              <w:jc w:val="both"/>
              <w:rPr>
                <w:rFonts w:ascii="Times New Roman" w:hAnsi="Times New Roman" w:cs="Times New Roman"/>
              </w:rPr>
            </w:pPr>
          </w:p>
        </w:tc>
      </w:tr>
      <w:tr w:rsidR="004E6FCB" w:rsidRPr="00DC34FD" w14:paraId="55290E88" w14:textId="77777777" w:rsidTr="00AF11CB">
        <w:trPr>
          <w:trHeight w:val="915"/>
        </w:trPr>
        <w:tc>
          <w:tcPr>
            <w:tcW w:w="742" w:type="dxa"/>
            <w:vMerge/>
            <w:tcBorders>
              <w:left w:val="single" w:sz="4" w:space="0" w:color="auto"/>
              <w:bottom w:val="single" w:sz="4" w:space="0" w:color="auto"/>
              <w:right w:val="single" w:sz="4" w:space="0" w:color="auto"/>
            </w:tcBorders>
          </w:tcPr>
          <w:p w14:paraId="5917768F" w14:textId="77777777" w:rsidR="004E6FCB" w:rsidRPr="00DC34FD" w:rsidRDefault="004E6FCB"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742C3E83" w14:textId="77777777" w:rsidR="004E6FCB" w:rsidRPr="00DC34FD" w:rsidRDefault="004E6FCB"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5BF1FEEA" w14:textId="1E85F74C" w:rsidR="004E6FCB" w:rsidRPr="00DC34FD" w:rsidRDefault="004E6FCB" w:rsidP="004E6FCB">
            <w:pPr>
              <w:spacing w:after="0" w:line="20" w:lineRule="atLeast"/>
              <w:contextualSpacing/>
              <w:jc w:val="center"/>
              <w:rPr>
                <w:rFonts w:ascii="Times New Roman" w:hAnsi="Times New Roman" w:cs="Times New Roman"/>
                <w:b/>
              </w:rPr>
            </w:pPr>
            <w:r w:rsidRPr="00DC34FD">
              <w:rPr>
                <w:rFonts w:ascii="Times New Roman" w:hAnsi="Times New Roman" w:cs="Times New Roman"/>
                <w:b/>
              </w:rPr>
              <w:t>Latvijas Ainavu arhitektu asociācija</w:t>
            </w:r>
          </w:p>
          <w:p w14:paraId="60671D60" w14:textId="091A95D0" w:rsidR="004E6FCB" w:rsidRPr="00DC34FD" w:rsidRDefault="004E6FCB" w:rsidP="004E6FCB">
            <w:pPr>
              <w:spacing w:after="0" w:line="20" w:lineRule="atLeast"/>
              <w:contextualSpacing/>
              <w:jc w:val="both"/>
              <w:rPr>
                <w:rFonts w:ascii="Times New Roman" w:eastAsia="Calibri" w:hAnsi="Times New Roman" w:cs="Times New Roman"/>
                <w:b/>
              </w:rPr>
            </w:pPr>
            <w:r w:rsidRPr="00DC34FD">
              <w:rPr>
                <w:rFonts w:ascii="Times New Roman" w:hAnsi="Times New Roman" w:cs="Times New Roman"/>
              </w:rPr>
              <w:t xml:space="preserve">Ir nepārprotami precizējama būves pieņemšana ekspluatācijā un tās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pārbaudes veikšanas laiks, tādējādi izvairoties no nepamatotiem </w:t>
            </w:r>
            <w:r w:rsidRPr="00DC34FD">
              <w:rPr>
                <w:rFonts w:ascii="Times New Roman" w:hAnsi="Times New Roman" w:cs="Times New Roman"/>
              </w:rPr>
              <w:lastRenderedPageBreak/>
              <w:t>izdevumiem veicot objekta pārbaudi tikai tā pabeigšanas stadijā.</w:t>
            </w:r>
          </w:p>
        </w:tc>
        <w:tc>
          <w:tcPr>
            <w:tcW w:w="2410" w:type="dxa"/>
            <w:gridSpan w:val="2"/>
            <w:vMerge/>
            <w:tcBorders>
              <w:left w:val="single" w:sz="4" w:space="0" w:color="auto"/>
              <w:bottom w:val="single" w:sz="4" w:space="0" w:color="auto"/>
              <w:right w:val="single" w:sz="4" w:space="0" w:color="auto"/>
            </w:tcBorders>
          </w:tcPr>
          <w:p w14:paraId="6EDEDA64" w14:textId="77777777" w:rsidR="004E6FCB" w:rsidRPr="00DC34FD" w:rsidRDefault="004E6FCB" w:rsidP="00A40E32">
            <w:pPr>
              <w:pStyle w:val="naisc"/>
              <w:spacing w:before="0" w:after="0"/>
              <w:jc w:val="both"/>
              <w:rPr>
                <w:b/>
                <w:sz w:val="22"/>
                <w:szCs w:val="22"/>
              </w:rPr>
            </w:pPr>
          </w:p>
        </w:tc>
        <w:tc>
          <w:tcPr>
            <w:tcW w:w="4652" w:type="dxa"/>
            <w:vMerge/>
            <w:tcBorders>
              <w:left w:val="single" w:sz="4" w:space="0" w:color="auto"/>
              <w:bottom w:val="single" w:sz="4" w:space="0" w:color="auto"/>
            </w:tcBorders>
          </w:tcPr>
          <w:p w14:paraId="766D2B75" w14:textId="77777777" w:rsidR="004E6FCB" w:rsidRPr="00DC34FD" w:rsidRDefault="004E6FCB" w:rsidP="00A40E32">
            <w:pPr>
              <w:spacing w:after="0" w:line="240" w:lineRule="auto"/>
              <w:jc w:val="both"/>
              <w:rPr>
                <w:rFonts w:ascii="Times New Roman" w:hAnsi="Times New Roman" w:cs="Times New Roman"/>
              </w:rPr>
            </w:pPr>
          </w:p>
        </w:tc>
      </w:tr>
      <w:tr w:rsidR="00CC1581" w:rsidRPr="00DC34FD" w14:paraId="2AAF8144" w14:textId="77777777" w:rsidTr="00AF11CB">
        <w:trPr>
          <w:trHeight w:val="3822"/>
        </w:trPr>
        <w:tc>
          <w:tcPr>
            <w:tcW w:w="742" w:type="dxa"/>
            <w:vMerge w:val="restart"/>
            <w:tcBorders>
              <w:top w:val="single" w:sz="4" w:space="0" w:color="auto"/>
              <w:left w:val="single" w:sz="4" w:space="0" w:color="auto"/>
              <w:right w:val="single" w:sz="4" w:space="0" w:color="auto"/>
            </w:tcBorders>
          </w:tcPr>
          <w:p w14:paraId="1E29B154" w14:textId="3F1015DC" w:rsidR="00CC1581"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25.</w:t>
            </w:r>
          </w:p>
        </w:tc>
        <w:tc>
          <w:tcPr>
            <w:tcW w:w="3370" w:type="dxa"/>
            <w:gridSpan w:val="2"/>
            <w:vMerge w:val="restart"/>
            <w:tcBorders>
              <w:top w:val="single" w:sz="4" w:space="0" w:color="auto"/>
              <w:left w:val="single" w:sz="4" w:space="0" w:color="auto"/>
              <w:right w:val="single" w:sz="4" w:space="0" w:color="auto"/>
            </w:tcBorders>
          </w:tcPr>
          <w:p w14:paraId="40849C50" w14:textId="31CCD93A" w:rsidR="00CC1581" w:rsidRPr="00DC34FD" w:rsidRDefault="00CC1581" w:rsidP="00A40E32">
            <w:pPr>
              <w:pStyle w:val="tv213"/>
              <w:shd w:val="clear" w:color="auto" w:fill="FFFFFF"/>
              <w:spacing w:before="0" w:beforeAutospacing="0" w:after="0" w:afterAutospacing="0"/>
              <w:jc w:val="both"/>
              <w:rPr>
                <w:sz w:val="22"/>
                <w:szCs w:val="22"/>
              </w:rPr>
            </w:pPr>
            <w:r w:rsidRPr="00DC34FD">
              <w:rPr>
                <w:sz w:val="22"/>
                <w:szCs w:val="22"/>
              </w:rPr>
              <w:t xml:space="preserve">20. Publisko spēļu laukumu un tajos uzstādīto spēļu vai citu aktivitāšu iekārtu </w:t>
            </w:r>
            <w:proofErr w:type="spellStart"/>
            <w:r w:rsidRPr="00DC34FD">
              <w:rPr>
                <w:sz w:val="22"/>
                <w:szCs w:val="22"/>
              </w:rPr>
              <w:t>pēcuzstādīšanas</w:t>
            </w:r>
            <w:proofErr w:type="spellEnd"/>
            <w:r w:rsidRPr="00DC34FD">
              <w:rPr>
                <w:sz w:val="22"/>
                <w:szCs w:val="22"/>
              </w:rPr>
              <w:t xml:space="preserve"> pārbaudi veic Nacionālajā akreditācijas institūcijā akreditēts pārbaudes veicējs (turpmāk – Pārbaudes veicējs).</w:t>
            </w:r>
          </w:p>
        </w:tc>
        <w:tc>
          <w:tcPr>
            <w:tcW w:w="4311" w:type="dxa"/>
            <w:tcBorders>
              <w:top w:val="single" w:sz="4" w:space="0" w:color="auto"/>
              <w:left w:val="single" w:sz="4" w:space="0" w:color="auto"/>
              <w:bottom w:val="single" w:sz="4" w:space="0" w:color="auto"/>
              <w:right w:val="single" w:sz="4" w:space="0" w:color="auto"/>
            </w:tcBorders>
          </w:tcPr>
          <w:p w14:paraId="2943CB58" w14:textId="77777777" w:rsidR="00CC1581" w:rsidRPr="00DC34FD" w:rsidRDefault="00CC1581" w:rsidP="00A40E32">
            <w:pPr>
              <w:pStyle w:val="CommentText"/>
              <w:spacing w:before="60" w:after="0"/>
              <w:jc w:val="center"/>
              <w:rPr>
                <w:b/>
                <w:sz w:val="22"/>
                <w:szCs w:val="22"/>
              </w:rPr>
            </w:pPr>
            <w:r w:rsidRPr="00DC34FD">
              <w:rPr>
                <w:b/>
                <w:sz w:val="22"/>
                <w:szCs w:val="22"/>
              </w:rPr>
              <w:t>Latvijas Lielo pilsētu asociācija</w:t>
            </w:r>
          </w:p>
          <w:p w14:paraId="1AB651D3" w14:textId="77777777" w:rsidR="00CC1581" w:rsidRPr="00DC34FD" w:rsidRDefault="00CC1581" w:rsidP="00A40E32">
            <w:pPr>
              <w:pStyle w:val="CommentText"/>
              <w:jc w:val="both"/>
              <w:rPr>
                <w:bCs/>
                <w:sz w:val="22"/>
                <w:szCs w:val="22"/>
              </w:rPr>
            </w:pPr>
            <w:r w:rsidRPr="00DC34FD">
              <w:rPr>
                <w:bCs/>
                <w:sz w:val="22"/>
                <w:szCs w:val="22"/>
              </w:rPr>
              <w:t xml:space="preserve">Vēršam uzmanību, ka joprojām nav skaidri saprotams, kā pietiekamā skaitā tiks piesaistīti konkrētās jomas speciālisti, kas izies akreditāciju un iegūs tiesības veikt </w:t>
            </w:r>
            <w:proofErr w:type="spellStart"/>
            <w:r w:rsidRPr="00DC34FD">
              <w:rPr>
                <w:bCs/>
                <w:sz w:val="22"/>
                <w:szCs w:val="22"/>
              </w:rPr>
              <w:t>pēcuzstādīšanas</w:t>
            </w:r>
            <w:proofErr w:type="spellEnd"/>
            <w:r w:rsidRPr="00DC34FD">
              <w:rPr>
                <w:bCs/>
                <w:sz w:val="22"/>
                <w:szCs w:val="22"/>
              </w:rPr>
              <w:t xml:space="preserve"> pārbaudes. </w:t>
            </w:r>
          </w:p>
          <w:p w14:paraId="3A6D76C4" w14:textId="5F6DD7A1" w:rsidR="00CC1581" w:rsidRPr="00DC34FD" w:rsidRDefault="00CC1581" w:rsidP="00A40E32">
            <w:pPr>
              <w:jc w:val="both"/>
              <w:rPr>
                <w:rFonts w:ascii="Times New Roman" w:hAnsi="Times New Roman" w:cs="Times New Roman"/>
              </w:rPr>
            </w:pPr>
            <w:r w:rsidRPr="00DC34FD">
              <w:rPr>
                <w:rFonts w:ascii="Times New Roman" w:hAnsi="Times New Roman" w:cs="Times New Roman"/>
                <w:bCs/>
              </w:rPr>
              <w:t>Lūdzam papildus izveidot publisku reģistru ar akreditēto pārbaudes veicēju sarakstu, norādot kontaktus un akreditācijas termiņus.</w:t>
            </w:r>
          </w:p>
        </w:tc>
        <w:tc>
          <w:tcPr>
            <w:tcW w:w="2410" w:type="dxa"/>
            <w:gridSpan w:val="2"/>
            <w:vMerge w:val="restart"/>
            <w:tcBorders>
              <w:top w:val="single" w:sz="4" w:space="0" w:color="auto"/>
              <w:left w:val="single" w:sz="4" w:space="0" w:color="auto"/>
              <w:right w:val="single" w:sz="4" w:space="0" w:color="auto"/>
            </w:tcBorders>
          </w:tcPr>
          <w:p w14:paraId="79C3CE72" w14:textId="235F0B70" w:rsidR="00CC1581" w:rsidRPr="00DC34FD" w:rsidRDefault="00CC1581" w:rsidP="00A40E32">
            <w:pPr>
              <w:pStyle w:val="naisc"/>
              <w:spacing w:before="0" w:after="0"/>
              <w:jc w:val="both"/>
              <w:rPr>
                <w:b/>
                <w:sz w:val="22"/>
                <w:szCs w:val="22"/>
              </w:rPr>
            </w:pPr>
            <w:r w:rsidRPr="00DC34FD">
              <w:rPr>
                <w:b/>
                <w:sz w:val="22"/>
                <w:szCs w:val="22"/>
              </w:rPr>
              <w:t>Panākta vienošanās.</w:t>
            </w:r>
          </w:p>
          <w:p w14:paraId="104690F8" w14:textId="06225629" w:rsidR="00CC1581" w:rsidRPr="00DC34FD" w:rsidRDefault="00CC1581" w:rsidP="00A40E32">
            <w:pPr>
              <w:pStyle w:val="naisc"/>
              <w:spacing w:before="0" w:after="0"/>
              <w:jc w:val="both"/>
              <w:rPr>
                <w:sz w:val="22"/>
                <w:szCs w:val="22"/>
              </w:rPr>
            </w:pPr>
            <w:r w:rsidRPr="00DC34FD">
              <w:rPr>
                <w:sz w:val="22"/>
                <w:szCs w:val="22"/>
              </w:rPr>
              <w:t>Punkts precizēts, paredzot, ka Pārbaudes veicējs varēs būt ne tikai akreditēta juridiska persona, bet arī šādu akreditētu institūciju sertificēti inspektori, turklāt Pārbaudes veicēji varēs būt arī citās ES dalībvalstīs akreditētas institūcijas.</w:t>
            </w:r>
          </w:p>
          <w:p w14:paraId="7FC86B01" w14:textId="0D06EF42" w:rsidR="00CC1581" w:rsidRPr="00DC34FD" w:rsidRDefault="00CC1581" w:rsidP="00A40E32">
            <w:pPr>
              <w:pStyle w:val="naisc"/>
              <w:spacing w:before="0" w:after="0"/>
              <w:jc w:val="both"/>
              <w:rPr>
                <w:sz w:val="22"/>
                <w:szCs w:val="22"/>
              </w:rPr>
            </w:pPr>
            <w:r w:rsidRPr="00DC34FD">
              <w:rPr>
                <w:sz w:val="22"/>
                <w:szCs w:val="22"/>
              </w:rPr>
              <w:t xml:space="preserve">Akreditēto pārbaudes veicēju saraksts ir un būs pieejams Nacionālās akreditācijas institūcijas mājaslapā </w:t>
            </w:r>
            <w:hyperlink r:id="rId9" w:history="1">
              <w:r w:rsidRPr="00DC34FD">
                <w:rPr>
                  <w:rStyle w:val="Hyperlink"/>
                  <w:sz w:val="22"/>
                  <w:szCs w:val="22"/>
                </w:rPr>
                <w:t>www.latak.gov.lv</w:t>
              </w:r>
            </w:hyperlink>
          </w:p>
          <w:p w14:paraId="6DDADCBC" w14:textId="77777777" w:rsidR="00CC1581" w:rsidRPr="00DC34FD" w:rsidRDefault="00CC1581" w:rsidP="00A40E32">
            <w:pPr>
              <w:pStyle w:val="naisc"/>
              <w:spacing w:before="0" w:after="0"/>
              <w:jc w:val="both"/>
              <w:rPr>
                <w:sz w:val="22"/>
                <w:szCs w:val="22"/>
              </w:rPr>
            </w:pPr>
            <w:r w:rsidRPr="00DC34FD">
              <w:rPr>
                <w:sz w:val="22"/>
                <w:szCs w:val="22"/>
              </w:rPr>
              <w:t>Savukārt konkrētās jomas speciālistu piesaistei un akreditācijai Noteikumu projektā tiek atvēlēts pārejas periods, kurš tiek palielināts līdz 18 mēnešiem.</w:t>
            </w:r>
          </w:p>
          <w:p w14:paraId="1514AD50" w14:textId="77777777" w:rsidR="00CC1581" w:rsidRPr="00DC34FD" w:rsidRDefault="00CC1581" w:rsidP="00A40E32">
            <w:pPr>
              <w:pStyle w:val="naisc"/>
              <w:spacing w:before="0" w:after="0"/>
              <w:jc w:val="both"/>
              <w:rPr>
                <w:sz w:val="22"/>
                <w:szCs w:val="22"/>
              </w:rPr>
            </w:pPr>
            <w:r w:rsidRPr="00DC34FD">
              <w:rPr>
                <w:sz w:val="22"/>
                <w:szCs w:val="22"/>
              </w:rPr>
              <w:t xml:space="preserve">Akreditācija notiks Nacionālajā akreditācijas institūcijā atbilstoši normatīvajiem </w:t>
            </w:r>
            <w:r w:rsidRPr="00DC34FD">
              <w:rPr>
                <w:sz w:val="22"/>
                <w:szCs w:val="22"/>
              </w:rPr>
              <w:lastRenderedPageBreak/>
              <w:t>aktiem par atbilstības novērtēšanas institūciju novērtēšanu, akreditāciju un uzraudzību.</w:t>
            </w:r>
          </w:p>
          <w:p w14:paraId="3B9A23E0" w14:textId="77777777" w:rsidR="00CC1581" w:rsidRPr="00DC34FD" w:rsidRDefault="00CC1581" w:rsidP="00A40E32">
            <w:pPr>
              <w:pStyle w:val="naisc"/>
              <w:spacing w:before="0" w:after="0"/>
              <w:jc w:val="both"/>
              <w:rPr>
                <w:sz w:val="22"/>
                <w:szCs w:val="22"/>
              </w:rPr>
            </w:pPr>
            <w:r w:rsidRPr="00DC34FD">
              <w:rPr>
                <w:sz w:val="22"/>
                <w:szCs w:val="22"/>
              </w:rPr>
              <w:t>Prasību, ka reglamentētajā jomā atbilstība jāvērtē akreditētai institūcijai, paredz likums “Par atbilstības novērtēšanu”, un saskaņā ar minēto likumu tai ir jābūt neatkarīgai un objektīvai institūcijai, kas līdz ar to nevar būt paša spēļu laukuma īpašnieka izveidota komisija.</w:t>
            </w:r>
          </w:p>
          <w:p w14:paraId="1471FE8B" w14:textId="34E3D7EB" w:rsidR="00CC1581" w:rsidRPr="00DC34FD" w:rsidRDefault="00CC1581" w:rsidP="00A40E32">
            <w:pPr>
              <w:pStyle w:val="naisc"/>
              <w:spacing w:before="0" w:after="0"/>
              <w:jc w:val="both"/>
              <w:rPr>
                <w:sz w:val="22"/>
                <w:szCs w:val="22"/>
              </w:rPr>
            </w:pPr>
            <w:r w:rsidRPr="00DC34FD">
              <w:rPr>
                <w:sz w:val="22"/>
                <w:szCs w:val="22"/>
              </w:rPr>
              <w:t xml:space="preserve">Ņemot vērā nozares pārstāvju viedokli, ka būtiskas problēmas nozarē rodas ar spēļu laukumu uzturēšanu un pārbaužu nodrošināšanu </w:t>
            </w:r>
            <w:r w:rsidRPr="00DC34FD">
              <w:rPr>
                <w:sz w:val="22"/>
                <w:szCs w:val="22"/>
              </w:rPr>
              <w:lastRenderedPageBreak/>
              <w:t xml:space="preserve">tajos, līdz ar šā Noteikumu projekta pieņemšanu Ministru kabinetā paredzēts Ministru kabineta sēdes </w:t>
            </w:r>
            <w:proofErr w:type="spellStart"/>
            <w:r w:rsidRPr="00DC34FD">
              <w:rPr>
                <w:sz w:val="22"/>
                <w:szCs w:val="22"/>
              </w:rPr>
              <w:t>protokollēmumā</w:t>
            </w:r>
            <w:proofErr w:type="spellEnd"/>
            <w:r w:rsidRPr="00DC34FD">
              <w:rPr>
                <w:sz w:val="22"/>
                <w:szCs w:val="22"/>
              </w:rPr>
              <w:t xml:space="preserve"> ietvert uzdevumu Ekonomikas ministrijai pēc pieciem gadiem iesniegt Ministru kabinetā ziņojumu par nepieciešamību pārskatīt Noteikumu projekta noteikumus par to, kādiem spēļu laukumiem veicamas </w:t>
            </w:r>
            <w:proofErr w:type="spellStart"/>
            <w:r w:rsidRPr="00DC34FD">
              <w:rPr>
                <w:sz w:val="22"/>
                <w:szCs w:val="22"/>
              </w:rPr>
              <w:t>pēcuzstādīšanas</w:t>
            </w:r>
            <w:proofErr w:type="spellEnd"/>
            <w:r w:rsidRPr="00DC34FD">
              <w:rPr>
                <w:sz w:val="22"/>
                <w:szCs w:val="22"/>
              </w:rPr>
              <w:t xml:space="preserve"> pārbaudes un kuras no pārbaudēm un cik bieži būtu veicamas akreditētām institūcijām.</w:t>
            </w:r>
          </w:p>
        </w:tc>
        <w:tc>
          <w:tcPr>
            <w:tcW w:w="4652" w:type="dxa"/>
            <w:vMerge w:val="restart"/>
            <w:tcBorders>
              <w:top w:val="single" w:sz="4" w:space="0" w:color="auto"/>
              <w:left w:val="single" w:sz="4" w:space="0" w:color="auto"/>
            </w:tcBorders>
          </w:tcPr>
          <w:p w14:paraId="734E1B9C" w14:textId="08E015A5" w:rsidR="00CC1581" w:rsidRPr="00DC34FD" w:rsidRDefault="00CC1581" w:rsidP="00EF3AB2">
            <w:pPr>
              <w:numPr>
                <w:ilvl w:val="0"/>
                <w:numId w:val="10"/>
              </w:numPr>
              <w:spacing w:after="0" w:line="240" w:lineRule="auto"/>
              <w:ind w:left="39" w:hanging="39"/>
              <w:jc w:val="both"/>
              <w:rPr>
                <w:rFonts w:ascii="Times New Roman" w:hAnsi="Times New Roman" w:cs="Times New Roman"/>
              </w:rPr>
            </w:pPr>
            <w:r w:rsidRPr="00DC34FD">
              <w:rPr>
                <w:rFonts w:ascii="Times New Roman" w:hAnsi="Times New Roman" w:cs="Times New Roman"/>
              </w:rPr>
              <w:lastRenderedPageBreak/>
              <w:t xml:space="preserve">Publisko spēļu laukumu un tajos uzstādīto spēļu vai citu aktivitāšu iekārtu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pārbaudi veic </w:t>
            </w:r>
            <w:r w:rsidR="00EF3AB2" w:rsidRPr="00DC34FD">
              <w:rPr>
                <w:rFonts w:ascii="Times New Roman" w:hAnsi="Times New Roman" w:cs="Times New Roman"/>
              </w:rPr>
              <w:t>neatkarīgs pārbaudes veicējs (turpmāk – Pārbaudes veicējs), kas nav pārbaudāmā spēļu un rekreācijas laukuma un tajā uzstādīto spēļu vai citu aktivitāšu iekārtu valdītājs, ražotājs, importētājs, izplatītājs vai citā veidā iesaistīts to projektēšanā, izstrādē, ražošanā, piegādē, uzstādīšanā, uzturēšanā un kas</w:t>
            </w:r>
            <w:r w:rsidRPr="00DC34FD">
              <w:rPr>
                <w:rFonts w:ascii="Times New Roman" w:hAnsi="Times New Roman" w:cs="Times New Roman"/>
              </w:rPr>
              <w:t xml:space="preserve">: </w:t>
            </w:r>
          </w:p>
          <w:p w14:paraId="16862CCE" w14:textId="77777777" w:rsidR="00CC1581" w:rsidRPr="00DC34FD" w:rsidRDefault="00CC1581" w:rsidP="00167266">
            <w:pPr>
              <w:spacing w:after="0" w:line="240" w:lineRule="auto"/>
              <w:jc w:val="both"/>
              <w:rPr>
                <w:rFonts w:ascii="Times New Roman" w:hAnsi="Times New Roman" w:cs="Times New Roman"/>
              </w:rPr>
            </w:pPr>
            <w:r w:rsidRPr="00DC34FD">
              <w:rPr>
                <w:rFonts w:ascii="Times New Roman" w:hAnsi="Times New Roman" w:cs="Times New Roman"/>
              </w:rPr>
              <w:t>20.1. ir akreditēts Nacionālajā akreditācijas institūcijā vai citā Eiropas Savienības dalībvalstī atbilstoši normatīvajiem aktiem par atbilstības novērtēšanas institūciju novērtēšanu, akreditāciju un uzraudzību, vai;</w:t>
            </w:r>
          </w:p>
          <w:p w14:paraId="34719B80" w14:textId="77777777" w:rsidR="00CC1581" w:rsidRPr="00DC34FD" w:rsidRDefault="00CC1581" w:rsidP="00167266">
            <w:pPr>
              <w:spacing w:after="0" w:line="240" w:lineRule="auto"/>
              <w:jc w:val="both"/>
              <w:rPr>
                <w:rFonts w:ascii="Times New Roman" w:hAnsi="Times New Roman" w:cs="Times New Roman"/>
              </w:rPr>
            </w:pPr>
            <w:r w:rsidRPr="00DC34FD">
              <w:rPr>
                <w:rFonts w:ascii="Times New Roman" w:hAnsi="Times New Roman" w:cs="Times New Roman"/>
              </w:rPr>
              <w:t>20.2. kuru sertificējusi Nacionālajā akreditācijas institūcijā vai citā Eiropas Savienības dalībvalstī akreditēta personu sertificēšanas institūcija, kas šādam Pārbaudes veicējam sertifikātu izsniedz, pagarina, anulē, kā arī uzrauga tā darbību šādā kārtībā:</w:t>
            </w:r>
          </w:p>
          <w:p w14:paraId="05674DFA" w14:textId="77777777" w:rsidR="00CC1581" w:rsidRPr="00DC34FD" w:rsidRDefault="00CC1581" w:rsidP="00167266">
            <w:pPr>
              <w:spacing w:after="0" w:line="240" w:lineRule="auto"/>
              <w:jc w:val="both"/>
              <w:rPr>
                <w:rFonts w:ascii="Times New Roman" w:hAnsi="Times New Roman" w:cs="Times New Roman"/>
              </w:rPr>
            </w:pPr>
            <w:r w:rsidRPr="00DC34FD">
              <w:rPr>
                <w:rFonts w:ascii="Times New Roman" w:hAnsi="Times New Roman" w:cs="Times New Roman"/>
              </w:rPr>
              <w:t>20.2.1. izsniedz sertifikātu pēc kompetences testa sekmīgas nokārtošanas par spēkā esošajām šo noteikumu un citu ar tiem saistītu Latvijas Republikas normatīvo aktu, kā arī piemērojamo standartu prasībām;</w:t>
            </w:r>
          </w:p>
          <w:p w14:paraId="67272671" w14:textId="77777777" w:rsidR="00CC1581" w:rsidRPr="00DC34FD" w:rsidRDefault="00CC1581" w:rsidP="00167266">
            <w:pPr>
              <w:spacing w:after="0" w:line="240" w:lineRule="auto"/>
              <w:jc w:val="both"/>
              <w:rPr>
                <w:rFonts w:ascii="Times New Roman" w:hAnsi="Times New Roman" w:cs="Times New Roman"/>
              </w:rPr>
            </w:pPr>
            <w:r w:rsidRPr="00DC34FD">
              <w:rPr>
                <w:rFonts w:ascii="Times New Roman" w:hAnsi="Times New Roman" w:cs="Times New Roman"/>
              </w:rPr>
              <w:t>20.2.2. pagarina sertifikātu ne retāk kā vienu reizi trīs gados pēc šo noteikumu 20.2.1. apakšpunktā minētā testa atkārtotas sekmīgas nokārtošanas;</w:t>
            </w:r>
          </w:p>
          <w:p w14:paraId="63FAA6D9" w14:textId="77777777" w:rsidR="00CC1581" w:rsidRPr="00DC34FD" w:rsidRDefault="00CC1581" w:rsidP="00167266">
            <w:pPr>
              <w:spacing w:after="0" w:line="240" w:lineRule="auto"/>
              <w:jc w:val="both"/>
              <w:rPr>
                <w:rFonts w:ascii="Times New Roman" w:hAnsi="Times New Roman" w:cs="Times New Roman"/>
              </w:rPr>
            </w:pPr>
            <w:r w:rsidRPr="00DC34FD">
              <w:rPr>
                <w:rFonts w:ascii="Times New Roman" w:hAnsi="Times New Roman" w:cs="Times New Roman"/>
              </w:rPr>
              <w:t xml:space="preserve">20.2.3. anulē sertifikātu, ja Pārbaudes veicējs viena gada laikā atkārtoti nav savlaicīgi veicis korektīvas </w:t>
            </w:r>
            <w:r w:rsidRPr="00DC34FD">
              <w:rPr>
                <w:rFonts w:ascii="Times New Roman" w:hAnsi="Times New Roman" w:cs="Times New Roman"/>
              </w:rPr>
              <w:lastRenderedPageBreak/>
              <w:t>darbības, lai novērstu trūkumus, ja tā darbībā tādi konstatēti;</w:t>
            </w:r>
          </w:p>
          <w:p w14:paraId="21DFBEF5" w14:textId="77777777" w:rsidR="00CC1581" w:rsidRPr="00DC34FD" w:rsidRDefault="00CC1581" w:rsidP="00167266">
            <w:pPr>
              <w:spacing w:after="0" w:line="240" w:lineRule="auto"/>
              <w:jc w:val="both"/>
              <w:rPr>
                <w:rFonts w:ascii="Times New Roman" w:hAnsi="Times New Roman" w:cs="Times New Roman"/>
              </w:rPr>
            </w:pPr>
            <w:r w:rsidRPr="00DC34FD">
              <w:rPr>
                <w:rFonts w:ascii="Times New Roman" w:hAnsi="Times New Roman" w:cs="Times New Roman"/>
              </w:rPr>
              <w:t xml:space="preserve">20.2.4. vismaz vienu reizi gadā klātienē pārbauda, kā Pārbaudes veicējs veic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pārbaudi;</w:t>
            </w:r>
          </w:p>
          <w:p w14:paraId="743EDCF4" w14:textId="7AA185E8" w:rsidR="00CC1581" w:rsidRPr="00DC34FD" w:rsidRDefault="00CC1581" w:rsidP="00167266">
            <w:pPr>
              <w:spacing w:after="0" w:line="240" w:lineRule="auto"/>
              <w:jc w:val="both"/>
              <w:rPr>
                <w:rFonts w:ascii="Times New Roman" w:hAnsi="Times New Roman" w:cs="Times New Roman"/>
              </w:rPr>
            </w:pPr>
            <w:r w:rsidRPr="00DC34FD">
              <w:rPr>
                <w:rFonts w:ascii="Times New Roman" w:hAnsi="Times New Roman" w:cs="Times New Roman"/>
              </w:rPr>
              <w:t>20.2.5. konstatējot nepilnības, trūkumus šo noteikumu 20.2.4. apakšpunktā minētās pārbaudes laikā vai, pamatojoties uz sūdzībām vai citā veidā saņemtu informāciju, uzdod Pārbaudes veicējam veikt attiecīgas korektīvas darbības šādu nepilnību, trūkumu novēršanai.</w:t>
            </w:r>
          </w:p>
        </w:tc>
      </w:tr>
      <w:tr w:rsidR="00CC1581" w:rsidRPr="00DC34FD" w14:paraId="749A13B5" w14:textId="77777777" w:rsidTr="00AF11CB">
        <w:trPr>
          <w:trHeight w:val="1073"/>
        </w:trPr>
        <w:tc>
          <w:tcPr>
            <w:tcW w:w="742" w:type="dxa"/>
            <w:vMerge/>
            <w:tcBorders>
              <w:left w:val="single" w:sz="4" w:space="0" w:color="auto"/>
              <w:right w:val="single" w:sz="4" w:space="0" w:color="auto"/>
            </w:tcBorders>
          </w:tcPr>
          <w:p w14:paraId="04A0C60A" w14:textId="77777777" w:rsidR="00CC1581" w:rsidRPr="00DC34FD" w:rsidRDefault="00CC1581"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26DA12B9" w14:textId="77777777" w:rsidR="00CC1581" w:rsidRPr="00DC34FD" w:rsidRDefault="00CC1581"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4B79B02E" w14:textId="77777777" w:rsidR="00CC1581" w:rsidRPr="00DC34FD" w:rsidRDefault="00CC1581" w:rsidP="00A40E32">
            <w:pPr>
              <w:pStyle w:val="CommentText"/>
              <w:spacing w:before="60" w:after="0"/>
              <w:jc w:val="center"/>
              <w:rPr>
                <w:b/>
                <w:sz w:val="22"/>
                <w:szCs w:val="22"/>
              </w:rPr>
            </w:pPr>
            <w:r w:rsidRPr="00DC34FD">
              <w:rPr>
                <w:b/>
                <w:sz w:val="22"/>
                <w:szCs w:val="22"/>
              </w:rPr>
              <w:t>Latvijas Pašvaldību savienība</w:t>
            </w:r>
          </w:p>
          <w:p w14:paraId="170D19AD" w14:textId="1A9B883F" w:rsidR="00CC1581" w:rsidRPr="00DC34FD" w:rsidRDefault="00CC1581" w:rsidP="00A40E32">
            <w:pPr>
              <w:pStyle w:val="CommentText"/>
              <w:spacing w:before="60" w:after="0"/>
              <w:jc w:val="both"/>
              <w:rPr>
                <w:sz w:val="22"/>
                <w:szCs w:val="22"/>
              </w:rPr>
            </w:pPr>
            <w:r w:rsidRPr="00DC34FD">
              <w:rPr>
                <w:sz w:val="22"/>
                <w:szCs w:val="22"/>
              </w:rPr>
              <w:t xml:space="preserve">Lūdzam precizēt Noteikumu projekta 17. punktu (domājams – 20.punktu), jo nav skaidrs, kādā veidā tiks organizētas </w:t>
            </w:r>
            <w:proofErr w:type="spellStart"/>
            <w:r w:rsidRPr="00DC34FD">
              <w:rPr>
                <w:sz w:val="22"/>
                <w:szCs w:val="22"/>
              </w:rPr>
              <w:t>pēcuzstādīšanas</w:t>
            </w:r>
            <w:proofErr w:type="spellEnd"/>
            <w:r w:rsidRPr="00DC34FD">
              <w:rPr>
                <w:sz w:val="22"/>
                <w:szCs w:val="22"/>
              </w:rPr>
              <w:t xml:space="preserve"> pārbaudes, kā šo pārbaužu veikšanā tiks iesaistīti kompetentie jomas speciālisti, kas izies akreditāciju un iegūs tiesības veikt šīs pārbaudes.</w:t>
            </w:r>
          </w:p>
        </w:tc>
        <w:tc>
          <w:tcPr>
            <w:tcW w:w="2410" w:type="dxa"/>
            <w:gridSpan w:val="2"/>
            <w:vMerge/>
            <w:tcBorders>
              <w:left w:val="single" w:sz="4" w:space="0" w:color="auto"/>
              <w:right w:val="single" w:sz="4" w:space="0" w:color="auto"/>
            </w:tcBorders>
          </w:tcPr>
          <w:p w14:paraId="6C9ECCD9" w14:textId="77777777" w:rsidR="00CC1581" w:rsidRPr="00DC34FD" w:rsidRDefault="00CC1581" w:rsidP="00A40E32">
            <w:pPr>
              <w:pStyle w:val="naisc"/>
              <w:spacing w:before="0" w:after="0"/>
              <w:jc w:val="both"/>
              <w:rPr>
                <w:b/>
                <w:sz w:val="22"/>
                <w:szCs w:val="22"/>
              </w:rPr>
            </w:pPr>
          </w:p>
        </w:tc>
        <w:tc>
          <w:tcPr>
            <w:tcW w:w="4652" w:type="dxa"/>
            <w:vMerge/>
            <w:tcBorders>
              <w:left w:val="single" w:sz="4" w:space="0" w:color="auto"/>
            </w:tcBorders>
          </w:tcPr>
          <w:p w14:paraId="23259A38" w14:textId="77777777" w:rsidR="00CC1581" w:rsidRPr="00DC34FD" w:rsidRDefault="00CC1581" w:rsidP="00A40E32">
            <w:pPr>
              <w:spacing w:after="0" w:line="240" w:lineRule="auto"/>
              <w:jc w:val="both"/>
              <w:rPr>
                <w:rFonts w:ascii="Times New Roman" w:hAnsi="Times New Roman" w:cs="Times New Roman"/>
              </w:rPr>
            </w:pPr>
          </w:p>
        </w:tc>
      </w:tr>
      <w:tr w:rsidR="00CC1581" w:rsidRPr="00DC34FD" w14:paraId="04642731" w14:textId="77777777" w:rsidTr="00AF11CB">
        <w:trPr>
          <w:trHeight w:val="1072"/>
        </w:trPr>
        <w:tc>
          <w:tcPr>
            <w:tcW w:w="742" w:type="dxa"/>
            <w:vMerge/>
            <w:tcBorders>
              <w:left w:val="single" w:sz="4" w:space="0" w:color="auto"/>
              <w:right w:val="single" w:sz="4" w:space="0" w:color="auto"/>
            </w:tcBorders>
          </w:tcPr>
          <w:p w14:paraId="1A39D23C" w14:textId="77777777" w:rsidR="00CC1581" w:rsidRPr="00DC34FD" w:rsidRDefault="00CC1581"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3742FECC" w14:textId="77777777" w:rsidR="00CC1581" w:rsidRPr="00DC34FD" w:rsidRDefault="00CC1581"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4D18BF30" w14:textId="2F6D578C" w:rsidR="00CC1581" w:rsidRPr="00DC34FD" w:rsidRDefault="00CC1581" w:rsidP="00AC6612">
            <w:pPr>
              <w:autoSpaceDE w:val="0"/>
              <w:autoSpaceDN w:val="0"/>
              <w:adjustRightInd w:val="0"/>
              <w:spacing w:after="0" w:line="240" w:lineRule="auto"/>
              <w:jc w:val="center"/>
              <w:rPr>
                <w:rFonts w:ascii="Times New Roman" w:hAnsi="Times New Roman" w:cs="Times New Roman"/>
                <w:b/>
              </w:rPr>
            </w:pPr>
            <w:r w:rsidRPr="00DC34FD">
              <w:rPr>
                <w:rFonts w:ascii="Times New Roman" w:hAnsi="Times New Roman" w:cs="Times New Roman"/>
                <w:b/>
              </w:rPr>
              <w:t>Latvijas Ainavu arhitektu asociācija</w:t>
            </w:r>
          </w:p>
          <w:p w14:paraId="7ED35DE0" w14:textId="27C86007" w:rsidR="00CC1581" w:rsidRPr="00DC34FD" w:rsidRDefault="00CC1581" w:rsidP="00AC6612">
            <w:pPr>
              <w:autoSpaceDE w:val="0"/>
              <w:autoSpaceDN w:val="0"/>
              <w:adjustRightInd w:val="0"/>
              <w:spacing w:after="0" w:line="240" w:lineRule="auto"/>
              <w:jc w:val="both"/>
              <w:rPr>
                <w:rFonts w:ascii="Times New Roman" w:hAnsi="Times New Roman" w:cs="Times New Roman"/>
              </w:rPr>
            </w:pPr>
            <w:r w:rsidRPr="00DC34FD">
              <w:rPr>
                <w:rFonts w:ascii="Times New Roman" w:hAnsi="Times New Roman" w:cs="Times New Roman"/>
              </w:rPr>
              <w:t>Noteikumu projekta saturs pauž ļoti stingru, finansiāli dārgu, un komplicētu speciālistu</w:t>
            </w:r>
          </w:p>
          <w:p w14:paraId="0DC562D3" w14:textId="77777777" w:rsidR="00CC1581" w:rsidRPr="00DC34FD" w:rsidRDefault="00CC1581" w:rsidP="00AC6612">
            <w:pPr>
              <w:autoSpaceDE w:val="0"/>
              <w:autoSpaceDN w:val="0"/>
              <w:adjustRightInd w:val="0"/>
              <w:spacing w:after="0" w:line="240" w:lineRule="auto"/>
              <w:jc w:val="both"/>
              <w:rPr>
                <w:rFonts w:ascii="Times New Roman" w:hAnsi="Times New Roman" w:cs="Times New Roman"/>
              </w:rPr>
            </w:pPr>
            <w:r w:rsidRPr="00DC34FD">
              <w:rPr>
                <w:rFonts w:ascii="Times New Roman" w:hAnsi="Times New Roman" w:cs="Times New Roman"/>
              </w:rPr>
              <w:t xml:space="preserve">kompetences novērtēšanas kopumu rotaļu laukumu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pārbaužu</w:t>
            </w:r>
          </w:p>
          <w:p w14:paraId="686CE349" w14:textId="77777777" w:rsidR="00CC1581" w:rsidRPr="00DC34FD" w:rsidRDefault="00CC1581" w:rsidP="00AC6612">
            <w:pPr>
              <w:autoSpaceDE w:val="0"/>
              <w:autoSpaceDN w:val="0"/>
              <w:adjustRightInd w:val="0"/>
              <w:spacing w:after="0" w:line="240" w:lineRule="auto"/>
              <w:jc w:val="both"/>
              <w:rPr>
                <w:rFonts w:ascii="Times New Roman" w:hAnsi="Times New Roman" w:cs="Times New Roman"/>
              </w:rPr>
            </w:pPr>
            <w:r w:rsidRPr="00DC34FD">
              <w:rPr>
                <w:rFonts w:ascii="Times New Roman" w:hAnsi="Times New Roman" w:cs="Times New Roman"/>
              </w:rPr>
              <w:t>veikšanai. Cik tas ir zināms LAAA, līdz šim jaunveidojamo rotaļu laukumu pārbaudēs,</w:t>
            </w:r>
          </w:p>
          <w:p w14:paraId="34584EEC" w14:textId="77777777" w:rsidR="00CC1581" w:rsidRPr="00DC34FD" w:rsidRDefault="00CC1581" w:rsidP="00AC6612">
            <w:pPr>
              <w:autoSpaceDE w:val="0"/>
              <w:autoSpaceDN w:val="0"/>
              <w:adjustRightInd w:val="0"/>
              <w:spacing w:after="0" w:line="240" w:lineRule="auto"/>
              <w:jc w:val="both"/>
              <w:rPr>
                <w:rFonts w:ascii="Times New Roman" w:hAnsi="Times New Roman" w:cs="Times New Roman"/>
              </w:rPr>
            </w:pPr>
            <w:r w:rsidRPr="00DC34FD">
              <w:rPr>
                <w:rFonts w:ascii="Times New Roman" w:hAnsi="Times New Roman" w:cs="Times New Roman"/>
              </w:rPr>
              <w:lastRenderedPageBreak/>
              <w:t>kurās ir iesaistīti sertificētie speciālisti, risks rotaļu laukuma izbūvi paredzēt neatbilstošu</w:t>
            </w:r>
          </w:p>
          <w:p w14:paraId="3AD880B0" w14:textId="77777777" w:rsidR="00CC1581" w:rsidRPr="00DC34FD" w:rsidRDefault="00CC1581" w:rsidP="00AC6612">
            <w:pPr>
              <w:autoSpaceDE w:val="0"/>
              <w:autoSpaceDN w:val="0"/>
              <w:adjustRightInd w:val="0"/>
              <w:spacing w:after="0" w:line="240" w:lineRule="auto"/>
              <w:jc w:val="both"/>
              <w:rPr>
                <w:rFonts w:ascii="Times New Roman" w:hAnsi="Times New Roman" w:cs="Times New Roman"/>
              </w:rPr>
            </w:pPr>
            <w:r w:rsidRPr="00DC34FD">
              <w:rPr>
                <w:rFonts w:ascii="Times New Roman" w:hAnsi="Times New Roman" w:cs="Times New Roman"/>
              </w:rPr>
              <w:t xml:space="preserve">drošuma prasībām ir bijis minimāls. Rotaļu laukumu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pārbaudes būtu</w:t>
            </w:r>
          </w:p>
          <w:p w14:paraId="1ECDA852" w14:textId="77777777" w:rsidR="00CC1581" w:rsidRPr="00DC34FD" w:rsidRDefault="00CC1581" w:rsidP="00AC6612">
            <w:pPr>
              <w:autoSpaceDE w:val="0"/>
              <w:autoSpaceDN w:val="0"/>
              <w:adjustRightInd w:val="0"/>
              <w:spacing w:after="0" w:line="240" w:lineRule="auto"/>
              <w:jc w:val="both"/>
              <w:rPr>
                <w:rFonts w:ascii="Times New Roman" w:hAnsi="Times New Roman" w:cs="Times New Roman"/>
              </w:rPr>
            </w:pPr>
            <w:r w:rsidRPr="00DC34FD">
              <w:rPr>
                <w:rFonts w:ascii="Times New Roman" w:hAnsi="Times New Roman" w:cs="Times New Roman"/>
              </w:rPr>
              <w:t>jāļauj veikt Eiropas ekonomiskajā zonā atbilstošā specializācijā sertificētiem</w:t>
            </w:r>
          </w:p>
          <w:p w14:paraId="20359807" w14:textId="52BF1719" w:rsidR="00CC1581" w:rsidRPr="00DC34FD" w:rsidRDefault="00CC1581" w:rsidP="00AC6612">
            <w:pPr>
              <w:pStyle w:val="CommentText"/>
              <w:spacing w:before="60" w:after="0"/>
              <w:jc w:val="both"/>
              <w:rPr>
                <w:b/>
                <w:sz w:val="22"/>
                <w:szCs w:val="22"/>
              </w:rPr>
            </w:pPr>
            <w:r w:rsidRPr="00DC34FD">
              <w:rPr>
                <w:sz w:val="22"/>
                <w:szCs w:val="22"/>
              </w:rPr>
              <w:t>speciālistiem, nosakot konkurences principus un citus ierobežojumus un saistības.</w:t>
            </w:r>
          </w:p>
        </w:tc>
        <w:tc>
          <w:tcPr>
            <w:tcW w:w="2410" w:type="dxa"/>
            <w:gridSpan w:val="2"/>
            <w:vMerge/>
            <w:tcBorders>
              <w:left w:val="single" w:sz="4" w:space="0" w:color="auto"/>
              <w:right w:val="single" w:sz="4" w:space="0" w:color="auto"/>
            </w:tcBorders>
          </w:tcPr>
          <w:p w14:paraId="4315F5B2" w14:textId="77777777" w:rsidR="00CC1581" w:rsidRPr="00DC34FD" w:rsidRDefault="00CC1581" w:rsidP="00A40E32">
            <w:pPr>
              <w:pStyle w:val="naisc"/>
              <w:spacing w:before="0" w:after="0"/>
              <w:jc w:val="both"/>
              <w:rPr>
                <w:b/>
                <w:sz w:val="22"/>
                <w:szCs w:val="22"/>
              </w:rPr>
            </w:pPr>
          </w:p>
        </w:tc>
        <w:tc>
          <w:tcPr>
            <w:tcW w:w="4652" w:type="dxa"/>
            <w:vMerge/>
            <w:tcBorders>
              <w:left w:val="single" w:sz="4" w:space="0" w:color="auto"/>
            </w:tcBorders>
          </w:tcPr>
          <w:p w14:paraId="3C7F8D7F" w14:textId="77777777" w:rsidR="00CC1581" w:rsidRPr="00DC34FD" w:rsidRDefault="00CC1581" w:rsidP="00A40E32">
            <w:pPr>
              <w:spacing w:after="0" w:line="240" w:lineRule="auto"/>
              <w:jc w:val="both"/>
              <w:rPr>
                <w:rFonts w:ascii="Times New Roman" w:hAnsi="Times New Roman" w:cs="Times New Roman"/>
              </w:rPr>
            </w:pPr>
          </w:p>
        </w:tc>
      </w:tr>
      <w:tr w:rsidR="00CC1581" w:rsidRPr="00DC34FD" w14:paraId="79D2C0A7" w14:textId="77777777" w:rsidTr="00AF11CB">
        <w:trPr>
          <w:trHeight w:val="2173"/>
        </w:trPr>
        <w:tc>
          <w:tcPr>
            <w:tcW w:w="742" w:type="dxa"/>
            <w:vMerge/>
            <w:tcBorders>
              <w:left w:val="single" w:sz="4" w:space="0" w:color="auto"/>
              <w:right w:val="single" w:sz="4" w:space="0" w:color="auto"/>
            </w:tcBorders>
          </w:tcPr>
          <w:p w14:paraId="17C06EB0" w14:textId="77777777" w:rsidR="00CC1581" w:rsidRPr="00DC34FD" w:rsidRDefault="00CC1581"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4C6308E3" w14:textId="77777777" w:rsidR="00CC1581" w:rsidRPr="00DC34FD" w:rsidRDefault="00CC1581"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6CB59545" w14:textId="77777777" w:rsidR="00CC1581" w:rsidRPr="00DC34FD" w:rsidRDefault="00CC1581" w:rsidP="00A40E32">
            <w:pPr>
              <w:pStyle w:val="CommentText"/>
              <w:spacing w:before="60" w:after="0"/>
              <w:jc w:val="center"/>
              <w:rPr>
                <w:b/>
                <w:color w:val="000000"/>
                <w:sz w:val="22"/>
                <w:szCs w:val="22"/>
              </w:rPr>
            </w:pPr>
            <w:r w:rsidRPr="00DC34FD">
              <w:rPr>
                <w:b/>
                <w:color w:val="000000"/>
                <w:sz w:val="22"/>
                <w:szCs w:val="22"/>
              </w:rPr>
              <w:t>Reģionālo attīstības centru apvienība</w:t>
            </w:r>
          </w:p>
          <w:p w14:paraId="2AF3D62D" w14:textId="77777777" w:rsidR="00CC1581" w:rsidRPr="00DC34FD" w:rsidRDefault="00CC1581" w:rsidP="00A40E32">
            <w:pPr>
              <w:pStyle w:val="ListParagraph"/>
              <w:spacing w:after="160" w:line="256" w:lineRule="auto"/>
              <w:ind w:left="0"/>
              <w:jc w:val="both"/>
              <w:rPr>
                <w:rFonts w:ascii="Times New Roman" w:hAnsi="Times New Roman"/>
              </w:rPr>
            </w:pPr>
            <w:r w:rsidRPr="00DC34FD">
              <w:rPr>
                <w:rFonts w:ascii="Times New Roman" w:hAnsi="Times New Roman"/>
                <w:u w:val="single"/>
              </w:rPr>
              <w:t>RACA piedāvā</w:t>
            </w:r>
            <w:r w:rsidRPr="00DC34FD">
              <w:rPr>
                <w:rFonts w:ascii="Times New Roman" w:hAnsi="Times New Roman"/>
              </w:rPr>
              <w:t xml:space="preserve"> noteikumu projekta 20. punktu izteikt sekojošā redakcijā: „publisko spēļu laukumu un tajos uzstādīto spēļu vai citu aktivitāšu iekārtu </w:t>
            </w:r>
            <w:proofErr w:type="spellStart"/>
            <w:r w:rsidRPr="00DC34FD">
              <w:rPr>
                <w:rFonts w:ascii="Times New Roman" w:hAnsi="Times New Roman"/>
              </w:rPr>
              <w:t>pēcuzstādīšanas</w:t>
            </w:r>
            <w:proofErr w:type="spellEnd"/>
            <w:r w:rsidRPr="00DC34FD">
              <w:rPr>
                <w:rFonts w:ascii="Times New Roman" w:hAnsi="Times New Roman"/>
              </w:rPr>
              <w:t xml:space="preserve"> pārbaudi veic Nacionālajā akreditācijas institūcijā akreditēts pārbaudes veicējs, vai Publiskā spēļu laukuma īpašnieka izveidota komisija.” </w:t>
            </w:r>
          </w:p>
          <w:p w14:paraId="0E58DA17" w14:textId="6061C493" w:rsidR="00CC1581" w:rsidRPr="00DC34FD" w:rsidRDefault="00CC1581" w:rsidP="00A40E32">
            <w:pPr>
              <w:pStyle w:val="CommentText"/>
              <w:spacing w:before="60" w:after="0"/>
              <w:jc w:val="both"/>
              <w:rPr>
                <w:b/>
                <w:sz w:val="22"/>
                <w:szCs w:val="22"/>
              </w:rPr>
            </w:pPr>
            <w:r w:rsidRPr="00DC34FD">
              <w:rPr>
                <w:sz w:val="22"/>
                <w:szCs w:val="22"/>
              </w:rPr>
              <w:t xml:space="preserve">RACA norāda, ka šajā punktā noteiktās prasības, ka publisko spēļu laukumu un tajos    uzstādīto spēļu vai citu aktivitāšu iekārtu </w:t>
            </w:r>
            <w:proofErr w:type="spellStart"/>
            <w:r w:rsidRPr="00DC34FD">
              <w:rPr>
                <w:sz w:val="22"/>
                <w:szCs w:val="22"/>
              </w:rPr>
              <w:t>pēcuzstādīšanas</w:t>
            </w:r>
            <w:proofErr w:type="spellEnd"/>
            <w:r w:rsidRPr="00DC34FD">
              <w:rPr>
                <w:sz w:val="22"/>
                <w:szCs w:val="22"/>
              </w:rPr>
              <w:t xml:space="preserve"> pārbaudi veic Nacionālajā akreditācijas institūcijā akreditēts pārbaudes veicējs, ir nesamērīgas un prasa būtiskus papildus finanšu resursus.</w:t>
            </w:r>
          </w:p>
        </w:tc>
        <w:tc>
          <w:tcPr>
            <w:tcW w:w="2410" w:type="dxa"/>
            <w:gridSpan w:val="2"/>
            <w:vMerge/>
            <w:tcBorders>
              <w:left w:val="single" w:sz="4" w:space="0" w:color="auto"/>
              <w:right w:val="single" w:sz="4" w:space="0" w:color="auto"/>
            </w:tcBorders>
          </w:tcPr>
          <w:p w14:paraId="01B34DDF" w14:textId="77777777" w:rsidR="00CC1581" w:rsidRPr="00DC34FD" w:rsidRDefault="00CC1581" w:rsidP="00A40E32">
            <w:pPr>
              <w:pStyle w:val="naisc"/>
              <w:spacing w:before="0" w:after="0"/>
              <w:jc w:val="both"/>
              <w:rPr>
                <w:b/>
                <w:sz w:val="22"/>
                <w:szCs w:val="22"/>
              </w:rPr>
            </w:pPr>
          </w:p>
        </w:tc>
        <w:tc>
          <w:tcPr>
            <w:tcW w:w="4652" w:type="dxa"/>
            <w:vMerge/>
            <w:tcBorders>
              <w:left w:val="single" w:sz="4" w:space="0" w:color="auto"/>
            </w:tcBorders>
          </w:tcPr>
          <w:p w14:paraId="56BF0940" w14:textId="77777777" w:rsidR="00CC1581" w:rsidRPr="00DC34FD" w:rsidRDefault="00CC1581" w:rsidP="00A40E32">
            <w:pPr>
              <w:spacing w:after="0" w:line="240" w:lineRule="auto"/>
              <w:jc w:val="both"/>
              <w:rPr>
                <w:rFonts w:ascii="Times New Roman" w:hAnsi="Times New Roman" w:cs="Times New Roman"/>
              </w:rPr>
            </w:pPr>
          </w:p>
        </w:tc>
      </w:tr>
      <w:tr w:rsidR="00CC1581" w:rsidRPr="00DC34FD" w14:paraId="01BC0BE3" w14:textId="77777777" w:rsidTr="00AF11CB">
        <w:trPr>
          <w:trHeight w:val="4984"/>
        </w:trPr>
        <w:tc>
          <w:tcPr>
            <w:tcW w:w="742" w:type="dxa"/>
            <w:vMerge/>
            <w:tcBorders>
              <w:left w:val="single" w:sz="4" w:space="0" w:color="auto"/>
              <w:right w:val="single" w:sz="4" w:space="0" w:color="auto"/>
            </w:tcBorders>
          </w:tcPr>
          <w:p w14:paraId="2CA901A9" w14:textId="77777777" w:rsidR="00CC1581" w:rsidRPr="00DC34FD" w:rsidRDefault="00CC1581"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6AB17B3F" w14:textId="77777777" w:rsidR="00CC1581" w:rsidRPr="00DC34FD" w:rsidRDefault="00CC1581"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68018D63" w14:textId="5ADC981A" w:rsidR="00CC1581" w:rsidRPr="00DC34FD" w:rsidRDefault="00CC1581"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 xml:space="preserve">SIA </w:t>
            </w:r>
            <w:proofErr w:type="spellStart"/>
            <w:r w:rsidRPr="00DC34FD">
              <w:rPr>
                <w:rFonts w:ascii="Calibri" w:hAnsi="Calibri" w:cs="Calibri"/>
                <w:b/>
                <w:bCs/>
                <w:color w:val="000000"/>
                <w:sz w:val="23"/>
                <w:szCs w:val="23"/>
                <w:lang w:val="en-US"/>
              </w:rPr>
              <w:t>Jūrmalas</w:t>
            </w:r>
            <w:proofErr w:type="spellEnd"/>
            <w:r w:rsidRPr="00DC34FD">
              <w:rPr>
                <w:rFonts w:ascii="Calibri" w:hAnsi="Calibri" w:cs="Calibri"/>
                <w:b/>
                <w:bCs/>
                <w:color w:val="000000"/>
                <w:sz w:val="23"/>
                <w:szCs w:val="23"/>
                <w:lang w:val="en-US"/>
              </w:rPr>
              <w:t xml:space="preserve"> </w:t>
            </w:r>
            <w:proofErr w:type="spellStart"/>
            <w:r w:rsidRPr="00DC34FD">
              <w:rPr>
                <w:rFonts w:ascii="Calibri" w:hAnsi="Calibri" w:cs="Calibri"/>
                <w:b/>
                <w:bCs/>
                <w:color w:val="000000"/>
                <w:sz w:val="23"/>
                <w:szCs w:val="23"/>
                <w:lang w:val="en-US"/>
              </w:rPr>
              <w:t>Mežaparki</w:t>
            </w:r>
            <w:proofErr w:type="spellEnd"/>
          </w:p>
          <w:p w14:paraId="1E9A0CFF" w14:textId="5BC3FFAD" w:rsidR="00CC1581" w:rsidRPr="00DC34FD" w:rsidRDefault="00CC1581"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 xml:space="preserve">SIA </w:t>
            </w:r>
            <w:proofErr w:type="spellStart"/>
            <w:r w:rsidRPr="00DC34FD">
              <w:rPr>
                <w:rFonts w:ascii="Calibri" w:hAnsi="Calibri" w:cs="Calibri"/>
                <w:b/>
                <w:bCs/>
                <w:color w:val="000000"/>
                <w:sz w:val="23"/>
                <w:szCs w:val="23"/>
                <w:lang w:val="en-US"/>
              </w:rPr>
              <w:t>Fixman</w:t>
            </w:r>
            <w:proofErr w:type="spellEnd"/>
          </w:p>
          <w:p w14:paraId="16F15A0C" w14:textId="09346EB6" w:rsidR="00CC1581" w:rsidRPr="00DC34FD" w:rsidRDefault="00CC1581"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SIA KSIL Baltic</w:t>
            </w:r>
          </w:p>
          <w:p w14:paraId="68C02EBC" w14:textId="77777777" w:rsidR="00CC1581" w:rsidRPr="00DC34FD" w:rsidRDefault="00CC1581" w:rsidP="00A40E32">
            <w:pPr>
              <w:pStyle w:val="CommentText"/>
              <w:spacing w:before="60" w:after="0"/>
              <w:jc w:val="center"/>
              <w:rPr>
                <w:rFonts w:ascii="Calibri" w:eastAsiaTheme="minorHAnsi" w:hAnsi="Calibri" w:cs="Calibri"/>
                <w:b/>
                <w:bCs/>
                <w:color w:val="000000"/>
                <w:sz w:val="23"/>
                <w:szCs w:val="23"/>
                <w:lang w:val="en-US"/>
              </w:rPr>
            </w:pPr>
            <w:r w:rsidRPr="00DC34FD">
              <w:rPr>
                <w:rFonts w:ascii="Calibri" w:eastAsiaTheme="minorHAnsi" w:hAnsi="Calibri" w:cs="Calibri"/>
                <w:b/>
                <w:bCs/>
                <w:color w:val="000000"/>
                <w:sz w:val="23"/>
                <w:szCs w:val="23"/>
                <w:lang w:val="en-US"/>
              </w:rPr>
              <w:t>SIA JLD</w:t>
            </w:r>
          </w:p>
          <w:p w14:paraId="58E28FAC" w14:textId="77777777" w:rsidR="00CC1581" w:rsidRPr="00DC34FD" w:rsidRDefault="00CC1581" w:rsidP="00A40E32">
            <w:pPr>
              <w:autoSpaceDE w:val="0"/>
              <w:autoSpaceDN w:val="0"/>
              <w:adjustRightInd w:val="0"/>
              <w:spacing w:after="0" w:line="240" w:lineRule="auto"/>
              <w:rPr>
                <w:rFonts w:ascii="Calibri" w:hAnsi="Calibri" w:cs="Calibri"/>
                <w:color w:val="000000"/>
                <w:sz w:val="24"/>
                <w:szCs w:val="24"/>
                <w:lang w:val="en-US"/>
              </w:rPr>
            </w:pPr>
          </w:p>
          <w:p w14:paraId="7781EBB9" w14:textId="77777777" w:rsidR="00CC1581" w:rsidRPr="00DC34FD" w:rsidRDefault="00CC1581" w:rsidP="00A40E32">
            <w:pPr>
              <w:pStyle w:val="CommentText"/>
              <w:spacing w:before="60" w:after="0"/>
              <w:jc w:val="both"/>
              <w:rPr>
                <w:rFonts w:eastAsiaTheme="minorHAnsi"/>
                <w:color w:val="000000"/>
                <w:sz w:val="22"/>
                <w:szCs w:val="22"/>
              </w:rPr>
            </w:pPr>
            <w:r w:rsidRPr="00DC34FD">
              <w:rPr>
                <w:rFonts w:ascii="Calibri" w:eastAsiaTheme="minorHAnsi" w:hAnsi="Calibri" w:cs="Calibri"/>
                <w:color w:val="000000"/>
                <w:sz w:val="24"/>
                <w:szCs w:val="24"/>
                <w:lang w:val="en-US"/>
              </w:rPr>
              <w:t xml:space="preserve"> </w:t>
            </w:r>
            <w:r w:rsidRPr="00DC34FD">
              <w:rPr>
                <w:rFonts w:eastAsiaTheme="minorHAnsi"/>
                <w:color w:val="000000"/>
                <w:sz w:val="22"/>
                <w:szCs w:val="22"/>
              </w:rPr>
              <w:t xml:space="preserve">Šobrīd MK noteikumos paredzēts, ka </w:t>
            </w:r>
            <w:proofErr w:type="spellStart"/>
            <w:r w:rsidRPr="00DC34FD">
              <w:rPr>
                <w:rFonts w:eastAsiaTheme="minorHAnsi"/>
                <w:color w:val="000000"/>
                <w:sz w:val="22"/>
                <w:szCs w:val="22"/>
              </w:rPr>
              <w:t>pēcuzstādīšanas</w:t>
            </w:r>
            <w:proofErr w:type="spellEnd"/>
            <w:r w:rsidRPr="00DC34FD">
              <w:rPr>
                <w:rFonts w:eastAsiaTheme="minorHAnsi"/>
                <w:color w:val="000000"/>
                <w:sz w:val="22"/>
                <w:szCs w:val="22"/>
              </w:rPr>
              <w:t xml:space="preserve"> pārbaudi veic Nacionālajā akreditācijas institūcijā akreditēts pārbaudes veicējs (turpmāk – Pārbaudes veicējs), un saskaņā ar diskusiju laikā sniegtajiem komentāriem akreditēties varēs juridiskas personas. Šāda kārtība ir pretrunā gan ar pašu standartu būtību un standartu izstrādāju skaidrojumiem, gan arī rada nesamērīgu slogu šī pakalpojuma pircējam un nepamatoti ierobežo konkurenci.</w:t>
            </w:r>
          </w:p>
          <w:p w14:paraId="7DA37EFC" w14:textId="77777777" w:rsidR="00CC1581" w:rsidRPr="00DC34FD" w:rsidRDefault="00CC1581" w:rsidP="00A40E32">
            <w:pPr>
              <w:autoSpaceDE w:val="0"/>
              <w:autoSpaceDN w:val="0"/>
              <w:adjustRightInd w:val="0"/>
              <w:spacing w:after="0" w:line="240" w:lineRule="auto"/>
              <w:rPr>
                <w:rFonts w:ascii="Calibri" w:hAnsi="Calibri" w:cs="Calibri"/>
                <w:color w:val="000000"/>
                <w:sz w:val="24"/>
                <w:szCs w:val="24"/>
              </w:rPr>
            </w:pPr>
          </w:p>
          <w:p w14:paraId="044B89E7" w14:textId="124B34D5" w:rsidR="00CC1581" w:rsidRPr="00DC34FD" w:rsidRDefault="00CC1581" w:rsidP="00A40E32">
            <w:pPr>
              <w:numPr>
                <w:ilvl w:val="0"/>
                <w:numId w:val="18"/>
              </w:numPr>
              <w:autoSpaceDE w:val="0"/>
              <w:autoSpaceDN w:val="0"/>
              <w:adjustRightInd w:val="0"/>
              <w:spacing w:after="0" w:line="240" w:lineRule="auto"/>
              <w:rPr>
                <w:rFonts w:ascii="Times New Roman" w:hAnsi="Times New Roman" w:cs="Times New Roman"/>
                <w:color w:val="000000"/>
              </w:rPr>
            </w:pPr>
            <w:r w:rsidRPr="00DC34FD">
              <w:rPr>
                <w:rFonts w:ascii="Times New Roman" w:hAnsi="Times New Roman" w:cs="Times New Roman"/>
                <w:color w:val="000000"/>
              </w:rPr>
              <w:t xml:space="preserve">Noteikti arī vēršam uzmanību, ka </w:t>
            </w:r>
            <w:proofErr w:type="spellStart"/>
            <w:r w:rsidRPr="00DC34FD">
              <w:rPr>
                <w:rFonts w:ascii="Times New Roman" w:hAnsi="Times New Roman" w:cs="Times New Roman"/>
                <w:color w:val="000000"/>
              </w:rPr>
              <w:t>pēcuzstādīšanas</w:t>
            </w:r>
            <w:proofErr w:type="spellEnd"/>
            <w:r w:rsidRPr="00DC34FD">
              <w:rPr>
                <w:rFonts w:ascii="Times New Roman" w:hAnsi="Times New Roman" w:cs="Times New Roman"/>
                <w:color w:val="000000"/>
              </w:rPr>
              <w:t xml:space="preserve"> pārbaude nav lielākā problēma nozarē, bet MK noteikumu projektā tai ir uzlikts nesamērīgi lielākais slogs. </w:t>
            </w:r>
          </w:p>
          <w:p w14:paraId="369DDE88" w14:textId="77777777" w:rsidR="00CC1581" w:rsidRPr="00DC34FD" w:rsidRDefault="00CC1581" w:rsidP="00A40E32">
            <w:pPr>
              <w:autoSpaceDE w:val="0"/>
              <w:autoSpaceDN w:val="0"/>
              <w:adjustRightInd w:val="0"/>
              <w:spacing w:after="0" w:line="240" w:lineRule="auto"/>
              <w:rPr>
                <w:rFonts w:ascii="Calibri" w:hAnsi="Calibri" w:cs="Calibri"/>
                <w:color w:val="000000"/>
                <w:sz w:val="24"/>
                <w:szCs w:val="24"/>
              </w:rPr>
            </w:pPr>
          </w:p>
          <w:p w14:paraId="6A367A89" w14:textId="13C53783" w:rsidR="00CC1581" w:rsidRPr="00DC34FD" w:rsidRDefault="00CC1581" w:rsidP="00A40E32">
            <w:pPr>
              <w:numPr>
                <w:ilvl w:val="1"/>
                <w:numId w:val="18"/>
              </w:numPr>
              <w:autoSpaceDE w:val="0"/>
              <w:autoSpaceDN w:val="0"/>
              <w:adjustRightInd w:val="0"/>
              <w:spacing w:after="0" w:line="240" w:lineRule="auto"/>
              <w:jc w:val="both"/>
              <w:rPr>
                <w:rFonts w:ascii="Times New Roman" w:hAnsi="Times New Roman" w:cs="Times New Roman"/>
                <w:color w:val="000000"/>
              </w:rPr>
            </w:pPr>
            <w:r w:rsidRPr="00DC34FD">
              <w:rPr>
                <w:rFonts w:ascii="Times New Roman" w:hAnsi="Times New Roman" w:cs="Times New Roman"/>
                <w:color w:val="000000"/>
              </w:rPr>
              <w:t xml:space="preserve">Netiek uzsvērts fakts, ka vairums defektu ir radušies lietošanas un uzturēšanas laikā, un visdrīzāk uzstādīšanas brīdī laukums ir atbildis visiem EN1176 standartiem, kas tikai pierāda to, ka birokrātijas un izmaksu pārlikšanu un jaunu laukumu </w:t>
            </w:r>
            <w:proofErr w:type="spellStart"/>
            <w:r w:rsidRPr="00DC34FD">
              <w:rPr>
                <w:rFonts w:ascii="Times New Roman" w:hAnsi="Times New Roman" w:cs="Times New Roman"/>
                <w:color w:val="000000"/>
              </w:rPr>
              <w:t>pēcuzstādīšanas</w:t>
            </w:r>
            <w:proofErr w:type="spellEnd"/>
            <w:r w:rsidRPr="00DC34FD">
              <w:rPr>
                <w:rFonts w:ascii="Times New Roman" w:hAnsi="Times New Roman" w:cs="Times New Roman"/>
                <w:color w:val="000000"/>
              </w:rPr>
              <w:t xml:space="preserve"> pārbaudēm ir nepamatota un nekā neuzlabotu šo minēto statistiku (to uzlabo citi MK noteikumu punkti, kas ir atzīstami). </w:t>
            </w:r>
          </w:p>
          <w:p w14:paraId="35D20B56" w14:textId="5E15704C" w:rsidR="00CC1581" w:rsidRPr="00DC34FD" w:rsidRDefault="00CC1581" w:rsidP="00A40E32">
            <w:pPr>
              <w:pStyle w:val="CommentText"/>
              <w:spacing w:before="60" w:after="0"/>
              <w:jc w:val="both"/>
              <w:rPr>
                <w:color w:val="000000"/>
                <w:sz w:val="22"/>
                <w:szCs w:val="22"/>
              </w:rPr>
            </w:pPr>
          </w:p>
        </w:tc>
        <w:tc>
          <w:tcPr>
            <w:tcW w:w="2410" w:type="dxa"/>
            <w:gridSpan w:val="2"/>
            <w:vMerge/>
            <w:tcBorders>
              <w:left w:val="single" w:sz="4" w:space="0" w:color="auto"/>
              <w:right w:val="single" w:sz="4" w:space="0" w:color="auto"/>
            </w:tcBorders>
          </w:tcPr>
          <w:p w14:paraId="5609A7D9" w14:textId="77777777" w:rsidR="00CC1581" w:rsidRPr="00DC34FD" w:rsidRDefault="00CC1581" w:rsidP="00A40E32">
            <w:pPr>
              <w:pStyle w:val="naisc"/>
              <w:spacing w:before="0" w:after="0"/>
              <w:rPr>
                <w:b/>
                <w:sz w:val="22"/>
                <w:szCs w:val="22"/>
              </w:rPr>
            </w:pPr>
          </w:p>
        </w:tc>
        <w:tc>
          <w:tcPr>
            <w:tcW w:w="4652" w:type="dxa"/>
            <w:vMerge/>
            <w:tcBorders>
              <w:left w:val="single" w:sz="4" w:space="0" w:color="auto"/>
            </w:tcBorders>
          </w:tcPr>
          <w:p w14:paraId="4B792638" w14:textId="77777777" w:rsidR="00CC1581" w:rsidRPr="00DC34FD" w:rsidRDefault="00CC1581" w:rsidP="00A40E32">
            <w:pPr>
              <w:spacing w:after="0" w:line="240" w:lineRule="auto"/>
              <w:jc w:val="center"/>
              <w:rPr>
                <w:rFonts w:ascii="Times New Roman" w:hAnsi="Times New Roman" w:cs="Times New Roman"/>
              </w:rPr>
            </w:pPr>
          </w:p>
        </w:tc>
      </w:tr>
      <w:tr w:rsidR="00CC1581" w:rsidRPr="00DC34FD" w14:paraId="6DD7EA08" w14:textId="77777777" w:rsidTr="00AF11CB">
        <w:trPr>
          <w:trHeight w:val="915"/>
        </w:trPr>
        <w:tc>
          <w:tcPr>
            <w:tcW w:w="742" w:type="dxa"/>
            <w:vMerge/>
            <w:tcBorders>
              <w:left w:val="single" w:sz="4" w:space="0" w:color="auto"/>
              <w:right w:val="single" w:sz="4" w:space="0" w:color="auto"/>
            </w:tcBorders>
          </w:tcPr>
          <w:p w14:paraId="1887DB13" w14:textId="77777777" w:rsidR="00CC1581" w:rsidRPr="00DC34FD" w:rsidRDefault="00CC1581"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2EEC31EF" w14:textId="77777777" w:rsidR="00CC1581" w:rsidRPr="00DC34FD" w:rsidRDefault="00CC1581"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44E65ECA" w14:textId="74FA2442" w:rsidR="00CC1581" w:rsidRPr="00DC34FD" w:rsidRDefault="00CC1581" w:rsidP="00A40E32">
            <w:pPr>
              <w:autoSpaceDE w:val="0"/>
              <w:autoSpaceDN w:val="0"/>
              <w:adjustRightInd w:val="0"/>
              <w:spacing w:after="0" w:line="240" w:lineRule="auto"/>
              <w:jc w:val="center"/>
              <w:rPr>
                <w:rFonts w:ascii="Times New Roman" w:hAnsi="Times New Roman" w:cs="Times New Roman"/>
                <w:bCs/>
                <w:color w:val="000000"/>
              </w:rPr>
            </w:pPr>
            <w:r w:rsidRPr="00DC34FD">
              <w:rPr>
                <w:rFonts w:ascii="Times New Roman" w:hAnsi="Times New Roman" w:cs="Times New Roman"/>
                <w:b/>
                <w:bCs/>
                <w:color w:val="000000"/>
              </w:rPr>
              <w:t xml:space="preserve">SIA </w:t>
            </w:r>
            <w:proofErr w:type="spellStart"/>
            <w:r w:rsidRPr="00DC34FD">
              <w:rPr>
                <w:rFonts w:ascii="Times New Roman" w:hAnsi="Times New Roman" w:cs="Times New Roman"/>
                <w:b/>
                <w:bCs/>
                <w:color w:val="000000"/>
              </w:rPr>
              <w:t>Bureau</w:t>
            </w:r>
            <w:proofErr w:type="spellEnd"/>
            <w:r w:rsidRPr="00DC34FD">
              <w:rPr>
                <w:rFonts w:ascii="Times New Roman" w:hAnsi="Times New Roman" w:cs="Times New Roman"/>
                <w:b/>
                <w:bCs/>
                <w:color w:val="000000"/>
              </w:rPr>
              <w:t> Veritas Latvia</w:t>
            </w:r>
          </w:p>
          <w:p w14:paraId="364462FC" w14:textId="64FC7A22" w:rsidR="00CC1581" w:rsidRPr="00DC34FD" w:rsidRDefault="00CC1581" w:rsidP="00A40E32">
            <w:pPr>
              <w:autoSpaceDE w:val="0"/>
              <w:autoSpaceDN w:val="0"/>
              <w:adjustRightInd w:val="0"/>
              <w:spacing w:after="0" w:line="240" w:lineRule="auto"/>
              <w:jc w:val="both"/>
              <w:rPr>
                <w:rFonts w:ascii="Times New Roman" w:hAnsi="Times New Roman" w:cs="Times New Roman"/>
                <w:bCs/>
                <w:color w:val="000000"/>
              </w:rPr>
            </w:pPr>
            <w:r w:rsidRPr="00DC34FD">
              <w:rPr>
                <w:rFonts w:ascii="Times New Roman" w:hAnsi="Times New Roman" w:cs="Times New Roman"/>
                <w:bCs/>
                <w:color w:val="000000"/>
              </w:rPr>
              <w:t>Vēlamies vērst uzmanību, vai nebūtu lietderīgi, ka laukumu periodiski novērtē akreditēta institūcija. Ja ne katru gadu, tad varbūt reizi trīs gados. Jo tomēr pastāv liels risks, ka pats pārvaldītājs nespēs laukumu novērtēt pienācīgi, kad tas būs nokalpojis.</w:t>
            </w:r>
          </w:p>
        </w:tc>
        <w:tc>
          <w:tcPr>
            <w:tcW w:w="2410" w:type="dxa"/>
            <w:gridSpan w:val="2"/>
            <w:vMerge/>
            <w:tcBorders>
              <w:left w:val="single" w:sz="4" w:space="0" w:color="auto"/>
              <w:right w:val="single" w:sz="4" w:space="0" w:color="auto"/>
            </w:tcBorders>
          </w:tcPr>
          <w:p w14:paraId="78962A1F" w14:textId="77777777" w:rsidR="00CC1581" w:rsidRPr="00DC34FD" w:rsidRDefault="00CC1581" w:rsidP="00A40E32">
            <w:pPr>
              <w:pStyle w:val="naisc"/>
              <w:spacing w:before="0" w:after="0"/>
              <w:rPr>
                <w:b/>
                <w:sz w:val="22"/>
                <w:szCs w:val="22"/>
              </w:rPr>
            </w:pPr>
          </w:p>
        </w:tc>
        <w:tc>
          <w:tcPr>
            <w:tcW w:w="4652" w:type="dxa"/>
            <w:vMerge/>
            <w:tcBorders>
              <w:left w:val="single" w:sz="4" w:space="0" w:color="auto"/>
            </w:tcBorders>
          </w:tcPr>
          <w:p w14:paraId="33DAD987" w14:textId="77777777" w:rsidR="00CC1581" w:rsidRPr="00DC34FD" w:rsidRDefault="00CC1581" w:rsidP="00A40E32">
            <w:pPr>
              <w:spacing w:after="0" w:line="240" w:lineRule="auto"/>
              <w:jc w:val="center"/>
              <w:rPr>
                <w:rFonts w:ascii="Times New Roman" w:hAnsi="Times New Roman" w:cs="Times New Roman"/>
              </w:rPr>
            </w:pPr>
          </w:p>
        </w:tc>
      </w:tr>
      <w:tr w:rsidR="00CC1581" w:rsidRPr="00DC34FD" w14:paraId="22C8C271" w14:textId="77777777" w:rsidTr="00AF11CB">
        <w:trPr>
          <w:trHeight w:val="915"/>
        </w:trPr>
        <w:tc>
          <w:tcPr>
            <w:tcW w:w="742" w:type="dxa"/>
            <w:vMerge/>
            <w:tcBorders>
              <w:left w:val="single" w:sz="4" w:space="0" w:color="auto"/>
              <w:bottom w:val="single" w:sz="4" w:space="0" w:color="auto"/>
              <w:right w:val="single" w:sz="4" w:space="0" w:color="auto"/>
            </w:tcBorders>
          </w:tcPr>
          <w:p w14:paraId="6FD9CE3C" w14:textId="77777777" w:rsidR="00CC1581" w:rsidRPr="00DC34FD" w:rsidRDefault="00CC1581"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11C9C4DE" w14:textId="77777777" w:rsidR="00CC1581" w:rsidRPr="00DC34FD" w:rsidRDefault="00CC1581"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1F8EE1F0" w14:textId="77777777" w:rsidR="00CC1581" w:rsidRPr="00DC34FD" w:rsidRDefault="00CC1581" w:rsidP="00CC1581">
            <w:pPr>
              <w:pStyle w:val="CommentText"/>
              <w:spacing w:before="60" w:after="0"/>
              <w:jc w:val="center"/>
              <w:rPr>
                <w:b/>
                <w:sz w:val="22"/>
                <w:szCs w:val="22"/>
              </w:rPr>
            </w:pPr>
            <w:r w:rsidRPr="00DC34FD">
              <w:rPr>
                <w:b/>
                <w:sz w:val="22"/>
                <w:szCs w:val="22"/>
              </w:rPr>
              <w:t xml:space="preserve">Latvijas Rūpnieku tehniskās drošības ekspertu apvienība – TUV </w:t>
            </w:r>
            <w:proofErr w:type="spellStart"/>
            <w:r w:rsidRPr="00DC34FD">
              <w:rPr>
                <w:b/>
                <w:sz w:val="22"/>
                <w:szCs w:val="22"/>
              </w:rPr>
              <w:t>Rheinland</w:t>
            </w:r>
            <w:proofErr w:type="spellEnd"/>
            <w:r w:rsidRPr="00DC34FD">
              <w:rPr>
                <w:b/>
                <w:sz w:val="22"/>
                <w:szCs w:val="22"/>
              </w:rPr>
              <w:t xml:space="preserve"> grupa</w:t>
            </w:r>
          </w:p>
          <w:p w14:paraId="04922FE0" w14:textId="4F5275B7" w:rsidR="00CC1581" w:rsidRPr="00DC34FD" w:rsidRDefault="00CC1581" w:rsidP="00CC1581">
            <w:pPr>
              <w:autoSpaceDE w:val="0"/>
              <w:autoSpaceDN w:val="0"/>
              <w:adjustRightInd w:val="0"/>
              <w:spacing w:after="0" w:line="240" w:lineRule="auto"/>
              <w:jc w:val="both"/>
              <w:rPr>
                <w:rFonts w:ascii="Times New Roman" w:hAnsi="Times New Roman" w:cs="Times New Roman"/>
                <w:bCs/>
                <w:color w:val="000000"/>
              </w:rPr>
            </w:pPr>
            <w:r w:rsidRPr="00DC34FD">
              <w:rPr>
                <w:rFonts w:ascii="Times New Roman" w:hAnsi="Times New Roman" w:cs="Times New Roman"/>
                <w:bCs/>
                <w:color w:val="000000"/>
              </w:rPr>
              <w:t>Noteikumu stāšanās spēkā termiņu būtu jānosaka ar pārejas periodu vismaz 6 mēnešus, jo nepieciešamas sagatavošanās darbības, piemēram, inspicēšanas institūcijām jāiziet akreditācijas procedūra.</w:t>
            </w:r>
          </w:p>
        </w:tc>
        <w:tc>
          <w:tcPr>
            <w:tcW w:w="2410" w:type="dxa"/>
            <w:gridSpan w:val="2"/>
            <w:vMerge/>
            <w:tcBorders>
              <w:left w:val="single" w:sz="4" w:space="0" w:color="auto"/>
              <w:bottom w:val="single" w:sz="4" w:space="0" w:color="auto"/>
              <w:right w:val="single" w:sz="4" w:space="0" w:color="auto"/>
            </w:tcBorders>
          </w:tcPr>
          <w:p w14:paraId="774352D4" w14:textId="77777777" w:rsidR="00CC1581" w:rsidRPr="00DC34FD" w:rsidRDefault="00CC1581" w:rsidP="00A40E32">
            <w:pPr>
              <w:pStyle w:val="naisc"/>
              <w:spacing w:before="0" w:after="0"/>
              <w:rPr>
                <w:b/>
                <w:sz w:val="22"/>
                <w:szCs w:val="22"/>
              </w:rPr>
            </w:pPr>
          </w:p>
        </w:tc>
        <w:tc>
          <w:tcPr>
            <w:tcW w:w="4652" w:type="dxa"/>
            <w:vMerge/>
            <w:tcBorders>
              <w:left w:val="single" w:sz="4" w:space="0" w:color="auto"/>
              <w:bottom w:val="single" w:sz="4" w:space="0" w:color="auto"/>
            </w:tcBorders>
          </w:tcPr>
          <w:p w14:paraId="6CCD8088" w14:textId="77777777" w:rsidR="00CC1581" w:rsidRPr="00DC34FD" w:rsidRDefault="00CC1581" w:rsidP="00A40E32">
            <w:pPr>
              <w:spacing w:after="0" w:line="240" w:lineRule="auto"/>
              <w:jc w:val="center"/>
              <w:rPr>
                <w:rFonts w:ascii="Times New Roman" w:hAnsi="Times New Roman" w:cs="Times New Roman"/>
              </w:rPr>
            </w:pPr>
          </w:p>
        </w:tc>
      </w:tr>
      <w:tr w:rsidR="00A40E32" w:rsidRPr="00DC34FD" w14:paraId="4CF5964D" w14:textId="77777777" w:rsidTr="00AF11CB">
        <w:tc>
          <w:tcPr>
            <w:tcW w:w="742" w:type="dxa"/>
            <w:tcBorders>
              <w:top w:val="single" w:sz="4" w:space="0" w:color="auto"/>
              <w:left w:val="single" w:sz="4" w:space="0" w:color="auto"/>
              <w:bottom w:val="single" w:sz="4" w:space="0" w:color="auto"/>
              <w:right w:val="single" w:sz="4" w:space="0" w:color="auto"/>
            </w:tcBorders>
          </w:tcPr>
          <w:p w14:paraId="57328844" w14:textId="510F0430"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26.</w:t>
            </w:r>
          </w:p>
        </w:tc>
        <w:tc>
          <w:tcPr>
            <w:tcW w:w="3370" w:type="dxa"/>
            <w:gridSpan w:val="2"/>
            <w:tcBorders>
              <w:top w:val="single" w:sz="4" w:space="0" w:color="auto"/>
              <w:left w:val="single" w:sz="4" w:space="0" w:color="auto"/>
              <w:bottom w:val="single" w:sz="4" w:space="0" w:color="auto"/>
              <w:right w:val="single" w:sz="4" w:space="0" w:color="auto"/>
            </w:tcBorders>
          </w:tcPr>
          <w:p w14:paraId="13F61C60" w14:textId="24576DB2" w:rsidR="00A40E32" w:rsidRPr="00DC34FD" w:rsidRDefault="00A40E32" w:rsidP="00A40E32">
            <w:pPr>
              <w:pStyle w:val="tv213"/>
              <w:shd w:val="clear" w:color="auto" w:fill="FFFFFF"/>
              <w:spacing w:before="0" w:beforeAutospacing="0" w:after="0" w:afterAutospacing="0"/>
              <w:jc w:val="both"/>
              <w:rPr>
                <w:sz w:val="22"/>
                <w:szCs w:val="22"/>
              </w:rPr>
            </w:pPr>
            <w:r w:rsidRPr="00DC34FD">
              <w:rPr>
                <w:sz w:val="22"/>
                <w:szCs w:val="22"/>
              </w:rPr>
              <w:t xml:space="preserve">21. Pārbaudes veicējs </w:t>
            </w:r>
            <w:proofErr w:type="spellStart"/>
            <w:r w:rsidRPr="00DC34FD">
              <w:rPr>
                <w:sz w:val="22"/>
                <w:szCs w:val="22"/>
              </w:rPr>
              <w:t>pēcuzstādīšanas</w:t>
            </w:r>
            <w:proofErr w:type="spellEnd"/>
            <w:r w:rsidRPr="00DC34FD">
              <w:rPr>
                <w:sz w:val="22"/>
                <w:szCs w:val="22"/>
              </w:rPr>
              <w:t xml:space="preserve"> pārbaudes laikā: (par 21. punktu kopumā)</w:t>
            </w:r>
          </w:p>
          <w:p w14:paraId="48A26DE5" w14:textId="77777777" w:rsidR="00A40E32" w:rsidRPr="00DC34FD" w:rsidRDefault="00A40E32" w:rsidP="00A40E32">
            <w:pPr>
              <w:pStyle w:val="tv213"/>
              <w:shd w:val="clear" w:color="auto" w:fill="FFFFFF"/>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28DCC729" w14:textId="77777777"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63AB3D07" w14:textId="77777777" w:rsidR="00A40E32" w:rsidRPr="00DC34FD" w:rsidRDefault="00A40E32" w:rsidP="00A40E32">
            <w:pPr>
              <w:pStyle w:val="CommentText"/>
              <w:jc w:val="both"/>
              <w:rPr>
                <w:sz w:val="22"/>
                <w:szCs w:val="22"/>
              </w:rPr>
            </w:pPr>
            <w:r w:rsidRPr="00DC34FD">
              <w:rPr>
                <w:sz w:val="22"/>
                <w:szCs w:val="22"/>
              </w:rPr>
              <w:t xml:space="preserve">Vēršam uzmanību, ka līdz šim atsevišķās pašvaldībās 21. punkta apakšpunktos minētās darbības, pieņemot spēļu laukumu ekspluatācijā, veikusi pašvaldību būvvalde. </w:t>
            </w:r>
          </w:p>
          <w:p w14:paraId="3B51318D" w14:textId="77777777" w:rsidR="00A40E32" w:rsidRPr="00DC34FD" w:rsidRDefault="00A40E32" w:rsidP="00A40E32">
            <w:pPr>
              <w:pStyle w:val="CommentText"/>
              <w:jc w:val="both"/>
              <w:rPr>
                <w:sz w:val="22"/>
                <w:szCs w:val="22"/>
              </w:rPr>
            </w:pPr>
            <w:r w:rsidRPr="00DC34FD">
              <w:rPr>
                <w:sz w:val="22"/>
                <w:szCs w:val="22"/>
              </w:rPr>
              <w:t>Balstoties uz šo normatīvo aktu pārbaudes veicējs nevarēs pieprasīt, lai tiktu ievēroti drošības standarti, kas minēti šī normatīvā akta anotācijā, savukārt 1. pielikumā “Specifiskās drošības prasības” ir ļoti vispārīgas, līdz ar to apstrīdamas un neko neizsakošas.</w:t>
            </w:r>
          </w:p>
          <w:p w14:paraId="1A5ED830" w14:textId="34E6B94D" w:rsidR="00A40E32" w:rsidRPr="00DC34FD" w:rsidRDefault="00A40E32" w:rsidP="00A40E32">
            <w:pPr>
              <w:jc w:val="both"/>
              <w:rPr>
                <w:rFonts w:ascii="Times New Roman" w:hAnsi="Times New Roman" w:cs="Times New Roman"/>
              </w:rPr>
            </w:pPr>
            <w:r w:rsidRPr="00DC34FD">
              <w:rPr>
                <w:rFonts w:ascii="Times New Roman" w:hAnsi="Times New Roman" w:cs="Times New Roman"/>
              </w:rPr>
              <w:t>Lūdzam detalizētāk skaidrot, kāda turpmāk būs būvvaldes kompetence šajā jautājumā.</w:t>
            </w:r>
          </w:p>
        </w:tc>
        <w:tc>
          <w:tcPr>
            <w:tcW w:w="2410" w:type="dxa"/>
            <w:gridSpan w:val="2"/>
            <w:tcBorders>
              <w:top w:val="single" w:sz="4" w:space="0" w:color="auto"/>
              <w:left w:val="single" w:sz="4" w:space="0" w:color="auto"/>
              <w:bottom w:val="single" w:sz="4" w:space="0" w:color="auto"/>
              <w:right w:val="single" w:sz="4" w:space="0" w:color="auto"/>
            </w:tcBorders>
          </w:tcPr>
          <w:p w14:paraId="7ED1D9CE" w14:textId="77777777" w:rsidR="00A40E32" w:rsidRPr="00DC34FD" w:rsidRDefault="00A40E32" w:rsidP="00A40E32">
            <w:pPr>
              <w:pStyle w:val="naisc"/>
              <w:spacing w:before="0" w:after="0"/>
              <w:jc w:val="both"/>
              <w:rPr>
                <w:sz w:val="22"/>
                <w:szCs w:val="22"/>
              </w:rPr>
            </w:pPr>
            <w:r w:rsidRPr="00DC34FD">
              <w:rPr>
                <w:b/>
                <w:sz w:val="22"/>
                <w:szCs w:val="22"/>
              </w:rPr>
              <w:t>Panākta vienošanās.</w:t>
            </w:r>
            <w:r w:rsidRPr="00DC34FD">
              <w:rPr>
                <w:sz w:val="22"/>
                <w:szCs w:val="22"/>
              </w:rPr>
              <w:t xml:space="preserve"> Noteikumu projektā nosaka pamatprasības. Tehniskos raksturlielumus satur standarti, kuru piemērošana nodrošina atbilstības prezumpciju. Pārbaudes veicējam nav jāpieprasa, lai tiktu ievēroti standarti. Tas sniegs atzinumu par to, vai ir izpildītas Noteikumu projektā paredzētās pamatprasības, vai nav. Valdītājs var izlemt, vai un kādus standartus piemērot, lai gūtu </w:t>
            </w:r>
            <w:r w:rsidRPr="00DC34FD">
              <w:rPr>
                <w:sz w:val="22"/>
                <w:szCs w:val="22"/>
              </w:rPr>
              <w:lastRenderedPageBreak/>
              <w:t>prezumpciju, ka Noteikumu projekta pamatprasības būs izpildītas.</w:t>
            </w:r>
          </w:p>
          <w:p w14:paraId="439875CA" w14:textId="4F2AB093" w:rsidR="00A40E32" w:rsidRPr="00DC34FD" w:rsidRDefault="00A40E32" w:rsidP="00A40E32">
            <w:pPr>
              <w:pStyle w:val="naisc"/>
              <w:spacing w:before="0" w:after="0"/>
              <w:jc w:val="both"/>
              <w:rPr>
                <w:sz w:val="22"/>
                <w:szCs w:val="22"/>
              </w:rPr>
            </w:pPr>
            <w:r w:rsidRPr="00DC34FD">
              <w:rPr>
                <w:sz w:val="22"/>
                <w:szCs w:val="22"/>
              </w:rPr>
              <w:t xml:space="preserve">Būvvaldei pirms spēļu laukuma pieņemšanas ekspluatācijā būs jāpārbauda, vai ir veikta </w:t>
            </w:r>
            <w:proofErr w:type="spellStart"/>
            <w:r w:rsidRPr="00DC34FD">
              <w:rPr>
                <w:sz w:val="22"/>
                <w:szCs w:val="22"/>
              </w:rPr>
              <w:t>pēcuzstādīšanas</w:t>
            </w:r>
            <w:proofErr w:type="spellEnd"/>
            <w:r w:rsidRPr="00DC34FD">
              <w:rPr>
                <w:sz w:val="22"/>
                <w:szCs w:val="22"/>
              </w:rPr>
              <w:t xml:space="preserve"> pārbaude.</w:t>
            </w:r>
          </w:p>
        </w:tc>
        <w:tc>
          <w:tcPr>
            <w:tcW w:w="4652" w:type="dxa"/>
            <w:tcBorders>
              <w:top w:val="single" w:sz="4" w:space="0" w:color="auto"/>
              <w:left w:val="single" w:sz="4" w:space="0" w:color="auto"/>
              <w:bottom w:val="single" w:sz="4" w:space="0" w:color="auto"/>
            </w:tcBorders>
          </w:tcPr>
          <w:p w14:paraId="342462B3" w14:textId="77777777" w:rsidR="00A40E32" w:rsidRPr="00DC34FD" w:rsidRDefault="00A40E32" w:rsidP="00A40E32">
            <w:pPr>
              <w:spacing w:after="0" w:line="240" w:lineRule="auto"/>
              <w:jc w:val="both"/>
              <w:rPr>
                <w:rFonts w:ascii="Times New Roman" w:hAnsi="Times New Roman" w:cs="Times New Roman"/>
              </w:rPr>
            </w:pPr>
          </w:p>
          <w:p w14:paraId="453039A9" w14:textId="77777777" w:rsidR="00977564" w:rsidRPr="00DC34FD" w:rsidRDefault="00977564" w:rsidP="00977564">
            <w:pPr>
              <w:rPr>
                <w:rFonts w:ascii="Times New Roman" w:hAnsi="Times New Roman" w:cs="Times New Roman"/>
              </w:rPr>
            </w:pPr>
          </w:p>
          <w:p w14:paraId="14F03C5A" w14:textId="77777777" w:rsidR="00977564" w:rsidRPr="00DC34FD" w:rsidRDefault="00977564" w:rsidP="00977564">
            <w:pPr>
              <w:rPr>
                <w:rFonts w:ascii="Times New Roman" w:hAnsi="Times New Roman" w:cs="Times New Roman"/>
              </w:rPr>
            </w:pPr>
          </w:p>
          <w:p w14:paraId="6B7EC92A" w14:textId="77777777" w:rsidR="00977564" w:rsidRPr="00DC34FD" w:rsidRDefault="00977564" w:rsidP="00977564">
            <w:pPr>
              <w:rPr>
                <w:rFonts w:ascii="Times New Roman" w:hAnsi="Times New Roman" w:cs="Times New Roman"/>
              </w:rPr>
            </w:pPr>
          </w:p>
          <w:p w14:paraId="46674E49" w14:textId="66CB8412" w:rsidR="00977564" w:rsidRPr="00DC34FD" w:rsidRDefault="00977564" w:rsidP="00977564">
            <w:pPr>
              <w:rPr>
                <w:rFonts w:ascii="Times New Roman" w:hAnsi="Times New Roman" w:cs="Times New Roman"/>
              </w:rPr>
            </w:pPr>
          </w:p>
          <w:p w14:paraId="2896A193" w14:textId="77777777" w:rsidR="00977564" w:rsidRPr="00DC34FD" w:rsidRDefault="00977564" w:rsidP="00977564">
            <w:pPr>
              <w:rPr>
                <w:rFonts w:ascii="Times New Roman" w:hAnsi="Times New Roman" w:cs="Times New Roman"/>
              </w:rPr>
            </w:pPr>
          </w:p>
          <w:p w14:paraId="27B85CC4" w14:textId="77777777" w:rsidR="00977564" w:rsidRPr="00DC34FD" w:rsidRDefault="00977564" w:rsidP="00977564">
            <w:pPr>
              <w:rPr>
                <w:rFonts w:ascii="Times New Roman" w:hAnsi="Times New Roman" w:cs="Times New Roman"/>
              </w:rPr>
            </w:pPr>
          </w:p>
          <w:p w14:paraId="6AA6F622" w14:textId="77777777" w:rsidR="00977564" w:rsidRPr="00DC34FD" w:rsidRDefault="00977564" w:rsidP="00977564">
            <w:pPr>
              <w:rPr>
                <w:rFonts w:ascii="Times New Roman" w:hAnsi="Times New Roman" w:cs="Times New Roman"/>
              </w:rPr>
            </w:pPr>
          </w:p>
          <w:p w14:paraId="39CBEB51" w14:textId="77777777" w:rsidR="00977564" w:rsidRPr="00DC34FD" w:rsidRDefault="00977564" w:rsidP="00977564">
            <w:pPr>
              <w:rPr>
                <w:rFonts w:ascii="Times New Roman" w:hAnsi="Times New Roman" w:cs="Times New Roman"/>
              </w:rPr>
            </w:pPr>
          </w:p>
          <w:p w14:paraId="4AEBA3BE" w14:textId="79F851CE" w:rsidR="00977564" w:rsidRPr="00DC34FD" w:rsidRDefault="00977564" w:rsidP="00977564">
            <w:pPr>
              <w:rPr>
                <w:rFonts w:ascii="Times New Roman" w:hAnsi="Times New Roman" w:cs="Times New Roman"/>
              </w:rPr>
            </w:pPr>
          </w:p>
        </w:tc>
      </w:tr>
      <w:tr w:rsidR="00A40E32" w:rsidRPr="00DC34FD" w14:paraId="0F34DBB9" w14:textId="77777777" w:rsidTr="00AF11CB">
        <w:tc>
          <w:tcPr>
            <w:tcW w:w="742" w:type="dxa"/>
            <w:tcBorders>
              <w:top w:val="single" w:sz="4" w:space="0" w:color="auto"/>
              <w:left w:val="single" w:sz="4" w:space="0" w:color="auto"/>
              <w:bottom w:val="single" w:sz="4" w:space="0" w:color="auto"/>
              <w:right w:val="single" w:sz="4" w:space="0" w:color="auto"/>
            </w:tcBorders>
          </w:tcPr>
          <w:p w14:paraId="3B16A878" w14:textId="7BBAFB95"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27.</w:t>
            </w:r>
          </w:p>
        </w:tc>
        <w:tc>
          <w:tcPr>
            <w:tcW w:w="3370" w:type="dxa"/>
            <w:gridSpan w:val="2"/>
            <w:tcBorders>
              <w:top w:val="single" w:sz="4" w:space="0" w:color="auto"/>
              <w:left w:val="single" w:sz="4" w:space="0" w:color="auto"/>
              <w:bottom w:val="single" w:sz="4" w:space="0" w:color="auto"/>
              <w:right w:val="single" w:sz="4" w:space="0" w:color="auto"/>
            </w:tcBorders>
          </w:tcPr>
          <w:p w14:paraId="6F49D0C4" w14:textId="125F98F7" w:rsidR="00A40E32" w:rsidRPr="00DC34FD" w:rsidRDefault="00A40E32" w:rsidP="00A40E32">
            <w:pPr>
              <w:pStyle w:val="tv213"/>
              <w:shd w:val="clear" w:color="auto" w:fill="FFFFFF"/>
              <w:spacing w:before="0" w:beforeAutospacing="0" w:after="0" w:afterAutospacing="0"/>
              <w:jc w:val="both"/>
              <w:rPr>
                <w:sz w:val="22"/>
                <w:szCs w:val="22"/>
              </w:rPr>
            </w:pPr>
            <w:r w:rsidRPr="00DC34FD">
              <w:rPr>
                <w:sz w:val="22"/>
                <w:szCs w:val="22"/>
              </w:rPr>
              <w:t>21.3.</w:t>
            </w:r>
            <w:r w:rsidRPr="00DC34FD">
              <w:rPr>
                <w:sz w:val="22"/>
                <w:szCs w:val="22"/>
              </w:rPr>
              <w:tab/>
              <w:t>novērtē spēļu vai citu aktivitāšu iekārtas un publiskā spēļu laukuma atbilstību būtiskajām drošuma prasībām un, ja nepieciešams, veic triecienu mazinoša pārklājuma novērtējumu;</w:t>
            </w:r>
          </w:p>
        </w:tc>
        <w:tc>
          <w:tcPr>
            <w:tcW w:w="4311" w:type="dxa"/>
            <w:tcBorders>
              <w:top w:val="single" w:sz="4" w:space="0" w:color="auto"/>
              <w:left w:val="single" w:sz="4" w:space="0" w:color="auto"/>
              <w:bottom w:val="single" w:sz="4" w:space="0" w:color="auto"/>
              <w:right w:val="single" w:sz="4" w:space="0" w:color="auto"/>
            </w:tcBorders>
          </w:tcPr>
          <w:p w14:paraId="38D141B8" w14:textId="77777777"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787BF4F9" w14:textId="77777777" w:rsidR="00A40E32" w:rsidRPr="00DC34FD" w:rsidRDefault="00A40E32" w:rsidP="00A40E32">
            <w:pPr>
              <w:pStyle w:val="CommentText"/>
              <w:jc w:val="both"/>
              <w:rPr>
                <w:sz w:val="22"/>
                <w:szCs w:val="22"/>
                <w:lang w:eastAsia="lv-LV"/>
              </w:rPr>
            </w:pPr>
            <w:r w:rsidRPr="00DC34FD">
              <w:rPr>
                <w:sz w:val="22"/>
                <w:szCs w:val="22"/>
                <w:lang w:eastAsia="lv-LV"/>
              </w:rPr>
              <w:t>Lūdzam precizēt, kā tiks veikta triecienu mazinoša gumijas pārklājuma novērtēšana.</w:t>
            </w:r>
          </w:p>
          <w:p w14:paraId="7DDAF2D9" w14:textId="4671EBF8" w:rsidR="00A40E32" w:rsidRPr="00DC34FD" w:rsidRDefault="00A40E32" w:rsidP="00A40E32">
            <w:pPr>
              <w:jc w:val="both"/>
              <w:rPr>
                <w:rFonts w:ascii="Times New Roman" w:hAnsi="Times New Roman" w:cs="Times New Roman"/>
              </w:rPr>
            </w:pPr>
            <w:r w:rsidRPr="00DC34FD">
              <w:rPr>
                <w:rFonts w:ascii="Times New Roman" w:hAnsi="Times New Roman" w:cs="Times New Roman"/>
              </w:rPr>
              <w:t xml:space="preserve">Šajā punktā minēts, ka Nacionālajā akreditācijas institūcijā akreditēts pārbaudes veicējs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pārbaudes laikā novērtēs spēļu vai citu aktivitāšu iekārtas un publiskā spēļu laukuma atbilstību būtiskajām drošuma prasībām. Šajos noteikumos minētās būtiskās drošuma prasības, kas sevī ietver vispārējās drošuma prasības un specifiskās drošuma prasības, ir definētas ļoti vispārīgi. Vai kritēriji, pēc kuriem vadīsies pārbaudes veicējs būs brīvi pieejami un uzstādīšanas prasībās vienoti, līdz ar to, vai ar tiem varēs iepazīties projektētājs, pasūtītājs un būvvalde, lai nerastos situācijas, ka projektētājs ievērojot specifiskās drošuma prasības savā interpretācijā ir uzprojektējis rotaļu laukumu, kas ir pretrunā ar prasībām, pēc kurām tiks vērtēts jau izbūvēts rotaļu laukums.</w:t>
            </w:r>
          </w:p>
        </w:tc>
        <w:tc>
          <w:tcPr>
            <w:tcW w:w="2410" w:type="dxa"/>
            <w:gridSpan w:val="2"/>
            <w:tcBorders>
              <w:top w:val="single" w:sz="4" w:space="0" w:color="auto"/>
              <w:left w:val="single" w:sz="4" w:space="0" w:color="auto"/>
              <w:bottom w:val="single" w:sz="4" w:space="0" w:color="auto"/>
              <w:right w:val="single" w:sz="4" w:space="0" w:color="auto"/>
            </w:tcBorders>
          </w:tcPr>
          <w:p w14:paraId="13472BDD" w14:textId="1A739B6B" w:rsidR="00A40E32" w:rsidRPr="00DC34FD" w:rsidRDefault="00A40E32" w:rsidP="00A40E32">
            <w:pPr>
              <w:pStyle w:val="naisc"/>
              <w:spacing w:before="0" w:after="0"/>
              <w:jc w:val="both"/>
              <w:rPr>
                <w:sz w:val="22"/>
                <w:szCs w:val="22"/>
              </w:rPr>
            </w:pPr>
            <w:r w:rsidRPr="00DC34FD">
              <w:rPr>
                <w:b/>
                <w:sz w:val="22"/>
                <w:szCs w:val="22"/>
              </w:rPr>
              <w:t>Panākta vienošanās.</w:t>
            </w:r>
            <w:r w:rsidRPr="00DC34FD">
              <w:rPr>
                <w:sz w:val="22"/>
                <w:szCs w:val="22"/>
              </w:rPr>
              <w:t xml:space="preserve"> Noteikumu projektā nosaka pamatprasības. Tehniskos raksturlielumus satur standarti, kuru piemērošana nodrošina prezumpciju par atbilstību Noteikumu projekta vispārīgi definētajām pamatprasībām. </w:t>
            </w:r>
          </w:p>
          <w:p w14:paraId="601E0F8B" w14:textId="3B8F277C" w:rsidR="00A40E32" w:rsidRPr="00DC34FD" w:rsidRDefault="00A40E32" w:rsidP="00A40E32">
            <w:pPr>
              <w:pStyle w:val="naisc"/>
              <w:spacing w:before="0" w:after="0"/>
              <w:jc w:val="both"/>
              <w:rPr>
                <w:sz w:val="22"/>
                <w:szCs w:val="22"/>
              </w:rPr>
            </w:pPr>
            <w:r w:rsidRPr="00DC34FD">
              <w:rPr>
                <w:sz w:val="22"/>
                <w:szCs w:val="22"/>
              </w:rPr>
              <w:t>Spēļu laukumu drīkst projektēt arī pēc savas interpretācijas, taču atbilstība Noteikumu projekta pamatprasībām ir jānodrošina ne zemākā līmenī, kā to paredz piemērojamie standarti.</w:t>
            </w:r>
          </w:p>
          <w:p w14:paraId="53A37494" w14:textId="68800B87" w:rsidR="00A40E32" w:rsidRPr="00DC34FD" w:rsidRDefault="00A40E32" w:rsidP="00A40E32">
            <w:pPr>
              <w:pStyle w:val="naisc"/>
              <w:spacing w:before="0" w:after="0"/>
              <w:jc w:val="both"/>
              <w:rPr>
                <w:b/>
                <w:sz w:val="22"/>
                <w:szCs w:val="22"/>
              </w:rPr>
            </w:pPr>
          </w:p>
        </w:tc>
        <w:tc>
          <w:tcPr>
            <w:tcW w:w="4652" w:type="dxa"/>
            <w:tcBorders>
              <w:top w:val="single" w:sz="4" w:space="0" w:color="auto"/>
              <w:left w:val="single" w:sz="4" w:space="0" w:color="auto"/>
              <w:bottom w:val="single" w:sz="4" w:space="0" w:color="auto"/>
            </w:tcBorders>
          </w:tcPr>
          <w:p w14:paraId="40BC3472" w14:textId="725E1DDB" w:rsidR="00A40E32" w:rsidRPr="00DC34FD" w:rsidRDefault="00A40E32" w:rsidP="00A40E32">
            <w:pPr>
              <w:spacing w:after="0" w:line="240" w:lineRule="auto"/>
              <w:jc w:val="both"/>
              <w:rPr>
                <w:rFonts w:ascii="Times New Roman" w:hAnsi="Times New Roman" w:cs="Times New Roman"/>
              </w:rPr>
            </w:pPr>
            <w:r w:rsidRPr="00DC34FD">
              <w:rPr>
                <w:rFonts w:ascii="Times New Roman" w:hAnsi="Times New Roman" w:cs="Times New Roman"/>
              </w:rPr>
              <w:t>21.3.</w:t>
            </w:r>
            <w:r w:rsidRPr="00DC34FD">
              <w:rPr>
                <w:rFonts w:ascii="Times New Roman" w:hAnsi="Times New Roman" w:cs="Times New Roman"/>
              </w:rPr>
              <w:tab/>
              <w:t xml:space="preserve">novērtē spēļu vai citu aktivitāšu iekārtas un publiskā spēļu </w:t>
            </w:r>
            <w:r w:rsidR="00517238" w:rsidRPr="00DC34FD">
              <w:rPr>
                <w:rFonts w:ascii="Times New Roman" w:hAnsi="Times New Roman" w:cs="Times New Roman"/>
              </w:rPr>
              <w:t xml:space="preserve">un rekreācijas </w:t>
            </w:r>
            <w:r w:rsidRPr="00DC34FD">
              <w:rPr>
                <w:rFonts w:ascii="Times New Roman" w:hAnsi="Times New Roman" w:cs="Times New Roman"/>
              </w:rPr>
              <w:t>laukuma atbilstību drošuma prasībām un, ja nepieciešams, veic triecienu mazinoša pārklājuma novērtējumu;</w:t>
            </w:r>
          </w:p>
        </w:tc>
      </w:tr>
      <w:tr w:rsidR="00A40E32" w:rsidRPr="00DC34FD" w14:paraId="4B9C5F65" w14:textId="77777777" w:rsidTr="00AF11CB">
        <w:tc>
          <w:tcPr>
            <w:tcW w:w="742" w:type="dxa"/>
            <w:vMerge w:val="restart"/>
            <w:tcBorders>
              <w:top w:val="single" w:sz="4" w:space="0" w:color="auto"/>
              <w:left w:val="single" w:sz="4" w:space="0" w:color="auto"/>
              <w:right w:val="single" w:sz="4" w:space="0" w:color="auto"/>
            </w:tcBorders>
          </w:tcPr>
          <w:p w14:paraId="606BF551" w14:textId="77777777" w:rsidR="00A40E32" w:rsidRPr="00DC34FD" w:rsidRDefault="00A40E32" w:rsidP="00A40E32">
            <w:pPr>
              <w:spacing w:after="0" w:line="240" w:lineRule="auto"/>
              <w:jc w:val="center"/>
              <w:rPr>
                <w:rFonts w:ascii="Times New Roman" w:hAnsi="Times New Roman" w:cs="Times New Roman"/>
              </w:rPr>
            </w:pPr>
          </w:p>
          <w:p w14:paraId="7B26EB73" w14:textId="4F527F5C"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w:t>
            </w:r>
            <w:r w:rsidR="00A40E32" w:rsidRPr="00DC34FD">
              <w:rPr>
                <w:rFonts w:ascii="Times New Roman" w:hAnsi="Times New Roman" w:cs="Times New Roman"/>
              </w:rPr>
              <w:t>8.</w:t>
            </w:r>
          </w:p>
        </w:tc>
        <w:tc>
          <w:tcPr>
            <w:tcW w:w="3370" w:type="dxa"/>
            <w:gridSpan w:val="2"/>
            <w:vMerge w:val="restart"/>
            <w:tcBorders>
              <w:top w:val="single" w:sz="4" w:space="0" w:color="auto"/>
              <w:left w:val="single" w:sz="4" w:space="0" w:color="auto"/>
              <w:right w:val="single" w:sz="4" w:space="0" w:color="auto"/>
            </w:tcBorders>
          </w:tcPr>
          <w:p w14:paraId="1F2393CA" w14:textId="074F5E7A" w:rsidR="00A40E32" w:rsidRPr="00DC34FD" w:rsidRDefault="00A40E32" w:rsidP="00A40E32">
            <w:pPr>
              <w:tabs>
                <w:tab w:val="left" w:pos="993"/>
              </w:tabs>
              <w:spacing w:after="0" w:line="240" w:lineRule="auto"/>
              <w:jc w:val="both"/>
              <w:rPr>
                <w:rFonts w:ascii="Times New Roman" w:hAnsi="Times New Roman" w:cs="Times New Roman"/>
              </w:rPr>
            </w:pPr>
            <w:r w:rsidRPr="00DC34FD">
              <w:rPr>
                <w:rFonts w:ascii="Times New Roman" w:hAnsi="Times New Roman" w:cs="Times New Roman"/>
              </w:rPr>
              <w:t xml:space="preserve">22. </w:t>
            </w:r>
            <w:proofErr w:type="spellStart"/>
            <w:r w:rsidRPr="00DC34FD">
              <w:rPr>
                <w:rFonts w:ascii="Times New Roman" w:hAnsi="Times New Roman" w:cs="Times New Roman"/>
              </w:rPr>
              <w:t>Pēcuzstādīšanas</w:t>
            </w:r>
            <w:proofErr w:type="spellEnd"/>
            <w:r w:rsidRPr="00DC34FD">
              <w:rPr>
                <w:rFonts w:ascii="Times New Roman" w:hAnsi="Times New Roman" w:cs="Times New Roman"/>
              </w:rPr>
              <w:t xml:space="preserve"> pārbaudi organizē un apmaksā spēļu vai citu aktivitāšu iekārtu vai publiskā spēļu laukuma valdītājs.</w:t>
            </w:r>
          </w:p>
        </w:tc>
        <w:tc>
          <w:tcPr>
            <w:tcW w:w="4311" w:type="dxa"/>
            <w:tcBorders>
              <w:top w:val="single" w:sz="4" w:space="0" w:color="auto"/>
              <w:left w:val="single" w:sz="4" w:space="0" w:color="auto"/>
              <w:bottom w:val="single" w:sz="4" w:space="0" w:color="auto"/>
              <w:right w:val="single" w:sz="4" w:space="0" w:color="auto"/>
            </w:tcBorders>
          </w:tcPr>
          <w:p w14:paraId="5EE40B46" w14:textId="77777777" w:rsidR="00A40E32" w:rsidRPr="00DC34FD" w:rsidRDefault="00A40E32" w:rsidP="00A40E32">
            <w:pPr>
              <w:spacing w:after="0" w:line="240" w:lineRule="auto"/>
              <w:jc w:val="center"/>
              <w:rPr>
                <w:rFonts w:ascii="Times New Roman" w:hAnsi="Times New Roman" w:cs="Times New Roman"/>
              </w:rPr>
            </w:pPr>
          </w:p>
          <w:p w14:paraId="1ABA4B9A" w14:textId="28AF0F20"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hAnsi="Times New Roman" w:cs="Times New Roman"/>
              </w:rPr>
              <w:t xml:space="preserve"> </w:t>
            </w:r>
            <w:r w:rsidRPr="00DC34FD">
              <w:rPr>
                <w:rFonts w:ascii="Times New Roman" w:eastAsia="Times New Roman" w:hAnsi="Times New Roman" w:cs="Times New Roman"/>
                <w:b/>
              </w:rPr>
              <w:t>Tieslietu ministrija</w:t>
            </w:r>
          </w:p>
          <w:p w14:paraId="77F30359" w14:textId="77777777" w:rsidR="00A40E32" w:rsidRPr="00DC34FD" w:rsidRDefault="00A40E32" w:rsidP="00A40E32">
            <w:pPr>
              <w:spacing w:after="0" w:line="240" w:lineRule="auto"/>
              <w:jc w:val="both"/>
              <w:rPr>
                <w:rFonts w:ascii="Times New Roman" w:eastAsia="Times New Roman" w:hAnsi="Times New Roman" w:cs="Times New Roman"/>
              </w:rPr>
            </w:pPr>
            <w:r w:rsidRPr="00DC34FD">
              <w:rPr>
                <w:rFonts w:ascii="Times New Roman" w:eastAsia="Times New Roman" w:hAnsi="Times New Roman" w:cs="Times New Roman"/>
              </w:rPr>
              <w:t xml:space="preserve">Projekta IV nodaļa noteic </w:t>
            </w:r>
            <w:proofErr w:type="spellStart"/>
            <w:r w:rsidRPr="00DC34FD">
              <w:rPr>
                <w:rFonts w:ascii="Times New Roman" w:eastAsia="Times New Roman" w:hAnsi="Times New Roman" w:cs="Times New Roman"/>
              </w:rPr>
              <w:t>pēcuzstādīšanas</w:t>
            </w:r>
            <w:proofErr w:type="spellEnd"/>
            <w:r w:rsidRPr="00DC34FD">
              <w:rPr>
                <w:rFonts w:ascii="Times New Roman" w:eastAsia="Times New Roman" w:hAnsi="Times New Roman" w:cs="Times New Roman"/>
              </w:rPr>
              <w:t xml:space="preserve"> pārbaudes regulējumu. Savukārt projekta 22. punkts noteic, ka </w:t>
            </w:r>
            <w:proofErr w:type="spellStart"/>
            <w:r w:rsidRPr="00DC34FD">
              <w:rPr>
                <w:rFonts w:ascii="Times New Roman" w:eastAsia="Times New Roman" w:hAnsi="Times New Roman" w:cs="Times New Roman"/>
              </w:rPr>
              <w:t>pēcuzstādīšanas</w:t>
            </w:r>
            <w:proofErr w:type="spellEnd"/>
            <w:r w:rsidRPr="00DC34FD">
              <w:rPr>
                <w:rFonts w:ascii="Times New Roman" w:eastAsia="Times New Roman" w:hAnsi="Times New Roman" w:cs="Times New Roman"/>
              </w:rPr>
              <w:t xml:space="preserve"> pārbaudi organizē un apmaksā spēļu vai citu aktivitāšu iekārtu vai publiskā spēļu laukuma valdītājs. </w:t>
            </w:r>
          </w:p>
          <w:p w14:paraId="32E96D59" w14:textId="40D45435" w:rsidR="00A40E32" w:rsidRPr="00DC34FD" w:rsidRDefault="00A40E32" w:rsidP="00A40E32">
            <w:pPr>
              <w:jc w:val="both"/>
              <w:rPr>
                <w:rFonts w:ascii="Times New Roman" w:hAnsi="Times New Roman" w:cs="Times New Roman"/>
              </w:rPr>
            </w:pPr>
            <w:r w:rsidRPr="00DC34FD">
              <w:rPr>
                <w:rFonts w:ascii="Times New Roman" w:eastAsia="Times New Roman" w:hAnsi="Times New Roman" w:cs="Times New Roman"/>
              </w:rPr>
              <w:tab/>
              <w:t>Norādām, ka, i</w:t>
            </w:r>
            <w:r w:rsidRPr="00DC34FD">
              <w:rPr>
                <w:rFonts w:ascii="Times New Roman" w:eastAsia="Times New Roman" w:hAnsi="Times New Roman" w:cs="Times New Roman"/>
                <w:iCs/>
              </w:rPr>
              <w:t xml:space="preserve">zstrādājot Ministru kabineta noteikumus, to saturam jāatbilst likumā noteiktajam pilnvarojumam. Ievērojot, ka </w:t>
            </w:r>
            <w:r w:rsidRPr="00DC34FD">
              <w:rPr>
                <w:rFonts w:ascii="Times New Roman" w:eastAsia="Times New Roman" w:hAnsi="Times New Roman" w:cs="Times New Roman"/>
              </w:rPr>
              <w:t>Preču un pakalpojuma drošuma likuma 8.</w:t>
            </w:r>
            <w:r w:rsidRPr="00DC34FD">
              <w:rPr>
                <w:rFonts w:ascii="Times New Roman" w:eastAsia="Times New Roman" w:hAnsi="Times New Roman" w:cs="Times New Roman"/>
                <w:vertAlign w:val="superscript"/>
              </w:rPr>
              <w:t>1</w:t>
            </w:r>
            <w:r w:rsidRPr="00DC34FD">
              <w:rPr>
                <w:rFonts w:ascii="Times New Roman" w:eastAsia="Times New Roman" w:hAnsi="Times New Roman" w:cs="Times New Roman"/>
              </w:rPr>
              <w:t> pantā noteiktais pilnvarojums neparedz Ministru kabineta tiesības noteikt šādu samaksas pienākumu, lūdzam svītrot projekta 22. punktu.</w:t>
            </w:r>
          </w:p>
        </w:tc>
        <w:tc>
          <w:tcPr>
            <w:tcW w:w="2410" w:type="dxa"/>
            <w:gridSpan w:val="2"/>
            <w:vMerge w:val="restart"/>
            <w:tcBorders>
              <w:top w:val="single" w:sz="4" w:space="0" w:color="auto"/>
              <w:left w:val="single" w:sz="4" w:space="0" w:color="auto"/>
              <w:right w:val="single" w:sz="4" w:space="0" w:color="auto"/>
            </w:tcBorders>
          </w:tcPr>
          <w:p w14:paraId="4014B551" w14:textId="4F0CE0CA" w:rsidR="00A40E32" w:rsidRPr="00DC34FD" w:rsidRDefault="00A40E32" w:rsidP="00A40E32">
            <w:pPr>
              <w:pStyle w:val="naisc"/>
              <w:spacing w:before="0" w:after="0"/>
              <w:jc w:val="both"/>
              <w:rPr>
                <w:b/>
                <w:sz w:val="22"/>
                <w:szCs w:val="22"/>
              </w:rPr>
            </w:pPr>
            <w:r w:rsidRPr="00DC34FD">
              <w:rPr>
                <w:b/>
                <w:sz w:val="22"/>
                <w:szCs w:val="22"/>
              </w:rPr>
              <w:t>Ņemts vērā.</w:t>
            </w:r>
            <w:r w:rsidRPr="00DC34FD">
              <w:rPr>
                <w:sz w:val="22"/>
                <w:szCs w:val="22"/>
              </w:rPr>
              <w:t xml:space="preserve"> Punkts svītrots.</w:t>
            </w:r>
          </w:p>
        </w:tc>
        <w:tc>
          <w:tcPr>
            <w:tcW w:w="4652" w:type="dxa"/>
            <w:vMerge w:val="restart"/>
            <w:tcBorders>
              <w:top w:val="single" w:sz="4" w:space="0" w:color="auto"/>
              <w:left w:val="single" w:sz="4" w:space="0" w:color="auto"/>
            </w:tcBorders>
          </w:tcPr>
          <w:p w14:paraId="46832A5B" w14:textId="77777777" w:rsidR="00A40E32" w:rsidRPr="00DC34FD" w:rsidRDefault="00A40E32" w:rsidP="00A40E32">
            <w:pPr>
              <w:spacing w:after="0" w:line="240" w:lineRule="auto"/>
              <w:jc w:val="both"/>
              <w:rPr>
                <w:rFonts w:ascii="Times New Roman" w:hAnsi="Times New Roman" w:cs="Times New Roman"/>
              </w:rPr>
            </w:pPr>
          </w:p>
          <w:p w14:paraId="757CB0ED" w14:textId="77777777" w:rsidR="00A40E32" w:rsidRPr="00DC34FD" w:rsidRDefault="00A40E32" w:rsidP="00A40E32">
            <w:pPr>
              <w:rPr>
                <w:rFonts w:ascii="Times New Roman" w:hAnsi="Times New Roman" w:cs="Times New Roman"/>
              </w:rPr>
            </w:pPr>
          </w:p>
        </w:tc>
      </w:tr>
      <w:tr w:rsidR="00A40E32" w:rsidRPr="00DC34FD" w14:paraId="3CB21D78" w14:textId="77777777" w:rsidTr="00AF11CB">
        <w:tc>
          <w:tcPr>
            <w:tcW w:w="742" w:type="dxa"/>
            <w:vMerge/>
            <w:tcBorders>
              <w:left w:val="single" w:sz="4" w:space="0" w:color="auto"/>
              <w:bottom w:val="single" w:sz="4" w:space="0" w:color="auto"/>
              <w:right w:val="single" w:sz="4" w:space="0" w:color="auto"/>
            </w:tcBorders>
          </w:tcPr>
          <w:p w14:paraId="7341251F" w14:textId="01BE3901" w:rsidR="00A40E32" w:rsidRPr="00DC34FD" w:rsidRDefault="00A40E32"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253A0AED" w14:textId="7768B75D" w:rsidR="00A40E32" w:rsidRPr="00DC34FD" w:rsidRDefault="00A40E32" w:rsidP="00A40E32">
            <w:pPr>
              <w:tabs>
                <w:tab w:val="left" w:pos="993"/>
              </w:tabs>
              <w:spacing w:after="0" w:line="240" w:lineRule="auto"/>
              <w:jc w:val="both"/>
              <w:rPr>
                <w:rFonts w:ascii="Times New Roman" w:hAnsi="Times New Roman" w:cs="Times New Roman"/>
              </w:rPr>
            </w:pPr>
          </w:p>
        </w:tc>
        <w:tc>
          <w:tcPr>
            <w:tcW w:w="4311" w:type="dxa"/>
            <w:tcBorders>
              <w:top w:val="single" w:sz="4" w:space="0" w:color="auto"/>
              <w:left w:val="single" w:sz="4" w:space="0" w:color="auto"/>
              <w:bottom w:val="single" w:sz="4" w:space="0" w:color="auto"/>
              <w:right w:val="single" w:sz="4" w:space="0" w:color="auto"/>
            </w:tcBorders>
          </w:tcPr>
          <w:p w14:paraId="6BC04360" w14:textId="24D85825"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7C4FCE96" w14:textId="49E5ACAB" w:rsidR="00A40E32" w:rsidRPr="00DC34FD" w:rsidRDefault="00A40E32" w:rsidP="00A40E32">
            <w:pPr>
              <w:spacing w:after="0" w:line="240" w:lineRule="auto"/>
              <w:jc w:val="both"/>
              <w:rPr>
                <w:rFonts w:ascii="Times New Roman" w:eastAsia="Times New Roman" w:hAnsi="Times New Roman" w:cs="Times New Roman"/>
              </w:rPr>
            </w:pPr>
            <w:r w:rsidRPr="00DC34FD">
              <w:rPr>
                <w:rFonts w:ascii="Times New Roman" w:hAnsi="Times New Roman" w:cs="Times New Roman"/>
              </w:rPr>
              <w:t>Norādām, ka, ņemot vērā iepriekš minēto, ka ir pašvaldības, kur šo funkciju ir nodrošinājusi līdz šim būvvalde (Rīgas piemērs), diskutējams ir jautājums par to, vai patiesi lietderīgi tiks izmantoti publiskie finanšu līdzekļu, maksājot Nacionālajā akreditācijas institūcijā akreditētajam pārbaudes veicējam, kurš dublēs būvvaldes funkcijas.</w:t>
            </w:r>
          </w:p>
        </w:tc>
        <w:tc>
          <w:tcPr>
            <w:tcW w:w="2410" w:type="dxa"/>
            <w:gridSpan w:val="2"/>
            <w:vMerge/>
            <w:tcBorders>
              <w:left w:val="single" w:sz="4" w:space="0" w:color="auto"/>
              <w:bottom w:val="single" w:sz="4" w:space="0" w:color="auto"/>
              <w:right w:val="single" w:sz="4" w:space="0" w:color="auto"/>
            </w:tcBorders>
          </w:tcPr>
          <w:p w14:paraId="3E8354BA" w14:textId="74BE9952" w:rsidR="00A40E32" w:rsidRPr="00DC34FD" w:rsidRDefault="00A40E32" w:rsidP="00A40E32">
            <w:pPr>
              <w:pStyle w:val="naisc"/>
              <w:spacing w:before="0" w:after="0"/>
              <w:jc w:val="both"/>
              <w:rPr>
                <w:sz w:val="22"/>
                <w:szCs w:val="22"/>
              </w:rPr>
            </w:pPr>
          </w:p>
        </w:tc>
        <w:tc>
          <w:tcPr>
            <w:tcW w:w="4652" w:type="dxa"/>
            <w:vMerge/>
            <w:tcBorders>
              <w:left w:val="single" w:sz="4" w:space="0" w:color="auto"/>
              <w:bottom w:val="single" w:sz="4" w:space="0" w:color="auto"/>
            </w:tcBorders>
          </w:tcPr>
          <w:p w14:paraId="4F564C18" w14:textId="1B26F439" w:rsidR="00A40E32" w:rsidRPr="00DC34FD" w:rsidRDefault="00A40E32" w:rsidP="00A40E32">
            <w:pPr>
              <w:rPr>
                <w:rFonts w:ascii="Times New Roman" w:hAnsi="Times New Roman" w:cs="Times New Roman"/>
              </w:rPr>
            </w:pPr>
          </w:p>
        </w:tc>
      </w:tr>
      <w:tr w:rsidR="00D03F27" w:rsidRPr="00DC34FD" w14:paraId="4CEA8A79" w14:textId="77777777" w:rsidTr="00AF11CB">
        <w:trPr>
          <w:trHeight w:val="2025"/>
        </w:trPr>
        <w:tc>
          <w:tcPr>
            <w:tcW w:w="742" w:type="dxa"/>
            <w:tcBorders>
              <w:top w:val="single" w:sz="4" w:space="0" w:color="auto"/>
              <w:left w:val="single" w:sz="4" w:space="0" w:color="auto"/>
              <w:right w:val="single" w:sz="4" w:space="0" w:color="auto"/>
            </w:tcBorders>
          </w:tcPr>
          <w:p w14:paraId="20D04D94" w14:textId="42336D4C" w:rsidR="00D03F27"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29.</w:t>
            </w:r>
          </w:p>
        </w:tc>
        <w:tc>
          <w:tcPr>
            <w:tcW w:w="3370" w:type="dxa"/>
            <w:gridSpan w:val="2"/>
            <w:tcBorders>
              <w:top w:val="single" w:sz="4" w:space="0" w:color="auto"/>
              <w:left w:val="single" w:sz="4" w:space="0" w:color="auto"/>
              <w:right w:val="single" w:sz="4" w:space="0" w:color="auto"/>
            </w:tcBorders>
          </w:tcPr>
          <w:p w14:paraId="723CE7E0" w14:textId="6E3A158A" w:rsidR="00D03F27" w:rsidRPr="00DC34FD" w:rsidRDefault="00D03F27" w:rsidP="00A40E32">
            <w:pPr>
              <w:pStyle w:val="NormalWeb"/>
              <w:tabs>
                <w:tab w:val="left" w:pos="426"/>
              </w:tabs>
              <w:spacing w:before="0" w:beforeAutospacing="0" w:after="0" w:afterAutospacing="0"/>
              <w:jc w:val="both"/>
              <w:rPr>
                <w:rFonts w:eastAsia="Calibri"/>
                <w:color w:val="000000"/>
                <w:sz w:val="22"/>
                <w:szCs w:val="22"/>
              </w:rPr>
            </w:pPr>
            <w:r w:rsidRPr="00DC34FD">
              <w:rPr>
                <w:sz w:val="22"/>
                <w:szCs w:val="22"/>
              </w:rPr>
              <w:t xml:space="preserve">23. Publiska spēļu laukuma valdītājam ir pienākums reģistrēt publisko spēļu laukumu, ja saskaņā ar šiem noteikumiem tam ir jāveic </w:t>
            </w:r>
            <w:proofErr w:type="spellStart"/>
            <w:r w:rsidRPr="00DC34FD">
              <w:rPr>
                <w:sz w:val="22"/>
                <w:szCs w:val="22"/>
              </w:rPr>
              <w:t>pēcuzstādīšanas</w:t>
            </w:r>
            <w:proofErr w:type="spellEnd"/>
            <w:r w:rsidRPr="00DC34FD">
              <w:rPr>
                <w:sz w:val="22"/>
                <w:szCs w:val="22"/>
              </w:rPr>
              <w:t xml:space="preserve"> pārbaude, vai jāveic izmaiņas reģistrā, ja tajā veikta tāda pārkārtošana, kuras rezultātā jāveic </w:t>
            </w:r>
            <w:proofErr w:type="spellStart"/>
            <w:r w:rsidRPr="00DC34FD">
              <w:rPr>
                <w:sz w:val="22"/>
                <w:szCs w:val="22"/>
              </w:rPr>
              <w:t>pēcuzstādīšanas</w:t>
            </w:r>
            <w:proofErr w:type="spellEnd"/>
            <w:r w:rsidRPr="00DC34FD">
              <w:rPr>
                <w:sz w:val="22"/>
                <w:szCs w:val="22"/>
              </w:rPr>
              <w:t xml:space="preserve"> pārbaude, kā arī šo noteikumu </w:t>
            </w:r>
            <w:r w:rsidRPr="00DC34FD">
              <w:rPr>
                <w:sz w:val="22"/>
                <w:szCs w:val="22"/>
              </w:rPr>
              <w:lastRenderedPageBreak/>
              <w:t>35. punktā minētajā gadījumā. Reģistrāciju veic pirms publiskā spēļu laukuma vai tā pārkārtotās daļas atvēršanas publiskai lietošanai, bet demontāžas gadījumā – mēneša laikā, iesniedzot Centram reģistrācijas pieteikumu saskaņā ar šo noteikumu 2. pielikumu (turpmāk – reģistrācijas pieteikums).</w:t>
            </w:r>
          </w:p>
        </w:tc>
        <w:tc>
          <w:tcPr>
            <w:tcW w:w="4311" w:type="dxa"/>
            <w:tcBorders>
              <w:top w:val="single" w:sz="4" w:space="0" w:color="auto"/>
              <w:left w:val="single" w:sz="4" w:space="0" w:color="auto"/>
              <w:bottom w:val="single" w:sz="4" w:space="0" w:color="auto"/>
              <w:right w:val="single" w:sz="4" w:space="0" w:color="auto"/>
            </w:tcBorders>
          </w:tcPr>
          <w:p w14:paraId="3C49139E" w14:textId="77777777" w:rsidR="00D03F27" w:rsidRPr="00DC34FD" w:rsidRDefault="00D03F27" w:rsidP="00A40E32">
            <w:pPr>
              <w:pStyle w:val="CommentText"/>
              <w:spacing w:before="60" w:after="0"/>
              <w:jc w:val="center"/>
              <w:rPr>
                <w:b/>
                <w:sz w:val="22"/>
                <w:szCs w:val="22"/>
              </w:rPr>
            </w:pPr>
            <w:r w:rsidRPr="00DC34FD">
              <w:rPr>
                <w:b/>
                <w:sz w:val="22"/>
                <w:szCs w:val="22"/>
              </w:rPr>
              <w:lastRenderedPageBreak/>
              <w:t xml:space="preserve">Latvijas Rūpnieku tehniskās drošības ekspertu apvienība – TUV </w:t>
            </w:r>
            <w:proofErr w:type="spellStart"/>
            <w:r w:rsidRPr="00DC34FD">
              <w:rPr>
                <w:b/>
                <w:sz w:val="22"/>
                <w:szCs w:val="22"/>
              </w:rPr>
              <w:t>Rheinland</w:t>
            </w:r>
            <w:proofErr w:type="spellEnd"/>
            <w:r w:rsidRPr="00DC34FD">
              <w:rPr>
                <w:b/>
                <w:sz w:val="22"/>
                <w:szCs w:val="22"/>
              </w:rPr>
              <w:t xml:space="preserve"> grupa</w:t>
            </w:r>
          </w:p>
          <w:p w14:paraId="259876A9" w14:textId="2B07CB8B" w:rsidR="00D03F27" w:rsidRPr="00DC34FD" w:rsidRDefault="00D03F27" w:rsidP="00D03F27">
            <w:pPr>
              <w:pStyle w:val="CommentText"/>
              <w:spacing w:before="60" w:after="0"/>
              <w:jc w:val="both"/>
              <w:rPr>
                <w:sz w:val="22"/>
                <w:szCs w:val="22"/>
              </w:rPr>
            </w:pPr>
            <w:r w:rsidRPr="00DC34FD">
              <w:rPr>
                <w:sz w:val="22"/>
                <w:szCs w:val="22"/>
              </w:rPr>
              <w:t xml:space="preserve">Lai nepalielinātos valsts institūciju administratīvo darbību apjoms, iekārtu reģistrāciju vajag uzticēt akreditētām inspicēšanas institūcijām, līdzīgi kā tas jau notiek bīstamo iekārtu, tajā skaitā publisko </w:t>
            </w:r>
            <w:r w:rsidRPr="00DC34FD">
              <w:rPr>
                <w:sz w:val="22"/>
                <w:szCs w:val="22"/>
              </w:rPr>
              <w:lastRenderedPageBreak/>
              <w:t xml:space="preserve">atrakciju iekārtu jomā. Jau ilgus gadus izmantotā Bīstamo iekārtu reģistra sistēma tam visnotaļ ir piemērota. Piedāvātā 23. punkta redakcija:  </w:t>
            </w:r>
            <w:r w:rsidRPr="00DC34FD">
              <w:rPr>
                <w:i/>
                <w:sz w:val="22"/>
                <w:szCs w:val="22"/>
              </w:rPr>
              <w:t xml:space="preserve">Publiska spēļu laukuma valdītājam ir pienākums reģistrēt publisko spēļu laukumu un veikt izmaiņas reģistrā, ja tajā veikta tāda pārkārtošana, kuras rezultātā jāveic </w:t>
            </w:r>
            <w:proofErr w:type="spellStart"/>
            <w:r w:rsidRPr="00DC34FD">
              <w:rPr>
                <w:i/>
                <w:sz w:val="22"/>
                <w:szCs w:val="22"/>
              </w:rPr>
              <w:t>pēcuzstādīšanas</w:t>
            </w:r>
            <w:proofErr w:type="spellEnd"/>
            <w:r w:rsidRPr="00DC34FD">
              <w:rPr>
                <w:i/>
                <w:sz w:val="22"/>
                <w:szCs w:val="22"/>
              </w:rPr>
              <w:t xml:space="preserve"> pārbaude, kā arī šo noteikumu 35. punktā minētajā gadījumā. Reģistrāciju veic pirms publiskā spēļu laukuma vai tā pārkārtotās daļas atvēršanas publiskai lietošanai. Demontāžas gadījumā valdītājam mēneša laikā jāveic iekārtas noņemšana no uzskaites. Pieteikumu jāiesniedz akreditētai inspicēšanas institūcijai saskaņā ar šo noteikumu 2. pielikumu (turpmāk – reģistrācijas pieteikums).</w:t>
            </w:r>
          </w:p>
        </w:tc>
        <w:tc>
          <w:tcPr>
            <w:tcW w:w="2410" w:type="dxa"/>
            <w:gridSpan w:val="2"/>
            <w:tcBorders>
              <w:top w:val="single" w:sz="4" w:space="0" w:color="auto"/>
              <w:left w:val="single" w:sz="4" w:space="0" w:color="auto"/>
              <w:right w:val="single" w:sz="4" w:space="0" w:color="auto"/>
            </w:tcBorders>
          </w:tcPr>
          <w:p w14:paraId="650CF5A7" w14:textId="07E33DC3" w:rsidR="00D03F27" w:rsidRPr="00DC34FD" w:rsidRDefault="001E3ECF" w:rsidP="00A40E32">
            <w:pPr>
              <w:pStyle w:val="naisc"/>
              <w:spacing w:before="0" w:after="0"/>
              <w:jc w:val="both"/>
              <w:rPr>
                <w:b/>
                <w:sz w:val="22"/>
                <w:szCs w:val="22"/>
              </w:rPr>
            </w:pPr>
            <w:r w:rsidRPr="00DC34FD">
              <w:rPr>
                <w:b/>
                <w:sz w:val="22"/>
                <w:szCs w:val="22"/>
              </w:rPr>
              <w:lastRenderedPageBreak/>
              <w:t>Panākta vienošanās.</w:t>
            </w:r>
            <w:r w:rsidRPr="00DC34FD">
              <w:rPr>
                <w:sz w:val="22"/>
                <w:szCs w:val="22"/>
              </w:rPr>
              <w:t xml:space="preserve"> Noteikumu projektā spēļu lauku reģistru paredzēts ieviest, lai atvieglotu </w:t>
            </w:r>
            <w:r w:rsidR="002B5DB3">
              <w:rPr>
                <w:sz w:val="22"/>
                <w:szCs w:val="22"/>
              </w:rPr>
              <w:t>Centra</w:t>
            </w:r>
            <w:r w:rsidRPr="00DC34FD">
              <w:rPr>
                <w:sz w:val="22"/>
                <w:szCs w:val="22"/>
              </w:rPr>
              <w:t xml:space="preserve"> veikto uzraudzību. Tādēļ ir paredzēta C</w:t>
            </w:r>
            <w:r w:rsidR="002B5DB3">
              <w:rPr>
                <w:sz w:val="22"/>
                <w:szCs w:val="22"/>
              </w:rPr>
              <w:t>entram</w:t>
            </w:r>
            <w:r w:rsidRPr="00DC34FD">
              <w:rPr>
                <w:sz w:val="22"/>
                <w:szCs w:val="22"/>
              </w:rPr>
              <w:t xml:space="preserve"> iespēja </w:t>
            </w:r>
            <w:r w:rsidR="002B5DB3">
              <w:rPr>
                <w:sz w:val="22"/>
                <w:szCs w:val="22"/>
              </w:rPr>
              <w:t xml:space="preserve">šai reģistrā veikt atzīmes par </w:t>
            </w:r>
            <w:r w:rsidR="002B5DB3">
              <w:rPr>
                <w:sz w:val="22"/>
                <w:szCs w:val="22"/>
              </w:rPr>
              <w:lastRenderedPageBreak/>
              <w:t>konstatētiem, bet vēl nereģistrētiem laukumiem</w:t>
            </w:r>
            <w:r w:rsidRPr="00DC34FD">
              <w:rPr>
                <w:sz w:val="22"/>
                <w:szCs w:val="22"/>
              </w:rPr>
              <w:t xml:space="preserve">, lai tam būtu </w:t>
            </w:r>
            <w:r w:rsidR="002B5DB3">
              <w:rPr>
                <w:sz w:val="22"/>
                <w:szCs w:val="22"/>
              </w:rPr>
              <w:t xml:space="preserve">pārskatāmāki </w:t>
            </w:r>
            <w:r w:rsidRPr="00DC34FD">
              <w:rPr>
                <w:sz w:val="22"/>
                <w:szCs w:val="22"/>
              </w:rPr>
              <w:t>dati par uzraugāmajiem spēļu laukumiem.</w:t>
            </w:r>
          </w:p>
        </w:tc>
        <w:tc>
          <w:tcPr>
            <w:tcW w:w="4652" w:type="dxa"/>
            <w:tcBorders>
              <w:top w:val="single" w:sz="4" w:space="0" w:color="auto"/>
              <w:left w:val="single" w:sz="4" w:space="0" w:color="auto"/>
            </w:tcBorders>
          </w:tcPr>
          <w:p w14:paraId="3D38F3B7" w14:textId="2B67FABF" w:rsidR="00D03F27" w:rsidRPr="00DC34FD" w:rsidRDefault="001E3ECF" w:rsidP="00A40E32">
            <w:pPr>
              <w:pStyle w:val="ListParagraph"/>
              <w:tabs>
                <w:tab w:val="left" w:pos="993"/>
              </w:tabs>
              <w:spacing w:after="0" w:line="240" w:lineRule="auto"/>
              <w:ind w:left="0"/>
              <w:jc w:val="both"/>
              <w:rPr>
                <w:rFonts w:ascii="Times New Roman" w:hAnsi="Times New Roman"/>
                <w:lang w:eastAsia="lv-LV"/>
              </w:rPr>
            </w:pPr>
            <w:r w:rsidRPr="00DC34FD">
              <w:lastRenderedPageBreak/>
              <w:t xml:space="preserve">22. Publiska spēļu </w:t>
            </w:r>
            <w:r w:rsidR="00517238" w:rsidRPr="00DC34FD">
              <w:t xml:space="preserve">un rekreācijas </w:t>
            </w:r>
            <w:r w:rsidRPr="00DC34FD">
              <w:t xml:space="preserve">laukuma valdītājam ir pienākums reģistrēt publisko spēļu laukumu, ja saskaņā ar šiem noteikumiem tam ir jāveic </w:t>
            </w:r>
            <w:proofErr w:type="spellStart"/>
            <w:r w:rsidRPr="00DC34FD">
              <w:t>pēcuzstādīšanas</w:t>
            </w:r>
            <w:proofErr w:type="spellEnd"/>
            <w:r w:rsidRPr="00DC34FD">
              <w:t xml:space="preserve"> pārbaude, vai jāveic izmaiņas reģistrā, ja tajā veikta tāda pārkārtošana, kuras rezultātā jāveic </w:t>
            </w:r>
            <w:proofErr w:type="spellStart"/>
            <w:r w:rsidRPr="00DC34FD">
              <w:t>pēcuzstādīšanas</w:t>
            </w:r>
            <w:proofErr w:type="spellEnd"/>
            <w:r w:rsidRPr="00DC34FD">
              <w:t xml:space="preserve"> pārbaude, kā arī šo noteikumu 3</w:t>
            </w:r>
            <w:r w:rsidR="002B5DB3">
              <w:t>2</w:t>
            </w:r>
            <w:r w:rsidRPr="00DC34FD">
              <w:t xml:space="preserve">. punktā minētajā gadījumā. Reģistrāciju veic pirms publiskā spēļu </w:t>
            </w:r>
            <w:r w:rsidRPr="00DC34FD">
              <w:lastRenderedPageBreak/>
              <w:t xml:space="preserve">laukuma vai tā pārkārtotās daļas atvēršanas publiskai lietošanai, bet demontāžas gadījumā – mēneša laikā, iesniedzot Centram reģistrācijas pieteikumu saskaņā ar šo noteikumu </w:t>
            </w:r>
            <w:r w:rsidR="002B5DB3">
              <w:t>1</w:t>
            </w:r>
            <w:r w:rsidRPr="00DC34FD">
              <w:t>. pielikumu (turpmāk – reģistrācijas pieteikums).</w:t>
            </w:r>
          </w:p>
        </w:tc>
      </w:tr>
      <w:tr w:rsidR="00A40E32" w:rsidRPr="00DC34FD" w14:paraId="0B6D2ED1" w14:textId="77777777" w:rsidTr="00AF11CB">
        <w:trPr>
          <w:trHeight w:val="2025"/>
        </w:trPr>
        <w:tc>
          <w:tcPr>
            <w:tcW w:w="742" w:type="dxa"/>
            <w:tcBorders>
              <w:top w:val="single" w:sz="4" w:space="0" w:color="auto"/>
              <w:left w:val="single" w:sz="4" w:space="0" w:color="auto"/>
              <w:right w:val="single" w:sz="4" w:space="0" w:color="auto"/>
            </w:tcBorders>
          </w:tcPr>
          <w:p w14:paraId="6E9889DA" w14:textId="0240A92D"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lastRenderedPageBreak/>
              <w:t>30.</w:t>
            </w:r>
          </w:p>
        </w:tc>
        <w:tc>
          <w:tcPr>
            <w:tcW w:w="3370" w:type="dxa"/>
            <w:gridSpan w:val="2"/>
            <w:tcBorders>
              <w:top w:val="single" w:sz="4" w:space="0" w:color="auto"/>
              <w:left w:val="single" w:sz="4" w:space="0" w:color="auto"/>
              <w:right w:val="single" w:sz="4" w:space="0" w:color="auto"/>
            </w:tcBorders>
          </w:tcPr>
          <w:p w14:paraId="6CED63F5" w14:textId="1154CB66" w:rsidR="00A40E32" w:rsidRPr="00DC34FD" w:rsidRDefault="00A40E32" w:rsidP="00A40E32">
            <w:pPr>
              <w:pStyle w:val="NormalWeb"/>
              <w:tabs>
                <w:tab w:val="left" w:pos="426"/>
              </w:tabs>
              <w:spacing w:before="0" w:beforeAutospacing="0" w:after="0" w:afterAutospacing="0"/>
              <w:jc w:val="both"/>
              <w:rPr>
                <w:sz w:val="22"/>
                <w:szCs w:val="22"/>
              </w:rPr>
            </w:pPr>
            <w:r w:rsidRPr="00DC34FD">
              <w:rPr>
                <w:rFonts w:eastAsia="Calibri"/>
                <w:color w:val="000000"/>
                <w:sz w:val="22"/>
                <w:szCs w:val="22"/>
              </w:rPr>
              <w:t>26. Centram identificējot publisku spēļu laukumu, kurš nav reģistrēts vai kura dati nav aktualizēti reģistrā, Centrs pēc savas iniciatīvas veic publiskā spēļu laukuma reģistrāciju vai tā datu aktualizāciju, nepieciešamības gadījumā pieprasot informāciju tā valdītājam.</w:t>
            </w:r>
          </w:p>
        </w:tc>
        <w:tc>
          <w:tcPr>
            <w:tcW w:w="4311" w:type="dxa"/>
            <w:tcBorders>
              <w:top w:val="single" w:sz="4" w:space="0" w:color="auto"/>
              <w:left w:val="single" w:sz="4" w:space="0" w:color="auto"/>
              <w:bottom w:val="single" w:sz="4" w:space="0" w:color="auto"/>
              <w:right w:val="single" w:sz="4" w:space="0" w:color="auto"/>
            </w:tcBorders>
          </w:tcPr>
          <w:p w14:paraId="5B8F948E" w14:textId="77777777"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6A20A044" w14:textId="7D0BBA54" w:rsidR="00A40E32" w:rsidRPr="00DC34FD" w:rsidRDefault="00A40E32" w:rsidP="00A40E32">
            <w:pPr>
              <w:spacing w:after="0" w:line="240" w:lineRule="auto"/>
              <w:jc w:val="both"/>
              <w:rPr>
                <w:rFonts w:ascii="Times New Roman" w:eastAsia="Times New Roman" w:hAnsi="Times New Roman" w:cs="Times New Roman"/>
                <w:b/>
              </w:rPr>
            </w:pPr>
            <w:r w:rsidRPr="00DC34FD">
              <w:rPr>
                <w:rFonts w:ascii="Times New Roman" w:hAnsi="Times New Roman" w:cs="Times New Roman"/>
                <w:color w:val="000000"/>
              </w:rPr>
              <w:t>Lūdzam precizēt, kas sedz izmaksas gadījumā, ja laukumu reģistrē Centrs.</w:t>
            </w:r>
          </w:p>
        </w:tc>
        <w:tc>
          <w:tcPr>
            <w:tcW w:w="2410" w:type="dxa"/>
            <w:gridSpan w:val="2"/>
            <w:tcBorders>
              <w:top w:val="single" w:sz="4" w:space="0" w:color="auto"/>
              <w:left w:val="single" w:sz="4" w:space="0" w:color="auto"/>
              <w:right w:val="single" w:sz="4" w:space="0" w:color="auto"/>
            </w:tcBorders>
          </w:tcPr>
          <w:p w14:paraId="00B1510F" w14:textId="3223DFA7" w:rsidR="00A40E32" w:rsidRPr="00DC34FD" w:rsidRDefault="00A40E32" w:rsidP="00A40E32">
            <w:pPr>
              <w:pStyle w:val="naisc"/>
              <w:spacing w:before="0" w:after="0"/>
              <w:jc w:val="both"/>
              <w:rPr>
                <w:b/>
                <w:sz w:val="22"/>
                <w:szCs w:val="22"/>
              </w:rPr>
            </w:pPr>
            <w:r w:rsidRPr="00DC34FD">
              <w:rPr>
                <w:b/>
                <w:sz w:val="22"/>
                <w:szCs w:val="22"/>
              </w:rPr>
              <w:t>Ņemts vērā.</w:t>
            </w:r>
            <w:r w:rsidRPr="00DC34FD">
              <w:rPr>
                <w:sz w:val="22"/>
                <w:szCs w:val="22"/>
              </w:rPr>
              <w:t xml:space="preserve"> Punkts precizēts, paredzot</w:t>
            </w:r>
            <w:r w:rsidR="00C43718">
              <w:rPr>
                <w:sz w:val="22"/>
                <w:szCs w:val="22"/>
              </w:rPr>
              <w:t>, ka</w:t>
            </w:r>
            <w:r w:rsidRPr="00DC34FD">
              <w:rPr>
                <w:sz w:val="22"/>
                <w:szCs w:val="22"/>
              </w:rPr>
              <w:t xml:space="preserve"> Centr</w:t>
            </w:r>
            <w:r w:rsidR="00C43718">
              <w:rPr>
                <w:sz w:val="22"/>
                <w:szCs w:val="22"/>
              </w:rPr>
              <w:t>s pats nereģistrē, bet</w:t>
            </w:r>
            <w:r w:rsidRPr="00DC34FD">
              <w:rPr>
                <w:sz w:val="22"/>
                <w:szCs w:val="22"/>
              </w:rPr>
              <w:t xml:space="preserve"> </w:t>
            </w:r>
            <w:r w:rsidR="00C43718">
              <w:rPr>
                <w:sz w:val="22"/>
                <w:szCs w:val="22"/>
              </w:rPr>
              <w:t>veic atzīmi reģistrā un valdītājam pieprasa</w:t>
            </w:r>
            <w:r w:rsidRPr="00DC34FD">
              <w:rPr>
                <w:sz w:val="22"/>
                <w:szCs w:val="22"/>
              </w:rPr>
              <w:t xml:space="preserve"> veikt reģistrāciju.</w:t>
            </w:r>
          </w:p>
        </w:tc>
        <w:tc>
          <w:tcPr>
            <w:tcW w:w="4652" w:type="dxa"/>
            <w:tcBorders>
              <w:top w:val="single" w:sz="4" w:space="0" w:color="auto"/>
              <w:left w:val="single" w:sz="4" w:space="0" w:color="auto"/>
            </w:tcBorders>
          </w:tcPr>
          <w:p w14:paraId="2D7F65B2" w14:textId="78013DD2" w:rsidR="00A40E32" w:rsidRPr="00DC34FD" w:rsidRDefault="00A40E32" w:rsidP="00A40E32">
            <w:pPr>
              <w:pStyle w:val="ListParagraph"/>
              <w:tabs>
                <w:tab w:val="left" w:pos="993"/>
              </w:tabs>
              <w:spacing w:after="0" w:line="240" w:lineRule="auto"/>
              <w:ind w:left="0"/>
              <w:jc w:val="both"/>
              <w:rPr>
                <w:rFonts w:ascii="Times New Roman" w:hAnsi="Times New Roman"/>
                <w:lang w:eastAsia="lv-LV"/>
              </w:rPr>
            </w:pPr>
            <w:r w:rsidRPr="00DC34FD">
              <w:rPr>
                <w:rFonts w:ascii="Times New Roman" w:hAnsi="Times New Roman"/>
                <w:lang w:eastAsia="lv-LV"/>
              </w:rPr>
              <w:t>2</w:t>
            </w:r>
            <w:r w:rsidR="00EE02AA">
              <w:rPr>
                <w:rFonts w:ascii="Times New Roman" w:hAnsi="Times New Roman"/>
                <w:lang w:eastAsia="lv-LV"/>
              </w:rPr>
              <w:t>5</w:t>
            </w:r>
            <w:r w:rsidRPr="00DC34FD">
              <w:rPr>
                <w:rFonts w:ascii="Times New Roman" w:hAnsi="Times New Roman"/>
                <w:lang w:eastAsia="lv-LV"/>
              </w:rPr>
              <w:t xml:space="preserve">. </w:t>
            </w:r>
            <w:r w:rsidR="00EE02AA" w:rsidRPr="00EE02AA">
              <w:rPr>
                <w:rFonts w:ascii="Times New Roman" w:hAnsi="Times New Roman"/>
                <w:lang w:eastAsia="lv-LV"/>
              </w:rPr>
              <w:t>Centram identificējot publisku spēļu un rekreācijas laukumu, kurš nav reģistrēts vai kura dati nav aktualizēti reģistrā, Centrs veic par to atzīmi reģistrā Centra konstatēto datu apjomā un pieprasa tā valdītājam iesniegt attiecīgu reģistrācijas pieteikumu</w:t>
            </w:r>
            <w:r w:rsidR="00EE02AA">
              <w:rPr>
                <w:rFonts w:ascii="Times New Roman" w:hAnsi="Times New Roman"/>
                <w:lang w:eastAsia="lv-LV"/>
              </w:rPr>
              <w:t>.</w:t>
            </w:r>
          </w:p>
        </w:tc>
      </w:tr>
      <w:tr w:rsidR="00A40E32" w:rsidRPr="00DC34FD" w14:paraId="221EFE89" w14:textId="77777777" w:rsidTr="00AF11CB">
        <w:trPr>
          <w:trHeight w:val="2025"/>
        </w:trPr>
        <w:tc>
          <w:tcPr>
            <w:tcW w:w="742" w:type="dxa"/>
            <w:vMerge w:val="restart"/>
            <w:tcBorders>
              <w:top w:val="single" w:sz="4" w:space="0" w:color="auto"/>
              <w:left w:val="single" w:sz="4" w:space="0" w:color="auto"/>
              <w:right w:val="single" w:sz="4" w:space="0" w:color="auto"/>
            </w:tcBorders>
          </w:tcPr>
          <w:p w14:paraId="52CEDE64" w14:textId="3D027A93"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31</w:t>
            </w:r>
            <w:r w:rsidR="00A40E32" w:rsidRPr="00DC34FD">
              <w:rPr>
                <w:rFonts w:ascii="Times New Roman" w:hAnsi="Times New Roman" w:cs="Times New Roman"/>
              </w:rPr>
              <w:t>.</w:t>
            </w:r>
          </w:p>
        </w:tc>
        <w:tc>
          <w:tcPr>
            <w:tcW w:w="3370" w:type="dxa"/>
            <w:gridSpan w:val="2"/>
            <w:vMerge w:val="restart"/>
            <w:tcBorders>
              <w:top w:val="single" w:sz="4" w:space="0" w:color="auto"/>
              <w:left w:val="single" w:sz="4" w:space="0" w:color="auto"/>
              <w:right w:val="single" w:sz="4" w:space="0" w:color="auto"/>
            </w:tcBorders>
          </w:tcPr>
          <w:p w14:paraId="4C9475C6" w14:textId="2487F126" w:rsidR="00A40E32" w:rsidRPr="00DC34FD" w:rsidRDefault="00A40E32" w:rsidP="00A40E32">
            <w:pPr>
              <w:pStyle w:val="NormalWeb"/>
              <w:tabs>
                <w:tab w:val="left" w:pos="426"/>
              </w:tabs>
              <w:spacing w:before="0" w:beforeAutospacing="0" w:after="0" w:afterAutospacing="0"/>
              <w:jc w:val="both"/>
              <w:rPr>
                <w:sz w:val="22"/>
                <w:szCs w:val="22"/>
              </w:rPr>
            </w:pPr>
            <w:r w:rsidRPr="00DC34FD">
              <w:rPr>
                <w:sz w:val="22"/>
                <w:szCs w:val="22"/>
              </w:rPr>
              <w:t>27. Centram ir tiesības pieprasīt pašvaldībām datus par to teritorijā esošu nereģistrētu publisku spēļu laukumu valdītāju.</w:t>
            </w:r>
          </w:p>
        </w:tc>
        <w:tc>
          <w:tcPr>
            <w:tcW w:w="4311" w:type="dxa"/>
            <w:tcBorders>
              <w:top w:val="single" w:sz="4" w:space="0" w:color="auto"/>
              <w:left w:val="single" w:sz="4" w:space="0" w:color="auto"/>
              <w:bottom w:val="single" w:sz="4" w:space="0" w:color="auto"/>
              <w:right w:val="single" w:sz="4" w:space="0" w:color="auto"/>
            </w:tcBorders>
          </w:tcPr>
          <w:p w14:paraId="71EEE49C" w14:textId="77777777"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t>Tieslietu ministrija</w:t>
            </w:r>
          </w:p>
          <w:p w14:paraId="4F419B4F" w14:textId="7B4AA30A" w:rsidR="00A40E32" w:rsidRPr="00DC34FD" w:rsidRDefault="00A40E32" w:rsidP="00A40E32">
            <w:pPr>
              <w:pStyle w:val="EnvelopeReturn"/>
              <w:spacing w:before="0"/>
              <w:jc w:val="both"/>
              <w:rPr>
                <w:sz w:val="22"/>
                <w:szCs w:val="22"/>
                <w:lang w:eastAsia="lv-LV"/>
              </w:rPr>
            </w:pPr>
            <w:r w:rsidRPr="00DC34FD">
              <w:rPr>
                <w:sz w:val="22"/>
                <w:szCs w:val="22"/>
                <w:lang w:eastAsia="lv-LV"/>
              </w:rPr>
              <w:lastRenderedPageBreak/>
              <w:t>Projekta 27. punkts paredz Patērētāju tiesību aizsardzības centra tiesības pieprasīt pašvaldībām datus par to teritorijā esošu nereģistrētu publisku spēļu laukumu valdītāju. Vēršam uzmanību, ka Ministru kabineta 2006. gada 1. augusta noteikumu Nr. 632 "Patērētāju tiesību aizsardzības centra nolikums" (turpmāk – nolikums) 6.3. apakšpunkts noteic Patērētāju tiesību aizsardzības centra tiesības pieprasīt no valsts un pašvaldību institūcijām uzdevumu veikšanai nepieciešamo informāciju un dokumentus. Ievērojot minēto, lūdzam nedublēt minēto regulējumu projektā un svītrot projekta 27. punktu.</w:t>
            </w:r>
          </w:p>
        </w:tc>
        <w:tc>
          <w:tcPr>
            <w:tcW w:w="2410" w:type="dxa"/>
            <w:gridSpan w:val="2"/>
            <w:vMerge w:val="restart"/>
            <w:tcBorders>
              <w:top w:val="single" w:sz="4" w:space="0" w:color="auto"/>
              <w:left w:val="single" w:sz="4" w:space="0" w:color="auto"/>
              <w:right w:val="single" w:sz="4" w:space="0" w:color="auto"/>
            </w:tcBorders>
          </w:tcPr>
          <w:p w14:paraId="7464B1D4" w14:textId="77777777" w:rsidR="00A40E32" w:rsidRPr="00DC34FD" w:rsidRDefault="00A40E32" w:rsidP="00A40E32">
            <w:pPr>
              <w:pStyle w:val="naisc"/>
              <w:spacing w:before="0" w:after="0"/>
              <w:rPr>
                <w:sz w:val="22"/>
                <w:szCs w:val="22"/>
              </w:rPr>
            </w:pPr>
            <w:r w:rsidRPr="00DC34FD">
              <w:rPr>
                <w:b/>
                <w:sz w:val="22"/>
                <w:szCs w:val="22"/>
              </w:rPr>
              <w:lastRenderedPageBreak/>
              <w:t>Ņemts vērā.</w:t>
            </w:r>
            <w:r w:rsidRPr="00DC34FD">
              <w:rPr>
                <w:sz w:val="22"/>
                <w:szCs w:val="22"/>
              </w:rPr>
              <w:t xml:space="preserve"> </w:t>
            </w:r>
          </w:p>
          <w:p w14:paraId="693E39C2" w14:textId="1E0C3918" w:rsidR="00A40E32" w:rsidRPr="00DC34FD" w:rsidRDefault="00A40E32" w:rsidP="00A40E32">
            <w:pPr>
              <w:pStyle w:val="naisc"/>
              <w:spacing w:before="0" w:after="0"/>
              <w:rPr>
                <w:b/>
                <w:sz w:val="22"/>
                <w:szCs w:val="22"/>
              </w:rPr>
            </w:pPr>
            <w:r w:rsidRPr="00DC34FD">
              <w:rPr>
                <w:sz w:val="22"/>
                <w:szCs w:val="22"/>
              </w:rPr>
              <w:t>Punkts svītrots, jo Patērētāju tiesību aizsardzības centra nolikums šādas tiesības jau paredz.</w:t>
            </w:r>
          </w:p>
        </w:tc>
        <w:tc>
          <w:tcPr>
            <w:tcW w:w="4652" w:type="dxa"/>
            <w:vMerge w:val="restart"/>
            <w:tcBorders>
              <w:top w:val="single" w:sz="4" w:space="0" w:color="auto"/>
              <w:left w:val="single" w:sz="4" w:space="0" w:color="auto"/>
            </w:tcBorders>
          </w:tcPr>
          <w:p w14:paraId="5AD114FC" w14:textId="1C933F32" w:rsidR="00A40E32" w:rsidRPr="00DC34FD" w:rsidRDefault="00A40E32" w:rsidP="00A40E32">
            <w:pPr>
              <w:pStyle w:val="ListParagraph"/>
              <w:tabs>
                <w:tab w:val="left" w:pos="993"/>
              </w:tabs>
              <w:spacing w:after="0" w:line="240" w:lineRule="auto"/>
              <w:ind w:left="0"/>
              <w:jc w:val="both"/>
              <w:rPr>
                <w:rFonts w:ascii="Times New Roman" w:hAnsi="Times New Roman"/>
                <w:lang w:eastAsia="lv-LV"/>
              </w:rPr>
            </w:pPr>
          </w:p>
        </w:tc>
      </w:tr>
      <w:tr w:rsidR="00A40E32" w:rsidRPr="00DC34FD" w14:paraId="6B3C41F6" w14:textId="77777777" w:rsidTr="00AF11CB">
        <w:trPr>
          <w:trHeight w:val="3907"/>
        </w:trPr>
        <w:tc>
          <w:tcPr>
            <w:tcW w:w="742" w:type="dxa"/>
            <w:vMerge/>
            <w:tcBorders>
              <w:left w:val="single" w:sz="4" w:space="0" w:color="auto"/>
              <w:right w:val="single" w:sz="4" w:space="0" w:color="auto"/>
            </w:tcBorders>
          </w:tcPr>
          <w:p w14:paraId="6DFD7B73" w14:textId="77777777" w:rsidR="00A40E32" w:rsidRPr="00DC34FD" w:rsidRDefault="00A40E32"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3075E92F" w14:textId="77777777" w:rsidR="00A40E32" w:rsidRPr="00DC34FD" w:rsidRDefault="00A40E32" w:rsidP="00A40E32">
            <w:pPr>
              <w:pStyle w:val="NormalWeb"/>
              <w:tabs>
                <w:tab w:val="left" w:pos="426"/>
              </w:tabs>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2F2F8BDA" w14:textId="77777777" w:rsidR="00A40E32" w:rsidRPr="00DC34FD" w:rsidRDefault="00A40E32" w:rsidP="00A40E32">
            <w:pPr>
              <w:pStyle w:val="CommentText"/>
              <w:spacing w:before="60" w:after="0"/>
              <w:jc w:val="center"/>
              <w:rPr>
                <w:b/>
                <w:sz w:val="22"/>
                <w:szCs w:val="22"/>
              </w:rPr>
            </w:pPr>
            <w:r w:rsidRPr="00DC34FD">
              <w:rPr>
                <w:b/>
                <w:sz w:val="22"/>
                <w:szCs w:val="22"/>
              </w:rPr>
              <w:t>Latvijas Lielo pilsētu asociācija</w:t>
            </w:r>
          </w:p>
          <w:p w14:paraId="52663ABB" w14:textId="77777777" w:rsidR="00A40E32" w:rsidRPr="00DC34FD" w:rsidRDefault="00A40E32" w:rsidP="00A40E32">
            <w:pPr>
              <w:pStyle w:val="CommentText"/>
              <w:jc w:val="both"/>
              <w:rPr>
                <w:color w:val="000000"/>
                <w:sz w:val="22"/>
                <w:szCs w:val="22"/>
              </w:rPr>
            </w:pPr>
            <w:r w:rsidRPr="00DC34FD">
              <w:rPr>
                <w:color w:val="000000"/>
                <w:sz w:val="22"/>
                <w:szCs w:val="22"/>
              </w:rPr>
              <w:t xml:space="preserve">Minētā prasība rada papildus administratīvo slogu. Ņemot vērā, ka pašvaldība neveic publisku privātīpašumā esošu rotaļu laukumu uzskaiti, kā arī pašvaldība neveic informācijas uzglabāšanu par privātīpašumā esošu rotaļu laukumu tiesiskajiem (un uz to brīdi - faktiskajiem) valdītājiem, pašvaldība PTAC var sniegt tikai to informāciju, kas ir atrodama publiski pieejamās datu bāzēs. Tādējādi tiek patērēti administratīvie resursi (gan PTAC, gan arī pašvaldībā), pakļaujoties tiesiskā regulējuma prasībām sniegt (šajā gadījumā – formālu) atbildi uz pieprasījumu par publiski pieejamas informācijas sniegšanu. Nekustamā īpašumā esošā infrastruktūra, šajā gadījumā – bērnu rotaļu laukumi - ir uzskatāmi par nekustamā īpašuma sastāvdaļu, un uz ko zemes īpašniekam vienam pašam ir pilnīga varas </w:t>
            </w:r>
            <w:r w:rsidRPr="00DC34FD">
              <w:rPr>
                <w:color w:val="000000"/>
                <w:sz w:val="22"/>
                <w:szCs w:val="22"/>
              </w:rPr>
              <w:lastRenderedPageBreak/>
              <w:t>tiesība pār to, pie nosacījuma, ja zemes īpašnieks nav nodevis šo tiesību kādai citai personai. Līdz ar to</w:t>
            </w:r>
            <w:r w:rsidRPr="00DC34FD">
              <w:rPr>
                <w:color w:val="000000"/>
                <w:sz w:val="22"/>
                <w:szCs w:val="22"/>
                <w:u w:val="single"/>
              </w:rPr>
              <w:t xml:space="preserve"> pašvaldība var sniegt informāciju par rotaļu laukumu valdītāju, tikai par bērnu rotaļu laukumiem, kas atrodas uz pašvaldības īpašumā esošiem zemes gabaliem.</w:t>
            </w:r>
            <w:r w:rsidRPr="00DC34FD">
              <w:rPr>
                <w:color w:val="000000"/>
                <w:sz w:val="22"/>
                <w:szCs w:val="22"/>
              </w:rPr>
              <w:t xml:space="preserve"> </w:t>
            </w:r>
            <w:r w:rsidRPr="00DC34FD">
              <w:rPr>
                <w:color w:val="000000"/>
                <w:sz w:val="22"/>
                <w:szCs w:val="22"/>
                <w:u w:val="single"/>
              </w:rPr>
              <w:t>Par bērnu rotaļu laukumu, kas atrodas uz privātpersonu un/vai juridisko personu īpašumā esošās zemes, valdītāju, informāciju var sniegt tikai minētā nekustamā īpašuma īpašnieks, t</w:t>
            </w:r>
            <w:r w:rsidRPr="00DC34FD">
              <w:rPr>
                <w:color w:val="000000"/>
                <w:sz w:val="22"/>
                <w:szCs w:val="22"/>
              </w:rPr>
              <w:t xml:space="preserve">āpēc minēto punktu rosinām izteikt sekojošā redakcijā: </w:t>
            </w:r>
          </w:p>
          <w:p w14:paraId="367F7409" w14:textId="36E7F06D"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hAnsi="Times New Roman" w:cs="Times New Roman"/>
                <w:i/>
                <w:color w:val="000000"/>
              </w:rPr>
              <w:t>“27. Centram ir tiesības pieprasīt pašvaldībām datus par to teritorijā esošu nereģistrētu publisku spēļu laukumu valdītāju, ja šie laukumi atrodas uz pašvaldībai piekritīgas zemes.”.</w:t>
            </w:r>
          </w:p>
        </w:tc>
        <w:tc>
          <w:tcPr>
            <w:tcW w:w="2410" w:type="dxa"/>
            <w:gridSpan w:val="2"/>
            <w:vMerge/>
            <w:tcBorders>
              <w:left w:val="single" w:sz="4" w:space="0" w:color="auto"/>
              <w:right w:val="single" w:sz="4" w:space="0" w:color="auto"/>
            </w:tcBorders>
          </w:tcPr>
          <w:p w14:paraId="52934D71" w14:textId="77777777" w:rsidR="00A40E32" w:rsidRPr="00DC34FD" w:rsidRDefault="00A40E32" w:rsidP="00A40E32">
            <w:pPr>
              <w:pStyle w:val="naisc"/>
              <w:spacing w:before="0" w:after="0"/>
              <w:rPr>
                <w:b/>
                <w:sz w:val="22"/>
                <w:szCs w:val="22"/>
              </w:rPr>
            </w:pPr>
          </w:p>
        </w:tc>
        <w:tc>
          <w:tcPr>
            <w:tcW w:w="4652" w:type="dxa"/>
            <w:vMerge/>
            <w:tcBorders>
              <w:left w:val="single" w:sz="4" w:space="0" w:color="auto"/>
            </w:tcBorders>
          </w:tcPr>
          <w:p w14:paraId="780ECF86" w14:textId="77777777" w:rsidR="00A40E32" w:rsidRPr="00DC34FD" w:rsidRDefault="00A40E32" w:rsidP="00A40E32">
            <w:pPr>
              <w:pStyle w:val="ListParagraph"/>
              <w:tabs>
                <w:tab w:val="left" w:pos="993"/>
              </w:tabs>
              <w:spacing w:after="0" w:line="240" w:lineRule="auto"/>
              <w:ind w:left="0"/>
              <w:jc w:val="both"/>
              <w:rPr>
                <w:rFonts w:ascii="Times New Roman" w:hAnsi="Times New Roman"/>
                <w:lang w:eastAsia="lv-LV"/>
              </w:rPr>
            </w:pPr>
          </w:p>
        </w:tc>
      </w:tr>
      <w:tr w:rsidR="00A40E32" w:rsidRPr="00DC34FD" w14:paraId="0231B69E" w14:textId="77777777" w:rsidTr="00AF11CB">
        <w:trPr>
          <w:trHeight w:val="3907"/>
        </w:trPr>
        <w:tc>
          <w:tcPr>
            <w:tcW w:w="742" w:type="dxa"/>
            <w:vMerge/>
            <w:tcBorders>
              <w:left w:val="single" w:sz="4" w:space="0" w:color="auto"/>
              <w:bottom w:val="single" w:sz="4" w:space="0" w:color="auto"/>
              <w:right w:val="single" w:sz="4" w:space="0" w:color="auto"/>
            </w:tcBorders>
          </w:tcPr>
          <w:p w14:paraId="06F3E08B" w14:textId="77777777" w:rsidR="00A40E32" w:rsidRPr="00DC34FD" w:rsidRDefault="00A40E32"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54F9D9E2" w14:textId="77777777" w:rsidR="00A40E32" w:rsidRPr="00DC34FD" w:rsidRDefault="00A40E32" w:rsidP="00A40E32">
            <w:pPr>
              <w:pStyle w:val="NormalWeb"/>
              <w:tabs>
                <w:tab w:val="left" w:pos="426"/>
              </w:tabs>
              <w:spacing w:before="0" w:beforeAutospacing="0" w:after="0" w:afterAutospacing="0"/>
              <w:jc w:val="both"/>
              <w:rPr>
                <w:sz w:val="22"/>
                <w:szCs w:val="22"/>
              </w:rPr>
            </w:pPr>
          </w:p>
        </w:tc>
        <w:tc>
          <w:tcPr>
            <w:tcW w:w="4311" w:type="dxa"/>
            <w:tcBorders>
              <w:top w:val="single" w:sz="4" w:space="0" w:color="auto"/>
              <w:left w:val="single" w:sz="4" w:space="0" w:color="auto"/>
              <w:bottom w:val="single" w:sz="4" w:space="0" w:color="auto"/>
              <w:right w:val="single" w:sz="4" w:space="0" w:color="auto"/>
            </w:tcBorders>
          </w:tcPr>
          <w:p w14:paraId="25865BDA" w14:textId="77777777" w:rsidR="00A40E32" w:rsidRPr="00DC34FD" w:rsidRDefault="00A40E32" w:rsidP="00A40E32">
            <w:pPr>
              <w:pStyle w:val="CommentText"/>
              <w:spacing w:before="60"/>
              <w:jc w:val="center"/>
              <w:rPr>
                <w:b/>
                <w:sz w:val="22"/>
                <w:szCs w:val="22"/>
              </w:rPr>
            </w:pPr>
            <w:r w:rsidRPr="00DC34FD">
              <w:rPr>
                <w:b/>
                <w:sz w:val="22"/>
                <w:szCs w:val="22"/>
              </w:rPr>
              <w:t>Latvijas Pašvaldību savienība</w:t>
            </w:r>
          </w:p>
          <w:p w14:paraId="40A7C3CD" w14:textId="3BC8E858" w:rsidR="00A40E32" w:rsidRPr="00DC34FD" w:rsidRDefault="00A40E32" w:rsidP="00A40E32">
            <w:pPr>
              <w:pStyle w:val="CommentText"/>
              <w:spacing w:before="60"/>
              <w:jc w:val="both"/>
              <w:rPr>
                <w:sz w:val="22"/>
                <w:szCs w:val="22"/>
              </w:rPr>
            </w:pPr>
            <w:r w:rsidRPr="00DC34FD">
              <w:rPr>
                <w:sz w:val="22"/>
                <w:szCs w:val="22"/>
              </w:rPr>
              <w:t xml:space="preserve">No Noteikumu projekta izslēdzams 27. punkts, jo pašvaldība neveic publisku privātīpašumā esošo laukumu uzskaiti. Pašvaldība līdzīgi kā PTAC vai, iespējams, arī jaunizveidojamā akreditēšanas iestāde var sniegt tikai to informāciju, kas ir atrodama publiski pieejamās datu bāzēs. Tāpēc informāciju par rotaļu laukumiem, kas atrodas privātpersonu vai juridisko personu īpašumā esošajiem zemes gabaliem var sniegt tikai pats zemes īpašnieks. </w:t>
            </w:r>
          </w:p>
          <w:p w14:paraId="7F0F54B4" w14:textId="77777777" w:rsidR="00A40E32" w:rsidRPr="00DC34FD" w:rsidRDefault="00A40E32" w:rsidP="00A40E32">
            <w:pPr>
              <w:pStyle w:val="CommentText"/>
              <w:spacing w:before="60"/>
              <w:ind w:left="-44" w:firstLine="44"/>
              <w:jc w:val="both"/>
              <w:rPr>
                <w:sz w:val="22"/>
                <w:szCs w:val="22"/>
              </w:rPr>
            </w:pPr>
            <w:r w:rsidRPr="00DC34FD">
              <w:rPr>
                <w:sz w:val="22"/>
                <w:szCs w:val="22"/>
                <w:u w:val="single"/>
              </w:rPr>
              <w:t>Priekšlikums:</w:t>
            </w:r>
          </w:p>
          <w:p w14:paraId="1028A572" w14:textId="5FCBBDF3" w:rsidR="00A40E32" w:rsidRPr="00DC34FD" w:rsidRDefault="00A40E32" w:rsidP="00A40E32">
            <w:pPr>
              <w:pStyle w:val="CommentText"/>
              <w:spacing w:before="60"/>
              <w:ind w:left="-44" w:firstLine="44"/>
              <w:jc w:val="both"/>
              <w:rPr>
                <w:b/>
              </w:rPr>
            </w:pPr>
            <w:r w:rsidRPr="00DC34FD">
              <w:rPr>
                <w:sz w:val="22"/>
                <w:szCs w:val="22"/>
              </w:rPr>
              <w:lastRenderedPageBreak/>
              <w:t>Šo punktu izteikt šādā redakcijā: “”Centram ir tiesības pieprasīt pašvaldībām datus par to teritorijā esošu nereģistrētu publisku spēļu laukumu valdītāju, ja šie laukumi atrodas uz pašvaldībām piekritīgas zemes.</w:t>
            </w:r>
          </w:p>
        </w:tc>
        <w:tc>
          <w:tcPr>
            <w:tcW w:w="2410" w:type="dxa"/>
            <w:gridSpan w:val="2"/>
            <w:vMerge/>
            <w:tcBorders>
              <w:left w:val="single" w:sz="4" w:space="0" w:color="auto"/>
              <w:bottom w:val="single" w:sz="4" w:space="0" w:color="auto"/>
              <w:right w:val="single" w:sz="4" w:space="0" w:color="auto"/>
            </w:tcBorders>
          </w:tcPr>
          <w:p w14:paraId="025FC0F0" w14:textId="77777777" w:rsidR="00A40E32" w:rsidRPr="00DC34FD" w:rsidRDefault="00A40E32" w:rsidP="00A40E32">
            <w:pPr>
              <w:pStyle w:val="naisc"/>
              <w:spacing w:before="0" w:after="0"/>
              <w:rPr>
                <w:b/>
                <w:sz w:val="22"/>
                <w:szCs w:val="22"/>
              </w:rPr>
            </w:pPr>
          </w:p>
        </w:tc>
        <w:tc>
          <w:tcPr>
            <w:tcW w:w="4652" w:type="dxa"/>
            <w:vMerge/>
            <w:tcBorders>
              <w:left w:val="single" w:sz="4" w:space="0" w:color="auto"/>
              <w:bottom w:val="single" w:sz="4" w:space="0" w:color="auto"/>
            </w:tcBorders>
          </w:tcPr>
          <w:p w14:paraId="2E796558" w14:textId="77777777" w:rsidR="00A40E32" w:rsidRPr="00DC34FD" w:rsidRDefault="00A40E32" w:rsidP="00A40E32">
            <w:pPr>
              <w:pStyle w:val="ListParagraph"/>
              <w:tabs>
                <w:tab w:val="left" w:pos="993"/>
              </w:tabs>
              <w:spacing w:after="0" w:line="240" w:lineRule="auto"/>
              <w:ind w:left="0"/>
              <w:jc w:val="both"/>
              <w:rPr>
                <w:rFonts w:ascii="Times New Roman" w:hAnsi="Times New Roman"/>
                <w:lang w:eastAsia="lv-LV"/>
              </w:rPr>
            </w:pPr>
          </w:p>
        </w:tc>
      </w:tr>
      <w:tr w:rsidR="00A40E32" w:rsidRPr="00DC34FD" w14:paraId="36D062A0" w14:textId="77777777" w:rsidTr="00AF11CB">
        <w:tc>
          <w:tcPr>
            <w:tcW w:w="742" w:type="dxa"/>
            <w:tcBorders>
              <w:top w:val="single" w:sz="4" w:space="0" w:color="auto"/>
              <w:left w:val="single" w:sz="4" w:space="0" w:color="auto"/>
              <w:bottom w:val="single" w:sz="4" w:space="0" w:color="auto"/>
              <w:right w:val="single" w:sz="4" w:space="0" w:color="auto"/>
            </w:tcBorders>
          </w:tcPr>
          <w:p w14:paraId="65D5B7F2" w14:textId="569D02FB"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32.</w:t>
            </w:r>
          </w:p>
        </w:tc>
        <w:tc>
          <w:tcPr>
            <w:tcW w:w="3370" w:type="dxa"/>
            <w:gridSpan w:val="2"/>
            <w:tcBorders>
              <w:top w:val="single" w:sz="4" w:space="0" w:color="auto"/>
              <w:left w:val="single" w:sz="4" w:space="0" w:color="auto"/>
              <w:bottom w:val="single" w:sz="4" w:space="0" w:color="auto"/>
              <w:right w:val="single" w:sz="4" w:space="0" w:color="auto"/>
            </w:tcBorders>
          </w:tcPr>
          <w:p w14:paraId="38AFF187" w14:textId="77777777" w:rsidR="00A40E32" w:rsidRPr="00DC34FD" w:rsidRDefault="00A40E32" w:rsidP="00A40E32">
            <w:pPr>
              <w:pStyle w:val="tv213"/>
              <w:shd w:val="clear" w:color="auto" w:fill="FFFFFF"/>
              <w:spacing w:before="0" w:beforeAutospacing="0" w:after="0" w:afterAutospacing="0"/>
              <w:jc w:val="both"/>
              <w:rPr>
                <w:color w:val="000000"/>
                <w:sz w:val="22"/>
                <w:szCs w:val="22"/>
              </w:rPr>
            </w:pPr>
            <w:r w:rsidRPr="00DC34FD">
              <w:rPr>
                <w:color w:val="000000"/>
                <w:sz w:val="22"/>
                <w:szCs w:val="22"/>
              </w:rPr>
              <w:t xml:space="preserve">29.3. pieprasīt, lai publiskā spēļu laukuma valdītājs nodrošina attiecīgo tehniskās dokumentācijas daļu tulkojumu valsts valodā, sniedzot pamatojumu tulkošanas nepieciešamībai. Pieprasot iesniegt </w:t>
            </w:r>
            <w:r w:rsidRPr="00DC34FD">
              <w:rPr>
                <w:color w:val="000000"/>
                <w:sz w:val="22"/>
                <w:szCs w:val="22"/>
                <w:u w:val="single"/>
              </w:rPr>
              <w:t>tehnisko dokumentāciju, kā arī tās daļu tulkojumu</w:t>
            </w:r>
            <w:r w:rsidRPr="00DC34FD">
              <w:rPr>
                <w:color w:val="000000"/>
                <w:sz w:val="22"/>
                <w:szCs w:val="22"/>
              </w:rPr>
              <w:t>, Centrs nosaka 30 dienu iesniegšanas termiņu, ja vien nav attaisnojams īsāks termiņš nopietna un tūlītēja riska konstatēšanas dēļ.</w:t>
            </w:r>
          </w:p>
          <w:p w14:paraId="52FE9F7F" w14:textId="77777777" w:rsidR="00A40E32" w:rsidRPr="00DC34FD" w:rsidRDefault="00A40E32" w:rsidP="00A40E32">
            <w:pPr>
              <w:pStyle w:val="ListParagraph"/>
              <w:spacing w:after="0" w:line="240" w:lineRule="auto"/>
              <w:ind w:left="0"/>
              <w:jc w:val="both"/>
              <w:rPr>
                <w:rFonts w:ascii="Times New Roman" w:hAnsi="Times New Roman"/>
                <w:lang w:eastAsia="lv-LV"/>
              </w:rPr>
            </w:pPr>
          </w:p>
        </w:tc>
        <w:tc>
          <w:tcPr>
            <w:tcW w:w="4311" w:type="dxa"/>
            <w:tcBorders>
              <w:top w:val="single" w:sz="4" w:space="0" w:color="auto"/>
              <w:left w:val="single" w:sz="4" w:space="0" w:color="auto"/>
              <w:bottom w:val="single" w:sz="4" w:space="0" w:color="auto"/>
              <w:right w:val="single" w:sz="4" w:space="0" w:color="auto"/>
            </w:tcBorders>
          </w:tcPr>
          <w:p w14:paraId="2B198C77" w14:textId="0E2E7665" w:rsidR="00A40E32" w:rsidRPr="00DC34FD" w:rsidRDefault="00A40E32" w:rsidP="00A40E32">
            <w:pPr>
              <w:pStyle w:val="CommentText"/>
              <w:jc w:val="center"/>
              <w:rPr>
                <w:color w:val="000000"/>
                <w:sz w:val="22"/>
                <w:szCs w:val="22"/>
              </w:rPr>
            </w:pPr>
            <w:r w:rsidRPr="00DC34FD">
              <w:rPr>
                <w:b/>
                <w:sz w:val="22"/>
                <w:szCs w:val="22"/>
              </w:rPr>
              <w:t>Latvijas Lielo pilsētu asociācija</w:t>
            </w:r>
          </w:p>
          <w:p w14:paraId="50D18E40" w14:textId="7A4B055C" w:rsidR="00A40E32" w:rsidRPr="00DC34FD" w:rsidRDefault="00A40E32" w:rsidP="00A40E32">
            <w:pPr>
              <w:pStyle w:val="CommentText"/>
              <w:jc w:val="both"/>
              <w:rPr>
                <w:color w:val="000000"/>
                <w:sz w:val="22"/>
                <w:szCs w:val="22"/>
              </w:rPr>
            </w:pPr>
            <w:r w:rsidRPr="00DC34FD">
              <w:rPr>
                <w:color w:val="000000"/>
                <w:sz w:val="22"/>
                <w:szCs w:val="22"/>
              </w:rPr>
              <w:t>Lūdzam skaidrot. kādēļ ražotājam jānodrošina tehniskās dokumentācija vienā no Eiropas Savienības oficiālajām valodām, bet valdītājam jānodrošina valsts valodā. Vai šī noteikuma punkta dēļ valdītāji (pašvaldība) drīkst pieprasīt un iegādāsies iekārtas tikai ar jau tulkotu tehnisko dokumentāciju?</w:t>
            </w:r>
          </w:p>
          <w:p w14:paraId="0D39AA26" w14:textId="124B0EA9" w:rsidR="00A40E32" w:rsidRPr="00DC34FD" w:rsidRDefault="00A40E32" w:rsidP="00A40E32">
            <w:pPr>
              <w:spacing w:after="0" w:line="240" w:lineRule="auto"/>
              <w:jc w:val="both"/>
              <w:rPr>
                <w:rFonts w:ascii="Times New Roman" w:eastAsia="Times New Roman" w:hAnsi="Times New Roman" w:cs="Times New Roman"/>
                <w:b/>
              </w:rPr>
            </w:pPr>
            <w:r w:rsidRPr="00DC34FD">
              <w:rPr>
                <w:rFonts w:ascii="Times New Roman" w:hAnsi="Times New Roman" w:cs="Times New Roman"/>
                <w:color w:val="000000"/>
              </w:rPr>
              <w:t xml:space="preserve">Minētā prasība dublējas ar noteikumu projekta 15.3. apakšpunkti, kas nosaka, ka spēļu vai citu aktivitāšu iekārtas ražotājam, importētājam vai izplatītājam ir pienākums pēc Centra pamatota pieprasījuma sniegt Centram visu nepieciešamo informāciju un dokumentāciju valsts valodā, lai pierādītu spēļu vai citu aktivitāšu iekārtas atbilstību noteikumu prasībām. Papildus tam, rotaļu laukuma </w:t>
            </w:r>
            <w:r w:rsidRPr="00DC34FD">
              <w:rPr>
                <w:rFonts w:ascii="Times New Roman" w:hAnsi="Times New Roman" w:cs="Times New Roman"/>
                <w:color w:val="000000"/>
              </w:rPr>
              <w:lastRenderedPageBreak/>
              <w:t>valdītājam pārsvarā gadījumu nav pieejama pilnīga tehniskā dokumentācija, īpaši, par spēļu laukumiem, kas uzstādīti pirms šo noteikumu spēkā stāšanās (piemēram, noteikumu projekta 12.2.1. apakšpunktā minētā dokumentācija). Tādējādi minētā prasība šādas tehniskās dokumentācijas nodrošināšanai, kā arī šīs dokumentācijas tulkošanai valsts valodā ir nesamērīga prasība spēļu laukumu valdītājam. Līdz ar to rosinām minēto punktu svītrot no noteikumu projekta, jo šī prasība jau noteikta noteikumu projekta 15. punktā.</w:t>
            </w:r>
          </w:p>
        </w:tc>
        <w:tc>
          <w:tcPr>
            <w:tcW w:w="2410" w:type="dxa"/>
            <w:gridSpan w:val="2"/>
            <w:tcBorders>
              <w:top w:val="single" w:sz="4" w:space="0" w:color="auto"/>
              <w:left w:val="single" w:sz="4" w:space="0" w:color="auto"/>
              <w:bottom w:val="single" w:sz="4" w:space="0" w:color="auto"/>
              <w:right w:val="single" w:sz="4" w:space="0" w:color="auto"/>
            </w:tcBorders>
          </w:tcPr>
          <w:p w14:paraId="5288ED42" w14:textId="77777777" w:rsidR="00A40E32" w:rsidRPr="00DC34FD" w:rsidRDefault="00A40E32" w:rsidP="00A40E32">
            <w:pPr>
              <w:pStyle w:val="naisc"/>
              <w:spacing w:before="0" w:after="0"/>
              <w:jc w:val="both"/>
              <w:rPr>
                <w:sz w:val="22"/>
                <w:szCs w:val="22"/>
              </w:rPr>
            </w:pPr>
            <w:r w:rsidRPr="00DC34FD">
              <w:rPr>
                <w:b/>
                <w:sz w:val="22"/>
                <w:szCs w:val="22"/>
              </w:rPr>
              <w:lastRenderedPageBreak/>
              <w:t>Ņemts vērā.</w:t>
            </w:r>
            <w:r w:rsidRPr="00DC34FD">
              <w:rPr>
                <w:sz w:val="22"/>
                <w:szCs w:val="22"/>
              </w:rPr>
              <w:t xml:space="preserve"> </w:t>
            </w:r>
          </w:p>
          <w:p w14:paraId="78413391" w14:textId="07A4A635" w:rsidR="00A40E32" w:rsidRPr="00DC34FD" w:rsidRDefault="00A40E32" w:rsidP="00A40E32">
            <w:pPr>
              <w:pStyle w:val="naisc"/>
              <w:spacing w:before="0" w:after="0"/>
              <w:jc w:val="both"/>
              <w:rPr>
                <w:b/>
                <w:sz w:val="22"/>
                <w:szCs w:val="22"/>
              </w:rPr>
            </w:pPr>
            <w:r w:rsidRPr="00DC34FD">
              <w:rPr>
                <w:sz w:val="22"/>
                <w:szCs w:val="22"/>
              </w:rPr>
              <w:t>Punkts precizēts, paredzot Centram tiesības tulkojumu pieprasīt ražotājam vai importētājam.</w:t>
            </w:r>
          </w:p>
        </w:tc>
        <w:tc>
          <w:tcPr>
            <w:tcW w:w="4652" w:type="dxa"/>
            <w:tcBorders>
              <w:top w:val="single" w:sz="4" w:space="0" w:color="auto"/>
              <w:left w:val="single" w:sz="4" w:space="0" w:color="auto"/>
              <w:bottom w:val="single" w:sz="4" w:space="0" w:color="auto"/>
            </w:tcBorders>
          </w:tcPr>
          <w:p w14:paraId="00B2FE4F" w14:textId="77777777" w:rsidR="00EF4373" w:rsidRPr="00EF4373" w:rsidRDefault="00EF4373" w:rsidP="00EF4373">
            <w:pPr>
              <w:pStyle w:val="ListParagraph"/>
              <w:numPr>
                <w:ilvl w:val="0"/>
                <w:numId w:val="10"/>
              </w:numPr>
              <w:rPr>
                <w:rFonts w:ascii="Times New Roman" w:hAnsi="Times New Roman"/>
                <w:vanish/>
                <w:lang w:eastAsia="lv-LV"/>
              </w:rPr>
            </w:pPr>
          </w:p>
          <w:p w14:paraId="4B9A5F3F" w14:textId="77777777" w:rsidR="00EF4373" w:rsidRPr="00EF4373" w:rsidRDefault="00EF4373" w:rsidP="00EF4373">
            <w:pPr>
              <w:pStyle w:val="ListParagraph"/>
              <w:numPr>
                <w:ilvl w:val="0"/>
                <w:numId w:val="10"/>
              </w:numPr>
              <w:rPr>
                <w:rFonts w:ascii="Times New Roman" w:hAnsi="Times New Roman"/>
                <w:vanish/>
                <w:lang w:eastAsia="lv-LV"/>
              </w:rPr>
            </w:pPr>
          </w:p>
          <w:p w14:paraId="748A01C7" w14:textId="77777777" w:rsidR="00EF4373" w:rsidRPr="00EF4373" w:rsidRDefault="00EF4373" w:rsidP="00EF4373">
            <w:pPr>
              <w:pStyle w:val="ListParagraph"/>
              <w:numPr>
                <w:ilvl w:val="0"/>
                <w:numId w:val="10"/>
              </w:numPr>
              <w:rPr>
                <w:rFonts w:ascii="Times New Roman" w:hAnsi="Times New Roman"/>
                <w:vanish/>
                <w:lang w:eastAsia="lv-LV"/>
              </w:rPr>
            </w:pPr>
          </w:p>
          <w:p w14:paraId="744B8B67" w14:textId="77777777" w:rsidR="00EF4373" w:rsidRPr="00EF4373" w:rsidRDefault="00EF4373" w:rsidP="00EF4373">
            <w:pPr>
              <w:pStyle w:val="ListParagraph"/>
              <w:numPr>
                <w:ilvl w:val="0"/>
                <w:numId w:val="10"/>
              </w:numPr>
              <w:rPr>
                <w:rFonts w:ascii="Times New Roman" w:hAnsi="Times New Roman"/>
                <w:vanish/>
                <w:lang w:eastAsia="lv-LV"/>
              </w:rPr>
            </w:pPr>
          </w:p>
          <w:p w14:paraId="7424BB10" w14:textId="77777777" w:rsidR="00EF4373" w:rsidRPr="00EF4373" w:rsidRDefault="00EF4373" w:rsidP="00EF4373">
            <w:pPr>
              <w:pStyle w:val="ListParagraph"/>
              <w:numPr>
                <w:ilvl w:val="0"/>
                <w:numId w:val="10"/>
              </w:numPr>
              <w:rPr>
                <w:rFonts w:ascii="Times New Roman" w:hAnsi="Times New Roman"/>
                <w:vanish/>
                <w:lang w:eastAsia="lv-LV"/>
              </w:rPr>
            </w:pPr>
          </w:p>
          <w:p w14:paraId="09201546" w14:textId="77777777" w:rsidR="00EF4373" w:rsidRPr="00EF4373" w:rsidRDefault="00EF4373" w:rsidP="00EF4373">
            <w:pPr>
              <w:pStyle w:val="ListParagraph"/>
              <w:numPr>
                <w:ilvl w:val="0"/>
                <w:numId w:val="10"/>
              </w:numPr>
              <w:rPr>
                <w:rFonts w:ascii="Times New Roman" w:hAnsi="Times New Roman"/>
                <w:vanish/>
                <w:lang w:eastAsia="lv-LV"/>
              </w:rPr>
            </w:pPr>
          </w:p>
          <w:p w14:paraId="6AC0882E" w14:textId="77777777" w:rsidR="00EF4373" w:rsidRPr="00EF4373" w:rsidRDefault="00EF4373" w:rsidP="00EF4373">
            <w:pPr>
              <w:pStyle w:val="ListParagraph"/>
              <w:numPr>
                <w:ilvl w:val="0"/>
                <w:numId w:val="10"/>
              </w:numPr>
              <w:rPr>
                <w:rFonts w:ascii="Times New Roman" w:hAnsi="Times New Roman"/>
                <w:vanish/>
                <w:lang w:eastAsia="lv-LV"/>
              </w:rPr>
            </w:pPr>
          </w:p>
          <w:p w14:paraId="51676F1A" w14:textId="77777777" w:rsidR="00EF4373" w:rsidRPr="00EF4373" w:rsidRDefault="00EF4373" w:rsidP="00EF4373">
            <w:pPr>
              <w:pStyle w:val="ListParagraph"/>
              <w:numPr>
                <w:ilvl w:val="1"/>
                <w:numId w:val="10"/>
              </w:numPr>
              <w:rPr>
                <w:rFonts w:ascii="Times New Roman" w:hAnsi="Times New Roman"/>
                <w:vanish/>
                <w:lang w:eastAsia="lv-LV"/>
              </w:rPr>
            </w:pPr>
          </w:p>
          <w:p w14:paraId="7864319E" w14:textId="3538868F" w:rsidR="00A40E32" w:rsidRPr="00C43718" w:rsidRDefault="00C43718" w:rsidP="00C43718">
            <w:pPr>
              <w:rPr>
                <w:rFonts w:ascii="Times New Roman" w:hAnsi="Times New Roman"/>
                <w:lang w:eastAsia="lv-LV"/>
              </w:rPr>
            </w:pPr>
            <w:r w:rsidRPr="00C43718">
              <w:rPr>
                <w:rFonts w:ascii="Times New Roman" w:hAnsi="Times New Roman"/>
                <w:lang w:eastAsia="lv-LV"/>
              </w:rPr>
              <w:t>28.</w:t>
            </w:r>
            <w:r w:rsidRPr="00C43718">
              <w:rPr>
                <w:rFonts w:ascii="Times New Roman" w:hAnsi="Times New Roman"/>
                <w:lang w:eastAsia="lv-LV"/>
              </w:rPr>
              <w:tab/>
              <w:t>Konstatējot nepieciešamību pieprasīt, lai spēļu vai citu aktivitāšu iekārtas ražotājs vai importētājs nodrošina tehniskās dokumentācijas vai attiecīgo tās daļu tulkojumu valsts valodā, Centrs nosaka 30 dienu iesniegšanas termiņu, ja vien nav attaisnojams īsāks termiņš nopietna un tūlītēja riska konstatēšanas dēļ</w:t>
            </w:r>
            <w:r>
              <w:rPr>
                <w:rFonts w:ascii="Times New Roman" w:hAnsi="Times New Roman"/>
                <w:lang w:eastAsia="lv-LV"/>
              </w:rPr>
              <w:t>.</w:t>
            </w:r>
          </w:p>
        </w:tc>
      </w:tr>
      <w:tr w:rsidR="00A40E32" w:rsidRPr="00DC34FD" w14:paraId="46F8A49B" w14:textId="77777777" w:rsidTr="00AF11CB">
        <w:tc>
          <w:tcPr>
            <w:tcW w:w="742" w:type="dxa"/>
            <w:tcBorders>
              <w:top w:val="single" w:sz="4" w:space="0" w:color="auto"/>
              <w:left w:val="single" w:sz="4" w:space="0" w:color="auto"/>
              <w:bottom w:val="single" w:sz="4" w:space="0" w:color="auto"/>
              <w:right w:val="single" w:sz="4" w:space="0" w:color="auto"/>
            </w:tcBorders>
          </w:tcPr>
          <w:p w14:paraId="5EB2E605" w14:textId="42B5F9BB"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33.</w:t>
            </w:r>
          </w:p>
        </w:tc>
        <w:tc>
          <w:tcPr>
            <w:tcW w:w="3370" w:type="dxa"/>
            <w:gridSpan w:val="2"/>
            <w:tcBorders>
              <w:top w:val="single" w:sz="4" w:space="0" w:color="auto"/>
              <w:left w:val="single" w:sz="4" w:space="0" w:color="auto"/>
              <w:bottom w:val="single" w:sz="4" w:space="0" w:color="auto"/>
              <w:right w:val="single" w:sz="4" w:space="0" w:color="auto"/>
            </w:tcBorders>
          </w:tcPr>
          <w:p w14:paraId="102F2603" w14:textId="551C7F46" w:rsidR="00A40E32" w:rsidRPr="00DC34FD" w:rsidRDefault="00A40E32" w:rsidP="00A40E32">
            <w:pPr>
              <w:pStyle w:val="ListParagraph"/>
              <w:spacing w:after="0" w:line="240" w:lineRule="auto"/>
              <w:ind w:left="0"/>
              <w:jc w:val="both"/>
              <w:rPr>
                <w:rFonts w:ascii="Times New Roman" w:hAnsi="Times New Roman"/>
                <w:lang w:eastAsia="lv-LV"/>
              </w:rPr>
            </w:pPr>
            <w:r w:rsidRPr="00DC34FD">
              <w:rPr>
                <w:rFonts w:ascii="Times New Roman" w:hAnsi="Times New Roman"/>
                <w:color w:val="000000"/>
              </w:rPr>
              <w:t>35. Pirms šo noteikumu spēkā stāšanās lietošanai atvērtos un šo noteikumu 4. punktā noteiktajām pazīmēm atbilstošos publiskos spēļu laukumus un tajos uzstādītās spēļu vai citu aktivitāšu iekārtas drīkst piedāvāt lietošanai, ja tās atbilst Preču un pakalpojuma drošuma likuma</w:t>
            </w:r>
            <w:r w:rsidRPr="00DC34FD" w:rsidDel="00191702">
              <w:rPr>
                <w:rFonts w:ascii="Times New Roman" w:hAnsi="Times New Roman"/>
                <w:color w:val="000000"/>
              </w:rPr>
              <w:t xml:space="preserve"> </w:t>
            </w:r>
            <w:r w:rsidRPr="00DC34FD">
              <w:rPr>
                <w:rFonts w:ascii="Times New Roman" w:hAnsi="Times New Roman"/>
                <w:color w:val="000000"/>
              </w:rPr>
              <w:t>un šo noteikumu prasībām, kā arī, ja ir veikts publiskā spēļu laukuma riska novērtējums, ko nodrošina tā valdītājs, pēc izvēles piesaistot šo noteikumu 20. punktā minēto Pārbaudes veicēju, un ja ir veikta publiskā spēļu laukuma reģistrācija.</w:t>
            </w:r>
          </w:p>
        </w:tc>
        <w:tc>
          <w:tcPr>
            <w:tcW w:w="4311" w:type="dxa"/>
            <w:tcBorders>
              <w:top w:val="single" w:sz="4" w:space="0" w:color="auto"/>
              <w:left w:val="single" w:sz="4" w:space="0" w:color="auto"/>
              <w:bottom w:val="single" w:sz="4" w:space="0" w:color="auto"/>
              <w:right w:val="single" w:sz="4" w:space="0" w:color="auto"/>
            </w:tcBorders>
          </w:tcPr>
          <w:p w14:paraId="641FE48C" w14:textId="368FCA7E" w:rsidR="00A40E32" w:rsidRPr="00DC34FD" w:rsidRDefault="00A40E32" w:rsidP="00A40E32">
            <w:pPr>
              <w:jc w:val="center"/>
              <w:rPr>
                <w:rFonts w:ascii="Times New Roman" w:eastAsia="Calibri" w:hAnsi="Times New Roman" w:cs="Times New Roman"/>
                <w:color w:val="000000"/>
              </w:rPr>
            </w:pPr>
            <w:r w:rsidRPr="00DC34FD">
              <w:rPr>
                <w:rFonts w:ascii="Times New Roman" w:hAnsi="Times New Roman" w:cs="Times New Roman"/>
                <w:b/>
              </w:rPr>
              <w:t>Latvijas Lielo pilsētu asociācija</w:t>
            </w:r>
          </w:p>
          <w:p w14:paraId="414B776C" w14:textId="634B8AFD" w:rsidR="00A40E32" w:rsidRPr="00DC34FD" w:rsidRDefault="00A40E32" w:rsidP="00A40E32">
            <w:pPr>
              <w:jc w:val="both"/>
              <w:rPr>
                <w:rFonts w:ascii="Times New Roman" w:hAnsi="Times New Roman" w:cs="Times New Roman"/>
                <w:color w:val="000000"/>
              </w:rPr>
            </w:pPr>
            <w:r w:rsidRPr="00DC34FD">
              <w:rPr>
                <w:rFonts w:ascii="Times New Roman" w:eastAsia="Calibri" w:hAnsi="Times New Roman" w:cs="Times New Roman"/>
                <w:color w:val="000000"/>
              </w:rPr>
              <w:t>1. Nav izprotams jēdziens “pēc izvēles piesaistot</w:t>
            </w:r>
            <w:r w:rsidRPr="00DC34FD">
              <w:rPr>
                <w:rFonts w:ascii="Times New Roman" w:hAnsi="Times New Roman" w:cs="Times New Roman"/>
                <w:color w:val="000000"/>
              </w:rPr>
              <w:t xml:space="preserve">”. </w:t>
            </w:r>
          </w:p>
          <w:p w14:paraId="07313FA8" w14:textId="77777777" w:rsidR="00A40E32" w:rsidRPr="00DC34FD" w:rsidRDefault="00A40E32" w:rsidP="00A40E32">
            <w:pPr>
              <w:jc w:val="both"/>
              <w:rPr>
                <w:rFonts w:ascii="Times New Roman" w:hAnsi="Times New Roman" w:cs="Times New Roman"/>
                <w:color w:val="000000"/>
              </w:rPr>
            </w:pPr>
            <w:r w:rsidRPr="00DC34FD">
              <w:rPr>
                <w:rFonts w:ascii="Times New Roman" w:hAnsi="Times New Roman" w:cs="Times New Roman"/>
                <w:color w:val="000000"/>
              </w:rPr>
              <w:t>2. Esošajā redakcijā riska novērtējumu var izprast un interpretēt dažādi, arī vadoties pēc esošajām vadlīnijām iespējams laukumu var novērtēt dažādi.</w:t>
            </w:r>
          </w:p>
          <w:p w14:paraId="7BD1EC8C" w14:textId="0763C635" w:rsidR="00A40E32" w:rsidRPr="00DC34FD" w:rsidRDefault="00A40E32" w:rsidP="00A40E32">
            <w:pPr>
              <w:spacing w:after="0" w:line="240" w:lineRule="auto"/>
              <w:jc w:val="both"/>
              <w:rPr>
                <w:rFonts w:ascii="Times New Roman" w:eastAsia="Times New Roman" w:hAnsi="Times New Roman" w:cs="Times New Roman"/>
                <w:b/>
              </w:rPr>
            </w:pPr>
            <w:r w:rsidRPr="00DC34FD">
              <w:rPr>
                <w:rFonts w:ascii="Times New Roman" w:hAnsi="Times New Roman" w:cs="Times New Roman"/>
                <w:color w:val="000000"/>
              </w:rPr>
              <w:t xml:space="preserve">3. Lūdzam izstrādāt un pievienot papildus pielikumu - risku novērtēšanas veidlapu, kuru aizpildīt, ja nav veikta </w:t>
            </w:r>
            <w:proofErr w:type="spellStart"/>
            <w:r w:rsidRPr="00DC34FD">
              <w:rPr>
                <w:rFonts w:ascii="Times New Roman" w:hAnsi="Times New Roman" w:cs="Times New Roman"/>
                <w:i/>
                <w:color w:val="000000"/>
              </w:rPr>
              <w:t>pēcuzstādīšanas</w:t>
            </w:r>
            <w:proofErr w:type="spellEnd"/>
            <w:r w:rsidRPr="00DC34FD">
              <w:rPr>
                <w:rFonts w:ascii="Times New Roman" w:hAnsi="Times New Roman" w:cs="Times New Roman"/>
                <w:i/>
                <w:color w:val="000000"/>
              </w:rPr>
              <w:t xml:space="preserve"> </w:t>
            </w:r>
            <w:r w:rsidRPr="00DC34FD">
              <w:rPr>
                <w:rFonts w:ascii="Times New Roman" w:hAnsi="Times New Roman" w:cs="Times New Roman"/>
                <w:color w:val="000000"/>
              </w:rPr>
              <w:t>pārbaude. Tā garantējot vienādu riska novērtējumu visiem rotaļu laukumiem un saprotamus kritērijus laukumu valdītājiem, īpašniekiem.</w:t>
            </w:r>
          </w:p>
        </w:tc>
        <w:tc>
          <w:tcPr>
            <w:tcW w:w="2410" w:type="dxa"/>
            <w:gridSpan w:val="2"/>
            <w:tcBorders>
              <w:top w:val="single" w:sz="4" w:space="0" w:color="auto"/>
              <w:left w:val="single" w:sz="4" w:space="0" w:color="auto"/>
              <w:bottom w:val="single" w:sz="4" w:space="0" w:color="auto"/>
              <w:right w:val="single" w:sz="4" w:space="0" w:color="auto"/>
            </w:tcBorders>
          </w:tcPr>
          <w:p w14:paraId="2F1343A3" w14:textId="60FDCF25" w:rsidR="00A40E32" w:rsidRPr="00DC34FD" w:rsidRDefault="00A40E32" w:rsidP="00A40E32">
            <w:pPr>
              <w:pStyle w:val="naisc"/>
              <w:spacing w:before="0" w:after="0"/>
              <w:jc w:val="both"/>
              <w:rPr>
                <w:sz w:val="22"/>
                <w:szCs w:val="22"/>
              </w:rPr>
            </w:pPr>
            <w:r w:rsidRPr="00DC34FD">
              <w:rPr>
                <w:b/>
                <w:sz w:val="22"/>
                <w:szCs w:val="22"/>
              </w:rPr>
              <w:t>Panākta vienošanās.</w:t>
            </w:r>
            <w:r w:rsidRPr="00DC34FD">
              <w:rPr>
                <w:sz w:val="22"/>
                <w:szCs w:val="22"/>
              </w:rPr>
              <w:t xml:space="preserve"> </w:t>
            </w:r>
          </w:p>
          <w:p w14:paraId="2760CA50" w14:textId="77777777" w:rsidR="00A40E32" w:rsidRPr="00DC34FD" w:rsidRDefault="00A40E32" w:rsidP="00A40E32">
            <w:pPr>
              <w:pStyle w:val="naisc"/>
              <w:spacing w:before="0" w:after="0"/>
              <w:jc w:val="both"/>
              <w:rPr>
                <w:sz w:val="22"/>
                <w:szCs w:val="22"/>
              </w:rPr>
            </w:pPr>
            <w:r w:rsidRPr="00DC34FD">
              <w:rPr>
                <w:sz w:val="22"/>
                <w:szCs w:val="22"/>
              </w:rPr>
              <w:t xml:space="preserve">Punkts precizēts, skaidrāk norādot uz valdītāja brīvu izvēli, vai riska novērtēšanā piesaistīt Pārbaudes veicēju, vai nē. </w:t>
            </w:r>
          </w:p>
          <w:p w14:paraId="64EA163A" w14:textId="77777777" w:rsidR="00A40E32" w:rsidRPr="00DC34FD" w:rsidRDefault="00A40E32" w:rsidP="00A40E32">
            <w:pPr>
              <w:pStyle w:val="naisc"/>
              <w:spacing w:before="0" w:after="0"/>
              <w:jc w:val="both"/>
              <w:rPr>
                <w:sz w:val="22"/>
                <w:szCs w:val="22"/>
              </w:rPr>
            </w:pPr>
            <w:r w:rsidRPr="00DC34FD">
              <w:rPr>
                <w:sz w:val="22"/>
                <w:szCs w:val="22"/>
              </w:rPr>
              <w:t>Šāda iespēja paredzēta, ja valdītājam ir šaubas vai trūkst kompetences par riska novērtējuma veikšanu.</w:t>
            </w:r>
          </w:p>
          <w:p w14:paraId="3F6C9E30" w14:textId="59BE664F" w:rsidR="00A40E32" w:rsidRPr="00DC34FD" w:rsidRDefault="00A40E32" w:rsidP="00A40E32">
            <w:pPr>
              <w:pStyle w:val="naisc"/>
              <w:spacing w:before="0" w:after="0"/>
              <w:jc w:val="both"/>
              <w:rPr>
                <w:b/>
                <w:sz w:val="22"/>
                <w:szCs w:val="22"/>
              </w:rPr>
            </w:pPr>
            <w:r w:rsidRPr="00DC34FD">
              <w:rPr>
                <w:sz w:val="22"/>
                <w:szCs w:val="22"/>
              </w:rPr>
              <w:t xml:space="preserve">Ņemot vērā katra atsevišķa spēļu laukuma individualitāti un iespējamo risku atšķirīgumu, Noteikumu projektā nostiprināt konkrētu veidlapu nav vēlams. Tas risināms ar vadlīniju un laika gaitā </w:t>
            </w:r>
            <w:r w:rsidRPr="00DC34FD">
              <w:rPr>
                <w:sz w:val="22"/>
                <w:szCs w:val="22"/>
              </w:rPr>
              <w:lastRenderedPageBreak/>
              <w:t>gūtās labās prakses palīdzību.</w:t>
            </w:r>
          </w:p>
        </w:tc>
        <w:tc>
          <w:tcPr>
            <w:tcW w:w="4652" w:type="dxa"/>
            <w:tcBorders>
              <w:top w:val="single" w:sz="4" w:space="0" w:color="auto"/>
              <w:left w:val="single" w:sz="4" w:space="0" w:color="auto"/>
              <w:bottom w:val="single" w:sz="4" w:space="0" w:color="auto"/>
            </w:tcBorders>
          </w:tcPr>
          <w:p w14:paraId="44FD5D7F" w14:textId="143D6EE5" w:rsidR="00A40E32" w:rsidRPr="00DC34FD" w:rsidRDefault="00A40E32" w:rsidP="00A40E32">
            <w:pPr>
              <w:pStyle w:val="ListParagraph"/>
              <w:spacing w:after="0" w:line="240" w:lineRule="auto"/>
              <w:ind w:left="0"/>
              <w:jc w:val="both"/>
              <w:rPr>
                <w:rFonts w:ascii="Times New Roman" w:hAnsi="Times New Roman"/>
                <w:lang w:eastAsia="lv-LV"/>
              </w:rPr>
            </w:pPr>
            <w:r w:rsidRPr="00DC34FD">
              <w:rPr>
                <w:rFonts w:ascii="Times New Roman" w:hAnsi="Times New Roman"/>
                <w:lang w:eastAsia="lv-LV"/>
              </w:rPr>
              <w:lastRenderedPageBreak/>
              <w:t xml:space="preserve">33. Pirms šo noteikumu spēkā stāšanās lietošanai atvērtos un šo noteikumu 4. punktā noteiktajām pazīmēm atbilstošos publiskos spēļu </w:t>
            </w:r>
            <w:r w:rsidR="0030653A" w:rsidRPr="00DC34FD">
              <w:rPr>
                <w:rFonts w:ascii="Times New Roman" w:hAnsi="Times New Roman"/>
                <w:lang w:eastAsia="lv-LV"/>
              </w:rPr>
              <w:t xml:space="preserve">un rekreācijas </w:t>
            </w:r>
            <w:r w:rsidRPr="00DC34FD">
              <w:rPr>
                <w:rFonts w:ascii="Times New Roman" w:hAnsi="Times New Roman"/>
                <w:lang w:eastAsia="lv-LV"/>
              </w:rPr>
              <w:t>laukumus un tajos uzstādītās spēļu vai citu aktivitāšu iekārtas drīkst piedāvāt lietošanai, ja tās atbilst Preču un pakalpojumu drošuma likuma</w:t>
            </w:r>
            <w:r w:rsidRPr="00DC34FD" w:rsidDel="00191702">
              <w:rPr>
                <w:rFonts w:ascii="Times New Roman" w:hAnsi="Times New Roman"/>
                <w:lang w:eastAsia="lv-LV"/>
              </w:rPr>
              <w:t xml:space="preserve"> </w:t>
            </w:r>
            <w:r w:rsidRPr="00DC34FD">
              <w:rPr>
                <w:rFonts w:ascii="Times New Roman" w:hAnsi="Times New Roman"/>
                <w:lang w:eastAsia="lv-LV"/>
              </w:rPr>
              <w:t>un šo noteikumu prasībām, kā arī, ja ir veikts publiskā spēļu</w:t>
            </w:r>
            <w:r w:rsidR="0030653A" w:rsidRPr="00DC34FD">
              <w:rPr>
                <w:rFonts w:ascii="Times New Roman" w:hAnsi="Times New Roman"/>
                <w:lang w:eastAsia="lv-LV"/>
              </w:rPr>
              <w:t xml:space="preserve"> un rekreācijas</w:t>
            </w:r>
            <w:r w:rsidRPr="00DC34FD">
              <w:rPr>
                <w:rFonts w:ascii="Times New Roman" w:hAnsi="Times New Roman"/>
                <w:lang w:eastAsia="lv-LV"/>
              </w:rPr>
              <w:t xml:space="preserve"> laukuma riska novērtējums, ko nodrošina tā valdītājs un kura veikšanā valdītājs var piesaistīt arī šo noteikumu 20. punktā minēto Pārbaudes veicēju, un ja ir veikta publiskā spēļu laukuma reģistrācija.</w:t>
            </w:r>
          </w:p>
        </w:tc>
      </w:tr>
      <w:tr w:rsidR="00A40E32" w:rsidRPr="00DC34FD" w14:paraId="5D1694E4" w14:textId="77777777" w:rsidTr="00AF11CB">
        <w:tc>
          <w:tcPr>
            <w:tcW w:w="742" w:type="dxa"/>
            <w:vMerge w:val="restart"/>
            <w:tcBorders>
              <w:top w:val="single" w:sz="4" w:space="0" w:color="auto"/>
              <w:left w:val="single" w:sz="4" w:space="0" w:color="auto"/>
              <w:right w:val="single" w:sz="4" w:space="0" w:color="auto"/>
            </w:tcBorders>
          </w:tcPr>
          <w:p w14:paraId="715A7572" w14:textId="7FE0EAFA"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34.</w:t>
            </w:r>
          </w:p>
        </w:tc>
        <w:tc>
          <w:tcPr>
            <w:tcW w:w="3370" w:type="dxa"/>
            <w:gridSpan w:val="2"/>
            <w:vMerge w:val="restart"/>
            <w:tcBorders>
              <w:top w:val="single" w:sz="4" w:space="0" w:color="auto"/>
              <w:left w:val="single" w:sz="4" w:space="0" w:color="auto"/>
              <w:right w:val="single" w:sz="4" w:space="0" w:color="auto"/>
            </w:tcBorders>
          </w:tcPr>
          <w:p w14:paraId="4B22169E" w14:textId="04ED2CCA" w:rsidR="00A40E32" w:rsidRPr="00DC34FD" w:rsidRDefault="00A40E32" w:rsidP="00A4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lv-LV"/>
              </w:rPr>
            </w:pPr>
            <w:r w:rsidRPr="00DC34FD">
              <w:rPr>
                <w:rFonts w:ascii="Times New Roman" w:hAnsi="Times New Roman" w:cs="Times New Roman"/>
                <w:color w:val="000000"/>
                <w:lang w:eastAsia="lv-LV"/>
              </w:rPr>
              <w:t xml:space="preserve">36. Noteikumu IV. nodaļas prasības par </w:t>
            </w:r>
            <w:proofErr w:type="spellStart"/>
            <w:r w:rsidRPr="00DC34FD">
              <w:rPr>
                <w:rFonts w:ascii="Times New Roman" w:hAnsi="Times New Roman" w:cs="Times New Roman"/>
                <w:color w:val="000000"/>
                <w:lang w:eastAsia="lv-LV"/>
              </w:rPr>
              <w:t>pēcuzstādīšanas</w:t>
            </w:r>
            <w:proofErr w:type="spellEnd"/>
            <w:r w:rsidRPr="00DC34FD">
              <w:rPr>
                <w:rFonts w:ascii="Times New Roman" w:hAnsi="Times New Roman" w:cs="Times New Roman"/>
                <w:color w:val="000000"/>
                <w:lang w:eastAsia="lv-LV"/>
              </w:rPr>
              <w:t xml:space="preserve"> pārbaudi pirmos 12 mēnešus pēc šo noteikumu stāšanās spēkā ir piemērojamas brīvprātīgi, bet pēc šā termiņa beigām šādu prasību piemērošana ir obligāta. (arī par Noteikumu projektu kopumā)</w:t>
            </w:r>
          </w:p>
          <w:p w14:paraId="36587A72" w14:textId="77777777" w:rsidR="00A40E32" w:rsidRPr="00DC34FD" w:rsidRDefault="00A40E32" w:rsidP="00A40E32">
            <w:pPr>
              <w:pStyle w:val="ListParagraph"/>
              <w:spacing w:after="0" w:line="240" w:lineRule="auto"/>
              <w:ind w:left="0"/>
              <w:jc w:val="both"/>
              <w:rPr>
                <w:rFonts w:ascii="Times New Roman" w:hAnsi="Times New Roman"/>
                <w:lang w:eastAsia="lv-LV"/>
              </w:rPr>
            </w:pPr>
          </w:p>
        </w:tc>
        <w:tc>
          <w:tcPr>
            <w:tcW w:w="4311" w:type="dxa"/>
            <w:tcBorders>
              <w:top w:val="single" w:sz="4" w:space="0" w:color="auto"/>
              <w:left w:val="single" w:sz="4" w:space="0" w:color="auto"/>
              <w:bottom w:val="single" w:sz="4" w:space="0" w:color="auto"/>
              <w:right w:val="single" w:sz="4" w:space="0" w:color="auto"/>
            </w:tcBorders>
          </w:tcPr>
          <w:p w14:paraId="3B22233D" w14:textId="77777777" w:rsidR="00A40E32" w:rsidRPr="00DC34FD" w:rsidRDefault="00A40E32" w:rsidP="00A40E32">
            <w:pPr>
              <w:jc w:val="center"/>
              <w:rPr>
                <w:rFonts w:ascii="Times New Roman" w:eastAsia="Calibri" w:hAnsi="Times New Roman" w:cs="Times New Roman"/>
                <w:color w:val="000000"/>
              </w:rPr>
            </w:pPr>
            <w:r w:rsidRPr="00DC34FD">
              <w:rPr>
                <w:rFonts w:ascii="Times New Roman" w:hAnsi="Times New Roman" w:cs="Times New Roman"/>
                <w:b/>
              </w:rPr>
              <w:t>Latvijas Lielo pilsētu asociācija</w:t>
            </w:r>
          </w:p>
          <w:p w14:paraId="75CA8C47" w14:textId="28D87E16" w:rsidR="00A40E32" w:rsidRPr="00DC34FD" w:rsidRDefault="00A40E32" w:rsidP="00A40E32">
            <w:pPr>
              <w:pStyle w:val="CommentText"/>
              <w:jc w:val="both"/>
              <w:rPr>
                <w:color w:val="000000"/>
                <w:sz w:val="22"/>
                <w:szCs w:val="22"/>
              </w:rPr>
            </w:pPr>
            <w:r w:rsidRPr="00DC34FD">
              <w:rPr>
                <w:color w:val="000000"/>
                <w:sz w:val="22"/>
                <w:szCs w:val="22"/>
              </w:rPr>
              <w:t xml:space="preserve">1. Pašlaik nav šo akreditēto institūciju, kas varētu veikt šis pārbaudes. Nav saprotams, kā notiks šo institūciju akreditācija un kas novērtēs šo speciālistu atbilstību un pēc kādiem principiem to veiks. Vai jākārto eksāmens, vai pietiks ar būvnieka, inženiera sertifikātu? Kas garantēs, ka šis speciālists ir kompetents? </w:t>
            </w:r>
          </w:p>
          <w:p w14:paraId="76747AAC" w14:textId="77777777" w:rsidR="00A40E32" w:rsidRPr="00DC34FD" w:rsidRDefault="00A40E32" w:rsidP="00A40E32">
            <w:pPr>
              <w:pStyle w:val="CommentText"/>
              <w:jc w:val="both"/>
              <w:rPr>
                <w:color w:val="000000"/>
                <w:sz w:val="22"/>
                <w:szCs w:val="22"/>
              </w:rPr>
            </w:pPr>
            <w:r w:rsidRPr="00DC34FD">
              <w:rPr>
                <w:color w:val="000000"/>
                <w:sz w:val="22"/>
                <w:szCs w:val="22"/>
              </w:rPr>
              <w:t>3. Kāda atbildība būs īpašniekam, kāda ražotājam, kāda akreditētajai institūcijai un kāda atbildība būs projektētājam?</w:t>
            </w:r>
          </w:p>
          <w:p w14:paraId="6D93147D" w14:textId="77777777" w:rsidR="00A40E32" w:rsidRPr="00DC34FD" w:rsidRDefault="00A40E32" w:rsidP="00A40E32">
            <w:pPr>
              <w:pStyle w:val="CommentText"/>
              <w:jc w:val="both"/>
              <w:rPr>
                <w:color w:val="000000"/>
                <w:sz w:val="22"/>
                <w:szCs w:val="22"/>
              </w:rPr>
            </w:pPr>
            <w:r w:rsidRPr="00DC34FD">
              <w:rPr>
                <w:color w:val="000000"/>
                <w:sz w:val="22"/>
                <w:szCs w:val="22"/>
              </w:rPr>
              <w:t>4. Tāpat par ikdienas, ekspluatācijas pārbaužu veicējiem - kas būs atbildīgs, ja laukums formāli atzīts par derīgu, bet faktiski dzīvē tā nebūs?</w:t>
            </w:r>
          </w:p>
          <w:p w14:paraId="3E85F0ED" w14:textId="77777777" w:rsidR="00A40E32" w:rsidRPr="00DC34FD" w:rsidRDefault="00A40E32" w:rsidP="00A40E32">
            <w:pPr>
              <w:pStyle w:val="CommentText"/>
              <w:jc w:val="both"/>
              <w:rPr>
                <w:color w:val="000000"/>
                <w:sz w:val="22"/>
                <w:szCs w:val="22"/>
              </w:rPr>
            </w:pPr>
            <w:r w:rsidRPr="00DC34FD">
              <w:rPr>
                <w:color w:val="000000"/>
                <w:sz w:val="22"/>
                <w:szCs w:val="22"/>
              </w:rPr>
              <w:t xml:space="preserve">5. Nav zināms, cik būs šīs akreditētās iestādes un kādas būs izmaksas, tādēļ šo noteikumu ietekme uz pašvaldības budžetu  2019. un 2020. gadā nav prognozējama. </w:t>
            </w:r>
          </w:p>
          <w:p w14:paraId="33789522" w14:textId="77777777" w:rsidR="00A40E32" w:rsidRPr="00DC34FD" w:rsidRDefault="00A40E32" w:rsidP="00A40E32">
            <w:pPr>
              <w:pStyle w:val="CommentText"/>
              <w:jc w:val="both"/>
              <w:rPr>
                <w:color w:val="000000"/>
                <w:sz w:val="22"/>
                <w:szCs w:val="22"/>
              </w:rPr>
            </w:pPr>
            <w:r w:rsidRPr="00DC34FD">
              <w:rPr>
                <w:color w:val="000000"/>
                <w:sz w:val="22"/>
                <w:szCs w:val="22"/>
              </w:rPr>
              <w:t xml:space="preserve">6. Nav zināms, cik papildu līdzekļu jāplāno pašvaldībai, lai veiktu ikgadējās un ekspluatācijas pārbaudes, ja pašvaldībai nav speciālistu, kas to var veikt. Pašlaik nav saprotams, cik šāda akreditētas speciālista pakalpojumi izmaksātu un kur pašvaldībai ir garantija ,ka veiktās pārbaudes tiešām ir atbilstošas noteikumiem. Līdz šim pašvaldība pārbaudes veikušas kā ārpakalpojumu </w:t>
            </w:r>
            <w:r w:rsidRPr="00DC34FD">
              <w:rPr>
                <w:color w:val="000000"/>
                <w:sz w:val="22"/>
                <w:szCs w:val="22"/>
              </w:rPr>
              <w:lastRenderedPageBreak/>
              <w:t>izmantojot inspektoru pakalpojumus, kas ieguvuši TUV inspektora sertifikātu Polijā, kas pēc šo noteikumu prasībām netiek atzīti par akreditētiem.</w:t>
            </w:r>
          </w:p>
          <w:p w14:paraId="7B5E2DC5" w14:textId="33FDF572" w:rsidR="00A40E32" w:rsidRPr="00DC34FD" w:rsidRDefault="00A40E32" w:rsidP="00A40E32">
            <w:pPr>
              <w:spacing w:after="0" w:line="240" w:lineRule="auto"/>
              <w:jc w:val="both"/>
              <w:rPr>
                <w:rFonts w:ascii="Times New Roman" w:eastAsia="Times New Roman" w:hAnsi="Times New Roman" w:cs="Times New Roman"/>
                <w:b/>
              </w:rPr>
            </w:pPr>
            <w:r w:rsidRPr="00DC34FD">
              <w:rPr>
                <w:rFonts w:ascii="Times New Roman" w:hAnsi="Times New Roman" w:cs="Times New Roman"/>
                <w:color w:val="000000"/>
              </w:rPr>
              <w:t xml:space="preserve">7. Pieņemot noteikumus šādā redakcijā, kad ir daudz neskaidrību, var veidoties situācijas, ka pašvaldība neplānos jaunu rotaļu laukumu ierīkošanu, jo nebūs precīzu aprēķinu par kopējām izmaksām rotaļu laukumu uzturēšanai un izveidei. Tādēļ ierosinām šo </w:t>
            </w:r>
            <w:r w:rsidRPr="00DC34FD">
              <w:rPr>
                <w:rFonts w:ascii="Times New Roman" w:hAnsi="Times New Roman" w:cs="Times New Roman"/>
                <w:color w:val="000000"/>
                <w:u w:val="single"/>
              </w:rPr>
              <w:t>noteikumu prasības par obligātām ieviest 24 mēnešus</w:t>
            </w:r>
            <w:r w:rsidRPr="00DC34FD">
              <w:rPr>
                <w:rFonts w:ascii="Times New Roman" w:hAnsi="Times New Roman" w:cs="Times New Roman"/>
                <w:color w:val="000000"/>
              </w:rPr>
              <w:t xml:space="preserve"> pēc noteikumu stāšanās spēkā.</w:t>
            </w:r>
          </w:p>
        </w:tc>
        <w:tc>
          <w:tcPr>
            <w:tcW w:w="2410" w:type="dxa"/>
            <w:gridSpan w:val="2"/>
            <w:vMerge w:val="restart"/>
            <w:tcBorders>
              <w:top w:val="single" w:sz="4" w:space="0" w:color="auto"/>
              <w:left w:val="single" w:sz="4" w:space="0" w:color="auto"/>
              <w:right w:val="single" w:sz="4" w:space="0" w:color="auto"/>
            </w:tcBorders>
          </w:tcPr>
          <w:p w14:paraId="71B95152" w14:textId="77777777" w:rsidR="00A40E32" w:rsidRPr="00DC34FD" w:rsidRDefault="00A40E32" w:rsidP="00A40E32">
            <w:pPr>
              <w:pStyle w:val="naisc"/>
              <w:spacing w:before="0" w:after="0"/>
              <w:jc w:val="both"/>
              <w:rPr>
                <w:sz w:val="22"/>
                <w:szCs w:val="22"/>
              </w:rPr>
            </w:pPr>
            <w:r w:rsidRPr="00DC34FD">
              <w:rPr>
                <w:b/>
                <w:sz w:val="22"/>
                <w:szCs w:val="22"/>
              </w:rPr>
              <w:lastRenderedPageBreak/>
              <w:t>Panākta vienošanās.</w:t>
            </w:r>
          </w:p>
          <w:p w14:paraId="6740B8C6" w14:textId="77777777" w:rsidR="00A40E32" w:rsidRPr="00DC34FD" w:rsidRDefault="00A40E32" w:rsidP="00A40E32">
            <w:pPr>
              <w:pStyle w:val="naisc"/>
              <w:spacing w:before="0" w:after="0"/>
              <w:jc w:val="both"/>
              <w:rPr>
                <w:sz w:val="22"/>
                <w:szCs w:val="22"/>
              </w:rPr>
            </w:pPr>
            <w:r w:rsidRPr="00DC34FD">
              <w:rPr>
                <w:sz w:val="22"/>
                <w:szCs w:val="22"/>
              </w:rPr>
              <w:t>Punktā 12 mēnešu pārejas periods palielināts līdz 18 mēnešiem.</w:t>
            </w:r>
          </w:p>
          <w:p w14:paraId="231BDF77" w14:textId="7666F6E2" w:rsidR="00A40E32" w:rsidRPr="00DC34FD" w:rsidRDefault="00A40E32" w:rsidP="00A40E32">
            <w:pPr>
              <w:pStyle w:val="naisc"/>
              <w:spacing w:before="0" w:after="0"/>
              <w:jc w:val="both"/>
              <w:rPr>
                <w:sz w:val="22"/>
                <w:szCs w:val="22"/>
              </w:rPr>
            </w:pPr>
            <w:r w:rsidRPr="00DC34FD">
              <w:rPr>
                <w:sz w:val="22"/>
                <w:szCs w:val="22"/>
              </w:rPr>
              <w:t xml:space="preserve">Tas ir pietiekoši ilgs pārejas periods gan Pārbaudes veicēju akreditācijai, gan tirgus pielāgošanai </w:t>
            </w:r>
            <w:proofErr w:type="spellStart"/>
            <w:r w:rsidRPr="00DC34FD">
              <w:rPr>
                <w:sz w:val="22"/>
                <w:szCs w:val="22"/>
              </w:rPr>
              <w:t>pēcuzstādīšanas</w:t>
            </w:r>
            <w:proofErr w:type="spellEnd"/>
            <w:r w:rsidRPr="00DC34FD">
              <w:rPr>
                <w:sz w:val="22"/>
                <w:szCs w:val="22"/>
              </w:rPr>
              <w:t xml:space="preserve"> pārbaužu ieviešanai, kas ir vienīgais būtiskais jaunievedums Noteikumu projektā, un tam nav tiešas saiknes ar valsts un pašvaldību budžetu (otrs jaunievedums - reģistrācija no valdītāja puses prasa vienīgi pieteikuma iesniegšanu Centram). Gan regulārās vizuālās pārbaudes, gan ekspluatācijas pārbaudes, gan ikgadējās galvenās pārbaudes ir jāveic jau šobrīd – saskaņā ar Preču un pakalpojumu drošuma likumu, kurš paredz piemērot arī Centra </w:t>
            </w:r>
            <w:r w:rsidRPr="00DC34FD">
              <w:rPr>
                <w:sz w:val="22"/>
                <w:szCs w:val="22"/>
              </w:rPr>
              <w:lastRenderedPageBreak/>
              <w:t>vadlīnijas un piemērojamos standartus, no kā izriet visas minētās pārbaudes.</w:t>
            </w:r>
          </w:p>
          <w:p w14:paraId="32B464C4" w14:textId="77777777" w:rsidR="00A40E32" w:rsidRPr="00DC34FD" w:rsidRDefault="00A40E32" w:rsidP="00A40E32">
            <w:pPr>
              <w:pStyle w:val="naisc"/>
              <w:spacing w:before="0" w:after="0"/>
              <w:jc w:val="both"/>
              <w:rPr>
                <w:sz w:val="22"/>
                <w:szCs w:val="22"/>
              </w:rPr>
            </w:pPr>
            <w:r w:rsidRPr="00DC34FD">
              <w:rPr>
                <w:sz w:val="22"/>
                <w:szCs w:val="22"/>
              </w:rPr>
              <w:t>Akreditācija notiks Nacionālajā akreditācijas institūcijā atbilstoši normatīvajiem aktiem par atbilstības novērtēšanas institūciju novērtēšanu, akreditāciju un uzraudzību. Tiks atzīti arī citās ES dalībvalstīs akreditēti Pārbaudes veicēji.</w:t>
            </w:r>
          </w:p>
          <w:p w14:paraId="670ECDE8" w14:textId="0A4B87DF" w:rsidR="00A40E32" w:rsidRPr="00DC34FD" w:rsidRDefault="00A40E32" w:rsidP="00A40E32">
            <w:pPr>
              <w:pStyle w:val="naisc"/>
              <w:spacing w:before="0" w:after="0"/>
              <w:jc w:val="both"/>
              <w:rPr>
                <w:sz w:val="22"/>
                <w:szCs w:val="22"/>
              </w:rPr>
            </w:pPr>
            <w:r w:rsidRPr="00DC34FD">
              <w:rPr>
                <w:sz w:val="22"/>
                <w:szCs w:val="22"/>
              </w:rPr>
              <w:t>Noteikumu projekts noteic ražotāja, importētāja, izplatītāja atbildību par iekārtām un valdītājam/īpašniekam – par to uzstādīšanu un uzturēšanu. Sīkāku iesaistīto pušu atbildību regulē attiecīgie normatīvie akti, kā arī valdītāja/īpašnieka noslēgtie līgumi ar attiecīgajām pusēm.</w:t>
            </w:r>
          </w:p>
        </w:tc>
        <w:tc>
          <w:tcPr>
            <w:tcW w:w="4652" w:type="dxa"/>
            <w:vMerge w:val="restart"/>
            <w:tcBorders>
              <w:top w:val="single" w:sz="4" w:space="0" w:color="auto"/>
              <w:left w:val="single" w:sz="4" w:space="0" w:color="auto"/>
            </w:tcBorders>
          </w:tcPr>
          <w:p w14:paraId="3DFE3A7D" w14:textId="501F8562" w:rsidR="00A40E32" w:rsidRPr="00DC34FD" w:rsidRDefault="00A40E32" w:rsidP="00A40E32">
            <w:pPr>
              <w:pStyle w:val="ListParagraph"/>
              <w:spacing w:after="0" w:line="240" w:lineRule="auto"/>
              <w:ind w:left="0"/>
              <w:jc w:val="both"/>
              <w:rPr>
                <w:rFonts w:ascii="Times New Roman" w:hAnsi="Times New Roman"/>
                <w:lang w:eastAsia="lv-LV"/>
              </w:rPr>
            </w:pPr>
            <w:r w:rsidRPr="00DC34FD">
              <w:rPr>
                <w:rFonts w:ascii="Times New Roman" w:hAnsi="Times New Roman"/>
                <w:lang w:eastAsia="lv-LV"/>
              </w:rPr>
              <w:lastRenderedPageBreak/>
              <w:t xml:space="preserve">36. Noteikumu IV. nodaļas prasības par </w:t>
            </w:r>
            <w:proofErr w:type="spellStart"/>
            <w:r w:rsidRPr="00DC34FD">
              <w:rPr>
                <w:rFonts w:ascii="Times New Roman" w:hAnsi="Times New Roman"/>
                <w:lang w:eastAsia="lv-LV"/>
              </w:rPr>
              <w:t>pēcuzstādīšanas</w:t>
            </w:r>
            <w:proofErr w:type="spellEnd"/>
            <w:r w:rsidRPr="00DC34FD">
              <w:rPr>
                <w:rFonts w:ascii="Times New Roman" w:hAnsi="Times New Roman"/>
                <w:lang w:eastAsia="lv-LV"/>
              </w:rPr>
              <w:t xml:space="preserve"> pārbaudi pirmos 18 mēnešus pēc šo noteikumu stāšanās spēkā ir piemērojamas brīvprātīgi, bet pēc šā termiņa beigām šādu prasību piemērošana ir obligāta.</w:t>
            </w:r>
          </w:p>
        </w:tc>
      </w:tr>
      <w:tr w:rsidR="00A40E32" w:rsidRPr="00DC34FD" w14:paraId="6D19E87B" w14:textId="77777777" w:rsidTr="00AF11CB">
        <w:tc>
          <w:tcPr>
            <w:tcW w:w="742" w:type="dxa"/>
            <w:vMerge/>
            <w:tcBorders>
              <w:left w:val="single" w:sz="4" w:space="0" w:color="auto"/>
              <w:bottom w:val="single" w:sz="4" w:space="0" w:color="auto"/>
              <w:right w:val="single" w:sz="4" w:space="0" w:color="auto"/>
            </w:tcBorders>
          </w:tcPr>
          <w:p w14:paraId="06DD72A4" w14:textId="77777777" w:rsidR="00A40E32" w:rsidRPr="00DC34FD" w:rsidRDefault="00A40E32"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7883C13C" w14:textId="77777777" w:rsidR="00A40E32" w:rsidRPr="00DC34FD" w:rsidRDefault="00A40E32" w:rsidP="00A4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lv-LV"/>
              </w:rPr>
            </w:pPr>
          </w:p>
        </w:tc>
        <w:tc>
          <w:tcPr>
            <w:tcW w:w="4311" w:type="dxa"/>
            <w:tcBorders>
              <w:top w:val="single" w:sz="4" w:space="0" w:color="auto"/>
              <w:left w:val="single" w:sz="4" w:space="0" w:color="auto"/>
              <w:bottom w:val="single" w:sz="4" w:space="0" w:color="auto"/>
              <w:right w:val="single" w:sz="4" w:space="0" w:color="auto"/>
            </w:tcBorders>
          </w:tcPr>
          <w:p w14:paraId="51B0EE8B" w14:textId="43B2D359" w:rsidR="00A40E32" w:rsidRPr="00DC34FD" w:rsidRDefault="00A40E32" w:rsidP="00A40E32">
            <w:pPr>
              <w:pStyle w:val="ListParagraph"/>
              <w:spacing w:after="0" w:line="20" w:lineRule="atLeast"/>
              <w:ind w:left="0" w:firstLine="372"/>
              <w:jc w:val="center"/>
              <w:rPr>
                <w:rFonts w:ascii="Times New Roman" w:hAnsi="Times New Roman"/>
                <w:b/>
              </w:rPr>
            </w:pPr>
            <w:r w:rsidRPr="00DC34FD">
              <w:rPr>
                <w:rFonts w:ascii="Times New Roman" w:hAnsi="Times New Roman"/>
                <w:b/>
              </w:rPr>
              <w:t>Latvijas Pašvaldību savienība</w:t>
            </w:r>
          </w:p>
          <w:p w14:paraId="3E62CF3B" w14:textId="30826061" w:rsidR="00A40E32" w:rsidRPr="00DC34FD" w:rsidRDefault="00A40E32" w:rsidP="00A40E32">
            <w:pPr>
              <w:pStyle w:val="ListParagraph"/>
              <w:spacing w:after="0" w:line="20" w:lineRule="atLeast"/>
              <w:ind w:left="0" w:firstLine="372"/>
              <w:jc w:val="both"/>
              <w:rPr>
                <w:rFonts w:ascii="Times New Roman" w:eastAsia="Calibri" w:hAnsi="Times New Roman"/>
              </w:rPr>
            </w:pPr>
            <w:r w:rsidRPr="00DC34FD">
              <w:rPr>
                <w:rFonts w:ascii="Times New Roman" w:eastAsia="Calibri" w:hAnsi="Times New Roman"/>
              </w:rPr>
              <w:t xml:space="preserve">Lai izvērtētu nepieciešamību izveidot jaunu akreditētu institūciju, kas nodrošinātu </w:t>
            </w:r>
            <w:proofErr w:type="spellStart"/>
            <w:r w:rsidRPr="00DC34FD">
              <w:rPr>
                <w:rFonts w:ascii="Times New Roman" w:eastAsia="Calibri" w:hAnsi="Times New Roman"/>
              </w:rPr>
              <w:t>pēcuzstādīšanas</w:t>
            </w:r>
            <w:proofErr w:type="spellEnd"/>
            <w:r w:rsidRPr="00DC34FD">
              <w:rPr>
                <w:rFonts w:ascii="Times New Roman" w:eastAsia="Calibri" w:hAnsi="Times New Roman"/>
              </w:rPr>
              <w:t xml:space="preserve"> pārbaužu veikšanu, nepieciešams vismaz minimāls pamatojums, sniedzot atbildes uz šādiem jautājumiem:</w:t>
            </w:r>
          </w:p>
          <w:p w14:paraId="1666F926" w14:textId="169AF4E0" w:rsidR="00A40E32" w:rsidRPr="00DC34FD" w:rsidRDefault="00A40E32" w:rsidP="00A40E32">
            <w:pPr>
              <w:pStyle w:val="ListParagraph"/>
              <w:numPr>
                <w:ilvl w:val="0"/>
                <w:numId w:val="16"/>
              </w:numPr>
              <w:spacing w:after="0" w:line="20" w:lineRule="atLeast"/>
              <w:ind w:left="0" w:firstLine="372"/>
              <w:jc w:val="both"/>
              <w:rPr>
                <w:rFonts w:ascii="Times New Roman" w:eastAsia="Calibri" w:hAnsi="Times New Roman"/>
              </w:rPr>
            </w:pPr>
            <w:r w:rsidRPr="00DC34FD">
              <w:rPr>
                <w:rFonts w:ascii="Times New Roman" w:eastAsia="Calibri" w:hAnsi="Times New Roman"/>
              </w:rPr>
              <w:t>Kā notiks šīs institūcijas akreditācija, kas un kā novērtēs atbildīgo speciālistu atbilstību?</w:t>
            </w:r>
          </w:p>
          <w:p w14:paraId="0770DCFB" w14:textId="153C75E6" w:rsidR="00A40E32" w:rsidRPr="00DC34FD" w:rsidRDefault="00A40E32" w:rsidP="00A40E32">
            <w:pPr>
              <w:pStyle w:val="ListParagraph"/>
              <w:numPr>
                <w:ilvl w:val="0"/>
                <w:numId w:val="16"/>
              </w:numPr>
              <w:spacing w:after="0" w:line="20" w:lineRule="atLeast"/>
              <w:ind w:left="0" w:firstLine="372"/>
              <w:jc w:val="both"/>
              <w:rPr>
                <w:rFonts w:ascii="Times New Roman" w:eastAsia="Calibri" w:hAnsi="Times New Roman"/>
              </w:rPr>
            </w:pPr>
            <w:r w:rsidRPr="00DC34FD">
              <w:rPr>
                <w:rFonts w:ascii="Times New Roman" w:eastAsia="Calibri" w:hAnsi="Times New Roman"/>
              </w:rPr>
              <w:t xml:space="preserve">Kāds ir atbildību sadalījums – īpašniekam, ražotājam, akreditētajai institūcijai, </w:t>
            </w:r>
            <w:proofErr w:type="spellStart"/>
            <w:r w:rsidRPr="00DC34FD">
              <w:rPr>
                <w:rFonts w:ascii="Times New Roman" w:eastAsia="Calibri" w:hAnsi="Times New Roman"/>
              </w:rPr>
              <w:t>būvspeciālistam</w:t>
            </w:r>
            <w:proofErr w:type="spellEnd"/>
            <w:r w:rsidRPr="00DC34FD">
              <w:rPr>
                <w:rFonts w:ascii="Times New Roman" w:eastAsia="Calibri" w:hAnsi="Times New Roman"/>
              </w:rPr>
              <w:t>, vecākiem?</w:t>
            </w:r>
          </w:p>
          <w:p w14:paraId="0FDA492D" w14:textId="33570B4E" w:rsidR="00A40E32" w:rsidRPr="00DC34FD" w:rsidRDefault="00A40E32" w:rsidP="00A40E32">
            <w:pPr>
              <w:pStyle w:val="ListParagraph"/>
              <w:numPr>
                <w:ilvl w:val="0"/>
                <w:numId w:val="16"/>
              </w:numPr>
              <w:spacing w:after="0" w:line="20" w:lineRule="atLeast"/>
              <w:ind w:left="0" w:firstLine="372"/>
              <w:jc w:val="both"/>
              <w:rPr>
                <w:rFonts w:ascii="Times New Roman" w:eastAsia="Calibri" w:hAnsi="Times New Roman"/>
              </w:rPr>
            </w:pPr>
            <w:r w:rsidRPr="00DC34FD">
              <w:rPr>
                <w:rFonts w:ascii="Times New Roman" w:eastAsia="Calibri" w:hAnsi="Times New Roman"/>
              </w:rPr>
              <w:t>Kā tiks nodrošināta ikdienas ekspluatācijas kontrole?</w:t>
            </w:r>
          </w:p>
          <w:p w14:paraId="4435FB78" w14:textId="475EEA43" w:rsidR="00A40E32" w:rsidRPr="00DC34FD" w:rsidRDefault="00A40E32" w:rsidP="00A40E32">
            <w:pPr>
              <w:pStyle w:val="ListParagraph"/>
              <w:numPr>
                <w:ilvl w:val="0"/>
                <w:numId w:val="16"/>
              </w:numPr>
              <w:spacing w:after="0" w:line="20" w:lineRule="atLeast"/>
              <w:ind w:left="0" w:firstLine="372"/>
              <w:jc w:val="both"/>
              <w:rPr>
                <w:rFonts w:ascii="Times New Roman" w:eastAsia="Calibri" w:hAnsi="Times New Roman"/>
              </w:rPr>
            </w:pPr>
            <w:r w:rsidRPr="00DC34FD">
              <w:rPr>
                <w:rFonts w:ascii="Times New Roman" w:eastAsia="Calibri" w:hAnsi="Times New Roman"/>
              </w:rPr>
              <w:t xml:space="preserve">Izveidojot šādu institūciju, jāizvērtē ietekme uz pašvaldību un valsts budžetiem. </w:t>
            </w:r>
          </w:p>
          <w:p w14:paraId="71991BD2" w14:textId="77777777" w:rsidR="00A40E32" w:rsidRPr="00DC34FD" w:rsidRDefault="00A40E32" w:rsidP="00A40E32">
            <w:pPr>
              <w:ind w:firstLine="372"/>
              <w:jc w:val="center"/>
              <w:rPr>
                <w:rFonts w:ascii="Times New Roman" w:hAnsi="Times New Roman" w:cs="Times New Roman"/>
                <w:b/>
              </w:rPr>
            </w:pPr>
          </w:p>
        </w:tc>
        <w:tc>
          <w:tcPr>
            <w:tcW w:w="2410" w:type="dxa"/>
            <w:gridSpan w:val="2"/>
            <w:vMerge/>
            <w:tcBorders>
              <w:left w:val="single" w:sz="4" w:space="0" w:color="auto"/>
              <w:bottom w:val="single" w:sz="4" w:space="0" w:color="auto"/>
              <w:right w:val="single" w:sz="4" w:space="0" w:color="auto"/>
            </w:tcBorders>
          </w:tcPr>
          <w:p w14:paraId="19CD3F67" w14:textId="77777777" w:rsidR="00A40E32" w:rsidRPr="00DC34FD" w:rsidRDefault="00A40E32" w:rsidP="00A40E32">
            <w:pPr>
              <w:pStyle w:val="naisc"/>
              <w:spacing w:before="0" w:after="0"/>
              <w:jc w:val="both"/>
              <w:rPr>
                <w:b/>
                <w:sz w:val="22"/>
                <w:szCs w:val="22"/>
              </w:rPr>
            </w:pPr>
          </w:p>
        </w:tc>
        <w:tc>
          <w:tcPr>
            <w:tcW w:w="4652" w:type="dxa"/>
            <w:vMerge/>
            <w:tcBorders>
              <w:left w:val="single" w:sz="4" w:space="0" w:color="auto"/>
              <w:bottom w:val="single" w:sz="4" w:space="0" w:color="auto"/>
            </w:tcBorders>
          </w:tcPr>
          <w:p w14:paraId="72060C7C" w14:textId="77777777" w:rsidR="00A40E32" w:rsidRPr="00DC34FD" w:rsidRDefault="00A40E32" w:rsidP="00A40E32">
            <w:pPr>
              <w:pStyle w:val="ListParagraph"/>
              <w:spacing w:after="0" w:line="240" w:lineRule="auto"/>
              <w:ind w:left="0"/>
              <w:jc w:val="both"/>
              <w:rPr>
                <w:rFonts w:ascii="Times New Roman" w:hAnsi="Times New Roman"/>
                <w:lang w:eastAsia="lv-LV"/>
              </w:rPr>
            </w:pPr>
          </w:p>
        </w:tc>
      </w:tr>
      <w:tr w:rsidR="00A40E32" w:rsidRPr="00DC34FD" w14:paraId="11910B21" w14:textId="77777777" w:rsidTr="00AF11CB">
        <w:tc>
          <w:tcPr>
            <w:tcW w:w="742" w:type="dxa"/>
            <w:tcBorders>
              <w:top w:val="single" w:sz="4" w:space="0" w:color="auto"/>
              <w:left w:val="single" w:sz="4" w:space="0" w:color="auto"/>
              <w:bottom w:val="single" w:sz="4" w:space="0" w:color="auto"/>
              <w:right w:val="single" w:sz="4" w:space="0" w:color="auto"/>
            </w:tcBorders>
          </w:tcPr>
          <w:p w14:paraId="7ABA78A0" w14:textId="078F1EA4"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35.</w:t>
            </w:r>
          </w:p>
        </w:tc>
        <w:tc>
          <w:tcPr>
            <w:tcW w:w="3370" w:type="dxa"/>
            <w:gridSpan w:val="2"/>
            <w:tcBorders>
              <w:top w:val="single" w:sz="4" w:space="0" w:color="auto"/>
              <w:left w:val="single" w:sz="4" w:space="0" w:color="auto"/>
              <w:bottom w:val="single" w:sz="4" w:space="0" w:color="auto"/>
              <w:right w:val="single" w:sz="4" w:space="0" w:color="auto"/>
            </w:tcBorders>
          </w:tcPr>
          <w:p w14:paraId="5EB28DFB" w14:textId="1024687C" w:rsidR="00A40E32" w:rsidRPr="00DC34FD" w:rsidRDefault="00A40E32" w:rsidP="00A40E32">
            <w:pPr>
              <w:pStyle w:val="ListParagraph"/>
              <w:spacing w:after="0" w:line="240" w:lineRule="auto"/>
              <w:ind w:left="0"/>
              <w:jc w:val="both"/>
              <w:rPr>
                <w:rFonts w:ascii="Times New Roman" w:hAnsi="Times New Roman"/>
                <w:lang w:eastAsia="lv-LV"/>
              </w:rPr>
            </w:pPr>
            <w:r w:rsidRPr="00DC34FD">
              <w:rPr>
                <w:rFonts w:ascii="Times New Roman" w:hAnsi="Times New Roman"/>
                <w:lang w:eastAsia="lv-LV"/>
              </w:rPr>
              <w:t>V nodaļa</w:t>
            </w:r>
          </w:p>
        </w:tc>
        <w:tc>
          <w:tcPr>
            <w:tcW w:w="4311" w:type="dxa"/>
            <w:tcBorders>
              <w:top w:val="single" w:sz="4" w:space="0" w:color="auto"/>
              <w:left w:val="single" w:sz="4" w:space="0" w:color="auto"/>
              <w:bottom w:val="single" w:sz="4" w:space="0" w:color="auto"/>
              <w:right w:val="single" w:sz="4" w:space="0" w:color="auto"/>
            </w:tcBorders>
          </w:tcPr>
          <w:p w14:paraId="77DD07AA" w14:textId="757BF67F" w:rsidR="00A40E32" w:rsidRPr="00DC34FD" w:rsidRDefault="00A40E32" w:rsidP="00A40E32">
            <w:pPr>
              <w:spacing w:line="256" w:lineRule="auto"/>
              <w:jc w:val="center"/>
              <w:rPr>
                <w:rFonts w:ascii="Times New Roman" w:hAnsi="Times New Roman"/>
              </w:rPr>
            </w:pPr>
            <w:r w:rsidRPr="00DC34FD">
              <w:rPr>
                <w:b/>
                <w:color w:val="000000"/>
              </w:rPr>
              <w:t>Reģionālo attīstības centru apvienība</w:t>
            </w:r>
          </w:p>
          <w:p w14:paraId="1EAF97A3" w14:textId="045CD17B" w:rsidR="00A40E32" w:rsidRPr="00DC34FD" w:rsidRDefault="00A40E32" w:rsidP="00A40E32">
            <w:pPr>
              <w:spacing w:line="256" w:lineRule="auto"/>
              <w:jc w:val="both"/>
              <w:rPr>
                <w:rFonts w:ascii="Times New Roman" w:hAnsi="Times New Roman"/>
              </w:rPr>
            </w:pPr>
            <w:r w:rsidRPr="00DC34FD">
              <w:rPr>
                <w:rFonts w:ascii="Times New Roman" w:hAnsi="Times New Roman"/>
              </w:rPr>
              <w:t xml:space="preserve">RACA neatbalsta un </w:t>
            </w:r>
            <w:r w:rsidRPr="00DC34FD">
              <w:rPr>
                <w:rFonts w:ascii="Times New Roman" w:hAnsi="Times New Roman"/>
                <w:u w:val="single"/>
              </w:rPr>
              <w:t>iebilst</w:t>
            </w:r>
            <w:r w:rsidRPr="00DC34FD">
              <w:rPr>
                <w:rFonts w:ascii="Times New Roman" w:hAnsi="Times New Roman"/>
              </w:rPr>
              <w:t xml:space="preserve"> par noteikumu projekta V sadaļas: „Publisko spēļu laukumu </w:t>
            </w:r>
            <w:r w:rsidRPr="00DC34FD">
              <w:rPr>
                <w:rFonts w:ascii="Times New Roman" w:hAnsi="Times New Roman"/>
              </w:rPr>
              <w:lastRenderedPageBreak/>
              <w:t>reģistrācija un datu aktualizēšana” iesviesto principu, ka tiek veidots publisko spēļu laukumu reģistrs.</w:t>
            </w:r>
          </w:p>
          <w:p w14:paraId="02FDD0B2" w14:textId="515916F7" w:rsidR="00A40E32" w:rsidRPr="00DC34FD" w:rsidRDefault="00A40E32" w:rsidP="00A40E32">
            <w:pPr>
              <w:spacing w:after="0" w:line="240" w:lineRule="auto"/>
              <w:jc w:val="both"/>
              <w:rPr>
                <w:rFonts w:ascii="Times New Roman" w:eastAsia="Times New Roman" w:hAnsi="Times New Roman" w:cs="Times New Roman"/>
                <w:b/>
              </w:rPr>
            </w:pPr>
            <w:r w:rsidRPr="00DC34FD">
              <w:rPr>
                <w:rFonts w:ascii="Times New Roman" w:hAnsi="Times New Roman" w:cs="Times New Roman"/>
              </w:rPr>
              <w:t>RACA uzskata, ka šāda reģistra veidošana radīs būtisku papildus birokrātisko slogu un piesaistīs papildus birokrātiskos resursus.</w:t>
            </w:r>
          </w:p>
        </w:tc>
        <w:tc>
          <w:tcPr>
            <w:tcW w:w="2410" w:type="dxa"/>
            <w:gridSpan w:val="2"/>
            <w:tcBorders>
              <w:top w:val="single" w:sz="4" w:space="0" w:color="auto"/>
              <w:left w:val="single" w:sz="4" w:space="0" w:color="auto"/>
              <w:bottom w:val="single" w:sz="4" w:space="0" w:color="auto"/>
              <w:right w:val="single" w:sz="4" w:space="0" w:color="auto"/>
            </w:tcBorders>
          </w:tcPr>
          <w:p w14:paraId="64A4BEB0" w14:textId="77777777" w:rsidR="00A40E32" w:rsidRPr="00DC34FD" w:rsidRDefault="00A40E32" w:rsidP="00A40E32">
            <w:pPr>
              <w:pStyle w:val="naisc"/>
              <w:spacing w:before="0" w:after="0"/>
              <w:jc w:val="both"/>
              <w:rPr>
                <w:b/>
                <w:sz w:val="22"/>
                <w:szCs w:val="22"/>
              </w:rPr>
            </w:pPr>
            <w:r w:rsidRPr="00DC34FD">
              <w:rPr>
                <w:b/>
                <w:sz w:val="22"/>
                <w:szCs w:val="22"/>
              </w:rPr>
              <w:lastRenderedPageBreak/>
              <w:t>Panākta vienošanās.</w:t>
            </w:r>
          </w:p>
          <w:p w14:paraId="5E3BEF77" w14:textId="6F123B3D" w:rsidR="00A40E32" w:rsidRPr="00DC34FD" w:rsidRDefault="00A40E32" w:rsidP="00A40E32">
            <w:pPr>
              <w:pStyle w:val="naisc"/>
              <w:spacing w:before="0" w:after="0"/>
              <w:jc w:val="both"/>
              <w:rPr>
                <w:sz w:val="22"/>
                <w:szCs w:val="22"/>
              </w:rPr>
            </w:pPr>
            <w:r w:rsidRPr="00DC34FD">
              <w:rPr>
                <w:sz w:val="22"/>
                <w:szCs w:val="22"/>
              </w:rPr>
              <w:t xml:space="preserve">Reģistrs valdītājiem neradīs nesamērīgu birokrātisku slogu, jo tā </w:t>
            </w:r>
            <w:r w:rsidRPr="00DC34FD">
              <w:rPr>
                <w:sz w:val="22"/>
                <w:szCs w:val="22"/>
              </w:rPr>
              <w:lastRenderedPageBreak/>
              <w:t>ieviešana no valdītāja prasa tikai viena pieteikuma iesniegšanu, savukārt Centram šāds reģistrs sniegs būtisku atbalstu uzraudzībā.</w:t>
            </w:r>
          </w:p>
        </w:tc>
        <w:tc>
          <w:tcPr>
            <w:tcW w:w="4652" w:type="dxa"/>
            <w:tcBorders>
              <w:top w:val="single" w:sz="4" w:space="0" w:color="auto"/>
              <w:left w:val="single" w:sz="4" w:space="0" w:color="auto"/>
              <w:bottom w:val="single" w:sz="4" w:space="0" w:color="auto"/>
            </w:tcBorders>
          </w:tcPr>
          <w:p w14:paraId="3C5E87EB" w14:textId="77777777" w:rsidR="00A40E32" w:rsidRPr="00DC34FD" w:rsidRDefault="00A40E32" w:rsidP="00A40E32">
            <w:pPr>
              <w:pStyle w:val="ListParagraph"/>
              <w:spacing w:after="0" w:line="240" w:lineRule="auto"/>
              <w:ind w:left="0"/>
              <w:jc w:val="both"/>
              <w:rPr>
                <w:rFonts w:ascii="Times New Roman" w:hAnsi="Times New Roman"/>
                <w:lang w:eastAsia="lv-LV"/>
              </w:rPr>
            </w:pPr>
          </w:p>
        </w:tc>
      </w:tr>
      <w:tr w:rsidR="00A40E32" w:rsidRPr="00DC34FD" w14:paraId="71333436" w14:textId="77777777" w:rsidTr="00AF11CB">
        <w:tc>
          <w:tcPr>
            <w:tcW w:w="742" w:type="dxa"/>
            <w:tcBorders>
              <w:top w:val="single" w:sz="4" w:space="0" w:color="auto"/>
              <w:left w:val="single" w:sz="4" w:space="0" w:color="auto"/>
              <w:bottom w:val="single" w:sz="4" w:space="0" w:color="auto"/>
              <w:right w:val="single" w:sz="4" w:space="0" w:color="auto"/>
            </w:tcBorders>
          </w:tcPr>
          <w:p w14:paraId="1A179255" w14:textId="126B61FC" w:rsidR="00A40E32"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36</w:t>
            </w:r>
            <w:r w:rsidR="00A40E32" w:rsidRPr="00DC34FD">
              <w:rPr>
                <w:rFonts w:ascii="Times New Roman" w:hAnsi="Times New Roman" w:cs="Times New Roman"/>
              </w:rPr>
              <w:t>.</w:t>
            </w:r>
          </w:p>
        </w:tc>
        <w:tc>
          <w:tcPr>
            <w:tcW w:w="3370" w:type="dxa"/>
            <w:gridSpan w:val="2"/>
            <w:tcBorders>
              <w:top w:val="single" w:sz="4" w:space="0" w:color="auto"/>
              <w:left w:val="single" w:sz="4" w:space="0" w:color="auto"/>
              <w:bottom w:val="single" w:sz="4" w:space="0" w:color="auto"/>
              <w:right w:val="single" w:sz="4" w:space="0" w:color="auto"/>
            </w:tcBorders>
          </w:tcPr>
          <w:p w14:paraId="20806810" w14:textId="19C36059" w:rsidR="00A40E32" w:rsidRPr="00DC34FD" w:rsidRDefault="00A40E32" w:rsidP="00A40E32">
            <w:pPr>
              <w:pStyle w:val="ListParagraph"/>
              <w:spacing w:after="0" w:line="240" w:lineRule="auto"/>
              <w:ind w:left="0"/>
              <w:jc w:val="both"/>
              <w:rPr>
                <w:rFonts w:ascii="Times New Roman" w:hAnsi="Times New Roman"/>
                <w:lang w:eastAsia="lv-LV"/>
              </w:rPr>
            </w:pPr>
            <w:r w:rsidRPr="00DC34FD">
              <w:rPr>
                <w:rFonts w:ascii="Times New Roman" w:hAnsi="Times New Roman"/>
                <w:lang w:eastAsia="lv-LV"/>
              </w:rPr>
              <w:t>VI nodaļa kopumā</w:t>
            </w:r>
          </w:p>
        </w:tc>
        <w:tc>
          <w:tcPr>
            <w:tcW w:w="4311" w:type="dxa"/>
            <w:tcBorders>
              <w:top w:val="single" w:sz="4" w:space="0" w:color="auto"/>
              <w:left w:val="single" w:sz="4" w:space="0" w:color="auto"/>
              <w:bottom w:val="single" w:sz="4" w:space="0" w:color="auto"/>
              <w:right w:val="single" w:sz="4" w:space="0" w:color="auto"/>
            </w:tcBorders>
          </w:tcPr>
          <w:p w14:paraId="085F3548" w14:textId="77777777"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t>Tieslietu ministrija</w:t>
            </w:r>
          </w:p>
          <w:p w14:paraId="681903EA" w14:textId="1FB24FC9" w:rsidR="00A40E32" w:rsidRDefault="00A40E32" w:rsidP="00A40E32">
            <w:pPr>
              <w:spacing w:after="0" w:line="240" w:lineRule="auto"/>
              <w:jc w:val="both"/>
              <w:rPr>
                <w:rFonts w:ascii="Times New Roman" w:eastAsia="Times New Roman" w:hAnsi="Times New Roman" w:cs="Times New Roman"/>
                <w:lang w:eastAsia="lv-LV"/>
              </w:rPr>
            </w:pPr>
            <w:r w:rsidRPr="00DC34FD">
              <w:rPr>
                <w:rFonts w:ascii="Times New Roman" w:eastAsia="Times New Roman" w:hAnsi="Times New Roman" w:cs="Times New Roman"/>
                <w:lang w:eastAsia="lv-LV"/>
              </w:rPr>
              <w:t>Projekta VI nodaļa noteic Patērētāju tiesību aizsardzības centra tiesības tirgus uzraudzībai. Norādām, ka minētās funkcijas šobrīd jau nosaka Patērētāju tiesību aizsardzības centra nolikums (piemēram, nolikuma 6.1., 6.3., 6.4., 6.10. apakšpunkts). Ievērojot minēto, lūdzam pārskatīt projekta VI nodaļas regulējumu, lai tas nedublētu jau šobrīd Patērētāju tiesību aizsardzības centra nolikumā nostiprinātās funkcijas.</w:t>
            </w:r>
          </w:p>
          <w:p w14:paraId="16AB8307" w14:textId="76532FAA" w:rsidR="00C32984" w:rsidRPr="00C32984" w:rsidRDefault="00C32984" w:rsidP="00C32984">
            <w:pPr>
              <w:spacing w:after="120" w:line="240" w:lineRule="auto"/>
              <w:ind w:firstLine="720"/>
              <w:jc w:val="both"/>
              <w:rPr>
                <w:bCs/>
              </w:rPr>
            </w:pPr>
            <w:r>
              <w:rPr>
                <w:b/>
              </w:rPr>
              <w:t>(</w:t>
            </w:r>
            <w:r w:rsidRPr="00E07A47">
              <w:rPr>
                <w:b/>
              </w:rPr>
              <w:t>Par 2019.</w:t>
            </w:r>
            <w:r>
              <w:rPr>
                <w:b/>
              </w:rPr>
              <w:t> </w:t>
            </w:r>
            <w:r w:rsidRPr="00E07A47">
              <w:rPr>
                <w:b/>
              </w:rPr>
              <w:t xml:space="preserve">gada </w:t>
            </w:r>
            <w:r>
              <w:rPr>
                <w:b/>
              </w:rPr>
              <w:t>15</w:t>
            </w:r>
            <w:r w:rsidRPr="00E07A47">
              <w:rPr>
                <w:b/>
              </w:rPr>
              <w:t>.</w:t>
            </w:r>
            <w:r>
              <w:rPr>
                <w:b/>
              </w:rPr>
              <w:t> jūlijā</w:t>
            </w:r>
            <w:r w:rsidRPr="00E07A47">
              <w:rPr>
                <w:b/>
              </w:rPr>
              <w:t xml:space="preserve"> piecu darbdienu saskaņošanai nosūtīt</w:t>
            </w:r>
            <w:r>
              <w:rPr>
                <w:b/>
              </w:rPr>
              <w:t>o</w:t>
            </w:r>
            <w:r w:rsidRPr="00E07A47">
              <w:rPr>
                <w:b/>
              </w:rPr>
              <w:t xml:space="preserve"> precizēt</w:t>
            </w:r>
            <w:r>
              <w:rPr>
                <w:b/>
              </w:rPr>
              <w:t>o</w:t>
            </w:r>
            <w:r w:rsidRPr="00E07A47">
              <w:rPr>
                <w:b/>
              </w:rPr>
              <w:t xml:space="preserve"> tiesību akt</w:t>
            </w:r>
            <w:r>
              <w:rPr>
                <w:b/>
              </w:rPr>
              <w:t>a</w:t>
            </w:r>
            <w:r w:rsidRPr="00E07A47">
              <w:rPr>
                <w:b/>
              </w:rPr>
              <w:t xml:space="preserve"> projekt</w:t>
            </w:r>
            <w:r>
              <w:rPr>
                <w:b/>
              </w:rPr>
              <w:t>u</w:t>
            </w:r>
            <w:r w:rsidRPr="00E07A47">
              <w:rPr>
                <w:b/>
              </w:rPr>
              <w:t>)</w:t>
            </w:r>
          </w:p>
          <w:p w14:paraId="4F3BFAC8" w14:textId="083F2089" w:rsidR="00C32984" w:rsidRPr="00DC34FD" w:rsidRDefault="00C32984" w:rsidP="00A40E32">
            <w:pPr>
              <w:spacing w:after="0" w:line="240" w:lineRule="auto"/>
              <w:jc w:val="both"/>
              <w:rPr>
                <w:rFonts w:ascii="Times New Roman" w:hAnsi="Times New Roman" w:cs="Times New Roman"/>
                <w:lang w:eastAsia="lv-LV"/>
              </w:rPr>
            </w:pPr>
            <w:r w:rsidRPr="00C32984">
              <w:rPr>
                <w:rFonts w:ascii="Times New Roman" w:hAnsi="Times New Roman" w:cs="Times New Roman"/>
                <w:color w:val="000000"/>
              </w:rPr>
              <w:t>Ievērojot, ka Patērētāju tiesību aizsardzības centra tiesības noteic Ministru kabineta 2006. gada 1. augusta noteikumi Nr. 632 "Patērētāju tiesību aizsardzības centra nolikums", lūdzam nedublēt tajā esošo regulējumu projekta VI nodaļā (skatīt, piemēram, projekta 27.1. apakšpunktu; 28.punktu).</w:t>
            </w:r>
          </w:p>
        </w:tc>
        <w:tc>
          <w:tcPr>
            <w:tcW w:w="2410" w:type="dxa"/>
            <w:gridSpan w:val="2"/>
            <w:tcBorders>
              <w:top w:val="single" w:sz="4" w:space="0" w:color="auto"/>
              <w:left w:val="single" w:sz="4" w:space="0" w:color="auto"/>
              <w:bottom w:val="single" w:sz="4" w:space="0" w:color="auto"/>
              <w:right w:val="single" w:sz="4" w:space="0" w:color="auto"/>
            </w:tcBorders>
          </w:tcPr>
          <w:p w14:paraId="190A3B52" w14:textId="76533E2A" w:rsidR="00A40E32" w:rsidRPr="00DC34FD" w:rsidRDefault="00567709" w:rsidP="00A40E32">
            <w:pPr>
              <w:pStyle w:val="naisc"/>
              <w:spacing w:before="0" w:after="0"/>
              <w:jc w:val="both"/>
              <w:rPr>
                <w:sz w:val="22"/>
                <w:szCs w:val="22"/>
              </w:rPr>
            </w:pPr>
            <w:r>
              <w:rPr>
                <w:b/>
                <w:sz w:val="22"/>
                <w:szCs w:val="22"/>
              </w:rPr>
              <w:t>Ņemts vērā</w:t>
            </w:r>
            <w:r w:rsidR="00A40E32" w:rsidRPr="00DC34FD">
              <w:rPr>
                <w:b/>
                <w:sz w:val="22"/>
                <w:szCs w:val="22"/>
              </w:rPr>
              <w:t>.</w:t>
            </w:r>
          </w:p>
          <w:p w14:paraId="4954309B" w14:textId="5E534F46" w:rsidR="00A40E32" w:rsidRPr="00DC34FD" w:rsidRDefault="00C43718" w:rsidP="00A40E32">
            <w:pPr>
              <w:pStyle w:val="naisc"/>
              <w:spacing w:before="0" w:after="0"/>
              <w:jc w:val="both"/>
              <w:rPr>
                <w:b/>
                <w:sz w:val="22"/>
                <w:szCs w:val="22"/>
              </w:rPr>
            </w:pPr>
            <w:r w:rsidRPr="00DC34FD">
              <w:t>VI nodaļa</w:t>
            </w:r>
            <w:r>
              <w:t xml:space="preserve"> precizēta</w:t>
            </w:r>
            <w:r w:rsidR="00A40E32" w:rsidRPr="00DC34FD">
              <w:rPr>
                <w:sz w:val="22"/>
                <w:szCs w:val="22"/>
              </w:rPr>
              <w:t>.</w:t>
            </w:r>
          </w:p>
        </w:tc>
        <w:tc>
          <w:tcPr>
            <w:tcW w:w="4652" w:type="dxa"/>
            <w:tcBorders>
              <w:top w:val="single" w:sz="4" w:space="0" w:color="auto"/>
              <w:left w:val="single" w:sz="4" w:space="0" w:color="auto"/>
              <w:bottom w:val="single" w:sz="4" w:space="0" w:color="auto"/>
            </w:tcBorders>
          </w:tcPr>
          <w:p w14:paraId="0DFE7866" w14:textId="77777777" w:rsidR="00C43718" w:rsidRPr="00C43718" w:rsidRDefault="00C43718" w:rsidP="00C43718">
            <w:pPr>
              <w:pStyle w:val="ListParagraph"/>
              <w:spacing w:after="0" w:line="240" w:lineRule="auto"/>
              <w:ind w:left="39"/>
              <w:jc w:val="both"/>
              <w:rPr>
                <w:rFonts w:ascii="Times New Roman" w:hAnsi="Times New Roman"/>
                <w:lang w:eastAsia="lv-LV"/>
              </w:rPr>
            </w:pPr>
            <w:r w:rsidRPr="00C43718">
              <w:rPr>
                <w:rFonts w:ascii="Times New Roman" w:hAnsi="Times New Roman"/>
                <w:lang w:eastAsia="lv-LV"/>
              </w:rPr>
              <w:t>26.</w:t>
            </w:r>
            <w:r w:rsidRPr="00C43718">
              <w:rPr>
                <w:rFonts w:ascii="Times New Roman" w:hAnsi="Times New Roman"/>
                <w:lang w:eastAsia="lv-LV"/>
              </w:rPr>
              <w:tab/>
              <w:t>Publisko spēļu un rekreācijas laukumu un tajos uzstādīto spēļu vai citu aktivitāšu iekārtu uzraudzību veic Centrs saskaņā ar normatīvajiem aktiem preču un pakalpojumu drošuma jomā, ciktāl šajos noteikumos nav noteikts savādāk.</w:t>
            </w:r>
          </w:p>
          <w:p w14:paraId="765D8BC3" w14:textId="77777777" w:rsidR="00C43718" w:rsidRPr="00C43718" w:rsidRDefault="00C43718" w:rsidP="00C43718">
            <w:pPr>
              <w:pStyle w:val="ListParagraph"/>
              <w:spacing w:after="0" w:line="240" w:lineRule="auto"/>
              <w:ind w:left="39"/>
              <w:jc w:val="both"/>
              <w:rPr>
                <w:rFonts w:ascii="Times New Roman" w:hAnsi="Times New Roman"/>
                <w:lang w:eastAsia="lv-LV"/>
              </w:rPr>
            </w:pPr>
            <w:r w:rsidRPr="00C43718">
              <w:rPr>
                <w:rFonts w:ascii="Times New Roman" w:hAnsi="Times New Roman"/>
                <w:lang w:eastAsia="lv-LV"/>
              </w:rPr>
              <w:t>27.</w:t>
            </w:r>
            <w:r w:rsidRPr="00C43718">
              <w:rPr>
                <w:rFonts w:ascii="Times New Roman" w:hAnsi="Times New Roman"/>
                <w:lang w:eastAsia="lv-LV"/>
              </w:rPr>
              <w:tab/>
              <w:t>Ja Centram ir pamatots iemesls uzskatīt, ka publiskais spēļu un rekreācijas laukums vai tajā uzstādīta spēļu vai citu aktivitāšu iekārta, uz kuru attiecas šie noteikumi, apdraud cilvēka veselību vai drošību, tam ir tiesības uzdot valdītājam veikt visaptverošu drošuma novērtējumu, aptverot visas šajos noteikumos noteiktās prasības.</w:t>
            </w:r>
          </w:p>
          <w:p w14:paraId="7DC7A635" w14:textId="77777777" w:rsidR="00C43718" w:rsidRPr="00C43718" w:rsidRDefault="00C43718" w:rsidP="00C43718">
            <w:pPr>
              <w:pStyle w:val="ListParagraph"/>
              <w:spacing w:after="0" w:line="240" w:lineRule="auto"/>
              <w:ind w:left="39"/>
              <w:jc w:val="both"/>
              <w:rPr>
                <w:rFonts w:ascii="Times New Roman" w:hAnsi="Times New Roman"/>
                <w:lang w:eastAsia="lv-LV"/>
              </w:rPr>
            </w:pPr>
            <w:r w:rsidRPr="00C43718">
              <w:rPr>
                <w:rFonts w:ascii="Times New Roman" w:hAnsi="Times New Roman"/>
                <w:lang w:eastAsia="lv-LV"/>
              </w:rPr>
              <w:t>28.</w:t>
            </w:r>
            <w:r w:rsidRPr="00C43718">
              <w:rPr>
                <w:rFonts w:ascii="Times New Roman" w:hAnsi="Times New Roman"/>
                <w:lang w:eastAsia="lv-LV"/>
              </w:rPr>
              <w:tab/>
              <w:t>Konstatējot nepieciešamību pieprasīt, lai spēļu vai citu aktivitāšu iekārtas ražotājs vai importētājs nodrošina tehniskās dokumentācijas vai attiecīgo tās daļu tulkojumu valsts valodā, Centrs nosaka 30 dienu iesniegšanas termiņu, ja vien nav attaisnojams īsāks termiņš nopietna un tūlītēja riska konstatēšanas dēļ.</w:t>
            </w:r>
          </w:p>
          <w:p w14:paraId="097BE600" w14:textId="6F402E85" w:rsidR="00A40E32" w:rsidRPr="00DC34FD" w:rsidRDefault="00C43718" w:rsidP="00C43718">
            <w:pPr>
              <w:pStyle w:val="ListParagraph"/>
              <w:spacing w:after="0" w:line="240" w:lineRule="auto"/>
              <w:ind w:left="0"/>
              <w:jc w:val="both"/>
              <w:rPr>
                <w:rFonts w:ascii="Times New Roman" w:hAnsi="Times New Roman"/>
                <w:lang w:eastAsia="lv-LV"/>
              </w:rPr>
            </w:pPr>
            <w:r w:rsidRPr="00C43718">
              <w:rPr>
                <w:rFonts w:ascii="Times New Roman" w:hAnsi="Times New Roman"/>
                <w:lang w:eastAsia="lv-LV"/>
              </w:rPr>
              <w:t>29.</w:t>
            </w:r>
            <w:r w:rsidRPr="00C43718">
              <w:rPr>
                <w:rFonts w:ascii="Times New Roman" w:hAnsi="Times New Roman"/>
                <w:lang w:eastAsia="lv-LV"/>
              </w:rPr>
              <w:tab/>
              <w:t>Centrs veicina un atbalsta spēļu vai citu aktivitāšu iekārtu ražotājus, importētājus, izplatītājus, kā arī publisko spēļu un rekreācijas laukumu valdītājus šo noteikumu prasību izpildē, tai skaitā izstrādājot attiecīgas pakalpojumu drošuma vai cita veida vadlīnijas.</w:t>
            </w:r>
          </w:p>
        </w:tc>
      </w:tr>
      <w:tr w:rsidR="00A40E32" w:rsidRPr="00DC34FD" w14:paraId="00685B7D" w14:textId="77777777" w:rsidTr="00AF11CB">
        <w:tc>
          <w:tcPr>
            <w:tcW w:w="742" w:type="dxa"/>
            <w:tcBorders>
              <w:top w:val="single" w:sz="6" w:space="0" w:color="000000"/>
              <w:left w:val="single" w:sz="6" w:space="0" w:color="000000"/>
              <w:bottom w:val="single" w:sz="6" w:space="0" w:color="000000"/>
              <w:right w:val="single" w:sz="6" w:space="0" w:color="000000"/>
            </w:tcBorders>
          </w:tcPr>
          <w:p w14:paraId="345EBA54" w14:textId="619394C4" w:rsidR="00A40E32" w:rsidRPr="00DC34FD" w:rsidRDefault="00D23E3B" w:rsidP="00A40E32">
            <w:pPr>
              <w:pStyle w:val="naisc"/>
              <w:spacing w:before="0" w:after="0"/>
              <w:jc w:val="both"/>
              <w:rPr>
                <w:sz w:val="22"/>
                <w:szCs w:val="22"/>
              </w:rPr>
            </w:pPr>
            <w:r>
              <w:rPr>
                <w:sz w:val="22"/>
                <w:szCs w:val="22"/>
              </w:rPr>
              <w:t>37.</w:t>
            </w:r>
          </w:p>
        </w:tc>
        <w:tc>
          <w:tcPr>
            <w:tcW w:w="3370" w:type="dxa"/>
            <w:gridSpan w:val="2"/>
            <w:tcBorders>
              <w:top w:val="single" w:sz="6" w:space="0" w:color="000000"/>
              <w:left w:val="single" w:sz="6" w:space="0" w:color="000000"/>
              <w:bottom w:val="single" w:sz="6" w:space="0" w:color="000000"/>
              <w:right w:val="single" w:sz="6" w:space="0" w:color="000000"/>
            </w:tcBorders>
          </w:tcPr>
          <w:p w14:paraId="311F0919" w14:textId="6ED61292" w:rsidR="00A40E32" w:rsidRPr="00DC34FD" w:rsidRDefault="00A40E32" w:rsidP="00A40E32">
            <w:pPr>
              <w:pStyle w:val="ListParagraph"/>
              <w:numPr>
                <w:ilvl w:val="0"/>
                <w:numId w:val="11"/>
              </w:numPr>
              <w:spacing w:after="0" w:line="240" w:lineRule="auto"/>
              <w:rPr>
                <w:rFonts w:ascii="Times New Roman" w:hAnsi="Times New Roman"/>
              </w:rPr>
            </w:pPr>
            <w:r w:rsidRPr="00DC34FD">
              <w:rPr>
                <w:rFonts w:ascii="Times New Roman" w:hAnsi="Times New Roman"/>
              </w:rPr>
              <w:t>pielikums. Specifiskās drošuma prasības.</w:t>
            </w:r>
          </w:p>
        </w:tc>
        <w:tc>
          <w:tcPr>
            <w:tcW w:w="4311" w:type="dxa"/>
            <w:tcBorders>
              <w:top w:val="single" w:sz="4" w:space="0" w:color="auto"/>
              <w:left w:val="single" w:sz="4" w:space="0" w:color="auto"/>
              <w:bottom w:val="single" w:sz="4" w:space="0" w:color="auto"/>
              <w:right w:val="single" w:sz="4" w:space="0" w:color="auto"/>
            </w:tcBorders>
          </w:tcPr>
          <w:p w14:paraId="4416570F" w14:textId="77777777" w:rsidR="00A40E32" w:rsidRPr="00DC34FD" w:rsidRDefault="00A40E32" w:rsidP="00A40E32">
            <w:pPr>
              <w:jc w:val="center"/>
              <w:rPr>
                <w:rFonts w:ascii="Times New Roman" w:eastAsia="Calibri" w:hAnsi="Times New Roman" w:cs="Times New Roman"/>
                <w:color w:val="000000"/>
              </w:rPr>
            </w:pPr>
            <w:r w:rsidRPr="00DC34FD">
              <w:rPr>
                <w:rFonts w:ascii="Times New Roman" w:hAnsi="Times New Roman" w:cs="Times New Roman"/>
                <w:b/>
              </w:rPr>
              <w:t>Latvijas Lielo pilsētu asociācija</w:t>
            </w:r>
          </w:p>
          <w:p w14:paraId="17383EF4" w14:textId="428D5C2F" w:rsidR="00A40E32" w:rsidRPr="00DC34FD" w:rsidRDefault="00A40E32" w:rsidP="00A40E32">
            <w:pPr>
              <w:jc w:val="both"/>
              <w:rPr>
                <w:rFonts w:ascii="Times New Roman" w:eastAsia="Calibri" w:hAnsi="Times New Roman" w:cs="Times New Roman"/>
                <w:color w:val="000000"/>
              </w:rPr>
            </w:pPr>
            <w:r w:rsidRPr="00DC34FD">
              <w:rPr>
                <w:rFonts w:ascii="Times New Roman" w:hAnsi="Times New Roman" w:cs="Times New Roman"/>
                <w:color w:val="000000" w:themeColor="text1"/>
              </w:rPr>
              <w:lastRenderedPageBreak/>
              <w:t>Vispārīgas, neko neizsakošas, dažādi traktējamas frāzes.</w:t>
            </w:r>
          </w:p>
        </w:tc>
        <w:tc>
          <w:tcPr>
            <w:tcW w:w="2410" w:type="dxa"/>
            <w:gridSpan w:val="2"/>
            <w:tcBorders>
              <w:top w:val="single" w:sz="4" w:space="0" w:color="auto"/>
              <w:left w:val="single" w:sz="4" w:space="0" w:color="auto"/>
              <w:bottom w:val="single" w:sz="4" w:space="0" w:color="auto"/>
              <w:right w:val="single" w:sz="4" w:space="0" w:color="auto"/>
            </w:tcBorders>
          </w:tcPr>
          <w:p w14:paraId="1DAB61F8" w14:textId="77777777" w:rsidR="00A40E32" w:rsidRPr="00DC34FD" w:rsidRDefault="00A40E32" w:rsidP="00A40E32">
            <w:pPr>
              <w:spacing w:after="0" w:line="240" w:lineRule="auto"/>
              <w:jc w:val="center"/>
              <w:rPr>
                <w:rFonts w:ascii="Times New Roman" w:hAnsi="Times New Roman" w:cs="Times New Roman"/>
              </w:rPr>
            </w:pPr>
            <w:r w:rsidRPr="00DC34FD">
              <w:rPr>
                <w:rFonts w:ascii="Times New Roman" w:hAnsi="Times New Roman" w:cs="Times New Roman"/>
                <w:b/>
              </w:rPr>
              <w:lastRenderedPageBreak/>
              <w:t>Panākta vienošanās.</w:t>
            </w:r>
          </w:p>
          <w:p w14:paraId="354CFB3A" w14:textId="65851DAF" w:rsidR="00A40E32" w:rsidRPr="00DC34FD" w:rsidRDefault="00A40E32" w:rsidP="00A40E32">
            <w:pPr>
              <w:jc w:val="both"/>
              <w:rPr>
                <w:rFonts w:ascii="Times New Roman" w:hAnsi="Times New Roman" w:cs="Times New Roman"/>
              </w:rPr>
            </w:pPr>
            <w:r w:rsidRPr="00DC34FD">
              <w:rPr>
                <w:rFonts w:ascii="Times New Roman" w:hAnsi="Times New Roman" w:cs="Times New Roman"/>
              </w:rPr>
              <w:lastRenderedPageBreak/>
              <w:t>Noteikumu projekts paredz pamatprasības, kuru izpildes prezumpciju nodrošina standartu piemērošana, kuri satur sīkus tehniskos raksturlielumus u.c. Noteikumu projekts izstrādāts, ievērojot ar Ministru kabineta 2016. gada 21. septembra rīkojumu Nr. 534 atbalstīto konceptuālo ziņojumu “Par Latvijas nacionālās standartizācijas sistēmas pilnveidošanu”.</w:t>
            </w:r>
            <w:r w:rsidR="00C43718">
              <w:rPr>
                <w:rFonts w:ascii="Times New Roman" w:hAnsi="Times New Roman" w:cs="Times New Roman"/>
              </w:rPr>
              <w:t xml:space="preserve"> 1.pielikums iestrādāts 10.punktā.</w:t>
            </w:r>
          </w:p>
          <w:p w14:paraId="0665B79D" w14:textId="346A590F" w:rsidR="00A40E32" w:rsidRPr="00DC34FD" w:rsidRDefault="00A40E32" w:rsidP="00A40E32">
            <w:pPr>
              <w:spacing w:after="0" w:line="240" w:lineRule="auto"/>
              <w:jc w:val="both"/>
              <w:rPr>
                <w:rFonts w:ascii="Times New Roman" w:hAnsi="Times New Roman" w:cs="Times New Roman"/>
              </w:rPr>
            </w:pPr>
          </w:p>
        </w:tc>
        <w:tc>
          <w:tcPr>
            <w:tcW w:w="4652" w:type="dxa"/>
            <w:tcBorders>
              <w:top w:val="single" w:sz="4" w:space="0" w:color="auto"/>
              <w:left w:val="single" w:sz="4" w:space="0" w:color="auto"/>
              <w:bottom w:val="single" w:sz="4" w:space="0" w:color="auto"/>
            </w:tcBorders>
          </w:tcPr>
          <w:p w14:paraId="0741BFD1" w14:textId="07BF8A90" w:rsidR="00A40E32" w:rsidRPr="00DC34FD" w:rsidRDefault="00A40E32" w:rsidP="00A40E32">
            <w:pPr>
              <w:spacing w:after="0" w:line="240" w:lineRule="auto"/>
              <w:ind w:left="35"/>
              <w:jc w:val="both"/>
              <w:rPr>
                <w:rFonts w:ascii="Times New Roman" w:hAnsi="Times New Roman" w:cs="Times New Roman"/>
                <w:b/>
              </w:rPr>
            </w:pPr>
          </w:p>
        </w:tc>
      </w:tr>
      <w:tr w:rsidR="00A40E32" w:rsidRPr="00DC34FD" w14:paraId="6B262160" w14:textId="77777777" w:rsidTr="00AF11CB">
        <w:tc>
          <w:tcPr>
            <w:tcW w:w="742" w:type="dxa"/>
            <w:tcBorders>
              <w:top w:val="single" w:sz="6" w:space="0" w:color="000000"/>
              <w:left w:val="single" w:sz="6" w:space="0" w:color="000000"/>
              <w:bottom w:val="single" w:sz="6" w:space="0" w:color="000000"/>
              <w:right w:val="single" w:sz="6" w:space="0" w:color="000000"/>
            </w:tcBorders>
          </w:tcPr>
          <w:p w14:paraId="3E8A8B62" w14:textId="354F127F" w:rsidR="00A40E32" w:rsidRPr="00DC34FD" w:rsidRDefault="00D23E3B" w:rsidP="00A40E32">
            <w:pPr>
              <w:pStyle w:val="naisc"/>
              <w:spacing w:before="0" w:after="0"/>
              <w:jc w:val="both"/>
              <w:rPr>
                <w:sz w:val="22"/>
                <w:szCs w:val="22"/>
              </w:rPr>
            </w:pPr>
            <w:r>
              <w:rPr>
                <w:sz w:val="22"/>
                <w:szCs w:val="22"/>
              </w:rPr>
              <w:t>38.</w:t>
            </w:r>
          </w:p>
        </w:tc>
        <w:tc>
          <w:tcPr>
            <w:tcW w:w="3370" w:type="dxa"/>
            <w:gridSpan w:val="2"/>
            <w:tcBorders>
              <w:top w:val="single" w:sz="6" w:space="0" w:color="000000"/>
              <w:left w:val="single" w:sz="6" w:space="0" w:color="000000"/>
              <w:bottom w:val="single" w:sz="6" w:space="0" w:color="000000"/>
              <w:right w:val="single" w:sz="6" w:space="0" w:color="000000"/>
            </w:tcBorders>
          </w:tcPr>
          <w:p w14:paraId="641203D7" w14:textId="794BFDA1" w:rsidR="00A40E32" w:rsidRPr="00DC34FD" w:rsidRDefault="000D041D" w:rsidP="00A40E32">
            <w:pPr>
              <w:spacing w:after="0" w:line="240" w:lineRule="auto"/>
              <w:rPr>
                <w:rFonts w:ascii="Times New Roman" w:hAnsi="Times New Roman" w:cs="Times New Roman"/>
              </w:rPr>
            </w:pPr>
            <w:r w:rsidRPr="00DC34FD">
              <w:rPr>
                <w:rFonts w:ascii="Times New Roman" w:hAnsi="Times New Roman" w:cs="Times New Roman"/>
              </w:rPr>
              <w:t>Anotācija</w:t>
            </w:r>
          </w:p>
        </w:tc>
        <w:tc>
          <w:tcPr>
            <w:tcW w:w="4311" w:type="dxa"/>
            <w:tcBorders>
              <w:top w:val="single" w:sz="4" w:space="0" w:color="auto"/>
              <w:left w:val="single" w:sz="4" w:space="0" w:color="auto"/>
              <w:bottom w:val="single" w:sz="4" w:space="0" w:color="auto"/>
              <w:right w:val="single" w:sz="4" w:space="0" w:color="auto"/>
            </w:tcBorders>
          </w:tcPr>
          <w:p w14:paraId="53C9AC38" w14:textId="77777777" w:rsidR="00A40E32" w:rsidRPr="00DC34FD" w:rsidRDefault="00A40E32" w:rsidP="00A40E32">
            <w:pPr>
              <w:spacing w:after="0" w:line="240" w:lineRule="auto"/>
              <w:jc w:val="center"/>
              <w:rPr>
                <w:rFonts w:ascii="Times New Roman" w:eastAsia="Times New Roman" w:hAnsi="Times New Roman" w:cs="Times New Roman"/>
                <w:b/>
              </w:rPr>
            </w:pPr>
            <w:r w:rsidRPr="00DC34FD">
              <w:rPr>
                <w:rFonts w:ascii="Times New Roman" w:eastAsia="Times New Roman" w:hAnsi="Times New Roman" w:cs="Times New Roman"/>
                <w:b/>
              </w:rPr>
              <w:t>Tieslietu ministrija</w:t>
            </w:r>
          </w:p>
          <w:p w14:paraId="22D12E29" w14:textId="7AE0CCB0" w:rsidR="00A40E32" w:rsidRPr="00DC34FD" w:rsidRDefault="00A40E32" w:rsidP="00A40E32">
            <w:pPr>
              <w:spacing w:after="0" w:line="240" w:lineRule="auto"/>
              <w:jc w:val="both"/>
              <w:rPr>
                <w:rFonts w:ascii="Times New Roman" w:hAnsi="Times New Roman" w:cs="Times New Roman"/>
                <w:b/>
                <w:color w:val="000000" w:themeColor="text1"/>
              </w:rPr>
            </w:pPr>
            <w:r w:rsidRPr="00DC34FD">
              <w:rPr>
                <w:rFonts w:ascii="Times New Roman" w:hAnsi="Times New Roman" w:cs="Times New Roman"/>
                <w:color w:val="000000" w:themeColor="text1"/>
              </w:rPr>
              <w:t>Anotācijas I sadaļas 2. punktā ir norādīts, ka katru gadu veiktajās pārbaudes tiek konstatēts, ka lielākā daļa no spēļu laukumiem neatbilst drošuma prasībām. Ievērojot, ka projekts paredz noteikt stingrākas prasības spēļu vai citu aktivitāšu iekārtu un laukumu valdītājiem, lūdzam anotācijas II sadaļā izvērsti skaidrot, kāda ir projektā ietvertā tiesiskā regulējuma faktiskā ietekme uz projekta mērķgrupu.</w:t>
            </w:r>
          </w:p>
        </w:tc>
        <w:tc>
          <w:tcPr>
            <w:tcW w:w="2410" w:type="dxa"/>
            <w:gridSpan w:val="2"/>
            <w:tcBorders>
              <w:top w:val="single" w:sz="4" w:space="0" w:color="auto"/>
              <w:left w:val="single" w:sz="4" w:space="0" w:color="auto"/>
              <w:bottom w:val="single" w:sz="4" w:space="0" w:color="auto"/>
              <w:right w:val="single" w:sz="4" w:space="0" w:color="auto"/>
            </w:tcBorders>
          </w:tcPr>
          <w:p w14:paraId="1D196ECE" w14:textId="77777777" w:rsidR="00A40E32" w:rsidRPr="00DC34FD" w:rsidRDefault="00A40E32" w:rsidP="00A40E32">
            <w:pPr>
              <w:spacing w:after="0" w:line="240" w:lineRule="auto"/>
              <w:jc w:val="center"/>
              <w:rPr>
                <w:rFonts w:ascii="Times New Roman" w:hAnsi="Times New Roman" w:cs="Times New Roman"/>
                <w:b/>
              </w:rPr>
            </w:pPr>
            <w:r w:rsidRPr="00DC34FD">
              <w:rPr>
                <w:rFonts w:ascii="Times New Roman" w:hAnsi="Times New Roman" w:cs="Times New Roman"/>
                <w:b/>
              </w:rPr>
              <w:t>Ņemts vērā.</w:t>
            </w:r>
          </w:p>
          <w:p w14:paraId="601EDBAF" w14:textId="73BC99D8" w:rsidR="00A40E32" w:rsidRPr="00DC34FD" w:rsidRDefault="00A40E32" w:rsidP="00A40E32">
            <w:pPr>
              <w:spacing w:after="0" w:line="240" w:lineRule="auto"/>
              <w:jc w:val="center"/>
              <w:rPr>
                <w:rFonts w:ascii="Times New Roman" w:hAnsi="Times New Roman" w:cs="Times New Roman"/>
                <w:b/>
              </w:rPr>
            </w:pPr>
            <w:r w:rsidRPr="00DC34FD">
              <w:rPr>
                <w:rFonts w:ascii="Times New Roman" w:hAnsi="Times New Roman" w:cs="Times New Roman"/>
              </w:rPr>
              <w:t>Precizēta anotācija.</w:t>
            </w:r>
          </w:p>
        </w:tc>
        <w:tc>
          <w:tcPr>
            <w:tcW w:w="4652" w:type="dxa"/>
            <w:tcBorders>
              <w:top w:val="single" w:sz="4" w:space="0" w:color="auto"/>
              <w:left w:val="single" w:sz="4" w:space="0" w:color="auto"/>
              <w:bottom w:val="single" w:sz="4" w:space="0" w:color="auto"/>
            </w:tcBorders>
          </w:tcPr>
          <w:p w14:paraId="1ADEA9D5" w14:textId="5EA56909" w:rsidR="00A40E32" w:rsidRPr="00DC34FD" w:rsidRDefault="00A40E32" w:rsidP="00A40E32">
            <w:pPr>
              <w:spacing w:after="0" w:line="240" w:lineRule="auto"/>
              <w:ind w:left="35"/>
              <w:jc w:val="both"/>
              <w:rPr>
                <w:rFonts w:ascii="Times New Roman" w:hAnsi="Times New Roman" w:cs="Times New Roman"/>
              </w:rPr>
            </w:pPr>
          </w:p>
        </w:tc>
      </w:tr>
      <w:tr w:rsidR="00A40E32" w:rsidRPr="00DC34FD" w14:paraId="3D182B5F" w14:textId="77777777" w:rsidTr="00AF11CB">
        <w:tc>
          <w:tcPr>
            <w:tcW w:w="742" w:type="dxa"/>
            <w:tcBorders>
              <w:top w:val="single" w:sz="6" w:space="0" w:color="000000"/>
              <w:left w:val="single" w:sz="6" w:space="0" w:color="000000"/>
              <w:bottom w:val="single" w:sz="6" w:space="0" w:color="000000"/>
              <w:right w:val="single" w:sz="6" w:space="0" w:color="000000"/>
            </w:tcBorders>
          </w:tcPr>
          <w:p w14:paraId="30DB4747" w14:textId="6821F561" w:rsidR="00A40E32" w:rsidRPr="00DC34FD" w:rsidRDefault="00D23E3B" w:rsidP="00A40E32">
            <w:pPr>
              <w:pStyle w:val="naisc"/>
              <w:spacing w:before="0" w:after="0"/>
              <w:jc w:val="both"/>
              <w:rPr>
                <w:sz w:val="22"/>
                <w:szCs w:val="22"/>
              </w:rPr>
            </w:pPr>
            <w:r>
              <w:rPr>
                <w:sz w:val="22"/>
                <w:szCs w:val="22"/>
              </w:rPr>
              <w:t>39.</w:t>
            </w:r>
          </w:p>
        </w:tc>
        <w:tc>
          <w:tcPr>
            <w:tcW w:w="3370" w:type="dxa"/>
            <w:gridSpan w:val="2"/>
            <w:tcBorders>
              <w:top w:val="single" w:sz="6" w:space="0" w:color="000000"/>
              <w:left w:val="single" w:sz="6" w:space="0" w:color="000000"/>
              <w:bottom w:val="single" w:sz="6" w:space="0" w:color="000000"/>
              <w:right w:val="single" w:sz="6" w:space="0" w:color="000000"/>
            </w:tcBorders>
          </w:tcPr>
          <w:p w14:paraId="674A3BBE" w14:textId="4E54447E" w:rsidR="00A40E32" w:rsidRPr="00DC34FD" w:rsidRDefault="00A40E32" w:rsidP="00A40E32">
            <w:pPr>
              <w:spacing w:after="0" w:line="240" w:lineRule="auto"/>
              <w:rPr>
                <w:rFonts w:ascii="Times New Roman" w:hAnsi="Times New Roman" w:cs="Times New Roman"/>
              </w:rPr>
            </w:pPr>
            <w:r w:rsidRPr="00DC34FD">
              <w:rPr>
                <w:rFonts w:ascii="Times New Roman" w:hAnsi="Times New Roman" w:cs="Times New Roman"/>
              </w:rPr>
              <w:t>Noteikumu projekts kopumā.</w:t>
            </w:r>
          </w:p>
        </w:tc>
        <w:tc>
          <w:tcPr>
            <w:tcW w:w="4311" w:type="dxa"/>
            <w:tcBorders>
              <w:top w:val="single" w:sz="4" w:space="0" w:color="auto"/>
              <w:left w:val="single" w:sz="4" w:space="0" w:color="auto"/>
              <w:bottom w:val="single" w:sz="4" w:space="0" w:color="auto"/>
              <w:right w:val="single" w:sz="4" w:space="0" w:color="auto"/>
            </w:tcBorders>
          </w:tcPr>
          <w:p w14:paraId="31E549AB" w14:textId="77777777" w:rsidR="00A40E32" w:rsidRPr="00DC34FD" w:rsidRDefault="00A40E32"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 xml:space="preserve">SIA </w:t>
            </w:r>
            <w:proofErr w:type="spellStart"/>
            <w:r w:rsidRPr="00DC34FD">
              <w:rPr>
                <w:rFonts w:ascii="Calibri" w:hAnsi="Calibri" w:cs="Calibri"/>
                <w:b/>
                <w:bCs/>
                <w:color w:val="000000"/>
                <w:sz w:val="23"/>
                <w:szCs w:val="23"/>
                <w:lang w:val="en-US"/>
              </w:rPr>
              <w:t>Jūrmalas</w:t>
            </w:r>
            <w:proofErr w:type="spellEnd"/>
            <w:r w:rsidRPr="00DC34FD">
              <w:rPr>
                <w:rFonts w:ascii="Calibri" w:hAnsi="Calibri" w:cs="Calibri"/>
                <w:b/>
                <w:bCs/>
                <w:color w:val="000000"/>
                <w:sz w:val="23"/>
                <w:szCs w:val="23"/>
                <w:lang w:val="en-US"/>
              </w:rPr>
              <w:t xml:space="preserve"> </w:t>
            </w:r>
            <w:proofErr w:type="spellStart"/>
            <w:r w:rsidRPr="00DC34FD">
              <w:rPr>
                <w:rFonts w:ascii="Calibri" w:hAnsi="Calibri" w:cs="Calibri"/>
                <w:b/>
                <w:bCs/>
                <w:color w:val="000000"/>
                <w:sz w:val="23"/>
                <w:szCs w:val="23"/>
                <w:lang w:val="en-US"/>
              </w:rPr>
              <w:t>Mežaparki</w:t>
            </w:r>
            <w:proofErr w:type="spellEnd"/>
          </w:p>
          <w:p w14:paraId="4448015C" w14:textId="77777777" w:rsidR="00A40E32" w:rsidRPr="00DC34FD" w:rsidRDefault="00A40E32"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 xml:space="preserve">SIA </w:t>
            </w:r>
            <w:proofErr w:type="spellStart"/>
            <w:r w:rsidRPr="00DC34FD">
              <w:rPr>
                <w:rFonts w:ascii="Calibri" w:hAnsi="Calibri" w:cs="Calibri"/>
                <w:b/>
                <w:bCs/>
                <w:color w:val="000000"/>
                <w:sz w:val="23"/>
                <w:szCs w:val="23"/>
                <w:lang w:val="en-US"/>
              </w:rPr>
              <w:t>Fixman</w:t>
            </w:r>
            <w:proofErr w:type="spellEnd"/>
          </w:p>
          <w:p w14:paraId="1968F0E7" w14:textId="77777777" w:rsidR="00A40E32" w:rsidRPr="00DC34FD" w:rsidRDefault="00A40E32"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lastRenderedPageBreak/>
              <w:t>SIA KSIL Baltic</w:t>
            </w:r>
          </w:p>
          <w:p w14:paraId="413C03C1" w14:textId="3668DEB7" w:rsidR="00A40E32" w:rsidRPr="00DC34FD" w:rsidRDefault="00A40E32" w:rsidP="00A40E32">
            <w:pPr>
              <w:spacing w:after="0" w:line="240" w:lineRule="auto"/>
              <w:ind w:left="113"/>
              <w:jc w:val="center"/>
              <w:rPr>
                <w:rFonts w:ascii="Times New Roman" w:hAnsi="Times New Roman" w:cs="Times New Roman"/>
              </w:rPr>
            </w:pPr>
            <w:r w:rsidRPr="00DC34FD">
              <w:rPr>
                <w:rFonts w:ascii="Calibri" w:hAnsi="Calibri" w:cs="Calibri"/>
                <w:b/>
                <w:bCs/>
                <w:color w:val="000000"/>
                <w:sz w:val="23"/>
                <w:szCs w:val="23"/>
                <w:lang w:val="en-US"/>
              </w:rPr>
              <w:t>SIA JLD</w:t>
            </w:r>
          </w:p>
          <w:p w14:paraId="33752174" w14:textId="148B5B58" w:rsidR="00A40E32" w:rsidRPr="00DC34FD" w:rsidRDefault="00A40E32" w:rsidP="00A40E32">
            <w:pPr>
              <w:spacing w:after="0" w:line="240" w:lineRule="auto"/>
              <w:ind w:left="113"/>
              <w:jc w:val="both"/>
              <w:rPr>
                <w:rFonts w:ascii="Times New Roman" w:hAnsi="Times New Roman" w:cs="Times New Roman"/>
                <w:color w:val="000000" w:themeColor="text1"/>
              </w:rPr>
            </w:pPr>
            <w:r w:rsidRPr="00DC34FD">
              <w:rPr>
                <w:rFonts w:ascii="Times New Roman" w:hAnsi="Times New Roman" w:cs="Times New Roman"/>
              </w:rPr>
              <w:t>MK noteikumu projektā akūti trūkst definīciju, piedāvājam pārņemt LVS CEN/TR 17207:2018 izmantotās definīcijas, lai mazinātu domstarpības.</w:t>
            </w:r>
          </w:p>
        </w:tc>
        <w:tc>
          <w:tcPr>
            <w:tcW w:w="2410" w:type="dxa"/>
            <w:gridSpan w:val="2"/>
            <w:tcBorders>
              <w:top w:val="single" w:sz="4" w:space="0" w:color="auto"/>
              <w:left w:val="single" w:sz="4" w:space="0" w:color="auto"/>
              <w:bottom w:val="single" w:sz="4" w:space="0" w:color="auto"/>
              <w:right w:val="single" w:sz="4" w:space="0" w:color="auto"/>
            </w:tcBorders>
          </w:tcPr>
          <w:p w14:paraId="12C3AB0C" w14:textId="77777777" w:rsidR="00A40E32" w:rsidRPr="00DC34FD" w:rsidRDefault="00A40E32" w:rsidP="00A40E32">
            <w:pPr>
              <w:spacing w:after="0" w:line="240" w:lineRule="auto"/>
              <w:jc w:val="center"/>
              <w:rPr>
                <w:rFonts w:ascii="Times New Roman" w:hAnsi="Times New Roman" w:cs="Times New Roman"/>
              </w:rPr>
            </w:pPr>
            <w:r w:rsidRPr="00DC34FD">
              <w:rPr>
                <w:rFonts w:ascii="Times New Roman" w:hAnsi="Times New Roman" w:cs="Times New Roman"/>
                <w:b/>
              </w:rPr>
              <w:lastRenderedPageBreak/>
              <w:t>Panākta vienošanās.</w:t>
            </w:r>
          </w:p>
          <w:p w14:paraId="2F9A7515" w14:textId="77777777" w:rsidR="00A40E32" w:rsidRDefault="00A40E32" w:rsidP="00A40E32">
            <w:pPr>
              <w:spacing w:after="0" w:line="240" w:lineRule="auto"/>
              <w:jc w:val="both"/>
              <w:rPr>
                <w:rFonts w:ascii="Times New Roman" w:hAnsi="Times New Roman" w:cs="Times New Roman"/>
              </w:rPr>
            </w:pPr>
            <w:r w:rsidRPr="00DC34FD">
              <w:rPr>
                <w:rFonts w:ascii="Times New Roman" w:hAnsi="Times New Roman" w:cs="Times New Roman"/>
              </w:rPr>
              <w:lastRenderedPageBreak/>
              <w:t>Noteikumu projektā ir izskaidroti tie konkrētie termini, kas tiek lietoti tikai šajā Noteikumu projektā. Savukārt definēt terminus, kas ar tādu pašu nozīmi tiek lietoti vairākos citos normatīvajos aktos, nav juridiska pamatojuma.</w:t>
            </w:r>
          </w:p>
          <w:p w14:paraId="4796D41C" w14:textId="2B74818B" w:rsidR="00890FAD" w:rsidRPr="00DC34FD" w:rsidRDefault="00890FAD" w:rsidP="00A40E32">
            <w:pPr>
              <w:spacing w:after="0" w:line="240" w:lineRule="auto"/>
              <w:jc w:val="both"/>
              <w:rPr>
                <w:rFonts w:ascii="Times New Roman" w:hAnsi="Times New Roman" w:cs="Times New Roman"/>
                <w:b/>
              </w:rPr>
            </w:pPr>
          </w:p>
        </w:tc>
        <w:tc>
          <w:tcPr>
            <w:tcW w:w="4652" w:type="dxa"/>
            <w:tcBorders>
              <w:top w:val="single" w:sz="4" w:space="0" w:color="auto"/>
              <w:left w:val="single" w:sz="4" w:space="0" w:color="auto"/>
              <w:bottom w:val="single" w:sz="4" w:space="0" w:color="auto"/>
            </w:tcBorders>
          </w:tcPr>
          <w:p w14:paraId="41FA5EEB" w14:textId="4C507416" w:rsidR="00A40E32" w:rsidRPr="00DC34FD" w:rsidRDefault="00A40E32" w:rsidP="00A40E32">
            <w:pPr>
              <w:spacing w:after="0" w:line="240" w:lineRule="auto"/>
              <w:jc w:val="both"/>
              <w:rPr>
                <w:rFonts w:ascii="Times New Roman" w:hAnsi="Times New Roman" w:cs="Times New Roman"/>
                <w:b/>
              </w:rPr>
            </w:pPr>
          </w:p>
        </w:tc>
      </w:tr>
      <w:tr w:rsidR="000D041D" w:rsidRPr="00DC34FD" w14:paraId="2765B973" w14:textId="77777777" w:rsidTr="00AF11CB">
        <w:trPr>
          <w:trHeight w:val="65"/>
        </w:trPr>
        <w:tc>
          <w:tcPr>
            <w:tcW w:w="742" w:type="dxa"/>
            <w:vMerge w:val="restart"/>
            <w:tcBorders>
              <w:top w:val="single" w:sz="4" w:space="0" w:color="auto"/>
              <w:left w:val="single" w:sz="4" w:space="0" w:color="auto"/>
              <w:right w:val="single" w:sz="4" w:space="0" w:color="auto"/>
            </w:tcBorders>
          </w:tcPr>
          <w:p w14:paraId="6344B8B8" w14:textId="247FFBE0" w:rsidR="000D041D" w:rsidRPr="00DC34FD" w:rsidRDefault="00D23E3B" w:rsidP="00A40E32">
            <w:pPr>
              <w:spacing w:after="0" w:line="240" w:lineRule="auto"/>
              <w:jc w:val="center"/>
              <w:rPr>
                <w:rFonts w:ascii="Times New Roman" w:hAnsi="Times New Roman" w:cs="Times New Roman"/>
              </w:rPr>
            </w:pPr>
            <w:r>
              <w:rPr>
                <w:rFonts w:ascii="Times New Roman" w:hAnsi="Times New Roman" w:cs="Times New Roman"/>
              </w:rPr>
              <w:t>40.</w:t>
            </w:r>
          </w:p>
        </w:tc>
        <w:tc>
          <w:tcPr>
            <w:tcW w:w="3370" w:type="dxa"/>
            <w:gridSpan w:val="2"/>
            <w:vMerge w:val="restart"/>
            <w:tcBorders>
              <w:top w:val="single" w:sz="4" w:space="0" w:color="auto"/>
              <w:left w:val="single" w:sz="4" w:space="0" w:color="auto"/>
              <w:right w:val="single" w:sz="4" w:space="0" w:color="auto"/>
            </w:tcBorders>
          </w:tcPr>
          <w:p w14:paraId="5E6F698C" w14:textId="03DB10B9" w:rsidR="000D041D" w:rsidRPr="00DC34FD" w:rsidRDefault="000D041D" w:rsidP="00A40E32">
            <w:pPr>
              <w:pStyle w:val="ListParagraph"/>
              <w:spacing w:after="0" w:line="240" w:lineRule="auto"/>
              <w:ind w:left="0"/>
              <w:jc w:val="both"/>
              <w:rPr>
                <w:rFonts w:ascii="Times New Roman" w:hAnsi="Times New Roman"/>
                <w:b/>
                <w:lang w:eastAsia="lv-LV"/>
              </w:rPr>
            </w:pPr>
            <w:r w:rsidRPr="00DC34FD">
              <w:rPr>
                <w:rFonts w:ascii="Times New Roman" w:hAnsi="Times New Roman"/>
              </w:rPr>
              <w:t>Noteikumu projekts kopumā.</w:t>
            </w:r>
          </w:p>
        </w:tc>
        <w:tc>
          <w:tcPr>
            <w:tcW w:w="4311" w:type="dxa"/>
            <w:tcBorders>
              <w:top w:val="single" w:sz="4" w:space="0" w:color="auto"/>
              <w:left w:val="single" w:sz="4" w:space="0" w:color="auto"/>
              <w:bottom w:val="single" w:sz="4" w:space="0" w:color="auto"/>
              <w:right w:val="single" w:sz="4" w:space="0" w:color="auto"/>
            </w:tcBorders>
          </w:tcPr>
          <w:p w14:paraId="1F06EAE2" w14:textId="77777777" w:rsidR="000D041D" w:rsidRPr="00DC34FD" w:rsidRDefault="000D041D" w:rsidP="00A40E32">
            <w:pPr>
              <w:autoSpaceDE w:val="0"/>
              <w:autoSpaceDN w:val="0"/>
              <w:adjustRightInd w:val="0"/>
              <w:spacing w:after="0" w:line="240" w:lineRule="auto"/>
              <w:rPr>
                <w:rFonts w:ascii="Calibri" w:hAnsi="Calibri" w:cs="Calibri"/>
                <w:color w:val="000000"/>
                <w:sz w:val="24"/>
                <w:szCs w:val="24"/>
              </w:rPr>
            </w:pPr>
          </w:p>
          <w:p w14:paraId="5143E599" w14:textId="77777777" w:rsidR="000D041D" w:rsidRPr="00DC34FD" w:rsidRDefault="000D041D"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 xml:space="preserve">SIA </w:t>
            </w:r>
            <w:proofErr w:type="spellStart"/>
            <w:r w:rsidRPr="00DC34FD">
              <w:rPr>
                <w:rFonts w:ascii="Calibri" w:hAnsi="Calibri" w:cs="Calibri"/>
                <w:b/>
                <w:bCs/>
                <w:color w:val="000000"/>
                <w:sz w:val="23"/>
                <w:szCs w:val="23"/>
                <w:lang w:val="en-US"/>
              </w:rPr>
              <w:t>Jūrmalas</w:t>
            </w:r>
            <w:proofErr w:type="spellEnd"/>
            <w:r w:rsidRPr="00DC34FD">
              <w:rPr>
                <w:rFonts w:ascii="Calibri" w:hAnsi="Calibri" w:cs="Calibri"/>
                <w:b/>
                <w:bCs/>
                <w:color w:val="000000"/>
                <w:sz w:val="23"/>
                <w:szCs w:val="23"/>
                <w:lang w:val="en-US"/>
              </w:rPr>
              <w:t xml:space="preserve"> </w:t>
            </w:r>
            <w:proofErr w:type="spellStart"/>
            <w:r w:rsidRPr="00DC34FD">
              <w:rPr>
                <w:rFonts w:ascii="Calibri" w:hAnsi="Calibri" w:cs="Calibri"/>
                <w:b/>
                <w:bCs/>
                <w:color w:val="000000"/>
                <w:sz w:val="23"/>
                <w:szCs w:val="23"/>
                <w:lang w:val="en-US"/>
              </w:rPr>
              <w:t>Mežaparki</w:t>
            </w:r>
            <w:proofErr w:type="spellEnd"/>
          </w:p>
          <w:p w14:paraId="34CBF054" w14:textId="77777777" w:rsidR="000D041D" w:rsidRPr="00DC34FD" w:rsidRDefault="000D041D"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 xml:space="preserve">SIA </w:t>
            </w:r>
            <w:proofErr w:type="spellStart"/>
            <w:r w:rsidRPr="00DC34FD">
              <w:rPr>
                <w:rFonts w:ascii="Calibri" w:hAnsi="Calibri" w:cs="Calibri"/>
                <w:b/>
                <w:bCs/>
                <w:color w:val="000000"/>
                <w:sz w:val="23"/>
                <w:szCs w:val="23"/>
                <w:lang w:val="en-US"/>
              </w:rPr>
              <w:t>Fixman</w:t>
            </w:r>
            <w:proofErr w:type="spellEnd"/>
          </w:p>
          <w:p w14:paraId="0ECFA6E0" w14:textId="77777777" w:rsidR="000D041D" w:rsidRPr="00DC34FD" w:rsidRDefault="000D041D" w:rsidP="00A40E32">
            <w:pPr>
              <w:autoSpaceDE w:val="0"/>
              <w:autoSpaceDN w:val="0"/>
              <w:adjustRightInd w:val="0"/>
              <w:spacing w:after="0" w:line="240" w:lineRule="auto"/>
              <w:jc w:val="center"/>
              <w:rPr>
                <w:rFonts w:ascii="Calibri" w:hAnsi="Calibri" w:cs="Calibri"/>
                <w:color w:val="000000"/>
                <w:sz w:val="23"/>
                <w:szCs w:val="23"/>
                <w:lang w:val="en-US"/>
              </w:rPr>
            </w:pPr>
            <w:r w:rsidRPr="00DC34FD">
              <w:rPr>
                <w:rFonts w:ascii="Calibri" w:hAnsi="Calibri" w:cs="Calibri"/>
                <w:b/>
                <w:bCs/>
                <w:color w:val="000000"/>
                <w:sz w:val="23"/>
                <w:szCs w:val="23"/>
                <w:lang w:val="en-US"/>
              </w:rPr>
              <w:t>SIA KSIL Baltic</w:t>
            </w:r>
          </w:p>
          <w:p w14:paraId="4F41A97A" w14:textId="77777777" w:rsidR="000D041D" w:rsidRPr="00DC34FD" w:rsidRDefault="000D041D" w:rsidP="00A40E32">
            <w:pPr>
              <w:spacing w:after="0" w:line="240" w:lineRule="auto"/>
              <w:ind w:left="113"/>
              <w:jc w:val="center"/>
              <w:rPr>
                <w:rFonts w:ascii="Times New Roman" w:hAnsi="Times New Roman" w:cs="Times New Roman"/>
              </w:rPr>
            </w:pPr>
            <w:r w:rsidRPr="00DC34FD">
              <w:rPr>
                <w:rFonts w:ascii="Calibri" w:hAnsi="Calibri" w:cs="Calibri"/>
                <w:b/>
                <w:bCs/>
                <w:color w:val="000000"/>
                <w:sz w:val="23"/>
                <w:szCs w:val="23"/>
                <w:lang w:val="en-US"/>
              </w:rPr>
              <w:t>SIA JLD</w:t>
            </w:r>
          </w:p>
          <w:p w14:paraId="676D9F7D" w14:textId="7893BC85" w:rsidR="000D041D" w:rsidRPr="00DC34FD" w:rsidRDefault="000D041D" w:rsidP="00A40E32">
            <w:pPr>
              <w:numPr>
                <w:ilvl w:val="0"/>
                <w:numId w:val="20"/>
              </w:numPr>
              <w:autoSpaceDE w:val="0"/>
              <w:autoSpaceDN w:val="0"/>
              <w:adjustRightInd w:val="0"/>
              <w:spacing w:after="169" w:line="240" w:lineRule="auto"/>
              <w:jc w:val="both"/>
              <w:rPr>
                <w:rFonts w:ascii="Times New Roman" w:hAnsi="Times New Roman" w:cs="Times New Roman"/>
                <w:color w:val="000000"/>
              </w:rPr>
            </w:pPr>
            <w:r w:rsidRPr="00DC34FD">
              <w:rPr>
                <w:rFonts w:ascii="Times New Roman" w:hAnsi="Times New Roman" w:cs="Times New Roman"/>
                <w:color w:val="000000"/>
              </w:rPr>
              <w:t xml:space="preserve">Lūdzam precīzāk definēt atbildības sliekšņus visiem procesā iesaistītajiem, tajā skaitā projektētājiem, būvniekiem, ražotājiem, pārbaužu veicējiem un pasūtītājiem. </w:t>
            </w:r>
          </w:p>
          <w:p w14:paraId="738C71DF" w14:textId="20D0B3D3" w:rsidR="000D041D" w:rsidRPr="00DC34FD" w:rsidRDefault="000D041D" w:rsidP="00A40E32">
            <w:pPr>
              <w:numPr>
                <w:ilvl w:val="0"/>
                <w:numId w:val="20"/>
              </w:numPr>
              <w:autoSpaceDE w:val="0"/>
              <w:autoSpaceDN w:val="0"/>
              <w:adjustRightInd w:val="0"/>
              <w:spacing w:after="0" w:line="240" w:lineRule="auto"/>
              <w:jc w:val="both"/>
              <w:rPr>
                <w:rFonts w:ascii="Times New Roman" w:hAnsi="Times New Roman" w:cs="Times New Roman"/>
                <w:color w:val="000000"/>
              </w:rPr>
            </w:pPr>
            <w:r w:rsidRPr="00DC34FD">
              <w:rPr>
                <w:rFonts w:ascii="Times New Roman" w:hAnsi="Times New Roman" w:cs="Times New Roman"/>
                <w:color w:val="000000"/>
              </w:rPr>
              <w:t xml:space="preserve">Noteikt minimālās apdrošināšanas prasības gan rotaļu laukumu piegādātājiem, gan </w:t>
            </w:r>
            <w:proofErr w:type="spellStart"/>
            <w:r w:rsidRPr="00DC34FD">
              <w:rPr>
                <w:rFonts w:ascii="Times New Roman" w:hAnsi="Times New Roman" w:cs="Times New Roman"/>
                <w:color w:val="000000"/>
              </w:rPr>
              <w:t>pēcuzstādīšanas</w:t>
            </w:r>
            <w:proofErr w:type="spellEnd"/>
            <w:r w:rsidRPr="00DC34FD">
              <w:rPr>
                <w:rFonts w:ascii="Times New Roman" w:hAnsi="Times New Roman" w:cs="Times New Roman"/>
                <w:color w:val="000000"/>
              </w:rPr>
              <w:t xml:space="preserve"> pārbaužu veicējiem. </w:t>
            </w:r>
          </w:p>
          <w:p w14:paraId="6EFA0BED" w14:textId="77777777" w:rsidR="000D041D" w:rsidRPr="00DC34FD" w:rsidRDefault="000D041D" w:rsidP="00A40E32">
            <w:pPr>
              <w:spacing w:after="0" w:line="240" w:lineRule="auto"/>
              <w:jc w:val="both"/>
              <w:rPr>
                <w:rFonts w:ascii="Times New Roman" w:hAnsi="Times New Roman" w:cs="Times New Roman"/>
              </w:rPr>
            </w:pPr>
          </w:p>
          <w:p w14:paraId="7584C3F1" w14:textId="34581B56" w:rsidR="001440A9" w:rsidRPr="00DC34FD" w:rsidRDefault="000D041D" w:rsidP="00D23E3B">
            <w:pPr>
              <w:spacing w:after="0" w:line="240" w:lineRule="auto"/>
              <w:jc w:val="both"/>
              <w:rPr>
                <w:rFonts w:ascii="Times New Roman" w:hAnsi="Times New Roman" w:cs="Times New Roman"/>
              </w:rPr>
            </w:pPr>
            <w:r w:rsidRPr="00DC34FD">
              <w:rPr>
                <w:rFonts w:ascii="Times New Roman" w:hAnsi="Times New Roman" w:cs="Times New Roman"/>
              </w:rPr>
              <w:t xml:space="preserve">MK noteikumos būtu nepieciešams papildus iekļaut prasības/pienākumus citiem procesa dalībniekiem – par labu projektēšanas praksi. Šobrīd nereti projektētāji sazīmē vāju projektu, nezinot minimālās drošības prasības – neievēro drošības zonas, kļūdās ar segumu izvēli, saliek kopā nepieļaujamas ierīču kombinācijas, ir daudz dažādi individuālie dizaini ar augstu risku utt. MK noteikumos būtu jāiekļauj </w:t>
            </w:r>
            <w:r w:rsidRPr="00DC34FD">
              <w:rPr>
                <w:rFonts w:ascii="Times New Roman" w:hAnsi="Times New Roman" w:cs="Times New Roman"/>
              </w:rPr>
              <w:lastRenderedPageBreak/>
              <w:t>pienākumus arī projektētājiem, (</w:t>
            </w:r>
            <w:proofErr w:type="spellStart"/>
            <w:r w:rsidRPr="00DC34FD">
              <w:rPr>
                <w:rFonts w:ascii="Times New Roman" w:hAnsi="Times New Roman" w:cs="Times New Roman"/>
              </w:rPr>
              <w:t>būv</w:t>
            </w:r>
            <w:proofErr w:type="spellEnd"/>
            <w:r w:rsidRPr="00DC34FD">
              <w:rPr>
                <w:rFonts w:ascii="Times New Roman" w:hAnsi="Times New Roman" w:cs="Times New Roman"/>
              </w:rPr>
              <w:t>)darbu vadītājiem (kas liktu ievērot montāžas instrukcijas, darba drošību, nepieļaut segumu optimizācijas utt.); un bērnu vecākiem/ pieskatītājiem (neiecelt mazos bērnus ierīcēs, kur tie paši nevar iekļūt, pieskatīt, izvērtēt riskus pirms palaiž rotaļāties u.c.).</w:t>
            </w:r>
          </w:p>
          <w:p w14:paraId="1D60F3C5" w14:textId="77777777" w:rsidR="001440A9" w:rsidRDefault="001440A9" w:rsidP="00D23E3B">
            <w:pPr>
              <w:rPr>
                <w:rFonts w:ascii="Times New Roman" w:hAnsi="Times New Roman" w:cs="Times New Roman"/>
              </w:rPr>
            </w:pPr>
          </w:p>
          <w:p w14:paraId="104E93FD" w14:textId="2D4DD13E" w:rsidR="00890FAD" w:rsidRPr="00DC34FD" w:rsidRDefault="00890FAD" w:rsidP="00D23E3B">
            <w:pPr>
              <w:rPr>
                <w:rFonts w:ascii="Times New Roman" w:hAnsi="Times New Roman" w:cs="Times New Roman"/>
              </w:rPr>
            </w:pPr>
          </w:p>
        </w:tc>
        <w:tc>
          <w:tcPr>
            <w:tcW w:w="2410" w:type="dxa"/>
            <w:gridSpan w:val="2"/>
            <w:vMerge w:val="restart"/>
            <w:tcBorders>
              <w:top w:val="single" w:sz="4" w:space="0" w:color="auto"/>
              <w:left w:val="single" w:sz="4" w:space="0" w:color="auto"/>
              <w:right w:val="single" w:sz="4" w:space="0" w:color="auto"/>
            </w:tcBorders>
          </w:tcPr>
          <w:p w14:paraId="3E9ACB36" w14:textId="77777777" w:rsidR="000D041D" w:rsidRPr="00DC34FD" w:rsidRDefault="000D041D" w:rsidP="00A40E32">
            <w:pPr>
              <w:spacing w:after="0" w:line="240" w:lineRule="auto"/>
              <w:jc w:val="center"/>
              <w:rPr>
                <w:rFonts w:ascii="Times New Roman" w:hAnsi="Times New Roman" w:cs="Times New Roman"/>
              </w:rPr>
            </w:pPr>
            <w:r w:rsidRPr="00DC34FD">
              <w:rPr>
                <w:rFonts w:ascii="Times New Roman" w:hAnsi="Times New Roman" w:cs="Times New Roman"/>
                <w:b/>
              </w:rPr>
              <w:lastRenderedPageBreak/>
              <w:t>Panākta vienošanās.</w:t>
            </w:r>
          </w:p>
          <w:p w14:paraId="60BF85FF" w14:textId="1F640F5D" w:rsidR="000D041D" w:rsidRPr="00DC34FD" w:rsidRDefault="000D041D" w:rsidP="00A40E32">
            <w:pPr>
              <w:pStyle w:val="naisc"/>
              <w:spacing w:before="0" w:after="0"/>
              <w:jc w:val="both"/>
              <w:rPr>
                <w:b/>
                <w:sz w:val="22"/>
                <w:szCs w:val="22"/>
              </w:rPr>
            </w:pPr>
            <w:r w:rsidRPr="00DC34FD">
              <w:rPr>
                <w:sz w:val="22"/>
                <w:szCs w:val="22"/>
              </w:rPr>
              <w:t xml:space="preserve">Noteikumu projekts noteic ražotāja, importētāja, izplatītāja atbildību par iekārtām un valdītājam/īpašniekam – par to uzstādīšanu un uzturēšanu. Sīkāku iesaistīto pušu atbildību regulē attiecīgie normatīvie akti, kā arī valdītāja/īpašnieka noslēgtie līgumi ar attiecīgajām pusēm. Savukārt par </w:t>
            </w:r>
            <w:proofErr w:type="spellStart"/>
            <w:r w:rsidRPr="00DC34FD">
              <w:rPr>
                <w:sz w:val="22"/>
                <w:szCs w:val="22"/>
              </w:rPr>
              <w:t>pēcuzstādīšanas</w:t>
            </w:r>
            <w:proofErr w:type="spellEnd"/>
            <w:r w:rsidRPr="00DC34FD">
              <w:rPr>
                <w:sz w:val="22"/>
                <w:szCs w:val="22"/>
              </w:rPr>
              <w:t xml:space="preserve"> pārbaudes veicēju apdrošināšanas u.c. prasībām tiek noteikts normatīvajos aktos par atbilstības novērtēšanas institūciju novērtēšanu, </w:t>
            </w:r>
            <w:r w:rsidRPr="00DC34FD">
              <w:rPr>
                <w:sz w:val="22"/>
                <w:szCs w:val="22"/>
              </w:rPr>
              <w:lastRenderedPageBreak/>
              <w:t>akreditāciju un uzraudzību.</w:t>
            </w:r>
          </w:p>
        </w:tc>
        <w:tc>
          <w:tcPr>
            <w:tcW w:w="4652" w:type="dxa"/>
            <w:vMerge w:val="restart"/>
            <w:tcBorders>
              <w:top w:val="single" w:sz="4" w:space="0" w:color="auto"/>
              <w:left w:val="single" w:sz="4" w:space="0" w:color="auto"/>
            </w:tcBorders>
          </w:tcPr>
          <w:p w14:paraId="2E84600E" w14:textId="77777777" w:rsidR="000D041D" w:rsidRPr="00DC34FD" w:rsidRDefault="000D041D" w:rsidP="00A40E32">
            <w:pPr>
              <w:spacing w:after="0" w:line="240" w:lineRule="auto"/>
              <w:jc w:val="both"/>
              <w:rPr>
                <w:rFonts w:ascii="Times New Roman" w:hAnsi="Times New Roman" w:cs="Times New Roman"/>
              </w:rPr>
            </w:pPr>
          </w:p>
        </w:tc>
      </w:tr>
      <w:tr w:rsidR="000D041D" w:rsidRPr="00DC34FD" w14:paraId="15353A86" w14:textId="77777777" w:rsidTr="00AF11CB">
        <w:trPr>
          <w:trHeight w:val="1913"/>
        </w:trPr>
        <w:tc>
          <w:tcPr>
            <w:tcW w:w="742" w:type="dxa"/>
            <w:vMerge/>
            <w:tcBorders>
              <w:left w:val="single" w:sz="4" w:space="0" w:color="auto"/>
              <w:right w:val="single" w:sz="4" w:space="0" w:color="auto"/>
            </w:tcBorders>
          </w:tcPr>
          <w:p w14:paraId="65FD48CE" w14:textId="77777777" w:rsidR="000D041D" w:rsidRPr="00DC34FD" w:rsidRDefault="000D041D" w:rsidP="00A40E32">
            <w:pPr>
              <w:spacing w:after="0" w:line="240" w:lineRule="auto"/>
              <w:jc w:val="center"/>
              <w:rPr>
                <w:rFonts w:ascii="Times New Roman" w:hAnsi="Times New Roman" w:cs="Times New Roman"/>
              </w:rPr>
            </w:pPr>
          </w:p>
        </w:tc>
        <w:tc>
          <w:tcPr>
            <w:tcW w:w="3370" w:type="dxa"/>
            <w:gridSpan w:val="2"/>
            <w:vMerge/>
            <w:tcBorders>
              <w:left w:val="single" w:sz="4" w:space="0" w:color="auto"/>
              <w:right w:val="single" w:sz="4" w:space="0" w:color="auto"/>
            </w:tcBorders>
          </w:tcPr>
          <w:p w14:paraId="40DEE133" w14:textId="77777777" w:rsidR="000D041D" w:rsidRPr="00DC34FD" w:rsidRDefault="000D041D" w:rsidP="00A40E32">
            <w:pPr>
              <w:pStyle w:val="ListParagraph"/>
              <w:spacing w:after="0" w:line="240" w:lineRule="auto"/>
              <w:ind w:left="0"/>
              <w:jc w:val="both"/>
              <w:rPr>
                <w:rFonts w:ascii="Times New Roman" w:hAnsi="Times New Roman"/>
              </w:rPr>
            </w:pPr>
          </w:p>
        </w:tc>
        <w:tc>
          <w:tcPr>
            <w:tcW w:w="4311" w:type="dxa"/>
            <w:tcBorders>
              <w:top w:val="single" w:sz="4" w:space="0" w:color="auto"/>
              <w:left w:val="single" w:sz="4" w:space="0" w:color="auto"/>
              <w:bottom w:val="single" w:sz="4" w:space="0" w:color="auto"/>
              <w:right w:val="single" w:sz="4" w:space="0" w:color="auto"/>
            </w:tcBorders>
          </w:tcPr>
          <w:p w14:paraId="79C78013" w14:textId="77777777" w:rsidR="000D041D" w:rsidRPr="00DC34FD" w:rsidRDefault="000D041D" w:rsidP="00AC6612">
            <w:pPr>
              <w:autoSpaceDE w:val="0"/>
              <w:autoSpaceDN w:val="0"/>
              <w:adjustRightInd w:val="0"/>
              <w:spacing w:after="0" w:line="240" w:lineRule="auto"/>
              <w:rPr>
                <w:rFonts w:ascii="Calibri" w:hAnsi="Calibri" w:cs="Calibri"/>
                <w:color w:val="000000"/>
                <w:sz w:val="24"/>
                <w:szCs w:val="24"/>
              </w:rPr>
            </w:pPr>
          </w:p>
          <w:p w14:paraId="75894253" w14:textId="2CFF2DC4" w:rsidR="000D041D" w:rsidRPr="00DC34FD" w:rsidRDefault="000D041D" w:rsidP="00AC6612">
            <w:pPr>
              <w:autoSpaceDE w:val="0"/>
              <w:autoSpaceDN w:val="0"/>
              <w:adjustRightInd w:val="0"/>
              <w:spacing w:after="0" w:line="240" w:lineRule="auto"/>
              <w:jc w:val="center"/>
              <w:rPr>
                <w:rFonts w:ascii="Times New Roman" w:hAnsi="Times New Roman" w:cs="Times New Roman"/>
                <w:color w:val="000000"/>
              </w:rPr>
            </w:pPr>
            <w:r w:rsidRPr="00DC34FD">
              <w:rPr>
                <w:rFonts w:ascii="Times New Roman" w:hAnsi="Times New Roman" w:cs="Times New Roman"/>
                <w:b/>
                <w:color w:val="000000"/>
              </w:rPr>
              <w:t>Latvijas Ainavu arhitektu</w:t>
            </w:r>
            <w:r w:rsidRPr="00DC34FD">
              <w:rPr>
                <w:rFonts w:ascii="Times New Roman" w:hAnsi="Times New Roman" w:cs="Times New Roman"/>
                <w:color w:val="000000"/>
              </w:rPr>
              <w:t xml:space="preserve"> </w:t>
            </w:r>
            <w:r w:rsidRPr="00DC34FD">
              <w:rPr>
                <w:rFonts w:ascii="Times New Roman" w:hAnsi="Times New Roman" w:cs="Times New Roman"/>
                <w:b/>
                <w:color w:val="000000"/>
              </w:rPr>
              <w:t>asociācija</w:t>
            </w:r>
          </w:p>
          <w:p w14:paraId="2DC259DF" w14:textId="15C1B92A" w:rsidR="000D041D" w:rsidRPr="00DC34FD" w:rsidRDefault="000D041D" w:rsidP="00AC6612">
            <w:pPr>
              <w:autoSpaceDE w:val="0"/>
              <w:autoSpaceDN w:val="0"/>
              <w:adjustRightInd w:val="0"/>
              <w:spacing w:after="0" w:line="240" w:lineRule="auto"/>
              <w:jc w:val="both"/>
              <w:rPr>
                <w:rFonts w:ascii="Times New Roman" w:hAnsi="Times New Roman" w:cs="Times New Roman"/>
                <w:color w:val="000000"/>
              </w:rPr>
            </w:pPr>
            <w:r w:rsidRPr="00DC34FD">
              <w:rPr>
                <w:rFonts w:ascii="Times New Roman" w:hAnsi="Times New Roman" w:cs="Times New Roman"/>
                <w:color w:val="000000"/>
              </w:rPr>
              <w:t>Noteikumu projektā trūkst skaidri definēta mērķa, nosakot ne tikai spēļu laukumu valdītāju un rotaļu iekārtu ražotāju, bet arī spēļu laukuma projektētāju, rotaļu iekārtu uzstādītāju, rotaļu iekārtu pārbaudītāju un spēļu laukuma lietotāju atbildības, un spēļu laukumu izveides vietu esošā būvniecības procesa regulējuma ietvaros.</w:t>
            </w:r>
          </w:p>
          <w:p w14:paraId="1B6C8598" w14:textId="77777777" w:rsidR="000D041D" w:rsidRDefault="000D041D" w:rsidP="00A40E32">
            <w:pPr>
              <w:autoSpaceDE w:val="0"/>
              <w:autoSpaceDN w:val="0"/>
              <w:adjustRightInd w:val="0"/>
              <w:spacing w:after="0" w:line="240" w:lineRule="auto"/>
              <w:rPr>
                <w:rFonts w:ascii="Calibri" w:hAnsi="Calibri" w:cs="Calibri"/>
                <w:color w:val="000000"/>
                <w:sz w:val="24"/>
                <w:szCs w:val="24"/>
              </w:rPr>
            </w:pPr>
          </w:p>
          <w:p w14:paraId="41723D9D" w14:textId="498F5995" w:rsidR="00890FAD" w:rsidRPr="00DC34FD" w:rsidRDefault="00890FAD" w:rsidP="00A40E32">
            <w:pPr>
              <w:autoSpaceDE w:val="0"/>
              <w:autoSpaceDN w:val="0"/>
              <w:adjustRightInd w:val="0"/>
              <w:spacing w:after="0" w:line="240" w:lineRule="auto"/>
              <w:rPr>
                <w:rFonts w:ascii="Calibri" w:hAnsi="Calibri" w:cs="Calibri"/>
                <w:color w:val="000000"/>
                <w:sz w:val="24"/>
                <w:szCs w:val="24"/>
              </w:rPr>
            </w:pPr>
          </w:p>
        </w:tc>
        <w:tc>
          <w:tcPr>
            <w:tcW w:w="2410" w:type="dxa"/>
            <w:gridSpan w:val="2"/>
            <w:vMerge/>
            <w:tcBorders>
              <w:left w:val="single" w:sz="4" w:space="0" w:color="auto"/>
              <w:right w:val="single" w:sz="4" w:space="0" w:color="auto"/>
            </w:tcBorders>
          </w:tcPr>
          <w:p w14:paraId="56B292F0" w14:textId="77777777" w:rsidR="000D041D" w:rsidRPr="00DC34FD" w:rsidRDefault="000D041D" w:rsidP="00A40E32">
            <w:pPr>
              <w:spacing w:after="0" w:line="240" w:lineRule="auto"/>
              <w:jc w:val="center"/>
              <w:rPr>
                <w:rFonts w:ascii="Times New Roman" w:hAnsi="Times New Roman" w:cs="Times New Roman"/>
                <w:b/>
              </w:rPr>
            </w:pPr>
          </w:p>
        </w:tc>
        <w:tc>
          <w:tcPr>
            <w:tcW w:w="4652" w:type="dxa"/>
            <w:vMerge/>
            <w:tcBorders>
              <w:left w:val="single" w:sz="4" w:space="0" w:color="auto"/>
            </w:tcBorders>
          </w:tcPr>
          <w:p w14:paraId="1BBBF867" w14:textId="77777777" w:rsidR="000D041D" w:rsidRPr="00DC34FD" w:rsidRDefault="000D041D" w:rsidP="00A40E32">
            <w:pPr>
              <w:spacing w:after="0" w:line="240" w:lineRule="auto"/>
              <w:jc w:val="both"/>
              <w:rPr>
                <w:rFonts w:ascii="Times New Roman" w:hAnsi="Times New Roman" w:cs="Times New Roman"/>
              </w:rPr>
            </w:pPr>
          </w:p>
        </w:tc>
      </w:tr>
      <w:tr w:rsidR="000D041D" w:rsidRPr="00DC34FD" w14:paraId="36DC5DED" w14:textId="77777777" w:rsidTr="00AF11CB">
        <w:trPr>
          <w:trHeight w:val="1912"/>
        </w:trPr>
        <w:tc>
          <w:tcPr>
            <w:tcW w:w="742" w:type="dxa"/>
            <w:vMerge/>
            <w:tcBorders>
              <w:left w:val="single" w:sz="4" w:space="0" w:color="auto"/>
              <w:bottom w:val="single" w:sz="4" w:space="0" w:color="auto"/>
              <w:right w:val="single" w:sz="4" w:space="0" w:color="auto"/>
            </w:tcBorders>
          </w:tcPr>
          <w:p w14:paraId="432F80C1" w14:textId="77777777" w:rsidR="000D041D" w:rsidRPr="00DC34FD" w:rsidRDefault="000D041D" w:rsidP="00A40E32">
            <w:pPr>
              <w:spacing w:after="0" w:line="240" w:lineRule="auto"/>
              <w:jc w:val="center"/>
              <w:rPr>
                <w:rFonts w:ascii="Times New Roman" w:hAnsi="Times New Roman" w:cs="Times New Roman"/>
              </w:rPr>
            </w:pPr>
          </w:p>
        </w:tc>
        <w:tc>
          <w:tcPr>
            <w:tcW w:w="3370" w:type="dxa"/>
            <w:gridSpan w:val="2"/>
            <w:vMerge/>
            <w:tcBorders>
              <w:left w:val="single" w:sz="4" w:space="0" w:color="auto"/>
              <w:bottom w:val="single" w:sz="4" w:space="0" w:color="auto"/>
              <w:right w:val="single" w:sz="4" w:space="0" w:color="auto"/>
            </w:tcBorders>
          </w:tcPr>
          <w:p w14:paraId="106B3B9E" w14:textId="77777777" w:rsidR="000D041D" w:rsidRPr="00DC34FD" w:rsidRDefault="000D041D" w:rsidP="00A40E32">
            <w:pPr>
              <w:pStyle w:val="ListParagraph"/>
              <w:spacing w:after="0" w:line="240" w:lineRule="auto"/>
              <w:ind w:left="0"/>
              <w:jc w:val="both"/>
              <w:rPr>
                <w:rFonts w:ascii="Times New Roman" w:hAnsi="Times New Roman"/>
              </w:rPr>
            </w:pPr>
          </w:p>
        </w:tc>
        <w:tc>
          <w:tcPr>
            <w:tcW w:w="4311" w:type="dxa"/>
            <w:tcBorders>
              <w:top w:val="single" w:sz="4" w:space="0" w:color="auto"/>
              <w:left w:val="single" w:sz="4" w:space="0" w:color="auto"/>
              <w:bottom w:val="single" w:sz="4" w:space="0" w:color="auto"/>
              <w:right w:val="single" w:sz="4" w:space="0" w:color="auto"/>
            </w:tcBorders>
          </w:tcPr>
          <w:p w14:paraId="6269D457" w14:textId="77777777" w:rsidR="000D041D" w:rsidRPr="00DC34FD" w:rsidRDefault="000D041D" w:rsidP="000D041D">
            <w:pPr>
              <w:autoSpaceDE w:val="0"/>
              <w:autoSpaceDN w:val="0"/>
              <w:adjustRightInd w:val="0"/>
              <w:spacing w:after="0" w:line="240" w:lineRule="auto"/>
              <w:jc w:val="center"/>
              <w:rPr>
                <w:rFonts w:ascii="Times New Roman" w:hAnsi="Times New Roman" w:cs="Times New Roman"/>
                <w:b/>
                <w:color w:val="000000"/>
              </w:rPr>
            </w:pPr>
            <w:r w:rsidRPr="00DC34FD">
              <w:rPr>
                <w:rFonts w:ascii="Times New Roman" w:hAnsi="Times New Roman" w:cs="Times New Roman"/>
                <w:b/>
                <w:color w:val="000000"/>
              </w:rPr>
              <w:t>SIA MK Dizains</w:t>
            </w:r>
          </w:p>
          <w:p w14:paraId="7CDAC528" w14:textId="15D7E23D" w:rsidR="000D041D" w:rsidRPr="00DC34FD" w:rsidRDefault="000D041D" w:rsidP="00AC6612">
            <w:pPr>
              <w:autoSpaceDE w:val="0"/>
              <w:autoSpaceDN w:val="0"/>
              <w:adjustRightInd w:val="0"/>
              <w:spacing w:after="0" w:line="240" w:lineRule="auto"/>
              <w:rPr>
                <w:rFonts w:ascii="Calibri" w:hAnsi="Calibri" w:cs="Calibri"/>
                <w:color w:val="000000"/>
                <w:sz w:val="24"/>
                <w:szCs w:val="24"/>
              </w:rPr>
            </w:pPr>
            <w:r w:rsidRPr="00DC34FD">
              <w:rPr>
                <w:rFonts w:ascii="Times New Roman" w:hAnsi="Times New Roman" w:cs="Times New Roman"/>
                <w:color w:val="000000"/>
              </w:rPr>
              <w:t xml:space="preserve">Obligāti vajag ieviest speciālu „scenāriju”, kas veic projektu un tā saskaņošanu, ekspertīzi (eksperts vērtē visu – iekārtas un segumu), lai samazinātu strīdus par iekārtu pieņemšanu ekspluatācijā, sadalot atbildību uz projektētāju, ražotāju, izplatītāju, montētāju, seguma licējiem, ar skaidrojumu, kādas būs sekas, ja pēc izbūves iekārtas vai laukumu neiegūs pozitīvu atzinumu no vērtētāja. Ka apsaimniekotājs, projekta rīkotājs nedrīkstēs </w:t>
            </w:r>
            <w:r w:rsidRPr="00DC34FD">
              <w:rPr>
                <w:rFonts w:ascii="Times New Roman" w:hAnsi="Times New Roman" w:cs="Times New Roman"/>
                <w:color w:val="000000"/>
              </w:rPr>
              <w:lastRenderedPageBreak/>
              <w:t>iekārtas ekspluatēt, ja nebūs izpildīti visi standarta nosacījumi.</w:t>
            </w:r>
          </w:p>
        </w:tc>
        <w:tc>
          <w:tcPr>
            <w:tcW w:w="2410" w:type="dxa"/>
            <w:gridSpan w:val="2"/>
            <w:vMerge/>
            <w:tcBorders>
              <w:left w:val="single" w:sz="4" w:space="0" w:color="auto"/>
              <w:bottom w:val="single" w:sz="4" w:space="0" w:color="auto"/>
              <w:right w:val="single" w:sz="4" w:space="0" w:color="auto"/>
            </w:tcBorders>
          </w:tcPr>
          <w:p w14:paraId="6FCA888A" w14:textId="77777777" w:rsidR="000D041D" w:rsidRPr="00DC34FD" w:rsidRDefault="000D041D" w:rsidP="00A40E32">
            <w:pPr>
              <w:spacing w:after="0" w:line="240" w:lineRule="auto"/>
              <w:jc w:val="center"/>
              <w:rPr>
                <w:rFonts w:ascii="Times New Roman" w:hAnsi="Times New Roman" w:cs="Times New Roman"/>
                <w:b/>
              </w:rPr>
            </w:pPr>
          </w:p>
        </w:tc>
        <w:tc>
          <w:tcPr>
            <w:tcW w:w="4652" w:type="dxa"/>
            <w:vMerge/>
            <w:tcBorders>
              <w:left w:val="single" w:sz="4" w:space="0" w:color="auto"/>
              <w:bottom w:val="single" w:sz="4" w:space="0" w:color="auto"/>
            </w:tcBorders>
          </w:tcPr>
          <w:p w14:paraId="47E4FD75" w14:textId="77777777" w:rsidR="000D041D" w:rsidRPr="00DC34FD" w:rsidRDefault="000D041D" w:rsidP="00A40E32">
            <w:pPr>
              <w:spacing w:after="0" w:line="240" w:lineRule="auto"/>
              <w:jc w:val="both"/>
              <w:rPr>
                <w:rFonts w:ascii="Times New Roman" w:hAnsi="Times New Roman" w:cs="Times New Roman"/>
              </w:rPr>
            </w:pPr>
          </w:p>
        </w:tc>
      </w:tr>
      <w:tr w:rsidR="00A40E32" w:rsidRPr="00DC34FD" w14:paraId="1E2D8287" w14:textId="77777777" w:rsidTr="00D52C66">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282341D3" w14:textId="77777777" w:rsidR="00A40E32" w:rsidRPr="00DC34FD" w:rsidRDefault="00A40E32" w:rsidP="00A40E32">
            <w:pPr>
              <w:pStyle w:val="naiskr"/>
              <w:spacing w:before="0" w:after="0"/>
              <w:jc w:val="center"/>
              <w:rPr>
                <w:sz w:val="22"/>
                <w:szCs w:val="22"/>
              </w:rPr>
            </w:pPr>
          </w:p>
          <w:p w14:paraId="6BA10DFF" w14:textId="77777777" w:rsidR="00A40E32" w:rsidRPr="00DC34FD" w:rsidRDefault="00A40E32" w:rsidP="00A40E32">
            <w:pPr>
              <w:pStyle w:val="naiskr"/>
              <w:spacing w:before="0" w:after="0"/>
              <w:jc w:val="both"/>
              <w:rPr>
                <w:sz w:val="22"/>
                <w:szCs w:val="22"/>
              </w:rPr>
            </w:pPr>
          </w:p>
          <w:p w14:paraId="1CA2E161" w14:textId="77777777" w:rsidR="00A40E32" w:rsidRPr="00DC34FD" w:rsidRDefault="00A40E32" w:rsidP="00A40E32">
            <w:pPr>
              <w:pStyle w:val="naiskr"/>
              <w:spacing w:before="0" w:after="0"/>
              <w:jc w:val="both"/>
              <w:rPr>
                <w:sz w:val="22"/>
                <w:szCs w:val="22"/>
              </w:rPr>
            </w:pPr>
            <w:r w:rsidRPr="00DC34FD">
              <w:rPr>
                <w:sz w:val="22"/>
                <w:szCs w:val="22"/>
              </w:rPr>
              <w:t>Atbildīgā amatpersona</w:t>
            </w:r>
          </w:p>
        </w:tc>
        <w:tc>
          <w:tcPr>
            <w:tcW w:w="6354" w:type="dxa"/>
            <w:gridSpan w:val="3"/>
          </w:tcPr>
          <w:p w14:paraId="2FAD15E3" w14:textId="77777777" w:rsidR="00A40E32" w:rsidRPr="00DC34FD" w:rsidRDefault="00A40E32" w:rsidP="00A40E32">
            <w:pPr>
              <w:pStyle w:val="naiskr"/>
              <w:spacing w:before="0" w:after="0"/>
              <w:ind w:firstLine="720"/>
              <w:jc w:val="both"/>
              <w:rPr>
                <w:sz w:val="22"/>
                <w:szCs w:val="22"/>
              </w:rPr>
            </w:pPr>
            <w:r w:rsidRPr="00DC34FD">
              <w:rPr>
                <w:sz w:val="22"/>
                <w:szCs w:val="22"/>
              </w:rPr>
              <w:t>  </w:t>
            </w:r>
          </w:p>
        </w:tc>
      </w:tr>
      <w:tr w:rsidR="00A40E32" w:rsidRPr="00DC34FD" w14:paraId="4998BB8A" w14:textId="77777777" w:rsidTr="00353679">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171E3BB1" w14:textId="77777777" w:rsidR="00A40E32" w:rsidRPr="00DC34FD" w:rsidRDefault="00A40E32" w:rsidP="00A40E32">
            <w:pPr>
              <w:pStyle w:val="naiskr"/>
              <w:spacing w:before="0" w:after="0"/>
              <w:ind w:firstLine="720"/>
              <w:jc w:val="both"/>
              <w:rPr>
                <w:sz w:val="22"/>
                <w:szCs w:val="22"/>
              </w:rPr>
            </w:pPr>
          </w:p>
        </w:tc>
        <w:tc>
          <w:tcPr>
            <w:tcW w:w="6354" w:type="dxa"/>
            <w:gridSpan w:val="3"/>
            <w:tcBorders>
              <w:top w:val="single" w:sz="6" w:space="0" w:color="000000"/>
            </w:tcBorders>
          </w:tcPr>
          <w:p w14:paraId="7DE4B24A" w14:textId="77777777" w:rsidR="00A40E32" w:rsidRPr="00DC34FD" w:rsidRDefault="00A40E32" w:rsidP="00A40E32">
            <w:pPr>
              <w:pStyle w:val="naisc"/>
              <w:spacing w:before="0" w:after="0"/>
              <w:ind w:firstLine="720"/>
              <w:jc w:val="both"/>
              <w:rPr>
                <w:sz w:val="22"/>
                <w:szCs w:val="22"/>
              </w:rPr>
            </w:pPr>
            <w:r w:rsidRPr="00DC34FD">
              <w:rPr>
                <w:sz w:val="22"/>
                <w:szCs w:val="22"/>
              </w:rPr>
              <w:t>(paraksts)</w:t>
            </w:r>
          </w:p>
        </w:tc>
      </w:tr>
    </w:tbl>
    <w:p w14:paraId="035F8450" w14:textId="5F741DC3" w:rsidR="00623910" w:rsidRPr="00DC34FD" w:rsidRDefault="00312760" w:rsidP="00284228">
      <w:pPr>
        <w:pStyle w:val="naisf"/>
        <w:tabs>
          <w:tab w:val="left" w:pos="-851"/>
        </w:tabs>
        <w:spacing w:before="0" w:after="0"/>
        <w:ind w:left="-851" w:firstLine="0"/>
        <w:rPr>
          <w:sz w:val="22"/>
          <w:szCs w:val="22"/>
        </w:rPr>
      </w:pPr>
      <w:r w:rsidRPr="00DC34FD">
        <w:rPr>
          <w:sz w:val="22"/>
          <w:szCs w:val="22"/>
        </w:rPr>
        <w:t>Juris Bulāns</w:t>
      </w:r>
    </w:p>
    <w:p w14:paraId="0263A91D" w14:textId="0C63E235" w:rsidR="00623910" w:rsidRPr="00DC34FD" w:rsidRDefault="00623910" w:rsidP="00284228">
      <w:pPr>
        <w:tabs>
          <w:tab w:val="left" w:pos="-851"/>
        </w:tabs>
        <w:spacing w:after="0" w:line="240" w:lineRule="auto"/>
        <w:ind w:left="-851" w:right="-1828"/>
        <w:jc w:val="both"/>
        <w:rPr>
          <w:rFonts w:ascii="Times New Roman" w:hAnsi="Times New Roman" w:cs="Times New Roman"/>
        </w:rPr>
      </w:pPr>
      <w:r w:rsidRPr="00DC34FD">
        <w:rPr>
          <w:rFonts w:ascii="Times New Roman" w:hAnsi="Times New Roman" w:cs="Times New Roman"/>
        </w:rPr>
        <w:t>Iekšējā tirgus departamenta Konkurences, tirdzniecības un patērētā</w:t>
      </w:r>
      <w:r w:rsidR="001A5957" w:rsidRPr="00DC34FD">
        <w:rPr>
          <w:rFonts w:ascii="Times New Roman" w:hAnsi="Times New Roman" w:cs="Times New Roman"/>
        </w:rPr>
        <w:t xml:space="preserve">ju tiesību nodaļas </w:t>
      </w:r>
      <w:r w:rsidR="00312760" w:rsidRPr="00DC34FD">
        <w:rPr>
          <w:rFonts w:ascii="Times New Roman" w:hAnsi="Times New Roman" w:cs="Times New Roman"/>
        </w:rPr>
        <w:t>juriskonsults</w:t>
      </w:r>
    </w:p>
    <w:p w14:paraId="5E1D6126" w14:textId="77777777" w:rsidR="00D23E3B" w:rsidRDefault="00623910" w:rsidP="00D23E3B">
      <w:pPr>
        <w:pStyle w:val="naisf"/>
        <w:tabs>
          <w:tab w:val="left" w:pos="-851"/>
        </w:tabs>
        <w:spacing w:before="0" w:after="0"/>
        <w:ind w:left="-851" w:firstLine="0"/>
        <w:rPr>
          <w:sz w:val="22"/>
          <w:szCs w:val="22"/>
        </w:rPr>
      </w:pPr>
      <w:r w:rsidRPr="00DC34FD">
        <w:rPr>
          <w:sz w:val="22"/>
          <w:szCs w:val="22"/>
        </w:rPr>
        <w:t>tālr.: 67013</w:t>
      </w:r>
      <w:r w:rsidR="00312760" w:rsidRPr="00DC34FD">
        <w:rPr>
          <w:sz w:val="22"/>
          <w:szCs w:val="22"/>
        </w:rPr>
        <w:t>156</w:t>
      </w:r>
      <w:r w:rsidRPr="00DC34FD">
        <w:rPr>
          <w:sz w:val="22"/>
          <w:szCs w:val="22"/>
        </w:rPr>
        <w:t xml:space="preserve">; </w:t>
      </w:r>
    </w:p>
    <w:p w14:paraId="00C25838" w14:textId="5366C4D2" w:rsidR="009A469C" w:rsidRPr="00AC50A3" w:rsidRDefault="006A2125" w:rsidP="00D23E3B">
      <w:pPr>
        <w:pStyle w:val="naisf"/>
        <w:tabs>
          <w:tab w:val="left" w:pos="-851"/>
        </w:tabs>
        <w:spacing w:before="0" w:after="0"/>
        <w:ind w:left="-851" w:firstLine="0"/>
        <w:rPr>
          <w:rStyle w:val="Hyperlink"/>
          <w:color w:val="auto"/>
          <w:sz w:val="22"/>
          <w:szCs w:val="22"/>
          <w:u w:val="none"/>
        </w:rPr>
      </w:pPr>
      <w:hyperlink r:id="rId10" w:history="1">
        <w:r w:rsidR="00D23E3B" w:rsidRPr="00795FD5">
          <w:rPr>
            <w:rStyle w:val="Hyperlink"/>
            <w:sz w:val="22"/>
            <w:szCs w:val="22"/>
          </w:rPr>
          <w:t>Juris.Bulans@em.gov.lv</w:t>
        </w:r>
      </w:hyperlink>
      <w:r w:rsidR="001A5957" w:rsidRPr="00DC34FD">
        <w:rPr>
          <w:rStyle w:val="Hyperlink"/>
          <w:sz w:val="22"/>
          <w:szCs w:val="22"/>
        </w:rPr>
        <w:t xml:space="preserve"> </w:t>
      </w:r>
      <w:r w:rsidR="001A5957" w:rsidRPr="00AC50A3">
        <w:rPr>
          <w:rStyle w:val="Hyperlink"/>
          <w:color w:val="000000" w:themeColor="text1"/>
          <w:sz w:val="22"/>
          <w:szCs w:val="22"/>
          <w:u w:val="none"/>
        </w:rPr>
        <w:t xml:space="preserve"> </w:t>
      </w:r>
      <w:r w:rsidR="008B4FBD" w:rsidRPr="00AC50A3">
        <w:rPr>
          <w:rStyle w:val="Hyperlink"/>
          <w:color w:val="000000" w:themeColor="text1"/>
          <w:sz w:val="22"/>
          <w:szCs w:val="22"/>
          <w:u w:val="none"/>
        </w:rPr>
        <w:t xml:space="preserve">  </w:t>
      </w:r>
    </w:p>
    <w:sectPr w:rsidR="009A469C" w:rsidRPr="00AC50A3" w:rsidSect="00353679">
      <w:headerReference w:type="default" r:id="rId11"/>
      <w:footerReference w:type="default" r:id="rId12"/>
      <w:footerReference w:type="first" r:id="rId13"/>
      <w:pgSz w:w="16838" w:h="11906" w:orient="landscape"/>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0426" w14:textId="77777777" w:rsidR="00F46543" w:rsidRDefault="00F46543" w:rsidP="00874F7F">
      <w:pPr>
        <w:spacing w:after="0" w:line="240" w:lineRule="auto"/>
      </w:pPr>
      <w:r>
        <w:separator/>
      </w:r>
    </w:p>
  </w:endnote>
  <w:endnote w:type="continuationSeparator" w:id="0">
    <w:p w14:paraId="7E290C69" w14:textId="77777777" w:rsidR="00F46543" w:rsidRDefault="00F46543" w:rsidP="0087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D929" w14:textId="017F3406" w:rsidR="00D33DBB" w:rsidRPr="006D402E" w:rsidRDefault="00D33DBB" w:rsidP="006D402E">
    <w:pPr>
      <w:pStyle w:val="naisf"/>
      <w:ind w:firstLine="0"/>
      <w:rPr>
        <w:bCs/>
        <w:color w:val="000000" w:themeColor="text1"/>
        <w:sz w:val="20"/>
        <w:szCs w:val="20"/>
      </w:rPr>
    </w:pPr>
    <w:r w:rsidRPr="006D402E">
      <w:rPr>
        <w:sz w:val="20"/>
        <w:szCs w:val="20"/>
      </w:rPr>
      <w:t>EMIzz_</w:t>
    </w:r>
    <w:r>
      <w:rPr>
        <w:sz w:val="20"/>
        <w:szCs w:val="20"/>
      </w:rPr>
      <w:t>1311</w:t>
    </w:r>
    <w:r w:rsidRPr="006D402E">
      <w:rPr>
        <w:sz w:val="20"/>
        <w:szCs w:val="20"/>
      </w:rPr>
      <w:t xml:space="preserve">19_spelu_lauk; </w:t>
    </w:r>
    <w:r w:rsidRPr="006D402E">
      <w:rPr>
        <w:color w:val="000000" w:themeColor="text1"/>
        <w:sz w:val="20"/>
        <w:szCs w:val="20"/>
      </w:rPr>
      <w:t xml:space="preserve">Izziņa par atzinumos sniegtajiem iebildumiem par </w:t>
    </w:r>
    <w:r w:rsidRPr="006D402E">
      <w:rPr>
        <w:bCs/>
        <w:color w:val="000000" w:themeColor="text1"/>
        <w:sz w:val="20"/>
        <w:szCs w:val="20"/>
      </w:rPr>
      <w:t>Ministru kabineta noteikumu projektu “</w:t>
    </w:r>
    <w:r w:rsidR="00006EFD">
      <w:rPr>
        <w:bCs/>
        <w:color w:val="000000" w:themeColor="text1"/>
        <w:sz w:val="20"/>
        <w:szCs w:val="20"/>
      </w:rPr>
      <w:t>S</w:t>
    </w:r>
    <w:r w:rsidR="00006EFD" w:rsidRPr="006D402E">
      <w:rPr>
        <w:bCs/>
        <w:color w:val="000000" w:themeColor="text1"/>
        <w:sz w:val="20"/>
        <w:szCs w:val="20"/>
      </w:rPr>
      <w:t xml:space="preserve">pēļu </w:t>
    </w:r>
    <w:r w:rsidR="00006EFD">
      <w:rPr>
        <w:bCs/>
        <w:color w:val="000000" w:themeColor="text1"/>
        <w:sz w:val="20"/>
        <w:szCs w:val="20"/>
      </w:rPr>
      <w:t xml:space="preserve">un rekreācijas </w:t>
    </w:r>
    <w:r w:rsidR="00006EFD" w:rsidRPr="006D402E">
      <w:rPr>
        <w:bCs/>
        <w:color w:val="000000" w:themeColor="text1"/>
        <w:sz w:val="20"/>
        <w:szCs w:val="20"/>
      </w:rPr>
      <w:t>laukum</w:t>
    </w:r>
    <w:r w:rsidR="00006EFD">
      <w:rPr>
        <w:bCs/>
        <w:color w:val="000000" w:themeColor="text1"/>
        <w:sz w:val="20"/>
        <w:szCs w:val="20"/>
      </w:rPr>
      <w:t>u drošuma noteikumi</w:t>
    </w:r>
    <w:r w:rsidRPr="006D402E">
      <w:rPr>
        <w:bCs/>
        <w:color w:val="000000" w:themeColor="text1"/>
        <w:sz w:val="20"/>
        <w:szCs w:val="20"/>
      </w:rPr>
      <w:t>” (VSS-219)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4283" w14:textId="794182F2" w:rsidR="00D33DBB" w:rsidRPr="006D402E" w:rsidRDefault="00D33DBB" w:rsidP="006D402E">
    <w:pPr>
      <w:pStyle w:val="naisf"/>
      <w:ind w:firstLine="0"/>
      <w:rPr>
        <w:bCs/>
        <w:color w:val="000000" w:themeColor="text1"/>
        <w:sz w:val="20"/>
        <w:szCs w:val="20"/>
      </w:rPr>
    </w:pPr>
    <w:r w:rsidRPr="006D402E">
      <w:rPr>
        <w:sz w:val="20"/>
        <w:szCs w:val="20"/>
      </w:rPr>
      <w:t>EMIzz_</w:t>
    </w:r>
    <w:r>
      <w:rPr>
        <w:sz w:val="20"/>
        <w:szCs w:val="20"/>
      </w:rPr>
      <w:t>1311</w:t>
    </w:r>
    <w:r w:rsidRPr="006D402E">
      <w:rPr>
        <w:sz w:val="20"/>
        <w:szCs w:val="20"/>
      </w:rPr>
      <w:t xml:space="preserve">19_spelu_lauk; </w:t>
    </w:r>
    <w:r w:rsidRPr="006D402E">
      <w:rPr>
        <w:color w:val="000000" w:themeColor="text1"/>
        <w:sz w:val="20"/>
        <w:szCs w:val="20"/>
      </w:rPr>
      <w:t xml:space="preserve">Izziņa par atzinumos sniegtajiem iebildumiem par </w:t>
    </w:r>
    <w:r w:rsidRPr="006D402E">
      <w:rPr>
        <w:bCs/>
        <w:color w:val="000000" w:themeColor="text1"/>
        <w:sz w:val="20"/>
        <w:szCs w:val="20"/>
      </w:rPr>
      <w:t>Ministru kabineta noteikumu projektu “</w:t>
    </w:r>
    <w:r w:rsidR="00006EFD">
      <w:rPr>
        <w:bCs/>
        <w:color w:val="000000" w:themeColor="text1"/>
        <w:sz w:val="20"/>
        <w:szCs w:val="20"/>
      </w:rPr>
      <w:t>S</w:t>
    </w:r>
    <w:r w:rsidRPr="006D402E">
      <w:rPr>
        <w:bCs/>
        <w:color w:val="000000" w:themeColor="text1"/>
        <w:sz w:val="20"/>
        <w:szCs w:val="20"/>
      </w:rPr>
      <w:t xml:space="preserve">pēļu </w:t>
    </w:r>
    <w:r>
      <w:rPr>
        <w:bCs/>
        <w:color w:val="000000" w:themeColor="text1"/>
        <w:sz w:val="20"/>
        <w:szCs w:val="20"/>
      </w:rPr>
      <w:t xml:space="preserve">un rekreācijas </w:t>
    </w:r>
    <w:r w:rsidRPr="006D402E">
      <w:rPr>
        <w:bCs/>
        <w:color w:val="000000" w:themeColor="text1"/>
        <w:sz w:val="20"/>
        <w:szCs w:val="20"/>
      </w:rPr>
      <w:t>laukum</w:t>
    </w:r>
    <w:r w:rsidR="00006EFD">
      <w:rPr>
        <w:bCs/>
        <w:color w:val="000000" w:themeColor="text1"/>
        <w:sz w:val="20"/>
        <w:szCs w:val="20"/>
      </w:rPr>
      <w:t>u drošuma noteikumi</w:t>
    </w:r>
    <w:r w:rsidRPr="006D402E">
      <w:rPr>
        <w:bCs/>
        <w:color w:val="000000" w:themeColor="text1"/>
        <w:sz w:val="20"/>
        <w:szCs w:val="20"/>
      </w:rPr>
      <w:t>” (VSS-219)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6D0C" w14:textId="77777777" w:rsidR="00F46543" w:rsidRDefault="00F46543" w:rsidP="00874F7F">
      <w:pPr>
        <w:spacing w:after="0" w:line="240" w:lineRule="auto"/>
      </w:pPr>
      <w:r>
        <w:separator/>
      </w:r>
    </w:p>
  </w:footnote>
  <w:footnote w:type="continuationSeparator" w:id="0">
    <w:p w14:paraId="4C6BF386" w14:textId="77777777" w:rsidR="00F46543" w:rsidRDefault="00F46543" w:rsidP="0087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402165"/>
      <w:docPartObj>
        <w:docPartGallery w:val="Page Numbers (Top of Page)"/>
        <w:docPartUnique/>
      </w:docPartObj>
    </w:sdtPr>
    <w:sdtEndPr>
      <w:rPr>
        <w:rFonts w:ascii="Times New Roman" w:hAnsi="Times New Roman" w:cs="Times New Roman"/>
        <w:noProof/>
        <w:sz w:val="24"/>
        <w:szCs w:val="24"/>
      </w:rPr>
    </w:sdtEndPr>
    <w:sdtContent>
      <w:p w14:paraId="51B023A7" w14:textId="2B691AEF" w:rsidR="00D33DBB" w:rsidRPr="001D3FFE" w:rsidRDefault="00D33DBB">
        <w:pPr>
          <w:pStyle w:val="Header"/>
          <w:jc w:val="center"/>
          <w:rPr>
            <w:rFonts w:ascii="Times New Roman" w:hAnsi="Times New Roman" w:cs="Times New Roman"/>
            <w:sz w:val="24"/>
            <w:szCs w:val="24"/>
          </w:rPr>
        </w:pPr>
        <w:r w:rsidRPr="001D3FFE">
          <w:rPr>
            <w:rFonts w:ascii="Times New Roman" w:hAnsi="Times New Roman" w:cs="Times New Roman"/>
            <w:sz w:val="24"/>
            <w:szCs w:val="24"/>
          </w:rPr>
          <w:fldChar w:fldCharType="begin"/>
        </w:r>
        <w:r w:rsidRPr="001D3FFE">
          <w:rPr>
            <w:rFonts w:ascii="Times New Roman" w:hAnsi="Times New Roman" w:cs="Times New Roman"/>
            <w:sz w:val="24"/>
            <w:szCs w:val="24"/>
          </w:rPr>
          <w:instrText xml:space="preserve"> PAGE   \* MERGEFORMAT </w:instrText>
        </w:r>
        <w:r w:rsidRPr="001D3FFE">
          <w:rPr>
            <w:rFonts w:ascii="Times New Roman" w:hAnsi="Times New Roman" w:cs="Times New Roman"/>
            <w:sz w:val="24"/>
            <w:szCs w:val="24"/>
          </w:rPr>
          <w:fldChar w:fldCharType="separate"/>
        </w:r>
        <w:r>
          <w:rPr>
            <w:rFonts w:ascii="Times New Roman" w:hAnsi="Times New Roman" w:cs="Times New Roman"/>
            <w:noProof/>
            <w:sz w:val="24"/>
            <w:szCs w:val="24"/>
          </w:rPr>
          <w:t>22</w:t>
        </w:r>
        <w:r w:rsidRPr="001D3FFE">
          <w:rPr>
            <w:rFonts w:ascii="Times New Roman" w:hAnsi="Times New Roman" w:cs="Times New Roman"/>
            <w:noProof/>
            <w:sz w:val="24"/>
            <w:szCs w:val="24"/>
          </w:rPr>
          <w:fldChar w:fldCharType="end"/>
        </w:r>
      </w:p>
    </w:sdtContent>
  </w:sdt>
  <w:p w14:paraId="6D549EFF" w14:textId="77777777" w:rsidR="00D33DBB" w:rsidRDefault="00D33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42CB45"/>
    <w:multiLevelType w:val="hybridMultilevel"/>
    <w:tmpl w:val="CB9D33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9EF6A4"/>
    <w:multiLevelType w:val="hybridMultilevel"/>
    <w:tmpl w:val="D67446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C4043"/>
    <w:multiLevelType w:val="multilevel"/>
    <w:tmpl w:val="12324F2A"/>
    <w:lvl w:ilvl="0">
      <w:start w:val="16"/>
      <w:numFmt w:val="decimal"/>
      <w:lvlText w:val="%1."/>
      <w:lvlJc w:val="left"/>
      <w:pPr>
        <w:ind w:left="525" w:hanging="52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944250"/>
    <w:multiLevelType w:val="multilevel"/>
    <w:tmpl w:val="58204F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31512D"/>
    <w:multiLevelType w:val="multilevel"/>
    <w:tmpl w:val="37F295CA"/>
    <w:lvl w:ilvl="0">
      <w:start w:val="12"/>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825577"/>
    <w:multiLevelType w:val="multilevel"/>
    <w:tmpl w:val="FFC857B6"/>
    <w:lvl w:ilvl="0">
      <w:start w:val="15"/>
      <w:numFmt w:val="decimal"/>
      <w:lvlText w:val="%1."/>
      <w:lvlJc w:val="left"/>
      <w:pPr>
        <w:ind w:left="480" w:hanging="480"/>
      </w:pPr>
      <w:rPr>
        <w:rFonts w:hint="default"/>
      </w:rPr>
    </w:lvl>
    <w:lvl w:ilvl="1">
      <w:start w:val="3"/>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0EF2106D"/>
    <w:multiLevelType w:val="hybridMultilevel"/>
    <w:tmpl w:val="2E0AB0BE"/>
    <w:lvl w:ilvl="0" w:tplc="D7961238">
      <w:start w:val="5"/>
      <w:numFmt w:val="decimal"/>
      <w:lvlText w:val="%1."/>
      <w:lvlJc w:val="left"/>
      <w:pPr>
        <w:ind w:left="279" w:hanging="360"/>
      </w:pPr>
      <w:rPr>
        <w:rFonts w:hint="default"/>
      </w:rPr>
    </w:lvl>
    <w:lvl w:ilvl="1" w:tplc="04260019">
      <w:start w:val="1"/>
      <w:numFmt w:val="lowerLetter"/>
      <w:lvlText w:val="%2."/>
      <w:lvlJc w:val="left"/>
      <w:pPr>
        <w:ind w:left="999" w:hanging="360"/>
      </w:pPr>
    </w:lvl>
    <w:lvl w:ilvl="2" w:tplc="0426001B" w:tentative="1">
      <w:start w:val="1"/>
      <w:numFmt w:val="lowerRoman"/>
      <w:lvlText w:val="%3."/>
      <w:lvlJc w:val="right"/>
      <w:pPr>
        <w:ind w:left="1719" w:hanging="180"/>
      </w:pPr>
    </w:lvl>
    <w:lvl w:ilvl="3" w:tplc="0426000F" w:tentative="1">
      <w:start w:val="1"/>
      <w:numFmt w:val="decimal"/>
      <w:lvlText w:val="%4."/>
      <w:lvlJc w:val="left"/>
      <w:pPr>
        <w:ind w:left="2439" w:hanging="360"/>
      </w:pPr>
    </w:lvl>
    <w:lvl w:ilvl="4" w:tplc="04260019" w:tentative="1">
      <w:start w:val="1"/>
      <w:numFmt w:val="lowerLetter"/>
      <w:lvlText w:val="%5."/>
      <w:lvlJc w:val="left"/>
      <w:pPr>
        <w:ind w:left="3159" w:hanging="360"/>
      </w:pPr>
    </w:lvl>
    <w:lvl w:ilvl="5" w:tplc="0426001B" w:tentative="1">
      <w:start w:val="1"/>
      <w:numFmt w:val="lowerRoman"/>
      <w:lvlText w:val="%6."/>
      <w:lvlJc w:val="right"/>
      <w:pPr>
        <w:ind w:left="3879" w:hanging="180"/>
      </w:pPr>
    </w:lvl>
    <w:lvl w:ilvl="6" w:tplc="0426000F" w:tentative="1">
      <w:start w:val="1"/>
      <w:numFmt w:val="decimal"/>
      <w:lvlText w:val="%7."/>
      <w:lvlJc w:val="left"/>
      <w:pPr>
        <w:ind w:left="4599" w:hanging="360"/>
      </w:pPr>
    </w:lvl>
    <w:lvl w:ilvl="7" w:tplc="04260019" w:tentative="1">
      <w:start w:val="1"/>
      <w:numFmt w:val="lowerLetter"/>
      <w:lvlText w:val="%8."/>
      <w:lvlJc w:val="left"/>
      <w:pPr>
        <w:ind w:left="5319" w:hanging="360"/>
      </w:pPr>
    </w:lvl>
    <w:lvl w:ilvl="8" w:tplc="0426001B" w:tentative="1">
      <w:start w:val="1"/>
      <w:numFmt w:val="lowerRoman"/>
      <w:lvlText w:val="%9."/>
      <w:lvlJc w:val="right"/>
      <w:pPr>
        <w:ind w:left="6039" w:hanging="180"/>
      </w:pPr>
    </w:lvl>
  </w:abstractNum>
  <w:abstractNum w:abstractNumId="7" w15:restartNumberingAfterBreak="0">
    <w:nsid w:val="0F7116B5"/>
    <w:multiLevelType w:val="multilevel"/>
    <w:tmpl w:val="C256D9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D07B63"/>
    <w:multiLevelType w:val="multilevel"/>
    <w:tmpl w:val="32FEA1F8"/>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E2461D"/>
    <w:multiLevelType w:val="multilevel"/>
    <w:tmpl w:val="593E13E2"/>
    <w:lvl w:ilvl="0">
      <w:start w:val="16"/>
      <w:numFmt w:val="decimal"/>
      <w:lvlText w:val="%1."/>
      <w:lvlJc w:val="left"/>
      <w:pPr>
        <w:ind w:left="525" w:hanging="52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59D533C"/>
    <w:multiLevelType w:val="multilevel"/>
    <w:tmpl w:val="F22AE9CA"/>
    <w:lvl w:ilvl="0">
      <w:start w:val="5"/>
      <w:numFmt w:val="decimal"/>
      <w:lvlText w:val="%1."/>
      <w:lvlJc w:val="left"/>
      <w:pPr>
        <w:ind w:left="390" w:hanging="390"/>
      </w:pPr>
      <w:rPr>
        <w:rFonts w:hint="default"/>
      </w:rPr>
    </w:lvl>
    <w:lvl w:ilvl="1">
      <w:start w:val="4"/>
      <w:numFmt w:val="decimal"/>
      <w:lvlText w:val="%1.%2."/>
      <w:lvlJc w:val="left"/>
      <w:pPr>
        <w:ind w:left="1359" w:hanging="7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11" w15:restartNumberingAfterBreak="0">
    <w:nsid w:val="1780464F"/>
    <w:multiLevelType w:val="hybridMultilevel"/>
    <w:tmpl w:val="C10C7DD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18B32E1A"/>
    <w:multiLevelType w:val="multilevel"/>
    <w:tmpl w:val="AEF6B49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9DC340E"/>
    <w:multiLevelType w:val="multilevel"/>
    <w:tmpl w:val="5F826326"/>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9E76937"/>
    <w:multiLevelType w:val="multilevel"/>
    <w:tmpl w:val="C256D9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BA82446"/>
    <w:multiLevelType w:val="multilevel"/>
    <w:tmpl w:val="5D505910"/>
    <w:lvl w:ilvl="0">
      <w:start w:val="4"/>
      <w:numFmt w:val="decimal"/>
      <w:lvlText w:val="%1."/>
      <w:lvlJc w:val="left"/>
      <w:pPr>
        <w:ind w:left="720" w:hanging="360"/>
      </w:pPr>
      <w:rPr>
        <w:rFonts w:hint="default"/>
      </w:rPr>
    </w:lvl>
    <w:lvl w:ilvl="1">
      <w:start w:val="2"/>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E780E3F"/>
    <w:multiLevelType w:val="multilevel"/>
    <w:tmpl w:val="437E8572"/>
    <w:lvl w:ilvl="0">
      <w:start w:val="1"/>
      <w:numFmt w:val="decimal"/>
      <w:lvlText w:val="%1."/>
      <w:lvlJc w:val="left"/>
      <w:pPr>
        <w:ind w:left="1080" w:hanging="360"/>
      </w:pPr>
    </w:lvl>
    <w:lvl w:ilvl="1">
      <w:start w:val="1"/>
      <w:numFmt w:val="decimal"/>
      <w:isLgl/>
      <w:lvlText w:val="%1.%2."/>
      <w:lvlJc w:val="left"/>
      <w:pPr>
        <w:ind w:left="785"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20ED6DBF"/>
    <w:multiLevelType w:val="multilevel"/>
    <w:tmpl w:val="B5088694"/>
    <w:lvl w:ilvl="0">
      <w:start w:val="16"/>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2B7078D"/>
    <w:multiLevelType w:val="multilevel"/>
    <w:tmpl w:val="D44CEFDA"/>
    <w:lvl w:ilvl="0">
      <w:start w:val="15"/>
      <w:numFmt w:val="decimal"/>
      <w:lvlText w:val="%1."/>
      <w:lvlJc w:val="left"/>
      <w:pPr>
        <w:ind w:left="480" w:hanging="480"/>
      </w:pPr>
      <w:rPr>
        <w:rFonts w:hint="default"/>
      </w:rPr>
    </w:lvl>
    <w:lvl w:ilvl="1">
      <w:start w:val="3"/>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2DAD02BF"/>
    <w:multiLevelType w:val="multilevel"/>
    <w:tmpl w:val="C256D9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F785A3F"/>
    <w:multiLevelType w:val="multilevel"/>
    <w:tmpl w:val="24788A52"/>
    <w:lvl w:ilvl="0">
      <w:start w:val="20"/>
      <w:numFmt w:val="decimal"/>
      <w:lvlText w:val="%1."/>
      <w:lvlJc w:val="left"/>
      <w:pPr>
        <w:ind w:left="525" w:hanging="525"/>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FA50B18"/>
    <w:multiLevelType w:val="multilevel"/>
    <w:tmpl w:val="36361022"/>
    <w:lvl w:ilvl="0">
      <w:start w:val="5"/>
      <w:numFmt w:val="decimal"/>
      <w:lvlText w:val="%1."/>
      <w:lvlJc w:val="left"/>
      <w:pPr>
        <w:ind w:left="390" w:hanging="390"/>
      </w:pPr>
      <w:rPr>
        <w:rFonts w:hint="default"/>
      </w:rPr>
    </w:lvl>
    <w:lvl w:ilvl="1">
      <w:start w:val="4"/>
      <w:numFmt w:val="decimal"/>
      <w:lvlText w:val="%1.%2."/>
      <w:lvlJc w:val="left"/>
      <w:pPr>
        <w:ind w:left="1359" w:hanging="7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22" w15:restartNumberingAfterBreak="0">
    <w:nsid w:val="381F4A1B"/>
    <w:multiLevelType w:val="multilevel"/>
    <w:tmpl w:val="C256D9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408E10"/>
    <w:multiLevelType w:val="hybridMultilevel"/>
    <w:tmpl w:val="8E9F4A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2463AE"/>
    <w:multiLevelType w:val="multilevel"/>
    <w:tmpl w:val="46B646A4"/>
    <w:lvl w:ilvl="0">
      <w:start w:val="12"/>
      <w:numFmt w:val="decimal"/>
      <w:lvlText w:val="%1."/>
      <w:lvlJc w:val="left"/>
      <w:pPr>
        <w:ind w:left="720" w:hanging="360"/>
      </w:pPr>
      <w:rPr>
        <w:rFonts w:hint="default"/>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11A27D3"/>
    <w:multiLevelType w:val="multilevel"/>
    <w:tmpl w:val="226E59A6"/>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FF92D2E"/>
    <w:multiLevelType w:val="hybridMultilevel"/>
    <w:tmpl w:val="5A74760C"/>
    <w:lvl w:ilvl="0" w:tplc="1102CD38">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BE2F16"/>
    <w:multiLevelType w:val="hybridMultilevel"/>
    <w:tmpl w:val="DB968B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3D61F5"/>
    <w:multiLevelType w:val="hybridMultilevel"/>
    <w:tmpl w:val="DA06AF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540FCA"/>
    <w:multiLevelType w:val="multilevel"/>
    <w:tmpl w:val="DAC8C784"/>
    <w:lvl w:ilvl="0">
      <w:start w:val="1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155553"/>
    <w:multiLevelType w:val="hybridMultilevel"/>
    <w:tmpl w:val="346CA4C4"/>
    <w:lvl w:ilvl="0" w:tplc="09D44A32">
      <w:start w:val="5"/>
      <w:numFmt w:val="decimal"/>
      <w:lvlText w:val="%1."/>
      <w:lvlJc w:val="left"/>
      <w:pPr>
        <w:ind w:left="27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2C0A02"/>
    <w:multiLevelType w:val="multilevel"/>
    <w:tmpl w:val="4DCE38EC"/>
    <w:lvl w:ilvl="0">
      <w:start w:val="16"/>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10"/>
  </w:num>
  <w:num w:numId="4">
    <w:abstractNumId w:val="5"/>
  </w:num>
  <w:num w:numId="5">
    <w:abstractNumId w:val="31"/>
  </w:num>
  <w:num w:numId="6">
    <w:abstractNumId w:val="18"/>
  </w:num>
  <w:num w:numId="7">
    <w:abstractNumId w:val="17"/>
  </w:num>
  <w:num w:numId="8">
    <w:abstractNumId w:val="9"/>
  </w:num>
  <w:num w:numId="9">
    <w:abstractNumId w:val="14"/>
  </w:num>
  <w:num w:numId="10">
    <w:abstractNumId w:val="20"/>
  </w:num>
  <w:num w:numId="11">
    <w:abstractNumId w:val="2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4"/>
  </w:num>
  <w:num w:numId="15">
    <w:abstractNumId w:val="3"/>
  </w:num>
  <w:num w:numId="16">
    <w:abstractNumId w:val="2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1"/>
  </w:num>
  <w:num w:numId="21">
    <w:abstractNumId w:val="25"/>
  </w:num>
  <w:num w:numId="22">
    <w:abstractNumId w:val="7"/>
  </w:num>
  <w:num w:numId="23">
    <w:abstractNumId w:val="8"/>
  </w:num>
  <w:num w:numId="24">
    <w:abstractNumId w:val="15"/>
  </w:num>
  <w:num w:numId="25">
    <w:abstractNumId w:val="12"/>
  </w:num>
  <w:num w:numId="26">
    <w:abstractNumId w:val="29"/>
  </w:num>
  <w:num w:numId="27">
    <w:abstractNumId w:val="27"/>
  </w:num>
  <w:num w:numId="28">
    <w:abstractNumId w:val="22"/>
  </w:num>
  <w:num w:numId="29">
    <w:abstractNumId w:val="13"/>
  </w:num>
  <w:num w:numId="30">
    <w:abstractNumId w:val="30"/>
  </w:num>
  <w:num w:numId="31">
    <w:abstractNumId w:val="2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10"/>
    <w:rsid w:val="00000D3D"/>
    <w:rsid w:val="00006289"/>
    <w:rsid w:val="00006EFD"/>
    <w:rsid w:val="00011C22"/>
    <w:rsid w:val="0001436B"/>
    <w:rsid w:val="00020128"/>
    <w:rsid w:val="00022CBB"/>
    <w:rsid w:val="00034BCF"/>
    <w:rsid w:val="00035158"/>
    <w:rsid w:val="00051291"/>
    <w:rsid w:val="00051C10"/>
    <w:rsid w:val="00053AB6"/>
    <w:rsid w:val="00055DB6"/>
    <w:rsid w:val="00067FA6"/>
    <w:rsid w:val="00073A46"/>
    <w:rsid w:val="0008073C"/>
    <w:rsid w:val="0008607B"/>
    <w:rsid w:val="00091D87"/>
    <w:rsid w:val="000956B7"/>
    <w:rsid w:val="00096369"/>
    <w:rsid w:val="000B35AC"/>
    <w:rsid w:val="000B391C"/>
    <w:rsid w:val="000D041D"/>
    <w:rsid w:val="000D3CD4"/>
    <w:rsid w:val="0010773C"/>
    <w:rsid w:val="001158EF"/>
    <w:rsid w:val="001269F7"/>
    <w:rsid w:val="0013201B"/>
    <w:rsid w:val="001341A8"/>
    <w:rsid w:val="001351E5"/>
    <w:rsid w:val="001357BF"/>
    <w:rsid w:val="0013677F"/>
    <w:rsid w:val="00137538"/>
    <w:rsid w:val="001440A9"/>
    <w:rsid w:val="00152B3D"/>
    <w:rsid w:val="00154879"/>
    <w:rsid w:val="00167266"/>
    <w:rsid w:val="00173722"/>
    <w:rsid w:val="001763A9"/>
    <w:rsid w:val="0018456C"/>
    <w:rsid w:val="00196043"/>
    <w:rsid w:val="001A5957"/>
    <w:rsid w:val="001B2BF0"/>
    <w:rsid w:val="001C3952"/>
    <w:rsid w:val="001C6DE0"/>
    <w:rsid w:val="001D04CE"/>
    <w:rsid w:val="001D755F"/>
    <w:rsid w:val="001E087C"/>
    <w:rsid w:val="001E3983"/>
    <w:rsid w:val="001E3ECF"/>
    <w:rsid w:val="001F13C8"/>
    <w:rsid w:val="001F3032"/>
    <w:rsid w:val="001F458D"/>
    <w:rsid w:val="0020605C"/>
    <w:rsid w:val="00225995"/>
    <w:rsid w:val="00226C87"/>
    <w:rsid w:val="00231D17"/>
    <w:rsid w:val="00252A59"/>
    <w:rsid w:val="0026028F"/>
    <w:rsid w:val="00266DA5"/>
    <w:rsid w:val="0026797F"/>
    <w:rsid w:val="002700DF"/>
    <w:rsid w:val="00282CCA"/>
    <w:rsid w:val="00283FE2"/>
    <w:rsid w:val="00284228"/>
    <w:rsid w:val="00292EC1"/>
    <w:rsid w:val="002944CC"/>
    <w:rsid w:val="002A50E4"/>
    <w:rsid w:val="002B47FC"/>
    <w:rsid w:val="002B5DB3"/>
    <w:rsid w:val="002C3575"/>
    <w:rsid w:val="002E7EDB"/>
    <w:rsid w:val="002F114D"/>
    <w:rsid w:val="002F60FE"/>
    <w:rsid w:val="002F72A4"/>
    <w:rsid w:val="0030403B"/>
    <w:rsid w:val="0030653A"/>
    <w:rsid w:val="00312760"/>
    <w:rsid w:val="00320E97"/>
    <w:rsid w:val="00332E28"/>
    <w:rsid w:val="00353679"/>
    <w:rsid w:val="0036315A"/>
    <w:rsid w:val="00365553"/>
    <w:rsid w:val="00367062"/>
    <w:rsid w:val="0036778B"/>
    <w:rsid w:val="00375ADD"/>
    <w:rsid w:val="003764A6"/>
    <w:rsid w:val="00381F0F"/>
    <w:rsid w:val="00391411"/>
    <w:rsid w:val="00391DAB"/>
    <w:rsid w:val="0039215C"/>
    <w:rsid w:val="00393AA8"/>
    <w:rsid w:val="003A04BD"/>
    <w:rsid w:val="003B19AD"/>
    <w:rsid w:val="003B3161"/>
    <w:rsid w:val="003B3D6B"/>
    <w:rsid w:val="003D0F0E"/>
    <w:rsid w:val="003D13B6"/>
    <w:rsid w:val="003E1004"/>
    <w:rsid w:val="003E1AF6"/>
    <w:rsid w:val="003F2FA6"/>
    <w:rsid w:val="003F3CA8"/>
    <w:rsid w:val="00405027"/>
    <w:rsid w:val="00406087"/>
    <w:rsid w:val="004177A3"/>
    <w:rsid w:val="00421E3B"/>
    <w:rsid w:val="00426FE8"/>
    <w:rsid w:val="00427483"/>
    <w:rsid w:val="00433E3A"/>
    <w:rsid w:val="00433EBB"/>
    <w:rsid w:val="004362DC"/>
    <w:rsid w:val="00441F87"/>
    <w:rsid w:val="004434E4"/>
    <w:rsid w:val="00443887"/>
    <w:rsid w:val="00443E70"/>
    <w:rsid w:val="00457AA6"/>
    <w:rsid w:val="004652A4"/>
    <w:rsid w:val="00475210"/>
    <w:rsid w:val="004813AF"/>
    <w:rsid w:val="004A6D5A"/>
    <w:rsid w:val="004D10B8"/>
    <w:rsid w:val="004D3579"/>
    <w:rsid w:val="004E6FCB"/>
    <w:rsid w:val="004F5E84"/>
    <w:rsid w:val="005131D7"/>
    <w:rsid w:val="00515521"/>
    <w:rsid w:val="00517238"/>
    <w:rsid w:val="005226F5"/>
    <w:rsid w:val="00522DCA"/>
    <w:rsid w:val="0052448F"/>
    <w:rsid w:val="00531DF0"/>
    <w:rsid w:val="00537762"/>
    <w:rsid w:val="0054303E"/>
    <w:rsid w:val="00544AC8"/>
    <w:rsid w:val="00547508"/>
    <w:rsid w:val="00553F27"/>
    <w:rsid w:val="00567709"/>
    <w:rsid w:val="00575498"/>
    <w:rsid w:val="005803AC"/>
    <w:rsid w:val="00592D39"/>
    <w:rsid w:val="005B10D9"/>
    <w:rsid w:val="005B6EF2"/>
    <w:rsid w:val="005C275A"/>
    <w:rsid w:val="005D7B93"/>
    <w:rsid w:val="005E5425"/>
    <w:rsid w:val="005F6142"/>
    <w:rsid w:val="005F7364"/>
    <w:rsid w:val="00600804"/>
    <w:rsid w:val="00604568"/>
    <w:rsid w:val="0061337E"/>
    <w:rsid w:val="00622252"/>
    <w:rsid w:val="00623910"/>
    <w:rsid w:val="0063282E"/>
    <w:rsid w:val="0063396D"/>
    <w:rsid w:val="00634BA7"/>
    <w:rsid w:val="00645241"/>
    <w:rsid w:val="006559AD"/>
    <w:rsid w:val="00656BEC"/>
    <w:rsid w:val="00666A31"/>
    <w:rsid w:val="00670BAA"/>
    <w:rsid w:val="00673416"/>
    <w:rsid w:val="00673723"/>
    <w:rsid w:val="00677735"/>
    <w:rsid w:val="006842F9"/>
    <w:rsid w:val="00691971"/>
    <w:rsid w:val="00694805"/>
    <w:rsid w:val="00694ECF"/>
    <w:rsid w:val="006959EE"/>
    <w:rsid w:val="006A2125"/>
    <w:rsid w:val="006B204A"/>
    <w:rsid w:val="006B2ACA"/>
    <w:rsid w:val="006B75C8"/>
    <w:rsid w:val="006B77F6"/>
    <w:rsid w:val="006B7C3F"/>
    <w:rsid w:val="006C00A2"/>
    <w:rsid w:val="006C613C"/>
    <w:rsid w:val="006D2CAE"/>
    <w:rsid w:val="006D402E"/>
    <w:rsid w:val="006D4C18"/>
    <w:rsid w:val="006D752C"/>
    <w:rsid w:val="006E0B9D"/>
    <w:rsid w:val="006E4116"/>
    <w:rsid w:val="006F4B07"/>
    <w:rsid w:val="00700BE6"/>
    <w:rsid w:val="007067CF"/>
    <w:rsid w:val="00722405"/>
    <w:rsid w:val="007317BE"/>
    <w:rsid w:val="0073656E"/>
    <w:rsid w:val="00741A28"/>
    <w:rsid w:val="00741BD0"/>
    <w:rsid w:val="00746B2F"/>
    <w:rsid w:val="00752738"/>
    <w:rsid w:val="007530ED"/>
    <w:rsid w:val="00777E89"/>
    <w:rsid w:val="00790EA7"/>
    <w:rsid w:val="00791EDB"/>
    <w:rsid w:val="007D6E65"/>
    <w:rsid w:val="007D7ADB"/>
    <w:rsid w:val="007E0CBC"/>
    <w:rsid w:val="007E2801"/>
    <w:rsid w:val="0080072D"/>
    <w:rsid w:val="00811D25"/>
    <w:rsid w:val="0082014D"/>
    <w:rsid w:val="008323F0"/>
    <w:rsid w:val="00847A59"/>
    <w:rsid w:val="008527CC"/>
    <w:rsid w:val="008639D7"/>
    <w:rsid w:val="00867C5A"/>
    <w:rsid w:val="0087453C"/>
    <w:rsid w:val="00874EE1"/>
    <w:rsid w:val="00874F7F"/>
    <w:rsid w:val="00884469"/>
    <w:rsid w:val="00885381"/>
    <w:rsid w:val="0088750C"/>
    <w:rsid w:val="00890FAD"/>
    <w:rsid w:val="00891F87"/>
    <w:rsid w:val="008A236B"/>
    <w:rsid w:val="008A2BD6"/>
    <w:rsid w:val="008A529A"/>
    <w:rsid w:val="008B385C"/>
    <w:rsid w:val="008B386A"/>
    <w:rsid w:val="008B4FBD"/>
    <w:rsid w:val="008C366A"/>
    <w:rsid w:val="008D1829"/>
    <w:rsid w:val="008E690F"/>
    <w:rsid w:val="008F10B7"/>
    <w:rsid w:val="008F29AE"/>
    <w:rsid w:val="00900C12"/>
    <w:rsid w:val="00901A9F"/>
    <w:rsid w:val="009022CC"/>
    <w:rsid w:val="00913B63"/>
    <w:rsid w:val="00914496"/>
    <w:rsid w:val="00915061"/>
    <w:rsid w:val="00917D88"/>
    <w:rsid w:val="00922EF0"/>
    <w:rsid w:val="00932A59"/>
    <w:rsid w:val="00933811"/>
    <w:rsid w:val="00941E9B"/>
    <w:rsid w:val="00942973"/>
    <w:rsid w:val="00942EEB"/>
    <w:rsid w:val="00943748"/>
    <w:rsid w:val="009439AF"/>
    <w:rsid w:val="00953514"/>
    <w:rsid w:val="00955308"/>
    <w:rsid w:val="00960C8C"/>
    <w:rsid w:val="009660E9"/>
    <w:rsid w:val="00967003"/>
    <w:rsid w:val="00971479"/>
    <w:rsid w:val="00974AAD"/>
    <w:rsid w:val="00977564"/>
    <w:rsid w:val="00982938"/>
    <w:rsid w:val="00986D8F"/>
    <w:rsid w:val="00992E9B"/>
    <w:rsid w:val="00994E74"/>
    <w:rsid w:val="009A469C"/>
    <w:rsid w:val="009B071F"/>
    <w:rsid w:val="009B5D95"/>
    <w:rsid w:val="009C1227"/>
    <w:rsid w:val="009D65CB"/>
    <w:rsid w:val="009E0CB3"/>
    <w:rsid w:val="009E3D7B"/>
    <w:rsid w:val="00A057A1"/>
    <w:rsid w:val="00A065EF"/>
    <w:rsid w:val="00A07EF1"/>
    <w:rsid w:val="00A10EAC"/>
    <w:rsid w:val="00A1288C"/>
    <w:rsid w:val="00A14FA0"/>
    <w:rsid w:val="00A2509E"/>
    <w:rsid w:val="00A274AF"/>
    <w:rsid w:val="00A3096C"/>
    <w:rsid w:val="00A323C6"/>
    <w:rsid w:val="00A32F63"/>
    <w:rsid w:val="00A405EE"/>
    <w:rsid w:val="00A40E32"/>
    <w:rsid w:val="00A424A1"/>
    <w:rsid w:val="00A730A9"/>
    <w:rsid w:val="00A75E3D"/>
    <w:rsid w:val="00A770AC"/>
    <w:rsid w:val="00A94781"/>
    <w:rsid w:val="00AA3595"/>
    <w:rsid w:val="00AA49B6"/>
    <w:rsid w:val="00AA7A0E"/>
    <w:rsid w:val="00AB35C4"/>
    <w:rsid w:val="00AC50A3"/>
    <w:rsid w:val="00AC6086"/>
    <w:rsid w:val="00AC6612"/>
    <w:rsid w:val="00AD4057"/>
    <w:rsid w:val="00AD6B79"/>
    <w:rsid w:val="00AD7BEE"/>
    <w:rsid w:val="00AE1758"/>
    <w:rsid w:val="00AE2627"/>
    <w:rsid w:val="00AE4B7B"/>
    <w:rsid w:val="00AE72A2"/>
    <w:rsid w:val="00AF11CB"/>
    <w:rsid w:val="00B31C47"/>
    <w:rsid w:val="00B32188"/>
    <w:rsid w:val="00B32571"/>
    <w:rsid w:val="00B3511F"/>
    <w:rsid w:val="00B41C71"/>
    <w:rsid w:val="00B50211"/>
    <w:rsid w:val="00B52F94"/>
    <w:rsid w:val="00B55177"/>
    <w:rsid w:val="00B61133"/>
    <w:rsid w:val="00B732F6"/>
    <w:rsid w:val="00B84DEE"/>
    <w:rsid w:val="00BA1A84"/>
    <w:rsid w:val="00BA4FF3"/>
    <w:rsid w:val="00BA5C45"/>
    <w:rsid w:val="00BB2401"/>
    <w:rsid w:val="00BC47D8"/>
    <w:rsid w:val="00BC5787"/>
    <w:rsid w:val="00BD59FC"/>
    <w:rsid w:val="00BD60D8"/>
    <w:rsid w:val="00BE1FC3"/>
    <w:rsid w:val="00BE415C"/>
    <w:rsid w:val="00BE50A6"/>
    <w:rsid w:val="00BE68D5"/>
    <w:rsid w:val="00BE6D44"/>
    <w:rsid w:val="00BF2AB1"/>
    <w:rsid w:val="00BF5B16"/>
    <w:rsid w:val="00BF7539"/>
    <w:rsid w:val="00C17381"/>
    <w:rsid w:val="00C20496"/>
    <w:rsid w:val="00C32984"/>
    <w:rsid w:val="00C32A97"/>
    <w:rsid w:val="00C40CD8"/>
    <w:rsid w:val="00C429AF"/>
    <w:rsid w:val="00C43718"/>
    <w:rsid w:val="00C441EC"/>
    <w:rsid w:val="00C44707"/>
    <w:rsid w:val="00C56F73"/>
    <w:rsid w:val="00C70AC4"/>
    <w:rsid w:val="00C741BC"/>
    <w:rsid w:val="00C77272"/>
    <w:rsid w:val="00C85406"/>
    <w:rsid w:val="00C861F9"/>
    <w:rsid w:val="00CA3805"/>
    <w:rsid w:val="00CA45FF"/>
    <w:rsid w:val="00CA49B9"/>
    <w:rsid w:val="00CA4F8D"/>
    <w:rsid w:val="00CC1581"/>
    <w:rsid w:val="00CC381C"/>
    <w:rsid w:val="00CC5342"/>
    <w:rsid w:val="00CC6D55"/>
    <w:rsid w:val="00CF47F7"/>
    <w:rsid w:val="00CF7BDA"/>
    <w:rsid w:val="00D0208D"/>
    <w:rsid w:val="00D03F27"/>
    <w:rsid w:val="00D05CA9"/>
    <w:rsid w:val="00D166BF"/>
    <w:rsid w:val="00D20754"/>
    <w:rsid w:val="00D2167A"/>
    <w:rsid w:val="00D23E3B"/>
    <w:rsid w:val="00D24A8F"/>
    <w:rsid w:val="00D2717B"/>
    <w:rsid w:val="00D316F8"/>
    <w:rsid w:val="00D33254"/>
    <w:rsid w:val="00D33BEB"/>
    <w:rsid w:val="00D33DBB"/>
    <w:rsid w:val="00D52C66"/>
    <w:rsid w:val="00D569DE"/>
    <w:rsid w:val="00D62341"/>
    <w:rsid w:val="00D974CD"/>
    <w:rsid w:val="00DB34A6"/>
    <w:rsid w:val="00DC334E"/>
    <w:rsid w:val="00DC34FD"/>
    <w:rsid w:val="00DE1316"/>
    <w:rsid w:val="00DE2786"/>
    <w:rsid w:val="00DE30F4"/>
    <w:rsid w:val="00DF0C80"/>
    <w:rsid w:val="00DF4489"/>
    <w:rsid w:val="00DF5505"/>
    <w:rsid w:val="00E00A6E"/>
    <w:rsid w:val="00E03CFC"/>
    <w:rsid w:val="00E11FAE"/>
    <w:rsid w:val="00E23153"/>
    <w:rsid w:val="00E26936"/>
    <w:rsid w:val="00E328B9"/>
    <w:rsid w:val="00E338C3"/>
    <w:rsid w:val="00E4140D"/>
    <w:rsid w:val="00E43860"/>
    <w:rsid w:val="00E5630C"/>
    <w:rsid w:val="00E60CC6"/>
    <w:rsid w:val="00E74D52"/>
    <w:rsid w:val="00E77993"/>
    <w:rsid w:val="00E85190"/>
    <w:rsid w:val="00E912DD"/>
    <w:rsid w:val="00E91D96"/>
    <w:rsid w:val="00E93987"/>
    <w:rsid w:val="00E95AEC"/>
    <w:rsid w:val="00EA4F5C"/>
    <w:rsid w:val="00EA65A6"/>
    <w:rsid w:val="00EC0E90"/>
    <w:rsid w:val="00EC2DF9"/>
    <w:rsid w:val="00EC528C"/>
    <w:rsid w:val="00ED0674"/>
    <w:rsid w:val="00ED1E28"/>
    <w:rsid w:val="00ED3496"/>
    <w:rsid w:val="00ED6ED3"/>
    <w:rsid w:val="00EE02AA"/>
    <w:rsid w:val="00EE70AC"/>
    <w:rsid w:val="00EF0160"/>
    <w:rsid w:val="00EF23C6"/>
    <w:rsid w:val="00EF3AB2"/>
    <w:rsid w:val="00EF4373"/>
    <w:rsid w:val="00EF7E84"/>
    <w:rsid w:val="00F03EA3"/>
    <w:rsid w:val="00F07CB7"/>
    <w:rsid w:val="00F359AA"/>
    <w:rsid w:val="00F40B48"/>
    <w:rsid w:val="00F46543"/>
    <w:rsid w:val="00F53814"/>
    <w:rsid w:val="00F569C1"/>
    <w:rsid w:val="00F57FAF"/>
    <w:rsid w:val="00F62633"/>
    <w:rsid w:val="00F62AC7"/>
    <w:rsid w:val="00F76FF5"/>
    <w:rsid w:val="00F81455"/>
    <w:rsid w:val="00FA03C0"/>
    <w:rsid w:val="00FA5B1E"/>
    <w:rsid w:val="00FA7423"/>
    <w:rsid w:val="00FA7B66"/>
    <w:rsid w:val="00FB2628"/>
    <w:rsid w:val="00FB552A"/>
    <w:rsid w:val="00FB5F6C"/>
    <w:rsid w:val="00FD14A2"/>
    <w:rsid w:val="00FD30AB"/>
    <w:rsid w:val="00FD3E2F"/>
    <w:rsid w:val="00FF6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1BC7E"/>
  <w15:chartTrackingRefBased/>
  <w15:docId w15:val="{02044B88-20D2-45D2-A40C-46D8B88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910"/>
  </w:style>
  <w:style w:type="paragraph" w:styleId="Heading1">
    <w:name w:val="heading 1"/>
    <w:basedOn w:val="Normal"/>
    <w:next w:val="Normal"/>
    <w:link w:val="Heading1Char"/>
    <w:uiPriority w:val="9"/>
    <w:qFormat/>
    <w:rsid w:val="00623910"/>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uiPriority w:val="9"/>
    <w:semiHidden/>
    <w:unhideWhenUsed/>
    <w:qFormat/>
    <w:rsid w:val="00E56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67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910"/>
    <w:rPr>
      <w:rFonts w:ascii="Cambria" w:eastAsia="Times New Roman" w:hAnsi="Cambria" w:cs="Times New Roman"/>
      <w:b/>
      <w:bCs/>
      <w:color w:val="365F91"/>
      <w:sz w:val="28"/>
      <w:szCs w:val="28"/>
      <w:lang w:eastAsia="lv-LV"/>
    </w:rPr>
  </w:style>
  <w:style w:type="paragraph" w:styleId="NormalWeb">
    <w:name w:val="Normal (Web)"/>
    <w:basedOn w:val="Normal"/>
    <w:uiPriority w:val="99"/>
    <w:unhideWhenUsed/>
    <w:rsid w:val="006239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2391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23910"/>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623910"/>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62391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623910"/>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623910"/>
    <w:pPr>
      <w:spacing w:after="200" w:line="276" w:lineRule="auto"/>
      <w:ind w:left="720"/>
      <w:contextualSpacing/>
    </w:pPr>
    <w:rPr>
      <w:rFonts w:ascii="Calibri" w:eastAsia="Times New Roman" w:hAnsi="Calibri" w:cs="Times New Roman"/>
    </w:rPr>
  </w:style>
  <w:style w:type="character" w:styleId="Hyperlink">
    <w:name w:val="Hyperlink"/>
    <w:uiPriority w:val="99"/>
    <w:rsid w:val="00623910"/>
    <w:rPr>
      <w:color w:val="0000FF"/>
      <w:u w:val="single"/>
    </w:rPr>
  </w:style>
  <w:style w:type="character" w:customStyle="1" w:styleId="apple-converted-space">
    <w:name w:val="apple-converted-space"/>
    <w:basedOn w:val="DefaultParagraphFont"/>
    <w:rsid w:val="00623910"/>
  </w:style>
  <w:style w:type="character" w:customStyle="1" w:styleId="ListParagraphChar">
    <w:name w:val="List Paragraph Char"/>
    <w:aliases w:val="2 Char"/>
    <w:basedOn w:val="DefaultParagraphFont"/>
    <w:link w:val="ListParagraph"/>
    <w:uiPriority w:val="34"/>
    <w:locked/>
    <w:rsid w:val="00623910"/>
    <w:rPr>
      <w:rFonts w:ascii="Calibri" w:eastAsia="Times New Roman" w:hAnsi="Calibri" w:cs="Times New Roman"/>
    </w:rPr>
  </w:style>
  <w:style w:type="paragraph" w:customStyle="1" w:styleId="tv213">
    <w:name w:val="tv213"/>
    <w:basedOn w:val="Normal"/>
    <w:rsid w:val="006239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239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3910"/>
    <w:rPr>
      <w:sz w:val="16"/>
      <w:szCs w:val="16"/>
    </w:rPr>
  </w:style>
  <w:style w:type="paragraph" w:styleId="CommentText">
    <w:name w:val="annotation text"/>
    <w:basedOn w:val="Normal"/>
    <w:link w:val="CommentTextChar"/>
    <w:unhideWhenUsed/>
    <w:rsid w:val="00623910"/>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623910"/>
    <w:rPr>
      <w:rFonts w:ascii="Times New Roman" w:eastAsia="Calibri" w:hAnsi="Times New Roman" w:cs="Times New Roman"/>
      <w:sz w:val="20"/>
      <w:szCs w:val="20"/>
    </w:rPr>
  </w:style>
  <w:style w:type="paragraph" w:styleId="Header">
    <w:name w:val="header"/>
    <w:basedOn w:val="Normal"/>
    <w:link w:val="HeaderChar"/>
    <w:uiPriority w:val="99"/>
    <w:unhideWhenUsed/>
    <w:rsid w:val="006239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3910"/>
  </w:style>
  <w:style w:type="paragraph" w:styleId="Footer">
    <w:name w:val="footer"/>
    <w:basedOn w:val="Normal"/>
    <w:link w:val="FooterChar"/>
    <w:uiPriority w:val="99"/>
    <w:unhideWhenUsed/>
    <w:rsid w:val="006239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3910"/>
  </w:style>
  <w:style w:type="character" w:styleId="CommentReference">
    <w:name w:val="annotation reference"/>
    <w:basedOn w:val="DefaultParagraphFont"/>
    <w:uiPriority w:val="99"/>
    <w:semiHidden/>
    <w:unhideWhenUsed/>
    <w:rsid w:val="00623910"/>
    <w:rPr>
      <w:sz w:val="16"/>
      <w:szCs w:val="16"/>
    </w:rPr>
  </w:style>
  <w:style w:type="paragraph" w:styleId="CommentSubject">
    <w:name w:val="annotation subject"/>
    <w:basedOn w:val="CommentText"/>
    <w:next w:val="CommentText"/>
    <w:link w:val="CommentSubjectChar"/>
    <w:uiPriority w:val="99"/>
    <w:semiHidden/>
    <w:unhideWhenUsed/>
    <w:rsid w:val="0062391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391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2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10"/>
    <w:rPr>
      <w:rFonts w:ascii="Segoe UI" w:hAnsi="Segoe UI" w:cs="Segoe UI"/>
      <w:sz w:val="18"/>
      <w:szCs w:val="18"/>
    </w:rPr>
  </w:style>
  <w:style w:type="table" w:styleId="TableGrid">
    <w:name w:val="Table Grid"/>
    <w:basedOn w:val="TableNormal"/>
    <w:uiPriority w:val="39"/>
    <w:rsid w:val="0062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630C"/>
    <w:rPr>
      <w:rFonts w:asciiTheme="majorHAnsi" w:eastAsiaTheme="majorEastAsia" w:hAnsiTheme="majorHAnsi" w:cstheme="majorBidi"/>
      <w:color w:val="2E74B5" w:themeColor="accent1" w:themeShade="BF"/>
      <w:sz w:val="26"/>
      <w:szCs w:val="26"/>
    </w:rPr>
  </w:style>
  <w:style w:type="paragraph" w:styleId="EnvelopeReturn">
    <w:name w:val="envelope return"/>
    <w:basedOn w:val="Normal"/>
    <w:rsid w:val="006C613C"/>
    <w:pPr>
      <w:keepLines/>
      <w:spacing w:before="600" w:after="0" w:line="240" w:lineRule="auto"/>
    </w:pPr>
    <w:rPr>
      <w:rFonts w:ascii="Times New Roman" w:eastAsia="Times New Roman" w:hAnsi="Times New Roman" w:cs="Times New Roman"/>
      <w:sz w:val="26"/>
      <w:szCs w:val="20"/>
    </w:rPr>
  </w:style>
  <w:style w:type="paragraph" w:styleId="BodyTextIndent">
    <w:name w:val="Body Text Indent"/>
    <w:basedOn w:val="Normal"/>
    <w:link w:val="BodyTextIndentChar"/>
    <w:uiPriority w:val="99"/>
    <w:unhideWhenUsed/>
    <w:rsid w:val="00953514"/>
    <w:pPr>
      <w:spacing w:after="120"/>
      <w:ind w:left="283"/>
    </w:pPr>
  </w:style>
  <w:style w:type="character" w:customStyle="1" w:styleId="BodyTextIndentChar">
    <w:name w:val="Body Text Indent Char"/>
    <w:basedOn w:val="DefaultParagraphFont"/>
    <w:link w:val="BodyTextIndent"/>
    <w:uiPriority w:val="99"/>
    <w:rsid w:val="00953514"/>
  </w:style>
  <w:style w:type="paragraph" w:customStyle="1" w:styleId="Default">
    <w:name w:val="Default"/>
    <w:rsid w:val="00E4140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312760"/>
    <w:rPr>
      <w:color w:val="605E5C"/>
      <w:shd w:val="clear" w:color="auto" w:fill="E1DFDD"/>
    </w:rPr>
  </w:style>
  <w:style w:type="character" w:customStyle="1" w:styleId="Heading3Char">
    <w:name w:val="Heading 3 Char"/>
    <w:basedOn w:val="DefaultParagraphFont"/>
    <w:link w:val="Heading3"/>
    <w:uiPriority w:val="9"/>
    <w:semiHidden/>
    <w:rsid w:val="007067C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BE1F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1F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116">
      <w:bodyDiv w:val="1"/>
      <w:marLeft w:val="0"/>
      <w:marRight w:val="0"/>
      <w:marTop w:val="0"/>
      <w:marBottom w:val="0"/>
      <w:divBdr>
        <w:top w:val="none" w:sz="0" w:space="0" w:color="auto"/>
        <w:left w:val="none" w:sz="0" w:space="0" w:color="auto"/>
        <w:bottom w:val="none" w:sz="0" w:space="0" w:color="auto"/>
        <w:right w:val="none" w:sz="0" w:space="0" w:color="auto"/>
      </w:divBdr>
    </w:div>
    <w:div w:id="224685095">
      <w:bodyDiv w:val="1"/>
      <w:marLeft w:val="0"/>
      <w:marRight w:val="0"/>
      <w:marTop w:val="0"/>
      <w:marBottom w:val="0"/>
      <w:divBdr>
        <w:top w:val="none" w:sz="0" w:space="0" w:color="auto"/>
        <w:left w:val="none" w:sz="0" w:space="0" w:color="auto"/>
        <w:bottom w:val="none" w:sz="0" w:space="0" w:color="auto"/>
        <w:right w:val="none" w:sz="0" w:space="0" w:color="auto"/>
      </w:divBdr>
    </w:div>
    <w:div w:id="304511485">
      <w:bodyDiv w:val="1"/>
      <w:marLeft w:val="0"/>
      <w:marRight w:val="0"/>
      <w:marTop w:val="0"/>
      <w:marBottom w:val="0"/>
      <w:divBdr>
        <w:top w:val="none" w:sz="0" w:space="0" w:color="auto"/>
        <w:left w:val="none" w:sz="0" w:space="0" w:color="auto"/>
        <w:bottom w:val="none" w:sz="0" w:space="0" w:color="auto"/>
        <w:right w:val="none" w:sz="0" w:space="0" w:color="auto"/>
      </w:divBdr>
    </w:div>
    <w:div w:id="305669841">
      <w:bodyDiv w:val="1"/>
      <w:marLeft w:val="0"/>
      <w:marRight w:val="0"/>
      <w:marTop w:val="0"/>
      <w:marBottom w:val="0"/>
      <w:divBdr>
        <w:top w:val="none" w:sz="0" w:space="0" w:color="auto"/>
        <w:left w:val="none" w:sz="0" w:space="0" w:color="auto"/>
        <w:bottom w:val="none" w:sz="0" w:space="0" w:color="auto"/>
        <w:right w:val="none" w:sz="0" w:space="0" w:color="auto"/>
      </w:divBdr>
    </w:div>
    <w:div w:id="309872728">
      <w:bodyDiv w:val="1"/>
      <w:marLeft w:val="0"/>
      <w:marRight w:val="0"/>
      <w:marTop w:val="0"/>
      <w:marBottom w:val="0"/>
      <w:divBdr>
        <w:top w:val="none" w:sz="0" w:space="0" w:color="auto"/>
        <w:left w:val="none" w:sz="0" w:space="0" w:color="auto"/>
        <w:bottom w:val="none" w:sz="0" w:space="0" w:color="auto"/>
        <w:right w:val="none" w:sz="0" w:space="0" w:color="auto"/>
      </w:divBdr>
    </w:div>
    <w:div w:id="362554374">
      <w:bodyDiv w:val="1"/>
      <w:marLeft w:val="0"/>
      <w:marRight w:val="0"/>
      <w:marTop w:val="0"/>
      <w:marBottom w:val="0"/>
      <w:divBdr>
        <w:top w:val="none" w:sz="0" w:space="0" w:color="auto"/>
        <w:left w:val="none" w:sz="0" w:space="0" w:color="auto"/>
        <w:bottom w:val="none" w:sz="0" w:space="0" w:color="auto"/>
        <w:right w:val="none" w:sz="0" w:space="0" w:color="auto"/>
      </w:divBdr>
    </w:div>
    <w:div w:id="434519974">
      <w:bodyDiv w:val="1"/>
      <w:marLeft w:val="0"/>
      <w:marRight w:val="0"/>
      <w:marTop w:val="0"/>
      <w:marBottom w:val="0"/>
      <w:divBdr>
        <w:top w:val="none" w:sz="0" w:space="0" w:color="auto"/>
        <w:left w:val="none" w:sz="0" w:space="0" w:color="auto"/>
        <w:bottom w:val="none" w:sz="0" w:space="0" w:color="auto"/>
        <w:right w:val="none" w:sz="0" w:space="0" w:color="auto"/>
      </w:divBdr>
    </w:div>
    <w:div w:id="451751312">
      <w:bodyDiv w:val="1"/>
      <w:marLeft w:val="0"/>
      <w:marRight w:val="0"/>
      <w:marTop w:val="0"/>
      <w:marBottom w:val="0"/>
      <w:divBdr>
        <w:top w:val="none" w:sz="0" w:space="0" w:color="auto"/>
        <w:left w:val="none" w:sz="0" w:space="0" w:color="auto"/>
        <w:bottom w:val="none" w:sz="0" w:space="0" w:color="auto"/>
        <w:right w:val="none" w:sz="0" w:space="0" w:color="auto"/>
      </w:divBdr>
    </w:div>
    <w:div w:id="942691572">
      <w:bodyDiv w:val="1"/>
      <w:marLeft w:val="0"/>
      <w:marRight w:val="0"/>
      <w:marTop w:val="0"/>
      <w:marBottom w:val="0"/>
      <w:divBdr>
        <w:top w:val="none" w:sz="0" w:space="0" w:color="auto"/>
        <w:left w:val="none" w:sz="0" w:space="0" w:color="auto"/>
        <w:bottom w:val="none" w:sz="0" w:space="0" w:color="auto"/>
        <w:right w:val="none" w:sz="0" w:space="0" w:color="auto"/>
      </w:divBdr>
    </w:div>
    <w:div w:id="975913881">
      <w:bodyDiv w:val="1"/>
      <w:marLeft w:val="0"/>
      <w:marRight w:val="0"/>
      <w:marTop w:val="0"/>
      <w:marBottom w:val="0"/>
      <w:divBdr>
        <w:top w:val="none" w:sz="0" w:space="0" w:color="auto"/>
        <w:left w:val="none" w:sz="0" w:space="0" w:color="auto"/>
        <w:bottom w:val="none" w:sz="0" w:space="0" w:color="auto"/>
        <w:right w:val="none" w:sz="0" w:space="0" w:color="auto"/>
      </w:divBdr>
    </w:div>
    <w:div w:id="1029993224">
      <w:bodyDiv w:val="1"/>
      <w:marLeft w:val="0"/>
      <w:marRight w:val="0"/>
      <w:marTop w:val="0"/>
      <w:marBottom w:val="0"/>
      <w:divBdr>
        <w:top w:val="none" w:sz="0" w:space="0" w:color="auto"/>
        <w:left w:val="none" w:sz="0" w:space="0" w:color="auto"/>
        <w:bottom w:val="none" w:sz="0" w:space="0" w:color="auto"/>
        <w:right w:val="none" w:sz="0" w:space="0" w:color="auto"/>
      </w:divBdr>
    </w:div>
    <w:div w:id="1107698246">
      <w:bodyDiv w:val="1"/>
      <w:marLeft w:val="0"/>
      <w:marRight w:val="0"/>
      <w:marTop w:val="0"/>
      <w:marBottom w:val="0"/>
      <w:divBdr>
        <w:top w:val="none" w:sz="0" w:space="0" w:color="auto"/>
        <w:left w:val="none" w:sz="0" w:space="0" w:color="auto"/>
        <w:bottom w:val="none" w:sz="0" w:space="0" w:color="auto"/>
        <w:right w:val="none" w:sz="0" w:space="0" w:color="auto"/>
      </w:divBdr>
    </w:div>
    <w:div w:id="1140415593">
      <w:bodyDiv w:val="1"/>
      <w:marLeft w:val="0"/>
      <w:marRight w:val="0"/>
      <w:marTop w:val="0"/>
      <w:marBottom w:val="0"/>
      <w:divBdr>
        <w:top w:val="none" w:sz="0" w:space="0" w:color="auto"/>
        <w:left w:val="none" w:sz="0" w:space="0" w:color="auto"/>
        <w:bottom w:val="none" w:sz="0" w:space="0" w:color="auto"/>
        <w:right w:val="none" w:sz="0" w:space="0" w:color="auto"/>
      </w:divBdr>
    </w:div>
    <w:div w:id="1280066363">
      <w:bodyDiv w:val="1"/>
      <w:marLeft w:val="0"/>
      <w:marRight w:val="0"/>
      <w:marTop w:val="0"/>
      <w:marBottom w:val="0"/>
      <w:divBdr>
        <w:top w:val="none" w:sz="0" w:space="0" w:color="auto"/>
        <w:left w:val="none" w:sz="0" w:space="0" w:color="auto"/>
        <w:bottom w:val="none" w:sz="0" w:space="0" w:color="auto"/>
        <w:right w:val="none" w:sz="0" w:space="0" w:color="auto"/>
      </w:divBdr>
    </w:div>
    <w:div w:id="1464696041">
      <w:bodyDiv w:val="1"/>
      <w:marLeft w:val="0"/>
      <w:marRight w:val="0"/>
      <w:marTop w:val="0"/>
      <w:marBottom w:val="0"/>
      <w:divBdr>
        <w:top w:val="none" w:sz="0" w:space="0" w:color="auto"/>
        <w:left w:val="none" w:sz="0" w:space="0" w:color="auto"/>
        <w:bottom w:val="none" w:sz="0" w:space="0" w:color="auto"/>
        <w:right w:val="none" w:sz="0" w:space="0" w:color="auto"/>
      </w:divBdr>
    </w:div>
    <w:div w:id="1482190801">
      <w:bodyDiv w:val="1"/>
      <w:marLeft w:val="0"/>
      <w:marRight w:val="0"/>
      <w:marTop w:val="0"/>
      <w:marBottom w:val="0"/>
      <w:divBdr>
        <w:top w:val="none" w:sz="0" w:space="0" w:color="auto"/>
        <w:left w:val="none" w:sz="0" w:space="0" w:color="auto"/>
        <w:bottom w:val="none" w:sz="0" w:space="0" w:color="auto"/>
        <w:right w:val="none" w:sz="0" w:space="0" w:color="auto"/>
      </w:divBdr>
    </w:div>
    <w:div w:id="1687488072">
      <w:bodyDiv w:val="1"/>
      <w:marLeft w:val="0"/>
      <w:marRight w:val="0"/>
      <w:marTop w:val="0"/>
      <w:marBottom w:val="0"/>
      <w:divBdr>
        <w:top w:val="none" w:sz="0" w:space="0" w:color="auto"/>
        <w:left w:val="none" w:sz="0" w:space="0" w:color="auto"/>
        <w:bottom w:val="none" w:sz="0" w:space="0" w:color="auto"/>
        <w:right w:val="none" w:sz="0" w:space="0" w:color="auto"/>
      </w:divBdr>
    </w:div>
    <w:div w:id="1916087998">
      <w:bodyDiv w:val="1"/>
      <w:marLeft w:val="0"/>
      <w:marRight w:val="0"/>
      <w:marTop w:val="0"/>
      <w:marBottom w:val="0"/>
      <w:divBdr>
        <w:top w:val="none" w:sz="0" w:space="0" w:color="auto"/>
        <w:left w:val="none" w:sz="0" w:space="0" w:color="auto"/>
        <w:bottom w:val="none" w:sz="0" w:space="0" w:color="auto"/>
        <w:right w:val="none" w:sz="0" w:space="0" w:color="auto"/>
      </w:divBdr>
    </w:div>
    <w:div w:id="2068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836-par-atbilstibas-noverte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ris.Bulans@em.gov.lv" TargetMode="External"/><Relationship Id="rId4" Type="http://schemas.openxmlformats.org/officeDocument/2006/relationships/settings" Target="settings.xml"/><Relationship Id="rId9" Type="http://schemas.openxmlformats.org/officeDocument/2006/relationships/hyperlink" Target="http://www.lata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B8EA-8379-4D4D-AE43-4E1D26FE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62338</Words>
  <Characters>35533</Characters>
  <Application>Microsoft Office Word</Application>
  <DocSecurity>4</DocSecurity>
  <Lines>296</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97676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Juris Bulāns</cp:lastModifiedBy>
  <cp:revision>2</cp:revision>
  <cp:lastPrinted>2019-05-22T12:05:00Z</cp:lastPrinted>
  <dcterms:created xsi:type="dcterms:W3CDTF">2019-11-19T09:15:00Z</dcterms:created>
  <dcterms:modified xsi:type="dcterms:W3CDTF">2019-11-19T09:15:00Z</dcterms:modified>
</cp:coreProperties>
</file>