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82235" w14:textId="38F7601A" w:rsidR="00BD5588" w:rsidRPr="00C7141D" w:rsidRDefault="00E56C0F" w:rsidP="00DD0091">
      <w:pPr>
        <w:pStyle w:val="Title"/>
        <w:spacing w:before="130"/>
        <w:ind w:firstLine="539"/>
        <w:rPr>
          <w:b/>
          <w:sz w:val="24"/>
        </w:rPr>
      </w:pPr>
      <w:r w:rsidRPr="00C7141D">
        <w:rPr>
          <w:b/>
          <w:sz w:val="24"/>
        </w:rPr>
        <w:t>Ministru kabineta rīkojuma projekta</w:t>
      </w:r>
      <w:r w:rsidR="002925BA" w:rsidRPr="00C7141D">
        <w:rPr>
          <w:b/>
          <w:sz w:val="24"/>
        </w:rPr>
        <w:t xml:space="preserve"> </w:t>
      </w:r>
      <w:r w:rsidRPr="00C7141D">
        <w:rPr>
          <w:b/>
          <w:sz w:val="24"/>
        </w:rPr>
        <w:t>“Grozījumi Eiropas Savienības struktūrfondu un Kohēzijas fonda</w:t>
      </w:r>
      <w:r w:rsidR="002925BA" w:rsidRPr="00C7141D">
        <w:rPr>
          <w:sz w:val="24"/>
        </w:rPr>
        <w:t xml:space="preserve"> </w:t>
      </w:r>
      <w:r w:rsidRPr="00C7141D">
        <w:rPr>
          <w:b/>
          <w:sz w:val="24"/>
        </w:rPr>
        <w:t>2014.–</w:t>
      </w:r>
      <w:r w:rsidR="002925BA" w:rsidRPr="00C7141D">
        <w:rPr>
          <w:sz w:val="24"/>
        </w:rPr>
        <w:t> </w:t>
      </w:r>
      <w:r w:rsidR="002925BA" w:rsidRPr="00C7141D">
        <w:rPr>
          <w:b/>
          <w:sz w:val="24"/>
        </w:rPr>
        <w:t>2020.</w:t>
      </w:r>
      <w:r w:rsidR="00862131" w:rsidRPr="00C7141D">
        <w:rPr>
          <w:sz w:val="24"/>
        </w:rPr>
        <w:t> </w:t>
      </w:r>
      <w:r w:rsidR="002925BA" w:rsidRPr="00C7141D">
        <w:rPr>
          <w:b/>
          <w:sz w:val="24"/>
        </w:rPr>
        <w:t>gada</w:t>
      </w:r>
      <w:r w:rsidR="002925BA" w:rsidRPr="00C7141D">
        <w:rPr>
          <w:sz w:val="24"/>
        </w:rPr>
        <w:t> </w:t>
      </w:r>
      <w:r w:rsidRPr="00C7141D">
        <w:rPr>
          <w:b/>
          <w:sz w:val="24"/>
        </w:rPr>
        <w:t>plānošanas perioda darbības programmā “Izaugsme un nodarbinātība”” sākotnējās ietekmes novērtējuma ziņojums (anotācija)</w:t>
      </w:r>
    </w:p>
    <w:p w14:paraId="2C75337B" w14:textId="77777777" w:rsidR="00E56C0F" w:rsidRPr="00C7141D" w:rsidRDefault="00E56C0F" w:rsidP="00DD0091">
      <w:pPr>
        <w:pStyle w:val="Title"/>
        <w:spacing w:before="130"/>
        <w:ind w:firstLine="539"/>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36"/>
        <w:gridCol w:w="5825"/>
      </w:tblGrid>
      <w:tr w:rsidR="00BD5588" w:rsidRPr="00200F43" w14:paraId="13E8CFBA" w14:textId="77777777" w:rsidTr="009E0502">
        <w:trPr>
          <w:cantSplit/>
        </w:trPr>
        <w:tc>
          <w:tcPr>
            <w:tcW w:w="9581" w:type="dxa"/>
            <w:gridSpan w:val="2"/>
            <w:shd w:val="clear" w:color="auto" w:fill="FFFFFF"/>
            <w:vAlign w:val="center"/>
            <w:hideMark/>
          </w:tcPr>
          <w:p w14:paraId="2744C290" w14:textId="77777777" w:rsidR="00BD5588" w:rsidRPr="00C7141D" w:rsidRDefault="00BD5588" w:rsidP="00BA0575">
            <w:pPr>
              <w:jc w:val="center"/>
              <w:rPr>
                <w:b/>
              </w:rPr>
            </w:pPr>
            <w:r w:rsidRPr="00C7141D">
              <w:rPr>
                <w:b/>
              </w:rPr>
              <w:t>Tiesību akta projekta anotācijas kopsavilkums</w:t>
            </w:r>
          </w:p>
        </w:tc>
      </w:tr>
      <w:tr w:rsidR="00BD5588" w:rsidRPr="00200F43" w14:paraId="280F1A43" w14:textId="77777777" w:rsidTr="00E356D4">
        <w:trPr>
          <w:cantSplit/>
          <w:trHeight w:val="42"/>
        </w:trPr>
        <w:tc>
          <w:tcPr>
            <w:tcW w:w="3430" w:type="dxa"/>
            <w:shd w:val="clear" w:color="auto" w:fill="auto"/>
            <w:hideMark/>
          </w:tcPr>
          <w:p w14:paraId="6575DC00" w14:textId="77777777" w:rsidR="00BD5588" w:rsidRPr="00C7141D" w:rsidRDefault="00BD5588" w:rsidP="00DD0091">
            <w:r w:rsidRPr="00C7141D">
              <w:t>Mērķis, risinājums un projekta spēkā stāšanās laiks (500 zīmes bez atstarpēm)</w:t>
            </w:r>
          </w:p>
        </w:tc>
        <w:tc>
          <w:tcPr>
            <w:tcW w:w="6151" w:type="dxa"/>
            <w:shd w:val="clear" w:color="auto" w:fill="auto"/>
            <w:hideMark/>
          </w:tcPr>
          <w:p w14:paraId="7585C623" w14:textId="2D2D7190" w:rsidR="00BD5588" w:rsidRPr="00C7141D" w:rsidRDefault="00815736" w:rsidP="00056469">
            <w:pPr>
              <w:jc w:val="both"/>
            </w:pPr>
            <w:r w:rsidRPr="00C7141D">
              <w:t xml:space="preserve">Grozījumi </w:t>
            </w:r>
            <w:r w:rsidR="00A02E1E" w:rsidRPr="00C7141D">
              <w:t xml:space="preserve">Eiropas Savienības struktūrfondu un Kohēzijas </w:t>
            </w:r>
            <w:r w:rsidR="001070A3" w:rsidRPr="00C7141D">
              <w:br/>
            </w:r>
            <w:r w:rsidR="00A02E1E" w:rsidRPr="00C7141D">
              <w:t>2014.–2020.gada plānošanas perioda darbības programm</w:t>
            </w:r>
            <w:r w:rsidRPr="00C7141D">
              <w:t>ā</w:t>
            </w:r>
            <w:r w:rsidR="00A02E1E" w:rsidRPr="00C7141D">
              <w:t xml:space="preserve"> “Izaugsme un nodarbinātība” sagatavoti, lai </w:t>
            </w:r>
            <w:r w:rsidR="00270CCF" w:rsidRPr="00C7141D">
              <w:t>precizēt</w:t>
            </w:r>
            <w:r w:rsidR="00CC45ED" w:rsidRPr="00C7141D">
              <w:t>u</w:t>
            </w:r>
            <w:r w:rsidR="00270CCF" w:rsidRPr="00C7141D">
              <w:t xml:space="preserve"> </w:t>
            </w:r>
            <w:r w:rsidR="00F748F4" w:rsidRPr="00C7141D">
              <w:t>Ministru kabinetā</w:t>
            </w:r>
            <w:r w:rsidR="00270CCF" w:rsidRPr="00C7141D">
              <w:t xml:space="preserve"> </w:t>
            </w:r>
            <w:r w:rsidR="00CC45ED" w:rsidRPr="00C7141D">
              <w:t xml:space="preserve">apstiprinātās </w:t>
            </w:r>
            <w:r w:rsidR="00A02E1E" w:rsidRPr="00C7141D">
              <w:t xml:space="preserve">finansējuma pārdales Paula Stradiņa klīniskās universitātes slimnīcas projektam un deinstitucionalizācijas infrastruktūras projektiem, </w:t>
            </w:r>
            <w:r w:rsidR="0053353B" w:rsidRPr="00C7141D">
              <w:t>samazinot Eiropas Sociālā fonda finansējuma pārdali minētajiem projektiem, nodrošinot</w:t>
            </w:r>
            <w:r w:rsidR="00270CCF" w:rsidRPr="00200F43">
              <w:t xml:space="preserve"> ar </w:t>
            </w:r>
            <w:r w:rsidR="00270CCF" w:rsidRPr="00C7141D">
              <w:t>Eiropas Komisiju saskaņot</w:t>
            </w:r>
            <w:r w:rsidRPr="00C7141D">
              <w:t>us</w:t>
            </w:r>
            <w:r w:rsidR="00270CCF" w:rsidRPr="00C7141D">
              <w:t xml:space="preserve"> </w:t>
            </w:r>
            <w:r w:rsidRPr="00C7141D">
              <w:t>grozījumus</w:t>
            </w:r>
            <w:r w:rsidR="00A02E1E" w:rsidRPr="00C7141D">
              <w:t>.</w:t>
            </w:r>
            <w:r w:rsidR="005C7412" w:rsidRPr="00C7141D">
              <w:t xml:space="preserve"> Rīkojuma projekts stāsies spēkā</w:t>
            </w:r>
            <w:r w:rsidR="00DA6303" w:rsidRPr="00C7141D">
              <w:t xml:space="preserve"> </w:t>
            </w:r>
            <w:r w:rsidR="00056469">
              <w:t>vispārējā kārtībā</w:t>
            </w:r>
            <w:r w:rsidR="005C7412" w:rsidRPr="00C7141D">
              <w:t xml:space="preserve">. </w:t>
            </w:r>
          </w:p>
        </w:tc>
      </w:tr>
    </w:tbl>
    <w:p w14:paraId="666F4565" w14:textId="77777777" w:rsidR="00BD5588" w:rsidRPr="00C7141D" w:rsidRDefault="00BD5588" w:rsidP="00DD0091">
      <w:pPr>
        <w:pStyle w:val="Title"/>
        <w:spacing w:before="130"/>
        <w:ind w:firstLine="539"/>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200F43" w14:paraId="2A94857C" w14:textId="77777777" w:rsidTr="00163248">
        <w:tc>
          <w:tcPr>
            <w:tcW w:w="5000" w:type="pct"/>
            <w:gridSpan w:val="3"/>
            <w:vAlign w:val="center"/>
            <w:hideMark/>
          </w:tcPr>
          <w:p w14:paraId="256C9E3A" w14:textId="38241350" w:rsidR="00BD5588" w:rsidRPr="00C7141D" w:rsidRDefault="00BD5588" w:rsidP="00DD0091">
            <w:pPr>
              <w:jc w:val="center"/>
              <w:rPr>
                <w:b/>
              </w:rPr>
            </w:pPr>
            <w:r w:rsidRPr="00C7141D">
              <w:rPr>
                <w:b/>
              </w:rPr>
              <w:t>I. Tiesību akta projekta izstrādes nepieciešamība</w:t>
            </w:r>
          </w:p>
        </w:tc>
      </w:tr>
      <w:tr w:rsidR="00BD5588" w:rsidRPr="00200F43" w14:paraId="5E08886C" w14:textId="77777777" w:rsidTr="00163248">
        <w:tc>
          <w:tcPr>
            <w:tcW w:w="311" w:type="pct"/>
            <w:hideMark/>
          </w:tcPr>
          <w:p w14:paraId="1ED1AD15" w14:textId="77777777" w:rsidR="00BD5588" w:rsidRPr="00C7141D" w:rsidRDefault="00BD5588" w:rsidP="00DD0091">
            <w:pPr>
              <w:jc w:val="center"/>
            </w:pPr>
            <w:r w:rsidRPr="00C7141D">
              <w:t>1.</w:t>
            </w:r>
          </w:p>
        </w:tc>
        <w:tc>
          <w:tcPr>
            <w:tcW w:w="1479" w:type="pct"/>
            <w:hideMark/>
          </w:tcPr>
          <w:p w14:paraId="6CE9B998" w14:textId="589AC483" w:rsidR="00517EBA" w:rsidRPr="00C7141D" w:rsidRDefault="00BD5588" w:rsidP="00DD0091">
            <w:r w:rsidRPr="00C7141D">
              <w:t>Pamatojums</w:t>
            </w:r>
          </w:p>
          <w:p w14:paraId="324E811C" w14:textId="08BBD90E" w:rsidR="00BD5588" w:rsidRPr="00C7141D" w:rsidRDefault="00BD5588" w:rsidP="00DD0091"/>
        </w:tc>
        <w:tc>
          <w:tcPr>
            <w:tcW w:w="3210" w:type="pct"/>
            <w:hideMark/>
          </w:tcPr>
          <w:p w14:paraId="5D81FA8C" w14:textId="1F83ECD5" w:rsidR="00BD5588" w:rsidRPr="00C7141D" w:rsidRDefault="00E56C0F" w:rsidP="00DD0091">
            <w:pPr>
              <w:jc w:val="both"/>
            </w:pPr>
            <w:r w:rsidRPr="00C7141D">
              <w:t>Eiropas Savienības struktūrfondu un Kohēzijas fonda (turpmāk – ES fondi) 2014.–2020.</w:t>
            </w:r>
            <w:r w:rsidR="00862131" w:rsidRPr="00C7141D">
              <w:t> </w:t>
            </w:r>
            <w:r w:rsidRPr="00C7141D">
              <w:t xml:space="preserve">gada plānošanas perioda darbības programma “Izaugsme un nodarbinātība” (turpmāk – darbības programma) ir apstiprināta ar </w:t>
            </w:r>
            <w:r w:rsidR="00FE2C35" w:rsidRPr="00C7141D">
              <w:t>M</w:t>
            </w:r>
            <w:r w:rsidR="00E972A0" w:rsidRPr="00C7141D">
              <w:t>inistru kabineta (turpmāk – MK)</w:t>
            </w:r>
            <w:r w:rsidRPr="00C7141D">
              <w:t xml:space="preserve"> 2015.</w:t>
            </w:r>
            <w:r w:rsidR="00873ED0" w:rsidRPr="00C7141D">
              <w:t> </w:t>
            </w:r>
            <w:r w:rsidRPr="00C7141D">
              <w:t>gada 4.</w:t>
            </w:r>
            <w:r w:rsidR="00873ED0" w:rsidRPr="00C7141D">
              <w:t> </w:t>
            </w:r>
            <w:r w:rsidRPr="00C7141D">
              <w:t xml:space="preserve">februāra rīkojumu </w:t>
            </w:r>
            <w:r w:rsidR="00D92D7D" w:rsidRPr="00C7141D">
              <w:t xml:space="preserve"> </w:t>
            </w:r>
            <w:r w:rsidRPr="00C7141D">
              <w:t>Nr.</w:t>
            </w:r>
            <w:r w:rsidR="00873ED0" w:rsidRPr="00C7141D">
              <w:t> </w:t>
            </w:r>
            <w:r w:rsidRPr="00C7141D">
              <w:t>62 “Par Eiropas Savienības struktūrfondu un Kohēzijas fonda 2014.–2020.</w:t>
            </w:r>
            <w:r w:rsidR="00862131" w:rsidRPr="00C7141D">
              <w:t> </w:t>
            </w:r>
            <w:r w:rsidRPr="00C7141D">
              <w:t>gada plānošanas perioda darbības programmu “Izaugsme un nodarbinātība””.</w:t>
            </w:r>
          </w:p>
          <w:p w14:paraId="63F8E225" w14:textId="7287F340" w:rsidR="00084E41" w:rsidRPr="00C7141D" w:rsidRDefault="000F2CBB" w:rsidP="003B6443">
            <w:pPr>
              <w:jc w:val="both"/>
            </w:pPr>
            <w:r w:rsidRPr="00C7141D">
              <w:t>Darbības programma izstrādāta saskaņā ar Eiropas Parlamenta un Padomes 2013.</w:t>
            </w:r>
            <w:r w:rsidR="00873ED0" w:rsidRPr="00C7141D">
              <w:t> </w:t>
            </w:r>
            <w:r w:rsidRPr="00C7141D">
              <w:t>gada 17.</w:t>
            </w:r>
            <w:r w:rsidR="00873ED0" w:rsidRPr="00C7141D">
              <w:t> </w:t>
            </w:r>
            <w:r w:rsidRPr="00C7141D">
              <w:t>decembr</w:t>
            </w:r>
            <w:r w:rsidR="00862131" w:rsidRPr="00C7141D">
              <w:t>a</w:t>
            </w:r>
            <w:r w:rsidRPr="00C7141D">
              <w:t xml:space="preserve">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un Kohēzijas fondu un Eiropas Jūrlietu un zivsaimniecības</w:t>
            </w:r>
            <w:r w:rsidR="00862131" w:rsidRPr="00C7141D">
              <w:t xml:space="preserve"> fondu un atceļ Regulu (EK) Nr. 1083/2006 (turpmāk – Regula Nr. </w:t>
            </w:r>
            <w:r w:rsidRPr="00C7141D">
              <w:t>1303/2013)</w:t>
            </w:r>
            <w:r w:rsidR="00D92D7D" w:rsidRPr="00C7141D">
              <w:t>. S</w:t>
            </w:r>
            <w:r w:rsidRPr="00C7141D">
              <w:t>askaņā ar Regulas Nr.</w:t>
            </w:r>
            <w:r w:rsidR="00862131" w:rsidRPr="00C7141D">
              <w:t> </w:t>
            </w:r>
            <w:r w:rsidRPr="00C7141D">
              <w:t>1303/2013 30.</w:t>
            </w:r>
            <w:r w:rsidR="00862131" w:rsidRPr="00C7141D">
              <w:t> </w:t>
            </w:r>
            <w:r w:rsidRPr="00C7141D">
              <w:t>panta 1. un 2.</w:t>
            </w:r>
            <w:r w:rsidR="00862131" w:rsidRPr="00C7141D">
              <w:t> </w:t>
            </w:r>
            <w:r w:rsidRPr="00C7141D">
              <w:t>punktu dalībvalstij ir ties</w:t>
            </w:r>
            <w:r w:rsidR="00862131" w:rsidRPr="00C7141D">
              <w:t>ības iesniegt Eiropas Komisijai</w:t>
            </w:r>
            <w:r w:rsidR="00862131" w:rsidRPr="00C7141D">
              <w:br/>
            </w:r>
            <w:r w:rsidRPr="00C7141D">
              <w:t>(turpmāk – EK) pienācīgi pamatotu prasību veikt grozījumus darbības programmā, par kuriem EK attiecīgi nepieciešamības gadījumā sniedz savus apsvērumus.</w:t>
            </w:r>
          </w:p>
        </w:tc>
      </w:tr>
      <w:tr w:rsidR="008F0C62" w:rsidRPr="00200F43" w14:paraId="4E67868D" w14:textId="77777777" w:rsidTr="00163248">
        <w:tc>
          <w:tcPr>
            <w:tcW w:w="311" w:type="pct"/>
          </w:tcPr>
          <w:p w14:paraId="3CFF0902" w14:textId="4BFD79EF" w:rsidR="008F0C62" w:rsidRPr="00C7141D" w:rsidRDefault="008F0C62" w:rsidP="00DD0091">
            <w:pPr>
              <w:jc w:val="center"/>
            </w:pPr>
            <w:r w:rsidRPr="00C7141D">
              <w:t>2.</w:t>
            </w:r>
          </w:p>
        </w:tc>
        <w:tc>
          <w:tcPr>
            <w:tcW w:w="1479" w:type="pct"/>
          </w:tcPr>
          <w:p w14:paraId="1F097289" w14:textId="14AB0EA2" w:rsidR="001705EC" w:rsidRDefault="008F0C62" w:rsidP="00DD0091">
            <w:r w:rsidRPr="00C7141D">
              <w:t>Pašreizējā situācija un problēmas, kuru risināšanai tiesību akta projekts izstrādāts, tiesiskā regulējuma mērķis un būtība</w:t>
            </w:r>
          </w:p>
          <w:p w14:paraId="0D20A8A5" w14:textId="77777777" w:rsidR="001705EC" w:rsidRPr="001705EC" w:rsidRDefault="001705EC" w:rsidP="001705EC"/>
          <w:p w14:paraId="015D11D4" w14:textId="6A81B599" w:rsidR="008F0C62" w:rsidRPr="00C7141D" w:rsidRDefault="008F0C62"/>
        </w:tc>
        <w:tc>
          <w:tcPr>
            <w:tcW w:w="3210" w:type="pct"/>
          </w:tcPr>
          <w:p w14:paraId="4EF5CB51" w14:textId="7219D4CF" w:rsidR="007A5BD6" w:rsidRPr="00C7141D" w:rsidRDefault="007A5BD6" w:rsidP="007A5BD6">
            <w:pPr>
              <w:jc w:val="both"/>
              <w:rPr>
                <w:rFonts w:eastAsiaTheme="minorHAnsi"/>
              </w:rPr>
            </w:pPr>
            <w:r w:rsidRPr="00C7141D">
              <w:rPr>
                <w:rFonts w:eastAsiaTheme="minorHAnsi"/>
              </w:rPr>
              <w:t xml:space="preserve">MK 2019. gada 11. oktobra sēdē (protokollēmums Nr. 47 3.§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 (turpmāk – MK 2019. gada 11. oktobra lēmums) tika izskatīts FM sagatavotais </w:t>
            </w:r>
            <w:r w:rsidRPr="00C7141D">
              <w:rPr>
                <w:rFonts w:eastAsiaTheme="minorHAnsi"/>
              </w:rPr>
              <w:lastRenderedPageBreak/>
              <w:t xml:space="preserve">informatīvais ziņojums ar priekšlikumiem ES fondu snieguma rezerves un finansējuma atlikumu izmantošanai, paredzot papildu finansējumu arī deinstitucionalizācijas infrastruktūras projektiem, kā arī pārējos gadījumos atļaujot ES fondu atbildīgām iestādēm novirzīt finansējumu atbilstoši aktuālajām nozares vajadzībām sava finansējuma ietvaros.  </w:t>
            </w:r>
          </w:p>
          <w:p w14:paraId="4FF15405" w14:textId="77777777" w:rsidR="007A5BD6" w:rsidRPr="00C7141D" w:rsidRDefault="007A5BD6" w:rsidP="007A5BD6">
            <w:pPr>
              <w:jc w:val="both"/>
              <w:rPr>
                <w:rFonts w:eastAsiaTheme="minorHAnsi"/>
              </w:rPr>
            </w:pPr>
            <w:r w:rsidRPr="00C7141D">
              <w:rPr>
                <w:rFonts w:eastAsiaTheme="minorHAnsi"/>
              </w:rPr>
              <w:t>Tā kā minētās finansējuma pārdales skāra darbības programmas prioritāro virzienu (turpmāk – PV) finansējuma sadalījumu, kā arī atsevišķos gadījumos ES fondu atbildīgo iestāžu paredzētie finansējuma novirzīšanas risinājumi prasīja izmaiņas darbības programmā definētajos nosacījumos, MK uzdeva FM, pamatojoties uz ES fondu atbildīgo iestāžu sniegto informāciju, sagatavot un iesniegt apstiprināšanai MK attiecīgus grozījumus darbības programmā  (MK 2019. gada 11. oktobra lēmuma 10. punkts).</w:t>
            </w:r>
          </w:p>
          <w:p w14:paraId="78312F73" w14:textId="7AB77A37" w:rsidR="007A5BD6" w:rsidRPr="00C7141D" w:rsidRDefault="007A5BD6" w:rsidP="007A5BD6">
            <w:pPr>
              <w:jc w:val="both"/>
              <w:rPr>
                <w:rFonts w:eastAsiaTheme="minorHAnsi"/>
              </w:rPr>
            </w:pPr>
            <w:r w:rsidRPr="00C7141D">
              <w:rPr>
                <w:rFonts w:eastAsiaTheme="minorHAnsi"/>
              </w:rPr>
              <w:t>Ar MK 2019. gada 3. decembra lēmumu (</w:t>
            </w:r>
            <w:r w:rsidR="002B02A6">
              <w:rPr>
                <w:rFonts w:eastAsiaTheme="minorHAnsi"/>
                <w:lang w:eastAsia="en-US"/>
              </w:rPr>
              <w:t xml:space="preserve">MK </w:t>
            </w:r>
            <w:r w:rsidRPr="00C7141D">
              <w:rPr>
                <w:rFonts w:eastAsiaTheme="minorHAnsi"/>
              </w:rPr>
              <w:t>protokollēmums Nr. 56  15.§) apstiprināja rīkojuma projektu “Grozījumi Eiropas Savienības struktūrfondu un Kohēzijas fonda 2014.-2020.</w:t>
            </w:r>
            <w:r w:rsidRPr="00200F43">
              <w:rPr>
                <w:rFonts w:eastAsiaTheme="minorHAnsi"/>
                <w:lang w:eastAsia="en-US"/>
              </w:rPr>
              <w:t xml:space="preserve"> </w:t>
            </w:r>
            <w:r w:rsidRPr="00C7141D">
              <w:rPr>
                <w:rFonts w:eastAsiaTheme="minorHAnsi"/>
              </w:rPr>
              <w:t xml:space="preserve">gada plānošanas perioda darbības programmā “Izaugsme un nodarbinātība””, kas paredzēja kompleksas izmaiņas darbības programmā definētajos nosacījumos (izmaiņas finansējuma sadalījumā (t.sk. </w:t>
            </w:r>
            <w:r w:rsidRPr="00200F43">
              <w:rPr>
                <w:rFonts w:eastAsiaTheme="minorHAnsi"/>
                <w:lang w:eastAsia="en-US"/>
              </w:rPr>
              <w:t>Eiropas Sociālā fonda (turpmāk – ESF)</w:t>
            </w:r>
            <w:r w:rsidRPr="00C7141D">
              <w:rPr>
                <w:rFonts w:eastAsiaTheme="minorHAnsi"/>
              </w:rPr>
              <w:t xml:space="preserve"> finansējuma pārdali uz Eiropas Reģionālās attīstības fonda (turpmāk – ERAF pasākumiem), saistīto specifisko atbalsta mērķu (turpmāk – SAM) rādītājos, atbalstāmajās darbībās utt.), lai nostiprinātu minētās finansējuma pārdales un citus MK atbalstītos ES fondu finansējuma turpmākas izmantošanas risinājumus.</w:t>
            </w:r>
          </w:p>
          <w:p w14:paraId="52518F20" w14:textId="7A0AA2BE" w:rsidR="00787E34" w:rsidRPr="00C7141D" w:rsidRDefault="007A5BD6" w:rsidP="00DD0091">
            <w:pPr>
              <w:jc w:val="both"/>
              <w:rPr>
                <w:rFonts w:eastAsiaTheme="minorHAnsi"/>
              </w:rPr>
            </w:pPr>
            <w:r w:rsidRPr="00200F43">
              <w:rPr>
                <w:rFonts w:eastAsiaTheme="minorHAnsi"/>
                <w:b/>
                <w:lang w:eastAsia="en-US"/>
              </w:rPr>
              <w:t>Precizējumi d</w:t>
            </w:r>
            <w:r w:rsidR="00787E34" w:rsidRPr="00200F43">
              <w:rPr>
                <w:rFonts w:eastAsiaTheme="minorHAnsi"/>
                <w:b/>
                <w:lang w:eastAsia="en-US"/>
              </w:rPr>
              <w:t>arbības programmas grozījum</w:t>
            </w:r>
            <w:r w:rsidRPr="00200F43">
              <w:rPr>
                <w:rFonts w:eastAsiaTheme="minorHAnsi"/>
                <w:b/>
                <w:lang w:eastAsia="en-US"/>
              </w:rPr>
              <w:t>os</w:t>
            </w:r>
            <w:r w:rsidR="00787E34" w:rsidRPr="00200F43">
              <w:rPr>
                <w:rFonts w:eastAsiaTheme="minorHAnsi"/>
                <w:b/>
                <w:lang w:eastAsia="en-US"/>
              </w:rPr>
              <w:t xml:space="preserve"> sagatavoti, lai darbības programmas līmenī </w:t>
            </w:r>
            <w:r w:rsidR="00270CCF" w:rsidRPr="00200F43">
              <w:rPr>
                <w:rFonts w:eastAsiaTheme="minorHAnsi"/>
                <w:b/>
                <w:lang w:eastAsia="en-US"/>
              </w:rPr>
              <w:t xml:space="preserve">precizētu </w:t>
            </w:r>
            <w:r w:rsidR="00FE3757" w:rsidRPr="00200F43">
              <w:rPr>
                <w:rFonts w:eastAsiaTheme="minorHAnsi"/>
                <w:b/>
                <w:lang w:eastAsia="en-US"/>
              </w:rPr>
              <w:t>MK 2019.</w:t>
            </w:r>
            <w:r w:rsidRPr="00200F43">
              <w:rPr>
                <w:rFonts w:eastAsiaTheme="minorHAnsi"/>
                <w:b/>
                <w:lang w:eastAsia="en-US"/>
              </w:rPr>
              <w:t xml:space="preserve"> </w:t>
            </w:r>
            <w:r w:rsidR="00FE3757" w:rsidRPr="00C7141D">
              <w:rPr>
                <w:rFonts w:eastAsiaTheme="minorHAnsi"/>
                <w:b/>
              </w:rPr>
              <w:t>gada 11.</w:t>
            </w:r>
            <w:r w:rsidRPr="00200F43">
              <w:rPr>
                <w:rFonts w:eastAsiaTheme="minorHAnsi"/>
                <w:b/>
                <w:lang w:eastAsia="en-US"/>
              </w:rPr>
              <w:t xml:space="preserve"> </w:t>
            </w:r>
            <w:r w:rsidR="002B02A6">
              <w:rPr>
                <w:rFonts w:eastAsiaTheme="minorHAnsi"/>
                <w:b/>
                <w:lang w:eastAsia="en-US"/>
              </w:rPr>
              <w:t>oktobrī</w:t>
            </w:r>
            <w:r w:rsidR="00FE3757" w:rsidRPr="00200F43">
              <w:rPr>
                <w:rFonts w:eastAsiaTheme="minorHAnsi"/>
                <w:b/>
                <w:lang w:eastAsia="en-US"/>
              </w:rPr>
              <w:t xml:space="preserve"> (</w:t>
            </w:r>
            <w:r w:rsidR="002B02A6">
              <w:rPr>
                <w:rFonts w:eastAsiaTheme="minorHAnsi"/>
                <w:b/>
                <w:lang w:eastAsia="en-US"/>
              </w:rPr>
              <w:t xml:space="preserve">MK </w:t>
            </w:r>
            <w:r w:rsidR="00FE3757" w:rsidRPr="00200F43">
              <w:rPr>
                <w:rFonts w:eastAsiaTheme="minorHAnsi"/>
                <w:b/>
                <w:lang w:eastAsia="en-US"/>
              </w:rPr>
              <w:t xml:space="preserve">protokollēmums Nr.47 3.§) </w:t>
            </w:r>
            <w:r w:rsidR="00FE3757" w:rsidRPr="00C7141D">
              <w:rPr>
                <w:rFonts w:eastAsiaTheme="minorHAnsi"/>
                <w:b/>
              </w:rPr>
              <w:t xml:space="preserve">un </w:t>
            </w:r>
            <w:r w:rsidR="00270CCF" w:rsidRPr="00C7141D">
              <w:rPr>
                <w:rFonts w:eastAsiaTheme="minorHAnsi"/>
                <w:b/>
              </w:rPr>
              <w:t>MK 2019. gada 3. </w:t>
            </w:r>
            <w:r w:rsidR="00270CCF" w:rsidRPr="00200F43">
              <w:rPr>
                <w:rFonts w:eastAsiaTheme="minorHAnsi"/>
                <w:b/>
                <w:lang w:eastAsia="en-US"/>
              </w:rPr>
              <w:t>decembrī (</w:t>
            </w:r>
            <w:r w:rsidR="002B02A6">
              <w:rPr>
                <w:rFonts w:eastAsiaTheme="minorHAnsi"/>
                <w:b/>
                <w:lang w:eastAsia="en-US"/>
              </w:rPr>
              <w:t xml:space="preserve">MK </w:t>
            </w:r>
            <w:r w:rsidR="00270CCF" w:rsidRPr="00C7141D">
              <w:rPr>
                <w:rFonts w:eastAsiaTheme="minorHAnsi"/>
                <w:b/>
              </w:rPr>
              <w:t xml:space="preserve">protokollēmums Nr. 56 15.§) </w:t>
            </w:r>
            <w:r w:rsidR="00FE3757" w:rsidRPr="00C7141D">
              <w:rPr>
                <w:rFonts w:eastAsiaTheme="minorHAnsi"/>
                <w:b/>
              </w:rPr>
              <w:t xml:space="preserve">apstiprinātās </w:t>
            </w:r>
            <w:r w:rsidR="00270CCF" w:rsidRPr="00C7141D">
              <w:rPr>
                <w:rFonts w:eastAsiaTheme="minorHAnsi"/>
                <w:b/>
              </w:rPr>
              <w:t>finansējuma pārdales</w:t>
            </w:r>
            <w:r w:rsidR="00270CCF" w:rsidRPr="00C7141D">
              <w:rPr>
                <w:rFonts w:eastAsiaTheme="minorHAnsi"/>
              </w:rPr>
              <w:t xml:space="preserve"> nacionāli stratēģiski nozīmīgiem projektiem (Paula Stradiņa klīniskās universitātes slimnīcas projektam un deinstitucionalizācijas infrastruktūras projektiem)</w:t>
            </w:r>
            <w:r w:rsidR="00FE3757" w:rsidRPr="00C7141D">
              <w:rPr>
                <w:rFonts w:eastAsiaTheme="minorHAnsi"/>
              </w:rPr>
              <w:t xml:space="preserve">, </w:t>
            </w:r>
            <w:r w:rsidR="00FE3757" w:rsidRPr="00C7141D">
              <w:rPr>
                <w:rFonts w:eastAsiaTheme="minorHAnsi"/>
                <w:b/>
              </w:rPr>
              <w:t>samazinot pārdalāmo Eiropas Sociālā fonda (turpmāk – ESF)  finansējumu</w:t>
            </w:r>
            <w:r w:rsidR="00FE3757" w:rsidRPr="00C7141D">
              <w:rPr>
                <w:rFonts w:eastAsiaTheme="minorHAnsi"/>
              </w:rPr>
              <w:t xml:space="preserve">, ņemot vērā </w:t>
            </w:r>
            <w:r w:rsidR="002C6ECD" w:rsidRPr="00C7141D">
              <w:rPr>
                <w:rFonts w:eastAsiaTheme="minorHAnsi"/>
              </w:rPr>
              <w:t>EK</w:t>
            </w:r>
            <w:r w:rsidR="00FE3757" w:rsidRPr="00C7141D">
              <w:rPr>
                <w:rFonts w:eastAsiaTheme="minorHAnsi"/>
              </w:rPr>
              <w:t xml:space="preserve"> </w:t>
            </w:r>
            <w:r w:rsidR="00C72053" w:rsidRPr="00C7141D">
              <w:rPr>
                <w:rFonts w:eastAsiaTheme="minorHAnsi"/>
              </w:rPr>
              <w:t>2019. gada 6. decembrī F</w:t>
            </w:r>
            <w:r w:rsidR="009779D8" w:rsidRPr="00C7141D">
              <w:rPr>
                <w:rFonts w:eastAsiaTheme="minorHAnsi"/>
              </w:rPr>
              <w:t>inanšu ministrija</w:t>
            </w:r>
            <w:r w:rsidR="008E6DF1" w:rsidRPr="00C7141D">
              <w:rPr>
                <w:rFonts w:eastAsiaTheme="minorHAnsi"/>
              </w:rPr>
              <w:t>i</w:t>
            </w:r>
            <w:r w:rsidR="009779D8" w:rsidRPr="00C7141D">
              <w:rPr>
                <w:rFonts w:eastAsiaTheme="minorHAnsi"/>
              </w:rPr>
              <w:t xml:space="preserve"> (turpmāk – F</w:t>
            </w:r>
            <w:r w:rsidR="00C72053" w:rsidRPr="00C7141D">
              <w:rPr>
                <w:rFonts w:eastAsiaTheme="minorHAnsi"/>
              </w:rPr>
              <w:t>M</w:t>
            </w:r>
            <w:r w:rsidR="009779D8" w:rsidRPr="00C7141D">
              <w:rPr>
                <w:rFonts w:eastAsiaTheme="minorHAnsi"/>
              </w:rPr>
              <w:t>)</w:t>
            </w:r>
            <w:r w:rsidR="00C72053" w:rsidRPr="00C7141D">
              <w:rPr>
                <w:rFonts w:eastAsiaTheme="minorHAnsi"/>
              </w:rPr>
              <w:t xml:space="preserve"> kā ES fondu vadošās iestādes ikgadējās tikšanās ar </w:t>
            </w:r>
            <w:r w:rsidR="002C6ECD" w:rsidRPr="00C7141D">
              <w:rPr>
                <w:rFonts w:eastAsiaTheme="minorHAnsi"/>
              </w:rPr>
              <w:t>EK</w:t>
            </w:r>
            <w:r w:rsidR="00C72053" w:rsidRPr="00C7141D">
              <w:rPr>
                <w:rFonts w:eastAsiaTheme="minorHAnsi"/>
              </w:rPr>
              <w:t xml:space="preserve"> pārstāvjiem laikā, kā arī </w:t>
            </w:r>
            <w:r w:rsidR="002C6ECD" w:rsidRPr="00C7141D">
              <w:rPr>
                <w:rFonts w:eastAsiaTheme="minorHAnsi"/>
              </w:rPr>
              <w:t>EK</w:t>
            </w:r>
            <w:r w:rsidR="004D18B9" w:rsidRPr="00C7141D">
              <w:rPr>
                <w:rFonts w:eastAsiaTheme="minorHAnsi"/>
              </w:rPr>
              <w:t xml:space="preserve"> 2019. gada 13</w:t>
            </w:r>
            <w:r w:rsidR="00C72053" w:rsidRPr="00C7141D">
              <w:rPr>
                <w:rFonts w:eastAsiaTheme="minorHAnsi"/>
              </w:rPr>
              <w:t xml:space="preserve">. decembra vēstulē </w:t>
            </w:r>
            <w:r w:rsidR="009779D8" w:rsidRPr="00C7141D">
              <w:rPr>
                <w:rFonts w:eastAsiaTheme="minorHAnsi"/>
              </w:rPr>
              <w:t>FM</w:t>
            </w:r>
            <w:r w:rsidR="004D18B9" w:rsidRPr="00C7141D">
              <w:rPr>
                <w:rFonts w:eastAsiaTheme="minorHAnsi"/>
              </w:rPr>
              <w:t xml:space="preserve"> pausto viedokli, </w:t>
            </w:r>
            <w:r w:rsidR="00822DEA" w:rsidRPr="00C7141D">
              <w:rPr>
                <w:rFonts w:eastAsiaTheme="minorHAnsi"/>
              </w:rPr>
              <w:t xml:space="preserve">ka </w:t>
            </w:r>
            <w:r w:rsidR="004D18B9" w:rsidRPr="00C7141D">
              <w:rPr>
                <w:rFonts w:eastAsiaTheme="minorHAnsi"/>
              </w:rPr>
              <w:t xml:space="preserve">neatbalsta ESF finansējuma pārdales uz pasākumiem, kas finansēti no </w:t>
            </w:r>
            <w:r w:rsidR="008A75F5" w:rsidRPr="00C7141D">
              <w:rPr>
                <w:rFonts w:eastAsiaTheme="minorHAnsi"/>
              </w:rPr>
              <w:t>Eiropas Reģionālās attīstības fonda (turpmāk – ERAF)</w:t>
            </w:r>
            <w:r w:rsidR="004D18B9" w:rsidRPr="00C7141D">
              <w:rPr>
                <w:rFonts w:eastAsiaTheme="minorHAnsi"/>
              </w:rPr>
              <w:t>, tādējādi samazinot ESF proporciju pret kopējo ES fondu daļu līdz Regulas Nr. 1303/2013</w:t>
            </w:r>
            <w:r w:rsidR="00822DEA" w:rsidRPr="00C7141D">
              <w:rPr>
                <w:rFonts w:eastAsiaTheme="minorHAnsi"/>
              </w:rPr>
              <w:t xml:space="preserve"> 92. panta 4. punktā noteiktajam atļautajam minimālajam slieksnim</w:t>
            </w:r>
            <w:r w:rsidR="004D18B9" w:rsidRPr="00C7141D">
              <w:rPr>
                <w:rFonts w:eastAsiaTheme="minorHAnsi"/>
              </w:rPr>
              <w:t>, uzsverot, ka vēl joprojām Latvijai ir aktuāli jautājumi, kas risināmi tieši ar ESF finansētajiem pasāku</w:t>
            </w:r>
            <w:r w:rsidR="00822DEA" w:rsidRPr="00C7141D">
              <w:rPr>
                <w:rFonts w:eastAsiaTheme="minorHAnsi"/>
              </w:rPr>
              <w:t>miem</w:t>
            </w:r>
            <w:r w:rsidR="007F2A15" w:rsidRPr="00C7141D">
              <w:rPr>
                <w:rFonts w:eastAsiaTheme="minorHAnsi"/>
              </w:rPr>
              <w:t>.</w:t>
            </w:r>
            <w:r w:rsidR="003B6443" w:rsidRPr="00C7141D">
              <w:rPr>
                <w:rFonts w:eastAsiaTheme="minorHAnsi"/>
              </w:rPr>
              <w:t xml:space="preserve"> Vienlaikus EK ir izvirzījusi papildu nosacījumus tālākai darbības programmas grozījumu virzībai</w:t>
            </w:r>
            <w:r w:rsidR="00225FE2" w:rsidRPr="00C7141D">
              <w:rPr>
                <w:rFonts w:eastAsiaTheme="minorHAnsi"/>
              </w:rPr>
              <w:t>.</w:t>
            </w:r>
          </w:p>
          <w:p w14:paraId="626A1C40" w14:textId="160865C1" w:rsidR="001070A3" w:rsidRPr="00C7141D" w:rsidRDefault="001070A3" w:rsidP="001070A3">
            <w:pPr>
              <w:jc w:val="both"/>
              <w:rPr>
                <w:rFonts w:eastAsiaTheme="minorHAnsi"/>
              </w:rPr>
            </w:pPr>
            <w:r w:rsidRPr="00C7141D">
              <w:rPr>
                <w:rFonts w:eastAsiaTheme="minorHAnsi"/>
              </w:rPr>
              <w:t xml:space="preserve">Ņemot vērā iepriekš minēto, kā arī lai nodrošinātu ar EK saskaņotas finansējuma pārdales nacionāli stratēģiski nozīmīgiem projektiem, tādējādi veicinot savlaicīgu un mērķtiecīgu ES fondu projektu īstenošanu, </w:t>
            </w:r>
            <w:r w:rsidR="009779D8" w:rsidRPr="00C7141D">
              <w:rPr>
                <w:rFonts w:eastAsiaTheme="minorHAnsi"/>
              </w:rPr>
              <w:t>FM</w:t>
            </w:r>
            <w:r w:rsidRPr="00C7141D">
              <w:rPr>
                <w:rFonts w:eastAsiaTheme="minorHAnsi"/>
              </w:rPr>
              <w:t xml:space="preserve"> virza precizējumus ES fondu finansējuma pārdalēm, samazinot ESF finansējuma pārdali uz ERAF pasākumiem (sk. MK rīkojumam pievienoto MK protokollēmuma projektu).</w:t>
            </w:r>
          </w:p>
          <w:p w14:paraId="1BCAA6AF" w14:textId="56A33D16" w:rsidR="001070A3" w:rsidRPr="00C7141D" w:rsidRDefault="001070A3" w:rsidP="00F6743A">
            <w:pPr>
              <w:jc w:val="both"/>
              <w:rPr>
                <w:rFonts w:eastAsiaTheme="minorHAnsi"/>
              </w:rPr>
            </w:pPr>
            <w:r w:rsidRPr="00C7141D">
              <w:rPr>
                <w:rFonts w:eastAsiaTheme="minorHAnsi"/>
              </w:rPr>
              <w:t>1. Grozījumi attiecībā uz Paula Stradiņa klīniskās universitātes slimnīcas lielo projektu (tiek īstenots 9.3.2. SAM “Uzlabot kvalitatīvu veselības aprūpes pakalpojumu pieejamību, jo īpaši sociālās, teritoriālās atstumtības un nabadzības riskam pakļautajiem iedzīvotājiem, attīstot veselības aprūpes infrastruktūru” otrās projektu iesniegumu atlases ietvaros), samazinot ar MK 2019. gada 3. decembra lēmumu (</w:t>
            </w:r>
            <w:r w:rsidR="002B02A6">
              <w:rPr>
                <w:rFonts w:eastAsiaTheme="minorHAnsi"/>
                <w:lang w:eastAsia="en-US"/>
              </w:rPr>
              <w:t xml:space="preserve">MK </w:t>
            </w:r>
            <w:r w:rsidRPr="00C7141D">
              <w:rPr>
                <w:rFonts w:eastAsiaTheme="minorHAnsi"/>
              </w:rPr>
              <w:t>protokollēmums Nr. 56  15.§) apstiprināto papildu pārdalāmo ESF finansējumu no 9.prioritārā  virziena “Sociālā iekļaušana un nabadzības apkarošana”.</w:t>
            </w:r>
          </w:p>
          <w:p w14:paraId="48693C79" w14:textId="15E07D26" w:rsidR="001070A3" w:rsidRPr="00C7141D" w:rsidRDefault="001070A3" w:rsidP="00D52120">
            <w:pPr>
              <w:tabs>
                <w:tab w:val="left" w:pos="121"/>
              </w:tabs>
              <w:jc w:val="both"/>
              <w:rPr>
                <w:rFonts w:eastAsiaTheme="minorHAnsi"/>
              </w:rPr>
            </w:pPr>
            <w:r w:rsidRPr="00C7141D">
              <w:rPr>
                <w:rFonts w:eastAsiaTheme="minorHAnsi"/>
              </w:rPr>
              <w:t xml:space="preserve">2. Grozījumi attiecībā uz papildu finansējumu deinstitucionalizācijas projektiem (tiek īstenoti 9.3.1.1. pasākuma “Pakalpojumu infrastruktūras attīstība deinstitucionalizācijas plānu īstenošana” ietvaros), samazinot ar MK 2019. gada 11. oktobra lēmumu un MK 2019.gada </w:t>
            </w:r>
            <w:r w:rsidR="002B02A6" w:rsidRPr="002B02A6">
              <w:rPr>
                <w:rFonts w:eastAsiaTheme="minorHAnsi"/>
                <w:lang w:eastAsia="en-US"/>
              </w:rPr>
              <w:t xml:space="preserve">3. </w:t>
            </w:r>
            <w:r w:rsidRPr="00C7141D">
              <w:rPr>
                <w:rFonts w:eastAsiaTheme="minorHAnsi"/>
              </w:rPr>
              <w:t xml:space="preserve">decembra rīkojumu </w:t>
            </w:r>
            <w:r w:rsidR="00D52120" w:rsidRPr="00D52120">
              <w:rPr>
                <w:rFonts w:eastAsiaTheme="minorHAnsi"/>
                <w:lang w:eastAsia="en-US"/>
              </w:rPr>
              <w:t>Nr. 611</w:t>
            </w:r>
            <w:r w:rsidR="00D52120">
              <w:rPr>
                <w:rFonts w:eastAsiaTheme="minorHAnsi"/>
                <w:lang w:eastAsia="en-US"/>
              </w:rPr>
              <w:t xml:space="preserve"> </w:t>
            </w:r>
            <w:r w:rsidR="00D52120" w:rsidRPr="00D52120">
              <w:rPr>
                <w:rFonts w:eastAsiaTheme="minorHAnsi"/>
                <w:lang w:eastAsia="en-US"/>
              </w:rPr>
              <w:t>(</w:t>
            </w:r>
            <w:r w:rsidR="00D52120">
              <w:rPr>
                <w:rFonts w:eastAsiaTheme="minorHAnsi"/>
                <w:lang w:eastAsia="en-US"/>
              </w:rPr>
              <w:t xml:space="preserve">MK </w:t>
            </w:r>
            <w:r w:rsidR="00D52120" w:rsidRPr="00D52120">
              <w:rPr>
                <w:rFonts w:eastAsiaTheme="minorHAnsi"/>
                <w:lang w:eastAsia="en-US"/>
              </w:rPr>
              <w:t>prot</w:t>
            </w:r>
            <w:r w:rsidR="00D52120">
              <w:rPr>
                <w:rFonts w:eastAsiaTheme="minorHAnsi"/>
                <w:lang w:eastAsia="en-US"/>
              </w:rPr>
              <w:t>okollēmums</w:t>
            </w:r>
            <w:r w:rsidR="00D52120" w:rsidRPr="00D52120">
              <w:rPr>
                <w:rFonts w:eastAsiaTheme="minorHAnsi"/>
                <w:lang w:eastAsia="en-US"/>
              </w:rPr>
              <w:t xml:space="preserve"> Nr. 56 15.§)</w:t>
            </w:r>
            <w:r w:rsidR="00D52120">
              <w:rPr>
                <w:rFonts w:eastAsiaTheme="minorHAnsi"/>
                <w:lang w:eastAsia="en-US"/>
              </w:rPr>
              <w:t xml:space="preserve"> </w:t>
            </w:r>
            <w:r w:rsidRPr="00C7141D">
              <w:rPr>
                <w:rFonts w:eastAsiaTheme="minorHAnsi"/>
              </w:rPr>
              <w:t>apstiprināto papildu ESF finansējumu no 7. prioritārā virziena “Nodarbinātība un darba spēka mobilitāte”.</w:t>
            </w:r>
          </w:p>
          <w:p w14:paraId="4A0B8944" w14:textId="77777777" w:rsidR="001070A3" w:rsidRPr="00C7141D" w:rsidRDefault="001070A3" w:rsidP="001070A3">
            <w:pPr>
              <w:jc w:val="both"/>
              <w:rPr>
                <w:rFonts w:eastAsiaTheme="minorHAnsi"/>
              </w:rPr>
            </w:pPr>
            <w:r w:rsidRPr="00C7141D">
              <w:rPr>
                <w:rFonts w:eastAsiaTheme="minorHAnsi"/>
              </w:rPr>
              <w:t>3. Iepriekšminētie grozījumi skar kopējo darbības programmas ESF un ERAF finansējumu, attiecīgi precizējami darbības programmā noteiktie finanšu plāni, intervences kodi, tematiskās koncentrācijas procentuālais apmērs, rādītāju sasniedzamās vērtības un to uzskaites metodoloģija.</w:t>
            </w:r>
          </w:p>
          <w:p w14:paraId="7DB977FB" w14:textId="7A271A52" w:rsidR="003B6443" w:rsidRPr="00C7141D" w:rsidRDefault="003B6443" w:rsidP="001070A3">
            <w:pPr>
              <w:spacing w:before="240"/>
              <w:jc w:val="both"/>
              <w:rPr>
                <w:rFonts w:eastAsiaTheme="minorHAnsi"/>
              </w:rPr>
            </w:pPr>
            <w:r w:rsidRPr="00C7141D">
              <w:rPr>
                <w:rFonts w:eastAsiaTheme="minorHAnsi"/>
              </w:rPr>
              <w:t xml:space="preserve">Vienlaikus </w:t>
            </w:r>
            <w:r w:rsidRPr="00C7141D">
              <w:rPr>
                <w:rFonts w:eastAsiaTheme="minorHAnsi"/>
                <w:u w:val="single"/>
              </w:rPr>
              <w:t>EK ir izvirzījusi papildu nosacījumus</w:t>
            </w:r>
            <w:r w:rsidRPr="00C7141D">
              <w:rPr>
                <w:rFonts w:eastAsiaTheme="minorHAnsi"/>
              </w:rPr>
              <w:t xml:space="preserve"> tālākai darbības programmas grozījumu virzībai.</w:t>
            </w:r>
          </w:p>
          <w:p w14:paraId="605AF522" w14:textId="139F7DEC" w:rsidR="00051CD5" w:rsidRPr="00C7141D" w:rsidRDefault="002C6ECD" w:rsidP="00DD0091">
            <w:pPr>
              <w:jc w:val="both"/>
              <w:rPr>
                <w:rFonts w:eastAsiaTheme="minorHAnsi"/>
              </w:rPr>
            </w:pPr>
            <w:r w:rsidRPr="00C7141D">
              <w:rPr>
                <w:rFonts w:eastAsiaTheme="minorHAnsi"/>
              </w:rPr>
              <w:t xml:space="preserve">Atbilstoši panāktai vienošanās </w:t>
            </w:r>
            <w:r w:rsidR="00051CD5" w:rsidRPr="00C7141D">
              <w:rPr>
                <w:rFonts w:eastAsiaTheme="minorHAnsi"/>
              </w:rPr>
              <w:t xml:space="preserve">ar EK </w:t>
            </w:r>
            <w:r w:rsidR="001070A3" w:rsidRPr="00C7141D">
              <w:rPr>
                <w:rFonts w:eastAsiaTheme="minorHAnsi"/>
              </w:rPr>
              <w:t xml:space="preserve">darbības programmas </w:t>
            </w:r>
            <w:r w:rsidR="00051CD5" w:rsidRPr="00C7141D">
              <w:rPr>
                <w:rFonts w:eastAsiaTheme="minorHAnsi"/>
              </w:rPr>
              <w:t>grozījum</w:t>
            </w:r>
            <w:r w:rsidR="00B92FA2" w:rsidRPr="00C7141D">
              <w:rPr>
                <w:rFonts w:eastAsiaTheme="minorHAnsi"/>
              </w:rPr>
              <w:t>u pamatojums</w:t>
            </w:r>
            <w:r w:rsidR="00051CD5" w:rsidRPr="00C7141D">
              <w:rPr>
                <w:rFonts w:eastAsiaTheme="minorHAnsi"/>
              </w:rPr>
              <w:t xml:space="preserve"> tiek </w:t>
            </w:r>
            <w:r w:rsidR="00B92FA2" w:rsidRPr="00C7141D">
              <w:rPr>
                <w:rFonts w:eastAsiaTheme="minorHAnsi"/>
              </w:rPr>
              <w:t xml:space="preserve">papildināts </w:t>
            </w:r>
            <w:r w:rsidR="00051CD5" w:rsidRPr="00C7141D">
              <w:rPr>
                <w:rFonts w:eastAsiaTheme="minorHAnsi"/>
              </w:rPr>
              <w:t xml:space="preserve">ar </w:t>
            </w:r>
            <w:r w:rsidR="00316127" w:rsidRPr="00C7141D">
              <w:rPr>
                <w:rFonts w:eastAsiaTheme="minorHAnsi"/>
              </w:rPr>
              <w:t>šādiem skaidrojumiem</w:t>
            </w:r>
            <w:r w:rsidR="00051CD5" w:rsidRPr="00C7141D">
              <w:rPr>
                <w:rFonts w:eastAsiaTheme="minorHAnsi"/>
              </w:rPr>
              <w:t>:</w:t>
            </w:r>
          </w:p>
          <w:p w14:paraId="1C7BD936" w14:textId="2F12AE6A" w:rsidR="00051CD5" w:rsidRPr="00C7141D" w:rsidRDefault="00316127" w:rsidP="00B92FA2">
            <w:pPr>
              <w:pStyle w:val="ListParagraph"/>
              <w:numPr>
                <w:ilvl w:val="0"/>
                <w:numId w:val="13"/>
              </w:numPr>
              <w:spacing w:after="0" w:line="240" w:lineRule="auto"/>
              <w:ind w:hanging="318"/>
              <w:contextualSpacing w:val="0"/>
              <w:jc w:val="both"/>
              <w:rPr>
                <w:rFonts w:ascii="Times New Roman" w:hAnsi="Times New Roman"/>
                <w:b/>
                <w:i/>
                <w:sz w:val="24"/>
              </w:rPr>
            </w:pPr>
            <w:r w:rsidRPr="00C7141D">
              <w:rPr>
                <w:rFonts w:ascii="Times New Roman" w:hAnsi="Times New Roman"/>
                <w:b/>
                <w:i/>
                <w:sz w:val="24"/>
              </w:rPr>
              <w:t>Jauniešu bezdarba situācija</w:t>
            </w:r>
          </w:p>
          <w:p w14:paraId="5A695D19" w14:textId="602DC5A9" w:rsidR="002D04B5" w:rsidRPr="00C7141D" w:rsidRDefault="00051CD5" w:rsidP="00B92FA2">
            <w:pPr>
              <w:pStyle w:val="ListParagraph"/>
              <w:spacing w:after="0" w:line="240" w:lineRule="auto"/>
              <w:ind w:left="121"/>
              <w:contextualSpacing w:val="0"/>
              <w:jc w:val="both"/>
              <w:rPr>
                <w:rFonts w:ascii="Times New Roman" w:hAnsi="Times New Roman"/>
                <w:sz w:val="24"/>
              </w:rPr>
            </w:pPr>
            <w:r w:rsidRPr="00C7141D">
              <w:rPr>
                <w:rFonts w:ascii="Times New Roman" w:hAnsi="Times New Roman"/>
                <w:sz w:val="24"/>
              </w:rPr>
              <w:t>Jauniešu bezdarba tendences samazinās (2019.gada jūnija beigās Nodarbinātības valsts aģentūrā (turpmāk – NVA) bija reģistrēti 8 520 jauniešu bezdarbnieku (15-29 gadi), kas bija par 1 064 bezdarbniekiem mazāk, nekā 2018.gada jūnija beigās (kopā 9 584). Atbilstošajā laika periodā vērojams arī reģistrēto jauniešu bezdarbnieku īpatsvara rādītāja samazinājums bezdarbnieku vidū no 5,8% uz 5,3%), tomēr neskatoties uz to, joprojām ir nepieciešamība sniegt atbalstu jauniešiem, veicinot to atgriešanos darba tirgū vai izglītībā. Nepieciešamais atbalsts jauniešiem tiek nodrošināts NVA atbalsta pasākumos vispārējā kārtībā (t.sk. 7.1.1.SAM “Paaugstināt bezdarbnieku kvalifikāciju un prasmes atbilstoši darba tirgus pieprasījumam” un 9.1.1.1.pasākumu ietvaros, nodrošinot atbalsta pasākumus bezdarbniekiem kopumā) un Valsts izglītības attīstības aģentūras (turpmāk – VIAA) 7.2.1.2.pasākumā “Sākotnējās profesionālās izglītības programmu īstenošana garantijas jauniešiem sistēmas ietvaros” (pagarinot īstenošanas termiņu līdz 2021.</w:t>
            </w:r>
            <w:r w:rsidR="009E7B24">
              <w:rPr>
                <w:rFonts w:ascii="Times New Roman" w:hAnsi="Times New Roman" w:cs="Times New Roman"/>
                <w:sz w:val="24"/>
                <w:szCs w:val="24"/>
              </w:rPr>
              <w:t>gada 31.janvārim</w:t>
            </w:r>
            <w:r w:rsidRPr="00C7141D">
              <w:rPr>
                <w:rFonts w:ascii="Times New Roman" w:hAnsi="Times New Roman"/>
                <w:sz w:val="24"/>
              </w:rPr>
              <w:t xml:space="preserve"> un novirzot atlikumu no 7.2.1.1.pasākuma “Aktīvās darba tirgus politikas pasākumu īstenošana jauniešu bezdarbnieku nodarbinātības veicināšanai” projektam noslēdzoties).</w:t>
            </w:r>
          </w:p>
          <w:p w14:paraId="0A99F373" w14:textId="0F556752" w:rsidR="002D04B5" w:rsidRPr="00C7141D" w:rsidRDefault="002D04B5" w:rsidP="00B92FA2">
            <w:pPr>
              <w:pStyle w:val="ListParagraph"/>
              <w:spacing w:after="0" w:line="240" w:lineRule="auto"/>
              <w:ind w:left="121"/>
              <w:contextualSpacing w:val="0"/>
              <w:jc w:val="both"/>
              <w:rPr>
                <w:rFonts w:ascii="Times New Roman" w:hAnsi="Times New Roman"/>
                <w:sz w:val="24"/>
              </w:rPr>
            </w:pPr>
            <w:r w:rsidRPr="00C7141D">
              <w:rPr>
                <w:rFonts w:ascii="Times New Roman" w:hAnsi="Times New Roman"/>
                <w:sz w:val="24"/>
              </w:rPr>
              <w:t>NVA statistika liecina, ka 2019.gada sešos mēnešos aktīvos nodarbinātības pasākumus uzsāka 4 942 jaunieši (unikālas personas) vecumā 15 – 29 gadi (pēc NVA 7.2.1.1.pasākuma noslēgšanās (2018.gada beigās) vidēji 15% no iesaistīto bezdarbnieku skaita 7.1.1.SAM pasākumā un vidēji 17% no dalību uzsākušajiem 9.1.1.1.pasākumā ir jaunieši vecumā līdz 29 gadiem). Šajā pašā laikā (2019.gada sešos mēnešos) darbā iekārtojušies 8 446 jaunieši bezdarbnieki, no kuriem 2 668 (31,6%) jaunieši bezdarbnieki ir iekārtojušies darbā pēc kāda aktīvā NVA pasākuma pabeigšanas.</w:t>
            </w:r>
          </w:p>
          <w:p w14:paraId="72F8C9CD" w14:textId="22292714" w:rsidR="0029322E" w:rsidRPr="00C7141D" w:rsidRDefault="0029322E" w:rsidP="00B92FA2">
            <w:pPr>
              <w:pStyle w:val="ListParagraph"/>
              <w:numPr>
                <w:ilvl w:val="0"/>
                <w:numId w:val="13"/>
              </w:numPr>
              <w:spacing w:after="0" w:line="240" w:lineRule="auto"/>
              <w:contextualSpacing w:val="0"/>
              <w:jc w:val="both"/>
              <w:rPr>
                <w:rFonts w:ascii="Times New Roman" w:hAnsi="Times New Roman"/>
                <w:b/>
                <w:i/>
                <w:sz w:val="24"/>
              </w:rPr>
            </w:pPr>
            <w:r w:rsidRPr="00C7141D">
              <w:rPr>
                <w:rFonts w:ascii="Times New Roman" w:hAnsi="Times New Roman"/>
                <w:b/>
                <w:i/>
                <w:sz w:val="24"/>
              </w:rPr>
              <w:t>Asistīvo tehnoloģiju apmaiņas sistēma</w:t>
            </w:r>
          </w:p>
          <w:p w14:paraId="64B336D7" w14:textId="5CEBB939" w:rsidR="000B0E5C" w:rsidRPr="00C7141D" w:rsidRDefault="000B0E5C" w:rsidP="00C7141D">
            <w:pPr>
              <w:pStyle w:val="ListParagraph"/>
              <w:spacing w:after="0" w:line="240" w:lineRule="auto"/>
              <w:ind w:left="119"/>
              <w:jc w:val="both"/>
              <w:rPr>
                <w:rFonts w:ascii="Times New Roman" w:hAnsi="Times New Roman" w:cs="Times New Roman"/>
                <w:sz w:val="24"/>
              </w:rPr>
            </w:pPr>
            <w:r w:rsidRPr="00C7141D">
              <w:rPr>
                <w:rFonts w:ascii="Times New Roman" w:hAnsi="Times New Roman"/>
                <w:sz w:val="24"/>
              </w:rPr>
              <w:t xml:space="preserve">Pārresoru koordinācijas centrs 2019.gada 3.septembrī </w:t>
            </w:r>
            <w:r w:rsidR="00B92FA2" w:rsidRPr="00C7141D">
              <w:rPr>
                <w:rFonts w:ascii="Times New Roman" w:hAnsi="Times New Roman"/>
                <w:sz w:val="24"/>
              </w:rPr>
              <w:t>MK</w:t>
            </w:r>
            <w:r w:rsidRPr="00C7141D">
              <w:rPr>
                <w:rFonts w:ascii="Times New Roman" w:hAnsi="Times New Roman"/>
                <w:sz w:val="24"/>
              </w:rPr>
              <w:t xml:space="preserve"> iesniedza izskatīšanai konceptuālo ziņojumu “Starpnozaru sadarbības un atbalsta sistēmas pilnveide bērnu attīstības, uzvedības un psihisko traucējumu veidošanās risku mazināšanai”, kas paredzēja veidot vienotu starpinstitucionālu ietvaru un pakalpojumu pieejamību vispusīgai bērnu attīstībai un preventīvo funkciju īstenošanai visā valsts teritorijā. Atbilstoši </w:t>
            </w:r>
            <w:r w:rsidR="00B92FA2" w:rsidRPr="00C7141D">
              <w:rPr>
                <w:rFonts w:ascii="Times New Roman" w:hAnsi="Times New Roman"/>
                <w:sz w:val="24"/>
              </w:rPr>
              <w:t>MK</w:t>
            </w:r>
            <w:r w:rsidRPr="00C7141D">
              <w:rPr>
                <w:rFonts w:ascii="Times New Roman" w:hAnsi="Times New Roman"/>
                <w:sz w:val="24"/>
              </w:rPr>
              <w:t xml:space="preserve"> 2019.gada 3.septembra protokollēmuma Nr.37 25.§ “Konceptuāls ziņojums “Starpnozaru sadarbības un atbalsta sistēmas pilnveide bērnu attīstības, uzvedības un psihisko traucējumu veidošanās risku mazināšanai”” 2.punktam Pārresoru koordinācijas centram ir noteikts uzdevums sagatavot priekšlikumus par publiskā finansējuma piesaistes un pārdales iespējām, lai īstenotu konceptuālajā ziņojumā minēto un izveidotu pedagoģiski psiholoģiskā atbalsta dienestu un līdz 2020.gada 1.martam iesniegt </w:t>
            </w:r>
            <w:r w:rsidRPr="00C7141D">
              <w:rPr>
                <w:rFonts w:ascii="Times New Roman" w:hAnsi="Times New Roman" w:cs="Times New Roman"/>
                <w:sz w:val="24"/>
              </w:rPr>
              <w:t xml:space="preserve">jautājumu atkārtotai izskatīšanai </w:t>
            </w:r>
            <w:r w:rsidR="00B92FA2" w:rsidRPr="00C7141D">
              <w:rPr>
                <w:rFonts w:ascii="Times New Roman" w:hAnsi="Times New Roman" w:cs="Times New Roman"/>
                <w:sz w:val="24"/>
              </w:rPr>
              <w:t>MK</w:t>
            </w:r>
            <w:r w:rsidRPr="00C7141D">
              <w:rPr>
                <w:rFonts w:ascii="Times New Roman" w:hAnsi="Times New Roman" w:cs="Times New Roman"/>
                <w:sz w:val="24"/>
              </w:rPr>
              <w:t>.</w:t>
            </w:r>
          </w:p>
          <w:p w14:paraId="44EC65F3" w14:textId="712D19FA" w:rsidR="00316127" w:rsidRPr="00C7141D" w:rsidRDefault="000B0E5C" w:rsidP="00B92FA2">
            <w:pPr>
              <w:pStyle w:val="ListParagraph"/>
              <w:spacing w:after="0" w:line="240" w:lineRule="auto"/>
              <w:ind w:left="121"/>
              <w:contextualSpacing w:val="0"/>
              <w:jc w:val="both"/>
              <w:rPr>
                <w:rFonts w:ascii="Times New Roman" w:hAnsi="Times New Roman"/>
                <w:sz w:val="24"/>
              </w:rPr>
            </w:pPr>
            <w:r w:rsidRPr="00431B4B">
              <w:rPr>
                <w:rFonts w:ascii="Times New Roman" w:hAnsi="Times New Roman" w:cs="Times New Roman"/>
                <w:sz w:val="24"/>
              </w:rPr>
              <w:t>Attiecīgi MK rīkojumam pievienotais MK protokollēmuma projekts paredz uzdevumu</w:t>
            </w:r>
            <w:r w:rsidR="00795A40" w:rsidRPr="00431B4B">
              <w:rPr>
                <w:rFonts w:ascii="Times New Roman" w:hAnsi="Times New Roman" w:cs="Times New Roman"/>
                <w:sz w:val="24"/>
              </w:rPr>
              <w:t xml:space="preserve"> </w:t>
            </w:r>
            <w:r w:rsidRPr="00431B4B">
              <w:rPr>
                <w:rFonts w:ascii="Times New Roman" w:hAnsi="Times New Roman" w:cs="Times New Roman"/>
                <w:sz w:val="24"/>
              </w:rPr>
              <w:t>Pārresoru koordinācijas centram, izpildot MK 2019.gada 3.septembra protokollēmuma Nr.37 25.§ “Konceptuāls ziņojums “Starpnozaru sadarbības un atbalsta sistēmas pilnveide bērnu attīstības, uzvedības un psihisko traucējumu veidošanās risku mazināšanai”” 2.</w:t>
            </w:r>
            <w:r w:rsidRPr="00431B4B">
              <w:rPr>
                <w:rFonts w:ascii="Times New Roman" w:hAnsi="Times New Roman" w:cs="Times New Roman"/>
                <w:sz w:val="24"/>
                <w:szCs w:val="24"/>
              </w:rPr>
              <w:t xml:space="preserve">punktu, </w:t>
            </w:r>
            <w:r w:rsidR="00566A9C" w:rsidRPr="00431B4B">
              <w:rPr>
                <w:rFonts w:ascii="Times New Roman" w:hAnsi="Times New Roman" w:cs="Times New Roman"/>
                <w:sz w:val="24"/>
                <w:szCs w:val="24"/>
              </w:rPr>
              <w:t>sadarbībā ar Izglītības un zinātnes ministriju un Labklājības ministriju</w:t>
            </w:r>
            <w:r w:rsidR="00566A9C" w:rsidRPr="00431B4B">
              <w:rPr>
                <w:rFonts w:ascii="Times New Roman" w:hAnsi="Times New Roman" w:cs="Times New Roman"/>
                <w:sz w:val="24"/>
              </w:rPr>
              <w:t xml:space="preserve"> snieg</w:t>
            </w:r>
            <w:r w:rsidR="00795A40" w:rsidRPr="00431B4B">
              <w:rPr>
                <w:rFonts w:ascii="Times New Roman" w:hAnsi="Times New Roman" w:cs="Times New Roman"/>
                <w:sz w:val="24"/>
              </w:rPr>
              <w:t>t</w:t>
            </w:r>
            <w:r w:rsidR="00566A9C" w:rsidRPr="00431B4B">
              <w:rPr>
                <w:rFonts w:ascii="Times New Roman" w:hAnsi="Times New Roman" w:cs="Times New Roman"/>
                <w:sz w:val="24"/>
              </w:rPr>
              <w:t xml:space="preserve"> priekšlikumus asistīvo tehnoloģiju apmaiņas sistēmas izglītības iestādēm izveidei, nosakot atbildīgās institūcijās un to kompetences. </w:t>
            </w:r>
            <w:r w:rsidR="00281AE7" w:rsidRPr="00C7141D">
              <w:rPr>
                <w:rFonts w:ascii="Times New Roman" w:hAnsi="Times New Roman" w:cs="Times New Roman"/>
                <w:sz w:val="24"/>
              </w:rPr>
              <w:t xml:space="preserve">Pēc Nacionālā attīstības plāna 2021.–2027.gadam apstiprināšanas un iepriekš minētā konceptuālā ziņojuma izskatīšanas MK, </w:t>
            </w:r>
            <w:r w:rsidR="00316127" w:rsidRPr="00C7141D">
              <w:rPr>
                <w:rFonts w:ascii="Times New Roman" w:hAnsi="Times New Roman" w:cs="Times New Roman"/>
                <w:sz w:val="24"/>
              </w:rPr>
              <w:t>Labklājības ministrija</w:t>
            </w:r>
            <w:r w:rsidR="00566A9C" w:rsidRPr="00C7141D">
              <w:rPr>
                <w:rFonts w:ascii="Times New Roman" w:hAnsi="Times New Roman" w:cs="Times New Roman"/>
                <w:sz w:val="24"/>
              </w:rPr>
              <w:t xml:space="preserve"> </w:t>
            </w:r>
            <w:r w:rsidR="00566A9C" w:rsidRPr="00431B4B">
              <w:rPr>
                <w:rFonts w:ascii="Times New Roman" w:hAnsi="Times New Roman" w:cs="Times New Roman"/>
                <w:sz w:val="24"/>
                <w:szCs w:val="24"/>
              </w:rPr>
              <w:t>un Izglītības un zinātnes ministrij</w:t>
            </w:r>
            <w:r w:rsidR="007A5BD6" w:rsidRPr="00431B4B">
              <w:rPr>
                <w:rFonts w:ascii="Times New Roman" w:hAnsi="Times New Roman" w:cs="Times New Roman"/>
                <w:sz w:val="24"/>
                <w:szCs w:val="24"/>
              </w:rPr>
              <w:t>a</w:t>
            </w:r>
            <w:r w:rsidR="00316127" w:rsidRPr="00431B4B">
              <w:rPr>
                <w:rFonts w:ascii="Times New Roman" w:hAnsi="Times New Roman" w:cs="Times New Roman"/>
                <w:sz w:val="24"/>
                <w:szCs w:val="24"/>
              </w:rPr>
              <w:t xml:space="preserve"> </w:t>
            </w:r>
            <w:r w:rsidR="00316127" w:rsidRPr="00C7141D">
              <w:rPr>
                <w:rFonts w:ascii="Times New Roman" w:hAnsi="Times New Roman" w:cs="Times New Roman"/>
                <w:sz w:val="24"/>
              </w:rPr>
              <w:t>plāno asistīvo tehnoloģiju apmaiņas sistēmas izveidi iezīmēt arī attīstības plānošanas dokumentos</w:t>
            </w:r>
            <w:r w:rsidR="00281AE7" w:rsidRPr="00C7141D">
              <w:rPr>
                <w:rFonts w:ascii="Times New Roman" w:hAnsi="Times New Roman" w:cs="Times New Roman"/>
                <w:sz w:val="24"/>
              </w:rPr>
              <w:t xml:space="preserve"> </w:t>
            </w:r>
            <w:r w:rsidR="00316127" w:rsidRPr="00C7141D">
              <w:rPr>
                <w:rFonts w:ascii="Times New Roman" w:hAnsi="Times New Roman" w:cs="Times New Roman"/>
                <w:sz w:val="24"/>
              </w:rPr>
              <w:t>visaptverošas politikas bērnu, jaunatnes</w:t>
            </w:r>
            <w:r w:rsidR="00316127" w:rsidRPr="00C7141D">
              <w:rPr>
                <w:rFonts w:ascii="Times New Roman" w:hAnsi="Times New Roman"/>
                <w:sz w:val="24"/>
              </w:rPr>
              <w:t xml:space="preserve"> un ģimenes labklājības, izglītības, veselības un tiesību aizsardzības jomā</w:t>
            </w:r>
            <w:r w:rsidR="00281AE7" w:rsidRPr="00C7141D">
              <w:rPr>
                <w:rFonts w:ascii="Times New Roman" w:hAnsi="Times New Roman"/>
                <w:sz w:val="24"/>
              </w:rPr>
              <w:t>, kā arī s</w:t>
            </w:r>
            <w:r w:rsidR="00316127" w:rsidRPr="00C7141D">
              <w:rPr>
                <w:rFonts w:ascii="Times New Roman" w:hAnsi="Times New Roman"/>
                <w:sz w:val="24"/>
              </w:rPr>
              <w:t xml:space="preserve">ociālās aizsardzības un darba tirgus politikas </w:t>
            </w:r>
            <w:r w:rsidR="00281AE7" w:rsidRPr="00C7141D">
              <w:rPr>
                <w:rFonts w:ascii="Times New Roman" w:hAnsi="Times New Roman"/>
                <w:sz w:val="24"/>
              </w:rPr>
              <w:t>jomā</w:t>
            </w:r>
            <w:r w:rsidR="00C5029E">
              <w:rPr>
                <w:rFonts w:ascii="Times New Roman" w:hAnsi="Times New Roman" w:cs="Times New Roman"/>
                <w:sz w:val="24"/>
                <w:szCs w:val="24"/>
              </w:rPr>
              <w:t>, attiecīgi</w:t>
            </w:r>
            <w:r w:rsidR="00C5029E" w:rsidRPr="00C5029E">
              <w:rPr>
                <w:rFonts w:ascii="Times New Roman" w:hAnsi="Times New Roman" w:cs="Times New Roman"/>
                <w:sz w:val="24"/>
                <w:szCs w:val="24"/>
              </w:rPr>
              <w:t xml:space="preserve"> ņemot vērā </w:t>
            </w:r>
            <w:r w:rsidR="00C5029E">
              <w:rPr>
                <w:rFonts w:ascii="Times New Roman" w:hAnsi="Times New Roman" w:cs="Times New Roman"/>
                <w:sz w:val="24"/>
                <w:szCs w:val="24"/>
              </w:rPr>
              <w:t>EK</w:t>
            </w:r>
            <w:r w:rsidR="00C5029E" w:rsidRPr="00C5029E">
              <w:rPr>
                <w:rFonts w:ascii="Times New Roman" w:hAnsi="Times New Roman" w:cs="Times New Roman"/>
                <w:sz w:val="24"/>
                <w:szCs w:val="24"/>
              </w:rPr>
              <w:t xml:space="preserve"> uzstādījumus par asistīvo tehnoloģiju atbalsta pasākumu turpināšanu </w:t>
            </w:r>
            <w:r w:rsidR="00C5029E">
              <w:rPr>
                <w:rFonts w:ascii="Times New Roman" w:hAnsi="Times New Roman" w:cs="Times New Roman"/>
                <w:sz w:val="24"/>
                <w:szCs w:val="24"/>
              </w:rPr>
              <w:t xml:space="preserve">ES fondu </w:t>
            </w:r>
            <w:r w:rsidR="00C5029E" w:rsidRPr="00C5029E">
              <w:rPr>
                <w:rFonts w:ascii="Times New Roman" w:hAnsi="Times New Roman" w:cs="Times New Roman"/>
                <w:sz w:val="24"/>
                <w:szCs w:val="24"/>
              </w:rPr>
              <w:t>2021.</w:t>
            </w:r>
            <w:r w:rsidR="00C5029E">
              <w:rPr>
                <w:rFonts w:ascii="Times New Roman" w:hAnsi="Times New Roman" w:cs="Times New Roman"/>
                <w:sz w:val="24"/>
                <w:szCs w:val="24"/>
              </w:rPr>
              <w:t>–</w:t>
            </w:r>
            <w:r w:rsidR="00C5029E" w:rsidRPr="00C5029E">
              <w:rPr>
                <w:rFonts w:ascii="Times New Roman" w:hAnsi="Times New Roman" w:cs="Times New Roman"/>
                <w:sz w:val="24"/>
                <w:szCs w:val="24"/>
              </w:rPr>
              <w:t>2027.</w:t>
            </w:r>
            <w:r w:rsidR="00C5029E">
              <w:rPr>
                <w:rFonts w:ascii="Times New Roman" w:hAnsi="Times New Roman" w:cs="Times New Roman"/>
                <w:sz w:val="24"/>
                <w:szCs w:val="24"/>
              </w:rPr>
              <w:t xml:space="preserve"> </w:t>
            </w:r>
            <w:r w:rsidR="00C5029E" w:rsidRPr="00C5029E">
              <w:rPr>
                <w:rFonts w:ascii="Times New Roman" w:hAnsi="Times New Roman" w:cs="Times New Roman"/>
                <w:sz w:val="24"/>
                <w:szCs w:val="24"/>
              </w:rPr>
              <w:t>gada plānošanas periodā</w:t>
            </w:r>
            <w:r w:rsidR="00C5029E" w:rsidRPr="00C7141D">
              <w:rPr>
                <w:rFonts w:ascii="Times New Roman" w:hAnsi="Times New Roman"/>
                <w:sz w:val="24"/>
              </w:rPr>
              <w:t>.</w:t>
            </w:r>
          </w:p>
          <w:p w14:paraId="04EB935D" w14:textId="09142021" w:rsidR="002D04B5" w:rsidRPr="00C7141D" w:rsidRDefault="002D04B5" w:rsidP="00B92FA2">
            <w:pPr>
              <w:pStyle w:val="ListParagraph"/>
              <w:numPr>
                <w:ilvl w:val="0"/>
                <w:numId w:val="13"/>
              </w:numPr>
              <w:spacing w:after="0" w:line="240" w:lineRule="auto"/>
              <w:contextualSpacing w:val="0"/>
              <w:jc w:val="both"/>
              <w:rPr>
                <w:rFonts w:ascii="Times New Roman" w:hAnsi="Times New Roman"/>
                <w:b/>
                <w:i/>
                <w:sz w:val="24"/>
              </w:rPr>
            </w:pPr>
            <w:r w:rsidRPr="00C7141D">
              <w:rPr>
                <w:rFonts w:ascii="Times New Roman" w:hAnsi="Times New Roman"/>
                <w:b/>
                <w:i/>
                <w:sz w:val="24"/>
              </w:rPr>
              <w:t>Veselības veicināšanas pasākumu īstenošana</w:t>
            </w:r>
          </w:p>
          <w:p w14:paraId="31BFEE31" w14:textId="6A4A7BB0" w:rsidR="00B92FA2" w:rsidRPr="00C7141D" w:rsidRDefault="00B92FA2" w:rsidP="00B92FA2">
            <w:pPr>
              <w:ind w:left="121"/>
              <w:jc w:val="both"/>
              <w:rPr>
                <w:rFonts w:eastAsiaTheme="minorHAnsi"/>
              </w:rPr>
            </w:pPr>
            <w:r w:rsidRPr="00C7141D">
              <w:rPr>
                <w:rFonts w:eastAsiaTheme="minorHAnsi"/>
              </w:rPr>
              <w:t>MK</w:t>
            </w:r>
            <w:r w:rsidR="00281AE7" w:rsidRPr="00C7141D">
              <w:rPr>
                <w:rFonts w:eastAsiaTheme="minorHAnsi"/>
              </w:rPr>
              <w:t xml:space="preserve"> 2016. gada 17. maija noteikumu Nr. 310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w:t>
            </w:r>
            <w:r w:rsidRPr="00C7141D">
              <w:rPr>
                <w:rFonts w:eastAsiaTheme="minorHAnsi"/>
              </w:rPr>
              <w:t xml:space="preserve">(turpmāk – </w:t>
            </w:r>
            <w:r w:rsidRPr="00200F43">
              <w:rPr>
                <w:rFonts w:eastAsiaTheme="minorHAnsi"/>
                <w:lang w:eastAsia="en-US"/>
              </w:rPr>
              <w:t>M</w:t>
            </w:r>
            <w:r w:rsidR="009E7B24">
              <w:rPr>
                <w:rFonts w:eastAsiaTheme="minorHAnsi"/>
                <w:lang w:eastAsia="en-US"/>
              </w:rPr>
              <w:t>K</w:t>
            </w:r>
            <w:r w:rsidRPr="00C7141D">
              <w:rPr>
                <w:rFonts w:eastAsiaTheme="minorHAnsi"/>
              </w:rPr>
              <w:t xml:space="preserve"> noteikumi Nr.310) </w:t>
            </w:r>
            <w:r w:rsidR="00281AE7" w:rsidRPr="00C7141D">
              <w:rPr>
                <w:rFonts w:eastAsiaTheme="minorHAnsi"/>
              </w:rPr>
              <w:t xml:space="preserve">64.punkts paredz uzdevumu 9.2.4. specifiskā atbalsta mērķa “Uzlabot pieejamību veselības veicināšanas un slimību profilakses pakalpojumiem, jo īpaši, nabadzības un sociālās atstumtības riskam pakļautajiem iedzīvotājiem” </w:t>
            </w:r>
            <w:r w:rsidRPr="00C7141D">
              <w:rPr>
                <w:rFonts w:eastAsiaTheme="minorHAnsi"/>
              </w:rPr>
              <w:t xml:space="preserve">(turpmāk – 9.2.4.SAM) </w:t>
            </w:r>
            <w:r w:rsidR="00281AE7" w:rsidRPr="00C7141D">
              <w:rPr>
                <w:rFonts w:eastAsiaTheme="minorHAnsi"/>
              </w:rPr>
              <w:t>finansējuma saņēmējiem un sadarbības partneriem sagatavot un iesniegt Veselības veicināšanas un slimību profilakses starpsektoru sadarbības komitejai uzraudzības pārskatus par iepriekšējo gadu, apkopojot slimību profilakses un veselības veicināšanas pasākumu rezultātu aprakstus un efektivitātes un ietekmes izvērtējumus. P</w:t>
            </w:r>
            <w:r w:rsidR="002D04B5" w:rsidRPr="00C7141D">
              <w:rPr>
                <w:rFonts w:eastAsiaTheme="minorHAnsi"/>
              </w:rPr>
              <w:t>asākumu ikgadējais pārskats projekta līmenī ir paredzēts, lai apkopotu labākās prakses pieredzi, kas tiek nodota visiem finansējuma saņēmējiem labās prakses semināros, un tiek izmantota ikgadējā veselības veicināšanas plāna uzlabošanā un precizēšanā, kas izstrādāts 9.2.4.1. pasākuma “Kompleksi  veselības veicināšanas un slimību profilakses pasākumi” ietvaros. Labākās prakses apkopošanai un turpmākai efektīvākai aktivitāšu ieviešanai</w:t>
            </w:r>
            <w:r w:rsidRPr="00C7141D">
              <w:rPr>
                <w:rFonts w:eastAsiaTheme="minorHAnsi"/>
              </w:rPr>
              <w:t>.</w:t>
            </w:r>
          </w:p>
          <w:p w14:paraId="394799D0" w14:textId="3D2893FE" w:rsidR="002D04B5" w:rsidRPr="00C7141D" w:rsidRDefault="007B2CE5" w:rsidP="00B92FA2">
            <w:pPr>
              <w:ind w:left="121"/>
              <w:jc w:val="both"/>
              <w:rPr>
                <w:rFonts w:eastAsiaTheme="minorHAnsi"/>
              </w:rPr>
            </w:pPr>
            <w:r w:rsidRPr="00C7141D">
              <w:rPr>
                <w:rFonts w:eastAsiaTheme="minorHAnsi"/>
              </w:rPr>
              <w:t>Veselības ministrija</w:t>
            </w:r>
            <w:r w:rsidR="002D04B5" w:rsidRPr="00C7141D">
              <w:rPr>
                <w:rFonts w:eastAsiaTheme="minorHAnsi"/>
              </w:rPr>
              <w:t xml:space="preserve"> apkopo visus efektīvākos risinājumus, lai efektīvāk sasniegtu 9.2.4</w:t>
            </w:r>
            <w:r w:rsidR="00B92FA2" w:rsidRPr="00C7141D">
              <w:rPr>
                <w:rFonts w:eastAsiaTheme="minorHAnsi"/>
              </w:rPr>
              <w:t>.</w:t>
            </w:r>
            <w:r w:rsidR="002D04B5" w:rsidRPr="00C7141D">
              <w:rPr>
                <w:rFonts w:eastAsiaTheme="minorHAnsi"/>
              </w:rPr>
              <w:t xml:space="preserve"> SAM pasākumu noteiktos mērķus. Arī nākamgad esošie risinājumi un prakse tiks novērtēta, un finansējuma saņēmējiem tiks sniegti ieteikumi, lai uzlabotu  9.2.4.</w:t>
            </w:r>
            <w:r w:rsidR="00B92FA2" w:rsidRPr="00C7141D">
              <w:rPr>
                <w:rFonts w:eastAsiaTheme="minorHAnsi"/>
              </w:rPr>
              <w:t xml:space="preserve"> </w:t>
            </w:r>
            <w:r w:rsidR="002D04B5" w:rsidRPr="00C7141D">
              <w:rPr>
                <w:rFonts w:eastAsiaTheme="minorHAnsi"/>
              </w:rPr>
              <w:t>SAM pasākumu ieviešanas shēmas, un uzlabotu projektu rezultātu sasniegšanu. Tāpat  Sabiedrības veselības pamatnostādnēs 2021.</w:t>
            </w:r>
            <w:r w:rsidR="00B92FA2" w:rsidRPr="00C7141D">
              <w:rPr>
                <w:rFonts w:eastAsiaTheme="minorHAnsi"/>
              </w:rPr>
              <w:t>–</w:t>
            </w:r>
            <w:r w:rsidR="002D04B5" w:rsidRPr="00C7141D">
              <w:rPr>
                <w:rFonts w:eastAsiaTheme="minorHAnsi"/>
              </w:rPr>
              <w:t>2027.</w:t>
            </w:r>
            <w:r w:rsidR="00B92FA2" w:rsidRPr="00C7141D">
              <w:rPr>
                <w:rFonts w:eastAsiaTheme="minorHAnsi"/>
              </w:rPr>
              <w:t xml:space="preserve"> </w:t>
            </w:r>
            <w:r w:rsidR="002D04B5" w:rsidRPr="00C7141D">
              <w:rPr>
                <w:rFonts w:eastAsiaTheme="minorHAnsi"/>
              </w:rPr>
              <w:t>gadam tiks iekļauts pēc intervences loģikas pamatoti un uz faktiem balstīti pamatojumi un analīze nepieciešamībai turpināt gan nacionāla mēroga, gan vietēja mēroga veselības veicināšanas un slimību profilakses pasākumus, nosakot mērķus un efektīvākus sasniedzamos rezultātus.</w:t>
            </w:r>
          </w:p>
          <w:p w14:paraId="013EC3AB" w14:textId="77777777" w:rsidR="008B0943" w:rsidRPr="00C7141D" w:rsidRDefault="008B0943" w:rsidP="00DA301E">
            <w:pPr>
              <w:pStyle w:val="ListParagraph"/>
              <w:numPr>
                <w:ilvl w:val="0"/>
                <w:numId w:val="13"/>
              </w:numPr>
              <w:spacing w:after="0" w:line="240" w:lineRule="auto"/>
              <w:ind w:right="102"/>
              <w:contextualSpacing w:val="0"/>
              <w:jc w:val="both"/>
              <w:rPr>
                <w:rFonts w:ascii="Times New Roman" w:hAnsi="Times New Roman"/>
                <w:b/>
                <w:i/>
                <w:sz w:val="24"/>
              </w:rPr>
            </w:pPr>
            <w:r w:rsidRPr="00C7141D">
              <w:rPr>
                <w:rFonts w:ascii="Times New Roman" w:hAnsi="Times New Roman"/>
                <w:b/>
                <w:i/>
                <w:sz w:val="24"/>
              </w:rPr>
              <w:t>Tālākizglītības pasākumu īstenošana veselības nozarē</w:t>
            </w:r>
          </w:p>
          <w:p w14:paraId="7A750BF3" w14:textId="694DFECD" w:rsidR="008B0943" w:rsidRPr="00C7141D" w:rsidRDefault="001070A3" w:rsidP="003B6443">
            <w:pPr>
              <w:pStyle w:val="ListParagraph"/>
              <w:spacing w:after="0" w:line="240" w:lineRule="auto"/>
              <w:ind w:left="121" w:right="102"/>
              <w:contextualSpacing w:val="0"/>
              <w:jc w:val="both"/>
              <w:rPr>
                <w:rFonts w:ascii="Times New Roman" w:hAnsi="Times New Roman"/>
                <w:sz w:val="24"/>
              </w:rPr>
            </w:pPr>
            <w:r w:rsidRPr="00C7141D">
              <w:rPr>
                <w:rFonts w:ascii="Times New Roman" w:hAnsi="Times New Roman"/>
                <w:sz w:val="24"/>
              </w:rPr>
              <w:t xml:space="preserve">Darbības programmas </w:t>
            </w:r>
            <w:r w:rsidR="008B0943" w:rsidRPr="00C7141D">
              <w:rPr>
                <w:rFonts w:ascii="Times New Roman" w:hAnsi="Times New Roman"/>
                <w:sz w:val="24"/>
              </w:rPr>
              <w:t xml:space="preserve">grozījumos piedāvātais finansējuma apjoms ir optimāls medicīnas personāla izglītošanas pasākumu efektīvai un kvalitatīvai īstenošanai, tostarp sasniedzot plānotos rezultātus. </w:t>
            </w:r>
          </w:p>
          <w:p w14:paraId="77586402" w14:textId="322FEF3C" w:rsidR="008B0943" w:rsidRPr="00C7141D" w:rsidRDefault="008B0943" w:rsidP="003B6443">
            <w:pPr>
              <w:pStyle w:val="ListParagraph"/>
              <w:spacing w:after="0" w:line="240" w:lineRule="auto"/>
              <w:ind w:left="121" w:right="102"/>
              <w:contextualSpacing w:val="0"/>
              <w:jc w:val="both"/>
              <w:rPr>
                <w:rFonts w:ascii="Times New Roman" w:hAnsi="Times New Roman"/>
                <w:sz w:val="24"/>
              </w:rPr>
            </w:pPr>
            <w:r w:rsidRPr="00C7141D">
              <w:rPr>
                <w:rFonts w:ascii="Times New Roman" w:hAnsi="Times New Roman"/>
                <w:sz w:val="24"/>
              </w:rPr>
              <w:t xml:space="preserve">Lai gūtu pārliecību, ka projekta īstenošana tiek ieviesta pareizajā virzienā un nepastāv riski mērķu sasniegšanai, </w:t>
            </w:r>
            <w:r w:rsidR="001070A3" w:rsidRPr="00C7141D">
              <w:rPr>
                <w:rFonts w:ascii="Times New Roman" w:hAnsi="Times New Roman"/>
                <w:sz w:val="24"/>
              </w:rPr>
              <w:t>tiek plānots organizēt</w:t>
            </w:r>
            <w:r w:rsidRPr="00C7141D">
              <w:rPr>
                <w:rFonts w:ascii="Times New Roman" w:hAnsi="Times New Roman"/>
                <w:sz w:val="24"/>
              </w:rPr>
              <w:t xml:space="preserve"> sanāksmi, ar plašāku ieinteresēto personu loku, nākamās </w:t>
            </w:r>
            <w:r w:rsidR="001070A3" w:rsidRPr="00C7141D">
              <w:rPr>
                <w:rFonts w:ascii="Times New Roman" w:hAnsi="Times New Roman"/>
                <w:sz w:val="24"/>
              </w:rPr>
              <w:t>ES fondu</w:t>
            </w:r>
            <w:r w:rsidRPr="00C7141D">
              <w:rPr>
                <w:rFonts w:ascii="Times New Roman" w:hAnsi="Times New Roman"/>
                <w:sz w:val="24"/>
              </w:rPr>
              <w:t xml:space="preserve"> 2014.</w:t>
            </w:r>
            <w:r w:rsidR="001070A3" w:rsidRPr="00C7141D">
              <w:rPr>
                <w:rFonts w:ascii="Times New Roman" w:hAnsi="Times New Roman"/>
                <w:sz w:val="24"/>
              </w:rPr>
              <w:t>–</w:t>
            </w:r>
            <w:r w:rsidRPr="00C7141D">
              <w:rPr>
                <w:rFonts w:ascii="Times New Roman" w:hAnsi="Times New Roman"/>
                <w:sz w:val="24"/>
              </w:rPr>
              <w:t xml:space="preserve">2020.gada plānošanas perioda </w:t>
            </w:r>
            <w:r w:rsidR="001070A3" w:rsidRPr="00C7141D">
              <w:rPr>
                <w:rFonts w:ascii="Times New Roman" w:hAnsi="Times New Roman"/>
                <w:sz w:val="24"/>
              </w:rPr>
              <w:t>u</w:t>
            </w:r>
            <w:r w:rsidRPr="00C7141D">
              <w:rPr>
                <w:rFonts w:ascii="Times New Roman" w:hAnsi="Times New Roman"/>
                <w:sz w:val="24"/>
              </w:rPr>
              <w:t>zraudzības komitejas sēdes laikā vai kādas citas Eiropas Komisijas vizītes laikā Latvijā.</w:t>
            </w:r>
          </w:p>
          <w:p w14:paraId="2DDD1BC5" w14:textId="111011A8" w:rsidR="00316127" w:rsidRPr="00C7141D" w:rsidRDefault="008B0943" w:rsidP="003B6443">
            <w:pPr>
              <w:pStyle w:val="ListParagraph"/>
              <w:spacing w:after="0" w:line="240" w:lineRule="auto"/>
              <w:ind w:left="121" w:right="102"/>
              <w:contextualSpacing w:val="0"/>
              <w:jc w:val="both"/>
              <w:rPr>
                <w:rFonts w:ascii="Times New Roman" w:hAnsi="Times New Roman"/>
                <w:sz w:val="24"/>
              </w:rPr>
            </w:pPr>
            <w:r w:rsidRPr="00C7141D">
              <w:rPr>
                <w:rFonts w:ascii="Times New Roman" w:hAnsi="Times New Roman"/>
                <w:sz w:val="24"/>
              </w:rPr>
              <w:t xml:space="preserve">Tiek plānots, ka Sabiedrības veselības pamatnostādnes </w:t>
            </w:r>
            <w:r w:rsidR="001070A3" w:rsidRPr="00C7141D">
              <w:rPr>
                <w:rFonts w:ascii="Times New Roman" w:hAnsi="Times New Roman"/>
                <w:sz w:val="24"/>
              </w:rPr>
              <w:br/>
            </w:r>
            <w:r w:rsidRPr="00C7141D">
              <w:rPr>
                <w:rFonts w:ascii="Times New Roman" w:hAnsi="Times New Roman"/>
                <w:sz w:val="24"/>
              </w:rPr>
              <w:t>2021.</w:t>
            </w:r>
            <w:r w:rsidR="001070A3" w:rsidRPr="00C7141D">
              <w:rPr>
                <w:rFonts w:ascii="Times New Roman" w:hAnsi="Times New Roman"/>
                <w:sz w:val="24"/>
              </w:rPr>
              <w:t>–</w:t>
            </w:r>
            <w:r w:rsidRPr="00C7141D">
              <w:rPr>
                <w:rFonts w:ascii="Times New Roman" w:hAnsi="Times New Roman"/>
                <w:sz w:val="24"/>
              </w:rPr>
              <w:t>2027.gadam iekļaus uz faktiem balstītu pamatojumu nepieciešamībai turpināt tālākizglītības pasākumus, kā arī tiks analizēta un ņemta vērā iepriekšējā pieredze tālākizglītības pasākumu īstenošanā.</w:t>
            </w:r>
          </w:p>
          <w:p w14:paraId="692CD220" w14:textId="59244C38" w:rsidR="003B6443" w:rsidRPr="00C7141D" w:rsidRDefault="00B92FA2" w:rsidP="00DA301E">
            <w:pPr>
              <w:pStyle w:val="ListParagraph"/>
              <w:numPr>
                <w:ilvl w:val="0"/>
                <w:numId w:val="13"/>
              </w:numPr>
              <w:spacing w:after="0" w:line="240" w:lineRule="auto"/>
              <w:ind w:right="102"/>
              <w:jc w:val="both"/>
              <w:rPr>
                <w:rFonts w:ascii="Times New Roman" w:hAnsi="Times New Roman"/>
                <w:b/>
                <w:i/>
                <w:sz w:val="24"/>
              </w:rPr>
            </w:pPr>
            <w:r w:rsidRPr="00C7141D">
              <w:rPr>
                <w:rFonts w:ascii="Times New Roman" w:hAnsi="Times New Roman"/>
                <w:b/>
                <w:i/>
                <w:sz w:val="24"/>
              </w:rPr>
              <w:t>Ieguldījumi platjoslu infrastruktūrā</w:t>
            </w:r>
          </w:p>
          <w:p w14:paraId="75BEB6EC" w14:textId="77777777" w:rsidR="00942876" w:rsidRDefault="00C40D1B" w:rsidP="001070A3">
            <w:pPr>
              <w:ind w:right="102"/>
              <w:jc w:val="both"/>
              <w:rPr>
                <w:rFonts w:eastAsiaTheme="minorHAnsi"/>
                <w:lang w:eastAsia="en-US"/>
              </w:rPr>
            </w:pPr>
            <w:r w:rsidRPr="00C7141D">
              <w:rPr>
                <w:rFonts w:eastAsiaTheme="minorHAnsi"/>
              </w:rPr>
              <w:t xml:space="preserve">Attiecībā uz finansējuma pārdali no 2.prioritārā virziena “IKT pieejamība, e-pārvalde un pakalpojumi”, Satiksmes ministrija </w:t>
            </w:r>
            <w:r w:rsidR="00445F9C">
              <w:rPr>
                <w:rFonts w:eastAsiaTheme="minorHAnsi"/>
                <w:lang w:eastAsia="en-US"/>
              </w:rPr>
              <w:t xml:space="preserve">(turpmāk – SM) </w:t>
            </w:r>
            <w:r w:rsidRPr="00C7141D">
              <w:rPr>
                <w:rFonts w:eastAsiaTheme="minorHAnsi"/>
              </w:rPr>
              <w:t>ir sniegusi informāciju par turpmākajiem plānotajiem ieguldījumiem platjoslas infrastruktūrā, t.sk. plānotajiem ieguldījumiem “pēdējās jūdzes” nodrošināšanai.</w:t>
            </w:r>
          </w:p>
          <w:p w14:paraId="37C068D4" w14:textId="1CF703EF" w:rsidR="00445F9C" w:rsidRPr="00680DF8" w:rsidRDefault="00445F9C" w:rsidP="00445F9C">
            <w:pPr>
              <w:jc w:val="both"/>
            </w:pPr>
            <w:r w:rsidRPr="00680DF8">
              <w:t>SM ir norādījusi, ka  “pēdējā jūdzes” ieviešana ir prioritāte. Nacionālās attīstības plāna 2021.–2027.gadam projektā jau ir iekļauts uzdevums izveidot platjoslas elektronisko sakaru tīklu, kas būtu savietojams ar Eiropas Savienības savienojamības mērķiem. Attiecīgi “pēdējās jūdzes” izvietošanas aktivitātes tiks īstenotas minētā uzdevuma ietvaros.</w:t>
            </w:r>
          </w:p>
          <w:p w14:paraId="6B826B33" w14:textId="77777777" w:rsidR="00445F9C" w:rsidRPr="00680DF8" w:rsidRDefault="00445F9C" w:rsidP="00445F9C">
            <w:pPr>
              <w:jc w:val="both"/>
            </w:pPr>
            <w:r w:rsidRPr="00680DF8">
              <w:t>Turpmākais laika grafiks:</w:t>
            </w:r>
          </w:p>
          <w:p w14:paraId="055769BC" w14:textId="77777777" w:rsidR="00445F9C" w:rsidRPr="00680DF8" w:rsidRDefault="00445F9C" w:rsidP="00C00FA1">
            <w:pPr>
              <w:pStyle w:val="ListParagraph"/>
              <w:numPr>
                <w:ilvl w:val="0"/>
                <w:numId w:val="14"/>
              </w:numPr>
              <w:spacing w:after="0" w:line="240" w:lineRule="auto"/>
              <w:ind w:left="402"/>
              <w:jc w:val="both"/>
              <w:rPr>
                <w:rFonts w:ascii="Times New Roman" w:hAnsi="Times New Roman" w:cs="Times New Roman"/>
                <w:sz w:val="24"/>
                <w:szCs w:val="24"/>
              </w:rPr>
            </w:pPr>
            <w:r w:rsidRPr="00680DF8">
              <w:rPr>
                <w:rFonts w:ascii="Times New Roman" w:hAnsi="Times New Roman" w:cs="Times New Roman"/>
                <w:sz w:val="24"/>
                <w:szCs w:val="24"/>
              </w:rPr>
              <w:t xml:space="preserve"> 2020.gada pirmais pusgads - elektronisko sakaru infrastruktūras un pakalpojumu kartēšana. Tas ietver dokumentu sagatavošanu iepirkuma procesam, lai uzsāktu pētījumu un veiktu to.  Paralēli plānots organizēt arī diskusijas ar NVO par elektronisko komunikāciju tirgu. </w:t>
            </w:r>
          </w:p>
          <w:p w14:paraId="057FFB7C" w14:textId="77777777" w:rsidR="00445F9C" w:rsidRPr="00680DF8" w:rsidRDefault="00445F9C" w:rsidP="00C00FA1">
            <w:pPr>
              <w:pStyle w:val="ListParagraph"/>
              <w:numPr>
                <w:ilvl w:val="0"/>
                <w:numId w:val="14"/>
              </w:numPr>
              <w:spacing w:after="0" w:line="240" w:lineRule="auto"/>
              <w:ind w:left="402"/>
              <w:jc w:val="both"/>
              <w:rPr>
                <w:rFonts w:ascii="Times New Roman" w:hAnsi="Times New Roman" w:cs="Times New Roman"/>
                <w:sz w:val="24"/>
                <w:szCs w:val="24"/>
              </w:rPr>
            </w:pPr>
            <w:r w:rsidRPr="00680DF8">
              <w:rPr>
                <w:rFonts w:ascii="Times New Roman" w:hAnsi="Times New Roman" w:cs="Times New Roman"/>
                <w:sz w:val="24"/>
                <w:szCs w:val="24"/>
              </w:rPr>
              <w:t>2020.gada otrais pusgads - pētījuma rezultātu iekļaušana Nacionālajā platjoslas plānā 2021.–2027.gadam un plāna virzība oficiālai apstiprināšanai. Paralēli SM sagatavos finansējuma pieprasījumu no valsts budžeta 2021.gadam ieguldījumiem “pēdējās jūdzes” ieviešanai.</w:t>
            </w:r>
          </w:p>
          <w:p w14:paraId="19DF81A4" w14:textId="1C8828BB" w:rsidR="00445F9C" w:rsidRPr="00680DF8" w:rsidRDefault="00445F9C" w:rsidP="00C00FA1">
            <w:pPr>
              <w:pStyle w:val="ListParagraph"/>
              <w:numPr>
                <w:ilvl w:val="0"/>
                <w:numId w:val="14"/>
              </w:numPr>
              <w:spacing w:after="0" w:line="240" w:lineRule="auto"/>
              <w:ind w:left="402"/>
              <w:jc w:val="both"/>
              <w:rPr>
                <w:rFonts w:ascii="Times New Roman" w:hAnsi="Times New Roman" w:cs="Times New Roman"/>
                <w:sz w:val="24"/>
                <w:szCs w:val="24"/>
              </w:rPr>
            </w:pPr>
            <w:r w:rsidRPr="00680DF8">
              <w:rPr>
                <w:rFonts w:ascii="Times New Roman" w:hAnsi="Times New Roman" w:cs="Times New Roman"/>
                <w:sz w:val="24"/>
                <w:szCs w:val="24"/>
              </w:rPr>
              <w:t xml:space="preserve">2021.gada pirmais pusgads –sagatavošanās projektu iesniegumu atlases procedūrai, lai atlasītu vienu vai vairākus operatorus, kuri nodrošinās “pēdējās jūdzes” ieviešanu. Ja finansējums no valsts budžeta nebūs pietiekams, Satiksmes ministrija strādās pie pieteikuma finansējumam no Eiropas </w:t>
            </w:r>
            <w:r w:rsidR="00716DEE">
              <w:rPr>
                <w:rFonts w:ascii="Times New Roman" w:hAnsi="Times New Roman" w:cs="Times New Roman"/>
                <w:sz w:val="24"/>
                <w:szCs w:val="24"/>
              </w:rPr>
              <w:t xml:space="preserve">Savienības </w:t>
            </w:r>
            <w:r w:rsidRPr="00680DF8">
              <w:rPr>
                <w:rFonts w:ascii="Times New Roman" w:hAnsi="Times New Roman" w:cs="Times New Roman"/>
                <w:sz w:val="24"/>
                <w:szCs w:val="24"/>
              </w:rPr>
              <w:t xml:space="preserve">fondiem.  </w:t>
            </w:r>
          </w:p>
          <w:p w14:paraId="546D95EF" w14:textId="2A627D94" w:rsidR="00445F9C" w:rsidRPr="00CE2185" w:rsidRDefault="00445F9C" w:rsidP="00C7141D">
            <w:pPr>
              <w:pStyle w:val="ListParagraph"/>
              <w:numPr>
                <w:ilvl w:val="0"/>
                <w:numId w:val="14"/>
              </w:numPr>
              <w:spacing w:after="0" w:line="240" w:lineRule="auto"/>
              <w:ind w:left="402"/>
              <w:jc w:val="both"/>
            </w:pPr>
            <w:r w:rsidRPr="00680DF8">
              <w:rPr>
                <w:rFonts w:ascii="Times New Roman" w:hAnsi="Times New Roman" w:cs="Times New Roman"/>
                <w:sz w:val="24"/>
                <w:szCs w:val="24"/>
              </w:rPr>
              <w:t>2021.gada otrais pusgads – plānots pabeigt projektu iesniegumu atlases procedūru.</w:t>
            </w:r>
          </w:p>
        </w:tc>
      </w:tr>
      <w:tr w:rsidR="008F0C62" w:rsidRPr="00200F43" w14:paraId="04B45F8A" w14:textId="77777777" w:rsidTr="00163248">
        <w:tc>
          <w:tcPr>
            <w:tcW w:w="311" w:type="pct"/>
            <w:hideMark/>
          </w:tcPr>
          <w:p w14:paraId="30AA7E86" w14:textId="77777777" w:rsidR="008F0C62" w:rsidRPr="00C7141D" w:rsidRDefault="008F0C62" w:rsidP="00BA0575">
            <w:pPr>
              <w:jc w:val="center"/>
            </w:pPr>
            <w:r w:rsidRPr="00C7141D">
              <w:lastRenderedPageBreak/>
              <w:t>3.</w:t>
            </w:r>
          </w:p>
        </w:tc>
        <w:tc>
          <w:tcPr>
            <w:tcW w:w="1479" w:type="pct"/>
            <w:hideMark/>
          </w:tcPr>
          <w:p w14:paraId="17C4B50C" w14:textId="77777777" w:rsidR="008F0C62" w:rsidRPr="00C7141D" w:rsidRDefault="008F0C62" w:rsidP="00BA0575">
            <w:r w:rsidRPr="00C7141D">
              <w:t>Projekta izstrādē iesaistītās institūcijas un publiskas personas kapitālsabiedrības</w:t>
            </w:r>
          </w:p>
        </w:tc>
        <w:tc>
          <w:tcPr>
            <w:tcW w:w="3210" w:type="pct"/>
            <w:hideMark/>
          </w:tcPr>
          <w:p w14:paraId="70624315" w14:textId="77133E8A" w:rsidR="008F0C62" w:rsidRPr="00C7141D" w:rsidRDefault="00862131" w:rsidP="008907CA">
            <w:pPr>
              <w:jc w:val="both"/>
              <w:rPr>
                <w:highlight w:val="yellow"/>
              </w:rPr>
            </w:pPr>
            <w:r w:rsidRPr="00C7141D">
              <w:t xml:space="preserve">Darbības </w:t>
            </w:r>
            <w:r w:rsidR="00BD0ADB" w:rsidRPr="00C7141D">
              <w:t>programmas grozījumu izstrādē iesaistīta</w:t>
            </w:r>
            <w:r w:rsidR="004104EA" w:rsidRPr="00C7141D">
              <w:t xml:space="preserve"> </w:t>
            </w:r>
            <w:r w:rsidR="00703E95" w:rsidRPr="00C7141D">
              <w:t>Labklājības ministrija</w:t>
            </w:r>
            <w:r w:rsidR="003B6443" w:rsidRPr="00C7141D">
              <w:t xml:space="preserve">, </w:t>
            </w:r>
            <w:r w:rsidR="003C4F2B" w:rsidRPr="00C7141D">
              <w:t>Veselības ministrija</w:t>
            </w:r>
            <w:r w:rsidR="00532497" w:rsidRPr="00C7141D">
              <w:t>,</w:t>
            </w:r>
            <w:r w:rsidR="003B6443" w:rsidRPr="00C7141D">
              <w:t xml:space="preserve"> Satiksmes ministrija, Izglītības un zinātnes ministrija</w:t>
            </w:r>
            <w:r w:rsidR="008907CA" w:rsidRPr="00C7141D">
              <w:t xml:space="preserve">, </w:t>
            </w:r>
            <w:r w:rsidR="00532497" w:rsidRPr="00C7141D">
              <w:t>Tieslietu ministrija</w:t>
            </w:r>
            <w:r w:rsidR="008907CA" w:rsidRPr="00C7141D">
              <w:t xml:space="preserve"> un Pārresoru koordinācijas centrs</w:t>
            </w:r>
            <w:r w:rsidR="003B6443" w:rsidRPr="00C7141D">
              <w:t>.</w:t>
            </w:r>
          </w:p>
        </w:tc>
      </w:tr>
      <w:tr w:rsidR="008F0C62" w:rsidRPr="00200F43" w14:paraId="735EFA50" w14:textId="77777777" w:rsidTr="00163248">
        <w:tc>
          <w:tcPr>
            <w:tcW w:w="311" w:type="pct"/>
            <w:hideMark/>
          </w:tcPr>
          <w:p w14:paraId="16C1DB9F" w14:textId="77777777" w:rsidR="008F0C62" w:rsidRPr="00C7141D" w:rsidRDefault="008F0C62" w:rsidP="00BA0575">
            <w:pPr>
              <w:jc w:val="center"/>
            </w:pPr>
            <w:r w:rsidRPr="00C7141D">
              <w:t>4.</w:t>
            </w:r>
          </w:p>
        </w:tc>
        <w:tc>
          <w:tcPr>
            <w:tcW w:w="1479" w:type="pct"/>
            <w:hideMark/>
          </w:tcPr>
          <w:p w14:paraId="261315DD" w14:textId="77777777" w:rsidR="008F0C62" w:rsidRPr="00C7141D" w:rsidRDefault="008F0C62" w:rsidP="00BA0575">
            <w:r w:rsidRPr="00C7141D">
              <w:t>Cita informācija</w:t>
            </w:r>
          </w:p>
        </w:tc>
        <w:tc>
          <w:tcPr>
            <w:tcW w:w="3210" w:type="pct"/>
            <w:hideMark/>
          </w:tcPr>
          <w:p w14:paraId="453A947B" w14:textId="252546DF" w:rsidR="008F0C62" w:rsidRPr="00C7141D" w:rsidRDefault="008F0C62" w:rsidP="004E5FF0">
            <w:r w:rsidRPr="00C7141D">
              <w:t>Nav.</w:t>
            </w:r>
          </w:p>
        </w:tc>
      </w:tr>
    </w:tbl>
    <w:p w14:paraId="62FCE7D8" w14:textId="77777777" w:rsidR="005D1ED8" w:rsidRPr="00200F43" w:rsidRDefault="005D1E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200F43" w14:paraId="51D5E8D1" w14:textId="77777777" w:rsidTr="009E0502">
        <w:trPr>
          <w:cantSplit/>
        </w:trPr>
        <w:tc>
          <w:tcPr>
            <w:tcW w:w="5000" w:type="pct"/>
            <w:gridSpan w:val="3"/>
            <w:vAlign w:val="center"/>
            <w:hideMark/>
          </w:tcPr>
          <w:p w14:paraId="60D7CCBA" w14:textId="77777777" w:rsidR="00BD5588" w:rsidRPr="00C7141D" w:rsidRDefault="00BD5588" w:rsidP="00BA0575">
            <w:pPr>
              <w:jc w:val="center"/>
              <w:rPr>
                <w:b/>
              </w:rPr>
            </w:pPr>
            <w:r w:rsidRPr="00C7141D">
              <w:rPr>
                <w:b/>
              </w:rPr>
              <w:t>II. Tiesību akta projekta ietekme uz sabiedrību, tautsaimniecības attīstību un administratīvo slogu</w:t>
            </w:r>
          </w:p>
        </w:tc>
      </w:tr>
      <w:tr w:rsidR="00BD5588" w:rsidRPr="00200F43" w14:paraId="671EACFD" w14:textId="77777777" w:rsidTr="009E0502">
        <w:trPr>
          <w:cantSplit/>
        </w:trPr>
        <w:tc>
          <w:tcPr>
            <w:tcW w:w="311" w:type="pct"/>
            <w:hideMark/>
          </w:tcPr>
          <w:p w14:paraId="16516D53" w14:textId="77777777" w:rsidR="00BD5588" w:rsidRPr="00C7141D" w:rsidRDefault="00BD5588" w:rsidP="00BA0575">
            <w:pPr>
              <w:jc w:val="center"/>
            </w:pPr>
            <w:r w:rsidRPr="00C7141D">
              <w:t>1.</w:t>
            </w:r>
          </w:p>
        </w:tc>
        <w:tc>
          <w:tcPr>
            <w:tcW w:w="1479" w:type="pct"/>
            <w:hideMark/>
          </w:tcPr>
          <w:p w14:paraId="4CDBC2FF" w14:textId="77777777" w:rsidR="00BD5588" w:rsidRPr="00C7141D" w:rsidRDefault="00BD5588" w:rsidP="00BA0575">
            <w:r w:rsidRPr="00C7141D">
              <w:t>Sabiedrības mērķgrupas, kuras tiesiskais regulējums ietekmē vai varētu ietekmēt</w:t>
            </w:r>
          </w:p>
        </w:tc>
        <w:tc>
          <w:tcPr>
            <w:tcW w:w="3210" w:type="pct"/>
            <w:hideMark/>
          </w:tcPr>
          <w:p w14:paraId="25D4932B" w14:textId="77777777" w:rsidR="00BD5588" w:rsidRPr="00C7141D" w:rsidRDefault="00461626" w:rsidP="004E5FF0">
            <w:pPr>
              <w:jc w:val="both"/>
            </w:pPr>
            <w:r w:rsidRPr="00C7141D">
              <w:t>Potenciālie ES fondu finansējuma saņēmēji, to sadarbības partneri un gala labuma guvēji.</w:t>
            </w:r>
          </w:p>
        </w:tc>
      </w:tr>
      <w:tr w:rsidR="00BD5588" w:rsidRPr="00200F43" w14:paraId="437BF462" w14:textId="77777777" w:rsidTr="009E0502">
        <w:trPr>
          <w:cantSplit/>
        </w:trPr>
        <w:tc>
          <w:tcPr>
            <w:tcW w:w="311" w:type="pct"/>
            <w:hideMark/>
          </w:tcPr>
          <w:p w14:paraId="1EDF53FB" w14:textId="77777777" w:rsidR="00BD5588" w:rsidRPr="00C7141D" w:rsidRDefault="00BD5588" w:rsidP="00BA0575">
            <w:pPr>
              <w:jc w:val="center"/>
            </w:pPr>
            <w:r w:rsidRPr="00C7141D">
              <w:t>2.</w:t>
            </w:r>
          </w:p>
        </w:tc>
        <w:tc>
          <w:tcPr>
            <w:tcW w:w="1479" w:type="pct"/>
            <w:hideMark/>
          </w:tcPr>
          <w:p w14:paraId="78A59780" w14:textId="77777777" w:rsidR="00BD5588" w:rsidRPr="00C7141D" w:rsidRDefault="00BD5588" w:rsidP="00BA0575">
            <w:r w:rsidRPr="00C7141D">
              <w:t>Tiesiskā regulējuma ietekme uz tautsaimniecību un administratīvo slogu</w:t>
            </w:r>
          </w:p>
        </w:tc>
        <w:tc>
          <w:tcPr>
            <w:tcW w:w="3210" w:type="pct"/>
            <w:hideMark/>
          </w:tcPr>
          <w:p w14:paraId="03B2091B" w14:textId="77777777" w:rsidR="00461626" w:rsidRPr="00C7141D" w:rsidRDefault="00461626" w:rsidP="004E5FF0">
            <w:pPr>
              <w:shd w:val="clear" w:color="auto" w:fill="FFFFFF"/>
              <w:jc w:val="both"/>
            </w:pPr>
            <w:r w:rsidRPr="00C7141D">
              <w:t xml:space="preserve">Darbības programma kopumā pozitīvi ietekmē visas tautsaimniecības jomas. </w:t>
            </w:r>
          </w:p>
          <w:p w14:paraId="6014112C" w14:textId="77777777" w:rsidR="00461626" w:rsidRPr="00C7141D" w:rsidRDefault="00461626" w:rsidP="00DD0091">
            <w:pPr>
              <w:shd w:val="clear" w:color="auto" w:fill="FFFFFF"/>
              <w:jc w:val="both"/>
            </w:pPr>
            <w:r w:rsidRPr="00C7141D">
              <w:t xml:space="preserve">Detalizētāki nosacījumi tiks ietverti attiecīgajos MK noteikumos par SAM un pasākumu īstenošanu, kurus skars rīkojuma projektā ietvertie grozījumi. </w:t>
            </w:r>
          </w:p>
          <w:p w14:paraId="7CE39FF2" w14:textId="77777777" w:rsidR="00BD5588" w:rsidRPr="00C7141D" w:rsidRDefault="00461626" w:rsidP="00DD0091">
            <w:pPr>
              <w:jc w:val="both"/>
            </w:pPr>
            <w:r w:rsidRPr="00C7141D">
              <w:t>Sabiedrības grupām un institūcijām projekta tiesiskais regulējums nemaina tiesības un pienākumus, kā arī veicamās darbības.</w:t>
            </w:r>
          </w:p>
        </w:tc>
      </w:tr>
      <w:tr w:rsidR="00BD5588" w:rsidRPr="00200F43" w14:paraId="6C6D2E24" w14:textId="77777777" w:rsidTr="009E0502">
        <w:trPr>
          <w:cantSplit/>
        </w:trPr>
        <w:tc>
          <w:tcPr>
            <w:tcW w:w="311" w:type="pct"/>
            <w:hideMark/>
          </w:tcPr>
          <w:p w14:paraId="055B3BFB" w14:textId="77777777" w:rsidR="00BD5588" w:rsidRPr="00C7141D" w:rsidRDefault="00BD5588" w:rsidP="00BA0575">
            <w:pPr>
              <w:jc w:val="center"/>
            </w:pPr>
            <w:r w:rsidRPr="00C7141D">
              <w:t>3.</w:t>
            </w:r>
          </w:p>
        </w:tc>
        <w:tc>
          <w:tcPr>
            <w:tcW w:w="1479" w:type="pct"/>
            <w:hideMark/>
          </w:tcPr>
          <w:p w14:paraId="1818C0A3" w14:textId="77777777" w:rsidR="00BD5588" w:rsidRPr="00C7141D" w:rsidRDefault="00BD5588" w:rsidP="00BA0575">
            <w:r w:rsidRPr="00C7141D">
              <w:t>Administratīvo izmaksu monetārs novērtējums</w:t>
            </w:r>
          </w:p>
        </w:tc>
        <w:tc>
          <w:tcPr>
            <w:tcW w:w="3210" w:type="pct"/>
            <w:hideMark/>
          </w:tcPr>
          <w:p w14:paraId="08A2E664" w14:textId="77777777" w:rsidR="00BD5588" w:rsidRPr="00C7141D" w:rsidRDefault="00461626" w:rsidP="004E5FF0">
            <w:r w:rsidRPr="00C7141D">
              <w:t>Projekts šo jomu neskar.</w:t>
            </w:r>
          </w:p>
        </w:tc>
      </w:tr>
      <w:tr w:rsidR="00BD5588" w:rsidRPr="00200F43" w14:paraId="0F183BA7" w14:textId="77777777" w:rsidTr="009E0502">
        <w:trPr>
          <w:cantSplit/>
        </w:trPr>
        <w:tc>
          <w:tcPr>
            <w:tcW w:w="311" w:type="pct"/>
            <w:hideMark/>
          </w:tcPr>
          <w:p w14:paraId="3390148A" w14:textId="77777777" w:rsidR="00BD5588" w:rsidRPr="00C7141D" w:rsidRDefault="00BD5588" w:rsidP="00BA0575">
            <w:pPr>
              <w:jc w:val="center"/>
            </w:pPr>
            <w:r w:rsidRPr="00C7141D">
              <w:t>4.</w:t>
            </w:r>
          </w:p>
        </w:tc>
        <w:tc>
          <w:tcPr>
            <w:tcW w:w="1479" w:type="pct"/>
            <w:hideMark/>
          </w:tcPr>
          <w:p w14:paraId="3970B68B" w14:textId="77777777" w:rsidR="00BD5588" w:rsidRPr="00C7141D" w:rsidRDefault="00BD5588" w:rsidP="00BA0575">
            <w:r w:rsidRPr="00C7141D">
              <w:t>Atbilstības izmaksu monetārs novērtējums</w:t>
            </w:r>
          </w:p>
        </w:tc>
        <w:tc>
          <w:tcPr>
            <w:tcW w:w="3210" w:type="pct"/>
            <w:hideMark/>
          </w:tcPr>
          <w:p w14:paraId="3417C61E" w14:textId="7CB220A1" w:rsidR="00BD5588" w:rsidRPr="00C7141D" w:rsidRDefault="001B562B" w:rsidP="004E5FF0">
            <w:pPr>
              <w:rPr>
                <w:highlight w:val="yellow"/>
              </w:rPr>
            </w:pPr>
            <w:r w:rsidRPr="00C7141D">
              <w:t>Projekts šo jomu neskar.</w:t>
            </w:r>
          </w:p>
        </w:tc>
      </w:tr>
      <w:tr w:rsidR="00BD5588" w:rsidRPr="00200F43" w14:paraId="50BF9763" w14:textId="77777777" w:rsidTr="009E0502">
        <w:trPr>
          <w:cantSplit/>
        </w:trPr>
        <w:tc>
          <w:tcPr>
            <w:tcW w:w="311" w:type="pct"/>
            <w:hideMark/>
          </w:tcPr>
          <w:p w14:paraId="2FB52579" w14:textId="77777777" w:rsidR="00BD5588" w:rsidRPr="00C7141D" w:rsidRDefault="00BD5588" w:rsidP="00BA0575">
            <w:pPr>
              <w:jc w:val="center"/>
            </w:pPr>
            <w:r w:rsidRPr="00C7141D">
              <w:t>5.</w:t>
            </w:r>
          </w:p>
        </w:tc>
        <w:tc>
          <w:tcPr>
            <w:tcW w:w="1479" w:type="pct"/>
            <w:hideMark/>
          </w:tcPr>
          <w:p w14:paraId="536B6873" w14:textId="77777777" w:rsidR="00BD5588" w:rsidRPr="00C7141D" w:rsidRDefault="00BD5588" w:rsidP="00BA0575">
            <w:r w:rsidRPr="00C7141D">
              <w:t>Cita informācija</w:t>
            </w:r>
          </w:p>
        </w:tc>
        <w:tc>
          <w:tcPr>
            <w:tcW w:w="3210" w:type="pct"/>
            <w:hideMark/>
          </w:tcPr>
          <w:p w14:paraId="5A92E748" w14:textId="77777777" w:rsidR="00BD5588" w:rsidRPr="00C7141D" w:rsidRDefault="00461626" w:rsidP="00BA0575">
            <w:r w:rsidRPr="00C7141D">
              <w:t>Nav.</w:t>
            </w:r>
          </w:p>
        </w:tc>
      </w:tr>
    </w:tbl>
    <w:p w14:paraId="611F8FD3" w14:textId="77777777" w:rsidR="00BD5588" w:rsidRPr="00C7141D" w:rsidRDefault="00BD5588" w:rsidP="00DD0091">
      <w:pPr>
        <w:pStyle w:val="Title"/>
        <w:spacing w:before="130"/>
        <w:ind w:firstLine="539"/>
        <w:jc w:val="both"/>
        <w:rPr>
          <w:sz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BD5588" w:rsidRPr="00200F43" w14:paraId="4CFEDF35" w14:textId="77777777" w:rsidTr="0083707D">
        <w:trPr>
          <w:cantSplit/>
        </w:trPr>
        <w:tc>
          <w:tcPr>
            <w:tcW w:w="8299" w:type="dxa"/>
            <w:shd w:val="clear" w:color="auto" w:fill="auto"/>
            <w:vAlign w:val="center"/>
            <w:hideMark/>
          </w:tcPr>
          <w:p w14:paraId="5332554A" w14:textId="77777777" w:rsidR="00BD5588" w:rsidRPr="00C7141D" w:rsidRDefault="00BD5588" w:rsidP="00BA0575">
            <w:pPr>
              <w:jc w:val="center"/>
              <w:rPr>
                <w:b/>
              </w:rPr>
            </w:pPr>
            <w:r w:rsidRPr="00C7141D">
              <w:rPr>
                <w:b/>
              </w:rPr>
              <w:t>III. Tiesību akta projekta ietekme uz valsts budžetu un pašvaldību budžetiem</w:t>
            </w:r>
          </w:p>
        </w:tc>
      </w:tr>
      <w:tr w:rsidR="0083707D" w:rsidRPr="00200F43" w14:paraId="0A464073" w14:textId="77777777" w:rsidTr="009778EB">
        <w:tblPrEx>
          <w:tblCellMar>
            <w:top w:w="30" w:type="dxa"/>
            <w:left w:w="30" w:type="dxa"/>
            <w:bottom w:w="30" w:type="dxa"/>
            <w:right w:w="30" w:type="dxa"/>
          </w:tblCellMar>
        </w:tblPrEx>
        <w:trPr>
          <w:cantSplit/>
        </w:trPr>
        <w:tc>
          <w:tcPr>
            <w:tcW w:w="8299" w:type="dxa"/>
            <w:hideMark/>
          </w:tcPr>
          <w:p w14:paraId="68C5E099" w14:textId="2AAEE8B5" w:rsidR="0083707D" w:rsidRPr="00C7141D" w:rsidRDefault="0083707D" w:rsidP="00BA0575">
            <w:pPr>
              <w:jc w:val="both"/>
            </w:pPr>
            <w:r w:rsidRPr="00C7141D">
              <w:t xml:space="preserve">Tieša ietekme uz valsts un pašvaldību budžetiem tiks vērtēta, izstrādājot vai nepieciešamības gadījumā precizējot MK noteikumus par </w:t>
            </w:r>
            <w:r w:rsidR="005E61EE" w:rsidRPr="00C7141D">
              <w:t>SAM</w:t>
            </w:r>
            <w:r w:rsidRPr="00C7141D">
              <w:t xml:space="preserve"> vai to pasākumu īstenošanu, kurus skars grozījumi darbības programmā. </w:t>
            </w:r>
          </w:p>
        </w:tc>
      </w:tr>
    </w:tbl>
    <w:p w14:paraId="442340B6" w14:textId="77777777" w:rsidR="00BD5588" w:rsidRPr="00C7141D" w:rsidRDefault="00BD5588" w:rsidP="00DD0091">
      <w:pPr>
        <w:pStyle w:val="Title"/>
        <w:spacing w:before="130"/>
        <w:ind w:firstLine="539"/>
        <w:jc w:val="both"/>
        <w:rPr>
          <w:sz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6"/>
        <w:gridCol w:w="5826"/>
      </w:tblGrid>
      <w:tr w:rsidR="0083707D" w:rsidRPr="00200F43" w14:paraId="33ED046F" w14:textId="77777777" w:rsidTr="00255CA2">
        <w:tc>
          <w:tcPr>
            <w:tcW w:w="8299" w:type="dxa"/>
            <w:gridSpan w:val="3"/>
            <w:vAlign w:val="center"/>
            <w:hideMark/>
          </w:tcPr>
          <w:p w14:paraId="17766428" w14:textId="77777777" w:rsidR="0083707D" w:rsidRPr="00C7141D" w:rsidRDefault="0083707D" w:rsidP="00BA0575">
            <w:pPr>
              <w:jc w:val="center"/>
              <w:rPr>
                <w:b/>
              </w:rPr>
            </w:pPr>
            <w:r w:rsidRPr="00C7141D">
              <w:rPr>
                <w:b/>
              </w:rPr>
              <w:t>IV. Tiesību akta projekta ietekme uz spēkā esošo tiesību normu sistēmu</w:t>
            </w:r>
          </w:p>
        </w:tc>
      </w:tr>
      <w:tr w:rsidR="0083707D" w:rsidRPr="00200F43" w14:paraId="484F5995" w14:textId="77777777" w:rsidTr="00255CA2">
        <w:tc>
          <w:tcPr>
            <w:tcW w:w="524" w:type="dxa"/>
            <w:hideMark/>
          </w:tcPr>
          <w:p w14:paraId="26CFEF1E" w14:textId="77777777" w:rsidR="0083707D" w:rsidRPr="00C7141D" w:rsidRDefault="0083707D" w:rsidP="00BA0575">
            <w:pPr>
              <w:jc w:val="center"/>
            </w:pPr>
            <w:r w:rsidRPr="00C7141D">
              <w:t>1.</w:t>
            </w:r>
          </w:p>
        </w:tc>
        <w:tc>
          <w:tcPr>
            <w:tcW w:w="2441" w:type="dxa"/>
            <w:hideMark/>
          </w:tcPr>
          <w:p w14:paraId="12150EBE" w14:textId="77777777" w:rsidR="0083707D" w:rsidRPr="00C7141D" w:rsidRDefault="0083707D" w:rsidP="004E5FF0">
            <w:r w:rsidRPr="00C7141D">
              <w:t>Saistītie tiesību aktu projekti</w:t>
            </w:r>
          </w:p>
        </w:tc>
        <w:tc>
          <w:tcPr>
            <w:tcW w:w="5334" w:type="dxa"/>
            <w:hideMark/>
          </w:tcPr>
          <w:p w14:paraId="4CE35561" w14:textId="4C0BDB55" w:rsidR="00DC055D" w:rsidRPr="00200F43" w:rsidRDefault="00A74089" w:rsidP="00B5642A">
            <w:pPr>
              <w:ind w:right="44"/>
              <w:jc w:val="both"/>
            </w:pPr>
            <w:r w:rsidRPr="00C7141D">
              <w:t xml:space="preserve">Ņemot vērā darbības programmā ierosinātās izmaiņas, pēc to iesniegšanas un saskaņošanas EK attiecīgas izmaiņas būs veicamas arī MK noteikumos par SAM un pasākumu īstenošanu, kurus skars grozījumi darbības programmā, attiecīgi atbildīgajām institūcijām veicot </w:t>
            </w:r>
            <w:r w:rsidR="00235BB5" w:rsidRPr="00C7141D">
              <w:t>izrieto</w:t>
            </w:r>
            <w:r w:rsidR="00A85168" w:rsidRPr="00C7141D">
              <w:t>šu</w:t>
            </w:r>
            <w:r w:rsidR="00235BB5" w:rsidRPr="00C7141D">
              <w:t xml:space="preserve">s </w:t>
            </w:r>
            <w:r w:rsidRPr="00C7141D">
              <w:t>grozījumus MK noteikumos par SAM un pasākumu īstenošanu</w:t>
            </w:r>
            <w:r w:rsidR="00235BB5" w:rsidRPr="00C7141D">
              <w:t>.</w:t>
            </w:r>
          </w:p>
        </w:tc>
      </w:tr>
      <w:tr w:rsidR="0083707D" w:rsidRPr="00200F43" w14:paraId="68406200" w14:textId="77777777" w:rsidTr="00255CA2">
        <w:tc>
          <w:tcPr>
            <w:tcW w:w="524" w:type="dxa"/>
            <w:hideMark/>
          </w:tcPr>
          <w:p w14:paraId="272C7FD3" w14:textId="77777777" w:rsidR="0083707D" w:rsidRPr="00C7141D" w:rsidRDefault="0083707D" w:rsidP="00BA0575">
            <w:pPr>
              <w:jc w:val="center"/>
            </w:pPr>
            <w:r w:rsidRPr="00C7141D">
              <w:t>2.</w:t>
            </w:r>
          </w:p>
        </w:tc>
        <w:tc>
          <w:tcPr>
            <w:tcW w:w="2441" w:type="dxa"/>
            <w:hideMark/>
          </w:tcPr>
          <w:p w14:paraId="71307B32" w14:textId="77777777" w:rsidR="0083707D" w:rsidRPr="00C7141D" w:rsidRDefault="0083707D" w:rsidP="004E5FF0">
            <w:r w:rsidRPr="00C7141D">
              <w:t>Atbildīgā institūcija</w:t>
            </w:r>
          </w:p>
        </w:tc>
        <w:tc>
          <w:tcPr>
            <w:tcW w:w="5334" w:type="dxa"/>
            <w:hideMark/>
          </w:tcPr>
          <w:p w14:paraId="6BF31A2F" w14:textId="26F1A347" w:rsidR="0083707D" w:rsidRPr="00C7141D" w:rsidRDefault="009779D8" w:rsidP="00DD0091">
            <w:r w:rsidRPr="00C7141D">
              <w:t>FM</w:t>
            </w:r>
            <w:r w:rsidR="000A1590" w:rsidRPr="00C7141D">
              <w:t>.</w:t>
            </w:r>
          </w:p>
        </w:tc>
      </w:tr>
      <w:tr w:rsidR="0083707D" w:rsidRPr="00200F43" w14:paraId="3A5C3C8D" w14:textId="77777777" w:rsidTr="00255CA2">
        <w:tc>
          <w:tcPr>
            <w:tcW w:w="524" w:type="dxa"/>
            <w:hideMark/>
          </w:tcPr>
          <w:p w14:paraId="08FC8D9E" w14:textId="77777777" w:rsidR="0083707D" w:rsidRPr="00C7141D" w:rsidRDefault="0083707D" w:rsidP="00BA0575">
            <w:pPr>
              <w:jc w:val="center"/>
            </w:pPr>
            <w:r w:rsidRPr="00C7141D">
              <w:t>3.</w:t>
            </w:r>
          </w:p>
        </w:tc>
        <w:tc>
          <w:tcPr>
            <w:tcW w:w="2441" w:type="dxa"/>
            <w:hideMark/>
          </w:tcPr>
          <w:p w14:paraId="5BD1A44A" w14:textId="77777777" w:rsidR="0083707D" w:rsidRPr="00C7141D" w:rsidRDefault="0083707D" w:rsidP="004E5FF0">
            <w:r w:rsidRPr="00C7141D">
              <w:t>Cita informācija</w:t>
            </w:r>
          </w:p>
        </w:tc>
        <w:tc>
          <w:tcPr>
            <w:tcW w:w="5334" w:type="dxa"/>
            <w:hideMark/>
          </w:tcPr>
          <w:p w14:paraId="14988613" w14:textId="5B4BEF64" w:rsidR="0083707D" w:rsidRPr="00C7141D" w:rsidRDefault="00B44450" w:rsidP="00DD0091">
            <w:r w:rsidRPr="00C7141D">
              <w:t>Nav</w:t>
            </w:r>
            <w:r w:rsidR="000A1590" w:rsidRPr="00C7141D">
              <w:t>.</w:t>
            </w:r>
          </w:p>
        </w:tc>
      </w:tr>
    </w:tbl>
    <w:p w14:paraId="59CB1822" w14:textId="49B2DC23" w:rsidR="00BD5588" w:rsidRPr="00C7141D" w:rsidRDefault="00BD5588" w:rsidP="00DD0091">
      <w:pPr>
        <w:pStyle w:val="Title"/>
        <w:spacing w:before="130"/>
        <w:ind w:firstLine="539"/>
        <w:jc w:val="both"/>
        <w:rPr>
          <w:sz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6B4398" w:rsidRPr="00200F43" w14:paraId="0AF3C2DD" w14:textId="77777777" w:rsidTr="003B7782">
        <w:trPr>
          <w:cantSplit/>
        </w:trPr>
        <w:tc>
          <w:tcPr>
            <w:tcW w:w="8296" w:type="dxa"/>
            <w:vAlign w:val="center"/>
            <w:hideMark/>
          </w:tcPr>
          <w:p w14:paraId="0705F77A" w14:textId="77777777" w:rsidR="006B4398" w:rsidRPr="00C7141D" w:rsidRDefault="006B4398" w:rsidP="00BA0575">
            <w:pPr>
              <w:jc w:val="center"/>
              <w:rPr>
                <w:b/>
              </w:rPr>
            </w:pPr>
            <w:r w:rsidRPr="00C7141D">
              <w:rPr>
                <w:b/>
              </w:rPr>
              <w:t>V. Tiesību akta projekta atbilstība Latvijas Republikas starptautiskajām saistībām</w:t>
            </w:r>
          </w:p>
        </w:tc>
      </w:tr>
      <w:tr w:rsidR="006B4398" w:rsidRPr="00200F43" w14:paraId="15A04772" w14:textId="77777777" w:rsidTr="003B7782">
        <w:trPr>
          <w:cantSplit/>
        </w:trPr>
        <w:tc>
          <w:tcPr>
            <w:tcW w:w="8296" w:type="dxa"/>
            <w:hideMark/>
          </w:tcPr>
          <w:p w14:paraId="44874CF6" w14:textId="77777777" w:rsidR="006B4398" w:rsidRPr="00C7141D" w:rsidRDefault="006B4398" w:rsidP="00BA0575">
            <w:pPr>
              <w:jc w:val="center"/>
            </w:pPr>
            <w:r w:rsidRPr="00C7141D">
              <w:t>Projekts šo jomu neskar</w:t>
            </w:r>
          </w:p>
        </w:tc>
      </w:tr>
    </w:tbl>
    <w:p w14:paraId="6DB3F92A" w14:textId="27F0CFAC" w:rsidR="006B4398" w:rsidRPr="00C7141D" w:rsidRDefault="006B4398" w:rsidP="00DD0091">
      <w:pPr>
        <w:pStyle w:val="Title"/>
        <w:spacing w:before="130"/>
        <w:ind w:firstLine="539"/>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200F43" w14:paraId="76C3A82A" w14:textId="77777777" w:rsidTr="009E0502">
        <w:trPr>
          <w:cantSplit/>
        </w:trPr>
        <w:tc>
          <w:tcPr>
            <w:tcW w:w="5000" w:type="pct"/>
            <w:gridSpan w:val="3"/>
            <w:vAlign w:val="center"/>
            <w:hideMark/>
          </w:tcPr>
          <w:p w14:paraId="5F69BEA5" w14:textId="77777777" w:rsidR="00BD5588" w:rsidRPr="00C7141D" w:rsidRDefault="00BD5588" w:rsidP="00BA0575">
            <w:pPr>
              <w:jc w:val="center"/>
              <w:rPr>
                <w:b/>
                <w:highlight w:val="yellow"/>
              </w:rPr>
            </w:pPr>
            <w:r w:rsidRPr="00C7141D">
              <w:rPr>
                <w:b/>
              </w:rPr>
              <w:t>VI. Sabiedrības līdzdalība un komunikācijas aktivitātes</w:t>
            </w:r>
          </w:p>
        </w:tc>
      </w:tr>
      <w:tr w:rsidR="00BD5588" w:rsidRPr="00200F43" w14:paraId="7B12AD9B" w14:textId="77777777" w:rsidTr="00641154">
        <w:trPr>
          <w:cantSplit/>
        </w:trPr>
        <w:tc>
          <w:tcPr>
            <w:tcW w:w="311" w:type="pct"/>
            <w:hideMark/>
          </w:tcPr>
          <w:p w14:paraId="4B17467F" w14:textId="77777777" w:rsidR="00BD5588" w:rsidRPr="00C7141D" w:rsidRDefault="00BD5588" w:rsidP="00BA0575">
            <w:pPr>
              <w:jc w:val="center"/>
            </w:pPr>
            <w:r w:rsidRPr="00C7141D">
              <w:t>1.</w:t>
            </w:r>
          </w:p>
        </w:tc>
        <w:tc>
          <w:tcPr>
            <w:tcW w:w="1479" w:type="pct"/>
            <w:shd w:val="clear" w:color="auto" w:fill="auto"/>
            <w:hideMark/>
          </w:tcPr>
          <w:p w14:paraId="56F85E10" w14:textId="77777777" w:rsidR="00BD5588" w:rsidRPr="00C7141D" w:rsidRDefault="00BD5588" w:rsidP="004E5FF0">
            <w:r w:rsidRPr="00C7141D">
              <w:t>Plānotās sabiedrības līdzdalības</w:t>
            </w:r>
            <w:bookmarkStart w:id="0" w:name="_GoBack"/>
            <w:bookmarkEnd w:id="0"/>
            <w:r w:rsidRPr="00C7141D">
              <w:t xml:space="preserve"> un komunikācijas aktivitātes saistībā ar projektu</w:t>
            </w:r>
          </w:p>
        </w:tc>
        <w:tc>
          <w:tcPr>
            <w:tcW w:w="3210" w:type="pct"/>
            <w:shd w:val="clear" w:color="auto" w:fill="auto"/>
            <w:hideMark/>
          </w:tcPr>
          <w:p w14:paraId="3880FF90" w14:textId="135C55C8" w:rsidR="00B466D9" w:rsidRPr="00B466D9" w:rsidRDefault="00B466D9" w:rsidP="00C7141D">
            <w:pPr>
              <w:jc w:val="both"/>
            </w:pPr>
            <w:r w:rsidRPr="00B466D9">
              <w:t>Sabiedrības līdzdalības nodrošināšanai plānotas šādas darbības</w:t>
            </w:r>
            <w:r>
              <w:t>:</w:t>
            </w:r>
          </w:p>
          <w:p w14:paraId="4CBE9DB4" w14:textId="222D8E3C" w:rsidR="0084702D" w:rsidRPr="00C7141D" w:rsidRDefault="0084702D" w:rsidP="00DD0091">
            <w:pPr>
              <w:pStyle w:val="ListParagraph"/>
              <w:numPr>
                <w:ilvl w:val="0"/>
                <w:numId w:val="5"/>
              </w:numPr>
              <w:spacing w:after="0" w:line="240" w:lineRule="auto"/>
              <w:ind w:left="394"/>
              <w:jc w:val="both"/>
              <w:rPr>
                <w:rFonts w:ascii="Times New Roman" w:hAnsi="Times New Roman"/>
                <w:sz w:val="24"/>
              </w:rPr>
            </w:pPr>
            <w:r w:rsidRPr="00C7141D">
              <w:rPr>
                <w:rFonts w:ascii="Times New Roman" w:hAnsi="Times New Roman"/>
                <w:sz w:val="24"/>
              </w:rPr>
              <w:t>MK rīkojuma projekt</w:t>
            </w:r>
            <w:r w:rsidR="00B466D9">
              <w:rPr>
                <w:rFonts w:ascii="Times New Roman" w:hAnsi="Times New Roman"/>
                <w:sz w:val="24"/>
              </w:rPr>
              <w:t>a</w:t>
            </w:r>
            <w:r w:rsidRPr="00C7141D">
              <w:rPr>
                <w:rFonts w:ascii="Times New Roman" w:hAnsi="Times New Roman"/>
                <w:sz w:val="24"/>
              </w:rPr>
              <w:t xml:space="preserve"> publicē</w:t>
            </w:r>
            <w:r w:rsidR="00B466D9">
              <w:rPr>
                <w:rFonts w:ascii="Times New Roman" w:hAnsi="Times New Roman"/>
                <w:sz w:val="24"/>
              </w:rPr>
              <w:t>šana</w:t>
            </w:r>
            <w:r w:rsidRPr="00C7141D">
              <w:rPr>
                <w:rFonts w:ascii="Times New Roman" w:hAnsi="Times New Roman"/>
                <w:sz w:val="24"/>
              </w:rPr>
              <w:t xml:space="preserve"> tīmekļa vietnē </w:t>
            </w:r>
            <w:hyperlink r:id="rId8" w:history="1">
              <w:r w:rsidRPr="00C7141D">
                <w:rPr>
                  <w:rStyle w:val="Hyperlink"/>
                  <w:rFonts w:ascii="Times New Roman" w:hAnsi="Times New Roman"/>
                  <w:sz w:val="24"/>
                </w:rPr>
                <w:t>www.esfondi.lv</w:t>
              </w:r>
            </w:hyperlink>
            <w:r w:rsidRPr="00C7141D">
              <w:rPr>
                <w:rFonts w:ascii="Times New Roman" w:hAnsi="Times New Roman"/>
                <w:sz w:val="24"/>
              </w:rPr>
              <w:t xml:space="preserve">. </w:t>
            </w:r>
          </w:p>
          <w:p w14:paraId="113D632F" w14:textId="3F1E276A" w:rsidR="00BD5588" w:rsidRPr="00C7141D" w:rsidRDefault="0084702D" w:rsidP="00C7141D">
            <w:pPr>
              <w:pStyle w:val="ListParagraph"/>
              <w:numPr>
                <w:ilvl w:val="0"/>
                <w:numId w:val="5"/>
              </w:numPr>
              <w:spacing w:after="0" w:line="240" w:lineRule="auto"/>
              <w:ind w:left="394"/>
              <w:jc w:val="both"/>
              <w:rPr>
                <w:rFonts w:ascii="Times New Roman" w:hAnsi="Times New Roman"/>
                <w:sz w:val="24"/>
              </w:rPr>
            </w:pPr>
            <w:r w:rsidRPr="00C7141D">
              <w:rPr>
                <w:rFonts w:ascii="Times New Roman" w:hAnsi="Times New Roman"/>
                <w:sz w:val="24"/>
              </w:rPr>
              <w:t>D</w:t>
            </w:r>
            <w:r w:rsidR="00DD0091" w:rsidRPr="00C7141D">
              <w:rPr>
                <w:rFonts w:ascii="Times New Roman" w:hAnsi="Times New Roman"/>
                <w:sz w:val="24"/>
              </w:rPr>
              <w:t>arbības programmas grozījum</w:t>
            </w:r>
            <w:r w:rsidR="00B466D9">
              <w:rPr>
                <w:rFonts w:ascii="Times New Roman" w:hAnsi="Times New Roman"/>
                <w:sz w:val="24"/>
              </w:rPr>
              <w:t>u</w:t>
            </w:r>
            <w:r w:rsidRPr="00C7141D">
              <w:rPr>
                <w:rFonts w:ascii="Times New Roman" w:hAnsi="Times New Roman"/>
                <w:sz w:val="24"/>
              </w:rPr>
              <w:t xml:space="preserve"> saskaņo</w:t>
            </w:r>
            <w:r w:rsidR="00B466D9">
              <w:rPr>
                <w:rFonts w:ascii="Times New Roman" w:hAnsi="Times New Roman"/>
                <w:sz w:val="24"/>
              </w:rPr>
              <w:t>šana</w:t>
            </w:r>
            <w:r w:rsidRPr="00C7141D">
              <w:rPr>
                <w:rFonts w:ascii="Times New Roman" w:hAnsi="Times New Roman"/>
                <w:sz w:val="24"/>
              </w:rPr>
              <w:t xml:space="preserve"> </w:t>
            </w:r>
            <w:r w:rsidR="00AE3564" w:rsidRPr="00C7141D">
              <w:rPr>
                <w:rFonts w:ascii="Times New Roman" w:hAnsi="Times New Roman"/>
                <w:sz w:val="24"/>
              </w:rPr>
              <w:t>ES fondu 2014.–2020. gada plānošanas perioda uzraudzības</w:t>
            </w:r>
            <w:r w:rsidR="002F5146" w:rsidRPr="00C7141D">
              <w:rPr>
                <w:rFonts w:ascii="Times New Roman" w:hAnsi="Times New Roman"/>
                <w:sz w:val="24"/>
              </w:rPr>
              <w:t xml:space="preserve"> komitejas rakstisk</w:t>
            </w:r>
            <w:r w:rsidR="00641154" w:rsidRPr="00C7141D">
              <w:rPr>
                <w:rFonts w:ascii="Times New Roman" w:hAnsi="Times New Roman"/>
                <w:sz w:val="24"/>
              </w:rPr>
              <w:t>ā</w:t>
            </w:r>
            <w:r w:rsidR="002F5146" w:rsidRPr="00C7141D">
              <w:rPr>
                <w:rFonts w:ascii="Times New Roman" w:hAnsi="Times New Roman"/>
                <w:sz w:val="24"/>
              </w:rPr>
              <w:t>s</w:t>
            </w:r>
            <w:r w:rsidR="00641154" w:rsidRPr="00C7141D">
              <w:rPr>
                <w:rFonts w:ascii="Times New Roman" w:hAnsi="Times New Roman"/>
                <w:sz w:val="24"/>
              </w:rPr>
              <w:t xml:space="preserve"> procedūras ietvaros</w:t>
            </w:r>
            <w:r w:rsidR="007A743E" w:rsidRPr="00C7141D">
              <w:rPr>
                <w:rFonts w:ascii="Times New Roman" w:hAnsi="Times New Roman"/>
                <w:sz w:val="24"/>
              </w:rPr>
              <w:t xml:space="preserve">, </w:t>
            </w:r>
            <w:r w:rsidR="00DD0091" w:rsidRPr="00C7141D">
              <w:rPr>
                <w:rFonts w:ascii="Times New Roman" w:hAnsi="Times New Roman"/>
                <w:sz w:val="24"/>
              </w:rPr>
              <w:t xml:space="preserve">t. sk. </w:t>
            </w:r>
            <w:r w:rsidR="007A743E" w:rsidRPr="00C7141D">
              <w:rPr>
                <w:rFonts w:ascii="Times New Roman" w:hAnsi="Times New Roman"/>
                <w:sz w:val="24"/>
              </w:rPr>
              <w:t>publicējot grozījumu pr</w:t>
            </w:r>
            <w:r w:rsidR="00862131" w:rsidRPr="00C7141D">
              <w:rPr>
                <w:rFonts w:ascii="Times New Roman" w:hAnsi="Times New Roman"/>
                <w:sz w:val="24"/>
              </w:rPr>
              <w:t>iekšlikumu ES fondu 2014.–2020. </w:t>
            </w:r>
            <w:r w:rsidR="007A743E" w:rsidRPr="00C7141D">
              <w:rPr>
                <w:rFonts w:ascii="Times New Roman" w:hAnsi="Times New Roman"/>
                <w:sz w:val="24"/>
              </w:rPr>
              <w:t xml:space="preserve">gada plānošanas perioda uzraudzības komitejas tīmekļa vietnē </w:t>
            </w:r>
            <w:hyperlink r:id="rId9" w:history="1">
              <w:r w:rsidR="007A743E" w:rsidRPr="00C7141D">
                <w:rPr>
                  <w:rStyle w:val="Hyperlink"/>
                  <w:rFonts w:ascii="Times New Roman" w:hAnsi="Times New Roman"/>
                  <w:sz w:val="24"/>
                </w:rPr>
                <w:t>https://komitejas.esfondi.lv</w:t>
              </w:r>
            </w:hyperlink>
            <w:r w:rsidRPr="00C7141D">
              <w:rPr>
                <w:rFonts w:ascii="Times New Roman" w:hAnsi="Times New Roman"/>
                <w:sz w:val="24"/>
              </w:rPr>
              <w:t>.</w:t>
            </w:r>
          </w:p>
        </w:tc>
      </w:tr>
      <w:tr w:rsidR="00641154" w:rsidRPr="00200F43" w14:paraId="132D14B3" w14:textId="77777777" w:rsidTr="002D1644">
        <w:trPr>
          <w:cantSplit/>
        </w:trPr>
        <w:tc>
          <w:tcPr>
            <w:tcW w:w="311" w:type="pct"/>
            <w:shd w:val="clear" w:color="auto" w:fill="auto"/>
            <w:hideMark/>
          </w:tcPr>
          <w:p w14:paraId="169B019B" w14:textId="77777777" w:rsidR="00641154" w:rsidRPr="00C7141D" w:rsidRDefault="00641154" w:rsidP="00BA0575">
            <w:pPr>
              <w:jc w:val="center"/>
            </w:pPr>
            <w:r w:rsidRPr="00C7141D">
              <w:t>2.</w:t>
            </w:r>
          </w:p>
        </w:tc>
        <w:tc>
          <w:tcPr>
            <w:tcW w:w="1479" w:type="pct"/>
            <w:shd w:val="clear" w:color="auto" w:fill="auto"/>
            <w:hideMark/>
          </w:tcPr>
          <w:p w14:paraId="5399592B" w14:textId="77777777" w:rsidR="00641154" w:rsidRPr="00C7141D" w:rsidRDefault="00641154" w:rsidP="004E5FF0">
            <w:r w:rsidRPr="00C7141D">
              <w:t>Sabiedrības līdzdalība projekta izstrādē</w:t>
            </w:r>
          </w:p>
        </w:tc>
        <w:tc>
          <w:tcPr>
            <w:tcW w:w="3210" w:type="pct"/>
            <w:shd w:val="clear" w:color="auto" w:fill="auto"/>
            <w:hideMark/>
          </w:tcPr>
          <w:p w14:paraId="0D81F4FF" w14:textId="789D6092" w:rsidR="00DD0091" w:rsidRPr="00C7141D" w:rsidRDefault="00641154" w:rsidP="00DD0091">
            <w:pPr>
              <w:ind w:right="44"/>
              <w:jc w:val="both"/>
            </w:pPr>
            <w:r w:rsidRPr="00C7141D">
              <w:t>Sabiedrības līdzdalība nodrošināta</w:t>
            </w:r>
            <w:r w:rsidR="00B466D9">
              <w:t xml:space="preserve">, </w:t>
            </w:r>
            <w:r w:rsidR="00B466D9" w:rsidRPr="00B466D9">
              <w:t>paralēli virzot saskaņošanai</w:t>
            </w:r>
            <w:r w:rsidR="00B466D9">
              <w:t xml:space="preserve"> </w:t>
            </w:r>
            <w:r w:rsidR="00DD0091" w:rsidRPr="00C7141D">
              <w:t xml:space="preserve">darbības programmas </w:t>
            </w:r>
            <w:r w:rsidR="007A743E" w:rsidRPr="00C7141D">
              <w:t xml:space="preserve">grozījumu priekšlikumu </w:t>
            </w:r>
            <w:r w:rsidR="00862131" w:rsidRPr="00C7141D">
              <w:t>ES fondu</w:t>
            </w:r>
            <w:r w:rsidR="00DD0091" w:rsidRPr="00C7141D">
              <w:t xml:space="preserve"> </w:t>
            </w:r>
            <w:r w:rsidR="00862131" w:rsidRPr="00C7141D">
              <w:t>2014.–2020. </w:t>
            </w:r>
            <w:r w:rsidRPr="00C7141D">
              <w:t>gada plānošanas perioda uzraudzības komitej</w:t>
            </w:r>
            <w:r w:rsidR="007A743E" w:rsidRPr="00C7141D">
              <w:t>ā</w:t>
            </w:r>
            <w:r w:rsidR="000C3C66" w:rsidRPr="00C7141D">
              <w:t>,</w:t>
            </w:r>
            <w:r w:rsidR="000C3C66" w:rsidRPr="00200F43">
              <w:t xml:space="preserve"> </w:t>
            </w:r>
            <w:r w:rsidR="000C3C66" w:rsidRPr="00C7141D">
              <w:t>kur pārstāvētas gan  nozares ministrijas, gan sociālie un sadarbības partneri,</w:t>
            </w:r>
            <w:r w:rsidR="007A743E" w:rsidRPr="00C7141D">
              <w:t xml:space="preserve"> rakstisk</w:t>
            </w:r>
            <w:r w:rsidRPr="00C7141D">
              <w:t>ā</w:t>
            </w:r>
            <w:r w:rsidR="007A743E" w:rsidRPr="00C7141D">
              <w:t>s procedūras ietvaros</w:t>
            </w:r>
            <w:r w:rsidR="00DD0091" w:rsidRPr="00C7141D">
              <w:t>. Rakstiskā procedūra</w:t>
            </w:r>
            <w:r w:rsidRPr="00C7141D">
              <w:t xml:space="preserve"> uzsākta </w:t>
            </w:r>
            <w:r w:rsidR="004F222B" w:rsidRPr="00C7141D">
              <w:t>2020</w:t>
            </w:r>
            <w:r w:rsidR="00862131" w:rsidRPr="00C7141D">
              <w:t>. </w:t>
            </w:r>
            <w:r w:rsidRPr="00C7141D">
              <w:t>gad</w:t>
            </w:r>
            <w:r w:rsidR="00DE23FF" w:rsidRPr="00C7141D">
              <w:t xml:space="preserve">a </w:t>
            </w:r>
            <w:r w:rsidR="00B466D9" w:rsidRPr="00C7141D">
              <w:t>8</w:t>
            </w:r>
            <w:r w:rsidR="004F222B" w:rsidRPr="00C7141D">
              <w:t>.janvā</w:t>
            </w:r>
            <w:r w:rsidR="008D3C78" w:rsidRPr="00C7141D">
              <w:t>rī</w:t>
            </w:r>
            <w:r w:rsidR="00AD4574" w:rsidRPr="00C7141D">
              <w:t>.</w:t>
            </w:r>
          </w:p>
          <w:p w14:paraId="3CFEB9DC" w14:textId="2872AF71" w:rsidR="00641154" w:rsidRPr="00C7141D" w:rsidRDefault="004F222B" w:rsidP="00B466D9">
            <w:pPr>
              <w:ind w:right="44"/>
              <w:jc w:val="both"/>
            </w:pPr>
            <w:r w:rsidRPr="00C7141D">
              <w:t xml:space="preserve">2020. gada </w:t>
            </w:r>
            <w:r w:rsidR="00B466D9" w:rsidRPr="00C7141D">
              <w:t>8</w:t>
            </w:r>
            <w:r w:rsidRPr="00C7141D">
              <w:t xml:space="preserve">.janvārī </w:t>
            </w:r>
            <w:r w:rsidR="00DD0091" w:rsidRPr="00C7141D">
              <w:t xml:space="preserve">darbības programmas </w:t>
            </w:r>
            <w:r w:rsidR="00641154" w:rsidRPr="00C7141D">
              <w:t>grozījumu priekšlikum</w:t>
            </w:r>
            <w:r w:rsidR="00DD0091" w:rsidRPr="00C7141D">
              <w:t>s publicēts un bija publiski pieejams arī</w:t>
            </w:r>
            <w:r w:rsidR="00862131" w:rsidRPr="00C7141D">
              <w:t xml:space="preserve"> </w:t>
            </w:r>
            <w:r w:rsidR="00641154" w:rsidRPr="00C7141D">
              <w:t xml:space="preserve">tīmekļa vietnē </w:t>
            </w:r>
            <w:hyperlink r:id="rId10" w:history="1">
              <w:r w:rsidR="007A743E" w:rsidRPr="00C7141D">
                <w:rPr>
                  <w:rStyle w:val="Hyperlink"/>
                </w:rPr>
                <w:t>www.esfondi.lv</w:t>
              </w:r>
            </w:hyperlink>
            <w:r w:rsidR="00641154" w:rsidRPr="00C7141D">
              <w:t>.</w:t>
            </w:r>
          </w:p>
        </w:tc>
      </w:tr>
      <w:tr w:rsidR="00641154" w:rsidRPr="00200F43" w14:paraId="388BC388" w14:textId="77777777" w:rsidTr="002D1644">
        <w:trPr>
          <w:cantSplit/>
        </w:trPr>
        <w:tc>
          <w:tcPr>
            <w:tcW w:w="311" w:type="pct"/>
            <w:shd w:val="clear" w:color="auto" w:fill="auto"/>
            <w:hideMark/>
          </w:tcPr>
          <w:p w14:paraId="437FE075" w14:textId="77777777" w:rsidR="00641154" w:rsidRPr="00C7141D" w:rsidRDefault="00641154" w:rsidP="00BA0575">
            <w:pPr>
              <w:jc w:val="center"/>
            </w:pPr>
            <w:r w:rsidRPr="00C7141D">
              <w:t>3.</w:t>
            </w:r>
          </w:p>
        </w:tc>
        <w:tc>
          <w:tcPr>
            <w:tcW w:w="1479" w:type="pct"/>
            <w:shd w:val="clear" w:color="auto" w:fill="auto"/>
            <w:hideMark/>
          </w:tcPr>
          <w:p w14:paraId="1BD2C2A5" w14:textId="77777777" w:rsidR="00641154" w:rsidRPr="00C7141D" w:rsidRDefault="00641154" w:rsidP="004E5FF0">
            <w:r w:rsidRPr="00C7141D">
              <w:t>Sabiedrības līdzdalības rezultāti</w:t>
            </w:r>
          </w:p>
        </w:tc>
        <w:tc>
          <w:tcPr>
            <w:tcW w:w="3210" w:type="pct"/>
            <w:shd w:val="clear" w:color="auto" w:fill="auto"/>
            <w:hideMark/>
          </w:tcPr>
          <w:p w14:paraId="7F81FB1F" w14:textId="38A51FEF" w:rsidR="00641154" w:rsidRPr="00C7141D" w:rsidRDefault="00641154" w:rsidP="00DD0091">
            <w:r w:rsidRPr="00C7141D">
              <w:t>Iebildumi un priekšlikumi nav saņemti.</w:t>
            </w:r>
          </w:p>
        </w:tc>
      </w:tr>
      <w:tr w:rsidR="00641154" w:rsidRPr="00200F43" w14:paraId="28A6D3BD" w14:textId="77777777" w:rsidTr="002D1644">
        <w:trPr>
          <w:cantSplit/>
        </w:trPr>
        <w:tc>
          <w:tcPr>
            <w:tcW w:w="311" w:type="pct"/>
            <w:shd w:val="clear" w:color="auto" w:fill="auto"/>
            <w:hideMark/>
          </w:tcPr>
          <w:p w14:paraId="64D90834" w14:textId="77777777" w:rsidR="00641154" w:rsidRPr="00C7141D" w:rsidRDefault="00641154" w:rsidP="00BA0575">
            <w:pPr>
              <w:jc w:val="center"/>
            </w:pPr>
            <w:r w:rsidRPr="00C7141D">
              <w:t>4.</w:t>
            </w:r>
          </w:p>
        </w:tc>
        <w:tc>
          <w:tcPr>
            <w:tcW w:w="1479" w:type="pct"/>
            <w:shd w:val="clear" w:color="auto" w:fill="auto"/>
            <w:hideMark/>
          </w:tcPr>
          <w:p w14:paraId="751C9DE3" w14:textId="77777777" w:rsidR="00641154" w:rsidRPr="00C7141D" w:rsidRDefault="00641154" w:rsidP="004E5FF0">
            <w:r w:rsidRPr="00C7141D">
              <w:t>Cita informācija</w:t>
            </w:r>
          </w:p>
        </w:tc>
        <w:tc>
          <w:tcPr>
            <w:tcW w:w="3210" w:type="pct"/>
            <w:shd w:val="clear" w:color="auto" w:fill="auto"/>
            <w:hideMark/>
          </w:tcPr>
          <w:p w14:paraId="65E1F5FD" w14:textId="1C2712B8" w:rsidR="00641154" w:rsidRPr="00C7141D" w:rsidRDefault="00641154" w:rsidP="00DD0091">
            <w:r w:rsidRPr="00C7141D">
              <w:t>Nav.</w:t>
            </w:r>
          </w:p>
        </w:tc>
      </w:tr>
    </w:tbl>
    <w:p w14:paraId="71BA30F9" w14:textId="77777777" w:rsidR="001B1A3C" w:rsidRPr="00C7141D" w:rsidRDefault="001B1A3C" w:rsidP="00DD0091">
      <w:pPr>
        <w:pStyle w:val="Title"/>
        <w:spacing w:before="130"/>
        <w:ind w:firstLine="539"/>
        <w:jc w:val="both"/>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200F43" w14:paraId="2903BBE8" w14:textId="77777777" w:rsidTr="009E0502">
        <w:trPr>
          <w:cantSplit/>
        </w:trPr>
        <w:tc>
          <w:tcPr>
            <w:tcW w:w="5000" w:type="pct"/>
            <w:gridSpan w:val="3"/>
            <w:vAlign w:val="center"/>
            <w:hideMark/>
          </w:tcPr>
          <w:p w14:paraId="124981C2" w14:textId="77777777" w:rsidR="00BD5588" w:rsidRPr="00C7141D" w:rsidRDefault="00BD5588" w:rsidP="00BA0575">
            <w:pPr>
              <w:jc w:val="center"/>
              <w:rPr>
                <w:b/>
              </w:rPr>
            </w:pPr>
            <w:r w:rsidRPr="00C7141D">
              <w:rPr>
                <w:b/>
              </w:rPr>
              <w:t>VII. Tiesību akta projekta izpildes nodrošināšana un tās ietekme uz institūcijām</w:t>
            </w:r>
          </w:p>
        </w:tc>
      </w:tr>
      <w:tr w:rsidR="00BD5588" w:rsidRPr="00200F43" w14:paraId="6A94A9C7" w14:textId="77777777" w:rsidTr="009E0502">
        <w:trPr>
          <w:cantSplit/>
        </w:trPr>
        <w:tc>
          <w:tcPr>
            <w:tcW w:w="311" w:type="pct"/>
            <w:hideMark/>
          </w:tcPr>
          <w:p w14:paraId="0F4C7140" w14:textId="77777777" w:rsidR="00BD5588" w:rsidRPr="00C7141D" w:rsidRDefault="00BD5588" w:rsidP="00BA0575">
            <w:pPr>
              <w:jc w:val="center"/>
            </w:pPr>
            <w:r w:rsidRPr="00C7141D">
              <w:t>1.</w:t>
            </w:r>
          </w:p>
        </w:tc>
        <w:tc>
          <w:tcPr>
            <w:tcW w:w="1479" w:type="pct"/>
            <w:hideMark/>
          </w:tcPr>
          <w:p w14:paraId="02A1600C" w14:textId="77777777" w:rsidR="00BD5588" w:rsidRPr="00C7141D" w:rsidRDefault="00BD5588" w:rsidP="004E5FF0">
            <w:r w:rsidRPr="00C7141D">
              <w:t>Projekta izpildē iesaistītās institūcijas</w:t>
            </w:r>
          </w:p>
        </w:tc>
        <w:tc>
          <w:tcPr>
            <w:tcW w:w="3210" w:type="pct"/>
            <w:hideMark/>
          </w:tcPr>
          <w:p w14:paraId="03EE5DE4" w14:textId="0FB2ACC2" w:rsidR="00BD5588" w:rsidRPr="00C7141D" w:rsidRDefault="006B5440" w:rsidP="00DD0091">
            <w:pPr>
              <w:jc w:val="both"/>
            </w:pPr>
            <w:r w:rsidRPr="00C7141D">
              <w:t xml:space="preserve">ES fondu vadībā iesaistītās institūcijas saskaņā ar </w:t>
            </w:r>
            <w:r w:rsidR="00DD0091" w:rsidRPr="00C7141D">
              <w:t>Eiropas Savienības struktūrfondu un Kohēzijas fonda 2014.–2020. gada plānošanas perioda vadības likumā</w:t>
            </w:r>
            <w:r w:rsidR="00DD0091" w:rsidRPr="00C7141D" w:rsidDel="00DD0091">
              <w:t xml:space="preserve"> </w:t>
            </w:r>
            <w:r w:rsidRPr="00C7141D">
              <w:t>noteikto.</w:t>
            </w:r>
          </w:p>
        </w:tc>
      </w:tr>
      <w:tr w:rsidR="006B5440" w:rsidRPr="00200F43" w14:paraId="293D4712" w14:textId="77777777" w:rsidTr="009E0502">
        <w:trPr>
          <w:cantSplit/>
        </w:trPr>
        <w:tc>
          <w:tcPr>
            <w:tcW w:w="311" w:type="pct"/>
            <w:hideMark/>
          </w:tcPr>
          <w:p w14:paraId="64421FBB" w14:textId="77777777" w:rsidR="006B5440" w:rsidRPr="00C7141D" w:rsidRDefault="006B5440" w:rsidP="00BA0575">
            <w:pPr>
              <w:jc w:val="center"/>
            </w:pPr>
            <w:r w:rsidRPr="00C7141D">
              <w:t>2.</w:t>
            </w:r>
          </w:p>
        </w:tc>
        <w:tc>
          <w:tcPr>
            <w:tcW w:w="1479" w:type="pct"/>
            <w:hideMark/>
          </w:tcPr>
          <w:p w14:paraId="57C841CB" w14:textId="77777777" w:rsidR="006B5440" w:rsidRPr="00C7141D" w:rsidRDefault="006B5440" w:rsidP="004E5FF0">
            <w:r w:rsidRPr="00C7141D">
              <w:t>Projekta izpildes ietekme uz pārvaldes funkcijām un institucionālo struktūru.</w:t>
            </w:r>
            <w:r w:rsidRPr="00C7141D">
              <w:br/>
              <w:t>Jaunu institūciju izveide, esošu institūciju likvidācija vai reorganizācija, to ietekme uz institūcijas cilvēkresursiem</w:t>
            </w:r>
          </w:p>
        </w:tc>
        <w:tc>
          <w:tcPr>
            <w:tcW w:w="3210" w:type="pct"/>
            <w:hideMark/>
          </w:tcPr>
          <w:p w14:paraId="36EB483A" w14:textId="77777777" w:rsidR="000949A9" w:rsidRPr="00C7141D" w:rsidRDefault="000949A9" w:rsidP="000949A9">
            <w:pPr>
              <w:jc w:val="both"/>
            </w:pPr>
            <w:r w:rsidRPr="00C7141D">
              <w:t>Iesaistītās institūcijas noteikumu projekta izpildi nodrošina to esošo funkciju un uzdevumu ietvaros.</w:t>
            </w:r>
          </w:p>
          <w:p w14:paraId="7B3E9C81" w14:textId="77777777" w:rsidR="000949A9" w:rsidRPr="00C7141D" w:rsidRDefault="000949A9" w:rsidP="000949A9">
            <w:pPr>
              <w:jc w:val="both"/>
            </w:pPr>
            <w:r w:rsidRPr="00C7141D">
              <w:t>Funkcijas un uzdevumi netiek grozīti. Jaunu institūciju izveide, esošo institūciju likvidācija vai reorganizācija netiek paredzēta.</w:t>
            </w:r>
          </w:p>
          <w:p w14:paraId="3890E210" w14:textId="27C51049" w:rsidR="006B5440" w:rsidRPr="00C7141D" w:rsidRDefault="000949A9" w:rsidP="000949A9">
            <w:pPr>
              <w:pStyle w:val="ListParagraph"/>
              <w:shd w:val="clear" w:color="auto" w:fill="FFFFFF"/>
              <w:spacing w:after="0" w:line="240" w:lineRule="auto"/>
              <w:ind w:left="0" w:right="57"/>
              <w:contextualSpacing w:val="0"/>
              <w:jc w:val="both"/>
              <w:rPr>
                <w:rFonts w:ascii="Times New Roman" w:hAnsi="Times New Roman"/>
                <w:sz w:val="24"/>
              </w:rPr>
            </w:pPr>
            <w:r w:rsidRPr="00C7141D">
              <w:rPr>
                <w:rFonts w:ascii="Times New Roman" w:hAnsi="Times New Roman"/>
                <w:sz w:val="24"/>
              </w:rPr>
              <w:t>Rīkojuma projekts tiks realizēts esošo resursu ietvaros.</w:t>
            </w:r>
          </w:p>
        </w:tc>
      </w:tr>
      <w:tr w:rsidR="006B5440" w:rsidRPr="00200F43" w14:paraId="3F0C0D87" w14:textId="77777777" w:rsidTr="009E0502">
        <w:trPr>
          <w:cantSplit/>
        </w:trPr>
        <w:tc>
          <w:tcPr>
            <w:tcW w:w="311" w:type="pct"/>
            <w:hideMark/>
          </w:tcPr>
          <w:p w14:paraId="2EDC4D6A" w14:textId="77777777" w:rsidR="006B5440" w:rsidRPr="00C7141D" w:rsidRDefault="006B5440" w:rsidP="00BA0575">
            <w:pPr>
              <w:jc w:val="center"/>
            </w:pPr>
            <w:r w:rsidRPr="00C7141D">
              <w:t>3.</w:t>
            </w:r>
          </w:p>
        </w:tc>
        <w:tc>
          <w:tcPr>
            <w:tcW w:w="1479" w:type="pct"/>
            <w:hideMark/>
          </w:tcPr>
          <w:p w14:paraId="5492A71C" w14:textId="77777777" w:rsidR="006B5440" w:rsidRPr="00C7141D" w:rsidRDefault="006B5440" w:rsidP="004E5FF0">
            <w:r w:rsidRPr="00C7141D">
              <w:t>Cita informācija</w:t>
            </w:r>
          </w:p>
        </w:tc>
        <w:tc>
          <w:tcPr>
            <w:tcW w:w="3210" w:type="pct"/>
            <w:hideMark/>
          </w:tcPr>
          <w:p w14:paraId="1921C194" w14:textId="77777777" w:rsidR="006B5440" w:rsidRPr="00C7141D" w:rsidRDefault="006B5440" w:rsidP="00DD0091">
            <w:r w:rsidRPr="00C7141D">
              <w:t>Nav.</w:t>
            </w:r>
          </w:p>
        </w:tc>
      </w:tr>
    </w:tbl>
    <w:p w14:paraId="7AB693BB" w14:textId="77777777" w:rsidR="00EE7372" w:rsidRPr="00200F43" w:rsidRDefault="00EE7372" w:rsidP="00BA0575">
      <w:pPr>
        <w:tabs>
          <w:tab w:val="left" w:pos="4680"/>
        </w:tabs>
        <w:ind w:left="567"/>
      </w:pPr>
    </w:p>
    <w:p w14:paraId="5F9B5699" w14:textId="77777777" w:rsidR="00EE7372" w:rsidRPr="00200F43" w:rsidRDefault="00EE7372" w:rsidP="004E5FF0">
      <w:pPr>
        <w:tabs>
          <w:tab w:val="left" w:pos="4680"/>
        </w:tabs>
        <w:ind w:left="567"/>
      </w:pPr>
    </w:p>
    <w:p w14:paraId="5876CECE" w14:textId="7516FA25" w:rsidR="00EE7372" w:rsidRPr="00C7141D" w:rsidRDefault="00EE7372" w:rsidP="00DD0091">
      <w:pPr>
        <w:tabs>
          <w:tab w:val="left" w:pos="4680"/>
        </w:tabs>
        <w:ind w:left="567"/>
      </w:pPr>
      <w:r w:rsidRPr="00200F43">
        <w:t>Finanšu ministr</w:t>
      </w:r>
      <w:r w:rsidR="005D5A02" w:rsidRPr="00200F43">
        <w:t>s</w:t>
      </w:r>
      <w:r w:rsidRPr="00200F43">
        <w:tab/>
      </w:r>
      <w:r w:rsidRPr="00200F43">
        <w:tab/>
      </w:r>
      <w:r w:rsidRPr="00200F43">
        <w:tab/>
      </w:r>
      <w:r w:rsidR="005D5A02" w:rsidRPr="00C7141D">
        <w:t xml:space="preserve">                                </w:t>
      </w:r>
      <w:r w:rsidR="005D5A02" w:rsidRPr="00200F43">
        <w:t>J.Reirs</w:t>
      </w:r>
    </w:p>
    <w:p w14:paraId="60E89D6F" w14:textId="77777777" w:rsidR="00EE7372" w:rsidRPr="00C17043" w:rsidRDefault="00EE7372" w:rsidP="00DD0091">
      <w:pPr>
        <w:tabs>
          <w:tab w:val="left" w:pos="4680"/>
        </w:tabs>
        <w:rPr>
          <w:sz w:val="22"/>
          <w:szCs w:val="22"/>
        </w:rPr>
      </w:pPr>
    </w:p>
    <w:p w14:paraId="18B89333" w14:textId="77777777" w:rsidR="009625CE" w:rsidRPr="00027F09" w:rsidRDefault="009625CE" w:rsidP="009625CE">
      <w:pPr>
        <w:rPr>
          <w:sz w:val="20"/>
        </w:rPr>
      </w:pPr>
      <w:r w:rsidRPr="00027F09">
        <w:rPr>
          <w:sz w:val="20"/>
        </w:rPr>
        <w:t>Sorokina, 67083839</w:t>
      </w:r>
      <w:r w:rsidRPr="00027F09">
        <w:rPr>
          <w:sz w:val="20"/>
        </w:rPr>
        <w:tab/>
      </w:r>
    </w:p>
    <w:p w14:paraId="2BE00842" w14:textId="52C15C1D" w:rsidR="006B5440" w:rsidRPr="00C17043" w:rsidRDefault="009625CE" w:rsidP="009625CE">
      <w:pPr>
        <w:rPr>
          <w:sz w:val="20"/>
          <w:szCs w:val="22"/>
        </w:rPr>
      </w:pPr>
      <w:r w:rsidRPr="00027F09">
        <w:rPr>
          <w:sz w:val="20"/>
        </w:rPr>
        <w:t>Jekaterina.Sorokina@fm.gov.lv</w:t>
      </w:r>
    </w:p>
    <w:sectPr w:rsidR="006B5440" w:rsidRPr="00C17043" w:rsidSect="002646C7">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FF06" w14:textId="77777777" w:rsidR="00CE2185" w:rsidRDefault="00CE2185" w:rsidP="00A96BDE">
      <w:r>
        <w:separator/>
      </w:r>
    </w:p>
  </w:endnote>
  <w:endnote w:type="continuationSeparator" w:id="0">
    <w:p w14:paraId="162B94CB" w14:textId="77777777" w:rsidR="00CE2185" w:rsidRDefault="00CE2185" w:rsidP="00A96BDE">
      <w:r>
        <w:continuationSeparator/>
      </w:r>
    </w:p>
  </w:endnote>
  <w:endnote w:type="continuationNotice" w:id="1">
    <w:p w14:paraId="0D5D640D" w14:textId="77777777" w:rsidR="00CE2185" w:rsidRDefault="00CE21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408F" w14:textId="77777777" w:rsidR="00150599" w:rsidRDefault="00150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C454" w14:textId="5E6C448F" w:rsidR="00583CE4" w:rsidRPr="005526F0" w:rsidRDefault="00BC0631">
    <w:pPr>
      <w:pStyle w:val="Footer"/>
      <w:rPr>
        <w:noProof/>
        <w:sz w:val="20"/>
        <w:szCs w:val="20"/>
      </w:rP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150599">
      <w:rPr>
        <w:noProof/>
        <w:sz w:val="20"/>
        <w:szCs w:val="20"/>
      </w:rPr>
      <w:t>FMAnot_</w:t>
    </w:r>
    <w:r w:rsidR="001705EC">
      <w:rPr>
        <w:noProof/>
        <w:sz w:val="20"/>
        <w:szCs w:val="20"/>
      </w:rPr>
      <w:t>060120</w:t>
    </w:r>
    <w:r w:rsidR="0060247F">
      <w:rPr>
        <w:noProof/>
        <w:sz w:val="20"/>
        <w:szCs w:val="20"/>
      </w:rPr>
      <w:t>_DP.docx</w:t>
    </w:r>
    <w:r w:rsidRPr="00861BA2">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A139E" w14:textId="5E8B95F2" w:rsidR="00BC0631" w:rsidRDefault="00BC0631">
    <w:pPr>
      <w:pStyle w:val="Footer"/>
    </w:pPr>
    <w:r w:rsidRPr="00861BA2">
      <w:rPr>
        <w:sz w:val="20"/>
        <w:szCs w:val="20"/>
      </w:rPr>
      <w:fldChar w:fldCharType="begin"/>
    </w:r>
    <w:r w:rsidRPr="00861BA2">
      <w:rPr>
        <w:sz w:val="20"/>
        <w:szCs w:val="20"/>
      </w:rPr>
      <w:instrText xml:space="preserve"> FILENAME   \* MERGEFORMAT </w:instrText>
    </w:r>
    <w:r w:rsidRPr="00861BA2">
      <w:rPr>
        <w:sz w:val="20"/>
        <w:szCs w:val="20"/>
      </w:rPr>
      <w:fldChar w:fldCharType="separate"/>
    </w:r>
    <w:r w:rsidR="005526F0">
      <w:rPr>
        <w:noProof/>
        <w:sz w:val="20"/>
        <w:szCs w:val="20"/>
      </w:rPr>
      <w:t>FMAnot_</w:t>
    </w:r>
    <w:r w:rsidR="001705EC">
      <w:rPr>
        <w:noProof/>
        <w:sz w:val="20"/>
        <w:szCs w:val="20"/>
      </w:rPr>
      <w:t>060120</w:t>
    </w:r>
    <w:r w:rsidR="0060247F">
      <w:rPr>
        <w:noProof/>
        <w:sz w:val="20"/>
        <w:szCs w:val="20"/>
      </w:rPr>
      <w:t>_DP.docx</w:t>
    </w:r>
    <w:r w:rsidRPr="00861BA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7E32A" w14:textId="77777777" w:rsidR="00CE2185" w:rsidRDefault="00CE2185" w:rsidP="00A96BDE">
      <w:r>
        <w:separator/>
      </w:r>
    </w:p>
  </w:footnote>
  <w:footnote w:type="continuationSeparator" w:id="0">
    <w:p w14:paraId="2BE39C0D" w14:textId="77777777" w:rsidR="00CE2185" w:rsidRDefault="00CE2185" w:rsidP="00A96BDE">
      <w:r>
        <w:continuationSeparator/>
      </w:r>
    </w:p>
  </w:footnote>
  <w:footnote w:type="continuationNotice" w:id="1">
    <w:p w14:paraId="41D14E2C" w14:textId="77777777" w:rsidR="00CE2185" w:rsidRDefault="00CE21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7A85D" w14:textId="77777777" w:rsidR="00150599" w:rsidRDefault="00150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816769"/>
      <w:docPartObj>
        <w:docPartGallery w:val="Page Numbers (Top of Page)"/>
        <w:docPartUnique/>
      </w:docPartObj>
    </w:sdtPr>
    <w:sdtEndPr>
      <w:rPr>
        <w:noProof/>
      </w:rPr>
    </w:sdtEndPr>
    <w:sdtContent>
      <w:p w14:paraId="52DA61A3" w14:textId="424027EF" w:rsidR="006B4A4B" w:rsidRDefault="006B4A4B">
        <w:pPr>
          <w:pStyle w:val="Header"/>
          <w:jc w:val="center"/>
        </w:pPr>
        <w:r>
          <w:fldChar w:fldCharType="begin"/>
        </w:r>
        <w:r>
          <w:instrText xml:space="preserve"> PAGE   \* MERGEFORMAT </w:instrText>
        </w:r>
        <w:r>
          <w:fldChar w:fldCharType="separate"/>
        </w:r>
        <w:r w:rsidR="00C7141D">
          <w:rPr>
            <w:noProof/>
          </w:rPr>
          <w:t>7</w:t>
        </w:r>
        <w:r>
          <w:rPr>
            <w:noProof/>
          </w:rPr>
          <w:fldChar w:fldCharType="end"/>
        </w:r>
      </w:p>
    </w:sdtContent>
  </w:sdt>
  <w:p w14:paraId="39CCD10C" w14:textId="77777777" w:rsidR="006B4A4B" w:rsidRDefault="006B4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D8790" w14:textId="77777777" w:rsidR="00150599" w:rsidRDefault="00150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0FC3"/>
    <w:multiLevelType w:val="hybridMultilevel"/>
    <w:tmpl w:val="48FAF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811EBA"/>
    <w:multiLevelType w:val="hybridMultilevel"/>
    <w:tmpl w:val="3B160D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061B60"/>
    <w:multiLevelType w:val="hybridMultilevel"/>
    <w:tmpl w:val="6696F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2DD5C66"/>
    <w:multiLevelType w:val="hybridMultilevel"/>
    <w:tmpl w:val="DBD87C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10422C"/>
    <w:multiLevelType w:val="hybridMultilevel"/>
    <w:tmpl w:val="C48CC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7458B0"/>
    <w:multiLevelType w:val="hybridMultilevel"/>
    <w:tmpl w:val="5C14D3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09729D7"/>
    <w:multiLevelType w:val="hybridMultilevel"/>
    <w:tmpl w:val="D2326C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6D51FA8"/>
    <w:multiLevelType w:val="hybridMultilevel"/>
    <w:tmpl w:val="4D30A5C6"/>
    <w:lvl w:ilvl="0" w:tplc="3B023EC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FA5993"/>
    <w:multiLevelType w:val="hybridMultilevel"/>
    <w:tmpl w:val="DBF263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B731988"/>
    <w:multiLevelType w:val="hybridMultilevel"/>
    <w:tmpl w:val="6C8EF7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C806BB3"/>
    <w:multiLevelType w:val="hybridMultilevel"/>
    <w:tmpl w:val="873C67EA"/>
    <w:lvl w:ilvl="0" w:tplc="D2D606E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4CC2C92"/>
    <w:multiLevelType w:val="hybridMultilevel"/>
    <w:tmpl w:val="C1C4125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8A60DE"/>
    <w:multiLevelType w:val="hybridMultilevel"/>
    <w:tmpl w:val="57AA94A2"/>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35B338E"/>
    <w:multiLevelType w:val="hybridMultilevel"/>
    <w:tmpl w:val="49BE8800"/>
    <w:lvl w:ilvl="0" w:tplc="341211C0">
      <w:start w:val="18"/>
      <w:numFmt w:val="bullet"/>
      <w:lvlText w:val="-"/>
      <w:lvlJc w:val="left"/>
      <w:pPr>
        <w:ind w:left="1080" w:hanging="360"/>
      </w:pPr>
      <w:rPr>
        <w:rFonts w:ascii="Calibri" w:eastAsia="Times New Roman" w:hAnsi="Calibri" w:cs="Calibri"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4" w15:restartNumberingAfterBreak="0">
    <w:nsid w:val="760D2179"/>
    <w:multiLevelType w:val="hybridMultilevel"/>
    <w:tmpl w:val="7BBAF6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10"/>
  </w:num>
  <w:num w:numId="5">
    <w:abstractNumId w:val="3"/>
  </w:num>
  <w:num w:numId="6">
    <w:abstractNumId w:val="12"/>
  </w:num>
  <w:num w:numId="7">
    <w:abstractNumId w:val="2"/>
  </w:num>
  <w:num w:numId="8">
    <w:abstractNumId w:val="4"/>
  </w:num>
  <w:num w:numId="9">
    <w:abstractNumId w:val="14"/>
  </w:num>
  <w:num w:numId="10">
    <w:abstractNumId w:val="5"/>
  </w:num>
  <w:num w:numId="11">
    <w:abstractNumId w:val="13"/>
  </w:num>
  <w:num w:numId="12">
    <w:abstractNumId w:val="9"/>
  </w:num>
  <w:num w:numId="13">
    <w:abstractNumId w:val="0"/>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3988"/>
    <w:rsid w:val="00005ED3"/>
    <w:rsid w:val="00013E3B"/>
    <w:rsid w:val="0001610B"/>
    <w:rsid w:val="000229A9"/>
    <w:rsid w:val="000252CB"/>
    <w:rsid w:val="0002725B"/>
    <w:rsid w:val="000304C5"/>
    <w:rsid w:val="0003733B"/>
    <w:rsid w:val="00051CD5"/>
    <w:rsid w:val="00056469"/>
    <w:rsid w:val="00056D2E"/>
    <w:rsid w:val="00067EF3"/>
    <w:rsid w:val="00072315"/>
    <w:rsid w:val="000729B6"/>
    <w:rsid w:val="00073285"/>
    <w:rsid w:val="0007343C"/>
    <w:rsid w:val="00080225"/>
    <w:rsid w:val="00084E41"/>
    <w:rsid w:val="00084E8C"/>
    <w:rsid w:val="00087782"/>
    <w:rsid w:val="00087CF0"/>
    <w:rsid w:val="00091C77"/>
    <w:rsid w:val="000949A9"/>
    <w:rsid w:val="000956DE"/>
    <w:rsid w:val="00096A3E"/>
    <w:rsid w:val="000A0D0D"/>
    <w:rsid w:val="000A1590"/>
    <w:rsid w:val="000A27BD"/>
    <w:rsid w:val="000A2A68"/>
    <w:rsid w:val="000A439C"/>
    <w:rsid w:val="000A7B17"/>
    <w:rsid w:val="000B0E5C"/>
    <w:rsid w:val="000C3671"/>
    <w:rsid w:val="000C3C66"/>
    <w:rsid w:val="000D51E5"/>
    <w:rsid w:val="000D5464"/>
    <w:rsid w:val="000D7381"/>
    <w:rsid w:val="000D7670"/>
    <w:rsid w:val="000E3C5D"/>
    <w:rsid w:val="000E4152"/>
    <w:rsid w:val="000F2CBB"/>
    <w:rsid w:val="000F791A"/>
    <w:rsid w:val="001001FF"/>
    <w:rsid w:val="00100A3D"/>
    <w:rsid w:val="00101650"/>
    <w:rsid w:val="001070A3"/>
    <w:rsid w:val="001108CC"/>
    <w:rsid w:val="00126F28"/>
    <w:rsid w:val="00132E08"/>
    <w:rsid w:val="001359BC"/>
    <w:rsid w:val="001377AB"/>
    <w:rsid w:val="001377BC"/>
    <w:rsid w:val="00137C0D"/>
    <w:rsid w:val="00137E58"/>
    <w:rsid w:val="00150599"/>
    <w:rsid w:val="00150801"/>
    <w:rsid w:val="00152BF3"/>
    <w:rsid w:val="00156EE9"/>
    <w:rsid w:val="0015763F"/>
    <w:rsid w:val="00157ADF"/>
    <w:rsid w:val="001602A6"/>
    <w:rsid w:val="00163248"/>
    <w:rsid w:val="001651F6"/>
    <w:rsid w:val="001657C7"/>
    <w:rsid w:val="001705EC"/>
    <w:rsid w:val="001775A7"/>
    <w:rsid w:val="00185BF4"/>
    <w:rsid w:val="0018727B"/>
    <w:rsid w:val="00190650"/>
    <w:rsid w:val="0019538F"/>
    <w:rsid w:val="001A1FE4"/>
    <w:rsid w:val="001B1505"/>
    <w:rsid w:val="001B1A3C"/>
    <w:rsid w:val="001B45C9"/>
    <w:rsid w:val="001B562B"/>
    <w:rsid w:val="001C320F"/>
    <w:rsid w:val="001C652D"/>
    <w:rsid w:val="001D0F9F"/>
    <w:rsid w:val="001E379D"/>
    <w:rsid w:val="001F621E"/>
    <w:rsid w:val="002007AD"/>
    <w:rsid w:val="00200F43"/>
    <w:rsid w:val="002017BB"/>
    <w:rsid w:val="0020465A"/>
    <w:rsid w:val="00211BD4"/>
    <w:rsid w:val="00216ABF"/>
    <w:rsid w:val="00217C8D"/>
    <w:rsid w:val="00225FE2"/>
    <w:rsid w:val="00226FC0"/>
    <w:rsid w:val="00235BB5"/>
    <w:rsid w:val="0023706F"/>
    <w:rsid w:val="00243A03"/>
    <w:rsid w:val="002444DB"/>
    <w:rsid w:val="00255CA2"/>
    <w:rsid w:val="0026071B"/>
    <w:rsid w:val="002646C7"/>
    <w:rsid w:val="00270CCF"/>
    <w:rsid w:val="002778AA"/>
    <w:rsid w:val="00281AE7"/>
    <w:rsid w:val="00286728"/>
    <w:rsid w:val="002925BA"/>
    <w:rsid w:val="0029322E"/>
    <w:rsid w:val="0029576A"/>
    <w:rsid w:val="002B001C"/>
    <w:rsid w:val="002B02A6"/>
    <w:rsid w:val="002B0936"/>
    <w:rsid w:val="002B0FB2"/>
    <w:rsid w:val="002C0AC2"/>
    <w:rsid w:val="002C516B"/>
    <w:rsid w:val="002C6ECD"/>
    <w:rsid w:val="002D04B5"/>
    <w:rsid w:val="002D1644"/>
    <w:rsid w:val="002E76F7"/>
    <w:rsid w:val="002F322D"/>
    <w:rsid w:val="002F5146"/>
    <w:rsid w:val="00307DB3"/>
    <w:rsid w:val="00316127"/>
    <w:rsid w:val="00317B85"/>
    <w:rsid w:val="0032113F"/>
    <w:rsid w:val="00323163"/>
    <w:rsid w:val="00333169"/>
    <w:rsid w:val="00340A01"/>
    <w:rsid w:val="0034112A"/>
    <w:rsid w:val="00353989"/>
    <w:rsid w:val="00354BD1"/>
    <w:rsid w:val="00376C5F"/>
    <w:rsid w:val="003822D6"/>
    <w:rsid w:val="003903AE"/>
    <w:rsid w:val="003A6690"/>
    <w:rsid w:val="003B5C80"/>
    <w:rsid w:val="003B6443"/>
    <w:rsid w:val="003C47D9"/>
    <w:rsid w:val="003C4F2B"/>
    <w:rsid w:val="003D4545"/>
    <w:rsid w:val="003D46CC"/>
    <w:rsid w:val="003D4BED"/>
    <w:rsid w:val="003E3888"/>
    <w:rsid w:val="003E5B87"/>
    <w:rsid w:val="003F5907"/>
    <w:rsid w:val="00402708"/>
    <w:rsid w:val="004041B9"/>
    <w:rsid w:val="004104EA"/>
    <w:rsid w:val="00414D90"/>
    <w:rsid w:val="00427428"/>
    <w:rsid w:val="00430D1F"/>
    <w:rsid w:val="00431873"/>
    <w:rsid w:val="00431B4B"/>
    <w:rsid w:val="00432CC0"/>
    <w:rsid w:val="004361DA"/>
    <w:rsid w:val="00437194"/>
    <w:rsid w:val="00443916"/>
    <w:rsid w:val="0044456F"/>
    <w:rsid w:val="00444AD0"/>
    <w:rsid w:val="00445F9C"/>
    <w:rsid w:val="004545FC"/>
    <w:rsid w:val="00461626"/>
    <w:rsid w:val="00470256"/>
    <w:rsid w:val="004712B7"/>
    <w:rsid w:val="0047379C"/>
    <w:rsid w:val="00477B6D"/>
    <w:rsid w:val="00477E32"/>
    <w:rsid w:val="004831FA"/>
    <w:rsid w:val="00485365"/>
    <w:rsid w:val="00491B3E"/>
    <w:rsid w:val="004A08B8"/>
    <w:rsid w:val="004A6D1B"/>
    <w:rsid w:val="004B329D"/>
    <w:rsid w:val="004B3303"/>
    <w:rsid w:val="004D18B9"/>
    <w:rsid w:val="004D1FD9"/>
    <w:rsid w:val="004D53ED"/>
    <w:rsid w:val="004D6FE4"/>
    <w:rsid w:val="004E134F"/>
    <w:rsid w:val="004E2C4B"/>
    <w:rsid w:val="004E2E22"/>
    <w:rsid w:val="004E30E1"/>
    <w:rsid w:val="004E5504"/>
    <w:rsid w:val="004E5FF0"/>
    <w:rsid w:val="004E6FE9"/>
    <w:rsid w:val="004F222B"/>
    <w:rsid w:val="00505A76"/>
    <w:rsid w:val="005136E6"/>
    <w:rsid w:val="00514158"/>
    <w:rsid w:val="00517EBA"/>
    <w:rsid w:val="0052095C"/>
    <w:rsid w:val="005222DB"/>
    <w:rsid w:val="0052542E"/>
    <w:rsid w:val="00526B31"/>
    <w:rsid w:val="00526EBB"/>
    <w:rsid w:val="00530E9C"/>
    <w:rsid w:val="00532497"/>
    <w:rsid w:val="0053353B"/>
    <w:rsid w:val="005371DD"/>
    <w:rsid w:val="0054503A"/>
    <w:rsid w:val="00546403"/>
    <w:rsid w:val="005526F0"/>
    <w:rsid w:val="00566A9C"/>
    <w:rsid w:val="00567981"/>
    <w:rsid w:val="00570DB8"/>
    <w:rsid w:val="00583CE4"/>
    <w:rsid w:val="005871AF"/>
    <w:rsid w:val="0059043C"/>
    <w:rsid w:val="005940B8"/>
    <w:rsid w:val="005A1706"/>
    <w:rsid w:val="005A4042"/>
    <w:rsid w:val="005B2F11"/>
    <w:rsid w:val="005B3B08"/>
    <w:rsid w:val="005B3B1C"/>
    <w:rsid w:val="005B79B1"/>
    <w:rsid w:val="005C7412"/>
    <w:rsid w:val="005D1ED8"/>
    <w:rsid w:val="005D3C78"/>
    <w:rsid w:val="005D5A02"/>
    <w:rsid w:val="005E28E2"/>
    <w:rsid w:val="005E3FD6"/>
    <w:rsid w:val="005E4AA8"/>
    <w:rsid w:val="005E61EE"/>
    <w:rsid w:val="005E655B"/>
    <w:rsid w:val="005F20A4"/>
    <w:rsid w:val="005F7654"/>
    <w:rsid w:val="0060247F"/>
    <w:rsid w:val="00603DF9"/>
    <w:rsid w:val="0060482C"/>
    <w:rsid w:val="00615CF8"/>
    <w:rsid w:val="00617008"/>
    <w:rsid w:val="00617C19"/>
    <w:rsid w:val="00627EA7"/>
    <w:rsid w:val="00637116"/>
    <w:rsid w:val="00641154"/>
    <w:rsid w:val="0067246D"/>
    <w:rsid w:val="006770C7"/>
    <w:rsid w:val="0068625B"/>
    <w:rsid w:val="00686470"/>
    <w:rsid w:val="006903B6"/>
    <w:rsid w:val="00692971"/>
    <w:rsid w:val="00695EB6"/>
    <w:rsid w:val="006A6BA0"/>
    <w:rsid w:val="006B129A"/>
    <w:rsid w:val="006B17A1"/>
    <w:rsid w:val="006B35BE"/>
    <w:rsid w:val="006B4398"/>
    <w:rsid w:val="006B4A4B"/>
    <w:rsid w:val="006B5440"/>
    <w:rsid w:val="006C0B34"/>
    <w:rsid w:val="006C1B63"/>
    <w:rsid w:val="006C4725"/>
    <w:rsid w:val="006D011B"/>
    <w:rsid w:val="006D31F5"/>
    <w:rsid w:val="006D3AD6"/>
    <w:rsid w:val="006D69D6"/>
    <w:rsid w:val="006F36DE"/>
    <w:rsid w:val="006F3F56"/>
    <w:rsid w:val="006F4812"/>
    <w:rsid w:val="006F6A9E"/>
    <w:rsid w:val="007020C8"/>
    <w:rsid w:val="00703E95"/>
    <w:rsid w:val="00705807"/>
    <w:rsid w:val="0070580D"/>
    <w:rsid w:val="00714274"/>
    <w:rsid w:val="00716DEE"/>
    <w:rsid w:val="00716FB2"/>
    <w:rsid w:val="00717721"/>
    <w:rsid w:val="00723484"/>
    <w:rsid w:val="00724035"/>
    <w:rsid w:val="007309EF"/>
    <w:rsid w:val="00731D96"/>
    <w:rsid w:val="0073274A"/>
    <w:rsid w:val="007339C4"/>
    <w:rsid w:val="00736BD6"/>
    <w:rsid w:val="007539EB"/>
    <w:rsid w:val="007551BD"/>
    <w:rsid w:val="00756BBA"/>
    <w:rsid w:val="007576F2"/>
    <w:rsid w:val="00776DED"/>
    <w:rsid w:val="00776DFF"/>
    <w:rsid w:val="00777D1D"/>
    <w:rsid w:val="007819FF"/>
    <w:rsid w:val="00787E34"/>
    <w:rsid w:val="00790E82"/>
    <w:rsid w:val="007927ED"/>
    <w:rsid w:val="00794022"/>
    <w:rsid w:val="00795A40"/>
    <w:rsid w:val="007A3276"/>
    <w:rsid w:val="007A4F99"/>
    <w:rsid w:val="007A5BD6"/>
    <w:rsid w:val="007A743E"/>
    <w:rsid w:val="007B2CE5"/>
    <w:rsid w:val="007C1625"/>
    <w:rsid w:val="007C27F7"/>
    <w:rsid w:val="007C2BF6"/>
    <w:rsid w:val="007D3362"/>
    <w:rsid w:val="007E0D28"/>
    <w:rsid w:val="007F2A15"/>
    <w:rsid w:val="007F55F8"/>
    <w:rsid w:val="008104F1"/>
    <w:rsid w:val="00815680"/>
    <w:rsid w:val="00815736"/>
    <w:rsid w:val="0081609B"/>
    <w:rsid w:val="00822DEA"/>
    <w:rsid w:val="00825C20"/>
    <w:rsid w:val="0083277E"/>
    <w:rsid w:val="008352AF"/>
    <w:rsid w:val="00835AE7"/>
    <w:rsid w:val="00836F27"/>
    <w:rsid w:val="0083707D"/>
    <w:rsid w:val="00837261"/>
    <w:rsid w:val="00842473"/>
    <w:rsid w:val="0084438F"/>
    <w:rsid w:val="0084551B"/>
    <w:rsid w:val="0084702D"/>
    <w:rsid w:val="00862131"/>
    <w:rsid w:val="008621AA"/>
    <w:rsid w:val="00871606"/>
    <w:rsid w:val="0087357A"/>
    <w:rsid w:val="00873ED0"/>
    <w:rsid w:val="00880692"/>
    <w:rsid w:val="00887D70"/>
    <w:rsid w:val="008907CA"/>
    <w:rsid w:val="0089473B"/>
    <w:rsid w:val="00895AC1"/>
    <w:rsid w:val="008A1EDA"/>
    <w:rsid w:val="008A2DE4"/>
    <w:rsid w:val="008A75F5"/>
    <w:rsid w:val="008B0943"/>
    <w:rsid w:val="008C18E8"/>
    <w:rsid w:val="008C2DA3"/>
    <w:rsid w:val="008C3CBB"/>
    <w:rsid w:val="008C3F35"/>
    <w:rsid w:val="008C4A73"/>
    <w:rsid w:val="008D04B5"/>
    <w:rsid w:val="008D3C78"/>
    <w:rsid w:val="008E6938"/>
    <w:rsid w:val="008E6DF1"/>
    <w:rsid w:val="008E74C3"/>
    <w:rsid w:val="008F0C62"/>
    <w:rsid w:val="008F19D6"/>
    <w:rsid w:val="008F5498"/>
    <w:rsid w:val="00915BC9"/>
    <w:rsid w:val="0092501B"/>
    <w:rsid w:val="00932C51"/>
    <w:rsid w:val="00937929"/>
    <w:rsid w:val="00942876"/>
    <w:rsid w:val="0095693B"/>
    <w:rsid w:val="009625CE"/>
    <w:rsid w:val="009652CA"/>
    <w:rsid w:val="00966A2A"/>
    <w:rsid w:val="009728F3"/>
    <w:rsid w:val="009779D8"/>
    <w:rsid w:val="00986F45"/>
    <w:rsid w:val="009937F3"/>
    <w:rsid w:val="00994652"/>
    <w:rsid w:val="009A133A"/>
    <w:rsid w:val="009A188B"/>
    <w:rsid w:val="009A7203"/>
    <w:rsid w:val="009A7816"/>
    <w:rsid w:val="009B5669"/>
    <w:rsid w:val="009C6BBE"/>
    <w:rsid w:val="009D7004"/>
    <w:rsid w:val="009E5FD5"/>
    <w:rsid w:val="009E7B24"/>
    <w:rsid w:val="009F36A0"/>
    <w:rsid w:val="00A02E1E"/>
    <w:rsid w:val="00A04E5D"/>
    <w:rsid w:val="00A05A63"/>
    <w:rsid w:val="00A123BD"/>
    <w:rsid w:val="00A30BEB"/>
    <w:rsid w:val="00A30E20"/>
    <w:rsid w:val="00A35883"/>
    <w:rsid w:val="00A37C50"/>
    <w:rsid w:val="00A40FAE"/>
    <w:rsid w:val="00A47D1B"/>
    <w:rsid w:val="00A558DD"/>
    <w:rsid w:val="00A60AFB"/>
    <w:rsid w:val="00A70351"/>
    <w:rsid w:val="00A74089"/>
    <w:rsid w:val="00A74160"/>
    <w:rsid w:val="00A75802"/>
    <w:rsid w:val="00A81A85"/>
    <w:rsid w:val="00A83064"/>
    <w:rsid w:val="00A8361A"/>
    <w:rsid w:val="00A8366C"/>
    <w:rsid w:val="00A85168"/>
    <w:rsid w:val="00A96BDE"/>
    <w:rsid w:val="00AA4490"/>
    <w:rsid w:val="00AB164A"/>
    <w:rsid w:val="00AB17FE"/>
    <w:rsid w:val="00AB3DD3"/>
    <w:rsid w:val="00AB6E28"/>
    <w:rsid w:val="00AC3F11"/>
    <w:rsid w:val="00AC3F60"/>
    <w:rsid w:val="00AC515A"/>
    <w:rsid w:val="00AD4574"/>
    <w:rsid w:val="00AD6A66"/>
    <w:rsid w:val="00AE3564"/>
    <w:rsid w:val="00B03B13"/>
    <w:rsid w:val="00B1274D"/>
    <w:rsid w:val="00B16124"/>
    <w:rsid w:val="00B17241"/>
    <w:rsid w:val="00B17CE5"/>
    <w:rsid w:val="00B307F2"/>
    <w:rsid w:val="00B3232E"/>
    <w:rsid w:val="00B32380"/>
    <w:rsid w:val="00B361FC"/>
    <w:rsid w:val="00B40AA2"/>
    <w:rsid w:val="00B40CC2"/>
    <w:rsid w:val="00B43DEA"/>
    <w:rsid w:val="00B44450"/>
    <w:rsid w:val="00B466D9"/>
    <w:rsid w:val="00B47C2A"/>
    <w:rsid w:val="00B5642A"/>
    <w:rsid w:val="00B56B32"/>
    <w:rsid w:val="00B617ED"/>
    <w:rsid w:val="00B619E7"/>
    <w:rsid w:val="00B6767C"/>
    <w:rsid w:val="00B82ECD"/>
    <w:rsid w:val="00B92FA2"/>
    <w:rsid w:val="00B94112"/>
    <w:rsid w:val="00B953FD"/>
    <w:rsid w:val="00BA0575"/>
    <w:rsid w:val="00BB47F6"/>
    <w:rsid w:val="00BB4AC0"/>
    <w:rsid w:val="00BB69EE"/>
    <w:rsid w:val="00BC0631"/>
    <w:rsid w:val="00BC2166"/>
    <w:rsid w:val="00BC3431"/>
    <w:rsid w:val="00BC67BD"/>
    <w:rsid w:val="00BD0ADB"/>
    <w:rsid w:val="00BD436E"/>
    <w:rsid w:val="00BD4388"/>
    <w:rsid w:val="00BD5588"/>
    <w:rsid w:val="00BF1A10"/>
    <w:rsid w:val="00C00FA1"/>
    <w:rsid w:val="00C17043"/>
    <w:rsid w:val="00C22361"/>
    <w:rsid w:val="00C27877"/>
    <w:rsid w:val="00C33E71"/>
    <w:rsid w:val="00C35E3B"/>
    <w:rsid w:val="00C40D1B"/>
    <w:rsid w:val="00C430B2"/>
    <w:rsid w:val="00C4507B"/>
    <w:rsid w:val="00C5029E"/>
    <w:rsid w:val="00C5598D"/>
    <w:rsid w:val="00C65F83"/>
    <w:rsid w:val="00C7141D"/>
    <w:rsid w:val="00C72053"/>
    <w:rsid w:val="00C763AA"/>
    <w:rsid w:val="00C842DE"/>
    <w:rsid w:val="00C94C05"/>
    <w:rsid w:val="00CB2324"/>
    <w:rsid w:val="00CB6784"/>
    <w:rsid w:val="00CC028E"/>
    <w:rsid w:val="00CC041F"/>
    <w:rsid w:val="00CC45ED"/>
    <w:rsid w:val="00CC7355"/>
    <w:rsid w:val="00CD1692"/>
    <w:rsid w:val="00CE08B9"/>
    <w:rsid w:val="00CE2185"/>
    <w:rsid w:val="00CE3A2F"/>
    <w:rsid w:val="00CF3941"/>
    <w:rsid w:val="00CF3D4E"/>
    <w:rsid w:val="00CF411A"/>
    <w:rsid w:val="00CF4EC3"/>
    <w:rsid w:val="00D00965"/>
    <w:rsid w:val="00D0550B"/>
    <w:rsid w:val="00D15DD1"/>
    <w:rsid w:val="00D202B6"/>
    <w:rsid w:val="00D22E41"/>
    <w:rsid w:val="00D247A1"/>
    <w:rsid w:val="00D31FAA"/>
    <w:rsid w:val="00D4711C"/>
    <w:rsid w:val="00D52120"/>
    <w:rsid w:val="00D57787"/>
    <w:rsid w:val="00D655B9"/>
    <w:rsid w:val="00D67EE1"/>
    <w:rsid w:val="00D7024F"/>
    <w:rsid w:val="00D72C43"/>
    <w:rsid w:val="00D77E29"/>
    <w:rsid w:val="00D92D7D"/>
    <w:rsid w:val="00DA2536"/>
    <w:rsid w:val="00DA301E"/>
    <w:rsid w:val="00DA6303"/>
    <w:rsid w:val="00DA6A88"/>
    <w:rsid w:val="00DA6E54"/>
    <w:rsid w:val="00DB2CE0"/>
    <w:rsid w:val="00DB4FB6"/>
    <w:rsid w:val="00DB6F38"/>
    <w:rsid w:val="00DB70D3"/>
    <w:rsid w:val="00DC055D"/>
    <w:rsid w:val="00DC6B00"/>
    <w:rsid w:val="00DD0091"/>
    <w:rsid w:val="00DD07BA"/>
    <w:rsid w:val="00DD1254"/>
    <w:rsid w:val="00DD15C5"/>
    <w:rsid w:val="00DD19BB"/>
    <w:rsid w:val="00DD21F6"/>
    <w:rsid w:val="00DE028E"/>
    <w:rsid w:val="00DE23FF"/>
    <w:rsid w:val="00DE2BEF"/>
    <w:rsid w:val="00DE2DD1"/>
    <w:rsid w:val="00DE5A8B"/>
    <w:rsid w:val="00E06D6C"/>
    <w:rsid w:val="00E13BBD"/>
    <w:rsid w:val="00E3516C"/>
    <w:rsid w:val="00E3549F"/>
    <w:rsid w:val="00E356D4"/>
    <w:rsid w:val="00E43077"/>
    <w:rsid w:val="00E44472"/>
    <w:rsid w:val="00E4473F"/>
    <w:rsid w:val="00E47F91"/>
    <w:rsid w:val="00E56C0F"/>
    <w:rsid w:val="00E572C5"/>
    <w:rsid w:val="00E5799A"/>
    <w:rsid w:val="00E60EFD"/>
    <w:rsid w:val="00E633A9"/>
    <w:rsid w:val="00E70F3F"/>
    <w:rsid w:val="00E76E4F"/>
    <w:rsid w:val="00E972A0"/>
    <w:rsid w:val="00EC6B0D"/>
    <w:rsid w:val="00ED2962"/>
    <w:rsid w:val="00ED5714"/>
    <w:rsid w:val="00ED7749"/>
    <w:rsid w:val="00EE48CD"/>
    <w:rsid w:val="00EE7372"/>
    <w:rsid w:val="00EF60EF"/>
    <w:rsid w:val="00F00A8D"/>
    <w:rsid w:val="00F035D8"/>
    <w:rsid w:val="00F043C9"/>
    <w:rsid w:val="00F05CC1"/>
    <w:rsid w:val="00F0627E"/>
    <w:rsid w:val="00F24E42"/>
    <w:rsid w:val="00F25CC2"/>
    <w:rsid w:val="00F272AE"/>
    <w:rsid w:val="00F3068C"/>
    <w:rsid w:val="00F30DC3"/>
    <w:rsid w:val="00F36B98"/>
    <w:rsid w:val="00F40422"/>
    <w:rsid w:val="00F40428"/>
    <w:rsid w:val="00F405EE"/>
    <w:rsid w:val="00F42488"/>
    <w:rsid w:val="00F44FB3"/>
    <w:rsid w:val="00F4552E"/>
    <w:rsid w:val="00F54E79"/>
    <w:rsid w:val="00F560C0"/>
    <w:rsid w:val="00F601E4"/>
    <w:rsid w:val="00F60A10"/>
    <w:rsid w:val="00F611B5"/>
    <w:rsid w:val="00F6127C"/>
    <w:rsid w:val="00F64F73"/>
    <w:rsid w:val="00F67333"/>
    <w:rsid w:val="00F6743A"/>
    <w:rsid w:val="00F73541"/>
    <w:rsid w:val="00F748F4"/>
    <w:rsid w:val="00F96A20"/>
    <w:rsid w:val="00F96BC4"/>
    <w:rsid w:val="00FA1921"/>
    <w:rsid w:val="00FA3024"/>
    <w:rsid w:val="00FA56EC"/>
    <w:rsid w:val="00FA6B73"/>
    <w:rsid w:val="00FB0262"/>
    <w:rsid w:val="00FB55E3"/>
    <w:rsid w:val="00FC14DC"/>
    <w:rsid w:val="00FC4910"/>
    <w:rsid w:val="00FD01BE"/>
    <w:rsid w:val="00FE0177"/>
    <w:rsid w:val="00FE2C35"/>
    <w:rsid w:val="00FE3757"/>
    <w:rsid w:val="00FF0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92E020"/>
  <w15:docId w15:val="{CB42A7EB-4030-429F-A2B4-89BF18C9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customStyle="1" w:styleId="EE-V">
    <w:name w:val="EE-V"/>
    <w:basedOn w:val="Normal"/>
    <w:autoRedefine/>
    <w:rsid w:val="000F791A"/>
    <w:pPr>
      <w:spacing w:before="100" w:beforeAutospacing="1" w:after="100" w:afterAutospacing="1"/>
      <w:jc w:val="center"/>
    </w:pPr>
    <w:rPr>
      <w:b/>
      <w:smallCaps/>
      <w:sz w:val="56"/>
      <w:szCs w:val="56"/>
    </w:rPr>
  </w:style>
  <w:style w:type="paragraph" w:styleId="ListParagraph">
    <w:name w:val="List Paragraph"/>
    <w:aliases w:val="2,Strip,H&amp;P List Paragraph,Normal bullet 2,Bullet list,Saistīto dokumentu saraksts,Syle 1,Numurets,List Paragraph11,OBC Bullet,Bullet Style,L,Akapit z listą BS,Bullet 1,Bullet Points,Dot pt,F5 List Paragraph,IFCL - List Paragraph"/>
    <w:basedOn w:val="Normal"/>
    <w:link w:val="ListParagraphChar"/>
    <w:uiPriority w:val="34"/>
    <w:qFormat/>
    <w:rsid w:val="000F791A"/>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Strip Char,H&amp;P List Paragraph Char,Normal bullet 2 Char,Bullet list Char,Saistīto dokumentu saraksts Char,Syle 1 Char,Numurets Char,List Paragraph11 Char,OBC Bullet Char,Bullet Style Char,L Char,Akapit z listą BS Char"/>
    <w:link w:val="ListParagraph"/>
    <w:uiPriority w:val="34"/>
    <w:qFormat/>
    <w:locked/>
    <w:rsid w:val="000F791A"/>
  </w:style>
  <w:style w:type="character" w:styleId="CommentReference">
    <w:name w:val="annotation reference"/>
    <w:basedOn w:val="DefaultParagraphFont"/>
    <w:uiPriority w:val="99"/>
    <w:semiHidden/>
    <w:unhideWhenUsed/>
    <w:rsid w:val="0083707D"/>
    <w:rPr>
      <w:sz w:val="16"/>
      <w:szCs w:val="16"/>
    </w:rPr>
  </w:style>
  <w:style w:type="paragraph" w:styleId="CommentText">
    <w:name w:val="annotation text"/>
    <w:basedOn w:val="Normal"/>
    <w:link w:val="CommentTextChar"/>
    <w:uiPriority w:val="99"/>
    <w:unhideWhenUsed/>
    <w:rsid w:val="0083707D"/>
    <w:rPr>
      <w:sz w:val="20"/>
      <w:szCs w:val="20"/>
    </w:rPr>
  </w:style>
  <w:style w:type="character" w:customStyle="1" w:styleId="CommentTextChar">
    <w:name w:val="Comment Text Char"/>
    <w:basedOn w:val="DefaultParagraphFont"/>
    <w:link w:val="CommentText"/>
    <w:uiPriority w:val="99"/>
    <w:rsid w:val="0083707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3707D"/>
    <w:rPr>
      <w:b/>
      <w:bCs/>
    </w:rPr>
  </w:style>
  <w:style w:type="character" w:customStyle="1" w:styleId="CommentSubjectChar">
    <w:name w:val="Comment Subject Char"/>
    <w:basedOn w:val="CommentTextChar"/>
    <w:link w:val="CommentSubject"/>
    <w:uiPriority w:val="99"/>
    <w:semiHidden/>
    <w:rsid w:val="0083707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370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D"/>
    <w:rPr>
      <w:rFonts w:ascii="Segoe UI" w:eastAsia="Times New Roman" w:hAnsi="Segoe UI" w:cs="Segoe UI"/>
      <w:sz w:val="18"/>
      <w:szCs w:val="18"/>
      <w:lang w:eastAsia="lv-LV"/>
    </w:rPr>
  </w:style>
  <w:style w:type="paragraph" w:styleId="FootnoteText">
    <w:name w:val="footnote text"/>
    <w:aliases w:val="Footnote Text Char2,Footnote Text Char1 Char,Footnote Text Char Char Char,Footnote Text Char Char Char Char Char Char Char,Footnote Char Char Char Char Char Char Char,Fußnote Char Char Char Char Char Char Char,Footnote Text Char Char,f"/>
    <w:basedOn w:val="Normal"/>
    <w:link w:val="FootnoteTextChar"/>
    <w:uiPriority w:val="99"/>
    <w:unhideWhenUsed/>
    <w:qFormat/>
    <w:rsid w:val="00A96BDE"/>
    <w:rPr>
      <w:sz w:val="20"/>
      <w:szCs w:val="20"/>
    </w:rPr>
  </w:style>
  <w:style w:type="character" w:customStyle="1" w:styleId="FootnoteTextChar">
    <w:name w:val="Footnote Text Char"/>
    <w:aliases w:val="Footnote Text Char2 Char,Footnote Text Char1 Char Char,Footnote Text Char Char Char Char,Footnote Text Char Char Char Char Char Char Char Char,Footnote Char Char Char Char Char Char Char Char,Footnote Text Char Char Char1,f Char"/>
    <w:basedOn w:val="DefaultParagraphFont"/>
    <w:link w:val="FootnoteText"/>
    <w:uiPriority w:val="99"/>
    <w:rsid w:val="00A96BDE"/>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SUPERS,Footnote Refernece,ftref,Footnote Reference Superscript,stylish,BVI fnr,Fußnotenzeichen_Raxen,callout,Vēres atsauce,Odwołanie przypisu,Footnotes refss,Ref,de nota al pie,Times 10 Point"/>
    <w:basedOn w:val="DefaultParagraphFont"/>
    <w:link w:val="CharCharCharChar"/>
    <w:uiPriority w:val="99"/>
    <w:unhideWhenUsed/>
    <w:qFormat/>
    <w:rsid w:val="00A96BDE"/>
    <w:rPr>
      <w:vertAlign w:val="superscript"/>
    </w:rPr>
  </w:style>
  <w:style w:type="paragraph" w:styleId="Header">
    <w:name w:val="header"/>
    <w:basedOn w:val="Normal"/>
    <w:link w:val="HeaderChar"/>
    <w:uiPriority w:val="99"/>
    <w:unhideWhenUsed/>
    <w:rsid w:val="00583CE4"/>
    <w:pPr>
      <w:tabs>
        <w:tab w:val="center" w:pos="4153"/>
        <w:tab w:val="right" w:pos="8306"/>
      </w:tabs>
    </w:pPr>
  </w:style>
  <w:style w:type="character" w:customStyle="1" w:styleId="HeaderChar">
    <w:name w:val="Header Char"/>
    <w:basedOn w:val="DefaultParagraphFont"/>
    <w:link w:val="Header"/>
    <w:uiPriority w:val="99"/>
    <w:rsid w:val="00583CE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83CE4"/>
    <w:pPr>
      <w:tabs>
        <w:tab w:val="center" w:pos="4153"/>
        <w:tab w:val="right" w:pos="8306"/>
      </w:tabs>
    </w:pPr>
  </w:style>
  <w:style w:type="character" w:customStyle="1" w:styleId="FooterChar">
    <w:name w:val="Footer Char"/>
    <w:basedOn w:val="DefaultParagraphFont"/>
    <w:link w:val="Footer"/>
    <w:uiPriority w:val="99"/>
    <w:rsid w:val="00583CE4"/>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1B562B"/>
    <w:rPr>
      <w:color w:val="800080" w:themeColor="followedHyperlink"/>
      <w:u w:val="single"/>
    </w:rPr>
  </w:style>
  <w:style w:type="paragraph" w:customStyle="1" w:styleId="CharCharCharChar">
    <w:name w:val="Char Char Char Char"/>
    <w:aliases w:val="Char2"/>
    <w:basedOn w:val="Normal"/>
    <w:next w:val="Normal"/>
    <w:link w:val="FootnoteReference"/>
    <w:uiPriority w:val="99"/>
    <w:rsid w:val="00C33E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DB4FB6"/>
    <w:pPr>
      <w:spacing w:before="100" w:beforeAutospacing="1" w:after="100" w:afterAutospacing="1"/>
    </w:pPr>
  </w:style>
  <w:style w:type="paragraph" w:styleId="Revision">
    <w:name w:val="Revision"/>
    <w:hidden/>
    <w:uiPriority w:val="99"/>
    <w:semiHidden/>
    <w:rsid w:val="00B466D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11057">
      <w:bodyDiv w:val="1"/>
      <w:marLeft w:val="0"/>
      <w:marRight w:val="0"/>
      <w:marTop w:val="0"/>
      <w:marBottom w:val="0"/>
      <w:divBdr>
        <w:top w:val="none" w:sz="0" w:space="0" w:color="auto"/>
        <w:left w:val="none" w:sz="0" w:space="0" w:color="auto"/>
        <w:bottom w:val="none" w:sz="0" w:space="0" w:color="auto"/>
        <w:right w:val="none" w:sz="0" w:space="0" w:color="auto"/>
      </w:divBdr>
      <w:divsChild>
        <w:div w:id="1969313578">
          <w:marLeft w:val="0"/>
          <w:marRight w:val="0"/>
          <w:marTop w:val="0"/>
          <w:marBottom w:val="567"/>
          <w:divBdr>
            <w:top w:val="none" w:sz="0" w:space="0" w:color="auto"/>
            <w:left w:val="none" w:sz="0" w:space="0" w:color="auto"/>
            <w:bottom w:val="none" w:sz="0" w:space="0" w:color="auto"/>
            <w:right w:val="none" w:sz="0" w:space="0" w:color="auto"/>
          </w:divBdr>
        </w:div>
      </w:divsChild>
    </w:div>
    <w:div w:id="83646816">
      <w:bodyDiv w:val="1"/>
      <w:marLeft w:val="0"/>
      <w:marRight w:val="0"/>
      <w:marTop w:val="0"/>
      <w:marBottom w:val="0"/>
      <w:divBdr>
        <w:top w:val="none" w:sz="0" w:space="0" w:color="auto"/>
        <w:left w:val="none" w:sz="0" w:space="0" w:color="auto"/>
        <w:bottom w:val="none" w:sz="0" w:space="0" w:color="auto"/>
        <w:right w:val="none" w:sz="0" w:space="0" w:color="auto"/>
      </w:divBdr>
    </w:div>
    <w:div w:id="331298080">
      <w:bodyDiv w:val="1"/>
      <w:marLeft w:val="0"/>
      <w:marRight w:val="0"/>
      <w:marTop w:val="0"/>
      <w:marBottom w:val="0"/>
      <w:divBdr>
        <w:top w:val="none" w:sz="0" w:space="0" w:color="auto"/>
        <w:left w:val="none" w:sz="0" w:space="0" w:color="auto"/>
        <w:bottom w:val="none" w:sz="0" w:space="0" w:color="auto"/>
        <w:right w:val="none" w:sz="0" w:space="0" w:color="auto"/>
      </w:divBdr>
      <w:divsChild>
        <w:div w:id="2048872681">
          <w:marLeft w:val="547"/>
          <w:marRight w:val="0"/>
          <w:marTop w:val="0"/>
          <w:marBottom w:val="0"/>
          <w:divBdr>
            <w:top w:val="none" w:sz="0" w:space="0" w:color="auto"/>
            <w:left w:val="none" w:sz="0" w:space="0" w:color="auto"/>
            <w:bottom w:val="none" w:sz="0" w:space="0" w:color="auto"/>
            <w:right w:val="none" w:sz="0" w:space="0" w:color="auto"/>
          </w:divBdr>
        </w:div>
        <w:div w:id="238754658">
          <w:marLeft w:val="547"/>
          <w:marRight w:val="0"/>
          <w:marTop w:val="0"/>
          <w:marBottom w:val="0"/>
          <w:divBdr>
            <w:top w:val="none" w:sz="0" w:space="0" w:color="auto"/>
            <w:left w:val="none" w:sz="0" w:space="0" w:color="auto"/>
            <w:bottom w:val="none" w:sz="0" w:space="0" w:color="auto"/>
            <w:right w:val="none" w:sz="0" w:space="0" w:color="auto"/>
          </w:divBdr>
        </w:div>
      </w:divsChild>
    </w:div>
    <w:div w:id="415441997">
      <w:bodyDiv w:val="1"/>
      <w:marLeft w:val="0"/>
      <w:marRight w:val="0"/>
      <w:marTop w:val="0"/>
      <w:marBottom w:val="0"/>
      <w:divBdr>
        <w:top w:val="none" w:sz="0" w:space="0" w:color="auto"/>
        <w:left w:val="none" w:sz="0" w:space="0" w:color="auto"/>
        <w:bottom w:val="none" w:sz="0" w:space="0" w:color="auto"/>
        <w:right w:val="none" w:sz="0" w:space="0" w:color="auto"/>
      </w:divBdr>
    </w:div>
    <w:div w:id="624847514">
      <w:bodyDiv w:val="1"/>
      <w:marLeft w:val="0"/>
      <w:marRight w:val="0"/>
      <w:marTop w:val="0"/>
      <w:marBottom w:val="0"/>
      <w:divBdr>
        <w:top w:val="none" w:sz="0" w:space="0" w:color="auto"/>
        <w:left w:val="none" w:sz="0" w:space="0" w:color="auto"/>
        <w:bottom w:val="none" w:sz="0" w:space="0" w:color="auto"/>
        <w:right w:val="none" w:sz="0" w:space="0" w:color="auto"/>
      </w:divBdr>
    </w:div>
    <w:div w:id="811364722">
      <w:bodyDiv w:val="1"/>
      <w:marLeft w:val="0"/>
      <w:marRight w:val="0"/>
      <w:marTop w:val="0"/>
      <w:marBottom w:val="0"/>
      <w:divBdr>
        <w:top w:val="none" w:sz="0" w:space="0" w:color="auto"/>
        <w:left w:val="none" w:sz="0" w:space="0" w:color="auto"/>
        <w:bottom w:val="none" w:sz="0" w:space="0" w:color="auto"/>
        <w:right w:val="none" w:sz="0" w:space="0" w:color="auto"/>
      </w:divBdr>
    </w:div>
    <w:div w:id="917862110">
      <w:bodyDiv w:val="1"/>
      <w:marLeft w:val="0"/>
      <w:marRight w:val="0"/>
      <w:marTop w:val="0"/>
      <w:marBottom w:val="0"/>
      <w:divBdr>
        <w:top w:val="none" w:sz="0" w:space="0" w:color="auto"/>
        <w:left w:val="none" w:sz="0" w:space="0" w:color="auto"/>
        <w:bottom w:val="none" w:sz="0" w:space="0" w:color="auto"/>
        <w:right w:val="none" w:sz="0" w:space="0" w:color="auto"/>
      </w:divBdr>
    </w:div>
    <w:div w:id="1133131913">
      <w:bodyDiv w:val="1"/>
      <w:marLeft w:val="0"/>
      <w:marRight w:val="0"/>
      <w:marTop w:val="0"/>
      <w:marBottom w:val="0"/>
      <w:divBdr>
        <w:top w:val="none" w:sz="0" w:space="0" w:color="auto"/>
        <w:left w:val="none" w:sz="0" w:space="0" w:color="auto"/>
        <w:bottom w:val="none" w:sz="0" w:space="0" w:color="auto"/>
        <w:right w:val="none" w:sz="0" w:space="0" w:color="auto"/>
      </w:divBdr>
    </w:div>
    <w:div w:id="1217624996">
      <w:bodyDiv w:val="1"/>
      <w:marLeft w:val="0"/>
      <w:marRight w:val="0"/>
      <w:marTop w:val="0"/>
      <w:marBottom w:val="0"/>
      <w:divBdr>
        <w:top w:val="none" w:sz="0" w:space="0" w:color="auto"/>
        <w:left w:val="none" w:sz="0" w:space="0" w:color="auto"/>
        <w:bottom w:val="none" w:sz="0" w:space="0" w:color="auto"/>
        <w:right w:val="none" w:sz="0" w:space="0" w:color="auto"/>
      </w:divBdr>
    </w:div>
    <w:div w:id="1428161684">
      <w:bodyDiv w:val="1"/>
      <w:marLeft w:val="0"/>
      <w:marRight w:val="0"/>
      <w:marTop w:val="0"/>
      <w:marBottom w:val="0"/>
      <w:divBdr>
        <w:top w:val="none" w:sz="0" w:space="0" w:color="auto"/>
        <w:left w:val="none" w:sz="0" w:space="0" w:color="auto"/>
        <w:bottom w:val="none" w:sz="0" w:space="0" w:color="auto"/>
        <w:right w:val="none" w:sz="0" w:space="0" w:color="auto"/>
      </w:divBdr>
    </w:div>
    <w:div w:id="1767381849">
      <w:bodyDiv w:val="1"/>
      <w:marLeft w:val="0"/>
      <w:marRight w:val="0"/>
      <w:marTop w:val="0"/>
      <w:marBottom w:val="0"/>
      <w:divBdr>
        <w:top w:val="none" w:sz="0" w:space="0" w:color="auto"/>
        <w:left w:val="none" w:sz="0" w:space="0" w:color="auto"/>
        <w:bottom w:val="none" w:sz="0" w:space="0" w:color="auto"/>
        <w:right w:val="none" w:sz="0" w:space="0" w:color="auto"/>
      </w:divBdr>
    </w:div>
    <w:div w:id="18689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ondi.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sfondi.lv" TargetMode="External"/><Relationship Id="rId4" Type="http://schemas.openxmlformats.org/officeDocument/2006/relationships/settings" Target="settings.xml"/><Relationship Id="rId9" Type="http://schemas.openxmlformats.org/officeDocument/2006/relationships/hyperlink" Target="https://komitejas.esfond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AC16D-0027-4A9A-A580-6EED83D2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TotalTime>
  <Pages>8</Pages>
  <Words>12886</Words>
  <Characters>7346</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rīkojuma projekta “Grozījumi Eiropas Savienības struktūrfondu un Kohēzijas fonda 2014.– 2020.gada plānošanas perioda darbības programmā “Izaugsme un nodarbinātība”” sākotnējās ietekmes novērtējuma ziņojums (anotācija)</vt:lpstr>
    </vt:vector>
  </TitlesOfParts>
  <Manager/>
  <Company>Finanšu ministrija</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Eiropas Savienības struktūrfondu un Kohēzijas fonda 2014.– 2020.gada plānošanas perioda darbības programmā “Izaugsme un nodarbinātība”” sākotnējās ietekmes novērtējuma ziņojums (anotācija)</dc:title>
  <dc:subject>Anotācija</dc:subject>
  <dc:creator>jekaterina.sorokina@fm.gov.lv</dc:creator>
  <dc:description>Tālr.: 67083839, E-pasts: 
jekaterina.sorokina@fm.gov.lv</dc:description>
  <cp:lastModifiedBy>Finanšu ministrija</cp:lastModifiedBy>
  <cp:revision>6</cp:revision>
  <cp:lastPrinted>2019-11-04T07:49:00Z</cp:lastPrinted>
  <dcterms:created xsi:type="dcterms:W3CDTF">2019-11-06T14:02:00Z</dcterms:created>
  <dcterms:modified xsi:type="dcterms:W3CDTF">2020-01-07T15:30:00Z</dcterms:modified>
</cp:coreProperties>
</file>