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53A6A" w14:textId="205D9713" w:rsidR="00D10BF2" w:rsidRPr="003A1915" w:rsidRDefault="00880645" w:rsidP="00383567">
      <w:pPr>
        <w:shd w:val="clear" w:color="auto" w:fill="FFFFFF"/>
        <w:spacing w:after="0" w:line="240" w:lineRule="auto"/>
        <w:ind w:right="-1"/>
        <w:jc w:val="right"/>
        <w:rPr>
          <w:rFonts w:eastAsia="Times New Roman"/>
          <w:bCs/>
          <w:iCs/>
          <w:sz w:val="28"/>
          <w:szCs w:val="28"/>
          <w:lang w:eastAsia="lv-LV"/>
        </w:rPr>
      </w:pPr>
      <w:r w:rsidRPr="003A1915">
        <w:rPr>
          <w:rFonts w:eastAsia="Times New Roman"/>
          <w:bCs/>
          <w:iCs/>
          <w:sz w:val="28"/>
          <w:szCs w:val="28"/>
          <w:lang w:eastAsia="lv-LV"/>
        </w:rPr>
        <w:t>Likumprojekts</w:t>
      </w:r>
    </w:p>
    <w:p w14:paraId="7FCA98AE" w14:textId="77777777" w:rsidR="00383567" w:rsidRPr="003A1915" w:rsidRDefault="00383567" w:rsidP="00D10BF2">
      <w:pPr>
        <w:shd w:val="clear" w:color="auto" w:fill="FFFFFF"/>
        <w:spacing w:after="0" w:line="240" w:lineRule="auto"/>
        <w:ind w:right="-568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2FC1FDFE" w14:textId="009C1B29" w:rsidR="00CB313F" w:rsidRPr="003A1915" w:rsidRDefault="00492136" w:rsidP="00D10BF2">
      <w:pPr>
        <w:shd w:val="clear" w:color="auto" w:fill="FFFFFF"/>
        <w:spacing w:after="0" w:line="240" w:lineRule="auto"/>
        <w:ind w:right="-568"/>
        <w:jc w:val="center"/>
        <w:rPr>
          <w:rFonts w:ascii="Calibri" w:eastAsia="Times New Roman" w:hAnsi="Calibri" w:cs="Calibri"/>
          <w:sz w:val="28"/>
          <w:szCs w:val="28"/>
          <w:lang w:eastAsia="lv-LV"/>
        </w:rPr>
      </w:pPr>
      <w:r w:rsidRPr="003A1915">
        <w:rPr>
          <w:rFonts w:eastAsia="Times New Roman"/>
          <w:b/>
          <w:bCs/>
          <w:sz w:val="28"/>
          <w:szCs w:val="28"/>
          <w:lang w:eastAsia="lv-LV"/>
        </w:rPr>
        <w:t>Grozījumi</w:t>
      </w:r>
      <w:r w:rsidR="00CB313F" w:rsidRPr="003A1915">
        <w:rPr>
          <w:rFonts w:eastAsia="Times New Roman"/>
          <w:b/>
          <w:bCs/>
          <w:sz w:val="28"/>
          <w:szCs w:val="28"/>
          <w:lang w:eastAsia="lv-LV"/>
        </w:rPr>
        <w:t xml:space="preserve"> </w:t>
      </w:r>
      <w:r w:rsidR="00575D90" w:rsidRPr="003A1915">
        <w:rPr>
          <w:rFonts w:eastAsia="Times New Roman"/>
          <w:b/>
          <w:bCs/>
          <w:sz w:val="28"/>
          <w:szCs w:val="28"/>
          <w:lang w:eastAsia="lv-LV"/>
        </w:rPr>
        <w:t>Kredītiestāžu likumā</w:t>
      </w:r>
    </w:p>
    <w:p w14:paraId="4039B9C9" w14:textId="54E8B9B2" w:rsidR="00CB313F" w:rsidRPr="003A1915" w:rsidRDefault="00CB313F" w:rsidP="00D10BF2">
      <w:pPr>
        <w:shd w:val="clear" w:color="auto" w:fill="FFFFFF"/>
        <w:spacing w:after="0" w:line="240" w:lineRule="auto"/>
        <w:ind w:right="-568"/>
        <w:rPr>
          <w:rFonts w:eastAsia="Times New Roman"/>
          <w:sz w:val="28"/>
          <w:szCs w:val="28"/>
          <w:lang w:eastAsia="lv-LV"/>
        </w:rPr>
      </w:pPr>
    </w:p>
    <w:p w14:paraId="01993CEC" w14:textId="45E558EF" w:rsidR="00575D90" w:rsidRPr="003A1915" w:rsidRDefault="00575D90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  <w:r w:rsidRPr="003A1915">
        <w:rPr>
          <w:rFonts w:eastAsia="Times New Roman"/>
          <w:sz w:val="28"/>
          <w:szCs w:val="28"/>
          <w:lang w:eastAsia="lv-LV"/>
        </w:rPr>
        <w:t>Izdarīt </w:t>
      </w:r>
      <w:hyperlink r:id="rId8" w:tgtFrame="_blank" w:history="1">
        <w:r w:rsidRPr="003A1915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Kredītiestāžu likumā</w:t>
        </w:r>
      </w:hyperlink>
      <w:r w:rsidRPr="003A1915">
        <w:rPr>
          <w:rFonts w:eastAsia="Times New Roman"/>
          <w:sz w:val="28"/>
          <w:szCs w:val="28"/>
          <w:lang w:eastAsia="lv-LV"/>
        </w:rPr>
        <w:t> </w:t>
      </w:r>
      <w:proofErr w:type="gramStart"/>
      <w:r w:rsidRPr="003A1915">
        <w:rPr>
          <w:rFonts w:eastAsia="Times New Roman"/>
          <w:sz w:val="28"/>
          <w:szCs w:val="28"/>
          <w:lang w:eastAsia="lv-LV"/>
        </w:rPr>
        <w:t>(</w:t>
      </w:r>
      <w:proofErr w:type="gramEnd"/>
      <w:r w:rsidR="003D2848" w:rsidRPr="003A1915">
        <w:rPr>
          <w:rFonts w:eastAsia="Times New Roman"/>
          <w:sz w:val="28"/>
          <w:szCs w:val="28"/>
          <w:lang w:eastAsia="lv-LV"/>
        </w:rPr>
        <w:t>Latvijas Republikas Saeimas un Ministru Kabineta Ziņotājs, 1995, 23. nr.; 1996, 9., 14., 23. nr.; 1997, 23. nr.; 1998, 13. nr.; 2000, 13. nr.; 2002, 10., 23. nr.; 2003, 14. nr.; 2004, 2., 12., 23. nr.; 2005, 13., 14.</w:t>
      </w:r>
      <w:r w:rsidR="003A1915">
        <w:rPr>
          <w:rFonts w:eastAsia="Times New Roman"/>
          <w:sz w:val="28"/>
          <w:szCs w:val="28"/>
          <w:lang w:eastAsia="lv-LV"/>
        </w:rPr>
        <w:t> </w:t>
      </w:r>
      <w:r w:rsidR="003D2848" w:rsidRPr="003A1915">
        <w:rPr>
          <w:rFonts w:eastAsia="Times New Roman"/>
          <w:sz w:val="28"/>
          <w:szCs w:val="28"/>
          <w:lang w:eastAsia="lv-LV"/>
        </w:rPr>
        <w:t>nr.; 2006, 15. nr.; 2007, 7., 12. nr.; 2008, 14., 23. nr.; 2009, 6., 7., 17., 22. nr.; Latvijas Vēstnesis, 2010, 23., 51./52., 160. nr.; 2011, 4. nr.; 2012, 50., 56., 92. nr.; 2013, 61., 106., 193. nr.; 2014, 92. nr.; 2015, 29., 97., 124., 140., 248., 251. nr.; 2016, 117., 241. nr.; 2017, 152., 222. nr.; 2018, 45., 225. nr.; 2019, 52.</w:t>
      </w:r>
      <w:r w:rsidR="003A1915">
        <w:rPr>
          <w:rFonts w:eastAsia="Times New Roman"/>
          <w:sz w:val="28"/>
          <w:szCs w:val="28"/>
          <w:lang w:eastAsia="lv-LV"/>
        </w:rPr>
        <w:t>,</w:t>
      </w:r>
      <w:r w:rsidR="003D2848" w:rsidRPr="003A1915">
        <w:rPr>
          <w:rFonts w:eastAsia="Times New Roman"/>
          <w:sz w:val="28"/>
          <w:szCs w:val="28"/>
          <w:lang w:eastAsia="lv-LV"/>
        </w:rPr>
        <w:t xml:space="preserve"> </w:t>
      </w:r>
      <w:r w:rsidRPr="003A1915">
        <w:rPr>
          <w:rFonts w:eastAsia="Times New Roman"/>
          <w:sz w:val="28"/>
          <w:szCs w:val="28"/>
          <w:lang w:eastAsia="lv-LV"/>
        </w:rPr>
        <w:t>129. nr.) šādu</w:t>
      </w:r>
      <w:r w:rsidR="00492136" w:rsidRPr="003A1915">
        <w:rPr>
          <w:rFonts w:eastAsia="Times New Roman"/>
          <w:sz w:val="28"/>
          <w:szCs w:val="28"/>
          <w:lang w:eastAsia="lv-LV"/>
        </w:rPr>
        <w:t>s</w:t>
      </w:r>
      <w:r w:rsidRPr="003A1915">
        <w:rPr>
          <w:rFonts w:eastAsia="Times New Roman"/>
          <w:sz w:val="28"/>
          <w:szCs w:val="28"/>
          <w:lang w:eastAsia="lv-LV"/>
        </w:rPr>
        <w:t xml:space="preserve"> grozījumu</w:t>
      </w:r>
      <w:r w:rsidR="00492136" w:rsidRPr="003A1915">
        <w:rPr>
          <w:rFonts w:eastAsia="Times New Roman"/>
          <w:sz w:val="28"/>
          <w:szCs w:val="28"/>
          <w:lang w:eastAsia="lv-LV"/>
        </w:rPr>
        <w:t>s</w:t>
      </w:r>
      <w:r w:rsidRPr="003A1915">
        <w:rPr>
          <w:rFonts w:eastAsia="Times New Roman"/>
          <w:sz w:val="28"/>
          <w:szCs w:val="28"/>
          <w:lang w:eastAsia="lv-LV"/>
        </w:rPr>
        <w:t>:</w:t>
      </w:r>
    </w:p>
    <w:p w14:paraId="6EC2E899" w14:textId="77777777" w:rsidR="00492136" w:rsidRPr="003A1915" w:rsidRDefault="00492136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1F0EAD1B" w14:textId="15083737" w:rsidR="00783762" w:rsidRPr="003A1915" w:rsidRDefault="00E6089F" w:rsidP="00383567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eastAsia="Times New Roman"/>
          <w:sz w:val="28"/>
          <w:szCs w:val="28"/>
          <w:lang w:eastAsia="lv-LV"/>
        </w:rPr>
      </w:pPr>
      <w:r w:rsidRPr="003A1915">
        <w:rPr>
          <w:rFonts w:eastAsia="Times New Roman"/>
          <w:sz w:val="28"/>
          <w:szCs w:val="28"/>
          <w:lang w:eastAsia="lv-LV"/>
        </w:rPr>
        <w:t>1.</w:t>
      </w:r>
      <w:r w:rsidR="003A1915">
        <w:rPr>
          <w:rFonts w:eastAsia="Times New Roman"/>
          <w:sz w:val="28"/>
          <w:szCs w:val="28"/>
          <w:lang w:eastAsia="lv-LV"/>
        </w:rPr>
        <w:t>  </w:t>
      </w:r>
      <w:r w:rsidR="00783762" w:rsidRPr="003A1915">
        <w:rPr>
          <w:rFonts w:eastAsia="Times New Roman"/>
          <w:sz w:val="28"/>
          <w:szCs w:val="28"/>
          <w:lang w:eastAsia="lv-LV"/>
        </w:rPr>
        <w:t>63.</w:t>
      </w:r>
      <w:r w:rsidR="00383567" w:rsidRPr="003A1915">
        <w:rPr>
          <w:rFonts w:eastAsia="Times New Roman"/>
          <w:sz w:val="28"/>
          <w:szCs w:val="28"/>
          <w:lang w:eastAsia="lv-LV"/>
        </w:rPr>
        <w:t> </w:t>
      </w:r>
      <w:r w:rsidR="00783762" w:rsidRPr="003A1915">
        <w:rPr>
          <w:rFonts w:eastAsia="Times New Roman"/>
          <w:sz w:val="28"/>
          <w:szCs w:val="28"/>
          <w:lang w:eastAsia="lv-LV"/>
        </w:rPr>
        <w:t>pantā:</w:t>
      </w:r>
    </w:p>
    <w:p w14:paraId="55CF0B14" w14:textId="31C15C10" w:rsidR="00C436FB" w:rsidRPr="003A1915" w:rsidRDefault="00783762" w:rsidP="00383567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eastAsia="Times New Roman"/>
          <w:sz w:val="28"/>
          <w:szCs w:val="28"/>
          <w:lang w:eastAsia="lv-LV"/>
        </w:rPr>
      </w:pPr>
      <w:r w:rsidRPr="003A1915">
        <w:rPr>
          <w:rFonts w:eastAsia="Times New Roman"/>
          <w:sz w:val="28"/>
          <w:szCs w:val="28"/>
          <w:lang w:eastAsia="lv-LV"/>
        </w:rPr>
        <w:t>papildināt</w:t>
      </w:r>
      <w:r w:rsidR="00492136" w:rsidRPr="003A1915">
        <w:rPr>
          <w:rFonts w:eastAsia="Times New Roman"/>
          <w:sz w:val="28"/>
          <w:szCs w:val="28"/>
          <w:lang w:eastAsia="lv-LV"/>
        </w:rPr>
        <w:t xml:space="preserve"> pirmo daļu ar 2.</w:t>
      </w:r>
      <w:r w:rsidR="00492136" w:rsidRPr="003A1915">
        <w:rPr>
          <w:rFonts w:eastAsia="Times New Roman"/>
          <w:sz w:val="28"/>
          <w:szCs w:val="28"/>
          <w:vertAlign w:val="superscript"/>
          <w:lang w:eastAsia="lv-LV"/>
        </w:rPr>
        <w:t>3</w:t>
      </w:r>
      <w:r w:rsidR="00492136" w:rsidRPr="003A1915">
        <w:rPr>
          <w:rFonts w:eastAsia="Times New Roman"/>
          <w:sz w:val="28"/>
          <w:szCs w:val="28"/>
          <w:lang w:eastAsia="lv-LV"/>
        </w:rPr>
        <w:t xml:space="preserve"> punktu šādā redakcijā:</w:t>
      </w:r>
    </w:p>
    <w:p w14:paraId="5BE6CB9E" w14:textId="77777777" w:rsidR="00813AB8" w:rsidRPr="003A1915" w:rsidRDefault="00813AB8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3D3E0531" w14:textId="147A8225" w:rsidR="00492136" w:rsidRPr="003A1915" w:rsidRDefault="00383567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  <w:r w:rsidRPr="003A1915">
        <w:rPr>
          <w:rFonts w:eastAsia="Times New Roman"/>
          <w:sz w:val="28"/>
          <w:szCs w:val="28"/>
          <w:lang w:eastAsia="lv-LV"/>
        </w:rPr>
        <w:t>"</w:t>
      </w:r>
      <w:r w:rsidR="00492136" w:rsidRPr="003A1915">
        <w:rPr>
          <w:rFonts w:eastAsia="Times New Roman"/>
          <w:sz w:val="28"/>
          <w:szCs w:val="28"/>
          <w:lang w:eastAsia="lv-LV"/>
        </w:rPr>
        <w:t>2</w:t>
      </w:r>
      <w:r w:rsidR="00492136" w:rsidRPr="003A1915">
        <w:rPr>
          <w:rFonts w:eastAsia="Times New Roman"/>
          <w:sz w:val="28"/>
          <w:szCs w:val="28"/>
          <w:vertAlign w:val="superscript"/>
          <w:lang w:eastAsia="lv-LV"/>
        </w:rPr>
        <w:t>3</w:t>
      </w:r>
      <w:r w:rsidR="00492136" w:rsidRPr="003A1915">
        <w:rPr>
          <w:rFonts w:eastAsia="Times New Roman"/>
          <w:sz w:val="28"/>
          <w:szCs w:val="28"/>
          <w:lang w:eastAsia="lv-LV"/>
        </w:rPr>
        <w:t>)</w:t>
      </w:r>
      <w:proofErr w:type="gramStart"/>
      <w:r w:rsidR="00492136" w:rsidRPr="003A1915">
        <w:rPr>
          <w:rFonts w:eastAsia="Times New Roman"/>
          <w:sz w:val="28"/>
          <w:szCs w:val="28"/>
          <w:lang w:eastAsia="lv-LV"/>
        </w:rPr>
        <w:t xml:space="preserve"> </w:t>
      </w:r>
      <w:r w:rsidR="00492136" w:rsidRPr="003A1915">
        <w:rPr>
          <w:rFonts w:eastAsia="Times New Roman"/>
          <w:sz w:val="28"/>
          <w:szCs w:val="28"/>
          <w:vertAlign w:val="superscript"/>
          <w:lang w:eastAsia="lv-LV"/>
        </w:rPr>
        <w:t xml:space="preserve"> </w:t>
      </w:r>
      <w:proofErr w:type="gramEnd"/>
      <w:r w:rsidR="00492136" w:rsidRPr="003A1915">
        <w:rPr>
          <w:rFonts w:eastAsia="Times New Roman"/>
          <w:sz w:val="28"/>
          <w:szCs w:val="28"/>
          <w:lang w:eastAsia="lv-LV"/>
        </w:rPr>
        <w:t xml:space="preserve">Patērētāju tiesību aizsardzības centram – </w:t>
      </w:r>
      <w:r w:rsidR="00BF2B61" w:rsidRPr="003A1915">
        <w:rPr>
          <w:rFonts w:eastAsia="Times New Roman"/>
          <w:sz w:val="28"/>
          <w:szCs w:val="28"/>
          <w:lang w:eastAsia="lv-LV"/>
        </w:rPr>
        <w:t xml:space="preserve"> īstenojot 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 xml:space="preserve">Eiropas Parlamenta un Padomes 2017. gada 12. decembra </w:t>
      </w:r>
      <w:r w:rsidR="003A1915">
        <w:rPr>
          <w:rFonts w:eastAsia="Times New Roman"/>
          <w:bCs/>
          <w:iCs/>
          <w:sz w:val="28"/>
          <w:szCs w:val="28"/>
          <w:lang w:eastAsia="lv-LV"/>
        </w:rPr>
        <w:t>r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 xml:space="preserve">egulas (ES) 2017/2394 par sadarbību starp valstu iestādēm, kas atbild par tiesību aktu izpildi patērētāju tiesību aizsardzības jomā, un ar ko atceļ </w:t>
      </w:r>
      <w:r w:rsidR="003A1915">
        <w:rPr>
          <w:rFonts w:eastAsia="Times New Roman"/>
          <w:bCs/>
          <w:iCs/>
          <w:sz w:val="28"/>
          <w:szCs w:val="28"/>
          <w:lang w:eastAsia="lv-LV"/>
        </w:rPr>
        <w:t>r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>egulu (EK) Nr.</w:t>
      </w:r>
      <w:r w:rsidR="003A1915">
        <w:rPr>
          <w:rFonts w:eastAsia="Times New Roman"/>
          <w:bCs/>
          <w:iCs/>
          <w:sz w:val="28"/>
          <w:szCs w:val="28"/>
          <w:lang w:eastAsia="lv-LV"/>
        </w:rPr>
        <w:t> 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>2006/2004</w:t>
      </w:r>
      <w:r w:rsidR="003A1915">
        <w:rPr>
          <w:rFonts w:eastAsia="Times New Roman"/>
          <w:bCs/>
          <w:iCs/>
          <w:sz w:val="28"/>
          <w:szCs w:val="28"/>
          <w:lang w:eastAsia="lv-LV"/>
        </w:rPr>
        <w:t>,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 xml:space="preserve"> 9.</w:t>
      </w:r>
      <w:r w:rsidRPr="003A1915">
        <w:rPr>
          <w:rFonts w:eastAsia="Times New Roman"/>
          <w:bCs/>
          <w:iCs/>
          <w:sz w:val="28"/>
          <w:szCs w:val="28"/>
          <w:lang w:eastAsia="lv-LV"/>
        </w:rPr>
        <w:t> 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>panta 3.</w:t>
      </w:r>
      <w:r w:rsidRPr="003A1915">
        <w:rPr>
          <w:rFonts w:eastAsia="Times New Roman"/>
          <w:bCs/>
          <w:iCs/>
          <w:sz w:val="28"/>
          <w:szCs w:val="28"/>
          <w:lang w:eastAsia="lv-LV"/>
        </w:rPr>
        <w:t> 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 xml:space="preserve">punkta </w:t>
      </w:r>
      <w:r w:rsidRPr="003A1915">
        <w:rPr>
          <w:rFonts w:eastAsia="Times New Roman"/>
          <w:bCs/>
          <w:iCs/>
          <w:sz w:val="28"/>
          <w:szCs w:val="28"/>
          <w:lang w:eastAsia="lv-LV"/>
        </w:rPr>
        <w:t>"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>b</w:t>
      </w:r>
      <w:r w:rsidRPr="003A1915">
        <w:rPr>
          <w:rFonts w:eastAsia="Times New Roman"/>
          <w:bCs/>
          <w:iCs/>
          <w:sz w:val="28"/>
          <w:szCs w:val="28"/>
          <w:lang w:eastAsia="lv-LV"/>
        </w:rPr>
        <w:t>"</w:t>
      </w:r>
      <w:r w:rsidR="003A1915">
        <w:rPr>
          <w:rFonts w:eastAsia="Times New Roman"/>
          <w:bCs/>
          <w:iCs/>
          <w:sz w:val="28"/>
          <w:szCs w:val="28"/>
          <w:lang w:eastAsia="lv-LV"/>
        </w:rPr>
        <w:t> </w:t>
      </w:r>
      <w:r w:rsidR="00BF2B61" w:rsidRPr="003A1915">
        <w:rPr>
          <w:rFonts w:eastAsia="Times New Roman"/>
          <w:bCs/>
          <w:iCs/>
          <w:sz w:val="28"/>
          <w:szCs w:val="28"/>
          <w:lang w:eastAsia="lv-LV"/>
        </w:rPr>
        <w:t>apakšpunktā noteiktās pilnvaras</w:t>
      </w:r>
      <w:r w:rsidR="00530C5D" w:rsidRPr="003A1915">
        <w:rPr>
          <w:rFonts w:eastAsia="Times New Roman"/>
          <w:bCs/>
          <w:iCs/>
          <w:sz w:val="28"/>
          <w:szCs w:val="28"/>
          <w:lang w:eastAsia="lv-LV"/>
        </w:rPr>
        <w:t>,</w:t>
      </w:r>
      <w:r w:rsidR="00BF2B61" w:rsidRPr="003A1915">
        <w:rPr>
          <w:rFonts w:eastAsia="Times New Roman"/>
          <w:sz w:val="28"/>
          <w:szCs w:val="28"/>
          <w:lang w:eastAsia="lv-LV"/>
        </w:rPr>
        <w:t xml:space="preserve"> </w:t>
      </w:r>
      <w:r w:rsidR="00530C5D" w:rsidRPr="003A1915">
        <w:rPr>
          <w:rFonts w:eastAsia="Times New Roman"/>
          <w:bCs/>
          <w:iCs/>
          <w:sz w:val="28"/>
          <w:szCs w:val="28"/>
          <w:lang w:eastAsia="lv-LV"/>
        </w:rPr>
        <w:t>uz tiesneša lēmuma pamata</w:t>
      </w:r>
      <w:r w:rsidR="00530C5D" w:rsidRPr="003A1915">
        <w:rPr>
          <w:rFonts w:eastAsia="Times New Roman"/>
          <w:i/>
          <w:sz w:val="28"/>
          <w:szCs w:val="28"/>
          <w:lang w:eastAsia="lv-LV"/>
        </w:rPr>
        <w:t xml:space="preserve"> </w:t>
      </w:r>
      <w:r w:rsidR="00492136" w:rsidRPr="003A1915">
        <w:rPr>
          <w:rFonts w:eastAsia="Times New Roman"/>
          <w:sz w:val="28"/>
          <w:szCs w:val="28"/>
          <w:lang w:eastAsia="lv-LV"/>
        </w:rPr>
        <w:t>Patērētāju tiesību aizsardzības likumā noteikto procesuālo darbību veikšanai</w:t>
      </w:r>
      <w:r w:rsidR="001A0D58" w:rsidRPr="003A1915">
        <w:rPr>
          <w:rFonts w:eastAsia="Times New Roman"/>
          <w:sz w:val="28"/>
          <w:szCs w:val="28"/>
          <w:lang w:eastAsia="lv-LV"/>
        </w:rPr>
        <w:t>;</w:t>
      </w:r>
      <w:r w:rsidRPr="003A1915">
        <w:rPr>
          <w:rFonts w:eastAsia="Times New Roman"/>
          <w:sz w:val="28"/>
          <w:szCs w:val="28"/>
          <w:lang w:eastAsia="lv-LV"/>
        </w:rPr>
        <w:t>"</w:t>
      </w:r>
      <w:r w:rsidR="00783762" w:rsidRPr="003A1915">
        <w:rPr>
          <w:rFonts w:eastAsia="Times New Roman"/>
          <w:sz w:val="28"/>
          <w:szCs w:val="28"/>
          <w:lang w:eastAsia="lv-LV"/>
        </w:rPr>
        <w:t>;</w:t>
      </w:r>
    </w:p>
    <w:p w14:paraId="268644FB" w14:textId="74114985" w:rsidR="00783762" w:rsidRPr="003A1915" w:rsidRDefault="00783762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52B0C737" w14:textId="6007E53B" w:rsidR="00783762" w:rsidRPr="003A1915" w:rsidRDefault="00783762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  <w:r w:rsidRPr="003A1915">
        <w:rPr>
          <w:rFonts w:eastAsia="Times New Roman"/>
          <w:sz w:val="28"/>
          <w:szCs w:val="28"/>
          <w:lang w:eastAsia="lv-LV"/>
        </w:rPr>
        <w:t xml:space="preserve">papildināt </w:t>
      </w:r>
      <w:r w:rsidRPr="003A1915">
        <w:rPr>
          <w:rFonts w:eastAsia="Times New Roman"/>
          <w:bCs/>
          <w:sz w:val="28"/>
          <w:szCs w:val="28"/>
          <w:lang w:eastAsia="lv-LV"/>
        </w:rPr>
        <w:t>pirmās daļas 20.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 </w:t>
      </w:r>
      <w:r w:rsidRPr="003A1915">
        <w:rPr>
          <w:rFonts w:eastAsia="Times New Roman"/>
          <w:bCs/>
          <w:sz w:val="28"/>
          <w:szCs w:val="28"/>
          <w:lang w:eastAsia="lv-LV"/>
        </w:rPr>
        <w:t xml:space="preserve">punktu pēc vārda 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r w:rsidRPr="003A1915">
        <w:rPr>
          <w:rFonts w:eastAsia="Times New Roman"/>
          <w:bCs/>
          <w:sz w:val="28"/>
          <w:szCs w:val="28"/>
          <w:lang w:eastAsia="lv-LV"/>
        </w:rPr>
        <w:t>izrakstu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r w:rsidRPr="003A1915">
        <w:rPr>
          <w:rFonts w:eastAsia="Times New Roman"/>
          <w:bCs/>
          <w:sz w:val="28"/>
          <w:szCs w:val="28"/>
          <w:lang w:eastAsia="lv-LV"/>
        </w:rPr>
        <w:t xml:space="preserve"> ar vārdiem 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proofErr w:type="gramStart"/>
      <w:r w:rsidRPr="003A1915">
        <w:rPr>
          <w:rFonts w:eastAsia="Times New Roman"/>
          <w:bCs/>
          <w:sz w:val="28"/>
          <w:szCs w:val="28"/>
          <w:lang w:eastAsia="lv-LV"/>
        </w:rPr>
        <w:t>kā arī</w:t>
      </w:r>
      <w:proofErr w:type="gramEnd"/>
      <w:r w:rsidRPr="003A1915">
        <w:rPr>
          <w:rFonts w:eastAsia="Times New Roman"/>
          <w:bCs/>
          <w:sz w:val="28"/>
          <w:szCs w:val="28"/>
          <w:lang w:eastAsia="lv-LV"/>
        </w:rPr>
        <w:t xml:space="preserve"> konta izrakstu, kuru administrators atver </w:t>
      </w:r>
      <w:r w:rsidR="00CF7E57" w:rsidRPr="003A1915">
        <w:rPr>
          <w:rFonts w:eastAsia="Times New Roman"/>
          <w:bCs/>
          <w:sz w:val="28"/>
          <w:szCs w:val="28"/>
          <w:lang w:eastAsia="lv-LV"/>
        </w:rPr>
        <w:t>savā vārdā</w:t>
      </w:r>
      <w:r w:rsidRPr="003A1915">
        <w:rPr>
          <w:rFonts w:eastAsia="Times New Roman"/>
          <w:bCs/>
          <w:sz w:val="28"/>
          <w:szCs w:val="28"/>
          <w:lang w:eastAsia="lv-LV"/>
        </w:rPr>
        <w:t xml:space="preserve"> konkrētā fiziskās personas maksātnespējas procesā atbilstoši Maksātnespējas likumam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r w:rsidRPr="003A1915">
        <w:rPr>
          <w:rFonts w:eastAsia="Times New Roman"/>
          <w:bCs/>
          <w:sz w:val="28"/>
          <w:szCs w:val="28"/>
          <w:lang w:eastAsia="lv-LV"/>
        </w:rPr>
        <w:t>.</w:t>
      </w:r>
    </w:p>
    <w:p w14:paraId="46FC28A9" w14:textId="77777777" w:rsidR="00783762" w:rsidRPr="003A1915" w:rsidRDefault="00783762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0C073509" w14:textId="39713885" w:rsidR="00575D90" w:rsidRPr="003A1915" w:rsidRDefault="00E6089F" w:rsidP="00383567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eastAsia="Times New Roman"/>
          <w:sz w:val="28"/>
          <w:szCs w:val="28"/>
          <w:lang w:eastAsia="lv-LV"/>
        </w:rPr>
      </w:pPr>
      <w:r w:rsidRPr="003A1915">
        <w:rPr>
          <w:rFonts w:eastAsia="Times New Roman"/>
          <w:sz w:val="28"/>
          <w:szCs w:val="28"/>
          <w:lang w:eastAsia="lv-LV"/>
        </w:rPr>
        <w:t xml:space="preserve">2. </w:t>
      </w:r>
      <w:r w:rsidR="00783762" w:rsidRPr="003A1915">
        <w:rPr>
          <w:rFonts w:eastAsia="Times New Roman"/>
          <w:sz w:val="28"/>
          <w:szCs w:val="28"/>
          <w:lang w:eastAsia="lv-LV"/>
        </w:rPr>
        <w:t>P</w:t>
      </w:r>
      <w:r w:rsidR="00575D90" w:rsidRPr="003A1915">
        <w:rPr>
          <w:rFonts w:eastAsia="Times New Roman"/>
          <w:sz w:val="28"/>
          <w:szCs w:val="28"/>
          <w:lang w:eastAsia="lv-LV"/>
        </w:rPr>
        <w:t xml:space="preserve">apildināt </w:t>
      </w:r>
      <w:r w:rsidR="00783762" w:rsidRPr="003A1915">
        <w:rPr>
          <w:rFonts w:eastAsia="Times New Roman"/>
          <w:sz w:val="28"/>
          <w:szCs w:val="28"/>
          <w:lang w:eastAsia="lv-LV"/>
        </w:rPr>
        <w:t>63.</w:t>
      </w:r>
      <w:r w:rsidR="00783762" w:rsidRPr="003A1915">
        <w:rPr>
          <w:rFonts w:eastAsia="Times New Roman"/>
          <w:sz w:val="28"/>
          <w:szCs w:val="28"/>
          <w:vertAlign w:val="superscript"/>
          <w:lang w:eastAsia="lv-LV"/>
        </w:rPr>
        <w:t xml:space="preserve">2 </w:t>
      </w:r>
      <w:r w:rsidR="000E02D5">
        <w:rPr>
          <w:rFonts w:eastAsia="Times New Roman"/>
          <w:sz w:val="28"/>
          <w:szCs w:val="28"/>
          <w:lang w:eastAsia="lv-LV"/>
        </w:rPr>
        <w:t xml:space="preserve">panta </w:t>
      </w:r>
      <w:r w:rsidR="00575D90" w:rsidRPr="003A1915">
        <w:rPr>
          <w:rFonts w:eastAsia="Times New Roman"/>
          <w:bCs/>
          <w:sz w:val="28"/>
          <w:szCs w:val="28"/>
          <w:lang w:eastAsia="lv-LV"/>
        </w:rPr>
        <w:t>ievaddaļ</w:t>
      </w:r>
      <w:r w:rsidR="00C436FB" w:rsidRPr="003A1915">
        <w:rPr>
          <w:rFonts w:eastAsia="Times New Roman"/>
          <w:bCs/>
          <w:sz w:val="28"/>
          <w:szCs w:val="28"/>
          <w:lang w:eastAsia="lv-LV"/>
        </w:rPr>
        <w:t>u</w:t>
      </w:r>
      <w:r w:rsidR="00575D90" w:rsidRPr="003A1915">
        <w:rPr>
          <w:rFonts w:eastAsia="Times New Roman"/>
          <w:bCs/>
          <w:sz w:val="28"/>
          <w:szCs w:val="28"/>
          <w:lang w:eastAsia="lv-LV"/>
        </w:rPr>
        <w:t xml:space="preserve"> pēc vārda 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r w:rsidR="00575D90" w:rsidRPr="003A1915">
        <w:rPr>
          <w:rFonts w:eastAsia="Times New Roman"/>
          <w:bCs/>
          <w:sz w:val="28"/>
          <w:szCs w:val="28"/>
          <w:lang w:eastAsia="lv-LV"/>
        </w:rPr>
        <w:t>kontiem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r w:rsidR="00575D90" w:rsidRPr="003A1915">
        <w:rPr>
          <w:rFonts w:eastAsia="Times New Roman"/>
          <w:bCs/>
          <w:sz w:val="28"/>
          <w:szCs w:val="28"/>
          <w:lang w:eastAsia="lv-LV"/>
        </w:rPr>
        <w:t xml:space="preserve"> ar vārdiem 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r w:rsidR="00575D90" w:rsidRPr="003A1915">
        <w:rPr>
          <w:rFonts w:eastAsia="Times New Roman"/>
          <w:bCs/>
          <w:sz w:val="28"/>
          <w:szCs w:val="28"/>
          <w:lang w:eastAsia="lv-LV"/>
        </w:rPr>
        <w:t xml:space="preserve">un </w:t>
      </w:r>
      <w:r w:rsidR="0098397A" w:rsidRPr="003A1915">
        <w:rPr>
          <w:rFonts w:eastAsia="Times New Roman"/>
          <w:bCs/>
          <w:sz w:val="28"/>
          <w:szCs w:val="28"/>
          <w:lang w:eastAsia="lv-LV"/>
        </w:rPr>
        <w:t xml:space="preserve">to </w:t>
      </w:r>
      <w:r w:rsidR="00575D90" w:rsidRPr="003A1915">
        <w:rPr>
          <w:rFonts w:eastAsia="Times New Roman"/>
          <w:bCs/>
          <w:sz w:val="28"/>
          <w:szCs w:val="28"/>
          <w:lang w:eastAsia="lv-LV"/>
        </w:rPr>
        <w:t>lietošanā esoš</w:t>
      </w:r>
      <w:r w:rsidR="00B01208">
        <w:rPr>
          <w:rFonts w:eastAsia="Times New Roman"/>
          <w:bCs/>
          <w:sz w:val="28"/>
          <w:szCs w:val="28"/>
          <w:lang w:eastAsia="lv-LV"/>
        </w:rPr>
        <w:t>aj</w:t>
      </w:r>
      <w:r w:rsidR="00575D90" w:rsidRPr="003A1915">
        <w:rPr>
          <w:rFonts w:eastAsia="Times New Roman"/>
          <w:bCs/>
          <w:sz w:val="28"/>
          <w:szCs w:val="28"/>
          <w:lang w:eastAsia="lv-LV"/>
        </w:rPr>
        <w:t>iem individuālajiem seif</w:t>
      </w:r>
      <w:r w:rsidR="00783762" w:rsidRPr="003A1915">
        <w:rPr>
          <w:rFonts w:eastAsia="Times New Roman"/>
          <w:bCs/>
          <w:sz w:val="28"/>
          <w:szCs w:val="28"/>
          <w:lang w:eastAsia="lv-LV"/>
        </w:rPr>
        <w:t>iem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"</w:t>
      </w:r>
      <w:r w:rsidR="000E02D5">
        <w:rPr>
          <w:rFonts w:eastAsia="Times New Roman"/>
          <w:bCs/>
          <w:sz w:val="28"/>
          <w:szCs w:val="28"/>
          <w:lang w:eastAsia="lv-LV"/>
        </w:rPr>
        <w:t>.</w:t>
      </w:r>
    </w:p>
    <w:p w14:paraId="0B8A6101" w14:textId="64F1004D" w:rsidR="00492136" w:rsidRPr="003A1915" w:rsidRDefault="00492136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bCs/>
          <w:sz w:val="28"/>
          <w:szCs w:val="28"/>
          <w:lang w:eastAsia="lv-LV"/>
        </w:rPr>
      </w:pPr>
    </w:p>
    <w:p w14:paraId="7202E8BD" w14:textId="1C75AE41" w:rsidR="00035B23" w:rsidRPr="003A1915" w:rsidRDefault="00E6089F" w:rsidP="00383567">
      <w:pPr>
        <w:pStyle w:val="ListParagraph"/>
        <w:shd w:val="clear" w:color="auto" w:fill="FFFFFF"/>
        <w:spacing w:after="0" w:line="240" w:lineRule="auto"/>
        <w:ind w:left="0" w:right="-1" w:firstLine="709"/>
        <w:jc w:val="both"/>
        <w:rPr>
          <w:rFonts w:eastAsia="Times New Roman"/>
          <w:bCs/>
          <w:sz w:val="28"/>
          <w:szCs w:val="28"/>
          <w:lang w:eastAsia="lv-LV"/>
        </w:rPr>
      </w:pPr>
      <w:r w:rsidRPr="003A1915">
        <w:rPr>
          <w:rFonts w:eastAsia="Times New Roman"/>
          <w:bCs/>
          <w:sz w:val="28"/>
          <w:szCs w:val="28"/>
          <w:lang w:eastAsia="lv-LV"/>
        </w:rPr>
        <w:t xml:space="preserve">3. </w:t>
      </w:r>
      <w:r w:rsidR="00A46756" w:rsidRPr="003A1915">
        <w:rPr>
          <w:rFonts w:eastAsia="Times New Roman"/>
          <w:bCs/>
          <w:sz w:val="28"/>
          <w:szCs w:val="28"/>
          <w:lang w:eastAsia="lv-LV"/>
        </w:rPr>
        <w:t>Papildināt pārejas noteikumus ar 85.</w:t>
      </w:r>
      <w:r w:rsidR="00383567" w:rsidRPr="003A1915">
        <w:rPr>
          <w:rFonts w:eastAsia="Times New Roman"/>
          <w:bCs/>
          <w:sz w:val="28"/>
          <w:szCs w:val="28"/>
          <w:lang w:eastAsia="lv-LV"/>
        </w:rPr>
        <w:t> </w:t>
      </w:r>
      <w:r w:rsidR="00A46756" w:rsidRPr="003A1915">
        <w:rPr>
          <w:rFonts w:eastAsia="Times New Roman"/>
          <w:bCs/>
          <w:sz w:val="28"/>
          <w:szCs w:val="28"/>
          <w:lang w:eastAsia="lv-LV"/>
        </w:rPr>
        <w:t>punktu šādā redakcijā:</w:t>
      </w:r>
    </w:p>
    <w:p w14:paraId="78B45500" w14:textId="77777777" w:rsidR="00813AB8" w:rsidRPr="003A1915" w:rsidRDefault="00813AB8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74A77C70" w14:textId="044664FE" w:rsidR="005133DD" w:rsidRPr="003A1915" w:rsidRDefault="00383567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  <w:r w:rsidRPr="003A1915">
        <w:rPr>
          <w:rFonts w:eastAsia="Times New Roman"/>
          <w:sz w:val="28"/>
          <w:szCs w:val="28"/>
          <w:lang w:eastAsia="lv-LV"/>
        </w:rPr>
        <w:t>"</w:t>
      </w:r>
      <w:r w:rsidR="00BE5ABC" w:rsidRPr="003A1915">
        <w:rPr>
          <w:rFonts w:eastAsia="Times New Roman"/>
          <w:sz w:val="28"/>
          <w:szCs w:val="28"/>
          <w:lang w:eastAsia="lv-LV"/>
        </w:rPr>
        <w:t>85. Grozījumi šā likuma 63.</w:t>
      </w:r>
      <w:r w:rsidRPr="003A1915">
        <w:rPr>
          <w:rFonts w:eastAsia="Times New Roman"/>
          <w:sz w:val="28"/>
          <w:szCs w:val="28"/>
          <w:lang w:eastAsia="lv-LV"/>
        </w:rPr>
        <w:t> </w:t>
      </w:r>
      <w:r w:rsidR="00BE5ABC" w:rsidRPr="003A1915">
        <w:rPr>
          <w:rFonts w:eastAsia="Times New Roman"/>
          <w:sz w:val="28"/>
          <w:szCs w:val="28"/>
          <w:lang w:eastAsia="lv-LV"/>
        </w:rPr>
        <w:t xml:space="preserve">panta pirmajā daļā, kas paredz Patērētāju </w:t>
      </w:r>
      <w:r w:rsidR="000E02D5">
        <w:rPr>
          <w:rFonts w:eastAsia="Times New Roman"/>
          <w:sz w:val="28"/>
          <w:szCs w:val="28"/>
          <w:lang w:eastAsia="lv-LV"/>
        </w:rPr>
        <w:t xml:space="preserve">tiesību </w:t>
      </w:r>
      <w:bookmarkStart w:id="0" w:name="_GoBack"/>
      <w:bookmarkEnd w:id="0"/>
      <w:r w:rsidR="00BE5ABC" w:rsidRPr="003A1915">
        <w:rPr>
          <w:rFonts w:eastAsia="Times New Roman"/>
          <w:sz w:val="28"/>
          <w:szCs w:val="28"/>
          <w:lang w:eastAsia="lv-LV"/>
        </w:rPr>
        <w:t xml:space="preserve">aizsardzības centram tiesības iegūt kredītiestādes rīcībā esošās neizpaužamās ziņas, stājas spēkā vienlaikus ar grozījumiem Patērētāju tiesību aizsardzības likumā, kas nosaka Patērētāju tiesību aizsardzības centra kompetenci saskaņā </w:t>
      </w:r>
      <w:proofErr w:type="gramStart"/>
      <w:r w:rsidR="00BE5ABC" w:rsidRPr="003A1915">
        <w:rPr>
          <w:rFonts w:eastAsia="Times New Roman"/>
          <w:sz w:val="28"/>
          <w:szCs w:val="28"/>
          <w:lang w:eastAsia="lv-LV"/>
        </w:rPr>
        <w:t>ar Eiropas Parlamenta un Padomes</w:t>
      </w:r>
      <w:proofErr w:type="gramEnd"/>
      <w:r w:rsidR="00BE5ABC" w:rsidRPr="003A1915">
        <w:rPr>
          <w:rFonts w:eastAsia="Times New Roman"/>
          <w:sz w:val="28"/>
          <w:szCs w:val="28"/>
          <w:lang w:eastAsia="lv-LV"/>
        </w:rPr>
        <w:t xml:space="preserve"> 2017. gada 12. decembra </w:t>
      </w:r>
      <w:r w:rsidR="00B01208">
        <w:rPr>
          <w:rFonts w:eastAsia="Times New Roman"/>
          <w:sz w:val="28"/>
          <w:szCs w:val="28"/>
          <w:lang w:eastAsia="lv-LV"/>
        </w:rPr>
        <w:t>r</w:t>
      </w:r>
      <w:r w:rsidR="00BE5ABC" w:rsidRPr="003A1915">
        <w:rPr>
          <w:rFonts w:eastAsia="Times New Roman"/>
          <w:sz w:val="28"/>
          <w:szCs w:val="28"/>
          <w:lang w:eastAsia="lv-LV"/>
        </w:rPr>
        <w:t xml:space="preserve">egulu (ES) 2017/2394 par sadarbību starp valstu iestādēm, kas atbild par tiesību aktu izpildi patērētāju tiesību aizsardzības jomā, un ar ko atceļ </w:t>
      </w:r>
      <w:r w:rsidR="00B01208">
        <w:rPr>
          <w:rFonts w:eastAsia="Times New Roman"/>
          <w:sz w:val="28"/>
          <w:szCs w:val="28"/>
          <w:lang w:eastAsia="lv-LV"/>
        </w:rPr>
        <w:t>r</w:t>
      </w:r>
      <w:r w:rsidR="00BE5ABC" w:rsidRPr="003A1915">
        <w:rPr>
          <w:rFonts w:eastAsia="Times New Roman"/>
          <w:sz w:val="28"/>
          <w:szCs w:val="28"/>
          <w:lang w:eastAsia="lv-LV"/>
        </w:rPr>
        <w:t>egulu (EK) Nr. 2006/2004.</w:t>
      </w:r>
      <w:r w:rsidRPr="003A1915">
        <w:rPr>
          <w:rFonts w:eastAsia="Times New Roman"/>
          <w:sz w:val="28"/>
          <w:szCs w:val="28"/>
          <w:lang w:eastAsia="lv-LV"/>
        </w:rPr>
        <w:t>"</w:t>
      </w:r>
    </w:p>
    <w:p w14:paraId="585DD689" w14:textId="77777777" w:rsidR="00E043C0" w:rsidRPr="003A1915" w:rsidRDefault="00E043C0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48F9D1C1" w14:textId="40B1DF73" w:rsidR="00C436FB" w:rsidRPr="003A1915" w:rsidRDefault="00E6089F" w:rsidP="00383567">
      <w:pPr>
        <w:pStyle w:val="tv213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3A1915">
        <w:rPr>
          <w:bCs/>
          <w:sz w:val="28"/>
          <w:szCs w:val="28"/>
        </w:rPr>
        <w:t xml:space="preserve">4. </w:t>
      </w:r>
      <w:r w:rsidR="00D803D7" w:rsidRPr="003A1915">
        <w:rPr>
          <w:bCs/>
          <w:sz w:val="28"/>
          <w:szCs w:val="28"/>
        </w:rPr>
        <w:t>Papildināt</w:t>
      </w:r>
      <w:r w:rsidR="00272C58" w:rsidRPr="003A1915">
        <w:rPr>
          <w:bCs/>
          <w:sz w:val="28"/>
          <w:szCs w:val="28"/>
        </w:rPr>
        <w:t xml:space="preserve"> informatīvo atsauci uz </w:t>
      </w:r>
      <w:r w:rsidR="00D803D7" w:rsidRPr="003A1915">
        <w:rPr>
          <w:bCs/>
          <w:sz w:val="28"/>
          <w:szCs w:val="28"/>
        </w:rPr>
        <w:t>Eiropas Savienības direktīvām ar 26.</w:t>
      </w:r>
      <w:r w:rsidR="00383567" w:rsidRPr="003A1915">
        <w:rPr>
          <w:bCs/>
          <w:sz w:val="28"/>
          <w:szCs w:val="28"/>
        </w:rPr>
        <w:t> </w:t>
      </w:r>
      <w:r w:rsidR="00623DD3" w:rsidRPr="003A1915">
        <w:rPr>
          <w:bCs/>
          <w:sz w:val="28"/>
          <w:szCs w:val="28"/>
        </w:rPr>
        <w:t>un 27.</w:t>
      </w:r>
      <w:r w:rsidR="00383567" w:rsidRPr="003A1915">
        <w:rPr>
          <w:bCs/>
          <w:sz w:val="28"/>
          <w:szCs w:val="28"/>
        </w:rPr>
        <w:t> </w:t>
      </w:r>
      <w:r w:rsidR="00D803D7" w:rsidRPr="003A1915">
        <w:rPr>
          <w:bCs/>
          <w:sz w:val="28"/>
          <w:szCs w:val="28"/>
        </w:rPr>
        <w:t>punktu šādā redakcijā:</w:t>
      </w:r>
    </w:p>
    <w:p w14:paraId="591C35AB" w14:textId="77777777" w:rsidR="00383567" w:rsidRPr="003A1915" w:rsidRDefault="00383567" w:rsidP="00383567">
      <w:pPr>
        <w:pStyle w:val="tv213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iCs/>
          <w:sz w:val="28"/>
          <w:szCs w:val="28"/>
        </w:rPr>
      </w:pPr>
    </w:p>
    <w:p w14:paraId="53EC13E8" w14:textId="4F4975DB" w:rsidR="00623DD3" w:rsidRPr="003A1915" w:rsidRDefault="00383567" w:rsidP="00383567">
      <w:pPr>
        <w:pStyle w:val="tv213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A1915">
        <w:rPr>
          <w:bCs/>
          <w:iCs/>
          <w:sz w:val="28"/>
          <w:szCs w:val="28"/>
        </w:rPr>
        <w:lastRenderedPageBreak/>
        <w:t>"</w:t>
      </w:r>
      <w:r w:rsidR="00623DD3" w:rsidRPr="003A1915">
        <w:rPr>
          <w:bCs/>
          <w:iCs/>
          <w:sz w:val="28"/>
          <w:szCs w:val="28"/>
        </w:rPr>
        <w:t xml:space="preserve">26) </w:t>
      </w:r>
      <w:r w:rsidR="00A96990" w:rsidRPr="003A1915">
        <w:rPr>
          <w:bCs/>
          <w:iCs/>
          <w:sz w:val="28"/>
          <w:szCs w:val="28"/>
        </w:rPr>
        <w:t>Eiropas Parlamenta un Padomes 2015.</w:t>
      </w:r>
      <w:r w:rsidRPr="003A1915">
        <w:rPr>
          <w:bCs/>
          <w:iCs/>
          <w:sz w:val="28"/>
          <w:szCs w:val="28"/>
        </w:rPr>
        <w:t> </w:t>
      </w:r>
      <w:r w:rsidR="00A96990" w:rsidRPr="003A1915">
        <w:rPr>
          <w:bCs/>
          <w:iCs/>
          <w:sz w:val="28"/>
          <w:szCs w:val="28"/>
        </w:rPr>
        <w:t>gada 20.</w:t>
      </w:r>
      <w:r w:rsidRPr="003A1915">
        <w:rPr>
          <w:bCs/>
          <w:iCs/>
          <w:sz w:val="28"/>
          <w:szCs w:val="28"/>
        </w:rPr>
        <w:t> </w:t>
      </w:r>
      <w:r w:rsidR="00A96990" w:rsidRPr="003A1915">
        <w:rPr>
          <w:bCs/>
          <w:iCs/>
          <w:sz w:val="28"/>
          <w:szCs w:val="28"/>
        </w:rPr>
        <w:t xml:space="preserve">maija </w:t>
      </w:r>
      <w:r w:rsidR="00B01208">
        <w:rPr>
          <w:bCs/>
          <w:iCs/>
          <w:sz w:val="28"/>
          <w:szCs w:val="28"/>
        </w:rPr>
        <w:t>d</w:t>
      </w:r>
      <w:r w:rsidR="00A96990" w:rsidRPr="003A1915">
        <w:rPr>
          <w:bCs/>
          <w:iCs/>
          <w:sz w:val="28"/>
          <w:szCs w:val="28"/>
        </w:rPr>
        <w:t>irektīvas</w:t>
      </w:r>
      <w:r w:rsidR="00623DD3" w:rsidRPr="003A1915">
        <w:rPr>
          <w:bCs/>
          <w:iCs/>
          <w:sz w:val="28"/>
          <w:szCs w:val="28"/>
        </w:rPr>
        <w:t xml:space="preserve"> (ES) 2015/849 </w:t>
      </w:r>
      <w:r w:rsidR="00A96990" w:rsidRPr="003A1915">
        <w:rPr>
          <w:bCs/>
          <w:iCs/>
          <w:sz w:val="28"/>
          <w:szCs w:val="28"/>
        </w:rPr>
        <w:t xml:space="preserve">par to, lai nepieļautu finanšu sistēmas izmantošanu nelikumīgi iegūtu līdzekļu legalizēšanai vai teroristu finansēšanai, un ar ko groza Eiropas Parlamenta un Padomes </w:t>
      </w:r>
      <w:r w:rsidR="00B01208">
        <w:rPr>
          <w:bCs/>
          <w:iCs/>
          <w:sz w:val="28"/>
          <w:szCs w:val="28"/>
        </w:rPr>
        <w:t>r</w:t>
      </w:r>
      <w:r w:rsidR="00A96990" w:rsidRPr="003A1915">
        <w:rPr>
          <w:bCs/>
          <w:iCs/>
          <w:sz w:val="28"/>
          <w:szCs w:val="28"/>
        </w:rPr>
        <w:t xml:space="preserve">egulu (ES) Nr. 684/2012 un atceļ Eiropas Parlamenta un Padomes </w:t>
      </w:r>
      <w:r w:rsidR="00B01208">
        <w:rPr>
          <w:bCs/>
          <w:iCs/>
          <w:sz w:val="28"/>
          <w:szCs w:val="28"/>
        </w:rPr>
        <w:t>d</w:t>
      </w:r>
      <w:r w:rsidR="00A96990" w:rsidRPr="003A1915">
        <w:rPr>
          <w:bCs/>
          <w:iCs/>
          <w:sz w:val="28"/>
          <w:szCs w:val="28"/>
        </w:rPr>
        <w:t xml:space="preserve">irektīvu 2005/60/EK un Komisijas </w:t>
      </w:r>
      <w:r w:rsidR="00B01208">
        <w:rPr>
          <w:bCs/>
          <w:iCs/>
          <w:sz w:val="28"/>
          <w:szCs w:val="28"/>
        </w:rPr>
        <w:t>d</w:t>
      </w:r>
      <w:r w:rsidR="00A96990" w:rsidRPr="003A1915">
        <w:rPr>
          <w:bCs/>
          <w:iCs/>
          <w:sz w:val="28"/>
          <w:szCs w:val="28"/>
        </w:rPr>
        <w:t>irektīvu 2006/70/EK;</w:t>
      </w:r>
    </w:p>
    <w:p w14:paraId="05AE1A50" w14:textId="3025FE36" w:rsidR="00D803D7" w:rsidRPr="003A1915" w:rsidRDefault="00623DD3" w:rsidP="00383567">
      <w:pPr>
        <w:pStyle w:val="tv213"/>
        <w:shd w:val="clear" w:color="auto" w:fill="FFFFFF"/>
        <w:spacing w:before="0" w:beforeAutospacing="0" w:after="0" w:afterAutospacing="0" w:line="293" w:lineRule="atLeast"/>
        <w:ind w:right="-1" w:firstLine="709"/>
        <w:jc w:val="both"/>
        <w:rPr>
          <w:bCs/>
          <w:iCs/>
          <w:sz w:val="28"/>
          <w:szCs w:val="28"/>
        </w:rPr>
      </w:pPr>
      <w:r w:rsidRPr="003A1915">
        <w:rPr>
          <w:bCs/>
          <w:iCs/>
          <w:sz w:val="28"/>
          <w:szCs w:val="28"/>
        </w:rPr>
        <w:t>27</w:t>
      </w:r>
      <w:r w:rsidR="00D803D7" w:rsidRPr="003A1915">
        <w:rPr>
          <w:bCs/>
          <w:iCs/>
          <w:sz w:val="28"/>
          <w:szCs w:val="28"/>
        </w:rPr>
        <w:t>) Eiropas Parlamenta un Pado</w:t>
      </w:r>
      <w:r w:rsidR="00087018" w:rsidRPr="003A1915">
        <w:rPr>
          <w:bCs/>
          <w:iCs/>
          <w:sz w:val="28"/>
          <w:szCs w:val="28"/>
        </w:rPr>
        <w:t>mes 2018.</w:t>
      </w:r>
      <w:r w:rsidR="00383567" w:rsidRPr="003A1915">
        <w:rPr>
          <w:bCs/>
          <w:iCs/>
          <w:sz w:val="28"/>
          <w:szCs w:val="28"/>
        </w:rPr>
        <w:t> </w:t>
      </w:r>
      <w:r w:rsidR="00087018" w:rsidRPr="003A1915">
        <w:rPr>
          <w:bCs/>
          <w:iCs/>
          <w:sz w:val="28"/>
          <w:szCs w:val="28"/>
        </w:rPr>
        <w:t>gada 30.</w:t>
      </w:r>
      <w:r w:rsidR="00383567" w:rsidRPr="003A1915">
        <w:rPr>
          <w:bCs/>
          <w:iCs/>
          <w:sz w:val="28"/>
          <w:szCs w:val="28"/>
        </w:rPr>
        <w:t> </w:t>
      </w:r>
      <w:r w:rsidR="00087018" w:rsidRPr="003A1915">
        <w:rPr>
          <w:bCs/>
          <w:iCs/>
          <w:sz w:val="28"/>
          <w:szCs w:val="28"/>
        </w:rPr>
        <w:t xml:space="preserve">maija </w:t>
      </w:r>
      <w:r w:rsidR="00B01208">
        <w:rPr>
          <w:bCs/>
          <w:iCs/>
          <w:sz w:val="28"/>
          <w:szCs w:val="28"/>
        </w:rPr>
        <w:t>d</w:t>
      </w:r>
      <w:r w:rsidR="00087018" w:rsidRPr="003A1915">
        <w:rPr>
          <w:bCs/>
          <w:iCs/>
          <w:sz w:val="28"/>
          <w:szCs w:val="28"/>
        </w:rPr>
        <w:t>irektīva</w:t>
      </w:r>
      <w:r w:rsidR="003E74B2" w:rsidRPr="003A1915">
        <w:rPr>
          <w:bCs/>
          <w:iCs/>
          <w:sz w:val="28"/>
          <w:szCs w:val="28"/>
        </w:rPr>
        <w:t>s</w:t>
      </w:r>
      <w:r w:rsidR="00D803D7" w:rsidRPr="003A1915">
        <w:rPr>
          <w:bCs/>
          <w:iCs/>
          <w:sz w:val="28"/>
          <w:szCs w:val="28"/>
        </w:rPr>
        <w:t xml:space="preserve"> </w:t>
      </w:r>
      <w:r w:rsidR="00D803D7" w:rsidRPr="003A1915">
        <w:rPr>
          <w:bCs/>
          <w:sz w:val="28"/>
          <w:szCs w:val="28"/>
        </w:rPr>
        <w:t>(ES) 2018/843</w:t>
      </w:r>
      <w:r w:rsidR="006F697C" w:rsidRPr="003A1915">
        <w:rPr>
          <w:bCs/>
          <w:sz w:val="28"/>
          <w:szCs w:val="28"/>
        </w:rPr>
        <w:t>,</w:t>
      </w:r>
      <w:r w:rsidR="00D803D7" w:rsidRPr="003A1915">
        <w:rPr>
          <w:bCs/>
          <w:iCs/>
          <w:sz w:val="28"/>
          <w:szCs w:val="28"/>
        </w:rPr>
        <w:t xml:space="preserve"> ar ko groza </w:t>
      </w:r>
      <w:r w:rsidR="00B01208">
        <w:rPr>
          <w:bCs/>
          <w:iCs/>
          <w:sz w:val="28"/>
          <w:szCs w:val="28"/>
        </w:rPr>
        <w:t>d</w:t>
      </w:r>
      <w:r w:rsidR="00D803D7" w:rsidRPr="003A1915">
        <w:rPr>
          <w:bCs/>
          <w:iCs/>
          <w:sz w:val="28"/>
          <w:szCs w:val="28"/>
        </w:rPr>
        <w:t xml:space="preserve">irektīvu (ES) 2015/849 par to, lai nepieļautu finanšu sistēmas izmantošanu nelikumīgi iegūtu līdzekļu legalizēšanai vai teroristu finansēšanai, un ar ko groza </w:t>
      </w:r>
      <w:r w:rsidR="00B01208">
        <w:rPr>
          <w:bCs/>
          <w:iCs/>
          <w:sz w:val="28"/>
          <w:szCs w:val="28"/>
        </w:rPr>
        <w:t>d</w:t>
      </w:r>
      <w:r w:rsidR="00D803D7" w:rsidRPr="003A1915">
        <w:rPr>
          <w:bCs/>
          <w:iCs/>
          <w:sz w:val="28"/>
          <w:szCs w:val="28"/>
        </w:rPr>
        <w:t>irektīvas 2009/138/EK un 2013/36/ES</w:t>
      </w:r>
      <w:r w:rsidR="005159A1" w:rsidRPr="003A1915">
        <w:rPr>
          <w:bCs/>
          <w:iCs/>
          <w:sz w:val="28"/>
          <w:szCs w:val="28"/>
        </w:rPr>
        <w:t>.</w:t>
      </w:r>
      <w:r w:rsidR="00383567" w:rsidRPr="003A1915">
        <w:rPr>
          <w:bCs/>
          <w:iCs/>
          <w:sz w:val="28"/>
          <w:szCs w:val="28"/>
        </w:rPr>
        <w:t>"</w:t>
      </w:r>
    </w:p>
    <w:p w14:paraId="70BCDC89" w14:textId="18655614" w:rsidR="001745FC" w:rsidRPr="003A1915" w:rsidRDefault="001745FC" w:rsidP="00383567">
      <w:pPr>
        <w:pStyle w:val="tv213"/>
        <w:shd w:val="clear" w:color="auto" w:fill="FFFFFF"/>
        <w:spacing w:before="0" w:beforeAutospacing="0" w:after="0" w:afterAutospacing="0" w:line="293" w:lineRule="atLeast"/>
        <w:ind w:right="-1" w:firstLine="709"/>
        <w:jc w:val="both"/>
        <w:rPr>
          <w:bCs/>
          <w:iCs/>
          <w:sz w:val="28"/>
          <w:szCs w:val="28"/>
        </w:rPr>
      </w:pPr>
    </w:p>
    <w:p w14:paraId="6AF41364" w14:textId="39ACAB94" w:rsidR="001626EA" w:rsidRPr="003A1915" w:rsidRDefault="001745FC" w:rsidP="00383567">
      <w:pPr>
        <w:pStyle w:val="tv213"/>
        <w:shd w:val="clear" w:color="auto" w:fill="FFFFFF"/>
        <w:spacing w:before="0" w:beforeAutospacing="0" w:after="0" w:afterAutospacing="0" w:line="293" w:lineRule="atLeast"/>
        <w:ind w:right="-1" w:firstLine="709"/>
        <w:jc w:val="both"/>
        <w:rPr>
          <w:bCs/>
          <w:iCs/>
          <w:sz w:val="28"/>
          <w:szCs w:val="28"/>
        </w:rPr>
      </w:pPr>
      <w:r w:rsidRPr="003A1915">
        <w:rPr>
          <w:bCs/>
          <w:iCs/>
          <w:sz w:val="28"/>
          <w:szCs w:val="28"/>
        </w:rPr>
        <w:t>Likums stājas spēkā 2020.</w:t>
      </w:r>
      <w:r w:rsidR="00383567" w:rsidRPr="003A1915">
        <w:rPr>
          <w:bCs/>
          <w:iCs/>
          <w:sz w:val="28"/>
          <w:szCs w:val="28"/>
        </w:rPr>
        <w:t> </w:t>
      </w:r>
      <w:r w:rsidRPr="003A1915">
        <w:rPr>
          <w:bCs/>
          <w:iCs/>
          <w:sz w:val="28"/>
          <w:szCs w:val="28"/>
        </w:rPr>
        <w:t xml:space="preserve">gada </w:t>
      </w:r>
      <w:r w:rsidR="00E946DF" w:rsidRPr="003A1915">
        <w:rPr>
          <w:bCs/>
          <w:iCs/>
          <w:sz w:val="28"/>
          <w:szCs w:val="28"/>
        </w:rPr>
        <w:t>1</w:t>
      </w:r>
      <w:r w:rsidRPr="003A1915">
        <w:rPr>
          <w:bCs/>
          <w:iCs/>
          <w:sz w:val="28"/>
          <w:szCs w:val="28"/>
        </w:rPr>
        <w:t>.</w:t>
      </w:r>
      <w:r w:rsidR="00383567" w:rsidRPr="003A1915">
        <w:rPr>
          <w:bCs/>
          <w:iCs/>
          <w:sz w:val="28"/>
          <w:szCs w:val="28"/>
        </w:rPr>
        <w:t> </w:t>
      </w:r>
      <w:r w:rsidR="00E946DF" w:rsidRPr="003A1915">
        <w:rPr>
          <w:bCs/>
          <w:iCs/>
          <w:sz w:val="28"/>
          <w:szCs w:val="28"/>
        </w:rPr>
        <w:t>februār</w:t>
      </w:r>
      <w:r w:rsidRPr="003A1915">
        <w:rPr>
          <w:bCs/>
          <w:iCs/>
          <w:sz w:val="28"/>
          <w:szCs w:val="28"/>
        </w:rPr>
        <w:t>ī.</w:t>
      </w:r>
    </w:p>
    <w:p w14:paraId="754361CE" w14:textId="77777777" w:rsidR="00D10BF2" w:rsidRPr="003A1915" w:rsidRDefault="00D10BF2" w:rsidP="00383567">
      <w:pPr>
        <w:pStyle w:val="tv213"/>
        <w:shd w:val="clear" w:color="auto" w:fill="FFFFFF"/>
        <w:spacing w:before="0" w:beforeAutospacing="0" w:after="0" w:afterAutospacing="0" w:line="293" w:lineRule="atLeast"/>
        <w:ind w:right="-1" w:firstLine="709"/>
        <w:jc w:val="both"/>
        <w:rPr>
          <w:sz w:val="28"/>
          <w:szCs w:val="28"/>
        </w:rPr>
      </w:pPr>
    </w:p>
    <w:p w14:paraId="28ED1AC2" w14:textId="43C5FCFB" w:rsidR="00383567" w:rsidRPr="003A1915" w:rsidRDefault="0038356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87081F" w14:textId="77777777" w:rsidR="00383567" w:rsidRPr="003A1915" w:rsidRDefault="0038356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644882" w14:textId="77777777" w:rsidR="00383567" w:rsidRPr="003A1915" w:rsidRDefault="0038356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A1915">
        <w:rPr>
          <w:rFonts w:ascii="Times New Roman" w:hAnsi="Times New Roman"/>
          <w:color w:val="auto"/>
          <w:sz w:val="28"/>
          <w:lang w:val="de-DE"/>
        </w:rPr>
        <w:t>Finanšu ministrs</w:t>
      </w:r>
    </w:p>
    <w:p w14:paraId="2B284AB0" w14:textId="5C3F7B26" w:rsidR="00383567" w:rsidRPr="003A1915" w:rsidRDefault="00383567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A1915">
        <w:rPr>
          <w:rFonts w:ascii="Times New Roman" w:hAnsi="Times New Roman"/>
          <w:color w:val="auto"/>
          <w:sz w:val="28"/>
          <w:lang w:val="de-DE"/>
        </w:rPr>
        <w:t>J. Reirs</w:t>
      </w:r>
    </w:p>
    <w:p w14:paraId="2EFD744B" w14:textId="4E55CE29" w:rsidR="00D25BF4" w:rsidRPr="003A1915" w:rsidRDefault="00D25BF4" w:rsidP="00383567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val="de-DE" w:eastAsia="lv-LV"/>
        </w:rPr>
      </w:pPr>
    </w:p>
    <w:sectPr w:rsidR="00D25BF4" w:rsidRPr="003A1915" w:rsidSect="0038356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739B" w14:textId="77777777" w:rsidR="003E07FE" w:rsidRDefault="003E07FE" w:rsidP="005F0136">
      <w:pPr>
        <w:spacing w:after="0" w:line="240" w:lineRule="auto"/>
      </w:pPr>
      <w:r>
        <w:separator/>
      </w:r>
    </w:p>
  </w:endnote>
  <w:endnote w:type="continuationSeparator" w:id="0">
    <w:p w14:paraId="6141BD78" w14:textId="77777777" w:rsidR="003E07FE" w:rsidRDefault="003E07FE" w:rsidP="005F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91E0" w14:textId="60D06F65" w:rsidR="00383567" w:rsidRPr="00383567" w:rsidRDefault="00383567">
    <w:pPr>
      <w:pStyle w:val="Footer"/>
      <w:rPr>
        <w:sz w:val="16"/>
        <w:szCs w:val="16"/>
      </w:rPr>
    </w:pPr>
    <w:r w:rsidRPr="00383567">
      <w:rPr>
        <w:sz w:val="16"/>
        <w:szCs w:val="16"/>
      </w:rPr>
      <w:t>L2533_9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3E62B" w14:textId="5ED42A25" w:rsidR="00383567" w:rsidRPr="00383567" w:rsidRDefault="00383567">
    <w:pPr>
      <w:pStyle w:val="Footer"/>
      <w:rPr>
        <w:sz w:val="16"/>
        <w:szCs w:val="16"/>
      </w:rPr>
    </w:pPr>
    <w:r w:rsidRPr="00383567">
      <w:rPr>
        <w:sz w:val="16"/>
        <w:szCs w:val="16"/>
      </w:rPr>
      <w:t>L2533_9</w:t>
    </w:r>
    <w:bookmarkStart w:id="1" w:name="_Hlk26364611"/>
    <w:r w:rsidR="007E44B4" w:rsidRPr="007E44B4">
      <w:rPr>
        <w:sz w:val="16"/>
        <w:szCs w:val="16"/>
      </w:rPr>
      <w:t xml:space="preserve"> </w:t>
    </w:r>
    <w:proofErr w:type="spellStart"/>
    <w:r w:rsidR="007E44B4" w:rsidRPr="008709C1">
      <w:rPr>
        <w:sz w:val="16"/>
        <w:szCs w:val="16"/>
      </w:rPr>
      <w:t>v_sk</w:t>
    </w:r>
    <w:proofErr w:type="spellEnd"/>
    <w:r w:rsidR="007E44B4" w:rsidRPr="008709C1">
      <w:rPr>
        <w:sz w:val="16"/>
        <w:szCs w:val="16"/>
      </w:rPr>
      <w:t xml:space="preserve">. = </w:t>
    </w:r>
    <w:r w:rsidR="007E44B4" w:rsidRPr="008709C1">
      <w:rPr>
        <w:sz w:val="16"/>
        <w:szCs w:val="16"/>
      </w:rPr>
      <w:fldChar w:fldCharType="begin"/>
    </w:r>
    <w:r w:rsidR="007E44B4" w:rsidRPr="008709C1">
      <w:rPr>
        <w:sz w:val="16"/>
        <w:szCs w:val="16"/>
      </w:rPr>
      <w:instrText xml:space="preserve"> NUMWORDS  \* MERGEFORMAT </w:instrText>
    </w:r>
    <w:r w:rsidR="007E44B4" w:rsidRPr="008709C1">
      <w:rPr>
        <w:sz w:val="16"/>
        <w:szCs w:val="16"/>
      </w:rPr>
      <w:fldChar w:fldCharType="separate"/>
    </w:r>
    <w:r w:rsidR="000E02D5">
      <w:rPr>
        <w:noProof/>
        <w:sz w:val="16"/>
        <w:szCs w:val="16"/>
      </w:rPr>
      <w:t>425</w:t>
    </w:r>
    <w:r w:rsidR="007E44B4"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1E43" w14:textId="77777777" w:rsidR="003E07FE" w:rsidRDefault="003E07FE" w:rsidP="005F0136">
      <w:pPr>
        <w:spacing w:after="0" w:line="240" w:lineRule="auto"/>
      </w:pPr>
      <w:r>
        <w:separator/>
      </w:r>
    </w:p>
  </w:footnote>
  <w:footnote w:type="continuationSeparator" w:id="0">
    <w:p w14:paraId="624A20B7" w14:textId="77777777" w:rsidR="003E07FE" w:rsidRDefault="003E07FE" w:rsidP="005F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18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16473B" w14:textId="1EC74EAF" w:rsidR="00873DE9" w:rsidRPr="00873DE9" w:rsidRDefault="00873DE9">
        <w:pPr>
          <w:pStyle w:val="Header"/>
          <w:jc w:val="center"/>
        </w:pPr>
        <w:r w:rsidRPr="00873DE9">
          <w:fldChar w:fldCharType="begin"/>
        </w:r>
        <w:r w:rsidRPr="00873DE9">
          <w:instrText xml:space="preserve"> PAGE   \* MERGEFORMAT </w:instrText>
        </w:r>
        <w:r w:rsidRPr="00873DE9">
          <w:fldChar w:fldCharType="separate"/>
        </w:r>
        <w:r w:rsidR="000E02D5">
          <w:rPr>
            <w:noProof/>
          </w:rPr>
          <w:t>2</w:t>
        </w:r>
        <w:r w:rsidRPr="00873DE9">
          <w:rPr>
            <w:noProof/>
          </w:rPr>
          <w:fldChar w:fldCharType="end"/>
        </w:r>
      </w:p>
    </w:sdtContent>
  </w:sdt>
  <w:p w14:paraId="06B767AC" w14:textId="77777777" w:rsidR="00873DE9" w:rsidRDefault="00873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965"/>
    <w:multiLevelType w:val="hybridMultilevel"/>
    <w:tmpl w:val="806E9090"/>
    <w:lvl w:ilvl="0" w:tplc="B62C4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A31CF"/>
    <w:multiLevelType w:val="hybridMultilevel"/>
    <w:tmpl w:val="8F04330C"/>
    <w:lvl w:ilvl="0" w:tplc="5CAA5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52F1C"/>
    <w:multiLevelType w:val="hybridMultilevel"/>
    <w:tmpl w:val="49084A74"/>
    <w:lvl w:ilvl="0" w:tplc="2F52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C4C2A"/>
    <w:multiLevelType w:val="hybridMultilevel"/>
    <w:tmpl w:val="ADB6B0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0A45"/>
    <w:multiLevelType w:val="hybridMultilevel"/>
    <w:tmpl w:val="4EA69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3D5B"/>
    <w:multiLevelType w:val="hybridMultilevel"/>
    <w:tmpl w:val="A37C7D04"/>
    <w:lvl w:ilvl="0" w:tplc="CFEE86FA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264C7"/>
    <w:multiLevelType w:val="hybridMultilevel"/>
    <w:tmpl w:val="E52C4736"/>
    <w:lvl w:ilvl="0" w:tplc="80C22D8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A1717E"/>
    <w:multiLevelType w:val="hybridMultilevel"/>
    <w:tmpl w:val="68144888"/>
    <w:lvl w:ilvl="0" w:tplc="B73AD2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23F9F"/>
    <w:multiLevelType w:val="hybridMultilevel"/>
    <w:tmpl w:val="383CC0B2"/>
    <w:lvl w:ilvl="0" w:tplc="AB707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3F"/>
    <w:rsid w:val="00000846"/>
    <w:rsid w:val="000039D4"/>
    <w:rsid w:val="0001160B"/>
    <w:rsid w:val="00031028"/>
    <w:rsid w:val="00035B23"/>
    <w:rsid w:val="00054DCC"/>
    <w:rsid w:val="00087018"/>
    <w:rsid w:val="0009793D"/>
    <w:rsid w:val="000A2F69"/>
    <w:rsid w:val="000C5E43"/>
    <w:rsid w:val="000E02D5"/>
    <w:rsid w:val="00145B05"/>
    <w:rsid w:val="00150EDA"/>
    <w:rsid w:val="00155FEC"/>
    <w:rsid w:val="0015611E"/>
    <w:rsid w:val="001626EA"/>
    <w:rsid w:val="00167B0C"/>
    <w:rsid w:val="001745FC"/>
    <w:rsid w:val="001748BF"/>
    <w:rsid w:val="001822A7"/>
    <w:rsid w:val="00193F54"/>
    <w:rsid w:val="001A0D58"/>
    <w:rsid w:val="00203141"/>
    <w:rsid w:val="0020599B"/>
    <w:rsid w:val="00214E1C"/>
    <w:rsid w:val="00216456"/>
    <w:rsid w:val="00252A2A"/>
    <w:rsid w:val="00272C58"/>
    <w:rsid w:val="00281258"/>
    <w:rsid w:val="002D6F57"/>
    <w:rsid w:val="00330CF8"/>
    <w:rsid w:val="00343FC1"/>
    <w:rsid w:val="00344001"/>
    <w:rsid w:val="00345355"/>
    <w:rsid w:val="0038349E"/>
    <w:rsid w:val="00383567"/>
    <w:rsid w:val="00392F41"/>
    <w:rsid w:val="003A1915"/>
    <w:rsid w:val="003D2848"/>
    <w:rsid w:val="003E07FE"/>
    <w:rsid w:val="003E3BA5"/>
    <w:rsid w:val="003E5300"/>
    <w:rsid w:val="003E74B2"/>
    <w:rsid w:val="00422B16"/>
    <w:rsid w:val="00460DC2"/>
    <w:rsid w:val="00465794"/>
    <w:rsid w:val="004848B8"/>
    <w:rsid w:val="00492136"/>
    <w:rsid w:val="00494A04"/>
    <w:rsid w:val="004D2402"/>
    <w:rsid w:val="00502E06"/>
    <w:rsid w:val="005054CD"/>
    <w:rsid w:val="005125E5"/>
    <w:rsid w:val="005133DD"/>
    <w:rsid w:val="005159A1"/>
    <w:rsid w:val="00530C5D"/>
    <w:rsid w:val="00550F85"/>
    <w:rsid w:val="00552D67"/>
    <w:rsid w:val="00564568"/>
    <w:rsid w:val="00567F8C"/>
    <w:rsid w:val="00575D90"/>
    <w:rsid w:val="00583175"/>
    <w:rsid w:val="005C4A7C"/>
    <w:rsid w:val="005D15AF"/>
    <w:rsid w:val="005E7E88"/>
    <w:rsid w:val="005F0136"/>
    <w:rsid w:val="005F1A3B"/>
    <w:rsid w:val="005F34EC"/>
    <w:rsid w:val="006115A0"/>
    <w:rsid w:val="00623DD3"/>
    <w:rsid w:val="00624030"/>
    <w:rsid w:val="006278A7"/>
    <w:rsid w:val="0065358A"/>
    <w:rsid w:val="00665890"/>
    <w:rsid w:val="00693546"/>
    <w:rsid w:val="006A5332"/>
    <w:rsid w:val="006C1099"/>
    <w:rsid w:val="006F697C"/>
    <w:rsid w:val="007163A6"/>
    <w:rsid w:val="00725200"/>
    <w:rsid w:val="007258B8"/>
    <w:rsid w:val="007305E4"/>
    <w:rsid w:val="00744A69"/>
    <w:rsid w:val="00783762"/>
    <w:rsid w:val="007C6B4E"/>
    <w:rsid w:val="007D33EE"/>
    <w:rsid w:val="007E4144"/>
    <w:rsid w:val="007E44B4"/>
    <w:rsid w:val="007E7547"/>
    <w:rsid w:val="00802B8E"/>
    <w:rsid w:val="00812936"/>
    <w:rsid w:val="00813AB8"/>
    <w:rsid w:val="00830385"/>
    <w:rsid w:val="00843A77"/>
    <w:rsid w:val="00851DFC"/>
    <w:rsid w:val="00863A3A"/>
    <w:rsid w:val="00865493"/>
    <w:rsid w:val="00873DE9"/>
    <w:rsid w:val="00880645"/>
    <w:rsid w:val="008A3377"/>
    <w:rsid w:val="008B217B"/>
    <w:rsid w:val="008D682C"/>
    <w:rsid w:val="008E1540"/>
    <w:rsid w:val="008E662E"/>
    <w:rsid w:val="008E7A1D"/>
    <w:rsid w:val="00916031"/>
    <w:rsid w:val="0098397A"/>
    <w:rsid w:val="00991887"/>
    <w:rsid w:val="009A69C3"/>
    <w:rsid w:val="009C472A"/>
    <w:rsid w:val="009D469B"/>
    <w:rsid w:val="00A166EC"/>
    <w:rsid w:val="00A207ED"/>
    <w:rsid w:val="00A3470F"/>
    <w:rsid w:val="00A46756"/>
    <w:rsid w:val="00A96990"/>
    <w:rsid w:val="00AE0126"/>
    <w:rsid w:val="00B01208"/>
    <w:rsid w:val="00B02C39"/>
    <w:rsid w:val="00B15DD1"/>
    <w:rsid w:val="00B1726F"/>
    <w:rsid w:val="00B36948"/>
    <w:rsid w:val="00B4193E"/>
    <w:rsid w:val="00B51858"/>
    <w:rsid w:val="00B91FED"/>
    <w:rsid w:val="00BD5370"/>
    <w:rsid w:val="00BE5ABC"/>
    <w:rsid w:val="00BF2B61"/>
    <w:rsid w:val="00BF5672"/>
    <w:rsid w:val="00C040EA"/>
    <w:rsid w:val="00C17142"/>
    <w:rsid w:val="00C436FB"/>
    <w:rsid w:val="00C549A9"/>
    <w:rsid w:val="00C54DF6"/>
    <w:rsid w:val="00C61E4E"/>
    <w:rsid w:val="00C705F8"/>
    <w:rsid w:val="00C85BC8"/>
    <w:rsid w:val="00C86949"/>
    <w:rsid w:val="00CA7ABB"/>
    <w:rsid w:val="00CB313F"/>
    <w:rsid w:val="00CF4BE1"/>
    <w:rsid w:val="00CF65D7"/>
    <w:rsid w:val="00CF7E57"/>
    <w:rsid w:val="00D05936"/>
    <w:rsid w:val="00D10BF2"/>
    <w:rsid w:val="00D23A89"/>
    <w:rsid w:val="00D25BF4"/>
    <w:rsid w:val="00D45161"/>
    <w:rsid w:val="00D451E3"/>
    <w:rsid w:val="00D73B14"/>
    <w:rsid w:val="00D803D7"/>
    <w:rsid w:val="00D8649D"/>
    <w:rsid w:val="00D97908"/>
    <w:rsid w:val="00DA5375"/>
    <w:rsid w:val="00DA5B03"/>
    <w:rsid w:val="00DD0D69"/>
    <w:rsid w:val="00DD43B3"/>
    <w:rsid w:val="00DF67E8"/>
    <w:rsid w:val="00E043C0"/>
    <w:rsid w:val="00E15CA4"/>
    <w:rsid w:val="00E3336A"/>
    <w:rsid w:val="00E46241"/>
    <w:rsid w:val="00E46732"/>
    <w:rsid w:val="00E60713"/>
    <w:rsid w:val="00E6089F"/>
    <w:rsid w:val="00E66FC6"/>
    <w:rsid w:val="00E946DF"/>
    <w:rsid w:val="00EC1661"/>
    <w:rsid w:val="00F021D6"/>
    <w:rsid w:val="00F03316"/>
    <w:rsid w:val="00F367AA"/>
    <w:rsid w:val="00F67FA0"/>
    <w:rsid w:val="00FD24D1"/>
    <w:rsid w:val="00FE2F65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E4EC1F"/>
  <w15:chartTrackingRefBased/>
  <w15:docId w15:val="{4D212CDB-F1BA-4B6F-A275-86366BB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136"/>
  </w:style>
  <w:style w:type="paragraph" w:styleId="Footer">
    <w:name w:val="footer"/>
    <w:basedOn w:val="Normal"/>
    <w:link w:val="FooterChar"/>
    <w:uiPriority w:val="99"/>
    <w:unhideWhenUsed/>
    <w:rsid w:val="005F0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136"/>
  </w:style>
  <w:style w:type="character" w:styleId="Hyperlink">
    <w:name w:val="Hyperlink"/>
    <w:basedOn w:val="DefaultParagraphFont"/>
    <w:uiPriority w:val="99"/>
    <w:unhideWhenUsed/>
    <w:rsid w:val="00E04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A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1626EA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Normal1">
    <w:name w:val="Normal1"/>
    <w:basedOn w:val="Normal"/>
    <w:rsid w:val="00D25BF4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customStyle="1" w:styleId="doc-ti">
    <w:name w:val="doc-ti"/>
    <w:basedOn w:val="Normal"/>
    <w:rsid w:val="000A2F69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A69"/>
    <w:rPr>
      <w:b/>
      <w:bCs/>
      <w:sz w:val="20"/>
      <w:szCs w:val="20"/>
    </w:rPr>
  </w:style>
  <w:style w:type="paragraph" w:customStyle="1" w:styleId="Body">
    <w:name w:val="Body"/>
    <w:rsid w:val="0038356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426-kreditiestazu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E012-B114-4B80-95F8-AB150940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425</Words>
  <Characters>2521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likumā"</vt:lpstr>
    </vt:vector>
  </TitlesOfParts>
  <Company>Finanšu Ministrija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likumā"</dc:title>
  <dc:subject>Likumprojekts</dc:subject>
  <dc:creator>Kristaps Ziediņš</dc:creator>
  <cp:keywords/>
  <dc:description>67095600, kristaps.ziedins@fm.gov.lv</dc:description>
  <cp:lastModifiedBy>Aija Surna</cp:lastModifiedBy>
  <cp:revision>149</cp:revision>
  <cp:lastPrinted>2020-01-02T10:52:00Z</cp:lastPrinted>
  <dcterms:created xsi:type="dcterms:W3CDTF">2019-08-29T15:30:00Z</dcterms:created>
  <dcterms:modified xsi:type="dcterms:W3CDTF">2020-01-02T10:55:00Z</dcterms:modified>
</cp:coreProperties>
</file>