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4C1EF" w14:textId="5B778FA5" w:rsidR="00661A79" w:rsidRPr="008F7EAC" w:rsidRDefault="00661A79" w:rsidP="00661A79">
      <w:pPr>
        <w:tabs>
          <w:tab w:val="left" w:pos="7440"/>
        </w:tabs>
        <w:jc w:val="center"/>
        <w:rPr>
          <w:rFonts w:eastAsia="Times New Roman"/>
          <w:b/>
          <w:color w:val="auto"/>
          <w:szCs w:val="24"/>
        </w:rPr>
      </w:pPr>
      <w:r w:rsidRPr="008F7EAC">
        <w:rPr>
          <w:rFonts w:eastAsia="Times New Roman"/>
          <w:b/>
          <w:color w:val="auto"/>
          <w:szCs w:val="24"/>
        </w:rPr>
        <w:t>Izziņa par atzinumos sniegtajiem iebildumiem</w:t>
      </w:r>
    </w:p>
    <w:p w14:paraId="7B84D843" w14:textId="05111676" w:rsidR="00E308F9" w:rsidRDefault="00661A79" w:rsidP="00E308F9">
      <w:pPr>
        <w:keepNext/>
        <w:jc w:val="center"/>
        <w:outlineLvl w:val="3"/>
        <w:rPr>
          <w:rFonts w:eastAsia="Times New Roman"/>
          <w:b/>
          <w:color w:val="auto"/>
          <w:szCs w:val="24"/>
        </w:rPr>
      </w:pPr>
      <w:r w:rsidRPr="008F7EAC">
        <w:rPr>
          <w:rFonts w:eastAsia="Times New Roman"/>
          <w:b/>
          <w:color w:val="auto"/>
          <w:szCs w:val="24"/>
        </w:rPr>
        <w:t xml:space="preserve">par Ministru kabineta </w:t>
      </w:r>
      <w:r w:rsidR="00E308F9">
        <w:rPr>
          <w:rFonts w:eastAsia="Times New Roman"/>
          <w:b/>
          <w:color w:val="auto"/>
          <w:szCs w:val="24"/>
        </w:rPr>
        <w:t>rīkojuma projektu</w:t>
      </w:r>
      <w:r w:rsidR="00E308F9" w:rsidRPr="00E308F9">
        <w:rPr>
          <w:rFonts w:eastAsia="Times New Roman"/>
          <w:b/>
          <w:color w:val="auto"/>
          <w:szCs w:val="24"/>
        </w:rPr>
        <w:t xml:space="preserve"> "Grozījumi Ceļu satiksmes drošības plānā 2017.–2020.gadam"</w:t>
      </w:r>
      <w:r w:rsidR="00E308F9">
        <w:rPr>
          <w:rFonts w:eastAsia="Times New Roman"/>
          <w:b/>
          <w:color w:val="auto"/>
          <w:szCs w:val="24"/>
        </w:rPr>
        <w:t xml:space="preserve"> (VSS-609)</w:t>
      </w:r>
    </w:p>
    <w:p w14:paraId="2FF2DAAD" w14:textId="4DB986B5" w:rsidR="00E308F9" w:rsidRDefault="00E308F9" w:rsidP="00E308F9">
      <w:pPr>
        <w:keepNext/>
        <w:jc w:val="center"/>
        <w:outlineLvl w:val="3"/>
        <w:rPr>
          <w:rFonts w:eastAsia="Times New Roman"/>
          <w:b/>
          <w:color w:val="auto"/>
          <w:szCs w:val="24"/>
        </w:rPr>
      </w:pPr>
      <w:r>
        <w:rPr>
          <w:rFonts w:eastAsia="Times New Roman"/>
          <w:b/>
          <w:color w:val="auto"/>
          <w:szCs w:val="24"/>
        </w:rPr>
        <w:t>un</w:t>
      </w:r>
    </w:p>
    <w:p w14:paraId="12BBE7D5" w14:textId="26054F98" w:rsidR="00E308F9" w:rsidRDefault="00E308F9" w:rsidP="00E308F9">
      <w:pPr>
        <w:keepNext/>
        <w:jc w:val="center"/>
        <w:outlineLvl w:val="3"/>
        <w:rPr>
          <w:rFonts w:eastAsia="Times New Roman"/>
          <w:b/>
          <w:color w:val="auto"/>
          <w:szCs w:val="24"/>
        </w:rPr>
      </w:pPr>
      <w:r>
        <w:rPr>
          <w:rFonts w:eastAsia="Times New Roman"/>
          <w:b/>
          <w:color w:val="auto"/>
          <w:szCs w:val="24"/>
        </w:rPr>
        <w:t>informatīvo ziņojumu</w:t>
      </w:r>
      <w:r w:rsidRPr="00E308F9">
        <w:rPr>
          <w:rFonts w:eastAsia="Times New Roman"/>
          <w:b/>
          <w:color w:val="auto"/>
          <w:szCs w:val="24"/>
        </w:rPr>
        <w:t xml:space="preserve"> "Ceļu satiksmes drošības plāna 2017.-2020.gadam starpposma ietekmes izvērtējums"</w:t>
      </w:r>
      <w:r>
        <w:rPr>
          <w:rFonts w:eastAsia="Times New Roman"/>
          <w:b/>
          <w:color w:val="auto"/>
          <w:szCs w:val="24"/>
        </w:rPr>
        <w:t xml:space="preserve"> (VSS-610)</w:t>
      </w:r>
    </w:p>
    <w:p w14:paraId="1D0FA008" w14:textId="77777777" w:rsidR="00E308F9" w:rsidRDefault="00E308F9" w:rsidP="00E308F9">
      <w:pPr>
        <w:keepNext/>
        <w:outlineLvl w:val="3"/>
        <w:rPr>
          <w:rFonts w:eastAsia="Times New Roman"/>
          <w:b/>
          <w:color w:val="auto"/>
          <w:szCs w:val="24"/>
        </w:rPr>
      </w:pPr>
    </w:p>
    <w:p w14:paraId="32E20FDB" w14:textId="326972F5" w:rsidR="002767AC" w:rsidRPr="00480903" w:rsidRDefault="002767AC" w:rsidP="00E308F9">
      <w:pPr>
        <w:keepNext/>
        <w:jc w:val="center"/>
        <w:outlineLvl w:val="3"/>
        <w:rPr>
          <w:rFonts w:eastAsia="Times New Roman"/>
          <w:b/>
          <w:color w:val="auto"/>
          <w:sz w:val="28"/>
          <w:lang w:eastAsia="lv-LV"/>
        </w:rPr>
      </w:pPr>
      <w:r w:rsidRPr="00480903">
        <w:rPr>
          <w:rFonts w:eastAsia="Times New Roman"/>
          <w:b/>
          <w:color w:val="auto"/>
          <w:sz w:val="28"/>
          <w:lang w:eastAsia="lv-LV"/>
        </w:rPr>
        <w:t>I. Jautājumi, par kuriem saskaņošanā vienošanās nav panākta</w:t>
      </w:r>
    </w:p>
    <w:tbl>
      <w:tblPr>
        <w:tblW w:w="14459"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5"/>
        <w:gridCol w:w="2624"/>
        <w:gridCol w:w="3896"/>
        <w:gridCol w:w="2624"/>
        <w:gridCol w:w="2257"/>
        <w:gridCol w:w="2563"/>
      </w:tblGrid>
      <w:tr w:rsidR="002767AC" w:rsidRPr="00661A79" w14:paraId="3AB03FC5" w14:textId="77777777" w:rsidTr="002767AC">
        <w:trPr>
          <w:trHeight w:val="2080"/>
          <w:tblCellSpacing w:w="0" w:type="dxa"/>
        </w:trPr>
        <w:tc>
          <w:tcPr>
            <w:tcW w:w="495" w:type="dxa"/>
            <w:tcBorders>
              <w:top w:val="single" w:sz="6" w:space="0" w:color="808080"/>
              <w:left w:val="single" w:sz="6" w:space="0" w:color="808080"/>
              <w:bottom w:val="single" w:sz="6" w:space="0" w:color="808080"/>
              <w:right w:val="single" w:sz="6" w:space="0" w:color="808080"/>
            </w:tcBorders>
            <w:vAlign w:val="center"/>
          </w:tcPr>
          <w:p w14:paraId="25870EAA" w14:textId="77777777" w:rsidR="002767AC" w:rsidRPr="00661A79" w:rsidRDefault="002767AC" w:rsidP="00E308F9">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Nr.</w:t>
            </w:r>
            <w:r w:rsidRPr="00661A79">
              <w:rPr>
                <w:rFonts w:eastAsia="Times New Roman"/>
                <w:color w:val="auto"/>
                <w:szCs w:val="24"/>
                <w:lang w:eastAsia="lv-LV"/>
              </w:rPr>
              <w:br/>
              <w:t> p.k.</w:t>
            </w:r>
          </w:p>
        </w:tc>
        <w:tc>
          <w:tcPr>
            <w:tcW w:w="2624" w:type="dxa"/>
            <w:tcBorders>
              <w:top w:val="single" w:sz="6" w:space="0" w:color="808080"/>
              <w:left w:val="single" w:sz="6" w:space="0" w:color="808080"/>
              <w:bottom w:val="single" w:sz="6" w:space="0" w:color="808080"/>
              <w:right w:val="single" w:sz="6" w:space="0" w:color="808080"/>
            </w:tcBorders>
            <w:vAlign w:val="center"/>
          </w:tcPr>
          <w:p w14:paraId="494A5BE2" w14:textId="77777777" w:rsidR="002767AC" w:rsidRPr="00661A79" w:rsidRDefault="002767AC" w:rsidP="00E308F9">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Saskaņošanai nosūtītā projekta redakcija (konkrēta punkta (panta) redakcija)</w:t>
            </w:r>
          </w:p>
        </w:tc>
        <w:tc>
          <w:tcPr>
            <w:tcW w:w="3896" w:type="dxa"/>
            <w:tcBorders>
              <w:top w:val="single" w:sz="6" w:space="0" w:color="808080"/>
              <w:left w:val="single" w:sz="6" w:space="0" w:color="808080"/>
              <w:bottom w:val="single" w:sz="6" w:space="0" w:color="808080"/>
              <w:right w:val="single" w:sz="6" w:space="0" w:color="808080"/>
            </w:tcBorders>
            <w:vAlign w:val="center"/>
          </w:tcPr>
          <w:p w14:paraId="44B3DBEC" w14:textId="77777777" w:rsidR="002767AC" w:rsidRPr="00661A79" w:rsidRDefault="002767AC" w:rsidP="00E308F9">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Atzinumā norādītais ministrijas (citas institūcijas) iebildums, kā arī saskaņošanā papildus izteiktais iebildums par projekta konkrēto punktu (pantu)</w:t>
            </w:r>
          </w:p>
        </w:tc>
        <w:tc>
          <w:tcPr>
            <w:tcW w:w="2624" w:type="dxa"/>
            <w:tcBorders>
              <w:top w:val="single" w:sz="6" w:space="0" w:color="808080"/>
              <w:left w:val="single" w:sz="6" w:space="0" w:color="808080"/>
              <w:bottom w:val="single" w:sz="6" w:space="0" w:color="808080"/>
              <w:right w:val="single" w:sz="6" w:space="0" w:color="808080"/>
            </w:tcBorders>
            <w:vAlign w:val="center"/>
          </w:tcPr>
          <w:p w14:paraId="4308B903" w14:textId="77777777" w:rsidR="002767AC" w:rsidRPr="00661A79" w:rsidRDefault="002767AC" w:rsidP="00E308F9">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Atbildīgās ministrijas pamatojums iebilduma noraidījumam</w:t>
            </w:r>
          </w:p>
        </w:tc>
        <w:tc>
          <w:tcPr>
            <w:tcW w:w="2257" w:type="dxa"/>
            <w:tcBorders>
              <w:top w:val="single" w:sz="6" w:space="0" w:color="808080"/>
              <w:left w:val="single" w:sz="6" w:space="0" w:color="808080"/>
              <w:bottom w:val="single" w:sz="6" w:space="0" w:color="808080"/>
              <w:right w:val="single" w:sz="6" w:space="0" w:color="808080"/>
            </w:tcBorders>
            <w:vAlign w:val="center"/>
          </w:tcPr>
          <w:p w14:paraId="40AE7E7C" w14:textId="77777777" w:rsidR="002767AC" w:rsidRPr="00661A79" w:rsidRDefault="002767AC" w:rsidP="00E308F9">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Atzinuma sniedzēja uzturētais iebildums, ja tas atšķiras no atzinumā norādītā iebilduma pamatojuma</w:t>
            </w:r>
          </w:p>
        </w:tc>
        <w:tc>
          <w:tcPr>
            <w:tcW w:w="2563" w:type="dxa"/>
            <w:tcBorders>
              <w:top w:val="single" w:sz="6" w:space="0" w:color="808080"/>
              <w:left w:val="single" w:sz="6" w:space="0" w:color="808080"/>
              <w:bottom w:val="single" w:sz="6" w:space="0" w:color="808080"/>
              <w:right w:val="single" w:sz="6" w:space="0" w:color="808080"/>
            </w:tcBorders>
            <w:vAlign w:val="center"/>
          </w:tcPr>
          <w:p w14:paraId="01371F16" w14:textId="77777777" w:rsidR="002767AC" w:rsidRPr="00661A79" w:rsidRDefault="002767AC" w:rsidP="00E308F9">
            <w:pPr>
              <w:spacing w:before="100" w:beforeAutospacing="1" w:after="100" w:afterAutospacing="1"/>
              <w:jc w:val="center"/>
              <w:rPr>
                <w:rFonts w:eastAsia="Times New Roman"/>
                <w:color w:val="auto"/>
                <w:szCs w:val="24"/>
                <w:lang w:eastAsia="lv-LV"/>
              </w:rPr>
            </w:pPr>
            <w:r w:rsidRPr="00661A79">
              <w:rPr>
                <w:rFonts w:eastAsia="Times New Roman"/>
                <w:color w:val="auto"/>
                <w:szCs w:val="24"/>
                <w:lang w:eastAsia="lv-LV"/>
              </w:rPr>
              <w:t>Projekta attiecīgā punkta (panta) galīgā redakcija</w:t>
            </w:r>
          </w:p>
        </w:tc>
      </w:tr>
      <w:tr w:rsidR="002767AC" w:rsidRPr="00661A79" w14:paraId="5BA9302C" w14:textId="77777777" w:rsidTr="00167DBE">
        <w:trPr>
          <w:trHeight w:val="391"/>
          <w:tblCellSpacing w:w="0" w:type="dxa"/>
        </w:trPr>
        <w:tc>
          <w:tcPr>
            <w:tcW w:w="495" w:type="dxa"/>
            <w:tcBorders>
              <w:top w:val="single" w:sz="6" w:space="0" w:color="808080"/>
              <w:left w:val="single" w:sz="6" w:space="0" w:color="808080"/>
              <w:bottom w:val="single" w:sz="6" w:space="0" w:color="808080"/>
              <w:right w:val="single" w:sz="6" w:space="0" w:color="808080"/>
            </w:tcBorders>
          </w:tcPr>
          <w:p w14:paraId="78EC7C7D" w14:textId="77777777" w:rsidR="002767AC" w:rsidRDefault="002767AC" w:rsidP="00E308F9">
            <w:pPr>
              <w:spacing w:before="100" w:beforeAutospacing="1" w:after="100" w:afterAutospacing="1"/>
              <w:rPr>
                <w:rFonts w:eastAsia="Times New Roman"/>
                <w:color w:val="auto"/>
                <w:szCs w:val="24"/>
                <w:lang w:eastAsia="lv-LV"/>
              </w:rPr>
            </w:pPr>
          </w:p>
        </w:tc>
        <w:tc>
          <w:tcPr>
            <w:tcW w:w="2624" w:type="dxa"/>
            <w:tcBorders>
              <w:top w:val="single" w:sz="6" w:space="0" w:color="808080"/>
              <w:left w:val="single" w:sz="6" w:space="0" w:color="808080"/>
              <w:bottom w:val="single" w:sz="6" w:space="0" w:color="808080"/>
              <w:right w:val="single" w:sz="6" w:space="0" w:color="808080"/>
            </w:tcBorders>
          </w:tcPr>
          <w:p w14:paraId="2370CCDC" w14:textId="77777777" w:rsidR="002767AC" w:rsidRPr="00661A79" w:rsidRDefault="002767AC" w:rsidP="002767AC">
            <w:pPr>
              <w:spacing w:before="100" w:beforeAutospacing="1" w:after="100" w:afterAutospacing="1"/>
              <w:rPr>
                <w:rFonts w:eastAsia="Times New Roman"/>
                <w:color w:val="auto"/>
                <w:szCs w:val="24"/>
                <w:lang w:eastAsia="lv-LV"/>
              </w:rPr>
            </w:pPr>
          </w:p>
        </w:tc>
        <w:tc>
          <w:tcPr>
            <w:tcW w:w="3896" w:type="dxa"/>
            <w:tcBorders>
              <w:top w:val="single" w:sz="6" w:space="0" w:color="808080"/>
              <w:left w:val="single" w:sz="6" w:space="0" w:color="808080"/>
              <w:bottom w:val="single" w:sz="6" w:space="0" w:color="808080"/>
              <w:right w:val="single" w:sz="6" w:space="0" w:color="808080"/>
            </w:tcBorders>
          </w:tcPr>
          <w:p w14:paraId="396FDABB" w14:textId="77777777" w:rsidR="002767AC" w:rsidRPr="00053650" w:rsidRDefault="002767AC" w:rsidP="00E308F9">
            <w:pPr>
              <w:pStyle w:val="NoSpacing"/>
              <w:tabs>
                <w:tab w:val="left" w:pos="993"/>
              </w:tabs>
              <w:ind w:left="48" w:right="127"/>
              <w:rPr>
                <w:color w:val="000000" w:themeColor="text1"/>
                <w:szCs w:val="24"/>
                <w:shd w:val="clear" w:color="auto" w:fill="FFFFFF"/>
              </w:rPr>
            </w:pPr>
          </w:p>
        </w:tc>
        <w:tc>
          <w:tcPr>
            <w:tcW w:w="2624" w:type="dxa"/>
            <w:tcBorders>
              <w:top w:val="single" w:sz="6" w:space="0" w:color="808080"/>
              <w:left w:val="single" w:sz="6" w:space="0" w:color="808080"/>
              <w:bottom w:val="single" w:sz="6" w:space="0" w:color="808080"/>
              <w:right w:val="single" w:sz="6" w:space="0" w:color="808080"/>
            </w:tcBorders>
          </w:tcPr>
          <w:p w14:paraId="1327045D" w14:textId="77777777" w:rsidR="002767AC" w:rsidRPr="00661A79" w:rsidRDefault="002767AC" w:rsidP="00E308F9">
            <w:pPr>
              <w:spacing w:before="100" w:beforeAutospacing="1" w:after="100" w:afterAutospacing="1"/>
              <w:jc w:val="both"/>
              <w:rPr>
                <w:rFonts w:eastAsia="Times New Roman"/>
                <w:color w:val="auto"/>
                <w:szCs w:val="24"/>
                <w:lang w:eastAsia="lv-LV"/>
              </w:rPr>
            </w:pPr>
          </w:p>
        </w:tc>
        <w:tc>
          <w:tcPr>
            <w:tcW w:w="2257" w:type="dxa"/>
            <w:tcBorders>
              <w:top w:val="single" w:sz="6" w:space="0" w:color="808080"/>
              <w:left w:val="single" w:sz="6" w:space="0" w:color="808080"/>
              <w:bottom w:val="single" w:sz="6" w:space="0" w:color="808080"/>
              <w:right w:val="single" w:sz="6" w:space="0" w:color="808080"/>
            </w:tcBorders>
          </w:tcPr>
          <w:p w14:paraId="5ADF21C0" w14:textId="77777777" w:rsidR="002767AC" w:rsidRPr="00661A79" w:rsidRDefault="002767AC" w:rsidP="00E308F9">
            <w:pPr>
              <w:spacing w:before="100" w:beforeAutospacing="1" w:after="100" w:afterAutospacing="1"/>
              <w:rPr>
                <w:rFonts w:eastAsia="Times New Roman"/>
                <w:color w:val="auto"/>
                <w:szCs w:val="24"/>
                <w:lang w:eastAsia="lv-LV"/>
              </w:rPr>
            </w:pPr>
          </w:p>
        </w:tc>
        <w:tc>
          <w:tcPr>
            <w:tcW w:w="2563" w:type="dxa"/>
            <w:tcBorders>
              <w:top w:val="single" w:sz="6" w:space="0" w:color="808080"/>
              <w:left w:val="single" w:sz="6" w:space="0" w:color="808080"/>
              <w:bottom w:val="single" w:sz="6" w:space="0" w:color="808080"/>
              <w:right w:val="single" w:sz="6" w:space="0" w:color="808080"/>
            </w:tcBorders>
          </w:tcPr>
          <w:p w14:paraId="3D1EA4E8" w14:textId="77777777" w:rsidR="002767AC" w:rsidRPr="00661A79" w:rsidRDefault="002767AC" w:rsidP="00E308F9">
            <w:pPr>
              <w:spacing w:before="100" w:beforeAutospacing="1" w:after="100" w:afterAutospacing="1"/>
              <w:ind w:left="127"/>
              <w:rPr>
                <w:rFonts w:eastAsia="Times New Roman"/>
                <w:color w:val="auto"/>
                <w:szCs w:val="24"/>
                <w:lang w:eastAsia="lv-LV"/>
              </w:rPr>
            </w:pPr>
          </w:p>
        </w:tc>
      </w:tr>
    </w:tbl>
    <w:p w14:paraId="3002A1C4" w14:textId="77777777" w:rsidR="00334102" w:rsidRDefault="00334102" w:rsidP="005C48D1">
      <w:pPr>
        <w:keepNext/>
        <w:outlineLvl w:val="3"/>
        <w:rPr>
          <w:rFonts w:eastAsia="Times New Roman"/>
          <w:b/>
          <w:bCs/>
          <w:color w:val="auto"/>
          <w:szCs w:val="24"/>
        </w:rPr>
      </w:pPr>
    </w:p>
    <w:p w14:paraId="00426141" w14:textId="77777777" w:rsidR="001F2DCE" w:rsidRDefault="001F2DCE" w:rsidP="001F2DCE">
      <w:pPr>
        <w:spacing w:before="100" w:beforeAutospacing="1" w:after="100" w:afterAutospacing="1"/>
        <w:rPr>
          <w:rFonts w:eastAsia="Times New Roman"/>
          <w:color w:val="auto"/>
          <w:szCs w:val="24"/>
          <w:lang w:eastAsia="lv-LV"/>
        </w:rPr>
      </w:pPr>
      <w:r w:rsidRPr="00661A79">
        <w:rPr>
          <w:rFonts w:eastAsia="Times New Roman"/>
          <w:color w:val="auto"/>
          <w:szCs w:val="24"/>
          <w:lang w:eastAsia="lv-LV"/>
        </w:rPr>
        <w:t>Informācija par starpministriju (starpinstitūciju) sanāksmi vai elektronisko saskaņošanu</w:t>
      </w:r>
      <w:r w:rsidRPr="00661A79">
        <w:rPr>
          <w:rFonts w:eastAsia="Times New Roman"/>
          <w:color w:val="auto"/>
          <w:szCs w:val="24"/>
          <w:lang w:eastAsia="lv-LV"/>
        </w:rPr>
        <w:tab/>
      </w:r>
      <w:r>
        <w:rPr>
          <w:rFonts w:eastAsia="Times New Roman"/>
          <w:color w:val="auto"/>
          <w:szCs w:val="24"/>
          <w:lang w:eastAsia="lv-LV"/>
        </w:rPr>
        <w:t xml:space="preserve">                                              </w:t>
      </w:r>
    </w:p>
    <w:p w14:paraId="2E8508C9" w14:textId="436A6569" w:rsidR="00E308F9" w:rsidRDefault="001F2DCE" w:rsidP="001F2DCE">
      <w:pPr>
        <w:pStyle w:val="NoSpacing"/>
        <w:jc w:val="left"/>
        <w:rPr>
          <w:b/>
          <w:lang w:eastAsia="lv-LV"/>
        </w:rPr>
      </w:pPr>
      <w:r>
        <w:rPr>
          <w:lang w:eastAsia="lv-LV"/>
        </w:rPr>
        <w:t xml:space="preserve">   </w:t>
      </w:r>
      <w:r>
        <w:rPr>
          <w:lang w:eastAsia="lv-LV"/>
        </w:rPr>
        <w:tab/>
        <w:t xml:space="preserve">                                      </w:t>
      </w:r>
      <w:r>
        <w:rPr>
          <w:lang w:eastAsia="lv-LV"/>
        </w:rPr>
        <w:tab/>
        <w:t xml:space="preserve">                                  </w:t>
      </w:r>
      <w:r w:rsidR="00E308F9">
        <w:rPr>
          <w:lang w:eastAsia="lv-LV"/>
        </w:rPr>
        <w:t xml:space="preserve">           </w:t>
      </w:r>
      <w:r w:rsidRPr="005C48D1">
        <w:rPr>
          <w:rFonts w:eastAsia="Times New Roman"/>
          <w:b/>
          <w:color w:val="auto"/>
          <w:szCs w:val="24"/>
          <w:lang w:eastAsia="lv-LV"/>
        </w:rPr>
        <w:t>Valsts sekretāru sanāksme</w:t>
      </w:r>
      <w:r w:rsidR="00E308F9">
        <w:rPr>
          <w:b/>
          <w:lang w:eastAsia="lv-LV"/>
        </w:rPr>
        <w:t xml:space="preserve"> 2019.gada 27.jūnij</w:t>
      </w:r>
      <w:r w:rsidR="00E044A4">
        <w:rPr>
          <w:b/>
          <w:lang w:eastAsia="lv-LV"/>
        </w:rPr>
        <w:t>s</w:t>
      </w:r>
      <w:r w:rsidR="00E308F9">
        <w:rPr>
          <w:b/>
          <w:lang w:eastAsia="lv-LV"/>
        </w:rPr>
        <w:t xml:space="preserve"> (VSS-609</w:t>
      </w:r>
      <w:r w:rsidR="00E044A4">
        <w:rPr>
          <w:b/>
          <w:lang w:eastAsia="lv-LV"/>
        </w:rPr>
        <w:t>,</w:t>
      </w:r>
      <w:r w:rsidR="00E308F9">
        <w:rPr>
          <w:b/>
          <w:lang w:eastAsia="lv-LV"/>
        </w:rPr>
        <w:t xml:space="preserve"> </w:t>
      </w:r>
      <w:r w:rsidR="00E044A4">
        <w:rPr>
          <w:b/>
          <w:lang w:eastAsia="lv-LV"/>
        </w:rPr>
        <w:t>p</w:t>
      </w:r>
      <w:r w:rsidR="00E308F9">
        <w:rPr>
          <w:b/>
          <w:lang w:eastAsia="lv-LV"/>
        </w:rPr>
        <w:t>rot. Nr.25</w:t>
      </w:r>
      <w:r w:rsidR="00E044A4">
        <w:rPr>
          <w:b/>
          <w:lang w:eastAsia="lv-LV"/>
        </w:rPr>
        <w:t xml:space="preserve">, </w:t>
      </w:r>
      <w:r w:rsidR="00E308F9">
        <w:rPr>
          <w:b/>
          <w:lang w:eastAsia="lv-LV"/>
        </w:rPr>
        <w:t>10.§)</w:t>
      </w:r>
    </w:p>
    <w:p w14:paraId="58ECBA3B" w14:textId="52133150" w:rsidR="001F2DCE" w:rsidRDefault="00E044A4" w:rsidP="00E044A4">
      <w:pPr>
        <w:pStyle w:val="NoSpacing"/>
        <w:ind w:left="10080" w:firstLine="720"/>
        <w:jc w:val="center"/>
        <w:rPr>
          <w:b/>
          <w:lang w:eastAsia="lv-LV"/>
        </w:rPr>
      </w:pPr>
      <w:r>
        <w:rPr>
          <w:b/>
          <w:lang w:eastAsia="lv-LV"/>
        </w:rPr>
        <w:t xml:space="preserve"> </w:t>
      </w:r>
      <w:r w:rsidR="007E2A4E">
        <w:rPr>
          <w:b/>
          <w:lang w:eastAsia="lv-LV"/>
        </w:rPr>
        <w:t xml:space="preserve"> </w:t>
      </w:r>
      <w:r w:rsidR="00E308F9">
        <w:rPr>
          <w:b/>
          <w:lang w:eastAsia="lv-LV"/>
        </w:rPr>
        <w:t>(VSS-610</w:t>
      </w:r>
      <w:r>
        <w:rPr>
          <w:b/>
          <w:lang w:eastAsia="lv-LV"/>
        </w:rPr>
        <w:t>,</w:t>
      </w:r>
      <w:r w:rsidR="00E308F9">
        <w:rPr>
          <w:b/>
          <w:lang w:eastAsia="lv-LV"/>
        </w:rPr>
        <w:t xml:space="preserve"> </w:t>
      </w:r>
      <w:r>
        <w:rPr>
          <w:b/>
          <w:lang w:eastAsia="lv-LV"/>
        </w:rPr>
        <w:t>p</w:t>
      </w:r>
      <w:r w:rsidR="00E308F9">
        <w:rPr>
          <w:b/>
          <w:lang w:eastAsia="lv-LV"/>
        </w:rPr>
        <w:t>rot. Nr.25</w:t>
      </w:r>
      <w:r>
        <w:rPr>
          <w:b/>
          <w:lang w:eastAsia="lv-LV"/>
        </w:rPr>
        <w:t>,</w:t>
      </w:r>
      <w:r w:rsidR="00E308F9">
        <w:rPr>
          <w:b/>
          <w:lang w:eastAsia="lv-LV"/>
        </w:rPr>
        <w:t xml:space="preserve"> 11.§)</w:t>
      </w:r>
    </w:p>
    <w:p w14:paraId="03F5273F" w14:textId="2C3798BF" w:rsidR="00331D76" w:rsidRPr="005C48D1" w:rsidRDefault="00167DBE" w:rsidP="001F2DCE">
      <w:pPr>
        <w:jc w:val="right"/>
        <w:rPr>
          <w:b/>
          <w:lang w:eastAsia="lv-LV"/>
        </w:rPr>
      </w:pPr>
      <w:r>
        <w:rPr>
          <w:b/>
          <w:lang w:eastAsia="lv-LV"/>
        </w:rPr>
        <w:t>Elektroniskā saskaņošana</w:t>
      </w:r>
      <w:r w:rsidR="00331D76">
        <w:rPr>
          <w:b/>
          <w:lang w:eastAsia="lv-LV"/>
        </w:rPr>
        <w:t xml:space="preserve"> 2019.</w:t>
      </w:r>
      <w:r w:rsidR="00E308F9" w:rsidRPr="00D03C0C">
        <w:rPr>
          <w:b/>
          <w:lang w:eastAsia="lv-LV"/>
        </w:rPr>
        <w:t xml:space="preserve">gada </w:t>
      </w:r>
      <w:r w:rsidR="00D03C0C" w:rsidRPr="00D03C0C">
        <w:rPr>
          <w:b/>
          <w:lang w:eastAsia="lv-LV"/>
        </w:rPr>
        <w:t>7.-14</w:t>
      </w:r>
      <w:r w:rsidR="00E308F9" w:rsidRPr="00D03C0C">
        <w:rPr>
          <w:b/>
          <w:lang w:eastAsia="lv-LV"/>
        </w:rPr>
        <w:t>.augusts</w:t>
      </w:r>
    </w:p>
    <w:p w14:paraId="0CB14787" w14:textId="77777777" w:rsidR="001F2DCE" w:rsidRPr="005C48D1" w:rsidRDefault="001F2DCE" w:rsidP="001F2DCE">
      <w:pPr>
        <w:pStyle w:val="NoSpacing"/>
        <w:jc w:val="right"/>
        <w:rPr>
          <w:lang w:eastAsia="lv-LV"/>
        </w:rPr>
      </w:pPr>
      <w:r w:rsidRPr="00661A79">
        <w:rPr>
          <w:lang w:eastAsia="lv-LV"/>
        </w:rPr>
        <w:tab/>
      </w:r>
    </w:p>
    <w:p w14:paraId="0811C6C9" w14:textId="77777777" w:rsidR="001F2DCE" w:rsidRPr="00661A79" w:rsidRDefault="001F2DCE" w:rsidP="001F2DCE">
      <w:pPr>
        <w:jc w:val="right"/>
        <w:rPr>
          <w:rFonts w:eastAsia="Times New Roman"/>
          <w:b/>
          <w:bCs/>
          <w:color w:val="auto"/>
          <w:szCs w:val="24"/>
        </w:rPr>
      </w:pPr>
    </w:p>
    <w:p w14:paraId="03A09DF3" w14:textId="2B03E31D" w:rsidR="001F2DCE" w:rsidRPr="00661A79" w:rsidRDefault="001F2DCE" w:rsidP="00167DBE">
      <w:pPr>
        <w:ind w:left="5670" w:hanging="5760"/>
        <w:rPr>
          <w:rFonts w:eastAsia="Times New Roman"/>
          <w:color w:val="auto"/>
          <w:szCs w:val="24"/>
        </w:rPr>
      </w:pPr>
      <w:r w:rsidRPr="00661A79">
        <w:rPr>
          <w:rFonts w:eastAsia="Times New Roman"/>
          <w:color w:val="auto"/>
          <w:szCs w:val="24"/>
        </w:rPr>
        <w:t xml:space="preserve">Saskaņošanas dalībnieki </w:t>
      </w:r>
      <w:r>
        <w:rPr>
          <w:rFonts w:eastAsia="Times New Roman"/>
          <w:color w:val="auto"/>
          <w:szCs w:val="24"/>
        </w:rPr>
        <w:tab/>
        <w:t>Tieslietu ministrija, Finanšu ministrija</w:t>
      </w:r>
      <w:r w:rsidRPr="001F2DCE">
        <w:rPr>
          <w:rFonts w:eastAsia="Times New Roman"/>
          <w:color w:val="auto"/>
          <w:szCs w:val="24"/>
        </w:rPr>
        <w:t>, Iekšlietu ministri</w:t>
      </w:r>
      <w:r>
        <w:rPr>
          <w:rFonts w:eastAsia="Times New Roman"/>
          <w:color w:val="auto"/>
          <w:szCs w:val="24"/>
        </w:rPr>
        <w:t>ja</w:t>
      </w:r>
      <w:r w:rsidRPr="001F2DCE">
        <w:rPr>
          <w:rFonts w:eastAsia="Times New Roman"/>
          <w:color w:val="auto"/>
          <w:szCs w:val="24"/>
        </w:rPr>
        <w:t>, I</w:t>
      </w:r>
      <w:r>
        <w:rPr>
          <w:rFonts w:eastAsia="Times New Roman"/>
          <w:color w:val="auto"/>
          <w:szCs w:val="24"/>
        </w:rPr>
        <w:t>zglītības un zinātnes ministrija</w:t>
      </w:r>
      <w:r w:rsidRPr="001F2DCE">
        <w:rPr>
          <w:rFonts w:eastAsia="Times New Roman"/>
          <w:color w:val="auto"/>
          <w:szCs w:val="24"/>
        </w:rPr>
        <w:t>, Latvi</w:t>
      </w:r>
      <w:r>
        <w:rPr>
          <w:rFonts w:eastAsia="Times New Roman"/>
          <w:color w:val="auto"/>
          <w:szCs w:val="24"/>
        </w:rPr>
        <w:t>ja</w:t>
      </w:r>
      <w:r w:rsidR="00126B96">
        <w:rPr>
          <w:rFonts w:eastAsia="Times New Roman"/>
          <w:color w:val="auto"/>
          <w:szCs w:val="24"/>
        </w:rPr>
        <w:t>s Brīvo arodbiedrību savienība</w:t>
      </w:r>
      <w:r>
        <w:rPr>
          <w:rFonts w:eastAsia="Times New Roman"/>
          <w:color w:val="auto"/>
          <w:szCs w:val="24"/>
        </w:rPr>
        <w:t xml:space="preserve">, </w:t>
      </w:r>
      <w:r w:rsidRPr="001F2DCE">
        <w:rPr>
          <w:rFonts w:eastAsia="Times New Roman"/>
          <w:color w:val="auto"/>
          <w:szCs w:val="24"/>
        </w:rPr>
        <w:t>Latvijas Pašvaldību savienība</w:t>
      </w:r>
      <w:r>
        <w:rPr>
          <w:rFonts w:eastAsia="Times New Roman"/>
          <w:color w:val="auto"/>
          <w:szCs w:val="24"/>
        </w:rPr>
        <w:t xml:space="preserve">, </w:t>
      </w:r>
      <w:r w:rsidR="00126B96">
        <w:rPr>
          <w:rFonts w:eastAsia="Times New Roman"/>
          <w:color w:val="auto"/>
          <w:szCs w:val="24"/>
        </w:rPr>
        <w:t>Pārresoru koordinācijas centrs, Veselības ministrija</w:t>
      </w:r>
      <w:r>
        <w:rPr>
          <w:rFonts w:eastAsia="Times New Roman"/>
          <w:color w:val="auto"/>
          <w:szCs w:val="24"/>
        </w:rPr>
        <w:t>.</w:t>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Pr>
          <w:rFonts w:eastAsia="Times New Roman"/>
          <w:color w:val="auto"/>
          <w:szCs w:val="24"/>
        </w:rPr>
        <w:tab/>
      </w:r>
      <w:r w:rsidR="002767AC">
        <w:rPr>
          <w:rFonts w:eastAsia="Times New Roman"/>
          <w:color w:val="auto"/>
          <w:szCs w:val="24"/>
        </w:rPr>
        <w:tab/>
      </w:r>
    </w:p>
    <w:p w14:paraId="43D83716" w14:textId="4FC3F68C"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 xml:space="preserve">Saskaņošanas dalībnieki izskatīja šādu ministriju (citu </w:t>
      </w:r>
      <w:r>
        <w:rPr>
          <w:rFonts w:eastAsia="Times New Roman"/>
          <w:color w:val="auto"/>
          <w:szCs w:val="24"/>
        </w:rPr>
        <w:tab/>
      </w:r>
      <w:r w:rsidR="00126B96">
        <w:rPr>
          <w:rFonts w:eastAsia="Times New Roman"/>
          <w:color w:val="auto"/>
          <w:szCs w:val="24"/>
        </w:rPr>
        <w:t>Tieslietu ministrijas, Finanšu ministrijas</w:t>
      </w:r>
      <w:r w:rsidR="00126B96" w:rsidRPr="001F2DCE">
        <w:rPr>
          <w:rFonts w:eastAsia="Times New Roman"/>
          <w:color w:val="auto"/>
          <w:szCs w:val="24"/>
        </w:rPr>
        <w:t>, Iekšlietu ministri</w:t>
      </w:r>
      <w:r w:rsidR="00126B96">
        <w:rPr>
          <w:rFonts w:eastAsia="Times New Roman"/>
          <w:color w:val="auto"/>
          <w:szCs w:val="24"/>
        </w:rPr>
        <w:t>jas</w:t>
      </w:r>
      <w:r w:rsidR="00126B96" w:rsidRPr="001F2DCE">
        <w:rPr>
          <w:rFonts w:eastAsia="Times New Roman"/>
          <w:color w:val="auto"/>
          <w:szCs w:val="24"/>
        </w:rPr>
        <w:t>, I</w:t>
      </w:r>
      <w:r w:rsidR="00126B96">
        <w:rPr>
          <w:rFonts w:eastAsia="Times New Roman"/>
          <w:color w:val="auto"/>
          <w:szCs w:val="24"/>
        </w:rPr>
        <w:t xml:space="preserve">zglītības un zinātnes ministrijas, </w:t>
      </w:r>
      <w:r w:rsidR="00126B96" w:rsidRPr="001F2DCE">
        <w:rPr>
          <w:rFonts w:eastAsia="Times New Roman"/>
          <w:color w:val="auto"/>
          <w:szCs w:val="24"/>
        </w:rPr>
        <w:t>Latvijas Pašvaldību savienība</w:t>
      </w:r>
      <w:r w:rsidR="00126B96">
        <w:rPr>
          <w:rFonts w:eastAsia="Times New Roman"/>
          <w:color w:val="auto"/>
          <w:szCs w:val="24"/>
        </w:rPr>
        <w:t>s, Pārresoru koordinācijas centra, Veselības ministrijas</w:t>
      </w:r>
      <w:r w:rsidR="009835E4">
        <w:rPr>
          <w:szCs w:val="24"/>
        </w:rPr>
        <w:t>.</w:t>
      </w:r>
    </w:p>
    <w:p w14:paraId="58C62F97" w14:textId="77777777"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institūciju) iebildumus</w:t>
      </w:r>
      <w:r w:rsidRPr="00661A79">
        <w:rPr>
          <w:rFonts w:eastAsia="Times New Roman"/>
          <w:color w:val="auto"/>
          <w:szCs w:val="24"/>
        </w:rPr>
        <w:tab/>
      </w:r>
    </w:p>
    <w:p w14:paraId="461CA393" w14:textId="77777777"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 xml:space="preserve">                                                      </w:t>
      </w:r>
    </w:p>
    <w:p w14:paraId="53BC1192" w14:textId="64EF391A" w:rsidR="001F2DCE" w:rsidRPr="00661A79" w:rsidRDefault="001F2DCE" w:rsidP="001F2DCE">
      <w:pPr>
        <w:ind w:left="5760" w:hanging="5760"/>
        <w:rPr>
          <w:rFonts w:eastAsia="Times New Roman"/>
          <w:color w:val="auto"/>
          <w:szCs w:val="24"/>
        </w:rPr>
      </w:pPr>
      <w:r w:rsidRPr="00661A79">
        <w:rPr>
          <w:rFonts w:eastAsia="Times New Roman"/>
          <w:color w:val="auto"/>
          <w:szCs w:val="24"/>
        </w:rPr>
        <w:lastRenderedPageBreak/>
        <w:t xml:space="preserve">Ministrijas (citas institūcijas), kuras nav ieradušās uz </w:t>
      </w:r>
      <w:r w:rsidRPr="00661A79">
        <w:rPr>
          <w:rFonts w:eastAsia="Times New Roman"/>
          <w:color w:val="auto"/>
          <w:szCs w:val="24"/>
        </w:rPr>
        <w:tab/>
        <w:t xml:space="preserve"> </w:t>
      </w:r>
      <w:r w:rsidR="002767AC">
        <w:rPr>
          <w:rFonts w:eastAsia="Times New Roman"/>
          <w:color w:val="auto"/>
          <w:szCs w:val="24"/>
        </w:rPr>
        <w:t>Nav</w:t>
      </w:r>
    </w:p>
    <w:p w14:paraId="70FAFFB4" w14:textId="77777777" w:rsidR="001F2DCE" w:rsidRPr="00661A79" w:rsidRDefault="001F2DCE" w:rsidP="001F2DCE">
      <w:pPr>
        <w:ind w:left="5760" w:hanging="5760"/>
        <w:jc w:val="both"/>
        <w:rPr>
          <w:rFonts w:eastAsia="Times New Roman"/>
          <w:color w:val="auto"/>
          <w:szCs w:val="24"/>
        </w:rPr>
      </w:pPr>
      <w:r w:rsidRPr="00661A79">
        <w:rPr>
          <w:rFonts w:eastAsia="Times New Roman"/>
          <w:color w:val="auto"/>
          <w:szCs w:val="24"/>
        </w:rPr>
        <w:t>sanāksmi vai kuras nav atbildējušas uz uzaicinājumu</w:t>
      </w:r>
      <w:r w:rsidRPr="00661A79">
        <w:rPr>
          <w:rFonts w:eastAsia="Times New Roman"/>
          <w:color w:val="auto"/>
          <w:szCs w:val="24"/>
        </w:rPr>
        <w:tab/>
      </w:r>
    </w:p>
    <w:p w14:paraId="4AEAF70E" w14:textId="47C1178B" w:rsidR="002767AC" w:rsidRPr="002767AC" w:rsidRDefault="001F2DCE" w:rsidP="002767AC">
      <w:pPr>
        <w:jc w:val="both"/>
        <w:rPr>
          <w:rFonts w:eastAsia="Times New Roman"/>
          <w:color w:val="auto"/>
          <w:szCs w:val="24"/>
        </w:rPr>
      </w:pPr>
      <w:r w:rsidRPr="00661A79">
        <w:rPr>
          <w:rFonts w:eastAsia="Times New Roman"/>
          <w:color w:val="auto"/>
          <w:szCs w:val="24"/>
        </w:rPr>
        <w:t xml:space="preserve">piedalīties elektroniskajā saskaņošanā </w:t>
      </w:r>
      <w:r w:rsidRPr="00661A79">
        <w:rPr>
          <w:rFonts w:eastAsia="Times New Roman"/>
          <w:color w:val="auto"/>
          <w:szCs w:val="24"/>
        </w:rPr>
        <w:tab/>
      </w:r>
      <w:r w:rsidRPr="00661A79">
        <w:rPr>
          <w:rFonts w:eastAsia="Times New Roman"/>
          <w:color w:val="auto"/>
          <w:szCs w:val="24"/>
        </w:rPr>
        <w:tab/>
      </w:r>
    </w:p>
    <w:p w14:paraId="1EAB5199" w14:textId="68EEB370" w:rsidR="00C20D70" w:rsidRPr="00480903" w:rsidRDefault="006C271E" w:rsidP="0051536A">
      <w:pPr>
        <w:spacing w:before="100" w:beforeAutospacing="1" w:after="100" w:afterAutospacing="1"/>
        <w:jc w:val="center"/>
        <w:rPr>
          <w:rFonts w:eastAsia="Times New Roman"/>
          <w:b/>
          <w:color w:val="auto"/>
          <w:sz w:val="28"/>
          <w:lang w:eastAsia="lv-LV"/>
        </w:rPr>
      </w:pPr>
      <w:r w:rsidRPr="00480903">
        <w:rPr>
          <w:rFonts w:eastAsia="Times New Roman"/>
          <w:b/>
          <w:color w:val="auto"/>
          <w:sz w:val="28"/>
          <w:lang w:eastAsia="lv-LV"/>
        </w:rPr>
        <w:t>II. Jautājumi, par kuriem saskaņošanā vienošanās ir panākta</w:t>
      </w:r>
    </w:p>
    <w:tbl>
      <w:tblPr>
        <w:tblW w:w="148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113"/>
        <w:gridCol w:w="3573"/>
        <w:gridCol w:w="3897"/>
        <w:gridCol w:w="72"/>
        <w:gridCol w:w="3260"/>
        <w:gridCol w:w="3260"/>
      </w:tblGrid>
      <w:tr w:rsidR="005975CB" w:rsidRPr="00597C9D" w14:paraId="6AC5B736" w14:textId="77777777" w:rsidTr="002823E0">
        <w:tc>
          <w:tcPr>
            <w:tcW w:w="814" w:type="dxa"/>
            <w:gridSpan w:val="2"/>
            <w:tcBorders>
              <w:top w:val="single" w:sz="6" w:space="0" w:color="000000"/>
              <w:left w:val="single" w:sz="6" w:space="0" w:color="000000"/>
              <w:bottom w:val="single" w:sz="6" w:space="0" w:color="000000"/>
              <w:right w:val="single" w:sz="6" w:space="0" w:color="000000"/>
            </w:tcBorders>
            <w:vAlign w:val="center"/>
          </w:tcPr>
          <w:p w14:paraId="2D660C43" w14:textId="77777777" w:rsidR="00C20D70" w:rsidRPr="00B7025F" w:rsidRDefault="00C20D70" w:rsidP="00FD06C5">
            <w:pPr>
              <w:pStyle w:val="naisc"/>
              <w:spacing w:before="0" w:after="0"/>
              <w:rPr>
                <w:color w:val="auto"/>
              </w:rPr>
            </w:pPr>
            <w:r w:rsidRPr="00B7025F">
              <w:rPr>
                <w:color w:val="auto"/>
              </w:rPr>
              <w:t>Nr. p.k.</w:t>
            </w:r>
          </w:p>
        </w:tc>
        <w:tc>
          <w:tcPr>
            <w:tcW w:w="3573" w:type="dxa"/>
            <w:tcBorders>
              <w:top w:val="single" w:sz="6" w:space="0" w:color="000000"/>
              <w:left w:val="single" w:sz="6" w:space="0" w:color="000000"/>
              <w:bottom w:val="single" w:sz="6" w:space="0" w:color="000000"/>
              <w:right w:val="single" w:sz="6" w:space="0" w:color="000000"/>
            </w:tcBorders>
            <w:vAlign w:val="center"/>
          </w:tcPr>
          <w:p w14:paraId="3EF12A3A" w14:textId="625B6CF2" w:rsidR="00C20D70" w:rsidRPr="00B7025F" w:rsidRDefault="00C20D70" w:rsidP="00126B96">
            <w:pPr>
              <w:pStyle w:val="NoSpacing"/>
            </w:pPr>
            <w:r w:rsidRPr="00B7025F">
              <w:t xml:space="preserve">Saskaņošanai nosūtītā </w:t>
            </w:r>
            <w:r w:rsidR="0036553F" w:rsidRPr="00B7025F">
              <w:t>likum</w:t>
            </w:r>
            <w:r w:rsidRPr="00B7025F">
              <w:t>projekta redakcija (konkrēta punkta (panta) redakcija)</w:t>
            </w:r>
          </w:p>
        </w:tc>
        <w:tc>
          <w:tcPr>
            <w:tcW w:w="3897" w:type="dxa"/>
            <w:tcBorders>
              <w:top w:val="single" w:sz="6" w:space="0" w:color="000000"/>
              <w:left w:val="single" w:sz="6" w:space="0" w:color="000000"/>
              <w:bottom w:val="single" w:sz="6" w:space="0" w:color="000000"/>
              <w:right w:val="single" w:sz="6" w:space="0" w:color="000000"/>
            </w:tcBorders>
            <w:vAlign w:val="center"/>
          </w:tcPr>
          <w:p w14:paraId="44EDBC46" w14:textId="77777777" w:rsidR="00C20D70" w:rsidRPr="00B7025F" w:rsidRDefault="00C20D70" w:rsidP="00FD06C5">
            <w:pPr>
              <w:pStyle w:val="naisc"/>
              <w:spacing w:before="0" w:after="0"/>
              <w:rPr>
                <w:color w:val="auto"/>
              </w:rPr>
            </w:pPr>
            <w:r w:rsidRPr="00B7025F">
              <w:rPr>
                <w:color w:val="auto"/>
              </w:rPr>
              <w:t>Atzinumā norādītais ministrijas (citas institūcijas) iebildums, kā arī saskaņošanā papildus izteiktais iebildums par projekta konkrēto punktu (pantu)</w:t>
            </w:r>
          </w:p>
        </w:tc>
        <w:tc>
          <w:tcPr>
            <w:tcW w:w="3332" w:type="dxa"/>
            <w:gridSpan w:val="2"/>
            <w:tcBorders>
              <w:top w:val="single" w:sz="6" w:space="0" w:color="000000"/>
              <w:left w:val="single" w:sz="6" w:space="0" w:color="000000"/>
              <w:bottom w:val="single" w:sz="6" w:space="0" w:color="000000"/>
              <w:right w:val="single" w:sz="6" w:space="0" w:color="000000"/>
            </w:tcBorders>
            <w:vAlign w:val="center"/>
          </w:tcPr>
          <w:p w14:paraId="6F5CB506" w14:textId="77777777" w:rsidR="00C20D70" w:rsidRPr="00B7025F" w:rsidRDefault="00C20D70" w:rsidP="00FD06C5">
            <w:pPr>
              <w:pStyle w:val="naisc"/>
              <w:spacing w:before="0" w:after="0"/>
              <w:rPr>
                <w:color w:val="auto"/>
              </w:rPr>
            </w:pPr>
            <w:r w:rsidRPr="00B7025F">
              <w:rPr>
                <w:color w:val="auto"/>
              </w:rPr>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5299A116" w14:textId="68E54B44" w:rsidR="00C20D70" w:rsidRPr="00B7025F" w:rsidRDefault="00FF314D" w:rsidP="00FD06C5">
            <w:pPr>
              <w:jc w:val="center"/>
              <w:rPr>
                <w:color w:val="auto"/>
                <w:szCs w:val="24"/>
              </w:rPr>
            </w:pPr>
            <w:r w:rsidRPr="00B7025F">
              <w:rPr>
                <w:color w:val="auto"/>
                <w:szCs w:val="24"/>
              </w:rPr>
              <w:t>P</w:t>
            </w:r>
            <w:r w:rsidR="00C20D70" w:rsidRPr="00B7025F">
              <w:rPr>
                <w:color w:val="auto"/>
                <w:szCs w:val="24"/>
              </w:rPr>
              <w:t>rojekta attiecīgā punkta (panta) galīgā redakcija</w:t>
            </w:r>
          </w:p>
        </w:tc>
      </w:tr>
      <w:tr w:rsidR="00AB2688" w:rsidRPr="00597C9D" w14:paraId="64142549" w14:textId="77777777" w:rsidTr="005867F0">
        <w:tc>
          <w:tcPr>
            <w:tcW w:w="14876" w:type="dxa"/>
            <w:gridSpan w:val="7"/>
            <w:tcBorders>
              <w:top w:val="single" w:sz="6" w:space="0" w:color="000000"/>
              <w:left w:val="single" w:sz="6" w:space="0" w:color="000000"/>
              <w:bottom w:val="single" w:sz="6" w:space="0" w:color="000000"/>
            </w:tcBorders>
          </w:tcPr>
          <w:p w14:paraId="5FB6F9E1" w14:textId="77777777" w:rsidR="00126B96" w:rsidRDefault="00126B96" w:rsidP="00126B96">
            <w:pPr>
              <w:pStyle w:val="NoSpacing"/>
              <w:jc w:val="center"/>
              <w:rPr>
                <w:b/>
              </w:rPr>
            </w:pPr>
          </w:p>
          <w:p w14:paraId="54EA18E3" w14:textId="77777777" w:rsidR="00126B96" w:rsidRDefault="00126B96" w:rsidP="00126B96">
            <w:pPr>
              <w:jc w:val="center"/>
              <w:rPr>
                <w:b/>
                <w:i/>
              </w:rPr>
            </w:pPr>
            <w:r w:rsidRPr="00E300D6">
              <w:rPr>
                <w:b/>
              </w:rPr>
              <w:t>Pārresoru koordinācijas centra 09.07.2019. atzinums Nr.1.2-7/81</w:t>
            </w:r>
            <w:r>
              <w:rPr>
                <w:b/>
              </w:rPr>
              <w:t xml:space="preserve"> (VSS-609) </w:t>
            </w:r>
            <w:r w:rsidRPr="00B5734C">
              <w:rPr>
                <w:b/>
                <w:i/>
              </w:rPr>
              <w:t>Par rīkojuma projektu</w:t>
            </w:r>
          </w:p>
          <w:p w14:paraId="373414F1" w14:textId="2BD64668" w:rsidR="00126B96" w:rsidRPr="00126B96" w:rsidRDefault="00126B96" w:rsidP="00126B96">
            <w:pPr>
              <w:pStyle w:val="NoSpacing"/>
              <w:jc w:val="center"/>
            </w:pPr>
          </w:p>
        </w:tc>
      </w:tr>
      <w:tr w:rsidR="00457B20" w:rsidRPr="00597C9D" w14:paraId="2F279BEC" w14:textId="77777777" w:rsidTr="00457B20">
        <w:tc>
          <w:tcPr>
            <w:tcW w:w="701" w:type="dxa"/>
            <w:tcBorders>
              <w:top w:val="single" w:sz="6" w:space="0" w:color="000000"/>
              <w:left w:val="single" w:sz="6" w:space="0" w:color="000000"/>
              <w:bottom w:val="single" w:sz="6" w:space="0" w:color="000000"/>
            </w:tcBorders>
          </w:tcPr>
          <w:p w14:paraId="7C208AB8" w14:textId="099D209E" w:rsidR="00457B20" w:rsidRPr="00126B96" w:rsidRDefault="00126B96" w:rsidP="00AB2688">
            <w:pPr>
              <w:pStyle w:val="naisc"/>
              <w:spacing w:before="0" w:after="0"/>
              <w:ind w:firstLine="284"/>
            </w:pPr>
            <w:r w:rsidRPr="00126B96">
              <w:t xml:space="preserve">1. </w:t>
            </w:r>
          </w:p>
        </w:tc>
        <w:tc>
          <w:tcPr>
            <w:tcW w:w="3686" w:type="dxa"/>
            <w:gridSpan w:val="2"/>
            <w:tcBorders>
              <w:top w:val="single" w:sz="6" w:space="0" w:color="000000"/>
              <w:left w:val="single" w:sz="6" w:space="0" w:color="000000"/>
              <w:bottom w:val="single" w:sz="6" w:space="0" w:color="000000"/>
            </w:tcBorders>
          </w:tcPr>
          <w:p w14:paraId="4879D07D" w14:textId="1F24F13A" w:rsidR="009A2559" w:rsidRPr="00D14C32" w:rsidRDefault="009A2559" w:rsidP="005928A9">
            <w:pPr>
              <w:pStyle w:val="naisc"/>
              <w:spacing w:before="0" w:after="0"/>
              <w:jc w:val="both"/>
              <w:rPr>
                <w:rFonts w:cs="Calibri"/>
                <w:sz w:val="20"/>
                <w:szCs w:val="20"/>
                <w:u w:val="single"/>
              </w:rPr>
            </w:pPr>
            <w:r w:rsidRPr="00D14C32">
              <w:rPr>
                <w:u w:val="single"/>
              </w:rPr>
              <w:t>Rīkojuma projekta 2.punkts:</w:t>
            </w:r>
          </w:p>
          <w:p w14:paraId="2B29E233" w14:textId="77777777" w:rsidR="009A2559" w:rsidRDefault="009A2559" w:rsidP="005928A9">
            <w:pPr>
              <w:pStyle w:val="naisc"/>
              <w:spacing w:before="0" w:after="0"/>
              <w:jc w:val="both"/>
              <w:rPr>
                <w:rFonts w:cs="Calibri"/>
                <w:sz w:val="20"/>
                <w:szCs w:val="20"/>
              </w:rPr>
            </w:pPr>
          </w:p>
          <w:p w14:paraId="1A6AD36C" w14:textId="56436AEA" w:rsidR="00457B20" w:rsidRDefault="00F52EBF" w:rsidP="005928A9">
            <w:pPr>
              <w:pStyle w:val="naisc"/>
              <w:spacing w:before="0" w:after="0"/>
              <w:jc w:val="both"/>
              <w:rPr>
                <w:rFonts w:cs="Calibri"/>
                <w:sz w:val="20"/>
                <w:szCs w:val="20"/>
              </w:rPr>
            </w:pPr>
            <w:r>
              <w:rPr>
                <w:rFonts w:cs="Calibri"/>
                <w:sz w:val="20"/>
                <w:szCs w:val="20"/>
              </w:rPr>
              <w:t>“</w:t>
            </w:r>
            <w:r w:rsidR="005928A9">
              <w:rPr>
                <w:rFonts w:cs="Calibri"/>
                <w:sz w:val="20"/>
                <w:szCs w:val="20"/>
              </w:rPr>
              <w:t>1.</w:t>
            </w:r>
            <w:r w:rsidR="005928A9" w:rsidRPr="005928A9">
              <w:rPr>
                <w:rFonts w:cs="Calibri"/>
                <w:sz w:val="20"/>
                <w:szCs w:val="20"/>
                <w:vertAlign w:val="superscript"/>
              </w:rPr>
              <w:t>1</w:t>
            </w:r>
            <w:r w:rsidR="005928A9" w:rsidRPr="00403261">
              <w:rPr>
                <w:rFonts w:cs="Calibri"/>
                <w:sz w:val="20"/>
                <w:szCs w:val="20"/>
              </w:rPr>
              <w:t>Nodrošināt, ka daļa no OCTA līdzekļiem tiek piešķirti ceļu satiksmes drošības pētījumiem</w:t>
            </w:r>
            <w:r w:rsidR="005928A9">
              <w:rPr>
                <w:rFonts w:cs="Calibri"/>
                <w:sz w:val="20"/>
                <w:szCs w:val="20"/>
              </w:rPr>
              <w:t xml:space="preserve"> un</w:t>
            </w:r>
            <w:r w:rsidR="005928A9" w:rsidRPr="00403261">
              <w:rPr>
                <w:rFonts w:cs="Calibri"/>
                <w:sz w:val="20"/>
                <w:szCs w:val="20"/>
              </w:rPr>
              <w:t xml:space="preserve"> ceļu satiksmes drošības politikas plānotājiem ir pieejams aktuāls situācijas izvērtējums par būtiskiem ceļu satiksmes drošības riskiem/faktoriem, kas ietekmē satiksmes drošību.</w:t>
            </w:r>
          </w:p>
          <w:p w14:paraId="0F3D8657" w14:textId="77777777" w:rsidR="005928A9" w:rsidRDefault="005928A9" w:rsidP="005928A9">
            <w:pPr>
              <w:pStyle w:val="naisc"/>
              <w:spacing w:before="0" w:after="0"/>
              <w:jc w:val="both"/>
              <w:rPr>
                <w:rFonts w:cs="Calibri"/>
                <w:sz w:val="20"/>
                <w:szCs w:val="20"/>
              </w:rPr>
            </w:pPr>
          </w:p>
          <w:p w14:paraId="403057B5" w14:textId="3D209D1B" w:rsidR="005928A9" w:rsidRDefault="005928A9" w:rsidP="005928A9">
            <w:pPr>
              <w:pStyle w:val="naisc"/>
              <w:spacing w:before="0" w:after="0"/>
              <w:jc w:val="both"/>
              <w:rPr>
                <w:rFonts w:cs="Calibri"/>
                <w:sz w:val="20"/>
                <w:szCs w:val="20"/>
              </w:rPr>
            </w:pPr>
            <w:r>
              <w:rPr>
                <w:rFonts w:cs="Calibri"/>
                <w:sz w:val="20"/>
                <w:szCs w:val="20"/>
              </w:rPr>
              <w:t xml:space="preserve">Darbības rezultāts: </w:t>
            </w:r>
            <w:r w:rsidRPr="00403261">
              <w:rPr>
                <w:rFonts w:cs="Calibri"/>
                <w:sz w:val="20"/>
                <w:szCs w:val="20"/>
              </w:rPr>
              <w:t>Nodrošināta iespēja ceļu satiksmes drošības politikas plānotājiem iegūt izvērtējumu par aktuāliem un būtiskiem riskiem, kas ietekmē satiksmes drošību.</w:t>
            </w:r>
          </w:p>
          <w:p w14:paraId="19A19412" w14:textId="77777777" w:rsidR="005928A9" w:rsidRDefault="005928A9" w:rsidP="005928A9">
            <w:pPr>
              <w:pStyle w:val="naisc"/>
              <w:spacing w:before="0" w:after="0"/>
              <w:jc w:val="both"/>
              <w:rPr>
                <w:rFonts w:cs="Calibri"/>
                <w:sz w:val="20"/>
                <w:szCs w:val="20"/>
              </w:rPr>
            </w:pPr>
          </w:p>
          <w:p w14:paraId="07769D5F" w14:textId="13439D95" w:rsidR="005928A9" w:rsidRPr="00126B96" w:rsidRDefault="005928A9" w:rsidP="005928A9">
            <w:pPr>
              <w:pStyle w:val="naisc"/>
              <w:spacing w:before="0" w:after="0"/>
              <w:jc w:val="both"/>
            </w:pPr>
            <w:r>
              <w:rPr>
                <w:rFonts w:cs="Calibri"/>
                <w:sz w:val="20"/>
                <w:szCs w:val="20"/>
              </w:rPr>
              <w:t xml:space="preserve">Rezultatīvais rādītājs: </w:t>
            </w:r>
            <w:r w:rsidRPr="00403261">
              <w:rPr>
                <w:rFonts w:cs="Calibri"/>
                <w:sz w:val="20"/>
                <w:szCs w:val="20"/>
              </w:rPr>
              <w:t>Veikti 2-5 pētījumi ceļu satiksmes drošības jomā par aktuālām un būtiskām tēmām.</w:t>
            </w:r>
            <w:r w:rsidR="00F52EBF">
              <w:rPr>
                <w:rFonts w:cs="Calibri"/>
                <w:sz w:val="20"/>
                <w:szCs w:val="20"/>
              </w:rPr>
              <w:t xml:space="preserve">  …”</w:t>
            </w:r>
          </w:p>
        </w:tc>
        <w:tc>
          <w:tcPr>
            <w:tcW w:w="3969" w:type="dxa"/>
            <w:gridSpan w:val="2"/>
            <w:tcBorders>
              <w:top w:val="single" w:sz="6" w:space="0" w:color="000000"/>
              <w:left w:val="single" w:sz="6" w:space="0" w:color="000000"/>
              <w:bottom w:val="single" w:sz="6" w:space="0" w:color="000000"/>
            </w:tcBorders>
          </w:tcPr>
          <w:p w14:paraId="6C8007F9" w14:textId="14A3B422" w:rsidR="00457B20" w:rsidRPr="00126B96" w:rsidRDefault="00126B96" w:rsidP="001C15F9">
            <w:pPr>
              <w:pStyle w:val="naisc"/>
              <w:numPr>
                <w:ilvl w:val="0"/>
                <w:numId w:val="27"/>
              </w:numPr>
              <w:spacing w:before="0" w:after="0"/>
              <w:ind w:left="0" w:firstLine="284"/>
              <w:jc w:val="both"/>
            </w:pPr>
            <w:r w:rsidRPr="00B5734C">
              <w:t>Lūdzam papildināt rīkojuma projekta 2.punktu, norādot tabulas 1.</w:t>
            </w:r>
            <w:r w:rsidRPr="00B5734C">
              <w:rPr>
                <w:vertAlign w:val="superscript"/>
              </w:rPr>
              <w:t>1</w:t>
            </w:r>
            <w:r w:rsidRPr="00B5734C">
              <w:t xml:space="preserve"> punktā konkrētas tēmas minētajiem ceļu satiksmes drošības pētījumiem un anotācijā šo tēmu izvēli pamatojošu informāciju, kas raksturo ceļu satiksmes drošību sasaistē ar ceļu satiksmes negadījumu cēloņiem, piemēram, ceļu satiksmes infrastruktūras atbilstību drošas satiksmes prasībām, transportlīdzekļa vadīšanu apreibinošo vielu ietekmē vai vienlaikus izmantojot mobilos sakaru līdzekļus</w:t>
            </w:r>
            <w:r>
              <w:t>.</w:t>
            </w:r>
          </w:p>
        </w:tc>
        <w:tc>
          <w:tcPr>
            <w:tcW w:w="3260" w:type="dxa"/>
            <w:tcBorders>
              <w:top w:val="single" w:sz="6" w:space="0" w:color="000000"/>
              <w:left w:val="single" w:sz="6" w:space="0" w:color="000000"/>
              <w:bottom w:val="single" w:sz="6" w:space="0" w:color="000000"/>
            </w:tcBorders>
          </w:tcPr>
          <w:p w14:paraId="2ACB5EBE" w14:textId="59C942DD" w:rsidR="00457B20" w:rsidRPr="00126B96" w:rsidRDefault="00DF6B25" w:rsidP="001C15F9">
            <w:pPr>
              <w:pStyle w:val="naisc"/>
              <w:spacing w:before="0" w:after="0"/>
              <w:ind w:firstLine="284"/>
              <w:rPr>
                <w:b/>
              </w:rPr>
            </w:pPr>
            <w:r>
              <w:rPr>
                <w:b/>
              </w:rPr>
              <w:t>Panākta vienošanās</w:t>
            </w:r>
            <w:r w:rsidR="00126B96" w:rsidRPr="00126B96">
              <w:rPr>
                <w:b/>
              </w:rPr>
              <w:t>.</w:t>
            </w:r>
          </w:p>
          <w:p w14:paraId="66655A73" w14:textId="7535DB8E" w:rsidR="005928A9" w:rsidRDefault="00126B96" w:rsidP="005928A9">
            <w:pPr>
              <w:pStyle w:val="naisc"/>
              <w:spacing w:before="0" w:after="0"/>
              <w:ind w:firstLine="284"/>
              <w:jc w:val="both"/>
            </w:pPr>
            <w:r>
              <w:t xml:space="preserve">Satiksmes ministrija informē, ka </w:t>
            </w:r>
            <w:r w:rsidR="005928A9" w:rsidRPr="005928A9">
              <w:t>Ceļu satiksmes drošības padomes domnīc</w:t>
            </w:r>
            <w:r w:rsidR="005928A9">
              <w:t xml:space="preserve">as 2019.gada 26.aprīļa sanāksmē </w:t>
            </w:r>
            <w:r w:rsidR="005928A9" w:rsidRPr="005928A9">
              <w:t xml:space="preserve">Nr.23 </w:t>
            </w:r>
            <w:r w:rsidR="005928A9">
              <w:t xml:space="preserve"> tika izskatīts jautājums par pētījumiem ceļu satiksmes drošības jomā</w:t>
            </w:r>
            <w:r w:rsidR="00D42A5D">
              <w:t xml:space="preserve"> un tika panākta vienošanās par šāda pasākuma nepieciešamību (protokola 2.punkts)</w:t>
            </w:r>
            <w:r w:rsidR="005928A9">
              <w:t xml:space="preserve">. </w:t>
            </w:r>
          </w:p>
          <w:p w14:paraId="7B69E25C" w14:textId="1AC140FF" w:rsidR="005928A9" w:rsidRDefault="005928A9" w:rsidP="005928A9">
            <w:pPr>
              <w:pStyle w:val="naisc"/>
              <w:ind w:firstLine="284"/>
              <w:jc w:val="both"/>
            </w:pPr>
            <w:r>
              <w:t xml:space="preserve">Šāds jautājums tika skatīts, jo turpmāk satiksmes drošības uzlabošanā būs arvien vairāk jāpievērš uzmanība tam, kādi pasākumi tiek realizēti ceļu satiksmes drošības jomā un </w:t>
            </w:r>
            <w:r>
              <w:lastRenderedPageBreak/>
              <w:t>kāds ir šo pasākums pienesums (rezultāts) satiksmes drošības uzlabošanā.</w:t>
            </w:r>
          </w:p>
          <w:p w14:paraId="281DEDAB" w14:textId="76BF3B35" w:rsidR="005928A9" w:rsidRDefault="005928A9" w:rsidP="005928A9">
            <w:pPr>
              <w:pStyle w:val="naisc"/>
              <w:ind w:firstLine="284"/>
              <w:jc w:val="both"/>
            </w:pPr>
            <w:r>
              <w:t>Latvijā ir izveidota kvalitatīva ceļu satiksmes negadījumu (turpmāk – CSNg) statistikas savākšanas sistēma, taču turpmāk nepieciešams arī šo statistiku regulāri padziļināti izvērtēt, lai identificētu būtiskākos riskus. Tādēļ būtiska ir dažādu pētījumu izmantošana turpmākas politikas plānošanā.</w:t>
            </w:r>
          </w:p>
          <w:p w14:paraId="1F33718B" w14:textId="0D81C096" w:rsidR="005928A9" w:rsidRDefault="005928A9" w:rsidP="005928A9">
            <w:pPr>
              <w:pStyle w:val="naisc"/>
              <w:ind w:firstLine="284"/>
              <w:jc w:val="both"/>
            </w:pPr>
            <w:r>
              <w:t xml:space="preserve">Jau šobrīd ir iezīmējusies tendence, ka sasniegt labus rezultātus satiksmes drošības uzlabošanā būs arvien grūtāk un grūtāk. To ir pierādījuši arī vairāki </w:t>
            </w:r>
            <w:r w:rsidR="009B7B0D">
              <w:t xml:space="preserve">ārvalstīs veikti </w:t>
            </w:r>
            <w:r>
              <w:t>pētījumi – pie zināma stāvokļa iestājas stagnācija un situācija neuzlabojas.</w:t>
            </w:r>
          </w:p>
          <w:p w14:paraId="45C5F4F0" w14:textId="7DA6F6E4" w:rsidR="009B7B0D" w:rsidRDefault="009B7B0D" w:rsidP="005928A9">
            <w:pPr>
              <w:pStyle w:val="naisc"/>
              <w:ind w:firstLine="284"/>
              <w:jc w:val="both"/>
            </w:pPr>
            <w:r>
              <w:t xml:space="preserve">Domnīcas sanāksmes dalībnieki vienojās (sanāksmes protokola 2.punkts), ka kārtējā </w:t>
            </w:r>
            <w:r w:rsidRPr="009B7B0D">
              <w:t>Ceļu satiksmes drošības padomes sēdē ir jāizskata/jāizziņo potenciālās ceļu satiksmes drošības pētījumu tēmas</w:t>
            </w:r>
            <w:r>
              <w:t xml:space="preserve"> (</w:t>
            </w:r>
            <w:r w:rsidRPr="009B7B0D">
              <w:rPr>
                <w:u w:val="single"/>
              </w:rPr>
              <w:t>ņemot vērā aktuālo CSNg</w:t>
            </w:r>
            <w:r>
              <w:rPr>
                <w:u w:val="single"/>
              </w:rPr>
              <w:t xml:space="preserve"> un pārkāpumu </w:t>
            </w:r>
            <w:r>
              <w:rPr>
                <w:u w:val="single"/>
              </w:rPr>
              <w:lastRenderedPageBreak/>
              <w:t>ceļu satiksmē</w:t>
            </w:r>
            <w:r w:rsidRPr="009B7B0D">
              <w:rPr>
                <w:u w:val="single"/>
              </w:rPr>
              <w:t xml:space="preserve"> statistiku</w:t>
            </w:r>
            <w:r>
              <w:rPr>
                <w:u w:val="single"/>
              </w:rPr>
              <w:t xml:space="preserve"> – identificējot būtiskākos riskus</w:t>
            </w:r>
            <w:r>
              <w:t>)</w:t>
            </w:r>
            <w:r w:rsidRPr="009B7B0D">
              <w:t xml:space="preserve"> no </w:t>
            </w:r>
            <w:r w:rsidRPr="00E77754">
              <w:t>apdrošinātāju veiktie</w:t>
            </w:r>
            <w:r>
              <w:t>m</w:t>
            </w:r>
            <w:r w:rsidRPr="00E77754">
              <w:t xml:space="preserve"> maksājumi</w:t>
            </w:r>
            <w:r>
              <w:t>em</w:t>
            </w:r>
            <w:r w:rsidRPr="00E77754">
              <w:t xml:space="preserve"> ceļu satiksmes negadījumu novēršanas pasākumu veikšanai</w:t>
            </w:r>
            <w:r>
              <w:t xml:space="preserve"> (OCTA likums)</w:t>
            </w:r>
            <w:r w:rsidRPr="009B7B0D">
              <w:t xml:space="preserve"> ceļu satiksmes drošības uzlabošanai. </w:t>
            </w:r>
            <w:r>
              <w:t>Tālāk no</w:t>
            </w:r>
            <w:r w:rsidRPr="009B7B0D">
              <w:t xml:space="preserve"> </w:t>
            </w:r>
            <w:r w:rsidRPr="00E77754">
              <w:t>apdrošinātāju veiktie</w:t>
            </w:r>
            <w:r>
              <w:t>m</w:t>
            </w:r>
            <w:r w:rsidRPr="00E77754">
              <w:t xml:space="preserve"> maksājumi</w:t>
            </w:r>
            <w:r>
              <w:t>em</w:t>
            </w:r>
            <w:r w:rsidRPr="00E77754">
              <w:t xml:space="preserve"> ceļu satiksmes negadījumu novēršanas pasākumu veikšanai</w:t>
            </w:r>
            <w:r>
              <w:t xml:space="preserve"> (OCTA likums)</w:t>
            </w:r>
            <w:r w:rsidRPr="009B7B0D">
              <w:t xml:space="preserve"> tiek plānots noteikts apjoms pētījumu finansēšanai nākošajā gadā</w:t>
            </w:r>
            <w:r>
              <w:t>, kuriem var pieteikties potenciālie pētījumu veicēji.</w:t>
            </w:r>
          </w:p>
          <w:p w14:paraId="2B5CBD0D" w14:textId="00D42FF4" w:rsidR="00D42A5D" w:rsidRDefault="00D42A5D" w:rsidP="005928A9">
            <w:pPr>
              <w:pStyle w:val="naisc"/>
              <w:ind w:firstLine="284"/>
              <w:jc w:val="both"/>
            </w:pPr>
            <w:r>
              <w:t>Jāņem arī vērā, ka pašlaik Latvijas politikas plānotāji, kuru kompetence ir ceļu satiksmes drošības politikas veidošana, galvenokārt izmanto citās valstīs veiktus pētījumus, kuros nevar būtu iekļauta un netiek izvērtēti specifiski Latvijas apstākļi, kas ietekmē ceļu satiksmes drošību.</w:t>
            </w:r>
          </w:p>
          <w:p w14:paraId="2CCC1BD3" w14:textId="77777777" w:rsidR="00126B96" w:rsidRDefault="005928A9" w:rsidP="00D42A5D">
            <w:pPr>
              <w:pStyle w:val="naisc"/>
              <w:spacing w:before="0" w:after="0"/>
              <w:ind w:firstLine="284"/>
              <w:jc w:val="both"/>
            </w:pPr>
            <w:r>
              <w:t xml:space="preserve">Tādējādi pasākuma mērķis </w:t>
            </w:r>
            <w:r w:rsidR="003D0211">
              <w:t xml:space="preserve">nav </w:t>
            </w:r>
            <w:r w:rsidR="009B7B0D">
              <w:t xml:space="preserve">iezīmēt jau konkrētas </w:t>
            </w:r>
            <w:r>
              <w:t xml:space="preserve"> pēt</w:t>
            </w:r>
            <w:r w:rsidR="009B7B0D">
              <w:t xml:space="preserve">ījumu tēmas, bet paredzēt iespēju, lai politikas </w:t>
            </w:r>
            <w:r w:rsidR="009B7B0D">
              <w:lastRenderedPageBreak/>
              <w:t>plānotājiem</w:t>
            </w:r>
            <w:r w:rsidR="00D42A5D">
              <w:t xml:space="preserve"> pēc nepieciešamības</w:t>
            </w:r>
            <w:r w:rsidR="009B7B0D">
              <w:t xml:space="preserve"> tiktu nodrošināta</w:t>
            </w:r>
            <w:r w:rsidR="003D0211">
              <w:t xml:space="preserve"> iespēja </w:t>
            </w:r>
            <w:r w:rsidR="00D42A5D">
              <w:t>izvērtēt īstenoto pasākumu efektivitāti, identificēt jaunus prioritāros pasākumus utml.</w:t>
            </w:r>
            <w:r w:rsidR="009B7B0D">
              <w:t xml:space="preserve"> </w:t>
            </w:r>
          </w:p>
          <w:p w14:paraId="06BEB9B8" w14:textId="4756DB8B" w:rsidR="001F28BE" w:rsidRPr="00126B96" w:rsidRDefault="001F28BE" w:rsidP="00D42A5D">
            <w:pPr>
              <w:pStyle w:val="naisc"/>
              <w:spacing w:before="0" w:after="0"/>
              <w:ind w:firstLine="284"/>
              <w:jc w:val="both"/>
            </w:pPr>
            <w:r>
              <w:t>Ņemot vērā minēto, ir papildināta rīkojuma projekta anotācija ar papildus informāciju par pasākuma nepieciešamību.</w:t>
            </w:r>
          </w:p>
        </w:tc>
        <w:tc>
          <w:tcPr>
            <w:tcW w:w="3260" w:type="dxa"/>
            <w:tcBorders>
              <w:top w:val="single" w:sz="6" w:space="0" w:color="000000"/>
              <w:left w:val="single" w:sz="6" w:space="0" w:color="000000"/>
              <w:bottom w:val="single" w:sz="6" w:space="0" w:color="000000"/>
            </w:tcBorders>
          </w:tcPr>
          <w:p w14:paraId="7706DEDD" w14:textId="5C11A553" w:rsidR="009A2559" w:rsidRPr="00D14C32" w:rsidRDefault="009A2559" w:rsidP="009A2559">
            <w:pPr>
              <w:pStyle w:val="naisc"/>
              <w:spacing w:before="0" w:after="0"/>
              <w:jc w:val="both"/>
              <w:rPr>
                <w:rFonts w:cs="Calibri"/>
                <w:sz w:val="20"/>
                <w:szCs w:val="20"/>
                <w:u w:val="single"/>
              </w:rPr>
            </w:pPr>
            <w:r w:rsidRPr="00D14C32">
              <w:rPr>
                <w:u w:val="single"/>
              </w:rPr>
              <w:lastRenderedPageBreak/>
              <w:t xml:space="preserve">Rīkojuma projekta </w:t>
            </w:r>
            <w:r w:rsidR="00244C1A">
              <w:rPr>
                <w:u w:val="single"/>
              </w:rPr>
              <w:t>4</w:t>
            </w:r>
            <w:r w:rsidRPr="00D14C32">
              <w:rPr>
                <w:u w:val="single"/>
              </w:rPr>
              <w:t>.punkts:</w:t>
            </w:r>
          </w:p>
          <w:p w14:paraId="6933E8DF" w14:textId="77777777" w:rsidR="009A2559" w:rsidRDefault="009A2559" w:rsidP="001F28BE">
            <w:pPr>
              <w:pStyle w:val="naisc"/>
              <w:spacing w:before="0" w:after="0"/>
              <w:jc w:val="both"/>
              <w:rPr>
                <w:rFonts w:cs="Calibri"/>
                <w:sz w:val="20"/>
                <w:szCs w:val="20"/>
              </w:rPr>
            </w:pPr>
          </w:p>
          <w:p w14:paraId="0779A056" w14:textId="77777777" w:rsidR="009A2559" w:rsidRDefault="009A2559" w:rsidP="001F28BE">
            <w:pPr>
              <w:pStyle w:val="naisc"/>
              <w:spacing w:before="0" w:after="0"/>
              <w:jc w:val="both"/>
              <w:rPr>
                <w:rFonts w:cs="Calibri"/>
                <w:sz w:val="20"/>
                <w:szCs w:val="20"/>
              </w:rPr>
            </w:pPr>
          </w:p>
          <w:p w14:paraId="3FB55DD7" w14:textId="69E93762" w:rsidR="001F28BE" w:rsidRDefault="00F52EBF" w:rsidP="001F28BE">
            <w:pPr>
              <w:pStyle w:val="naisc"/>
              <w:spacing w:before="0" w:after="0"/>
              <w:jc w:val="both"/>
              <w:rPr>
                <w:rFonts w:cs="Calibri"/>
                <w:sz w:val="20"/>
                <w:szCs w:val="20"/>
              </w:rPr>
            </w:pPr>
            <w:r w:rsidRPr="00EA3BCD">
              <w:rPr>
                <w:rFonts w:cs="Calibri"/>
                <w:sz w:val="20"/>
                <w:szCs w:val="20"/>
              </w:rPr>
              <w:t>“</w:t>
            </w:r>
            <w:r w:rsidR="001F28BE" w:rsidRPr="00EA3BCD">
              <w:rPr>
                <w:rFonts w:cs="Calibri"/>
                <w:sz w:val="20"/>
                <w:szCs w:val="20"/>
              </w:rPr>
              <w:t>1.</w:t>
            </w:r>
            <w:r w:rsidR="001F28BE" w:rsidRPr="00EA3BCD">
              <w:rPr>
                <w:rFonts w:cs="Calibri"/>
                <w:sz w:val="20"/>
                <w:szCs w:val="20"/>
                <w:vertAlign w:val="superscript"/>
              </w:rPr>
              <w:t>1</w:t>
            </w:r>
            <w:r w:rsidR="001F28BE" w:rsidRPr="00EA3BCD">
              <w:rPr>
                <w:rFonts w:cs="Calibri"/>
                <w:sz w:val="20"/>
                <w:szCs w:val="20"/>
              </w:rPr>
              <w:t>Nodrošināt, ka daļa no OCTA līdzekļiem tiek piešķirti ceļu satiksmes drošības</w:t>
            </w:r>
            <w:r w:rsidR="001F28BE" w:rsidRPr="00403261">
              <w:rPr>
                <w:rFonts w:cs="Calibri"/>
                <w:sz w:val="20"/>
                <w:szCs w:val="20"/>
              </w:rPr>
              <w:t xml:space="preserve"> pētījumiem</w:t>
            </w:r>
            <w:r w:rsidR="001F28BE">
              <w:rPr>
                <w:rFonts w:cs="Calibri"/>
                <w:sz w:val="20"/>
                <w:szCs w:val="20"/>
              </w:rPr>
              <w:t xml:space="preserve"> un</w:t>
            </w:r>
            <w:r w:rsidR="001F28BE" w:rsidRPr="00403261">
              <w:rPr>
                <w:rFonts w:cs="Calibri"/>
                <w:sz w:val="20"/>
                <w:szCs w:val="20"/>
              </w:rPr>
              <w:t xml:space="preserve"> ceļu satiksmes drošības politikas plānotājiem ir pieejams aktuāls situācijas izvērtējums par būtiskiem ceļu satiksmes drošības riskiem/faktoriem, kas ietekmē satiksmes drošību.</w:t>
            </w:r>
          </w:p>
          <w:p w14:paraId="2BDDE942" w14:textId="77777777" w:rsidR="001F28BE" w:rsidRDefault="001F28BE" w:rsidP="001F28BE">
            <w:pPr>
              <w:pStyle w:val="naisc"/>
              <w:spacing w:before="0" w:after="0"/>
              <w:jc w:val="both"/>
              <w:rPr>
                <w:rFonts w:cs="Calibri"/>
                <w:sz w:val="20"/>
                <w:szCs w:val="20"/>
              </w:rPr>
            </w:pPr>
          </w:p>
          <w:p w14:paraId="7B4A4EE2" w14:textId="77777777" w:rsidR="001F28BE" w:rsidRDefault="001F28BE" w:rsidP="001F28BE">
            <w:pPr>
              <w:pStyle w:val="naisc"/>
              <w:spacing w:before="0" w:after="0"/>
              <w:jc w:val="both"/>
              <w:rPr>
                <w:rFonts w:cs="Calibri"/>
                <w:sz w:val="20"/>
                <w:szCs w:val="20"/>
              </w:rPr>
            </w:pPr>
            <w:r>
              <w:rPr>
                <w:rFonts w:cs="Calibri"/>
                <w:sz w:val="20"/>
                <w:szCs w:val="20"/>
              </w:rPr>
              <w:t xml:space="preserve">Darbības rezultāts: </w:t>
            </w:r>
            <w:r w:rsidRPr="00403261">
              <w:rPr>
                <w:rFonts w:cs="Calibri"/>
                <w:sz w:val="20"/>
                <w:szCs w:val="20"/>
              </w:rPr>
              <w:t>Nodrošināta iespēja ceļu satiksmes drošības politikas plānotājiem iegūt izvērtējumu par aktuāliem un būtiskiem riskiem, kas ietekmē satiksmes drošību.</w:t>
            </w:r>
          </w:p>
          <w:p w14:paraId="6CC11FFF" w14:textId="77777777" w:rsidR="001F28BE" w:rsidRDefault="001F28BE" w:rsidP="001F28BE">
            <w:pPr>
              <w:pStyle w:val="naisc"/>
              <w:spacing w:before="0" w:after="0"/>
              <w:jc w:val="both"/>
              <w:rPr>
                <w:rFonts w:cs="Calibri"/>
                <w:sz w:val="20"/>
                <w:szCs w:val="20"/>
              </w:rPr>
            </w:pPr>
          </w:p>
          <w:p w14:paraId="6F69A8BA" w14:textId="686EF04E" w:rsidR="00457B20" w:rsidRDefault="001F28BE" w:rsidP="001C15F9">
            <w:pPr>
              <w:pStyle w:val="naisc"/>
              <w:spacing w:before="0" w:after="0"/>
              <w:jc w:val="both"/>
              <w:rPr>
                <w:rFonts w:cs="Calibri"/>
                <w:sz w:val="20"/>
                <w:szCs w:val="20"/>
              </w:rPr>
            </w:pPr>
            <w:r>
              <w:rPr>
                <w:rFonts w:cs="Calibri"/>
                <w:sz w:val="20"/>
                <w:szCs w:val="20"/>
              </w:rPr>
              <w:lastRenderedPageBreak/>
              <w:t xml:space="preserve">Rezultatīvais rādītājs: </w:t>
            </w:r>
            <w:r w:rsidRPr="00403261">
              <w:rPr>
                <w:rFonts w:cs="Calibri"/>
                <w:sz w:val="20"/>
                <w:szCs w:val="20"/>
              </w:rPr>
              <w:t>Veikti 2-5 pētījumi ceļu satiksmes drošības jomā par aktuālām un būtiskām tēmām.</w:t>
            </w:r>
            <w:r w:rsidR="001C15F9">
              <w:rPr>
                <w:rFonts w:cs="Calibri"/>
                <w:sz w:val="20"/>
                <w:szCs w:val="20"/>
              </w:rPr>
              <w:t>”.</w:t>
            </w:r>
          </w:p>
          <w:p w14:paraId="437ADCC2" w14:textId="77777777" w:rsidR="00DA5A84" w:rsidRDefault="00DA5A84" w:rsidP="001F28BE">
            <w:pPr>
              <w:pStyle w:val="naisc"/>
              <w:spacing w:before="0" w:after="0"/>
              <w:ind w:firstLine="284"/>
              <w:rPr>
                <w:rFonts w:cs="Calibri"/>
                <w:sz w:val="20"/>
                <w:szCs w:val="20"/>
              </w:rPr>
            </w:pPr>
          </w:p>
          <w:p w14:paraId="79CC56B7" w14:textId="7DF6ED9B" w:rsidR="00DA5A84" w:rsidRPr="00126B96" w:rsidRDefault="00DA5A84" w:rsidP="001C15F9">
            <w:pPr>
              <w:pStyle w:val="naisc"/>
              <w:spacing w:before="0" w:after="0"/>
              <w:jc w:val="both"/>
            </w:pPr>
            <w:r w:rsidRPr="00DA5A84">
              <w:rPr>
                <w:rFonts w:cs="Calibri"/>
              </w:rPr>
              <w:t xml:space="preserve">Skatīt </w:t>
            </w:r>
            <w:r w:rsidR="009D2C4F" w:rsidRPr="009D2C4F">
              <w:rPr>
                <w:rFonts w:cs="Calibri"/>
              </w:rPr>
              <w:t xml:space="preserve">precizēto </w:t>
            </w:r>
            <w:r w:rsidRPr="00DA5A84">
              <w:rPr>
                <w:rFonts w:cs="Calibri"/>
              </w:rPr>
              <w:t xml:space="preserve">rīkojuma projekta </w:t>
            </w:r>
            <w:r w:rsidR="00BC270B">
              <w:rPr>
                <w:rFonts w:cs="Calibri"/>
              </w:rPr>
              <w:t>anotācij</w:t>
            </w:r>
            <w:r w:rsidR="001C15F9">
              <w:rPr>
                <w:rFonts w:cs="Calibri"/>
              </w:rPr>
              <w:t>as</w:t>
            </w:r>
            <w:r w:rsidRPr="00DA5A84">
              <w:rPr>
                <w:rFonts w:cs="Calibri"/>
              </w:rPr>
              <w:t xml:space="preserve"> I sadaļas 2.punktu.</w:t>
            </w:r>
          </w:p>
        </w:tc>
      </w:tr>
      <w:tr w:rsidR="00457B20" w14:paraId="731D5AD2" w14:textId="77777777" w:rsidTr="00457B20">
        <w:tc>
          <w:tcPr>
            <w:tcW w:w="701" w:type="dxa"/>
            <w:tcBorders>
              <w:top w:val="single" w:sz="6" w:space="0" w:color="000000"/>
              <w:left w:val="single" w:sz="6" w:space="0" w:color="000000"/>
              <w:bottom w:val="single" w:sz="6" w:space="0" w:color="000000"/>
            </w:tcBorders>
          </w:tcPr>
          <w:p w14:paraId="6ABB639D" w14:textId="0A4BF371" w:rsidR="00457B20" w:rsidRPr="00126B96" w:rsidRDefault="009A2559" w:rsidP="009A2559">
            <w:pPr>
              <w:pStyle w:val="naisc"/>
              <w:spacing w:before="0" w:after="0"/>
              <w:jc w:val="left"/>
            </w:pPr>
            <w:r>
              <w:lastRenderedPageBreak/>
              <w:t>2.</w:t>
            </w:r>
          </w:p>
        </w:tc>
        <w:tc>
          <w:tcPr>
            <w:tcW w:w="3686" w:type="dxa"/>
            <w:gridSpan w:val="2"/>
            <w:tcBorders>
              <w:top w:val="single" w:sz="6" w:space="0" w:color="000000"/>
              <w:left w:val="single" w:sz="6" w:space="0" w:color="000000"/>
              <w:bottom w:val="single" w:sz="6" w:space="0" w:color="000000"/>
            </w:tcBorders>
          </w:tcPr>
          <w:p w14:paraId="4C655099" w14:textId="77777777" w:rsidR="00097E13" w:rsidRPr="00D14C32" w:rsidRDefault="00097E13" w:rsidP="00097E13">
            <w:pPr>
              <w:pStyle w:val="naisc"/>
              <w:spacing w:before="0" w:after="0"/>
              <w:jc w:val="both"/>
              <w:rPr>
                <w:u w:val="single"/>
              </w:rPr>
            </w:pPr>
            <w:r w:rsidRPr="00D14C32">
              <w:rPr>
                <w:u w:val="single"/>
              </w:rPr>
              <w:t>Rīkojuma projekta 2.punkts:</w:t>
            </w:r>
          </w:p>
          <w:p w14:paraId="3DFA3F24" w14:textId="77777777" w:rsidR="00097E13" w:rsidRDefault="00097E13" w:rsidP="00097E13">
            <w:pPr>
              <w:pStyle w:val="naisc"/>
              <w:spacing w:before="0" w:after="0"/>
              <w:jc w:val="both"/>
              <w:rPr>
                <w:rFonts w:cs="Calibri"/>
                <w:sz w:val="20"/>
                <w:szCs w:val="20"/>
              </w:rPr>
            </w:pPr>
          </w:p>
          <w:p w14:paraId="1C3FFCC5" w14:textId="2A0CFBEC" w:rsidR="00457B20" w:rsidRDefault="00F52EBF" w:rsidP="00097E13">
            <w:pPr>
              <w:pStyle w:val="naisc"/>
              <w:spacing w:before="0" w:after="0"/>
              <w:ind w:firstLine="284"/>
              <w:jc w:val="both"/>
              <w:rPr>
                <w:rFonts w:cs="Calibri"/>
                <w:sz w:val="20"/>
                <w:szCs w:val="20"/>
              </w:rPr>
            </w:pPr>
            <w:r>
              <w:rPr>
                <w:rFonts w:cs="Calibri"/>
                <w:sz w:val="20"/>
                <w:szCs w:val="20"/>
              </w:rPr>
              <w:t>“</w:t>
            </w:r>
            <w:r w:rsidR="00097E13">
              <w:rPr>
                <w:rFonts w:cs="Calibri"/>
                <w:sz w:val="20"/>
                <w:szCs w:val="20"/>
              </w:rPr>
              <w:t>1.</w:t>
            </w:r>
            <w:r w:rsidR="00097E13" w:rsidRPr="00097E13">
              <w:rPr>
                <w:rFonts w:cs="Calibri"/>
                <w:sz w:val="20"/>
                <w:szCs w:val="20"/>
                <w:vertAlign w:val="superscript"/>
              </w:rPr>
              <w:t>2</w:t>
            </w:r>
            <w:r w:rsidR="00097E13">
              <w:rPr>
                <w:rFonts w:cs="Calibri"/>
                <w:sz w:val="20"/>
                <w:szCs w:val="20"/>
                <w:vertAlign w:val="superscript"/>
              </w:rPr>
              <w:t xml:space="preserve"> </w:t>
            </w:r>
            <w:r w:rsidR="00097E13" w:rsidRPr="00403261">
              <w:rPr>
                <w:rFonts w:cs="Calibri"/>
                <w:sz w:val="20"/>
                <w:szCs w:val="20"/>
              </w:rPr>
              <w:t>Veikt Ceļu satiksmes drošības plāna 2017.-2020.gadam ietekmes izvērtējumu un rīcības politikas prioritātes ceļu satiksmes drošības jomā laika periodā 2020.-2030.gads.</w:t>
            </w:r>
          </w:p>
          <w:p w14:paraId="5DD0DBBE" w14:textId="77777777" w:rsidR="00097E13" w:rsidRDefault="00097E13" w:rsidP="00097E13">
            <w:pPr>
              <w:pStyle w:val="naisc"/>
              <w:spacing w:before="0" w:after="0"/>
              <w:ind w:firstLine="284"/>
              <w:jc w:val="both"/>
              <w:rPr>
                <w:rFonts w:cs="Calibri"/>
                <w:sz w:val="20"/>
                <w:szCs w:val="20"/>
              </w:rPr>
            </w:pPr>
          </w:p>
          <w:p w14:paraId="4595A51F" w14:textId="15ED1719" w:rsidR="00097E13" w:rsidRDefault="00097E13" w:rsidP="00097E13">
            <w:pPr>
              <w:pStyle w:val="naisc"/>
              <w:spacing w:before="0" w:after="0"/>
              <w:jc w:val="both"/>
              <w:rPr>
                <w:rFonts w:cs="Calibri"/>
                <w:sz w:val="20"/>
                <w:szCs w:val="20"/>
              </w:rPr>
            </w:pPr>
            <w:r>
              <w:rPr>
                <w:rFonts w:cs="Calibri"/>
                <w:sz w:val="20"/>
                <w:szCs w:val="20"/>
              </w:rPr>
              <w:t xml:space="preserve">Darbības rezultāts: </w:t>
            </w:r>
          </w:p>
          <w:p w14:paraId="4EDB6E13" w14:textId="712C429C" w:rsidR="00097E13" w:rsidRDefault="00097E13" w:rsidP="00097E13">
            <w:pPr>
              <w:pStyle w:val="naisc"/>
              <w:spacing w:before="0" w:after="0"/>
              <w:jc w:val="both"/>
              <w:rPr>
                <w:rFonts w:cs="Calibri"/>
                <w:sz w:val="20"/>
                <w:szCs w:val="20"/>
              </w:rPr>
            </w:pPr>
            <w:r w:rsidRPr="00403261">
              <w:rPr>
                <w:rFonts w:cs="Calibri"/>
                <w:sz w:val="20"/>
                <w:szCs w:val="20"/>
              </w:rPr>
              <w:t>Veikt esošā ceļu satiksmes drošības politikas plānošanas dokumenta ietekmes izvērtēšana un   sagatavotas rīcības politikas prioritātes ceļu satiksmes drošības jomā nākamajam plānošanas periodam.</w:t>
            </w:r>
          </w:p>
          <w:p w14:paraId="531A9B2E" w14:textId="77777777" w:rsidR="00097E13" w:rsidRDefault="00097E13" w:rsidP="00097E13">
            <w:pPr>
              <w:pStyle w:val="naisc"/>
              <w:spacing w:before="0" w:after="0"/>
              <w:jc w:val="both"/>
              <w:rPr>
                <w:rFonts w:cs="Calibri"/>
                <w:sz w:val="20"/>
                <w:szCs w:val="20"/>
              </w:rPr>
            </w:pPr>
          </w:p>
          <w:p w14:paraId="18EC6803" w14:textId="77777777" w:rsidR="00097E13" w:rsidRDefault="00097E13" w:rsidP="00097E13">
            <w:pPr>
              <w:pStyle w:val="naisc"/>
              <w:spacing w:before="0" w:after="0"/>
              <w:jc w:val="both"/>
              <w:rPr>
                <w:rFonts w:cs="Calibri"/>
                <w:sz w:val="20"/>
                <w:szCs w:val="20"/>
              </w:rPr>
            </w:pPr>
          </w:p>
          <w:p w14:paraId="4A043E07" w14:textId="77777777" w:rsidR="00097E13" w:rsidRDefault="00097E13" w:rsidP="00097E13">
            <w:pPr>
              <w:pStyle w:val="naisc"/>
              <w:spacing w:before="0" w:after="0"/>
              <w:jc w:val="both"/>
              <w:rPr>
                <w:rFonts w:cs="Calibri"/>
                <w:sz w:val="20"/>
                <w:szCs w:val="20"/>
              </w:rPr>
            </w:pPr>
            <w:r>
              <w:rPr>
                <w:rFonts w:cs="Calibri"/>
                <w:sz w:val="20"/>
                <w:szCs w:val="20"/>
              </w:rPr>
              <w:t xml:space="preserve">Rezultatīvais rādītājs: </w:t>
            </w:r>
          </w:p>
          <w:p w14:paraId="31E972B3" w14:textId="075EAC8C" w:rsidR="00097E13" w:rsidRPr="00126B96" w:rsidRDefault="00097E13" w:rsidP="00097E13">
            <w:pPr>
              <w:pStyle w:val="naisc"/>
              <w:spacing w:before="0" w:after="0"/>
              <w:jc w:val="both"/>
            </w:pPr>
            <w:r w:rsidRPr="00403261">
              <w:rPr>
                <w:rFonts w:cs="Calibri"/>
                <w:sz w:val="20"/>
                <w:szCs w:val="20"/>
              </w:rPr>
              <w:t>Veikts 1 pētījums.</w:t>
            </w:r>
            <w:r w:rsidR="00F52EBF">
              <w:rPr>
                <w:rFonts w:cs="Calibri"/>
                <w:sz w:val="20"/>
                <w:szCs w:val="20"/>
              </w:rPr>
              <w:t xml:space="preserve">    … “</w:t>
            </w:r>
          </w:p>
        </w:tc>
        <w:tc>
          <w:tcPr>
            <w:tcW w:w="3969" w:type="dxa"/>
            <w:gridSpan w:val="2"/>
            <w:tcBorders>
              <w:top w:val="single" w:sz="6" w:space="0" w:color="000000"/>
              <w:left w:val="single" w:sz="6" w:space="0" w:color="000000"/>
              <w:bottom w:val="single" w:sz="6" w:space="0" w:color="000000"/>
            </w:tcBorders>
          </w:tcPr>
          <w:p w14:paraId="527AB4E0" w14:textId="6A27603F" w:rsidR="009A2559" w:rsidRPr="00B5734C" w:rsidRDefault="009A2559" w:rsidP="00D720FC">
            <w:pPr>
              <w:pStyle w:val="NoSpacing"/>
              <w:rPr>
                <w:rFonts w:eastAsia="Times New Roman"/>
              </w:rPr>
            </w:pPr>
            <w:r>
              <w:rPr>
                <w:rFonts w:eastAsia="Times New Roman"/>
              </w:rPr>
              <w:t>2)</w:t>
            </w:r>
            <w:r w:rsidRPr="00B5734C">
              <w:rPr>
                <w:rFonts w:eastAsia="Times New Roman"/>
              </w:rPr>
              <w:t xml:space="preserve">Lūdzam precizēt rīkojuma projekta 2.punktu, norādot tabulas </w:t>
            </w:r>
            <w:r w:rsidRPr="00B5734C">
              <w:rPr>
                <w:rFonts w:eastAsia="Times New Roman"/>
                <w:lang w:eastAsia="lv-LV"/>
              </w:rPr>
              <w:t>1.</w:t>
            </w:r>
            <w:r w:rsidRPr="00B5734C">
              <w:rPr>
                <w:vertAlign w:val="superscript"/>
              </w:rPr>
              <w:t xml:space="preserve">2 </w:t>
            </w:r>
            <w:r w:rsidRPr="00B5734C">
              <w:rPr>
                <w:rFonts w:eastAsia="Times New Roman"/>
              </w:rPr>
              <w:t xml:space="preserve">punktā to vai tiek plānots/ netiek plānots izstrādāt  jaunu </w:t>
            </w:r>
            <w:r w:rsidRPr="00B5734C">
              <w:rPr>
                <w:lang w:eastAsia="lv-LV"/>
              </w:rPr>
              <w:t xml:space="preserve">Ceļu satiksmes drošības plānu nākamajam periodam  un atkarībā no tā vai tiks veikts </w:t>
            </w:r>
            <w:r w:rsidRPr="00B5734C">
              <w:t>Ceļu satiksmes drošības plāna 2017.-2020.gadam gala ietekmes novērtējums, jo pašreizējā teksta redakcija neatbilst  Ministru kabineta 2014.gada 2.decembra noteikumu Nr.737 “Attīstības plānošanas dokumentu izstrādes un ietekmes izvērtēšanas noteikumi” (turpmāk – noteikumi) 4</w:t>
            </w:r>
            <w:r w:rsidRPr="00B5734C">
              <w:rPr>
                <w:rFonts w:eastAsia="Times New Roman"/>
              </w:rPr>
              <w:t xml:space="preserve">0.punktam, kas nosaka, ka </w:t>
            </w:r>
            <w:r w:rsidRPr="00B5734C">
              <w:rPr>
                <w:rFonts w:eastAsia="Times New Roman"/>
                <w:b/>
                <w:bCs/>
              </w:rPr>
              <w:t>starpposma izvērtējumu veic, lai</w:t>
            </w:r>
            <w:r w:rsidRPr="00B5734C">
              <w:rPr>
                <w:rFonts w:eastAsia="Times New Roman"/>
              </w:rPr>
              <w:t xml:space="preserve"> novērtētu īstenotās politikas ietekmi un </w:t>
            </w:r>
            <w:r w:rsidRPr="00B5734C">
              <w:rPr>
                <w:rFonts w:eastAsia="Times New Roman"/>
                <w:b/>
                <w:bCs/>
              </w:rPr>
              <w:t>pieņemtu lēmumu par vidēja termiņa politikas plānošanas dokumenta izstrādes nepieciešamību</w:t>
            </w:r>
            <w:r w:rsidRPr="00B5734C">
              <w:rPr>
                <w:rFonts w:eastAsia="Times New Roman"/>
              </w:rPr>
              <w:t xml:space="preserve"> nākamajam plānošanas periodam un </w:t>
            </w:r>
            <w:r w:rsidRPr="00B5734C">
              <w:rPr>
                <w:rFonts w:eastAsia="Times New Roman"/>
              </w:rPr>
              <w:lastRenderedPageBreak/>
              <w:t xml:space="preserve">42.2. punktam, kas nosaka, ka vidēja termiņa politikas plānošanas dokumentiem </w:t>
            </w:r>
            <w:r w:rsidRPr="00B5734C">
              <w:rPr>
                <w:rFonts w:eastAsia="Times New Roman"/>
                <w:b/>
                <w:bCs/>
              </w:rPr>
              <w:t>gala ietekmes novērtējumu</w:t>
            </w:r>
            <w:r w:rsidRPr="00B5734C">
              <w:rPr>
                <w:rFonts w:eastAsia="Times New Roman"/>
              </w:rPr>
              <w:t xml:space="preserve"> </w:t>
            </w:r>
            <w:r w:rsidRPr="00B5734C">
              <w:rPr>
                <w:rFonts w:eastAsia="Times New Roman"/>
                <w:b/>
                <w:bCs/>
              </w:rPr>
              <w:t>veic tikai tad, ja</w:t>
            </w:r>
            <w:r w:rsidRPr="00B5734C">
              <w:rPr>
                <w:rFonts w:eastAsia="Times New Roman"/>
              </w:rPr>
              <w:t xml:space="preserve"> saskaņā ar šo noteikumu 40.punktu </w:t>
            </w:r>
            <w:r w:rsidRPr="00B5734C">
              <w:rPr>
                <w:rFonts w:eastAsia="Times New Roman"/>
                <w:b/>
                <w:bCs/>
              </w:rPr>
              <w:t>netiek pieņemts lēmums par vidēja termiņa politikas plānošanas dokumenta izstrādes nepieciešamību</w:t>
            </w:r>
            <w:r w:rsidRPr="00B5734C">
              <w:rPr>
                <w:rFonts w:eastAsia="Times New Roman"/>
              </w:rPr>
              <w:t xml:space="preserve"> nākamajam plānošanas periodam</w:t>
            </w:r>
            <w:r w:rsidRPr="00B5734C">
              <w:t>;</w:t>
            </w:r>
          </w:p>
          <w:p w14:paraId="63E20FBF" w14:textId="77777777" w:rsidR="00457B20" w:rsidRPr="00126B96" w:rsidRDefault="00457B20" w:rsidP="00800B51">
            <w:pPr>
              <w:pStyle w:val="naisc"/>
              <w:spacing w:before="0" w:after="0"/>
              <w:ind w:firstLine="284"/>
            </w:pPr>
          </w:p>
        </w:tc>
        <w:tc>
          <w:tcPr>
            <w:tcW w:w="3260" w:type="dxa"/>
            <w:tcBorders>
              <w:top w:val="single" w:sz="6" w:space="0" w:color="000000"/>
              <w:left w:val="single" w:sz="6" w:space="0" w:color="000000"/>
              <w:bottom w:val="single" w:sz="6" w:space="0" w:color="000000"/>
            </w:tcBorders>
          </w:tcPr>
          <w:p w14:paraId="47A7FA48" w14:textId="4347F419" w:rsidR="009A2559" w:rsidRPr="00126B96" w:rsidRDefault="009A2559" w:rsidP="001C15F9">
            <w:pPr>
              <w:pStyle w:val="naisc"/>
              <w:spacing w:before="0" w:after="0"/>
              <w:ind w:firstLine="284"/>
              <w:rPr>
                <w:b/>
              </w:rPr>
            </w:pPr>
            <w:r w:rsidRPr="00126B96">
              <w:rPr>
                <w:b/>
              </w:rPr>
              <w:lastRenderedPageBreak/>
              <w:t>Iebildums ņemts vērā.</w:t>
            </w:r>
          </w:p>
          <w:p w14:paraId="5881C957" w14:textId="77777777" w:rsidR="009D68CA" w:rsidRDefault="009A2559" w:rsidP="00F60A1E">
            <w:pPr>
              <w:jc w:val="both"/>
            </w:pPr>
            <w:r>
              <w:t xml:space="preserve">Satiksmes ministrija </w:t>
            </w:r>
            <w:r w:rsidR="00F67DDD">
              <w:t>ir precizējusi rīkojuma projekta 2.punkta 1.</w:t>
            </w:r>
            <w:r w:rsidR="00F67DDD" w:rsidRPr="00F67DDD">
              <w:rPr>
                <w:vertAlign w:val="superscript"/>
              </w:rPr>
              <w:t>2</w:t>
            </w:r>
            <w:r w:rsidR="00F67DDD">
              <w:t xml:space="preserve"> pasākumu</w:t>
            </w:r>
            <w:r w:rsidR="009D68CA">
              <w:t>.</w:t>
            </w:r>
          </w:p>
          <w:p w14:paraId="298F52BE" w14:textId="08397BA9" w:rsidR="00F60A1E" w:rsidRDefault="00F60A1E" w:rsidP="00F60A1E">
            <w:pPr>
              <w:jc w:val="both"/>
              <w:rPr>
                <w:bCs/>
              </w:rPr>
            </w:pPr>
            <w:r>
              <w:t xml:space="preserve"> </w:t>
            </w:r>
            <w:r w:rsidR="009D68CA">
              <w:rPr>
                <w:bCs/>
              </w:rPr>
              <w:t>Ņ</w:t>
            </w:r>
            <w:r w:rsidRPr="004A2AC5">
              <w:rPr>
                <w:bCs/>
              </w:rPr>
              <w:t>emot vērā, ka 2020.gadā noslēgsies esošā Ceļu satiksmes drošības plāna 2017.-2020.gadam īstenošanas periods, ir jāizvērtē esošā plāna ietekme, turklāt jānosaka prioritā</w:t>
            </w:r>
            <w:r>
              <w:rPr>
                <w:bCs/>
              </w:rPr>
              <w:t>ri īstenojamie rīcības virzieni un jāveic salīdzinājums dažādu alternatīvo scenāriju iete</w:t>
            </w:r>
            <w:r w:rsidR="009D68CA">
              <w:rPr>
                <w:bCs/>
              </w:rPr>
              <w:t>kmes prognozes uz mērķa izpildi. Minētā informācija ir jāizmanto nākamā īstermiņa politikas plānošanas dokumenta izstrādē laika posmam 2021.-2025.gads.</w:t>
            </w:r>
          </w:p>
          <w:p w14:paraId="09B43A98" w14:textId="2072D562" w:rsidR="00D8062A" w:rsidRDefault="00D8062A" w:rsidP="00D8062A">
            <w:pPr>
              <w:jc w:val="both"/>
            </w:pPr>
            <w:r w:rsidRPr="004A2AC5">
              <w:lastRenderedPageBreak/>
              <w:t>Balstoties uz pētījumā iegūtajiem datiem un analīzi</w:t>
            </w:r>
            <w:r w:rsidR="00156D5C">
              <w:t xml:space="preserve"> tiks</w:t>
            </w:r>
            <w:r w:rsidRPr="004A2AC5">
              <w:t>:</w:t>
            </w:r>
          </w:p>
          <w:p w14:paraId="62389E60" w14:textId="77777777" w:rsidR="00D8062A" w:rsidRDefault="00D8062A" w:rsidP="00D8062A">
            <w:pPr>
              <w:jc w:val="both"/>
            </w:pPr>
            <w:r>
              <w:t>1. Izstrādāts Ceļu satiksmes drošības plānā 2017.-2020.gadam ietverto pasākumu un rīcības virzienu ietekmes izvērtējums, novērtēta pasākumu ietekme ceļu satiksmes drošības uzlabošanā.</w:t>
            </w:r>
          </w:p>
          <w:p w14:paraId="4FD20CD4" w14:textId="68512D14" w:rsidR="00D8062A" w:rsidRPr="008625FF" w:rsidRDefault="00D8062A" w:rsidP="00D8062A">
            <w:pPr>
              <w:jc w:val="both"/>
            </w:pPr>
            <w:r>
              <w:t xml:space="preserve">2. </w:t>
            </w:r>
            <w:r w:rsidRPr="008625FF">
              <w:t>Noteikti potenciāli efektīvākie rīcības virzie</w:t>
            </w:r>
            <w:r>
              <w:t xml:space="preserve">ni ceļu satiksmes </w:t>
            </w:r>
            <w:r w:rsidRPr="008625FF">
              <w:t>drošības uzlabošanā laika periodā 2021.-2030.gads</w:t>
            </w:r>
            <w:r>
              <w:t>, kā arī prioritāri īstenojamie pasākumi laika periodā 2021.-2025.gads</w:t>
            </w:r>
            <w:r w:rsidRPr="008625FF">
              <w:t>;</w:t>
            </w:r>
          </w:p>
          <w:p w14:paraId="4842FAEE" w14:textId="77777777" w:rsidR="00D8062A" w:rsidRPr="008625FF" w:rsidRDefault="00D8062A" w:rsidP="00D8062A">
            <w:pPr>
              <w:jc w:val="both"/>
            </w:pPr>
            <w:r>
              <w:t xml:space="preserve">3. </w:t>
            </w:r>
            <w:r w:rsidRPr="008625FF">
              <w:t>Izstrādāta metodika ceļu satiksmes drošības indikatoru (Key Performance Indicators) datu ievākšanai un analīzei;</w:t>
            </w:r>
          </w:p>
          <w:p w14:paraId="4CA1551A" w14:textId="77777777" w:rsidR="00D8062A" w:rsidRPr="008625FF" w:rsidRDefault="00D8062A" w:rsidP="00D8062A">
            <w:pPr>
              <w:jc w:val="both"/>
            </w:pPr>
            <w:r>
              <w:t>4. Sagatavoti 4 scenāriji un n</w:t>
            </w:r>
            <w:r w:rsidRPr="008625FF">
              <w:t>oteikts Latvijai piemērotākais ceļu satiksmes drošības uzlabošana rīcības virzienu scenārijs, kas nodrošina mērķa – ceļu satiksmes negadījumos bojāgāju</w:t>
            </w:r>
            <w:r>
              <w:t>š</w:t>
            </w:r>
            <w:r w:rsidRPr="008625FF">
              <w:t xml:space="preserve">o </w:t>
            </w:r>
            <w:r>
              <w:t>un ievainoto skaita samazināšanu 50</w:t>
            </w:r>
            <w:r w:rsidRPr="008625FF">
              <w:t>% apmērā laika periodā 2020.-2030.gads.</w:t>
            </w:r>
          </w:p>
          <w:p w14:paraId="7283009A" w14:textId="43825F11" w:rsidR="00457B20" w:rsidRPr="00126B96" w:rsidRDefault="00457B20" w:rsidP="00D8062A">
            <w:pPr>
              <w:jc w:val="both"/>
            </w:pPr>
          </w:p>
        </w:tc>
        <w:tc>
          <w:tcPr>
            <w:tcW w:w="3260" w:type="dxa"/>
            <w:tcBorders>
              <w:top w:val="single" w:sz="6" w:space="0" w:color="000000"/>
              <w:left w:val="single" w:sz="6" w:space="0" w:color="000000"/>
              <w:bottom w:val="single" w:sz="6" w:space="0" w:color="000000"/>
              <w:right w:val="single" w:sz="4" w:space="0" w:color="auto"/>
            </w:tcBorders>
          </w:tcPr>
          <w:p w14:paraId="0F22FBA5" w14:textId="67AB3A6D" w:rsidR="00097E13" w:rsidRPr="00D14C32" w:rsidRDefault="00097E13" w:rsidP="00097E13">
            <w:pPr>
              <w:pStyle w:val="naisc"/>
              <w:spacing w:before="0" w:after="0"/>
              <w:jc w:val="both"/>
              <w:rPr>
                <w:u w:val="single"/>
              </w:rPr>
            </w:pPr>
            <w:r w:rsidRPr="00D14C32">
              <w:rPr>
                <w:u w:val="single"/>
              </w:rPr>
              <w:lastRenderedPageBreak/>
              <w:t xml:space="preserve">Rīkojuma </w:t>
            </w:r>
            <w:r w:rsidRPr="00244C1A">
              <w:rPr>
                <w:u w:val="single"/>
              </w:rPr>
              <w:t xml:space="preserve">projekta </w:t>
            </w:r>
            <w:r w:rsidR="00244C1A" w:rsidRPr="00244C1A">
              <w:rPr>
                <w:u w:val="single"/>
              </w:rPr>
              <w:t>4.</w:t>
            </w:r>
            <w:r w:rsidRPr="00244C1A">
              <w:rPr>
                <w:u w:val="single"/>
              </w:rPr>
              <w:t>punkts</w:t>
            </w:r>
            <w:r w:rsidRPr="00D14C32">
              <w:rPr>
                <w:u w:val="single"/>
              </w:rPr>
              <w:t>:</w:t>
            </w:r>
          </w:p>
          <w:p w14:paraId="76958077" w14:textId="77777777" w:rsidR="00457B20" w:rsidRDefault="00457B20" w:rsidP="00800B51">
            <w:pPr>
              <w:pStyle w:val="naisc"/>
              <w:spacing w:before="0" w:after="0"/>
              <w:ind w:firstLine="284"/>
            </w:pPr>
          </w:p>
          <w:p w14:paraId="606E49AB" w14:textId="77777777" w:rsidR="00097E13" w:rsidRDefault="00097E13" w:rsidP="00800B51">
            <w:pPr>
              <w:pStyle w:val="naisc"/>
              <w:spacing w:before="0" w:after="0"/>
              <w:ind w:firstLine="284"/>
            </w:pPr>
          </w:p>
          <w:p w14:paraId="6B965165" w14:textId="481CB12C" w:rsidR="00097E13" w:rsidRDefault="00F52EBF" w:rsidP="00097E13">
            <w:pPr>
              <w:pStyle w:val="naisc"/>
              <w:spacing w:before="0" w:after="0"/>
              <w:ind w:firstLine="284"/>
              <w:jc w:val="both"/>
              <w:rPr>
                <w:rFonts w:cs="Calibri"/>
                <w:sz w:val="20"/>
                <w:szCs w:val="20"/>
              </w:rPr>
            </w:pPr>
            <w:r>
              <w:rPr>
                <w:rFonts w:cs="Calibri"/>
                <w:sz w:val="20"/>
                <w:szCs w:val="20"/>
              </w:rPr>
              <w:t>“</w:t>
            </w:r>
            <w:r w:rsidR="00097E13">
              <w:rPr>
                <w:rFonts w:cs="Calibri"/>
                <w:sz w:val="20"/>
                <w:szCs w:val="20"/>
              </w:rPr>
              <w:t>1.</w:t>
            </w:r>
            <w:r w:rsidR="00097E13" w:rsidRPr="00097E13">
              <w:rPr>
                <w:rFonts w:cs="Calibri"/>
                <w:sz w:val="20"/>
                <w:szCs w:val="20"/>
                <w:vertAlign w:val="superscript"/>
              </w:rPr>
              <w:t>2</w:t>
            </w:r>
            <w:r w:rsidR="00097E13">
              <w:rPr>
                <w:rFonts w:cs="Calibri"/>
                <w:sz w:val="20"/>
                <w:szCs w:val="20"/>
                <w:vertAlign w:val="superscript"/>
              </w:rPr>
              <w:t xml:space="preserve"> </w:t>
            </w:r>
            <w:r w:rsidR="00097E13" w:rsidRPr="00097E13">
              <w:rPr>
                <w:rFonts w:cs="Calibri"/>
                <w:sz w:val="20"/>
                <w:szCs w:val="20"/>
              </w:rPr>
              <w:t>Veikt Ceļu satiksmes drošības plāna 2017.-2020.gadam ietekmes izvērtējumu un identificēt  rīcības politikas prioritātes nākamajam īstermiņa politikas plānošanas dokumentam ceļu satiksmes drošības jomā laika periodā 2021.-20</w:t>
            </w:r>
            <w:r w:rsidR="009D68CA">
              <w:rPr>
                <w:rFonts w:cs="Calibri"/>
                <w:sz w:val="20"/>
                <w:szCs w:val="20"/>
              </w:rPr>
              <w:t>25</w:t>
            </w:r>
            <w:r w:rsidR="00097E13" w:rsidRPr="00097E13">
              <w:rPr>
                <w:rFonts w:cs="Calibri"/>
                <w:sz w:val="20"/>
                <w:szCs w:val="20"/>
              </w:rPr>
              <w:t>.gadam (uzstādot mērķa rādītājus laika posmam 2020.-2030.gads).</w:t>
            </w:r>
          </w:p>
          <w:p w14:paraId="00BD918C" w14:textId="77777777" w:rsidR="00097E13" w:rsidRDefault="00097E13" w:rsidP="00097E13">
            <w:pPr>
              <w:pStyle w:val="naisc"/>
              <w:spacing w:before="0" w:after="0"/>
              <w:ind w:firstLine="284"/>
              <w:jc w:val="both"/>
              <w:rPr>
                <w:rFonts w:cs="Calibri"/>
                <w:sz w:val="20"/>
                <w:szCs w:val="20"/>
              </w:rPr>
            </w:pPr>
          </w:p>
          <w:p w14:paraId="3E611E1D" w14:textId="77777777" w:rsidR="00097E13" w:rsidRDefault="00097E13" w:rsidP="00097E13">
            <w:pPr>
              <w:pStyle w:val="naisc"/>
              <w:spacing w:before="0" w:after="0"/>
              <w:jc w:val="both"/>
              <w:rPr>
                <w:rFonts w:cs="Calibri"/>
                <w:sz w:val="20"/>
                <w:szCs w:val="20"/>
              </w:rPr>
            </w:pPr>
            <w:r>
              <w:rPr>
                <w:rFonts w:cs="Calibri"/>
                <w:sz w:val="20"/>
                <w:szCs w:val="20"/>
              </w:rPr>
              <w:t xml:space="preserve">Darbības rezultāts: </w:t>
            </w:r>
          </w:p>
          <w:p w14:paraId="2ECD0B7D" w14:textId="784AD6BA" w:rsidR="00097E13" w:rsidRDefault="00097E13" w:rsidP="00097E13">
            <w:pPr>
              <w:pStyle w:val="naisc"/>
              <w:spacing w:before="0" w:after="0"/>
              <w:jc w:val="both"/>
            </w:pPr>
            <w:r w:rsidRPr="00097E13">
              <w:rPr>
                <w:rFonts w:cs="Calibri"/>
                <w:sz w:val="20"/>
                <w:szCs w:val="20"/>
              </w:rPr>
              <w:t>Veikt esošā ceļu satiksmes drošības politikas plānošanas dokumenta ietekmes izvērtēšana un   sagatavotas rīcības politikas prioritātes politikas plānošanas dokumentam ceļu satiksmes drošības jomā nākamajam plānošanas periodam.</w:t>
            </w:r>
          </w:p>
          <w:p w14:paraId="5B13D299" w14:textId="77777777" w:rsidR="00097E13" w:rsidRDefault="00097E13" w:rsidP="001C15F9">
            <w:pPr>
              <w:pStyle w:val="naisc"/>
              <w:spacing w:before="0" w:after="0"/>
              <w:jc w:val="both"/>
            </w:pPr>
          </w:p>
          <w:p w14:paraId="1CC09E82" w14:textId="77777777" w:rsidR="00097E13" w:rsidRDefault="00097E13" w:rsidP="00097E13">
            <w:pPr>
              <w:pStyle w:val="naisc"/>
              <w:spacing w:before="0" w:after="0"/>
              <w:jc w:val="both"/>
              <w:rPr>
                <w:rFonts w:cs="Calibri"/>
                <w:sz w:val="20"/>
                <w:szCs w:val="20"/>
              </w:rPr>
            </w:pPr>
            <w:r>
              <w:rPr>
                <w:rFonts w:cs="Calibri"/>
                <w:sz w:val="20"/>
                <w:szCs w:val="20"/>
              </w:rPr>
              <w:t xml:space="preserve">Rezultatīvais rādītājs: </w:t>
            </w:r>
          </w:p>
          <w:p w14:paraId="2283219C" w14:textId="5605A9D4" w:rsidR="00097E13" w:rsidRDefault="00097E13" w:rsidP="00097E13">
            <w:pPr>
              <w:pStyle w:val="naisc"/>
              <w:spacing w:before="0" w:after="0"/>
              <w:jc w:val="both"/>
            </w:pPr>
            <w:r w:rsidRPr="00403261">
              <w:rPr>
                <w:rFonts w:cs="Calibri"/>
                <w:sz w:val="20"/>
                <w:szCs w:val="20"/>
              </w:rPr>
              <w:t>Veikts 1 pētījums.</w:t>
            </w:r>
            <w:r w:rsidR="00F52EBF">
              <w:rPr>
                <w:rFonts w:cs="Calibri"/>
                <w:sz w:val="20"/>
                <w:szCs w:val="20"/>
              </w:rPr>
              <w:t xml:space="preserve"> …. “</w:t>
            </w:r>
          </w:p>
          <w:p w14:paraId="26BB1B91" w14:textId="7DFB9A29" w:rsidR="00435FFF" w:rsidRPr="00097E13" w:rsidRDefault="00435FFF" w:rsidP="001C15F9">
            <w:pPr>
              <w:pStyle w:val="naisc"/>
              <w:spacing w:before="0" w:after="0"/>
              <w:jc w:val="both"/>
            </w:pPr>
            <w:r w:rsidRPr="00DA5A84">
              <w:rPr>
                <w:rFonts w:cs="Calibri"/>
              </w:rPr>
              <w:lastRenderedPageBreak/>
              <w:t>Skatīt</w:t>
            </w:r>
            <w:r>
              <w:rPr>
                <w:rFonts w:cs="Calibri"/>
              </w:rPr>
              <w:t xml:space="preserve"> </w:t>
            </w:r>
            <w:r w:rsidR="009D2C4F" w:rsidRPr="009D2C4F">
              <w:rPr>
                <w:rFonts w:cs="Calibri"/>
              </w:rPr>
              <w:t xml:space="preserve">precizēto </w:t>
            </w:r>
            <w:r w:rsidRPr="00DA5A84">
              <w:rPr>
                <w:rFonts w:cs="Calibri"/>
              </w:rPr>
              <w:t>rīkojuma projekta anotācijas I sadaļas 2.punktu.</w:t>
            </w:r>
          </w:p>
        </w:tc>
      </w:tr>
      <w:tr w:rsidR="00457B20" w14:paraId="75FB9CF4" w14:textId="77777777" w:rsidTr="00457B20">
        <w:tc>
          <w:tcPr>
            <w:tcW w:w="701" w:type="dxa"/>
            <w:tcBorders>
              <w:top w:val="single" w:sz="6" w:space="0" w:color="000000"/>
              <w:left w:val="single" w:sz="6" w:space="0" w:color="000000"/>
              <w:bottom w:val="single" w:sz="6" w:space="0" w:color="000000"/>
            </w:tcBorders>
          </w:tcPr>
          <w:p w14:paraId="48321FA0" w14:textId="16F94CBA" w:rsidR="00457B20" w:rsidRPr="00126B96" w:rsidRDefault="00435FFF" w:rsidP="00435FFF">
            <w:pPr>
              <w:pStyle w:val="naisc"/>
              <w:spacing w:before="0" w:after="0"/>
              <w:jc w:val="left"/>
            </w:pPr>
            <w:r>
              <w:lastRenderedPageBreak/>
              <w:t xml:space="preserve">  3. </w:t>
            </w:r>
          </w:p>
        </w:tc>
        <w:tc>
          <w:tcPr>
            <w:tcW w:w="3686" w:type="dxa"/>
            <w:gridSpan w:val="2"/>
            <w:tcBorders>
              <w:top w:val="single" w:sz="6" w:space="0" w:color="000000"/>
              <w:left w:val="single" w:sz="6" w:space="0" w:color="000000"/>
              <w:bottom w:val="single" w:sz="6" w:space="0" w:color="000000"/>
            </w:tcBorders>
          </w:tcPr>
          <w:p w14:paraId="146596BA" w14:textId="77777777" w:rsidR="00457B20" w:rsidRPr="00D14C32" w:rsidRDefault="00181629" w:rsidP="00181629">
            <w:pPr>
              <w:pStyle w:val="naisc"/>
              <w:spacing w:before="0" w:after="0"/>
              <w:jc w:val="left"/>
              <w:rPr>
                <w:u w:val="single"/>
              </w:rPr>
            </w:pPr>
            <w:r w:rsidRPr="00D14C32">
              <w:rPr>
                <w:u w:val="single"/>
              </w:rPr>
              <w:t>Rīkojuma projekta 7.punkts:</w:t>
            </w:r>
          </w:p>
          <w:p w14:paraId="18542C06" w14:textId="77777777" w:rsidR="007573C7" w:rsidRDefault="007573C7" w:rsidP="00181629">
            <w:pPr>
              <w:pStyle w:val="naisc"/>
              <w:spacing w:before="0" w:after="0"/>
              <w:jc w:val="left"/>
            </w:pPr>
          </w:p>
          <w:p w14:paraId="50C44B3A" w14:textId="79BCFF4B" w:rsidR="007573C7" w:rsidRDefault="00F52EBF" w:rsidP="007573C7">
            <w:pPr>
              <w:pStyle w:val="naisc"/>
              <w:spacing w:before="0" w:after="0"/>
              <w:jc w:val="both"/>
              <w:rPr>
                <w:sz w:val="20"/>
                <w:szCs w:val="20"/>
              </w:rPr>
            </w:pPr>
            <w:r>
              <w:rPr>
                <w:sz w:val="20"/>
                <w:szCs w:val="20"/>
              </w:rPr>
              <w:t>“</w:t>
            </w:r>
            <w:r w:rsidR="007573C7" w:rsidRPr="00E95688">
              <w:rPr>
                <w:sz w:val="20"/>
                <w:szCs w:val="20"/>
              </w:rPr>
              <w:t>3.</w:t>
            </w:r>
            <w:r w:rsidR="007573C7" w:rsidRPr="00E95688">
              <w:rPr>
                <w:sz w:val="20"/>
                <w:szCs w:val="20"/>
                <w:vertAlign w:val="superscript"/>
              </w:rPr>
              <w:t>1</w:t>
            </w:r>
            <w:r w:rsidR="007573C7">
              <w:rPr>
                <w:sz w:val="20"/>
                <w:szCs w:val="20"/>
                <w:vertAlign w:val="superscript"/>
              </w:rPr>
              <w:t xml:space="preserve"> </w:t>
            </w:r>
            <w:r w:rsidR="007573C7">
              <w:rPr>
                <w:sz w:val="20"/>
                <w:szCs w:val="20"/>
              </w:rPr>
              <w:t>Veikt izvērtējumu</w:t>
            </w:r>
            <w:r w:rsidR="007573C7" w:rsidRPr="004A1664">
              <w:rPr>
                <w:sz w:val="20"/>
                <w:szCs w:val="20"/>
              </w:rPr>
              <w:t>, kā pielāgot infrastruktūru, lai ierobežotu apdzīšanas manevru apzīmētos krustojumos.</w:t>
            </w:r>
          </w:p>
          <w:p w14:paraId="1586C6D7" w14:textId="77777777" w:rsidR="007573C7" w:rsidRDefault="007573C7" w:rsidP="00181629">
            <w:pPr>
              <w:pStyle w:val="naisc"/>
              <w:spacing w:before="0" w:after="0"/>
              <w:jc w:val="left"/>
              <w:rPr>
                <w:sz w:val="20"/>
                <w:szCs w:val="20"/>
              </w:rPr>
            </w:pPr>
          </w:p>
          <w:p w14:paraId="6E86E69E" w14:textId="77777777" w:rsidR="007573C7" w:rsidRDefault="007573C7" w:rsidP="00181629">
            <w:pPr>
              <w:pStyle w:val="naisc"/>
              <w:spacing w:before="0" w:after="0"/>
              <w:jc w:val="left"/>
              <w:rPr>
                <w:sz w:val="20"/>
                <w:szCs w:val="20"/>
              </w:rPr>
            </w:pPr>
          </w:p>
          <w:p w14:paraId="687966CA" w14:textId="77777777" w:rsidR="007573C7" w:rsidRDefault="007573C7" w:rsidP="00181629">
            <w:pPr>
              <w:pStyle w:val="naisc"/>
              <w:spacing w:before="0" w:after="0"/>
              <w:jc w:val="left"/>
              <w:rPr>
                <w:sz w:val="20"/>
                <w:szCs w:val="20"/>
              </w:rPr>
            </w:pPr>
            <w:r>
              <w:rPr>
                <w:sz w:val="20"/>
                <w:szCs w:val="20"/>
              </w:rPr>
              <w:t>Darbības rezultāts:</w:t>
            </w:r>
          </w:p>
          <w:p w14:paraId="25C449AB" w14:textId="32AF8A6B" w:rsidR="007573C7" w:rsidRDefault="007573C7" w:rsidP="007573C7">
            <w:pPr>
              <w:pStyle w:val="naisc"/>
              <w:spacing w:before="0" w:after="0"/>
              <w:jc w:val="both"/>
              <w:rPr>
                <w:sz w:val="20"/>
                <w:szCs w:val="20"/>
              </w:rPr>
            </w:pPr>
            <w:r>
              <w:rPr>
                <w:sz w:val="20"/>
                <w:szCs w:val="20"/>
              </w:rPr>
              <w:t>Veikts izvērtējums un i</w:t>
            </w:r>
            <w:r w:rsidRPr="004A1664">
              <w:rPr>
                <w:sz w:val="20"/>
                <w:szCs w:val="20"/>
              </w:rPr>
              <w:t>zveidoti ceļu satiksmes mierināšanas pasākumi, samazināti ceļu satiksmes negadījumu riski (frontālās sadursmes) krustojumos.</w:t>
            </w:r>
          </w:p>
          <w:p w14:paraId="764AF2AB" w14:textId="77777777" w:rsidR="007573C7" w:rsidRDefault="007573C7" w:rsidP="00181629">
            <w:pPr>
              <w:pStyle w:val="naisc"/>
              <w:spacing w:before="0" w:after="0"/>
              <w:jc w:val="left"/>
              <w:rPr>
                <w:sz w:val="20"/>
                <w:szCs w:val="20"/>
              </w:rPr>
            </w:pPr>
          </w:p>
          <w:p w14:paraId="344C8A40" w14:textId="77777777" w:rsidR="007573C7" w:rsidRDefault="007573C7" w:rsidP="00181629">
            <w:pPr>
              <w:pStyle w:val="naisc"/>
              <w:spacing w:before="0" w:after="0"/>
              <w:jc w:val="left"/>
              <w:rPr>
                <w:sz w:val="20"/>
                <w:szCs w:val="20"/>
              </w:rPr>
            </w:pPr>
          </w:p>
          <w:p w14:paraId="151F606B" w14:textId="77777777" w:rsidR="007573C7" w:rsidRDefault="007573C7" w:rsidP="00181629">
            <w:pPr>
              <w:pStyle w:val="naisc"/>
              <w:spacing w:before="0" w:after="0"/>
              <w:jc w:val="left"/>
              <w:rPr>
                <w:sz w:val="20"/>
                <w:szCs w:val="20"/>
              </w:rPr>
            </w:pPr>
            <w:r>
              <w:rPr>
                <w:sz w:val="20"/>
                <w:szCs w:val="20"/>
              </w:rPr>
              <w:t>Rezultatīvie rādītāji:</w:t>
            </w:r>
          </w:p>
          <w:p w14:paraId="194DC47D" w14:textId="40CC0C4B" w:rsidR="007573C7" w:rsidRDefault="007573C7" w:rsidP="00181629">
            <w:pPr>
              <w:pStyle w:val="naisc"/>
              <w:spacing w:before="0" w:after="0"/>
              <w:jc w:val="left"/>
              <w:rPr>
                <w:sz w:val="20"/>
                <w:szCs w:val="20"/>
              </w:rPr>
            </w:pPr>
            <w:r w:rsidRPr="004A1664">
              <w:rPr>
                <w:sz w:val="20"/>
                <w:szCs w:val="20"/>
              </w:rPr>
              <w:t>Ieviesti tehniski infrastruktūras risinājumi apdzīšanas manevra ierobežošanai.</w:t>
            </w:r>
          </w:p>
          <w:p w14:paraId="6F006871" w14:textId="77777777" w:rsidR="007573C7" w:rsidRDefault="007573C7" w:rsidP="00181629">
            <w:pPr>
              <w:pStyle w:val="naisc"/>
              <w:spacing w:before="0" w:after="0"/>
              <w:jc w:val="left"/>
              <w:rPr>
                <w:sz w:val="20"/>
                <w:szCs w:val="20"/>
              </w:rPr>
            </w:pPr>
          </w:p>
          <w:p w14:paraId="629AE3AB" w14:textId="26F0D057" w:rsidR="00F52EBF" w:rsidRDefault="00F52EBF" w:rsidP="00181629">
            <w:pPr>
              <w:pStyle w:val="naisc"/>
              <w:spacing w:before="0" w:after="0"/>
              <w:jc w:val="left"/>
              <w:rPr>
                <w:sz w:val="20"/>
                <w:szCs w:val="20"/>
              </w:rPr>
            </w:pPr>
            <w:r>
              <w:rPr>
                <w:sz w:val="20"/>
                <w:szCs w:val="20"/>
              </w:rPr>
              <w:t>……</w:t>
            </w:r>
          </w:p>
          <w:p w14:paraId="7DB3B706" w14:textId="77777777" w:rsidR="007573C7" w:rsidRDefault="007573C7" w:rsidP="00181629">
            <w:pPr>
              <w:pStyle w:val="naisc"/>
              <w:spacing w:before="0" w:after="0"/>
              <w:jc w:val="left"/>
              <w:rPr>
                <w:sz w:val="20"/>
                <w:szCs w:val="20"/>
              </w:rPr>
            </w:pPr>
          </w:p>
          <w:p w14:paraId="7A91F49B" w14:textId="77777777" w:rsidR="00751414" w:rsidRDefault="00751414" w:rsidP="00181629">
            <w:pPr>
              <w:pStyle w:val="naisc"/>
              <w:spacing w:before="0" w:after="0"/>
              <w:jc w:val="left"/>
              <w:rPr>
                <w:sz w:val="20"/>
                <w:szCs w:val="20"/>
              </w:rPr>
            </w:pPr>
          </w:p>
          <w:p w14:paraId="72816AAC" w14:textId="77777777" w:rsidR="007573C7" w:rsidRDefault="007573C7" w:rsidP="00181629">
            <w:pPr>
              <w:pStyle w:val="naisc"/>
              <w:spacing w:before="0" w:after="0"/>
              <w:jc w:val="left"/>
              <w:rPr>
                <w:sz w:val="20"/>
                <w:szCs w:val="20"/>
              </w:rPr>
            </w:pPr>
          </w:p>
          <w:p w14:paraId="69E62E4F" w14:textId="0CA92514" w:rsidR="007573C7" w:rsidRDefault="00F00370" w:rsidP="00181629">
            <w:pPr>
              <w:pStyle w:val="naisc"/>
              <w:spacing w:before="0" w:after="0"/>
              <w:jc w:val="left"/>
              <w:rPr>
                <w:rFonts w:cs="Calibri"/>
                <w:sz w:val="20"/>
                <w:szCs w:val="20"/>
              </w:rPr>
            </w:pPr>
            <w:r w:rsidRPr="00E95688">
              <w:rPr>
                <w:sz w:val="20"/>
                <w:szCs w:val="20"/>
              </w:rPr>
              <w:t>3.</w:t>
            </w:r>
            <w:r w:rsidRPr="00E95688">
              <w:rPr>
                <w:sz w:val="20"/>
                <w:szCs w:val="20"/>
                <w:vertAlign w:val="superscript"/>
              </w:rPr>
              <w:t>4</w:t>
            </w:r>
            <w:r>
              <w:rPr>
                <w:sz w:val="20"/>
                <w:szCs w:val="20"/>
                <w:vertAlign w:val="superscript"/>
              </w:rPr>
              <w:t xml:space="preserve">  </w:t>
            </w:r>
            <w:r w:rsidRPr="00A908D5">
              <w:rPr>
                <w:rFonts w:cs="Calibri"/>
                <w:sz w:val="20"/>
                <w:szCs w:val="20"/>
              </w:rPr>
              <w:t>Izvērtēt iespējas ieviest distances apzīmējumu (prasības standartos un normatīvajos aktos) un realizēt praksē uz valsts galvenajiem autoceļiem.</w:t>
            </w:r>
            <w:r>
              <w:rPr>
                <w:rFonts w:cs="Calibri"/>
                <w:sz w:val="20"/>
                <w:szCs w:val="20"/>
              </w:rPr>
              <w:t xml:space="preserve"> </w:t>
            </w:r>
          </w:p>
          <w:p w14:paraId="500031C1" w14:textId="77777777" w:rsidR="00F00370" w:rsidRDefault="00F00370" w:rsidP="00181629">
            <w:pPr>
              <w:pStyle w:val="naisc"/>
              <w:spacing w:before="0" w:after="0"/>
              <w:jc w:val="left"/>
              <w:rPr>
                <w:rFonts w:cs="Calibri"/>
                <w:sz w:val="20"/>
                <w:szCs w:val="20"/>
              </w:rPr>
            </w:pPr>
          </w:p>
          <w:p w14:paraId="4633C89E" w14:textId="77777777" w:rsidR="00F00370" w:rsidRDefault="00F00370" w:rsidP="00F00370">
            <w:pPr>
              <w:pStyle w:val="naisc"/>
              <w:spacing w:before="0" w:after="0"/>
              <w:jc w:val="left"/>
              <w:rPr>
                <w:sz w:val="20"/>
                <w:szCs w:val="20"/>
              </w:rPr>
            </w:pPr>
          </w:p>
          <w:p w14:paraId="4BA44138" w14:textId="77777777" w:rsidR="00F00370" w:rsidRDefault="00F00370" w:rsidP="00F00370">
            <w:pPr>
              <w:pStyle w:val="naisc"/>
              <w:spacing w:before="0" w:after="0"/>
              <w:jc w:val="left"/>
              <w:rPr>
                <w:sz w:val="20"/>
                <w:szCs w:val="20"/>
              </w:rPr>
            </w:pPr>
            <w:r>
              <w:rPr>
                <w:sz w:val="20"/>
                <w:szCs w:val="20"/>
              </w:rPr>
              <w:t>Darbības rezultāts:</w:t>
            </w:r>
          </w:p>
          <w:p w14:paraId="7766E9CA" w14:textId="3CD926B6" w:rsidR="00F00370" w:rsidRDefault="00F00370" w:rsidP="00F00370">
            <w:pPr>
              <w:pStyle w:val="naisc"/>
              <w:spacing w:before="0" w:after="0"/>
              <w:jc w:val="both"/>
              <w:rPr>
                <w:sz w:val="20"/>
                <w:szCs w:val="20"/>
              </w:rPr>
            </w:pPr>
            <w:r w:rsidRPr="00A908D5">
              <w:rPr>
                <w:rFonts w:cs="Calibri"/>
                <w:sz w:val="20"/>
                <w:szCs w:val="20"/>
              </w:rPr>
              <w:t>Ieviests distances apzīmējums valsts autoceļu tīklā.</w:t>
            </w:r>
          </w:p>
          <w:p w14:paraId="4223F287" w14:textId="77777777" w:rsidR="00F00370" w:rsidRDefault="00F00370" w:rsidP="00F00370">
            <w:pPr>
              <w:pStyle w:val="naisc"/>
              <w:spacing w:before="0" w:after="0"/>
              <w:jc w:val="left"/>
              <w:rPr>
                <w:sz w:val="20"/>
                <w:szCs w:val="20"/>
              </w:rPr>
            </w:pPr>
          </w:p>
          <w:p w14:paraId="781C0087" w14:textId="77777777" w:rsidR="00F00370" w:rsidRDefault="00F00370" w:rsidP="00F00370">
            <w:pPr>
              <w:pStyle w:val="naisc"/>
              <w:spacing w:before="0" w:after="0"/>
              <w:jc w:val="left"/>
              <w:rPr>
                <w:sz w:val="20"/>
                <w:szCs w:val="20"/>
              </w:rPr>
            </w:pPr>
          </w:p>
          <w:p w14:paraId="654D32ED" w14:textId="77777777" w:rsidR="00F00370" w:rsidRDefault="00F00370" w:rsidP="00F00370">
            <w:pPr>
              <w:pStyle w:val="naisc"/>
              <w:spacing w:before="0" w:after="0"/>
              <w:jc w:val="left"/>
              <w:rPr>
                <w:sz w:val="20"/>
                <w:szCs w:val="20"/>
              </w:rPr>
            </w:pPr>
            <w:r>
              <w:rPr>
                <w:sz w:val="20"/>
                <w:szCs w:val="20"/>
              </w:rPr>
              <w:t>Rezultatīvie rādītāji:</w:t>
            </w:r>
          </w:p>
          <w:p w14:paraId="32818983" w14:textId="4B6894A6" w:rsidR="00F00370" w:rsidRDefault="00F00370" w:rsidP="00181629">
            <w:pPr>
              <w:pStyle w:val="naisc"/>
              <w:spacing w:before="0" w:after="0"/>
              <w:jc w:val="left"/>
              <w:rPr>
                <w:rFonts w:cs="Calibri"/>
                <w:sz w:val="20"/>
                <w:szCs w:val="20"/>
              </w:rPr>
            </w:pPr>
            <w:r w:rsidRPr="00A908D5">
              <w:rPr>
                <w:rFonts w:cs="Calibri"/>
                <w:sz w:val="20"/>
                <w:szCs w:val="20"/>
              </w:rPr>
              <w:t xml:space="preserve">Veiktas izmaiņas Latvijas standartā LVS 85 “Ceļa apzīmējumi” un Ministru </w:t>
            </w:r>
            <w:r w:rsidRPr="00A908D5">
              <w:rPr>
                <w:rFonts w:cs="Calibri"/>
                <w:sz w:val="20"/>
                <w:szCs w:val="20"/>
              </w:rPr>
              <w:lastRenderedPageBreak/>
              <w:t xml:space="preserve">kabineta </w:t>
            </w:r>
            <w:r w:rsidRPr="0005314F">
              <w:rPr>
                <w:rFonts w:cs="Calibri"/>
                <w:sz w:val="20"/>
                <w:szCs w:val="20"/>
              </w:rPr>
              <w:t xml:space="preserve">2015.gada 2.jūnija </w:t>
            </w:r>
            <w:r w:rsidRPr="00A908D5">
              <w:rPr>
                <w:rFonts w:cs="Calibri"/>
                <w:sz w:val="20"/>
                <w:szCs w:val="20"/>
              </w:rPr>
              <w:t>noteikumos Nr.27</w:t>
            </w:r>
            <w:r w:rsidRPr="004A1664">
              <w:rPr>
                <w:rFonts w:cs="Calibri"/>
                <w:sz w:val="20"/>
                <w:szCs w:val="20"/>
              </w:rPr>
              <w:t>9 “Ceļu satiksmes noteikumi”.</w:t>
            </w:r>
          </w:p>
          <w:p w14:paraId="2E853C9C" w14:textId="56DF0367" w:rsidR="00F00370" w:rsidRPr="00F00370" w:rsidRDefault="00F52EBF" w:rsidP="00181629">
            <w:pPr>
              <w:pStyle w:val="naisc"/>
              <w:spacing w:before="0" w:after="0"/>
              <w:jc w:val="left"/>
              <w:rPr>
                <w:sz w:val="20"/>
                <w:szCs w:val="20"/>
              </w:rPr>
            </w:pPr>
            <w:r>
              <w:rPr>
                <w:sz w:val="20"/>
                <w:szCs w:val="20"/>
              </w:rPr>
              <w:t xml:space="preserve"> .. “</w:t>
            </w:r>
          </w:p>
          <w:p w14:paraId="45F42859" w14:textId="369F3775" w:rsidR="007573C7" w:rsidRPr="007573C7" w:rsidRDefault="007573C7" w:rsidP="00181629">
            <w:pPr>
              <w:pStyle w:val="naisc"/>
              <w:spacing w:before="0" w:after="0"/>
              <w:jc w:val="left"/>
            </w:pPr>
          </w:p>
        </w:tc>
        <w:tc>
          <w:tcPr>
            <w:tcW w:w="3969" w:type="dxa"/>
            <w:gridSpan w:val="2"/>
            <w:tcBorders>
              <w:top w:val="single" w:sz="6" w:space="0" w:color="000000"/>
              <w:left w:val="single" w:sz="6" w:space="0" w:color="000000"/>
              <w:bottom w:val="single" w:sz="6" w:space="0" w:color="000000"/>
            </w:tcBorders>
          </w:tcPr>
          <w:p w14:paraId="42BCB566" w14:textId="5F01233E" w:rsidR="00457B20" w:rsidRPr="00126B96" w:rsidRDefault="00181629" w:rsidP="001C15F9">
            <w:pPr>
              <w:pStyle w:val="naisc"/>
              <w:numPr>
                <w:ilvl w:val="0"/>
                <w:numId w:val="27"/>
              </w:numPr>
              <w:spacing w:before="0" w:after="0"/>
              <w:ind w:left="0" w:firstLine="284"/>
              <w:jc w:val="both"/>
            </w:pPr>
            <w:r w:rsidRPr="00B5734C">
              <w:lastRenderedPageBreak/>
              <w:t>Lūdzam precizēt rīkojuma projekta 7.punktu, norādot tabulas 3.</w:t>
            </w:r>
            <w:r w:rsidRPr="00B5734C">
              <w:rPr>
                <w:vertAlign w:val="superscript"/>
              </w:rPr>
              <w:t xml:space="preserve">1 </w:t>
            </w:r>
            <w:r w:rsidRPr="00B5734C">
              <w:t>punktā un 3.</w:t>
            </w:r>
            <w:r w:rsidRPr="00B5734C">
              <w:rPr>
                <w:vertAlign w:val="superscript"/>
              </w:rPr>
              <w:t xml:space="preserve">4 </w:t>
            </w:r>
            <w:r w:rsidRPr="00B5734C">
              <w:t>punktā, ka tiks veikts izvērtējums un atkarībā no tā rezultātiem tiks plānotas turpmākās darbības, jo turpmāko darbību veikšanai jābūt atkarīgai no izvērtējuma rezultātiem, pretējā gadījumā šādam izvērtējumam būtu tikai formāls raksturs;</w:t>
            </w:r>
          </w:p>
        </w:tc>
        <w:tc>
          <w:tcPr>
            <w:tcW w:w="3260" w:type="dxa"/>
            <w:tcBorders>
              <w:top w:val="single" w:sz="6" w:space="0" w:color="000000"/>
              <w:left w:val="single" w:sz="6" w:space="0" w:color="000000"/>
              <w:bottom w:val="single" w:sz="6" w:space="0" w:color="000000"/>
            </w:tcBorders>
          </w:tcPr>
          <w:p w14:paraId="18194A08" w14:textId="77777777" w:rsidR="00181629" w:rsidRPr="00126B96" w:rsidRDefault="00181629" w:rsidP="001C15F9">
            <w:pPr>
              <w:pStyle w:val="naisc"/>
              <w:spacing w:before="0" w:after="0"/>
              <w:ind w:firstLine="284"/>
              <w:rPr>
                <w:b/>
              </w:rPr>
            </w:pPr>
            <w:r w:rsidRPr="00126B96">
              <w:rPr>
                <w:b/>
              </w:rPr>
              <w:t>Iebildums ņemts vērā.</w:t>
            </w:r>
          </w:p>
          <w:p w14:paraId="5C87E671" w14:textId="7174441A" w:rsidR="00457B20" w:rsidRPr="00126B96" w:rsidRDefault="007573C7" w:rsidP="007573C7">
            <w:pPr>
              <w:pStyle w:val="naisc"/>
              <w:spacing w:before="0" w:after="0"/>
              <w:ind w:firstLine="284"/>
              <w:jc w:val="both"/>
            </w:pPr>
            <w:r>
              <w:t>Satiksmes ministrija ir precizējusi rīkojuma projekta 7.punktu atbilstoši iebildumam.</w:t>
            </w:r>
          </w:p>
        </w:tc>
        <w:tc>
          <w:tcPr>
            <w:tcW w:w="3260" w:type="dxa"/>
            <w:tcBorders>
              <w:top w:val="single" w:sz="6" w:space="0" w:color="000000"/>
              <w:left w:val="single" w:sz="6" w:space="0" w:color="000000"/>
              <w:bottom w:val="single" w:sz="6" w:space="0" w:color="000000"/>
              <w:right w:val="single" w:sz="4" w:space="0" w:color="auto"/>
            </w:tcBorders>
          </w:tcPr>
          <w:p w14:paraId="63745625" w14:textId="052A7765" w:rsidR="00457B20" w:rsidRPr="00D14C32" w:rsidRDefault="00181629" w:rsidP="00181629">
            <w:pPr>
              <w:pStyle w:val="naisc"/>
              <w:spacing w:before="0" w:after="0"/>
              <w:jc w:val="left"/>
              <w:rPr>
                <w:u w:val="single"/>
              </w:rPr>
            </w:pPr>
            <w:r w:rsidRPr="00D14C32">
              <w:rPr>
                <w:u w:val="single"/>
              </w:rPr>
              <w:t xml:space="preserve">Rīkojuma </w:t>
            </w:r>
            <w:r w:rsidRPr="00244C1A">
              <w:rPr>
                <w:u w:val="single"/>
              </w:rPr>
              <w:t xml:space="preserve">projekta </w:t>
            </w:r>
            <w:r w:rsidR="00244C1A" w:rsidRPr="00244C1A">
              <w:rPr>
                <w:u w:val="single"/>
              </w:rPr>
              <w:t>10.</w:t>
            </w:r>
            <w:r w:rsidRPr="00244C1A">
              <w:rPr>
                <w:u w:val="single"/>
              </w:rPr>
              <w:t>punkts</w:t>
            </w:r>
            <w:r w:rsidRPr="00D14C32">
              <w:rPr>
                <w:u w:val="single"/>
              </w:rPr>
              <w:t>:</w:t>
            </w:r>
          </w:p>
          <w:p w14:paraId="54AA3880" w14:textId="77777777" w:rsidR="00F00370" w:rsidRDefault="00F00370" w:rsidP="00181629">
            <w:pPr>
              <w:pStyle w:val="naisc"/>
              <w:spacing w:before="0" w:after="0"/>
              <w:jc w:val="left"/>
            </w:pPr>
          </w:p>
          <w:p w14:paraId="21467519" w14:textId="12530938" w:rsidR="00F00370" w:rsidRDefault="00F00370" w:rsidP="00F00370">
            <w:pPr>
              <w:pStyle w:val="naisc"/>
              <w:spacing w:before="0" w:after="0"/>
              <w:jc w:val="both"/>
              <w:rPr>
                <w:sz w:val="20"/>
                <w:szCs w:val="20"/>
              </w:rPr>
            </w:pPr>
            <w:r w:rsidRPr="00E95688">
              <w:rPr>
                <w:sz w:val="20"/>
                <w:szCs w:val="20"/>
              </w:rPr>
              <w:t>3.</w:t>
            </w:r>
            <w:r w:rsidRPr="00E95688">
              <w:rPr>
                <w:sz w:val="20"/>
                <w:szCs w:val="20"/>
                <w:vertAlign w:val="superscript"/>
              </w:rPr>
              <w:t>1</w:t>
            </w:r>
            <w:r>
              <w:rPr>
                <w:sz w:val="20"/>
                <w:szCs w:val="20"/>
                <w:vertAlign w:val="superscript"/>
              </w:rPr>
              <w:t xml:space="preserve"> </w:t>
            </w:r>
            <w:r w:rsidR="003505CA">
              <w:rPr>
                <w:sz w:val="20"/>
                <w:szCs w:val="20"/>
              </w:rPr>
              <w:t>Veikt izvērtējumu</w:t>
            </w:r>
            <w:r w:rsidR="003505CA" w:rsidRPr="004A1664">
              <w:rPr>
                <w:sz w:val="20"/>
                <w:szCs w:val="20"/>
              </w:rPr>
              <w:t>, kā pielāgot infrastruktūru, lai ierobežotu apdzīšanas manevru apzīmētos krustojumos.</w:t>
            </w:r>
          </w:p>
          <w:p w14:paraId="270702EB" w14:textId="77777777" w:rsidR="00F00370" w:rsidRDefault="00F00370" w:rsidP="00F00370">
            <w:pPr>
              <w:pStyle w:val="naisc"/>
              <w:spacing w:before="0" w:after="0"/>
              <w:jc w:val="left"/>
              <w:rPr>
                <w:sz w:val="20"/>
                <w:szCs w:val="20"/>
              </w:rPr>
            </w:pPr>
          </w:p>
          <w:p w14:paraId="5307CC1C" w14:textId="77777777" w:rsidR="00F00370" w:rsidRDefault="00F00370" w:rsidP="00F00370">
            <w:pPr>
              <w:pStyle w:val="naisc"/>
              <w:spacing w:before="0" w:after="0"/>
              <w:jc w:val="left"/>
              <w:rPr>
                <w:sz w:val="20"/>
                <w:szCs w:val="20"/>
              </w:rPr>
            </w:pPr>
          </w:p>
          <w:p w14:paraId="6D2E26BC" w14:textId="77777777" w:rsidR="00F00370" w:rsidRDefault="00F00370" w:rsidP="00F00370">
            <w:pPr>
              <w:pStyle w:val="naisc"/>
              <w:spacing w:before="0" w:after="0"/>
              <w:jc w:val="left"/>
              <w:rPr>
                <w:sz w:val="20"/>
                <w:szCs w:val="20"/>
              </w:rPr>
            </w:pPr>
            <w:r>
              <w:rPr>
                <w:sz w:val="20"/>
                <w:szCs w:val="20"/>
              </w:rPr>
              <w:t>Darbības rezultāts:</w:t>
            </w:r>
          </w:p>
          <w:p w14:paraId="392C262A" w14:textId="43090DDE" w:rsidR="00F00370" w:rsidRDefault="003505CA" w:rsidP="003505CA">
            <w:pPr>
              <w:pStyle w:val="naisc"/>
              <w:spacing w:before="0" w:after="0"/>
              <w:jc w:val="both"/>
              <w:rPr>
                <w:sz w:val="20"/>
                <w:szCs w:val="20"/>
              </w:rPr>
            </w:pPr>
            <w:r>
              <w:rPr>
                <w:sz w:val="20"/>
                <w:szCs w:val="20"/>
              </w:rPr>
              <w:t xml:space="preserve">Veikts izvērtējums, lai identificētu turpmākos </w:t>
            </w:r>
            <w:r w:rsidRPr="004A1664">
              <w:rPr>
                <w:sz w:val="20"/>
                <w:szCs w:val="20"/>
              </w:rPr>
              <w:t>ceļu satiksme</w:t>
            </w:r>
            <w:r>
              <w:rPr>
                <w:sz w:val="20"/>
                <w:szCs w:val="20"/>
              </w:rPr>
              <w:t>s mierināšanas pasākumus un samazinātu ceļu satiksmes negadījumu risku</w:t>
            </w:r>
            <w:r w:rsidRPr="004A1664">
              <w:rPr>
                <w:sz w:val="20"/>
                <w:szCs w:val="20"/>
              </w:rPr>
              <w:t xml:space="preserve"> (frontālās sadursmes) krustojumos.</w:t>
            </w:r>
          </w:p>
          <w:p w14:paraId="6DC0E814" w14:textId="77777777" w:rsidR="00F00370" w:rsidRDefault="00F00370" w:rsidP="00F00370">
            <w:pPr>
              <w:pStyle w:val="naisc"/>
              <w:spacing w:before="0" w:after="0"/>
              <w:jc w:val="left"/>
              <w:rPr>
                <w:sz w:val="20"/>
                <w:szCs w:val="20"/>
              </w:rPr>
            </w:pPr>
          </w:p>
          <w:p w14:paraId="1C944AC4" w14:textId="77777777" w:rsidR="00F00370" w:rsidRDefault="00F00370" w:rsidP="00F00370">
            <w:pPr>
              <w:pStyle w:val="naisc"/>
              <w:spacing w:before="0" w:after="0"/>
              <w:jc w:val="left"/>
              <w:rPr>
                <w:sz w:val="20"/>
                <w:szCs w:val="20"/>
              </w:rPr>
            </w:pPr>
            <w:r>
              <w:rPr>
                <w:sz w:val="20"/>
                <w:szCs w:val="20"/>
              </w:rPr>
              <w:t>Rezultatīvie rādītāji:</w:t>
            </w:r>
          </w:p>
          <w:p w14:paraId="5DA95527" w14:textId="1622D884" w:rsidR="00F00370" w:rsidRDefault="003505CA" w:rsidP="003505CA">
            <w:pPr>
              <w:pStyle w:val="naisc"/>
              <w:spacing w:before="0" w:after="0"/>
              <w:jc w:val="both"/>
              <w:rPr>
                <w:sz w:val="20"/>
                <w:szCs w:val="20"/>
              </w:rPr>
            </w:pPr>
            <w:r>
              <w:rPr>
                <w:sz w:val="20"/>
                <w:szCs w:val="20"/>
              </w:rPr>
              <w:t xml:space="preserve">Atkarībā no izvērtējuma  rezultātiem identificēti atbilstošākie </w:t>
            </w:r>
            <w:r w:rsidRPr="004A1664">
              <w:rPr>
                <w:sz w:val="20"/>
                <w:szCs w:val="20"/>
              </w:rPr>
              <w:t>tehniski</w:t>
            </w:r>
            <w:r>
              <w:rPr>
                <w:sz w:val="20"/>
                <w:szCs w:val="20"/>
              </w:rPr>
              <w:t>e</w:t>
            </w:r>
            <w:r w:rsidRPr="004A1664">
              <w:rPr>
                <w:sz w:val="20"/>
                <w:szCs w:val="20"/>
              </w:rPr>
              <w:t xml:space="preserve"> infrastruktūras risinājumi apdzīšanas manevra ierobežošanai.</w:t>
            </w:r>
          </w:p>
          <w:p w14:paraId="443493C2" w14:textId="77777777" w:rsidR="00F00370" w:rsidRDefault="00F00370" w:rsidP="00F00370">
            <w:pPr>
              <w:pStyle w:val="naisc"/>
              <w:spacing w:before="0" w:after="0"/>
              <w:jc w:val="left"/>
              <w:rPr>
                <w:sz w:val="20"/>
                <w:szCs w:val="20"/>
              </w:rPr>
            </w:pPr>
          </w:p>
          <w:p w14:paraId="7F754E94" w14:textId="67595700" w:rsidR="00F52EBF" w:rsidRDefault="00F52EBF" w:rsidP="00F00370">
            <w:pPr>
              <w:pStyle w:val="naisc"/>
              <w:spacing w:before="0" w:after="0"/>
              <w:jc w:val="left"/>
              <w:rPr>
                <w:sz w:val="20"/>
                <w:szCs w:val="20"/>
              </w:rPr>
            </w:pPr>
            <w:r>
              <w:rPr>
                <w:sz w:val="20"/>
                <w:szCs w:val="20"/>
              </w:rPr>
              <w:t>…..</w:t>
            </w:r>
          </w:p>
          <w:p w14:paraId="301551F8" w14:textId="77777777" w:rsidR="00F00370" w:rsidRDefault="00F00370" w:rsidP="00F00370">
            <w:pPr>
              <w:pStyle w:val="naisc"/>
              <w:spacing w:before="0" w:after="0"/>
              <w:jc w:val="left"/>
              <w:rPr>
                <w:sz w:val="20"/>
                <w:szCs w:val="20"/>
              </w:rPr>
            </w:pPr>
          </w:p>
          <w:p w14:paraId="768F8298" w14:textId="77777777" w:rsidR="00751414" w:rsidRDefault="00751414" w:rsidP="00F00370">
            <w:pPr>
              <w:pStyle w:val="naisc"/>
              <w:spacing w:before="0" w:after="0"/>
              <w:jc w:val="left"/>
              <w:rPr>
                <w:sz w:val="20"/>
                <w:szCs w:val="20"/>
              </w:rPr>
            </w:pPr>
          </w:p>
          <w:p w14:paraId="3CF65E6D" w14:textId="189B8BF7" w:rsidR="00F00370" w:rsidRDefault="00F00370" w:rsidP="000F5954">
            <w:pPr>
              <w:pStyle w:val="naisc"/>
              <w:spacing w:before="0" w:after="0"/>
              <w:jc w:val="both"/>
              <w:rPr>
                <w:rFonts w:cs="Calibri"/>
                <w:sz w:val="20"/>
                <w:szCs w:val="20"/>
              </w:rPr>
            </w:pPr>
            <w:r w:rsidRPr="00E95688">
              <w:rPr>
                <w:sz w:val="20"/>
                <w:szCs w:val="20"/>
              </w:rPr>
              <w:t>3.</w:t>
            </w:r>
            <w:r w:rsidRPr="00E95688">
              <w:rPr>
                <w:sz w:val="20"/>
                <w:szCs w:val="20"/>
                <w:vertAlign w:val="superscript"/>
              </w:rPr>
              <w:t>4</w:t>
            </w:r>
            <w:r>
              <w:rPr>
                <w:sz w:val="20"/>
                <w:szCs w:val="20"/>
                <w:vertAlign w:val="superscript"/>
              </w:rPr>
              <w:t xml:space="preserve">  </w:t>
            </w:r>
            <w:r w:rsidR="000F5954" w:rsidRPr="000F5954">
              <w:rPr>
                <w:rFonts w:cs="Calibri"/>
                <w:sz w:val="20"/>
                <w:szCs w:val="20"/>
              </w:rPr>
              <w:t>Veikt izvērtējumu par iespēju ieviest distances apzīmējumu (prasības standartos un normatīvajos aktos) un realizēt praksē valsts autoceļu tīklā.</w:t>
            </w:r>
          </w:p>
          <w:p w14:paraId="52915270" w14:textId="77777777" w:rsidR="00F00370" w:rsidRDefault="00F00370" w:rsidP="00F00370">
            <w:pPr>
              <w:pStyle w:val="naisc"/>
              <w:spacing w:before="0" w:after="0"/>
              <w:jc w:val="left"/>
              <w:rPr>
                <w:rFonts w:cs="Calibri"/>
                <w:sz w:val="20"/>
                <w:szCs w:val="20"/>
              </w:rPr>
            </w:pPr>
          </w:p>
          <w:p w14:paraId="2C148089" w14:textId="77777777" w:rsidR="00F00370" w:rsidRDefault="00F00370" w:rsidP="00F00370">
            <w:pPr>
              <w:pStyle w:val="naisc"/>
              <w:spacing w:before="0" w:after="0"/>
              <w:jc w:val="left"/>
              <w:rPr>
                <w:sz w:val="20"/>
                <w:szCs w:val="20"/>
              </w:rPr>
            </w:pPr>
          </w:p>
          <w:p w14:paraId="2993C630" w14:textId="77777777" w:rsidR="00F00370" w:rsidRDefault="00F00370" w:rsidP="00F00370">
            <w:pPr>
              <w:pStyle w:val="naisc"/>
              <w:spacing w:before="0" w:after="0"/>
              <w:jc w:val="left"/>
              <w:rPr>
                <w:sz w:val="20"/>
                <w:szCs w:val="20"/>
              </w:rPr>
            </w:pPr>
            <w:r>
              <w:rPr>
                <w:sz w:val="20"/>
                <w:szCs w:val="20"/>
              </w:rPr>
              <w:t>Darbības rezultāts:</w:t>
            </w:r>
          </w:p>
          <w:p w14:paraId="5F397860" w14:textId="3B2216E3" w:rsidR="00F00370" w:rsidRDefault="000F5954" w:rsidP="000F5954">
            <w:pPr>
              <w:pStyle w:val="naisc"/>
              <w:spacing w:before="0" w:after="0"/>
              <w:jc w:val="both"/>
              <w:rPr>
                <w:sz w:val="20"/>
                <w:szCs w:val="20"/>
              </w:rPr>
            </w:pPr>
            <w:r w:rsidRPr="000F5954">
              <w:rPr>
                <w:rFonts w:cs="Calibri"/>
                <w:sz w:val="20"/>
                <w:szCs w:val="20"/>
              </w:rPr>
              <w:t>Veikts izvērtējums, lai identificētu atbilstošāko tehnisko risinājumu, kā ieviest distances apzīmējums valsts autoceļu tīklā.</w:t>
            </w:r>
          </w:p>
          <w:p w14:paraId="3ACBD96F" w14:textId="77777777" w:rsidR="00F00370" w:rsidRDefault="00F00370" w:rsidP="00F00370">
            <w:pPr>
              <w:pStyle w:val="naisc"/>
              <w:spacing w:before="0" w:after="0"/>
              <w:jc w:val="left"/>
              <w:rPr>
                <w:sz w:val="20"/>
                <w:szCs w:val="20"/>
              </w:rPr>
            </w:pPr>
          </w:p>
          <w:p w14:paraId="39615A01" w14:textId="77777777" w:rsidR="00F00370" w:rsidRDefault="00F00370" w:rsidP="00F00370">
            <w:pPr>
              <w:pStyle w:val="naisc"/>
              <w:spacing w:before="0" w:after="0"/>
              <w:jc w:val="left"/>
              <w:rPr>
                <w:sz w:val="20"/>
                <w:szCs w:val="20"/>
              </w:rPr>
            </w:pPr>
            <w:r>
              <w:rPr>
                <w:sz w:val="20"/>
                <w:szCs w:val="20"/>
              </w:rPr>
              <w:t>Rezultatīvie rādītāji:</w:t>
            </w:r>
          </w:p>
          <w:p w14:paraId="50A0BDFC" w14:textId="77777777" w:rsidR="00F00370" w:rsidRDefault="000F5954" w:rsidP="000F5954">
            <w:pPr>
              <w:pStyle w:val="naisc"/>
              <w:spacing w:before="0" w:after="0"/>
              <w:jc w:val="both"/>
              <w:rPr>
                <w:rFonts w:cs="Calibri"/>
                <w:sz w:val="20"/>
                <w:szCs w:val="20"/>
              </w:rPr>
            </w:pPr>
            <w:r w:rsidRPr="000F5954">
              <w:rPr>
                <w:rFonts w:cs="Calibri"/>
                <w:sz w:val="20"/>
                <w:szCs w:val="20"/>
              </w:rPr>
              <w:t>Balstoties uz izvērtējuma rezultātiem veiktas izmaiņas Latvijas standartā LVS 85 “Ceļa apzīmējumi” un Ministru kabineta 2015.gada 2.jūnija noteikumos Nr.279 “Ceļu satiksmes noteikumi”.</w:t>
            </w:r>
          </w:p>
          <w:p w14:paraId="041F972C" w14:textId="4BF542E8" w:rsidR="00F52EBF" w:rsidRDefault="00F52EBF" w:rsidP="000F5954">
            <w:pPr>
              <w:pStyle w:val="naisc"/>
              <w:spacing w:before="0" w:after="0"/>
              <w:jc w:val="both"/>
              <w:rPr>
                <w:rFonts w:cs="Calibri"/>
                <w:sz w:val="20"/>
                <w:szCs w:val="20"/>
              </w:rPr>
            </w:pPr>
          </w:p>
          <w:p w14:paraId="64A05577" w14:textId="180A7AAC" w:rsidR="000F5954" w:rsidRPr="000F5954" w:rsidRDefault="000F5954" w:rsidP="000F5954">
            <w:pPr>
              <w:pStyle w:val="naisc"/>
              <w:spacing w:before="0" w:after="0"/>
              <w:jc w:val="both"/>
            </w:pPr>
            <w:r>
              <w:rPr>
                <w:rFonts w:cs="Calibri"/>
              </w:rPr>
              <w:t xml:space="preserve">Skatīt </w:t>
            </w:r>
            <w:r w:rsidR="009D2C4F" w:rsidRPr="009D2C4F">
              <w:rPr>
                <w:rFonts w:cs="Calibri"/>
              </w:rPr>
              <w:t xml:space="preserve">precizēto </w:t>
            </w:r>
            <w:r>
              <w:rPr>
                <w:rFonts w:cs="Calibri"/>
              </w:rPr>
              <w:t xml:space="preserve">rīkojuma projekta anotācijas </w:t>
            </w:r>
            <w:r w:rsidRPr="00DA5A84">
              <w:rPr>
                <w:rFonts w:cs="Calibri"/>
              </w:rPr>
              <w:t>I sadaļas 2.punktu.</w:t>
            </w:r>
          </w:p>
        </w:tc>
      </w:tr>
      <w:tr w:rsidR="00457B20" w14:paraId="0702632F" w14:textId="77777777" w:rsidTr="00457B20">
        <w:tc>
          <w:tcPr>
            <w:tcW w:w="701" w:type="dxa"/>
            <w:tcBorders>
              <w:top w:val="single" w:sz="6" w:space="0" w:color="000000"/>
              <w:left w:val="single" w:sz="6" w:space="0" w:color="000000"/>
              <w:bottom w:val="single" w:sz="6" w:space="0" w:color="000000"/>
            </w:tcBorders>
          </w:tcPr>
          <w:p w14:paraId="50C13DF7" w14:textId="573C91B1" w:rsidR="00457B20" w:rsidRPr="00126B96" w:rsidRDefault="0023502C" w:rsidP="0023502C">
            <w:pPr>
              <w:pStyle w:val="naisc"/>
              <w:spacing w:before="0" w:after="0"/>
              <w:jc w:val="left"/>
            </w:pPr>
            <w:r>
              <w:lastRenderedPageBreak/>
              <w:t xml:space="preserve">  4.</w:t>
            </w:r>
          </w:p>
        </w:tc>
        <w:tc>
          <w:tcPr>
            <w:tcW w:w="3686" w:type="dxa"/>
            <w:gridSpan w:val="2"/>
            <w:tcBorders>
              <w:top w:val="single" w:sz="6" w:space="0" w:color="000000"/>
              <w:left w:val="single" w:sz="6" w:space="0" w:color="000000"/>
              <w:bottom w:val="single" w:sz="6" w:space="0" w:color="000000"/>
            </w:tcBorders>
          </w:tcPr>
          <w:p w14:paraId="20731A5A" w14:textId="7BE2CEBE" w:rsidR="00457B20" w:rsidRPr="00D14C32" w:rsidRDefault="0023502C" w:rsidP="0023502C">
            <w:pPr>
              <w:pStyle w:val="naisc"/>
              <w:spacing w:before="0" w:after="0"/>
              <w:jc w:val="left"/>
              <w:rPr>
                <w:u w:val="single"/>
              </w:rPr>
            </w:pPr>
            <w:r w:rsidRPr="00D14C32">
              <w:rPr>
                <w:rFonts w:cs="Calibri"/>
                <w:u w:val="single"/>
              </w:rPr>
              <w:t>Skatīt rīkojuma projekta anotācijas I sadaļas 2.punktu</w:t>
            </w:r>
            <w:r w:rsidR="00032A71" w:rsidRPr="00D14C32">
              <w:rPr>
                <w:rFonts w:cs="Calibri"/>
                <w:u w:val="single"/>
              </w:rPr>
              <w:t>.</w:t>
            </w:r>
          </w:p>
        </w:tc>
        <w:tc>
          <w:tcPr>
            <w:tcW w:w="3969" w:type="dxa"/>
            <w:gridSpan w:val="2"/>
            <w:tcBorders>
              <w:top w:val="single" w:sz="6" w:space="0" w:color="000000"/>
              <w:left w:val="single" w:sz="6" w:space="0" w:color="000000"/>
              <w:bottom w:val="single" w:sz="6" w:space="0" w:color="000000"/>
            </w:tcBorders>
          </w:tcPr>
          <w:p w14:paraId="360CC64F" w14:textId="77777777" w:rsidR="0023502C" w:rsidRDefault="0023502C" w:rsidP="0023502C">
            <w:pPr>
              <w:ind w:firstLine="181"/>
              <w:jc w:val="both"/>
              <w:rPr>
                <w:szCs w:val="24"/>
              </w:rPr>
            </w:pPr>
            <w:r w:rsidRPr="00B5734C">
              <w:rPr>
                <w:szCs w:val="24"/>
              </w:rPr>
              <w:t>4)</w:t>
            </w:r>
            <w:r w:rsidRPr="00B5734C">
              <w:rPr>
                <w:szCs w:val="24"/>
              </w:rPr>
              <w:tab/>
              <w:t>Lūdzam papildināt rīkojuma projekta anotāciju ar pamatojošu informāciju attiecībā uz rīkojuma projekta 2.-7.punktā minētajiem jaunajiem uzdevumiem, jo anotācijā nav ietverts jauno uzdevumu nepieciešamības pamatojums, piemēram, attiecībā uz uzdevumu “Izvērtēt iespējas ieviest distances apzīmējumu (prasības standartos un normatīvajos aktos) un realizēt praksē uz valsts galvenajiem autoceļiem” nav skaidrs vai šāds jauns uzdevums izriet no tādu ceļu satiksmes negadījumu pieauguma, kuri notikuši dēļ neievērotas distances starp transportlīdzekļiem.</w:t>
            </w:r>
          </w:p>
          <w:p w14:paraId="7AC6BE91" w14:textId="77777777" w:rsidR="00457B20" w:rsidRPr="00126B96" w:rsidRDefault="00457B20" w:rsidP="00800B51">
            <w:pPr>
              <w:pStyle w:val="naisc"/>
              <w:spacing w:before="0" w:after="0"/>
              <w:ind w:firstLine="284"/>
            </w:pPr>
          </w:p>
        </w:tc>
        <w:tc>
          <w:tcPr>
            <w:tcW w:w="3260" w:type="dxa"/>
            <w:tcBorders>
              <w:top w:val="single" w:sz="6" w:space="0" w:color="000000"/>
              <w:left w:val="single" w:sz="6" w:space="0" w:color="000000"/>
              <w:bottom w:val="single" w:sz="6" w:space="0" w:color="000000"/>
            </w:tcBorders>
          </w:tcPr>
          <w:p w14:paraId="7F98EF4E" w14:textId="5E8A83CB" w:rsidR="0023502C" w:rsidRPr="00126B96" w:rsidRDefault="008D4E2D" w:rsidP="001C15F9">
            <w:pPr>
              <w:pStyle w:val="naisc"/>
              <w:spacing w:before="0" w:after="0"/>
              <w:ind w:firstLine="284"/>
              <w:rPr>
                <w:b/>
              </w:rPr>
            </w:pPr>
            <w:r>
              <w:rPr>
                <w:b/>
              </w:rPr>
              <w:t>Iebildums</w:t>
            </w:r>
            <w:r w:rsidR="0023502C">
              <w:rPr>
                <w:b/>
              </w:rPr>
              <w:t xml:space="preserve"> </w:t>
            </w:r>
            <w:r w:rsidR="0023502C" w:rsidRPr="00126B96">
              <w:rPr>
                <w:b/>
              </w:rPr>
              <w:t>ņemts vērā.</w:t>
            </w:r>
          </w:p>
          <w:p w14:paraId="71265481" w14:textId="1A259052" w:rsidR="00457B20" w:rsidRDefault="0023502C" w:rsidP="001469DF">
            <w:pPr>
              <w:pStyle w:val="naisc"/>
              <w:spacing w:before="0" w:after="0"/>
              <w:ind w:firstLine="284"/>
              <w:jc w:val="both"/>
            </w:pPr>
            <w:r>
              <w:t>Satiksmes ministrija norāda, ka informatīvā ziņojuma</w:t>
            </w:r>
            <w:r w:rsidRPr="0023502C">
              <w:t xml:space="preserve"> "Ceļu satiksmes drošības plāna 2017.-2020.gadam starpposma ietekmes izvērtējums" (VSS-610)</w:t>
            </w:r>
            <w:r w:rsidR="00112AEE">
              <w:t xml:space="preserve"> (turpmāk – informatīvais ziņojums)</w:t>
            </w:r>
            <w:r>
              <w:t xml:space="preserve"> 7.tabula ietver informāciju par j</w:t>
            </w:r>
            <w:r w:rsidRPr="0023502C">
              <w:t>auni</w:t>
            </w:r>
            <w:r>
              <w:t>em</w:t>
            </w:r>
            <w:r w:rsidRPr="0023502C">
              <w:t xml:space="preserve"> pasākumi</w:t>
            </w:r>
            <w:r>
              <w:t>em</w:t>
            </w:r>
            <w:r w:rsidRPr="0023502C">
              <w:t xml:space="preserve"> ceļu</w:t>
            </w:r>
            <w:r>
              <w:t xml:space="preserve"> satiksmes drošības uzlabošanai</w:t>
            </w:r>
            <w:r w:rsidR="001469DF">
              <w:t>, kur tiek norādīts arī katra atseviš</w:t>
            </w:r>
            <w:r w:rsidR="00F2535B">
              <w:t xml:space="preserve">ķa </w:t>
            </w:r>
            <w:r w:rsidR="001469DF">
              <w:t>pasākuma pamatojums (tiešā veidā vai ar atsauci uz</w:t>
            </w:r>
            <w:r w:rsidR="00A10817">
              <w:t xml:space="preserve"> iepriekš pieņemtu</w:t>
            </w:r>
            <w:r w:rsidR="001469DF">
              <w:t xml:space="preserve"> lēmumu).</w:t>
            </w:r>
            <w:r>
              <w:t xml:space="preserve"> </w:t>
            </w:r>
          </w:p>
          <w:p w14:paraId="3589B2A5" w14:textId="7990722D" w:rsidR="001469DF" w:rsidRPr="00126B96" w:rsidRDefault="001469DF" w:rsidP="00112AEE">
            <w:pPr>
              <w:pStyle w:val="naisc"/>
              <w:spacing w:before="0" w:after="0"/>
              <w:ind w:firstLine="284"/>
              <w:jc w:val="both"/>
            </w:pPr>
            <w:r>
              <w:t>Tādējādi Satiksmes ministrija ir papildinājusi Ministru kabineta r</w:t>
            </w:r>
            <w:r w:rsidR="00F2535B">
              <w:t>īkojuma projekta anotāciju</w:t>
            </w:r>
            <w:r>
              <w:t xml:space="preserve"> ar atsaucēm</w:t>
            </w:r>
            <w:r w:rsidR="00F2535B">
              <w:t xml:space="preserve"> uz pasākuma izpildes nepieciešamības pamatojumu</w:t>
            </w:r>
            <w:r>
              <w:t xml:space="preserve">, </w:t>
            </w:r>
            <w:r>
              <w:lastRenderedPageBreak/>
              <w:t>kuras ietvertas informatīvā ziņojumā</w:t>
            </w:r>
            <w:r w:rsidRPr="0023502C">
              <w:t xml:space="preserve"> </w:t>
            </w:r>
            <w:r w:rsidR="00F2535B">
              <w:t>7.tabulā.</w:t>
            </w:r>
          </w:p>
        </w:tc>
        <w:tc>
          <w:tcPr>
            <w:tcW w:w="3260" w:type="dxa"/>
            <w:tcBorders>
              <w:top w:val="single" w:sz="6" w:space="0" w:color="000000"/>
              <w:left w:val="single" w:sz="6" w:space="0" w:color="000000"/>
              <w:bottom w:val="single" w:sz="6" w:space="0" w:color="000000"/>
              <w:right w:val="single" w:sz="4" w:space="0" w:color="auto"/>
            </w:tcBorders>
          </w:tcPr>
          <w:p w14:paraId="7E97220E" w14:textId="3350099D" w:rsidR="00457B20" w:rsidRPr="009D2C4F" w:rsidRDefault="0023502C" w:rsidP="001C15F9">
            <w:pPr>
              <w:pStyle w:val="naisc"/>
              <w:spacing w:before="0" w:after="0"/>
              <w:jc w:val="both"/>
            </w:pPr>
            <w:r w:rsidRPr="009D2C4F">
              <w:rPr>
                <w:rFonts w:cs="Calibri"/>
              </w:rPr>
              <w:lastRenderedPageBreak/>
              <w:t xml:space="preserve">Skatīt </w:t>
            </w:r>
            <w:r w:rsidR="009D2C4F" w:rsidRPr="009D2C4F">
              <w:rPr>
                <w:rFonts w:cs="Calibri"/>
              </w:rPr>
              <w:t xml:space="preserve">precizēto </w:t>
            </w:r>
            <w:r w:rsidRPr="009D2C4F">
              <w:rPr>
                <w:rFonts w:cs="Calibri"/>
              </w:rPr>
              <w:t>rīkojuma projekta anotācijas I sadaļas 2.punktu</w:t>
            </w:r>
            <w:r w:rsidR="00032A71" w:rsidRPr="009D2C4F">
              <w:rPr>
                <w:rFonts w:cs="Calibri"/>
              </w:rPr>
              <w:t>.</w:t>
            </w:r>
          </w:p>
        </w:tc>
      </w:tr>
      <w:tr w:rsidR="00AD4CDE" w14:paraId="1C632652" w14:textId="77777777" w:rsidTr="00800B51">
        <w:tc>
          <w:tcPr>
            <w:tcW w:w="14876" w:type="dxa"/>
            <w:gridSpan w:val="7"/>
            <w:tcBorders>
              <w:top w:val="single" w:sz="6" w:space="0" w:color="000000"/>
              <w:left w:val="single" w:sz="6" w:space="0" w:color="000000"/>
              <w:bottom w:val="single" w:sz="6" w:space="0" w:color="000000"/>
              <w:right w:val="single" w:sz="4" w:space="0" w:color="auto"/>
            </w:tcBorders>
          </w:tcPr>
          <w:p w14:paraId="6839A038" w14:textId="77777777" w:rsidR="00AD4CDE" w:rsidRDefault="00AD4CDE" w:rsidP="00800B51">
            <w:pPr>
              <w:pStyle w:val="naisc"/>
              <w:spacing w:before="0" w:after="0"/>
              <w:ind w:firstLine="284"/>
            </w:pPr>
          </w:p>
          <w:p w14:paraId="0E978EB0" w14:textId="77777777" w:rsidR="00AD4CDE" w:rsidRPr="00B5734C" w:rsidRDefault="00AD4CDE" w:rsidP="00AD4CDE">
            <w:pPr>
              <w:jc w:val="center"/>
              <w:rPr>
                <w:b/>
                <w:i/>
              </w:rPr>
            </w:pPr>
            <w:r w:rsidRPr="00E300D6">
              <w:rPr>
                <w:b/>
              </w:rPr>
              <w:t>Pārresoru koordinācijas centra 09.07.2019. atzinums Nr.1.2-7/82</w:t>
            </w:r>
            <w:r>
              <w:rPr>
                <w:b/>
              </w:rPr>
              <w:t xml:space="preserve"> (VSS-610) </w:t>
            </w:r>
            <w:r w:rsidRPr="00B5734C">
              <w:rPr>
                <w:b/>
                <w:i/>
              </w:rPr>
              <w:t xml:space="preserve">Par </w:t>
            </w:r>
            <w:r>
              <w:rPr>
                <w:b/>
                <w:i/>
              </w:rPr>
              <w:t>inform. ziņojuma</w:t>
            </w:r>
            <w:r w:rsidRPr="00B5734C">
              <w:rPr>
                <w:b/>
                <w:i/>
              </w:rPr>
              <w:t xml:space="preserve"> projektu</w:t>
            </w:r>
          </w:p>
          <w:p w14:paraId="01726396" w14:textId="77777777" w:rsidR="00AD4CDE" w:rsidRPr="00126B96" w:rsidRDefault="00AD4CDE" w:rsidP="00AD4CDE">
            <w:pPr>
              <w:pStyle w:val="naisc"/>
              <w:spacing w:before="0" w:after="0"/>
              <w:jc w:val="left"/>
            </w:pPr>
          </w:p>
        </w:tc>
      </w:tr>
      <w:tr w:rsidR="00457B20" w14:paraId="2C6CFF55" w14:textId="77777777" w:rsidTr="00457B20">
        <w:tc>
          <w:tcPr>
            <w:tcW w:w="701" w:type="dxa"/>
            <w:tcBorders>
              <w:top w:val="single" w:sz="6" w:space="0" w:color="000000"/>
              <w:left w:val="single" w:sz="6" w:space="0" w:color="000000"/>
              <w:bottom w:val="single" w:sz="6" w:space="0" w:color="000000"/>
            </w:tcBorders>
          </w:tcPr>
          <w:p w14:paraId="22C1CD71" w14:textId="6749B45A" w:rsidR="00457B20" w:rsidRPr="00126B96" w:rsidRDefault="00AD4CDE" w:rsidP="00AD4CDE">
            <w:pPr>
              <w:pStyle w:val="naisc"/>
              <w:spacing w:before="0" w:after="0"/>
              <w:ind w:firstLine="284"/>
              <w:jc w:val="left"/>
            </w:pPr>
            <w:r>
              <w:t xml:space="preserve">5. </w:t>
            </w:r>
          </w:p>
        </w:tc>
        <w:tc>
          <w:tcPr>
            <w:tcW w:w="3686" w:type="dxa"/>
            <w:gridSpan w:val="2"/>
            <w:tcBorders>
              <w:top w:val="single" w:sz="6" w:space="0" w:color="000000"/>
              <w:left w:val="single" w:sz="6" w:space="0" w:color="000000"/>
              <w:bottom w:val="single" w:sz="6" w:space="0" w:color="000000"/>
            </w:tcBorders>
          </w:tcPr>
          <w:p w14:paraId="6A69E23B" w14:textId="77777777" w:rsidR="00457B20" w:rsidRPr="00D14C32" w:rsidRDefault="00112AEE" w:rsidP="00584E58">
            <w:pPr>
              <w:pStyle w:val="naisc"/>
              <w:spacing w:before="0" w:after="0"/>
              <w:jc w:val="both"/>
              <w:rPr>
                <w:u w:val="single"/>
              </w:rPr>
            </w:pPr>
            <w:r w:rsidRPr="00D14C32">
              <w:rPr>
                <w:u w:val="single"/>
              </w:rPr>
              <w:t>Skatīt informatīvā ziņojuma 49.lpp:</w:t>
            </w:r>
          </w:p>
          <w:p w14:paraId="076AE6D9" w14:textId="77777777" w:rsidR="00112AEE" w:rsidRDefault="00112AEE" w:rsidP="00112AEE">
            <w:pPr>
              <w:pStyle w:val="naisc"/>
              <w:spacing w:before="0" w:after="0"/>
              <w:ind w:firstLine="284"/>
              <w:jc w:val="both"/>
            </w:pPr>
          </w:p>
          <w:p w14:paraId="4D6F6642" w14:textId="61C2E840" w:rsidR="00112AEE" w:rsidRDefault="00F52EBF" w:rsidP="00112AEE">
            <w:pPr>
              <w:pStyle w:val="naisc"/>
              <w:spacing w:before="0" w:after="0"/>
              <w:ind w:firstLine="284"/>
              <w:jc w:val="both"/>
            </w:pPr>
            <w:r>
              <w:t>“4</w:t>
            </w:r>
            <w:r w:rsidR="00112AEE">
              <w:t xml:space="preserve">. </w:t>
            </w:r>
            <w:r w:rsidR="00112AEE" w:rsidRPr="00112AEE">
              <w:t>Veikt Ceļu satiksmes drošības plāna 2017.-2020.gadam ietekmes izvērtējumu un rīcības politikas prioritātes ceļu satiksmes drošības jomā laika periodā 2020.-2030.gads.</w:t>
            </w:r>
          </w:p>
          <w:p w14:paraId="45B2D16F" w14:textId="77777777" w:rsidR="00112AEE" w:rsidRDefault="00112AEE" w:rsidP="00112AEE">
            <w:pPr>
              <w:pStyle w:val="naisc"/>
              <w:spacing w:before="0" w:after="0"/>
              <w:ind w:firstLine="284"/>
              <w:jc w:val="both"/>
            </w:pPr>
          </w:p>
          <w:p w14:paraId="76BD5CD8" w14:textId="77777777" w:rsidR="00112AEE" w:rsidRDefault="00112AEE" w:rsidP="00112AEE">
            <w:pPr>
              <w:pStyle w:val="naisc"/>
              <w:ind w:firstLine="284"/>
              <w:jc w:val="both"/>
            </w:pPr>
            <w:r>
              <w:t>Darbības rezultāts:</w:t>
            </w:r>
          </w:p>
          <w:p w14:paraId="3F654968" w14:textId="3D8E6D34" w:rsidR="00112AEE" w:rsidRDefault="00112AEE" w:rsidP="00112AEE">
            <w:pPr>
              <w:pStyle w:val="naisc"/>
              <w:ind w:firstLine="284"/>
              <w:jc w:val="both"/>
            </w:pPr>
            <w:r w:rsidRPr="00112AEE">
              <w:t>Veikt esošā ceļu satiksmes drošības politikas plānošanas dokumenta ietekmes izvērtēšana un   sagatavotas rīcības politikas prioritātes ceļu satiksmes drošības jomā nākamajam plānošanas periodam.</w:t>
            </w:r>
          </w:p>
          <w:p w14:paraId="2BBDF260" w14:textId="77777777" w:rsidR="00112AEE" w:rsidRDefault="00112AEE" w:rsidP="00112AEE">
            <w:pPr>
              <w:pStyle w:val="naisc"/>
              <w:ind w:firstLine="284"/>
              <w:jc w:val="both"/>
            </w:pPr>
          </w:p>
          <w:p w14:paraId="1CF397FF" w14:textId="77777777" w:rsidR="00112AEE" w:rsidRDefault="00112AEE" w:rsidP="00112AEE">
            <w:pPr>
              <w:pStyle w:val="naisc"/>
              <w:jc w:val="both"/>
            </w:pPr>
          </w:p>
          <w:p w14:paraId="66FADA68" w14:textId="77777777" w:rsidR="00112AEE" w:rsidRDefault="00112AEE" w:rsidP="00112AEE">
            <w:pPr>
              <w:pStyle w:val="naisc"/>
              <w:ind w:firstLine="284"/>
              <w:jc w:val="both"/>
            </w:pPr>
            <w:r>
              <w:t>Rezultatīvie rādītāji:</w:t>
            </w:r>
          </w:p>
          <w:p w14:paraId="0D54C5E8" w14:textId="77777777" w:rsidR="00112AEE" w:rsidRDefault="00112AEE" w:rsidP="00112AEE">
            <w:pPr>
              <w:pStyle w:val="naisc"/>
              <w:spacing w:before="0" w:after="0"/>
              <w:ind w:firstLine="284"/>
              <w:jc w:val="both"/>
            </w:pPr>
            <w:r w:rsidRPr="00112AEE">
              <w:t>Veikts 1 pētījums.</w:t>
            </w:r>
          </w:p>
          <w:p w14:paraId="55ED622E" w14:textId="77777777" w:rsidR="00F52EBF" w:rsidRDefault="00F52EBF" w:rsidP="00112AEE">
            <w:pPr>
              <w:pStyle w:val="naisc"/>
              <w:spacing w:before="0" w:after="0"/>
              <w:ind w:firstLine="284"/>
              <w:jc w:val="both"/>
            </w:pPr>
          </w:p>
          <w:p w14:paraId="0EDC6691" w14:textId="77777777" w:rsidR="00F52EBF" w:rsidRDefault="00F52EBF" w:rsidP="00112AEE">
            <w:pPr>
              <w:pStyle w:val="naisc"/>
              <w:spacing w:before="0" w:after="0"/>
              <w:ind w:firstLine="284"/>
              <w:jc w:val="both"/>
            </w:pPr>
          </w:p>
          <w:p w14:paraId="7FF3291F" w14:textId="469EB445" w:rsidR="00F52EBF" w:rsidRPr="00126B96" w:rsidRDefault="00F52EBF" w:rsidP="00112AEE">
            <w:pPr>
              <w:pStyle w:val="naisc"/>
              <w:spacing w:before="0" w:after="0"/>
              <w:ind w:firstLine="284"/>
              <w:jc w:val="both"/>
            </w:pPr>
            <w:r>
              <w:t>..”</w:t>
            </w:r>
          </w:p>
        </w:tc>
        <w:tc>
          <w:tcPr>
            <w:tcW w:w="3969" w:type="dxa"/>
            <w:gridSpan w:val="2"/>
            <w:tcBorders>
              <w:top w:val="single" w:sz="6" w:space="0" w:color="000000"/>
              <w:left w:val="single" w:sz="6" w:space="0" w:color="000000"/>
              <w:bottom w:val="single" w:sz="6" w:space="0" w:color="000000"/>
            </w:tcBorders>
          </w:tcPr>
          <w:p w14:paraId="4D0AAE29" w14:textId="77777777" w:rsidR="00457B20" w:rsidRDefault="00DB309B" w:rsidP="00DB309B">
            <w:pPr>
              <w:pStyle w:val="naisc"/>
              <w:spacing w:before="0" w:after="0"/>
              <w:ind w:firstLine="284"/>
              <w:jc w:val="both"/>
            </w:pPr>
            <w:r>
              <w:t xml:space="preserve">1)  </w:t>
            </w:r>
            <w:r w:rsidRPr="003D6D0E">
              <w:t xml:space="preserve">Informatīvā </w:t>
            </w:r>
            <w:r w:rsidRPr="0098174C">
              <w:t xml:space="preserve">ziņojuma četrdesmit devītajā lappusē 4.punktā starp jauniem pasākumiem ceļu satiksmes drošības uzlabošanai piedāvāts šāds </w:t>
            </w:r>
            <w:r>
              <w:t xml:space="preserve">jauns pasākums - </w:t>
            </w:r>
            <w:r w:rsidRPr="0098174C">
              <w:t xml:space="preserve">veikt Ceļu satiksmes drošības plāna 2017.-2020.gadam ietekmes izvērtējumu un rīcības politikas prioritātes ceļu satiksmes drošības jomā laika periodā 2020.-2030.gads. Saskaņā ar Ministru kabineta 2014.gada 2.decembra noteikumu Nr.737 “Attīstības plānošanas dokumentu izstrādes un ietekmes izvērtēšanas noteikumi” (turpmāk – noteikumi) 40.punktu </w:t>
            </w:r>
            <w:r w:rsidRPr="0098174C">
              <w:rPr>
                <w:b/>
                <w:bCs/>
              </w:rPr>
              <w:t>starpposma izvērtējumu veic, lai</w:t>
            </w:r>
            <w:r w:rsidRPr="0098174C">
              <w:t xml:space="preserve"> novērtētu īstenotās politikas ietekmi un </w:t>
            </w:r>
            <w:r w:rsidRPr="0098174C">
              <w:rPr>
                <w:b/>
                <w:bCs/>
              </w:rPr>
              <w:t>pieņemtu lēmumu par vidēja termiņa politikas plānošanas</w:t>
            </w:r>
            <w:r w:rsidRPr="003D6D0E">
              <w:rPr>
                <w:b/>
                <w:bCs/>
              </w:rPr>
              <w:t xml:space="preserve"> dokumenta izstrādes nepieciešamību</w:t>
            </w:r>
            <w:r w:rsidRPr="003D6D0E">
              <w:t xml:space="preserve"> nākamajam plānošanas periodam</w:t>
            </w:r>
            <w:r>
              <w:t xml:space="preserve">. </w:t>
            </w:r>
            <w:r w:rsidRPr="003D6D0E">
              <w:t xml:space="preserve">Saskaņā ar </w:t>
            </w:r>
            <w:r>
              <w:t xml:space="preserve">noteikumu </w:t>
            </w:r>
            <w:r w:rsidRPr="003D6D0E">
              <w:t xml:space="preserve">42.2. punktu vidēja termiņa politikas plānošanas dokumentiem </w:t>
            </w:r>
            <w:r w:rsidRPr="003D6D0E">
              <w:rPr>
                <w:b/>
                <w:bCs/>
              </w:rPr>
              <w:t>gala ietekmes novērtējumu</w:t>
            </w:r>
            <w:r w:rsidRPr="003D6D0E">
              <w:t xml:space="preserve"> </w:t>
            </w:r>
            <w:r w:rsidRPr="003D6D0E">
              <w:rPr>
                <w:b/>
                <w:bCs/>
              </w:rPr>
              <w:t>veic tikai tad, ja</w:t>
            </w:r>
            <w:r w:rsidRPr="003D6D0E">
              <w:t xml:space="preserve"> saskaņā ar šo noteikumu 4</w:t>
            </w:r>
            <w:r>
              <w:t>0.punktu</w:t>
            </w:r>
            <w:r w:rsidRPr="003D6D0E">
              <w:t> </w:t>
            </w:r>
            <w:r w:rsidRPr="003D6D0E">
              <w:rPr>
                <w:b/>
                <w:bCs/>
              </w:rPr>
              <w:t xml:space="preserve">netiek </w:t>
            </w:r>
            <w:r w:rsidRPr="003D6D0E">
              <w:rPr>
                <w:b/>
                <w:bCs/>
              </w:rPr>
              <w:lastRenderedPageBreak/>
              <w:t>pieņemts lēmums par vidēja termiņa politikas plānošanas dokumenta izstrādes nepieciešamību</w:t>
            </w:r>
            <w:r w:rsidRPr="003D6D0E">
              <w:t xml:space="preserve"> nākamajam plānošanas periodam. </w:t>
            </w:r>
            <w:r>
              <w:t xml:space="preserve">Līdz ar to uz šī informatīvā ziņojuma pamata būtu jāpieņem lēmums par to vai tiks/netiks izstrādāts jauns </w:t>
            </w:r>
            <w:r w:rsidRPr="003D6D0E">
              <w:t>Ceļu satiksmes drošības plān</w:t>
            </w:r>
            <w:r>
              <w:t xml:space="preserve">s nākamajam periodam  un atkarībā no tā jānorāda vai tiks veikts </w:t>
            </w:r>
            <w:r w:rsidRPr="003D6D0E">
              <w:t>Ceļu satiksmes drošības plāna 2017.-2020.gadam</w:t>
            </w:r>
            <w:r>
              <w:t xml:space="preserve"> gala ietekmes novērtējums. Lūdzam atbilstoši precizēt </w:t>
            </w:r>
            <w:r w:rsidRPr="003D6D0E">
              <w:t xml:space="preserve">četrdesmit devītajā lappusē </w:t>
            </w:r>
            <w:r>
              <w:t xml:space="preserve">norādīto </w:t>
            </w:r>
            <w:r w:rsidRPr="003D6D0E">
              <w:t>4.punkt</w:t>
            </w:r>
            <w:r>
              <w:t>u, lai tas atbilstu iepriekšminētajām noteikumu prasībām;</w:t>
            </w:r>
          </w:p>
          <w:p w14:paraId="2E7D943E" w14:textId="2B27AE72" w:rsidR="00112AEE" w:rsidRPr="00126B96" w:rsidRDefault="00112AEE" w:rsidP="00DB309B">
            <w:pPr>
              <w:pStyle w:val="naisc"/>
              <w:spacing w:before="0" w:after="0"/>
              <w:ind w:firstLine="284"/>
              <w:jc w:val="both"/>
            </w:pPr>
          </w:p>
        </w:tc>
        <w:tc>
          <w:tcPr>
            <w:tcW w:w="3260" w:type="dxa"/>
            <w:tcBorders>
              <w:top w:val="single" w:sz="6" w:space="0" w:color="000000"/>
              <w:left w:val="single" w:sz="6" w:space="0" w:color="000000"/>
              <w:bottom w:val="single" w:sz="6" w:space="0" w:color="000000"/>
            </w:tcBorders>
          </w:tcPr>
          <w:p w14:paraId="6791630D" w14:textId="77777777" w:rsidR="00112AEE" w:rsidRPr="00126B96" w:rsidRDefault="00112AEE" w:rsidP="001C15F9">
            <w:pPr>
              <w:pStyle w:val="naisc"/>
              <w:spacing w:before="0" w:after="0"/>
              <w:ind w:firstLine="284"/>
              <w:rPr>
                <w:b/>
              </w:rPr>
            </w:pPr>
            <w:r>
              <w:rPr>
                <w:b/>
              </w:rPr>
              <w:lastRenderedPageBreak/>
              <w:t xml:space="preserve">Iebildums </w:t>
            </w:r>
            <w:r w:rsidRPr="00126B96">
              <w:rPr>
                <w:b/>
              </w:rPr>
              <w:t>ņemts vērā.</w:t>
            </w:r>
          </w:p>
          <w:p w14:paraId="22ACE811" w14:textId="37EFBC27" w:rsidR="00457B20" w:rsidRPr="00126B96" w:rsidRDefault="00112AEE" w:rsidP="00112AEE">
            <w:pPr>
              <w:pStyle w:val="naisc"/>
              <w:spacing w:before="0" w:after="0"/>
              <w:ind w:firstLine="284"/>
              <w:jc w:val="both"/>
            </w:pPr>
            <w:r>
              <w:t>Satiksmes ministrija ir precizējusi informatīvā ziņojuma 6.tabulas 4.pasākumu.</w:t>
            </w:r>
          </w:p>
        </w:tc>
        <w:tc>
          <w:tcPr>
            <w:tcW w:w="3260" w:type="dxa"/>
            <w:tcBorders>
              <w:top w:val="single" w:sz="6" w:space="0" w:color="000000"/>
              <w:left w:val="single" w:sz="6" w:space="0" w:color="000000"/>
              <w:bottom w:val="single" w:sz="6" w:space="0" w:color="000000"/>
              <w:right w:val="single" w:sz="4" w:space="0" w:color="auto"/>
            </w:tcBorders>
          </w:tcPr>
          <w:p w14:paraId="192D6333" w14:textId="77777777" w:rsidR="00112AEE" w:rsidRPr="00D14C32" w:rsidRDefault="00112AEE" w:rsidP="009D2C4F">
            <w:pPr>
              <w:pStyle w:val="naisc"/>
              <w:spacing w:before="0" w:after="0"/>
              <w:jc w:val="both"/>
              <w:rPr>
                <w:u w:val="single"/>
              </w:rPr>
            </w:pPr>
            <w:r w:rsidRPr="00D14C32">
              <w:rPr>
                <w:u w:val="single"/>
              </w:rPr>
              <w:t>Skatīt informatīvā ziņojuma 49.lpp:</w:t>
            </w:r>
          </w:p>
          <w:p w14:paraId="7D43499B" w14:textId="77777777" w:rsidR="00112AEE" w:rsidRDefault="00112AEE" w:rsidP="00112AEE">
            <w:pPr>
              <w:pStyle w:val="naisc"/>
              <w:spacing w:before="0" w:after="0"/>
              <w:ind w:firstLine="284"/>
              <w:jc w:val="both"/>
            </w:pPr>
          </w:p>
          <w:p w14:paraId="196BB459" w14:textId="538CBD43" w:rsidR="00112AEE" w:rsidRDefault="00F52EBF" w:rsidP="00112AEE">
            <w:pPr>
              <w:pStyle w:val="naisc"/>
              <w:spacing w:before="0" w:after="0"/>
              <w:ind w:firstLine="284"/>
              <w:jc w:val="both"/>
            </w:pPr>
            <w:r>
              <w:t>“</w:t>
            </w:r>
            <w:r w:rsidR="00112AEE">
              <w:t xml:space="preserve">4. </w:t>
            </w:r>
            <w:r w:rsidR="00112AEE" w:rsidRPr="00112AEE">
              <w:t>Veikt Ceļu satiksmes drošības plāna 2017.-2020.gadam ietekmes izvērtējumu un identificēt  rīcības politikas prioritātes nākamajam īstermiņa politikas plānošanas dokumentam ceļu satiksmes drošības jomā laika periodā 2021.-2024.gadam (uzstādot mērķa rādītājus laika posmam 2020.-2030.gads).</w:t>
            </w:r>
          </w:p>
          <w:p w14:paraId="53F289AE" w14:textId="77777777" w:rsidR="00112AEE" w:rsidRDefault="00112AEE" w:rsidP="00112AEE">
            <w:pPr>
              <w:pStyle w:val="naisc"/>
              <w:spacing w:before="0" w:after="0"/>
              <w:ind w:firstLine="284"/>
              <w:jc w:val="both"/>
            </w:pPr>
          </w:p>
          <w:p w14:paraId="1A98BFC4" w14:textId="77777777" w:rsidR="00112AEE" w:rsidRDefault="00112AEE" w:rsidP="00112AEE">
            <w:pPr>
              <w:pStyle w:val="naisc"/>
              <w:ind w:firstLine="284"/>
              <w:jc w:val="both"/>
            </w:pPr>
            <w:r>
              <w:t>Darbības rezultāts:</w:t>
            </w:r>
          </w:p>
          <w:p w14:paraId="710176BA" w14:textId="77777777" w:rsidR="00112AEE" w:rsidRDefault="00112AEE" w:rsidP="00112AEE">
            <w:pPr>
              <w:pStyle w:val="naisc"/>
              <w:ind w:firstLine="284"/>
              <w:jc w:val="both"/>
            </w:pPr>
            <w:r w:rsidRPr="00112AEE">
              <w:t>Veikt esošā ceļu satiksmes drošības politikas plānošanas dokumenta ietekmes izvērtēšana un   sagatavotas rīcības politikas prioritātes politikas plānošanas dokumentam ceļu satiksmes drošības jomā nākamajam plānošanas periodam.</w:t>
            </w:r>
          </w:p>
          <w:p w14:paraId="6034A412" w14:textId="77777777" w:rsidR="00112AEE" w:rsidRDefault="00112AEE" w:rsidP="00112AEE">
            <w:pPr>
              <w:pStyle w:val="naisc"/>
              <w:ind w:firstLine="284"/>
              <w:jc w:val="both"/>
            </w:pPr>
            <w:r>
              <w:lastRenderedPageBreak/>
              <w:t>Rezultatīvie rādītāji:</w:t>
            </w:r>
          </w:p>
          <w:p w14:paraId="5176A6D0" w14:textId="77777777" w:rsidR="00457B20" w:rsidRDefault="00112AEE" w:rsidP="009D2C4F">
            <w:pPr>
              <w:pStyle w:val="naisc"/>
              <w:spacing w:before="0" w:after="0"/>
              <w:ind w:firstLine="284"/>
              <w:jc w:val="left"/>
            </w:pPr>
            <w:r w:rsidRPr="00112AEE">
              <w:t>Veikts 1 pētījums.</w:t>
            </w:r>
          </w:p>
          <w:p w14:paraId="5E4F89F9" w14:textId="0047CCFF" w:rsidR="00F52EBF" w:rsidRPr="00126B96" w:rsidRDefault="00F52EBF" w:rsidP="001C15F9">
            <w:pPr>
              <w:pStyle w:val="naisc"/>
              <w:spacing w:before="0" w:after="0"/>
              <w:jc w:val="left"/>
            </w:pPr>
          </w:p>
        </w:tc>
      </w:tr>
      <w:tr w:rsidR="00457B20" w14:paraId="4E051800" w14:textId="77777777" w:rsidTr="00457B20">
        <w:tc>
          <w:tcPr>
            <w:tcW w:w="701" w:type="dxa"/>
            <w:tcBorders>
              <w:top w:val="single" w:sz="6" w:space="0" w:color="000000"/>
              <w:left w:val="single" w:sz="6" w:space="0" w:color="000000"/>
              <w:bottom w:val="single" w:sz="6" w:space="0" w:color="000000"/>
            </w:tcBorders>
          </w:tcPr>
          <w:p w14:paraId="6C8C2C9A" w14:textId="1C0027FC" w:rsidR="00457B20" w:rsidRPr="00126B96" w:rsidRDefault="00112AEE" w:rsidP="00112AEE">
            <w:pPr>
              <w:pStyle w:val="naisc"/>
              <w:spacing w:before="0" w:after="0"/>
              <w:jc w:val="left"/>
            </w:pPr>
            <w:r>
              <w:lastRenderedPageBreak/>
              <w:t xml:space="preserve">6. </w:t>
            </w:r>
          </w:p>
        </w:tc>
        <w:tc>
          <w:tcPr>
            <w:tcW w:w="3686" w:type="dxa"/>
            <w:gridSpan w:val="2"/>
            <w:tcBorders>
              <w:top w:val="single" w:sz="6" w:space="0" w:color="000000"/>
              <w:left w:val="single" w:sz="6" w:space="0" w:color="000000"/>
              <w:bottom w:val="single" w:sz="6" w:space="0" w:color="000000"/>
            </w:tcBorders>
          </w:tcPr>
          <w:p w14:paraId="1617C9A0" w14:textId="77777777" w:rsidR="00457B20" w:rsidRPr="00D14C32" w:rsidRDefault="00F9066D" w:rsidP="00584E58">
            <w:pPr>
              <w:pStyle w:val="naisc"/>
              <w:spacing w:before="0" w:after="0"/>
              <w:jc w:val="both"/>
              <w:rPr>
                <w:u w:val="single"/>
              </w:rPr>
            </w:pPr>
            <w:r w:rsidRPr="00D14C32">
              <w:rPr>
                <w:u w:val="single"/>
              </w:rPr>
              <w:t>Skatīt informatīvo ziņojuma 44.lpp:</w:t>
            </w:r>
          </w:p>
          <w:p w14:paraId="52270D80" w14:textId="77777777" w:rsidR="00F9066D" w:rsidRDefault="00F9066D" w:rsidP="00800B51">
            <w:pPr>
              <w:pStyle w:val="naisc"/>
              <w:spacing w:before="0" w:after="0"/>
              <w:ind w:firstLine="284"/>
              <w:jc w:val="both"/>
            </w:pPr>
          </w:p>
          <w:p w14:paraId="006A15AD" w14:textId="2B636E9E" w:rsidR="00F9066D" w:rsidRDefault="00F52EBF" w:rsidP="00F9066D">
            <w:pPr>
              <w:pStyle w:val="naisc"/>
              <w:ind w:firstLine="284"/>
              <w:jc w:val="both"/>
            </w:pPr>
            <w:r>
              <w:t>“</w:t>
            </w:r>
            <w:r w:rsidR="00F9066D">
              <w:t xml:space="preserve">Ceļu satiksmes drošības plāna 2017.-2020.gadam ietvaros tika plānots veikt pētījumu “Visaptverošs pētījums par ceļu satiksmes drošību ietekmējošiem riska faktoriem Latvijā” (Rīcības virziena 3.1.Preventīvie ceļu satiksmes drošības pasākumi 3.1.1.Pētnieciskie pasākumi par ceļu satiksmes drošību Latvijā 1.pasākums), kura rezultātā tiktu sagatavoti secinājumi par ceļu </w:t>
            </w:r>
            <w:r w:rsidR="00F9066D">
              <w:lastRenderedPageBreak/>
              <w:t>satiksmes negadījumu iemesliem un priekšlikumi rīcībām, kuras palīdzētu sasniegt bojāgājušo un ievainoto skaita samazināšanu 50 % apmērā līdz 2020.gadam pret 2010.gadu. Pētījuma īstenošanas daba grupā tika secināts, ka Rīgas reģions sastāda lielāko daļu no valstī reģistrētajiem CSNg, kā arī Rīgas reģionā novērojama vislielākā satiksmes intensitāte, tādējādi pētījumā aplūkojot tikai Rīgas reģionā notikušos smagos CSNg, tiktu gūts plašs priekšstats par situāciju kopumā Latvijas teritorijā. Tādējādi plāna ietvaros tika veikts pētījums “Visaptverošs pētījums par ceļu satiksmes drošību ietekmējošiem riska faktoriem Rīgas reģionā”.</w:t>
            </w:r>
          </w:p>
          <w:p w14:paraId="58981025" w14:textId="701B2AD5" w:rsidR="00F9066D" w:rsidRPr="00126B96" w:rsidRDefault="00F9066D" w:rsidP="00F9066D">
            <w:pPr>
              <w:pStyle w:val="naisc"/>
              <w:spacing w:before="0" w:after="0"/>
              <w:ind w:firstLine="284"/>
              <w:jc w:val="both"/>
            </w:pPr>
            <w:r>
              <w:t>Ņemot vērā iepriekšminēto tika sagatavoti jauni priekšlikumi rīcībām, lai samazinātu ceļu satiksmes negadījumos bojāgājušo un ievainoto skaitu, kas izskatīti Ceļu satiksmes drošības padomes sēdē 2018.gada 20.septembrī un ir sniegta informācija par pasākumu izpildes progresu Ceļu satiksmes drošības padomes 2019.gada 28.februāra sēdē.</w:t>
            </w:r>
            <w:r w:rsidR="00F52EBF">
              <w:t xml:space="preserve"> “</w:t>
            </w:r>
          </w:p>
        </w:tc>
        <w:tc>
          <w:tcPr>
            <w:tcW w:w="3969" w:type="dxa"/>
            <w:gridSpan w:val="2"/>
            <w:tcBorders>
              <w:top w:val="single" w:sz="6" w:space="0" w:color="000000"/>
              <w:left w:val="single" w:sz="6" w:space="0" w:color="000000"/>
              <w:bottom w:val="single" w:sz="6" w:space="0" w:color="000000"/>
            </w:tcBorders>
          </w:tcPr>
          <w:p w14:paraId="5CB0538D" w14:textId="75D533DF" w:rsidR="00457B20" w:rsidRPr="00126B96" w:rsidRDefault="00112AEE" w:rsidP="00112AEE">
            <w:pPr>
              <w:pStyle w:val="naisc"/>
              <w:spacing w:before="0" w:after="0"/>
              <w:ind w:left="33" w:right="34" w:firstLine="284"/>
              <w:jc w:val="both"/>
            </w:pPr>
            <w:r>
              <w:lastRenderedPageBreak/>
              <w:t xml:space="preserve">2)  Lūdzam </w:t>
            </w:r>
            <w:r w:rsidRPr="00C04A25">
              <w:t>papildināt informatīvā ziņojuma projektu ar informāciju, kas pamato jauno priekšlikumu un uzdevumu nepieciešamību, tai skaitā no informatīvā ziņojuma projektā minētā pētījuma “Visaptverošs pētījums par ceļu satiksmes drošību ietekmējošiem riska faktoriem Rīgas reģionā”. Pašlaik informatīvā ziņojuma projektā ietverta informācija par bojāgājušo un smagi ievainoto</w:t>
            </w:r>
            <w:r>
              <w:t xml:space="preserve"> ceļu satiksmes negadījumos skaitu, taču nav redzama skaidra sasaiste starp </w:t>
            </w:r>
            <w:r w:rsidRPr="00ED74C9">
              <w:t xml:space="preserve">piedāvātajiem jaunajiem uzdevumiem </w:t>
            </w:r>
            <w:r w:rsidRPr="00ED74C9">
              <w:lastRenderedPageBreak/>
              <w:t>un priekšlikumiem un ceļu satiksmes negadījumu cēloņiem. Piemēram, attiecībā uz uzdevumu “Izvērtēt iespējas ieviest distances apzīmējumu (prasības standartos un normatīvajos aktos) un realizēt praksē uz valsts galvenajiem autoceļiem”</w:t>
            </w:r>
            <w:r>
              <w:t xml:space="preserve"> nav skaidrs vai šāds jauns uzdevums izriet no tādu ceļu satiksmes negadījumu pieauguma, kuri notikuši dēļ neievērotas distances starp transportlīdzekļiem. Turklāt jānorāda, ka attiecībā uz jauniem uzdevumiem (sestais un vienpadsmitais uzdevums) vienlaicīgi tiek plānots veikt izvērtējumu un no tā rezultāta atkarīgās turpmākās darbības, tomēr turpmāko darbību veikšanai jābūt atkarīgai no izvērtējuma rezultātiem, pretējā gadījumā šādam izvērtējumam būtu tikai formāls raksturs;</w:t>
            </w:r>
          </w:p>
        </w:tc>
        <w:tc>
          <w:tcPr>
            <w:tcW w:w="3260" w:type="dxa"/>
            <w:tcBorders>
              <w:top w:val="single" w:sz="6" w:space="0" w:color="000000"/>
              <w:left w:val="single" w:sz="6" w:space="0" w:color="000000"/>
              <w:bottom w:val="single" w:sz="6" w:space="0" w:color="000000"/>
            </w:tcBorders>
          </w:tcPr>
          <w:p w14:paraId="2BB27281" w14:textId="48BADBC1" w:rsidR="00112AEE" w:rsidRPr="00112AEE" w:rsidRDefault="00DF6B25" w:rsidP="001C15F9">
            <w:pPr>
              <w:pStyle w:val="naisc"/>
              <w:ind w:firstLine="284"/>
              <w:rPr>
                <w:b/>
              </w:rPr>
            </w:pPr>
            <w:r>
              <w:rPr>
                <w:b/>
              </w:rPr>
              <w:lastRenderedPageBreak/>
              <w:t>Panākta vienošanās</w:t>
            </w:r>
            <w:r w:rsidR="00112AEE" w:rsidRPr="00112AEE">
              <w:rPr>
                <w:b/>
              </w:rPr>
              <w:t>.</w:t>
            </w:r>
          </w:p>
          <w:p w14:paraId="57ABDB2E" w14:textId="77777777" w:rsidR="00C34EC9" w:rsidRDefault="00C34EC9" w:rsidP="00C34EC9">
            <w:pPr>
              <w:pStyle w:val="NoSpacing"/>
              <w:ind w:firstLine="709"/>
              <w:rPr>
                <w:szCs w:val="24"/>
              </w:rPr>
            </w:pPr>
            <w:r>
              <w:rPr>
                <w:szCs w:val="24"/>
              </w:rPr>
              <w:t>Satiksmes ministrija norāda</w:t>
            </w:r>
            <w:r w:rsidR="00112AEE" w:rsidRPr="00F9066D">
              <w:rPr>
                <w:szCs w:val="24"/>
              </w:rPr>
              <w:t xml:space="preserve">, ka </w:t>
            </w:r>
            <w:r w:rsidR="00F9066D" w:rsidRPr="00F9066D">
              <w:rPr>
                <w:szCs w:val="24"/>
              </w:rPr>
              <w:t>Ceļu satiksmes drošības padomes (turpmāk – Padome) 2017.gada 10.marta sēdē tika atbalstīta “Visaptverošu pētījumu par ceļu satiksmes drošību ietekmējošiem riska faktoriem Rīgas reģionā” (turpmāk – Pētījums)</w:t>
            </w:r>
            <w:r>
              <w:rPr>
                <w:szCs w:val="24"/>
              </w:rPr>
              <w:t xml:space="preserve"> īste</w:t>
            </w:r>
            <w:r w:rsidR="00F9066D" w:rsidRPr="00F9066D">
              <w:rPr>
                <w:szCs w:val="24"/>
              </w:rPr>
              <w:t xml:space="preserve">nošana (protokola 6.9.apakšpunkts). </w:t>
            </w:r>
          </w:p>
          <w:p w14:paraId="0EC5E5BD" w14:textId="46C8A353" w:rsidR="00F9066D" w:rsidRPr="00F9066D" w:rsidRDefault="00F9066D" w:rsidP="00C34EC9">
            <w:pPr>
              <w:pStyle w:val="NoSpacing"/>
              <w:ind w:firstLine="709"/>
              <w:rPr>
                <w:szCs w:val="24"/>
              </w:rPr>
            </w:pPr>
            <w:r w:rsidRPr="00F9066D">
              <w:rPr>
                <w:szCs w:val="24"/>
              </w:rPr>
              <w:t xml:space="preserve">Ņemot vērā padomes lēmumu, </w:t>
            </w:r>
            <w:r w:rsidR="00C34EC9">
              <w:rPr>
                <w:szCs w:val="24"/>
              </w:rPr>
              <w:t xml:space="preserve"> tika veikta </w:t>
            </w:r>
            <w:r w:rsidRPr="00F9066D">
              <w:rPr>
                <w:szCs w:val="24"/>
              </w:rPr>
              <w:t xml:space="preserve">Pētījuma </w:t>
            </w:r>
            <w:r w:rsidRPr="00F9066D">
              <w:rPr>
                <w:szCs w:val="24"/>
              </w:rPr>
              <w:lastRenderedPageBreak/>
              <w:t>izstrāde, kā arī tika sagatavoti secinājumi par ceļu satiksmes negadījumu iemesliem un priekšlikumi jaunām rīcībām, kuras palīdzētu sasniegt bojāgājušo un ievainoto skaita samazināšanu 50 % apmērā līdz 2020.gadam pret 2010.gadu. Tādējādi Pētījumā ir identificēti būtiski riski, kas palielina iespēju iekļūt ceļu satiksmes negadījumā, kurā ir smagi ievainotie vai bojāgājušie, tostarp šādi: gājēju drošības nodrošināšana,</w:t>
            </w:r>
            <w:r w:rsidR="00C34EC9">
              <w:rPr>
                <w:szCs w:val="24"/>
              </w:rPr>
              <w:t xml:space="preserve"> </w:t>
            </w:r>
            <w:r w:rsidRPr="00F9066D">
              <w:rPr>
                <w:szCs w:val="24"/>
              </w:rPr>
              <w:t xml:space="preserve">transportlīdzekļu vadītāju rīcība, </w:t>
            </w:r>
            <w:r w:rsidR="00C34EC9">
              <w:rPr>
                <w:szCs w:val="24"/>
              </w:rPr>
              <w:t>c</w:t>
            </w:r>
            <w:r w:rsidRPr="00F9066D">
              <w:rPr>
                <w:szCs w:val="24"/>
              </w:rPr>
              <w:t>eļu satiksmes negadījumu seku likvidācija un to iemeslu analīzes process</w:t>
            </w:r>
            <w:r w:rsidR="00C34EC9">
              <w:rPr>
                <w:szCs w:val="24"/>
              </w:rPr>
              <w:t xml:space="preserve"> un arī citi riski</w:t>
            </w:r>
            <w:r w:rsidRPr="00F9066D">
              <w:rPr>
                <w:szCs w:val="24"/>
              </w:rPr>
              <w:t xml:space="preserve">. </w:t>
            </w:r>
          </w:p>
          <w:p w14:paraId="590B37A9" w14:textId="378D62FE" w:rsidR="00F9066D" w:rsidRPr="00F9066D" w:rsidRDefault="00C34EC9" w:rsidP="00F9066D">
            <w:pPr>
              <w:pStyle w:val="BodyText"/>
              <w:ind w:firstLine="709"/>
              <w:rPr>
                <w:sz w:val="24"/>
                <w:szCs w:val="24"/>
              </w:rPr>
            </w:pPr>
            <w:r>
              <w:rPr>
                <w:sz w:val="24"/>
                <w:szCs w:val="24"/>
              </w:rPr>
              <w:t>V</w:t>
            </w:r>
            <w:r w:rsidR="00F9066D" w:rsidRPr="00F9066D">
              <w:rPr>
                <w:sz w:val="24"/>
                <w:szCs w:val="24"/>
              </w:rPr>
              <w:t xml:space="preserve">ēršam uzmanību, ka </w:t>
            </w:r>
            <w:r w:rsidR="00F9066D" w:rsidRPr="00C34EC9">
              <w:rPr>
                <w:sz w:val="24"/>
                <w:szCs w:val="24"/>
                <w:u w:val="single"/>
              </w:rPr>
              <w:t>priekšlikumi no Pētījuma par jaunām rīcībām ceļu satiksmes drošības uzlabošanai  tika izskatīti</w:t>
            </w:r>
            <w:r w:rsidR="00C70379">
              <w:rPr>
                <w:sz w:val="24"/>
                <w:szCs w:val="24"/>
                <w:u w:val="single"/>
              </w:rPr>
              <w:t xml:space="preserve"> un atbalstīti</w:t>
            </w:r>
            <w:r w:rsidR="00F9066D" w:rsidRPr="00C34EC9">
              <w:rPr>
                <w:sz w:val="24"/>
                <w:szCs w:val="24"/>
                <w:u w:val="single"/>
              </w:rPr>
              <w:t xml:space="preserve"> Padomes sēdē 2018.gada 20.sept</w:t>
            </w:r>
            <w:r w:rsidR="002C5BFD">
              <w:rPr>
                <w:sz w:val="24"/>
                <w:szCs w:val="24"/>
                <w:u w:val="single"/>
              </w:rPr>
              <w:t>embrī ar mērķi, lai tie tiktu</w:t>
            </w:r>
            <w:r w:rsidR="00F9066D" w:rsidRPr="00C34EC9">
              <w:rPr>
                <w:sz w:val="24"/>
                <w:szCs w:val="24"/>
                <w:u w:val="single"/>
              </w:rPr>
              <w:t xml:space="preserve"> iekļauti informatīvajā ziņojumā.</w:t>
            </w:r>
          </w:p>
          <w:p w14:paraId="1E632A7C" w14:textId="602F644E" w:rsidR="00F9066D" w:rsidRPr="00F9066D" w:rsidRDefault="00F9066D" w:rsidP="00F9066D">
            <w:pPr>
              <w:pStyle w:val="BodyText"/>
              <w:ind w:firstLine="709"/>
              <w:rPr>
                <w:sz w:val="24"/>
                <w:szCs w:val="24"/>
              </w:rPr>
            </w:pPr>
            <w:r w:rsidRPr="00F9066D">
              <w:rPr>
                <w:sz w:val="24"/>
                <w:szCs w:val="24"/>
              </w:rPr>
              <w:t xml:space="preserve">Ņemot vērā minēto, Satiksmes ministrija ir papildinājusi informatīvo </w:t>
            </w:r>
            <w:r w:rsidRPr="00F9066D">
              <w:rPr>
                <w:sz w:val="24"/>
                <w:szCs w:val="24"/>
              </w:rPr>
              <w:lastRenderedPageBreak/>
              <w:t>ziņojumu ar papildus skaidrojumu par priekšlikumiem jaunām rīcībām</w:t>
            </w:r>
            <w:r w:rsidR="00C34EC9">
              <w:rPr>
                <w:sz w:val="24"/>
                <w:szCs w:val="24"/>
              </w:rPr>
              <w:t xml:space="preserve"> (pasākumiem)</w:t>
            </w:r>
            <w:r w:rsidRPr="00F9066D">
              <w:rPr>
                <w:sz w:val="24"/>
                <w:szCs w:val="24"/>
              </w:rPr>
              <w:t xml:space="preserve"> ceļu satiksmes drošības uzlabošanai.</w:t>
            </w:r>
          </w:p>
          <w:p w14:paraId="73822894" w14:textId="02D54887" w:rsidR="00457B20" w:rsidRPr="00126B96" w:rsidRDefault="00457B20" w:rsidP="00F9066D">
            <w:pPr>
              <w:pStyle w:val="naisc"/>
              <w:spacing w:before="0" w:after="0"/>
              <w:ind w:firstLine="284"/>
              <w:jc w:val="both"/>
            </w:pPr>
          </w:p>
        </w:tc>
        <w:tc>
          <w:tcPr>
            <w:tcW w:w="3260" w:type="dxa"/>
            <w:tcBorders>
              <w:top w:val="single" w:sz="6" w:space="0" w:color="000000"/>
              <w:left w:val="single" w:sz="6" w:space="0" w:color="000000"/>
              <w:bottom w:val="single" w:sz="6" w:space="0" w:color="000000"/>
              <w:right w:val="single" w:sz="4" w:space="0" w:color="auto"/>
            </w:tcBorders>
          </w:tcPr>
          <w:p w14:paraId="108E630A" w14:textId="6425A5ED" w:rsidR="00457B20" w:rsidRPr="00D14C32" w:rsidRDefault="00800B51" w:rsidP="001C15F9">
            <w:pPr>
              <w:pStyle w:val="naisc"/>
              <w:spacing w:before="0" w:after="0"/>
              <w:jc w:val="both"/>
              <w:rPr>
                <w:u w:val="single"/>
              </w:rPr>
            </w:pPr>
            <w:r w:rsidRPr="00D14C32">
              <w:rPr>
                <w:u w:val="single"/>
              </w:rPr>
              <w:lastRenderedPageBreak/>
              <w:t>Skatīt informatīvā ziņojuma</w:t>
            </w:r>
            <w:r w:rsidR="00C34EC9" w:rsidRPr="00D14C32">
              <w:rPr>
                <w:u w:val="single"/>
              </w:rPr>
              <w:t xml:space="preserve"> </w:t>
            </w:r>
            <w:r w:rsidR="00F9066D" w:rsidRPr="00D14C32">
              <w:rPr>
                <w:u w:val="single"/>
              </w:rPr>
              <w:t>redakciju 44.lpp</w:t>
            </w:r>
            <w:r w:rsidR="001C15F9">
              <w:rPr>
                <w:u w:val="single"/>
              </w:rPr>
              <w:t>.</w:t>
            </w:r>
            <w:r w:rsidR="00F9066D" w:rsidRPr="00D14C32">
              <w:rPr>
                <w:u w:val="single"/>
              </w:rPr>
              <w:t xml:space="preserve"> un papildināto skaidrojumu</w:t>
            </w:r>
            <w:r w:rsidRPr="00D14C32">
              <w:rPr>
                <w:u w:val="single"/>
              </w:rPr>
              <w:t xml:space="preserve"> </w:t>
            </w:r>
            <w:r w:rsidR="00812598" w:rsidRPr="00D14C32">
              <w:rPr>
                <w:u w:val="single"/>
              </w:rPr>
              <w:t>48.lpp</w:t>
            </w:r>
            <w:r w:rsidR="001C15F9">
              <w:rPr>
                <w:u w:val="single"/>
              </w:rPr>
              <w:t>.</w:t>
            </w:r>
            <w:r w:rsidR="00812598" w:rsidRPr="00D14C32">
              <w:rPr>
                <w:u w:val="single"/>
              </w:rPr>
              <w:t>:</w:t>
            </w:r>
          </w:p>
          <w:p w14:paraId="08A1783C" w14:textId="77777777" w:rsidR="00C34EC9" w:rsidRDefault="00C34EC9" w:rsidP="001C15F9">
            <w:pPr>
              <w:pStyle w:val="naisc"/>
              <w:spacing w:before="0" w:after="0"/>
              <w:jc w:val="both"/>
            </w:pPr>
          </w:p>
          <w:p w14:paraId="635BA63B" w14:textId="5C902A63" w:rsidR="00812598" w:rsidRPr="00126B96" w:rsidRDefault="00C34EC9" w:rsidP="00812598">
            <w:pPr>
              <w:pStyle w:val="naisc"/>
              <w:spacing w:before="0" w:after="0"/>
              <w:jc w:val="both"/>
            </w:pPr>
            <w:r>
              <w:t>“….</w:t>
            </w:r>
            <w:r w:rsidRPr="00C34EC9">
              <w:t>Tāpat priekšlikumi jauniem pasākumiem ceļu satiksmes drošības uzlabošanai ietver arī tādus pasākumus, kas tika izskatīti</w:t>
            </w:r>
            <w:r w:rsidR="00C70379">
              <w:t xml:space="preserve"> un atbalstīti</w:t>
            </w:r>
            <w:r w:rsidRPr="00C34EC9">
              <w:t xml:space="preserve"> Ceļu satiksmes drošības padomes 2018.gada 20.septembra sēdē saistībā ar  pētījumā “Visaptverošu pētījumu par ceļu satiksmes drošību </w:t>
            </w:r>
            <w:r w:rsidRPr="00C34EC9">
              <w:lastRenderedPageBreak/>
              <w:t>ietekmējošiem riska faktoriem Rīgas reģionā” iegūtajiem rezultātiem un sniegtajiem priekšlikumiem ceļu satiksmes drošības uzlabošanai (skatīt 6.tabulu)</w:t>
            </w:r>
            <w:r>
              <w:t>… “</w:t>
            </w:r>
          </w:p>
        </w:tc>
      </w:tr>
      <w:tr w:rsidR="00457B20" w14:paraId="69D6890D" w14:textId="77777777" w:rsidTr="00457B20">
        <w:tc>
          <w:tcPr>
            <w:tcW w:w="701" w:type="dxa"/>
            <w:tcBorders>
              <w:top w:val="single" w:sz="6" w:space="0" w:color="000000"/>
              <w:left w:val="single" w:sz="6" w:space="0" w:color="000000"/>
              <w:bottom w:val="single" w:sz="6" w:space="0" w:color="000000"/>
            </w:tcBorders>
          </w:tcPr>
          <w:p w14:paraId="3476876D" w14:textId="5F3CD619" w:rsidR="00457B20" w:rsidRPr="00126B96" w:rsidRDefault="00C70379" w:rsidP="00C70379">
            <w:pPr>
              <w:pStyle w:val="naisc"/>
              <w:spacing w:before="0" w:after="0"/>
              <w:jc w:val="left"/>
            </w:pPr>
            <w:r>
              <w:lastRenderedPageBreak/>
              <w:t xml:space="preserve">7. </w:t>
            </w:r>
          </w:p>
        </w:tc>
        <w:tc>
          <w:tcPr>
            <w:tcW w:w="3686" w:type="dxa"/>
            <w:gridSpan w:val="2"/>
            <w:tcBorders>
              <w:top w:val="single" w:sz="6" w:space="0" w:color="000000"/>
              <w:left w:val="single" w:sz="6" w:space="0" w:color="000000"/>
              <w:bottom w:val="single" w:sz="6" w:space="0" w:color="000000"/>
            </w:tcBorders>
          </w:tcPr>
          <w:p w14:paraId="56268874" w14:textId="26B47B11" w:rsidR="00B929E2" w:rsidRPr="00D14C32" w:rsidRDefault="00B929E2" w:rsidP="00B929E2">
            <w:pPr>
              <w:pStyle w:val="naisc"/>
              <w:jc w:val="both"/>
              <w:rPr>
                <w:u w:val="single"/>
              </w:rPr>
            </w:pPr>
            <w:r w:rsidRPr="00D14C32">
              <w:rPr>
                <w:u w:val="single"/>
              </w:rPr>
              <w:t>Informatīvā ziņojuma 7.tabulas 3.punkts:</w:t>
            </w:r>
          </w:p>
          <w:p w14:paraId="1F4D9F0A" w14:textId="77777777" w:rsidR="00B929E2" w:rsidRDefault="00B929E2" w:rsidP="00B929E2">
            <w:pPr>
              <w:pStyle w:val="naisc"/>
              <w:jc w:val="both"/>
            </w:pPr>
          </w:p>
          <w:p w14:paraId="31496737" w14:textId="7CBF86DB" w:rsidR="00B929E2" w:rsidRDefault="00F52EBF" w:rsidP="00B929E2">
            <w:pPr>
              <w:pStyle w:val="naisc"/>
              <w:jc w:val="both"/>
            </w:pPr>
            <w:r>
              <w:t>“</w:t>
            </w:r>
            <w:r w:rsidR="00B40739">
              <w:t xml:space="preserve">3. </w:t>
            </w:r>
            <w:r w:rsidR="00B929E2">
              <w:t>Nodrošināt, ka daļa no OCTA līdzekļiem tiek piešķirti ceļu satiksmes drošības pētījumiem un ceļu satiksmes drošības politikas plānotājiem ir pieejams aktuāls situācijas izvērtējums par būtiskiem ceļu satiksmes drošības riskiem/faktoriem, kas ietekmē satiksmes drošību.</w:t>
            </w:r>
          </w:p>
          <w:p w14:paraId="68096F90" w14:textId="77777777" w:rsidR="00B929E2" w:rsidRDefault="00B929E2" w:rsidP="00B929E2">
            <w:pPr>
              <w:pStyle w:val="naisc"/>
              <w:ind w:firstLine="284"/>
              <w:jc w:val="both"/>
            </w:pPr>
          </w:p>
          <w:p w14:paraId="79BB2161" w14:textId="77777777" w:rsidR="00B40739" w:rsidRDefault="00B929E2" w:rsidP="00B929E2">
            <w:pPr>
              <w:pStyle w:val="naisc"/>
              <w:ind w:firstLine="284"/>
              <w:jc w:val="both"/>
            </w:pPr>
            <w:r>
              <w:t>Darbības rezultāts:</w:t>
            </w:r>
          </w:p>
          <w:p w14:paraId="4D09C532" w14:textId="1AFC7C7A" w:rsidR="00B929E2" w:rsidRDefault="00B929E2" w:rsidP="00B929E2">
            <w:pPr>
              <w:pStyle w:val="naisc"/>
              <w:ind w:firstLine="284"/>
              <w:jc w:val="both"/>
            </w:pPr>
            <w:r>
              <w:t xml:space="preserve"> Nodrošināta iespēja ceļu satiksmes drošības politikas plānotājiem iegūt izvērtējumu par aktuāliem un būtiskiem riskiem, kas ietekmē satiksmes drošību.</w:t>
            </w:r>
          </w:p>
          <w:p w14:paraId="0ADEFFDC" w14:textId="77777777" w:rsidR="00B929E2" w:rsidRDefault="00B929E2" w:rsidP="00B929E2">
            <w:pPr>
              <w:pStyle w:val="naisc"/>
              <w:ind w:firstLine="284"/>
              <w:jc w:val="both"/>
            </w:pPr>
          </w:p>
          <w:p w14:paraId="7F71AA9F" w14:textId="77777777" w:rsidR="00B40739" w:rsidRDefault="00B929E2" w:rsidP="00B929E2">
            <w:pPr>
              <w:pStyle w:val="naisc"/>
              <w:spacing w:before="0" w:after="0"/>
              <w:ind w:firstLine="284"/>
              <w:jc w:val="both"/>
            </w:pPr>
            <w:r>
              <w:t xml:space="preserve">Rezultatīvais rādītājs: </w:t>
            </w:r>
          </w:p>
          <w:p w14:paraId="5AA57306" w14:textId="77777777" w:rsidR="00457B20" w:rsidRDefault="00B929E2" w:rsidP="00B929E2">
            <w:pPr>
              <w:pStyle w:val="naisc"/>
              <w:spacing w:before="0" w:after="0"/>
              <w:ind w:firstLine="284"/>
              <w:jc w:val="both"/>
            </w:pPr>
            <w:r>
              <w:lastRenderedPageBreak/>
              <w:t>Veikti 2-5 pētījumi ceļu satiksmes drošības jomā par aktuālām un būtiskām tēmām.</w:t>
            </w:r>
          </w:p>
          <w:p w14:paraId="423628C1" w14:textId="168B39D5" w:rsidR="00F52EBF" w:rsidRPr="00126B96" w:rsidRDefault="00F52EBF" w:rsidP="00B929E2">
            <w:pPr>
              <w:pStyle w:val="naisc"/>
              <w:spacing w:before="0" w:after="0"/>
              <w:ind w:firstLine="284"/>
              <w:jc w:val="both"/>
            </w:pPr>
            <w:r>
              <w:t>.. “</w:t>
            </w:r>
          </w:p>
        </w:tc>
        <w:tc>
          <w:tcPr>
            <w:tcW w:w="3969" w:type="dxa"/>
            <w:gridSpan w:val="2"/>
            <w:tcBorders>
              <w:top w:val="single" w:sz="6" w:space="0" w:color="000000"/>
              <w:left w:val="single" w:sz="6" w:space="0" w:color="000000"/>
              <w:bottom w:val="single" w:sz="6" w:space="0" w:color="000000"/>
            </w:tcBorders>
          </w:tcPr>
          <w:p w14:paraId="1DE14860" w14:textId="77777777" w:rsidR="00C70379" w:rsidRDefault="00C70379" w:rsidP="00C70379">
            <w:pPr>
              <w:ind w:firstLine="181"/>
              <w:jc w:val="both"/>
              <w:rPr>
                <w:szCs w:val="24"/>
              </w:rPr>
            </w:pPr>
            <w:r w:rsidRPr="00DB3F5C">
              <w:rPr>
                <w:szCs w:val="24"/>
              </w:rPr>
              <w:lastRenderedPageBreak/>
              <w:t>3)</w:t>
            </w:r>
            <w:r w:rsidRPr="00DB3F5C">
              <w:rPr>
                <w:szCs w:val="24"/>
              </w:rPr>
              <w:tab/>
              <w:t>Lūdzam papildināt informatīvā ziņojuma projektu, norādot konkrētas tēmas četrdesmit devītajā lappusē 3.punktā minētajiem ceļu satiksmes drošības pētījumiem un šo tematiku pamatojošu informāciju, kas raksturo ceļu satiksmes negadījumu un to seku saistību ar ceļu satiksmes negadījumu cēloņiem, piemēram, ceļu satiksmes infrastruktūras atbilstību drošas satiksmes prasībām, transportlīdzekļa vadīšanu apreibinošo vielu ietekmē vai vienlaikus izmantojot mobilos sakaru līdzekļus, u.c.</w:t>
            </w:r>
          </w:p>
          <w:p w14:paraId="32C64AE2" w14:textId="77777777" w:rsidR="00457B20" w:rsidRPr="00126B96" w:rsidRDefault="00457B20" w:rsidP="00800B51">
            <w:pPr>
              <w:pStyle w:val="naisc"/>
              <w:spacing w:before="0" w:after="0"/>
              <w:ind w:firstLine="284"/>
            </w:pPr>
          </w:p>
        </w:tc>
        <w:tc>
          <w:tcPr>
            <w:tcW w:w="3260" w:type="dxa"/>
            <w:tcBorders>
              <w:top w:val="single" w:sz="6" w:space="0" w:color="000000"/>
              <w:left w:val="single" w:sz="6" w:space="0" w:color="000000"/>
              <w:bottom w:val="single" w:sz="6" w:space="0" w:color="000000"/>
            </w:tcBorders>
          </w:tcPr>
          <w:p w14:paraId="271D59DD" w14:textId="0A63BE91" w:rsidR="00C70379" w:rsidRPr="00112AEE" w:rsidRDefault="00DF6B25" w:rsidP="001C15F9">
            <w:pPr>
              <w:pStyle w:val="naisc"/>
              <w:ind w:firstLine="284"/>
              <w:rPr>
                <w:b/>
              </w:rPr>
            </w:pPr>
            <w:r>
              <w:rPr>
                <w:b/>
              </w:rPr>
              <w:t>Panākta vienošanās</w:t>
            </w:r>
            <w:r w:rsidR="00C70379" w:rsidRPr="00112AEE">
              <w:rPr>
                <w:b/>
              </w:rPr>
              <w:t>.</w:t>
            </w:r>
          </w:p>
          <w:p w14:paraId="3A280C89" w14:textId="77777777" w:rsidR="00457B20" w:rsidRDefault="00B929E2" w:rsidP="001C15F9">
            <w:pPr>
              <w:pStyle w:val="naisc"/>
              <w:spacing w:before="0" w:after="0"/>
              <w:jc w:val="both"/>
            </w:pPr>
            <w:r>
              <w:t>Skatīt skaidrojumu izziņas 1.punktā.</w:t>
            </w:r>
          </w:p>
          <w:p w14:paraId="7C33809D" w14:textId="36C9E0A0" w:rsidR="00B40739" w:rsidRPr="00126B96" w:rsidRDefault="00B40739" w:rsidP="00C70379">
            <w:pPr>
              <w:pStyle w:val="naisc"/>
              <w:spacing w:before="0" w:after="0"/>
              <w:ind w:firstLine="284"/>
              <w:jc w:val="both"/>
            </w:pPr>
          </w:p>
        </w:tc>
        <w:tc>
          <w:tcPr>
            <w:tcW w:w="3260" w:type="dxa"/>
            <w:tcBorders>
              <w:top w:val="single" w:sz="6" w:space="0" w:color="000000"/>
              <w:left w:val="single" w:sz="6" w:space="0" w:color="000000"/>
              <w:bottom w:val="single" w:sz="6" w:space="0" w:color="000000"/>
              <w:right w:val="single" w:sz="4" w:space="0" w:color="auto"/>
            </w:tcBorders>
          </w:tcPr>
          <w:p w14:paraId="2750BA1B" w14:textId="49BB928C" w:rsidR="00B929E2" w:rsidRPr="00D14C32" w:rsidRDefault="00244C1A" w:rsidP="00B929E2">
            <w:pPr>
              <w:pStyle w:val="naisc"/>
              <w:jc w:val="both"/>
              <w:rPr>
                <w:u w:val="single"/>
              </w:rPr>
            </w:pPr>
            <w:r>
              <w:rPr>
                <w:u w:val="single"/>
              </w:rPr>
              <w:t>Informatīvā ziņojuma 7.tabulas 4</w:t>
            </w:r>
            <w:r w:rsidR="00B929E2" w:rsidRPr="00D14C32">
              <w:rPr>
                <w:u w:val="single"/>
              </w:rPr>
              <w:t>.punkts:</w:t>
            </w:r>
          </w:p>
          <w:p w14:paraId="70DF3631" w14:textId="77777777" w:rsidR="00B929E2" w:rsidRDefault="00B929E2" w:rsidP="00332053">
            <w:pPr>
              <w:pStyle w:val="naisc"/>
              <w:spacing w:before="0" w:after="0"/>
              <w:jc w:val="left"/>
            </w:pPr>
          </w:p>
          <w:p w14:paraId="3E2EEE70" w14:textId="1B1FA081" w:rsidR="00B929E2" w:rsidRDefault="00F52EBF" w:rsidP="00B929E2">
            <w:pPr>
              <w:pStyle w:val="naisc"/>
              <w:jc w:val="both"/>
            </w:pPr>
            <w:r>
              <w:t xml:space="preserve">“ </w:t>
            </w:r>
            <w:r w:rsidR="00B40739">
              <w:t>3</w:t>
            </w:r>
            <w:r w:rsidR="00B40739" w:rsidRPr="00244C1A">
              <w:t xml:space="preserve">.  </w:t>
            </w:r>
            <w:r w:rsidR="00B929E2" w:rsidRPr="00244C1A">
              <w:t>Nodrošināt, ka daļa no OCTA līdzekļiem tiek</w:t>
            </w:r>
            <w:r w:rsidR="00B929E2">
              <w:t xml:space="preserve"> piešķirti ceļu satiksmes drošības pētījumiem un ceļu satiksmes drošības politikas plānotājiem ir pieejams aktuāls situācijas izvērtējums par būtiskiem ceļu satiksmes drošības riskiem/faktoriem, kas ietekmē satiksmes drošību.</w:t>
            </w:r>
          </w:p>
          <w:p w14:paraId="297E1A2D" w14:textId="77777777" w:rsidR="00B929E2" w:rsidRDefault="00B929E2" w:rsidP="00B929E2">
            <w:pPr>
              <w:pStyle w:val="naisc"/>
              <w:ind w:firstLine="284"/>
              <w:jc w:val="both"/>
            </w:pPr>
          </w:p>
          <w:p w14:paraId="6BB79376" w14:textId="4B6C44D8" w:rsidR="00B929E2" w:rsidRDefault="00B929E2" w:rsidP="00332053">
            <w:pPr>
              <w:pStyle w:val="naisc"/>
              <w:ind w:firstLine="284"/>
              <w:jc w:val="both"/>
            </w:pPr>
            <w:r>
              <w:t>Darbības rezultāts: Nodrošināta iespēja ceļu satiksmes drošības politikas plānotājiem iegūt izvērtējumu par aktuāliem un būtiskiem riskiem,</w:t>
            </w:r>
            <w:r w:rsidR="00332053">
              <w:t xml:space="preserve"> kas ietekmē satiksmes drošību.</w:t>
            </w:r>
          </w:p>
          <w:p w14:paraId="763E4447" w14:textId="77777777" w:rsidR="00B40739" w:rsidRDefault="00B929E2" w:rsidP="00B40739">
            <w:pPr>
              <w:pStyle w:val="naisc"/>
              <w:spacing w:before="0" w:after="0"/>
              <w:ind w:firstLine="284"/>
              <w:jc w:val="left"/>
            </w:pPr>
            <w:r>
              <w:t xml:space="preserve">Rezultatīvais rādītājs: </w:t>
            </w:r>
          </w:p>
          <w:p w14:paraId="275D233F" w14:textId="77777777" w:rsidR="00B929E2" w:rsidRDefault="00B929E2" w:rsidP="00B40739">
            <w:pPr>
              <w:pStyle w:val="naisc"/>
              <w:spacing w:before="0" w:after="0"/>
              <w:ind w:firstLine="284"/>
              <w:jc w:val="both"/>
            </w:pPr>
            <w:r>
              <w:lastRenderedPageBreak/>
              <w:t>Veikti 2-5 pētījumi ceļu satiksmes drošības jomā par aktuālām un būtiskām tēmām.</w:t>
            </w:r>
          </w:p>
          <w:p w14:paraId="5ED9EFEF" w14:textId="55F2AF83" w:rsidR="00F52EBF" w:rsidRPr="00126B96" w:rsidRDefault="00F52EBF" w:rsidP="009D2C4F">
            <w:pPr>
              <w:pStyle w:val="naisc"/>
              <w:spacing w:before="0" w:after="0"/>
              <w:jc w:val="both"/>
            </w:pPr>
            <w:r>
              <w:t>..”</w:t>
            </w:r>
          </w:p>
        </w:tc>
      </w:tr>
      <w:tr w:rsidR="003B1837" w14:paraId="1D866533" w14:textId="77777777" w:rsidTr="00862767">
        <w:tc>
          <w:tcPr>
            <w:tcW w:w="14876" w:type="dxa"/>
            <w:gridSpan w:val="7"/>
            <w:tcBorders>
              <w:top w:val="single" w:sz="6" w:space="0" w:color="000000"/>
              <w:left w:val="single" w:sz="6" w:space="0" w:color="000000"/>
              <w:bottom w:val="single" w:sz="6" w:space="0" w:color="000000"/>
              <w:right w:val="single" w:sz="4" w:space="0" w:color="auto"/>
            </w:tcBorders>
          </w:tcPr>
          <w:p w14:paraId="336C71DC" w14:textId="77777777" w:rsidR="003B1837" w:rsidRDefault="003B1837" w:rsidP="00800B51">
            <w:pPr>
              <w:pStyle w:val="naisc"/>
              <w:spacing w:before="0" w:after="0"/>
              <w:ind w:firstLine="284"/>
            </w:pPr>
          </w:p>
          <w:p w14:paraId="4E39D03E" w14:textId="77777777" w:rsidR="003B1837" w:rsidRDefault="003B1837" w:rsidP="003B1837">
            <w:pPr>
              <w:jc w:val="center"/>
              <w:rPr>
                <w:b/>
                <w:i/>
              </w:rPr>
            </w:pPr>
            <w:r w:rsidRPr="00C97CF1">
              <w:rPr>
                <w:b/>
              </w:rPr>
              <w:t>Veselības ministrijas 09.07.2019. atzinums Nr.01-09/2905</w:t>
            </w:r>
            <w:r>
              <w:rPr>
                <w:b/>
              </w:rPr>
              <w:t xml:space="preserve"> (VSS-609; VSS-610) </w:t>
            </w:r>
            <w:r w:rsidRPr="0056450E">
              <w:rPr>
                <w:b/>
                <w:i/>
              </w:rPr>
              <w:t>Par inform. ziņojuma projektu</w:t>
            </w:r>
            <w:r>
              <w:rPr>
                <w:b/>
                <w:i/>
              </w:rPr>
              <w:t xml:space="preserve"> un rīkojuma projektu </w:t>
            </w:r>
          </w:p>
          <w:p w14:paraId="6258D70B" w14:textId="77777777" w:rsidR="003B1837" w:rsidRDefault="003B1837" w:rsidP="00800B51">
            <w:pPr>
              <w:pStyle w:val="naisc"/>
              <w:spacing w:before="0" w:after="0"/>
              <w:ind w:firstLine="284"/>
            </w:pPr>
          </w:p>
          <w:p w14:paraId="6D7ADD3D" w14:textId="77777777" w:rsidR="003B1837" w:rsidRPr="00126B96" w:rsidRDefault="003B1837" w:rsidP="00800B51">
            <w:pPr>
              <w:pStyle w:val="naisc"/>
              <w:spacing w:before="0" w:after="0"/>
              <w:ind w:firstLine="284"/>
            </w:pPr>
          </w:p>
        </w:tc>
      </w:tr>
      <w:tr w:rsidR="00457B20" w14:paraId="5D16FB4E" w14:textId="77777777" w:rsidTr="00457B20">
        <w:tc>
          <w:tcPr>
            <w:tcW w:w="701" w:type="dxa"/>
            <w:tcBorders>
              <w:top w:val="single" w:sz="6" w:space="0" w:color="000000"/>
              <w:left w:val="single" w:sz="6" w:space="0" w:color="000000"/>
              <w:bottom w:val="single" w:sz="6" w:space="0" w:color="000000"/>
            </w:tcBorders>
          </w:tcPr>
          <w:p w14:paraId="47E508B4" w14:textId="03ABF9E5" w:rsidR="00457B20" w:rsidRPr="00126B96" w:rsidRDefault="003B1837" w:rsidP="003B1837">
            <w:pPr>
              <w:pStyle w:val="naisc"/>
              <w:spacing w:before="0" w:after="0"/>
              <w:jc w:val="left"/>
            </w:pPr>
            <w:r>
              <w:t xml:space="preserve"> 8.</w:t>
            </w:r>
          </w:p>
        </w:tc>
        <w:tc>
          <w:tcPr>
            <w:tcW w:w="3686" w:type="dxa"/>
            <w:gridSpan w:val="2"/>
            <w:tcBorders>
              <w:top w:val="single" w:sz="6" w:space="0" w:color="000000"/>
              <w:left w:val="single" w:sz="6" w:space="0" w:color="000000"/>
              <w:bottom w:val="single" w:sz="6" w:space="0" w:color="000000"/>
            </w:tcBorders>
          </w:tcPr>
          <w:p w14:paraId="43EBA813" w14:textId="049815F9" w:rsidR="00457B20" w:rsidRPr="00D14C32" w:rsidRDefault="001F72B9" w:rsidP="000D22EF">
            <w:pPr>
              <w:pStyle w:val="naisc"/>
              <w:spacing w:before="0" w:after="0"/>
              <w:jc w:val="both"/>
              <w:rPr>
                <w:u w:val="single"/>
              </w:rPr>
            </w:pPr>
            <w:r w:rsidRPr="00D14C32">
              <w:rPr>
                <w:u w:val="single"/>
              </w:rPr>
              <w:t>Rīkojuma projekta 3. punkts</w:t>
            </w:r>
            <w:r w:rsidR="00445BA2" w:rsidRPr="00D14C32">
              <w:rPr>
                <w:u w:val="single"/>
              </w:rPr>
              <w:t xml:space="preserve"> (tabula)</w:t>
            </w:r>
            <w:r w:rsidRPr="00D14C32">
              <w:rPr>
                <w:u w:val="single"/>
              </w:rPr>
              <w:t>:</w:t>
            </w:r>
          </w:p>
          <w:p w14:paraId="51897772" w14:textId="77777777" w:rsidR="00445BA2" w:rsidRDefault="00445BA2" w:rsidP="001F72B9">
            <w:pPr>
              <w:pStyle w:val="naisc"/>
              <w:spacing w:before="0" w:after="0"/>
              <w:jc w:val="left"/>
            </w:pPr>
          </w:p>
          <w:p w14:paraId="263510EB" w14:textId="3461ACE4" w:rsidR="00445BA2" w:rsidRDefault="00F52EBF" w:rsidP="00445BA2">
            <w:pPr>
              <w:pStyle w:val="naisc"/>
              <w:spacing w:before="0" w:after="0"/>
              <w:jc w:val="left"/>
            </w:pPr>
            <w:r>
              <w:t xml:space="preserve"> “..  </w:t>
            </w:r>
            <w:r w:rsidR="00445BA2">
              <w:t>Pasākuma 5.</w:t>
            </w:r>
            <w:r w:rsidR="00445BA2" w:rsidRPr="00445BA2">
              <w:rPr>
                <w:vertAlign w:val="superscript"/>
              </w:rPr>
              <w:t>1</w:t>
            </w:r>
            <w:r w:rsidR="00445BA2">
              <w:t xml:space="preserve"> </w:t>
            </w:r>
          </w:p>
          <w:p w14:paraId="35118B05" w14:textId="5CD6D55F" w:rsidR="00445BA2" w:rsidRDefault="00445BA2" w:rsidP="00445BA2">
            <w:pPr>
              <w:pStyle w:val="naisc"/>
              <w:spacing w:before="0" w:after="0"/>
              <w:jc w:val="left"/>
            </w:pPr>
            <w:r>
              <w:t xml:space="preserve">  Nepieciešamais finansējums un tā avoti:</w:t>
            </w:r>
          </w:p>
          <w:p w14:paraId="7D0F198D" w14:textId="77777777" w:rsidR="00445BA2" w:rsidRDefault="00445BA2" w:rsidP="00445BA2">
            <w:pPr>
              <w:pStyle w:val="naisc"/>
              <w:spacing w:before="0" w:after="0"/>
              <w:jc w:val="left"/>
            </w:pPr>
            <w:r>
              <w:t>OCTA budžets 2020.gadā:</w:t>
            </w:r>
          </w:p>
          <w:p w14:paraId="47543527" w14:textId="77777777" w:rsidR="00445BA2" w:rsidRDefault="00445BA2" w:rsidP="00445BA2">
            <w:pPr>
              <w:pStyle w:val="naisc"/>
              <w:spacing w:before="0" w:after="0"/>
              <w:jc w:val="left"/>
            </w:pPr>
          </w:p>
          <w:p w14:paraId="6CCD790E" w14:textId="07841A53" w:rsidR="00445BA2" w:rsidRDefault="00445BA2" w:rsidP="00445BA2">
            <w:pPr>
              <w:pStyle w:val="naisc"/>
              <w:jc w:val="left"/>
            </w:pPr>
            <w:r>
              <w:t>130 000 euro – NVD;</w:t>
            </w:r>
          </w:p>
          <w:p w14:paraId="21A9F411" w14:textId="77777777" w:rsidR="00445BA2" w:rsidRDefault="00445BA2" w:rsidP="00445BA2">
            <w:pPr>
              <w:pStyle w:val="naisc"/>
              <w:spacing w:before="0" w:after="0"/>
              <w:jc w:val="left"/>
            </w:pPr>
            <w:r>
              <w:t>38 769 euro – IeM IC.</w:t>
            </w:r>
          </w:p>
          <w:p w14:paraId="52E2B381" w14:textId="77777777" w:rsidR="001F72B9" w:rsidRDefault="001F72B9" w:rsidP="001F72B9">
            <w:pPr>
              <w:pStyle w:val="naisc"/>
              <w:spacing w:before="0" w:after="0"/>
              <w:jc w:val="left"/>
            </w:pPr>
          </w:p>
          <w:p w14:paraId="2CBC5989" w14:textId="7EA60560" w:rsidR="001F72B9" w:rsidRDefault="00F52EBF" w:rsidP="001F72B9">
            <w:pPr>
              <w:pStyle w:val="naisc"/>
              <w:spacing w:before="0" w:after="0"/>
              <w:jc w:val="left"/>
            </w:pPr>
            <w:r>
              <w:t>.. “</w:t>
            </w:r>
          </w:p>
          <w:p w14:paraId="50C3A8D2" w14:textId="77777777" w:rsidR="001F72B9" w:rsidRPr="00D14C32" w:rsidRDefault="001F72B9" w:rsidP="001F72B9">
            <w:pPr>
              <w:pStyle w:val="naisc"/>
              <w:spacing w:before="0" w:after="0"/>
              <w:jc w:val="left"/>
              <w:rPr>
                <w:u w:val="single"/>
              </w:rPr>
            </w:pPr>
          </w:p>
          <w:p w14:paraId="6C7ED81B" w14:textId="77777777" w:rsidR="001F72B9" w:rsidRPr="00D14C32" w:rsidRDefault="001F72B9" w:rsidP="001F72B9">
            <w:pPr>
              <w:pStyle w:val="naisc"/>
              <w:spacing w:before="0" w:after="0"/>
              <w:jc w:val="left"/>
              <w:rPr>
                <w:u w:val="single"/>
              </w:rPr>
            </w:pPr>
            <w:r w:rsidRPr="00D14C32">
              <w:rPr>
                <w:u w:val="single"/>
              </w:rPr>
              <w:t>Informatīvā ziņojuma 7. tabulas 1.pasākums:</w:t>
            </w:r>
          </w:p>
          <w:p w14:paraId="71A6A068" w14:textId="77777777" w:rsidR="001F72B9" w:rsidRDefault="001F72B9" w:rsidP="001F72B9">
            <w:pPr>
              <w:pStyle w:val="naisc"/>
              <w:spacing w:before="0" w:after="0"/>
              <w:jc w:val="left"/>
            </w:pPr>
          </w:p>
          <w:p w14:paraId="53778482" w14:textId="519A4449" w:rsidR="00445BA2" w:rsidRDefault="00F52EBF" w:rsidP="00445BA2">
            <w:pPr>
              <w:pStyle w:val="naisc"/>
              <w:spacing w:before="0" w:after="0"/>
              <w:jc w:val="left"/>
            </w:pPr>
            <w:r>
              <w:t xml:space="preserve">“ .. </w:t>
            </w:r>
            <w:r w:rsidR="00445BA2">
              <w:t>Nepieciešamais finansējums un tā avoti:</w:t>
            </w:r>
          </w:p>
          <w:p w14:paraId="0242A390" w14:textId="4C2AA702" w:rsidR="00445BA2" w:rsidRDefault="00445BA2" w:rsidP="00445BA2">
            <w:pPr>
              <w:pStyle w:val="naisc"/>
              <w:spacing w:before="0" w:after="0"/>
              <w:jc w:val="left"/>
            </w:pPr>
            <w:r>
              <w:t>OCTA budžets 2020.gadā:</w:t>
            </w:r>
          </w:p>
          <w:p w14:paraId="5BD7CDC3" w14:textId="4F56B355" w:rsidR="00445BA2" w:rsidRDefault="00445BA2" w:rsidP="00584E58">
            <w:pPr>
              <w:pStyle w:val="naisc"/>
              <w:jc w:val="left"/>
            </w:pPr>
            <w:r>
              <w:t>130 000 euro – NVD;</w:t>
            </w:r>
          </w:p>
          <w:p w14:paraId="51B6CC1A" w14:textId="00FDA875" w:rsidR="00445BA2" w:rsidRDefault="00445BA2" w:rsidP="00445BA2">
            <w:pPr>
              <w:pStyle w:val="naisc"/>
              <w:spacing w:before="0" w:after="0"/>
              <w:jc w:val="left"/>
            </w:pPr>
            <w:r>
              <w:t>38 769 euro – IeM IC.</w:t>
            </w:r>
          </w:p>
          <w:p w14:paraId="388BBD8E" w14:textId="649C08B7" w:rsidR="001F72B9" w:rsidRPr="00126B96" w:rsidRDefault="00F52EBF" w:rsidP="001F72B9">
            <w:pPr>
              <w:pStyle w:val="naisc"/>
              <w:spacing w:before="0" w:after="0"/>
              <w:jc w:val="left"/>
            </w:pPr>
            <w:r>
              <w:t xml:space="preserve"> ..”</w:t>
            </w:r>
          </w:p>
        </w:tc>
        <w:tc>
          <w:tcPr>
            <w:tcW w:w="3969" w:type="dxa"/>
            <w:gridSpan w:val="2"/>
            <w:tcBorders>
              <w:top w:val="single" w:sz="6" w:space="0" w:color="000000"/>
              <w:left w:val="single" w:sz="6" w:space="0" w:color="000000"/>
              <w:bottom w:val="single" w:sz="6" w:space="0" w:color="000000"/>
            </w:tcBorders>
          </w:tcPr>
          <w:p w14:paraId="7B6F4C4A" w14:textId="184E2524" w:rsidR="003B1837" w:rsidRPr="00A068CF" w:rsidRDefault="003B1837" w:rsidP="003B1837">
            <w:pPr>
              <w:pStyle w:val="ListParagraph"/>
              <w:numPr>
                <w:ilvl w:val="0"/>
                <w:numId w:val="25"/>
              </w:numPr>
              <w:spacing w:before="0" w:after="0" w:line="240" w:lineRule="auto"/>
              <w:ind w:left="0" w:firstLine="720"/>
              <w:rPr>
                <w:sz w:val="24"/>
                <w:szCs w:val="24"/>
                <w:lang w:val="lv-LV"/>
              </w:rPr>
            </w:pPr>
            <w:r w:rsidRPr="003B1837">
              <w:rPr>
                <w:sz w:val="24"/>
                <w:szCs w:val="24"/>
                <w:lang w:val="lv-LV"/>
              </w:rPr>
              <w:t xml:space="preserve">Lūdzam papildināt </w:t>
            </w:r>
            <w:r w:rsidRPr="003B1837">
              <w:rPr>
                <w:sz w:val="24"/>
                <w:szCs w:val="24"/>
                <w:u w:val="single"/>
                <w:lang w:val="lv-LV"/>
              </w:rPr>
              <w:t>Rīkojuma projektā 3. punktā</w:t>
            </w:r>
            <w:r w:rsidRPr="003B1837">
              <w:rPr>
                <w:sz w:val="24"/>
                <w:szCs w:val="24"/>
                <w:lang w:val="lv-LV"/>
              </w:rPr>
              <w:t xml:space="preserve"> noteikto 3. sadaļas “Rīcības virzienu apraksts” rīcības virzienā “3.1.3. Informācijas apmaiņas par CSNg uzlabošana” ietvertam uzdevumam  </w:t>
            </w:r>
            <w:r w:rsidRPr="003B1837">
              <w:rPr>
                <w:i/>
                <w:sz w:val="24"/>
                <w:szCs w:val="24"/>
                <w:lang w:val="lv-LV"/>
              </w:rPr>
              <w:t>“5.</w:t>
            </w:r>
            <w:r w:rsidRPr="003B1837">
              <w:rPr>
                <w:i/>
                <w:sz w:val="24"/>
                <w:szCs w:val="24"/>
                <w:vertAlign w:val="superscript"/>
                <w:lang w:val="lv-LV"/>
              </w:rPr>
              <w:t xml:space="preserve">1 </w:t>
            </w:r>
            <w:r w:rsidRPr="003B1837">
              <w:rPr>
                <w:i/>
                <w:sz w:val="24"/>
                <w:szCs w:val="24"/>
                <w:lang w:val="lv-LV"/>
              </w:rPr>
              <w:t>Nodrošināt vienotu ceļu satiksmes negadījumos smagi ievainoto personu statistikas datu uzskaiti atbilstoši MAIS3+ prasībām”</w:t>
            </w:r>
            <w:r w:rsidRPr="003B1837">
              <w:rPr>
                <w:sz w:val="24"/>
                <w:szCs w:val="24"/>
                <w:lang w:val="lv-LV"/>
              </w:rPr>
              <w:t xml:space="preserve"> un </w:t>
            </w:r>
            <w:r w:rsidRPr="003B1837">
              <w:rPr>
                <w:sz w:val="24"/>
                <w:szCs w:val="24"/>
                <w:u w:val="single"/>
                <w:lang w:val="lv-LV"/>
              </w:rPr>
              <w:t xml:space="preserve">Informatīvā ziņojuma projektā </w:t>
            </w:r>
            <w:r w:rsidRPr="003B1837">
              <w:rPr>
                <w:i/>
                <w:sz w:val="24"/>
                <w:szCs w:val="24"/>
                <w:u w:val="single"/>
                <w:lang w:val="lv-LV"/>
              </w:rPr>
              <w:t>7. tabulas</w:t>
            </w:r>
            <w:r w:rsidRPr="003B1837">
              <w:rPr>
                <w:i/>
                <w:sz w:val="24"/>
                <w:szCs w:val="24"/>
                <w:lang w:val="lv-LV"/>
              </w:rPr>
              <w:t xml:space="preserve"> “Jauni pasākumi ceļu satiksmes drošības uzlabošanai”</w:t>
            </w:r>
            <w:r w:rsidRPr="003B1837">
              <w:rPr>
                <w:sz w:val="24"/>
                <w:szCs w:val="24"/>
                <w:lang w:val="lv-LV"/>
              </w:rPr>
              <w:t xml:space="preserve"> </w:t>
            </w:r>
            <w:r w:rsidRPr="003B1837">
              <w:rPr>
                <w:i/>
                <w:sz w:val="24"/>
                <w:szCs w:val="24"/>
                <w:u w:val="single"/>
                <w:lang w:val="lv-LV"/>
              </w:rPr>
              <w:t>1. punkta</w:t>
            </w:r>
            <w:r w:rsidRPr="003B1837">
              <w:rPr>
                <w:sz w:val="24"/>
                <w:szCs w:val="24"/>
                <w:u w:val="single"/>
                <w:lang w:val="lv-LV"/>
              </w:rPr>
              <w:t xml:space="preserve"> (48. lpp.)</w:t>
            </w:r>
            <w:r w:rsidRPr="003B1837">
              <w:rPr>
                <w:sz w:val="24"/>
                <w:szCs w:val="24"/>
                <w:lang w:val="lv-LV"/>
              </w:rPr>
              <w:t xml:space="preserve"> kolonnā “Nepieciešamais finansējums un  tā avoti” aprēķināto </w:t>
            </w:r>
            <w:r w:rsidRPr="003B1837">
              <w:rPr>
                <w:sz w:val="24"/>
                <w:szCs w:val="24"/>
                <w:u w:val="single"/>
                <w:lang w:val="lv-LV"/>
              </w:rPr>
              <w:t xml:space="preserve">“OCTA budžetu 2020. gadā: 130 000 </w:t>
            </w:r>
            <w:r w:rsidRPr="003B1837">
              <w:rPr>
                <w:i/>
                <w:sz w:val="24"/>
                <w:szCs w:val="24"/>
                <w:u w:val="single"/>
                <w:lang w:val="lv-LV"/>
              </w:rPr>
              <w:t>euro</w:t>
            </w:r>
            <w:r w:rsidRPr="003B1837">
              <w:rPr>
                <w:sz w:val="24"/>
                <w:szCs w:val="24"/>
                <w:u w:val="single"/>
                <w:lang w:val="lv-LV"/>
              </w:rPr>
              <w:t xml:space="preserve"> – NVD”</w:t>
            </w:r>
            <w:r w:rsidRPr="003B1837">
              <w:rPr>
                <w:sz w:val="24"/>
                <w:szCs w:val="24"/>
                <w:lang w:val="lv-LV"/>
              </w:rPr>
              <w:t xml:space="preserve"> ar atsaucēm šādā redakcijā:</w:t>
            </w:r>
          </w:p>
          <w:p w14:paraId="768570B4" w14:textId="77777777" w:rsidR="003B1837" w:rsidRPr="003B1837" w:rsidRDefault="003B1837" w:rsidP="003B1837">
            <w:pPr>
              <w:pStyle w:val="ListParagraph"/>
              <w:numPr>
                <w:ilvl w:val="1"/>
                <w:numId w:val="25"/>
              </w:numPr>
              <w:spacing w:before="0" w:after="0" w:line="240" w:lineRule="auto"/>
              <w:ind w:left="0" w:firstLine="720"/>
              <w:rPr>
                <w:sz w:val="24"/>
                <w:szCs w:val="24"/>
                <w:lang w:val="lv-LV"/>
              </w:rPr>
            </w:pPr>
            <w:r w:rsidRPr="003B1837">
              <w:rPr>
                <w:sz w:val="24"/>
                <w:szCs w:val="24"/>
                <w:lang w:val="lv-LV"/>
              </w:rPr>
              <w:t xml:space="preserve">“1. NVD projekta ieviešanai aprēķinātās izstrādes izmaksas esošo sistēmu paplašināšanai kopā ar tehniskas specifikācijas izstrādi 130 000 </w:t>
            </w:r>
            <w:r w:rsidRPr="003B1837">
              <w:rPr>
                <w:i/>
                <w:sz w:val="24"/>
                <w:szCs w:val="24"/>
                <w:lang w:val="lv-LV"/>
              </w:rPr>
              <w:t>euro</w:t>
            </w:r>
            <w:r w:rsidRPr="003B1837">
              <w:rPr>
                <w:sz w:val="24"/>
                <w:szCs w:val="24"/>
                <w:lang w:val="lv-LV"/>
              </w:rPr>
              <w:t xml:space="preserve"> (bez PVN) apmērā ir  provizoriskas un precīzi būs nosakāmas </w:t>
            </w:r>
            <w:r w:rsidRPr="003B1837">
              <w:rPr>
                <w:sz w:val="24"/>
                <w:szCs w:val="24"/>
                <w:lang w:val="lv-LV"/>
              </w:rPr>
              <w:lastRenderedPageBreak/>
              <w:t>pēc detalizētas tehniskās specifikācijas izstrādes;</w:t>
            </w:r>
          </w:p>
          <w:p w14:paraId="63F3B418" w14:textId="78419296" w:rsidR="00457B20" w:rsidRPr="00126B96" w:rsidRDefault="003B1837" w:rsidP="000D22EF">
            <w:pPr>
              <w:pStyle w:val="naisc"/>
              <w:spacing w:before="0" w:after="0"/>
              <w:ind w:firstLine="284"/>
              <w:jc w:val="both"/>
            </w:pPr>
            <w:r w:rsidRPr="0056450E">
              <w:t>2. Sešu mēnešu laikā pēc sistēmas papildinājumu izstrādes ir jānosaka sistēmas uzturēšanas finansējuma apmērs un avots”.</w:t>
            </w:r>
          </w:p>
        </w:tc>
        <w:tc>
          <w:tcPr>
            <w:tcW w:w="3260" w:type="dxa"/>
            <w:tcBorders>
              <w:top w:val="single" w:sz="6" w:space="0" w:color="000000"/>
              <w:left w:val="single" w:sz="6" w:space="0" w:color="000000"/>
              <w:bottom w:val="single" w:sz="6" w:space="0" w:color="000000"/>
            </w:tcBorders>
          </w:tcPr>
          <w:p w14:paraId="6946CD87" w14:textId="5C47A75B" w:rsidR="00445BA2" w:rsidRPr="00112AEE" w:rsidRDefault="00445BA2" w:rsidP="001C15F9">
            <w:pPr>
              <w:pStyle w:val="naisc"/>
              <w:ind w:firstLine="284"/>
              <w:rPr>
                <w:b/>
              </w:rPr>
            </w:pPr>
            <w:r w:rsidRPr="00112AEE">
              <w:rPr>
                <w:b/>
              </w:rPr>
              <w:lastRenderedPageBreak/>
              <w:t>Iebildums ņemts vērā.</w:t>
            </w:r>
          </w:p>
          <w:p w14:paraId="1750EFD0" w14:textId="135B609F" w:rsidR="00457B20" w:rsidRPr="00126B96" w:rsidRDefault="00445BA2" w:rsidP="00445BA2">
            <w:pPr>
              <w:pStyle w:val="naisc"/>
              <w:spacing w:before="0" w:after="0"/>
              <w:ind w:firstLine="284"/>
              <w:jc w:val="both"/>
            </w:pPr>
            <w:r>
              <w:t>Satiksmes ministrija ir precizējusi rīkojuma projektu un informatīvo ziņojumu ar ietvertām atsaucēm uz papildu skaidrojumu</w:t>
            </w:r>
            <w:r w:rsidR="00EF3845">
              <w:t xml:space="preserve"> par pasākuma izpildei nepieciešamo finansējumu.</w:t>
            </w:r>
          </w:p>
        </w:tc>
        <w:tc>
          <w:tcPr>
            <w:tcW w:w="3260" w:type="dxa"/>
            <w:tcBorders>
              <w:top w:val="single" w:sz="6" w:space="0" w:color="000000"/>
              <w:left w:val="single" w:sz="6" w:space="0" w:color="000000"/>
              <w:bottom w:val="single" w:sz="6" w:space="0" w:color="000000"/>
              <w:right w:val="single" w:sz="4" w:space="0" w:color="auto"/>
            </w:tcBorders>
          </w:tcPr>
          <w:p w14:paraId="6CFD63FC" w14:textId="4A973813" w:rsidR="002518A4" w:rsidRPr="00D14C32" w:rsidRDefault="002518A4" w:rsidP="002518A4">
            <w:pPr>
              <w:pStyle w:val="naisc"/>
              <w:spacing w:before="0" w:after="0"/>
              <w:jc w:val="left"/>
              <w:rPr>
                <w:u w:val="single"/>
              </w:rPr>
            </w:pPr>
            <w:r w:rsidRPr="00244C1A">
              <w:rPr>
                <w:u w:val="single"/>
              </w:rPr>
              <w:t xml:space="preserve">Rīkojuma </w:t>
            </w:r>
            <w:r w:rsidR="00244C1A" w:rsidRPr="00244C1A">
              <w:rPr>
                <w:u w:val="single"/>
              </w:rPr>
              <w:t>projekta 5</w:t>
            </w:r>
            <w:r w:rsidRPr="00244C1A">
              <w:rPr>
                <w:u w:val="single"/>
              </w:rPr>
              <w:t>. punkts</w:t>
            </w:r>
            <w:r w:rsidRPr="00D14C32">
              <w:rPr>
                <w:u w:val="single"/>
              </w:rPr>
              <w:t>:</w:t>
            </w:r>
          </w:p>
          <w:p w14:paraId="03887843" w14:textId="77777777" w:rsidR="002518A4" w:rsidRDefault="002518A4" w:rsidP="002518A4">
            <w:pPr>
              <w:pStyle w:val="naisc"/>
              <w:spacing w:before="0" w:after="0"/>
              <w:jc w:val="left"/>
            </w:pPr>
          </w:p>
          <w:p w14:paraId="244BE4D1" w14:textId="09DF6DC4" w:rsidR="00445BA2" w:rsidRDefault="00F52EBF" w:rsidP="00445BA2">
            <w:pPr>
              <w:pStyle w:val="naisc"/>
              <w:spacing w:before="0" w:after="0"/>
              <w:jc w:val="left"/>
            </w:pPr>
            <w:r>
              <w:t xml:space="preserve">“ .. </w:t>
            </w:r>
            <w:r w:rsidR="00445BA2">
              <w:t>Pasākuma 5.</w:t>
            </w:r>
            <w:r w:rsidR="00445BA2" w:rsidRPr="00445BA2">
              <w:rPr>
                <w:vertAlign w:val="superscript"/>
              </w:rPr>
              <w:t>1</w:t>
            </w:r>
            <w:r w:rsidR="00445BA2">
              <w:t xml:space="preserve"> </w:t>
            </w:r>
          </w:p>
          <w:p w14:paraId="04914156" w14:textId="0E95DC67" w:rsidR="00445BA2" w:rsidRDefault="00445BA2" w:rsidP="00445BA2">
            <w:pPr>
              <w:pStyle w:val="naisc"/>
              <w:spacing w:before="0" w:after="0"/>
              <w:jc w:val="left"/>
            </w:pPr>
            <w:r>
              <w:t xml:space="preserve">  Nepieciešamais finansējums un tā avoti:</w:t>
            </w:r>
          </w:p>
          <w:p w14:paraId="7ED098FA" w14:textId="77777777" w:rsidR="00D14C32" w:rsidRDefault="00D14C32" w:rsidP="00D14C32">
            <w:pPr>
              <w:pStyle w:val="naisc"/>
            </w:pPr>
            <w:r w:rsidRPr="00244C1A">
              <w:t>OCTA budžets 2020</w:t>
            </w:r>
            <w:r>
              <w:t>.gadā:</w:t>
            </w:r>
          </w:p>
          <w:p w14:paraId="2389A090" w14:textId="77777777" w:rsidR="00D14C32" w:rsidRDefault="00D14C32" w:rsidP="00D14C32">
            <w:pPr>
              <w:pStyle w:val="naisc"/>
            </w:pPr>
          </w:p>
          <w:p w14:paraId="7390516D" w14:textId="739EC91F" w:rsidR="00D14C32" w:rsidRDefault="00D14C32" w:rsidP="00D14C32">
            <w:pPr>
              <w:pStyle w:val="naisc"/>
            </w:pPr>
            <w:r>
              <w:t>130 000 euro – NVD*;</w:t>
            </w:r>
          </w:p>
          <w:p w14:paraId="0290B385" w14:textId="77777777" w:rsidR="00D14C32" w:rsidRDefault="00D14C32" w:rsidP="00D14C32">
            <w:pPr>
              <w:pStyle w:val="naisc"/>
            </w:pPr>
            <w:r>
              <w:t>38 769 euro – IeM IC.</w:t>
            </w:r>
          </w:p>
          <w:p w14:paraId="5B829DF7" w14:textId="02B730E5" w:rsidR="00F52EBF" w:rsidRDefault="00F52EBF" w:rsidP="00F52EBF">
            <w:pPr>
              <w:pStyle w:val="naisc"/>
              <w:jc w:val="both"/>
            </w:pPr>
            <w:r>
              <w:t>..”</w:t>
            </w:r>
          </w:p>
          <w:p w14:paraId="2D96A050" w14:textId="77777777" w:rsidR="00D14C32" w:rsidRDefault="00D14C32" w:rsidP="00D14C32">
            <w:pPr>
              <w:pStyle w:val="naisc"/>
            </w:pPr>
          </w:p>
          <w:p w14:paraId="04439E9B" w14:textId="77777777" w:rsidR="00D14C32" w:rsidRDefault="00D14C32" w:rsidP="00D14C32">
            <w:pPr>
              <w:pStyle w:val="naisc"/>
              <w:jc w:val="both"/>
            </w:pPr>
            <w:r>
              <w:t>* a)  NVD projekta ieviešanai aprēķinātās izstrādes izmaksas esošo sistēmu paplašināšanai kopā ar tehniskas specifikācijas izstrādi 130 000 euro (bez PVN) apmērā ir  provizoriskas un precīzi būs nosakāmas pēc detalizētas tehniskās specifikācijas izstrādes;</w:t>
            </w:r>
          </w:p>
          <w:p w14:paraId="257A5AD6" w14:textId="31285703" w:rsidR="002518A4" w:rsidRDefault="00D14C32" w:rsidP="00D14C32">
            <w:pPr>
              <w:pStyle w:val="naisc"/>
              <w:spacing w:before="0" w:after="0"/>
              <w:jc w:val="both"/>
            </w:pPr>
            <w:r>
              <w:lastRenderedPageBreak/>
              <w:t>b) Sešu mēnešu laikā pēc sistēmas papildinājumu izstrādes ir jānosaka sistēmas uzturēšanas finansējuma apmērs un avots.</w:t>
            </w:r>
          </w:p>
          <w:p w14:paraId="08D82E45" w14:textId="77777777" w:rsidR="002518A4" w:rsidRDefault="002518A4" w:rsidP="002518A4">
            <w:pPr>
              <w:pStyle w:val="naisc"/>
              <w:spacing w:before="0" w:after="0"/>
              <w:jc w:val="left"/>
            </w:pPr>
          </w:p>
          <w:p w14:paraId="3E74663A" w14:textId="77777777" w:rsidR="002518A4" w:rsidRDefault="002518A4" w:rsidP="002518A4">
            <w:pPr>
              <w:pStyle w:val="naisc"/>
              <w:spacing w:before="0" w:after="0"/>
              <w:jc w:val="left"/>
            </w:pPr>
          </w:p>
          <w:p w14:paraId="12828402" w14:textId="77777777" w:rsidR="002518A4" w:rsidRPr="00D14C32" w:rsidRDefault="002518A4" w:rsidP="001C15F9">
            <w:pPr>
              <w:pStyle w:val="naisc"/>
              <w:spacing w:before="0" w:after="0"/>
              <w:jc w:val="both"/>
              <w:rPr>
                <w:u w:val="single"/>
              </w:rPr>
            </w:pPr>
            <w:r w:rsidRPr="00D14C32">
              <w:rPr>
                <w:u w:val="single"/>
              </w:rPr>
              <w:t>Informatīvā ziņojuma 7. tabulas 1.pasākums:</w:t>
            </w:r>
          </w:p>
          <w:p w14:paraId="340EF866" w14:textId="77777777" w:rsidR="002518A4" w:rsidRDefault="002518A4" w:rsidP="002518A4">
            <w:pPr>
              <w:pStyle w:val="naisc"/>
              <w:spacing w:before="0" w:after="0"/>
              <w:jc w:val="left"/>
            </w:pPr>
          </w:p>
          <w:p w14:paraId="0F0F0A8F" w14:textId="46B5A47D" w:rsidR="00445BA2" w:rsidRDefault="00F52EBF" w:rsidP="001C15F9">
            <w:pPr>
              <w:pStyle w:val="naisc"/>
              <w:spacing w:before="0" w:after="0"/>
              <w:jc w:val="both"/>
            </w:pPr>
            <w:r>
              <w:t xml:space="preserve">“ .. </w:t>
            </w:r>
            <w:r w:rsidR="00445BA2">
              <w:t>Nepieciešamais finansējums un tā avoti:</w:t>
            </w:r>
          </w:p>
          <w:p w14:paraId="7C19367F" w14:textId="77777777" w:rsidR="00D14C32" w:rsidRDefault="00D14C32" w:rsidP="00D14C32">
            <w:pPr>
              <w:pStyle w:val="naisc"/>
            </w:pPr>
            <w:r w:rsidRPr="00244C1A">
              <w:t>OCTA budžets 2020</w:t>
            </w:r>
            <w:r>
              <w:t>.gadā:</w:t>
            </w:r>
          </w:p>
          <w:p w14:paraId="6E4C969A" w14:textId="77777777" w:rsidR="00D14C32" w:rsidRDefault="00D14C32" w:rsidP="00D14C32">
            <w:pPr>
              <w:pStyle w:val="naisc"/>
            </w:pPr>
          </w:p>
          <w:p w14:paraId="0B3A8484" w14:textId="10A61CC5" w:rsidR="00D14C32" w:rsidRDefault="00D14C32" w:rsidP="00D14C32">
            <w:pPr>
              <w:pStyle w:val="naisc"/>
            </w:pPr>
            <w:r>
              <w:t>130 000 euro – NVD</w:t>
            </w:r>
            <w:r w:rsidRPr="00D14C32">
              <w:rPr>
                <w:vertAlign w:val="superscript"/>
              </w:rPr>
              <w:t>3</w:t>
            </w:r>
            <w:r>
              <w:t>;</w:t>
            </w:r>
          </w:p>
          <w:p w14:paraId="5EFA6516" w14:textId="77777777" w:rsidR="00D14C32" w:rsidRDefault="00D14C32" w:rsidP="00D14C32">
            <w:pPr>
              <w:pStyle w:val="naisc"/>
            </w:pPr>
            <w:r>
              <w:t>38 769 euro – IeM IC.</w:t>
            </w:r>
          </w:p>
          <w:p w14:paraId="6B02EFFA" w14:textId="77777777" w:rsidR="00457B20" w:rsidRDefault="00457B20" w:rsidP="00800B51">
            <w:pPr>
              <w:pStyle w:val="naisc"/>
              <w:spacing w:before="0" w:after="0"/>
              <w:ind w:firstLine="284"/>
            </w:pPr>
          </w:p>
          <w:p w14:paraId="64B9C880" w14:textId="77777777" w:rsidR="00D14C32" w:rsidRDefault="00D14C32" w:rsidP="00D14C32">
            <w:pPr>
              <w:pStyle w:val="naisc"/>
              <w:jc w:val="both"/>
            </w:pPr>
            <w:r>
              <w:rPr>
                <w:vertAlign w:val="superscript"/>
              </w:rPr>
              <w:t xml:space="preserve">3 </w:t>
            </w:r>
            <w:r>
              <w:t>a)  NVD projekta ieviešanai aprēķinātās izstrādes izmaksas esošo sistēmu paplašināšanai kopā ar tehniskas specifikācijas izstrādi 130 000 euro (bez PVN) apmērā ir  provizoriskas un precīzi būs nosakāmas pēc detalizētas tehniskās specifikācijas izstrādes;</w:t>
            </w:r>
          </w:p>
          <w:p w14:paraId="464DD3C8" w14:textId="77777777" w:rsidR="00D14C32" w:rsidRDefault="00D14C32" w:rsidP="00D14C32">
            <w:pPr>
              <w:pStyle w:val="naisc"/>
              <w:spacing w:before="0" w:after="0"/>
              <w:jc w:val="both"/>
            </w:pPr>
            <w:r>
              <w:t xml:space="preserve">b) Sešu mēnešu laikā pēc sistēmas papildinājumu izstrādes ir jānosaka sistēmas </w:t>
            </w:r>
            <w:r>
              <w:lastRenderedPageBreak/>
              <w:t>uzturēšanas finansējuma apmērs un avots.</w:t>
            </w:r>
          </w:p>
          <w:p w14:paraId="79E6BF75" w14:textId="2AABE71D" w:rsidR="00445BA2" w:rsidRDefault="00F52EBF" w:rsidP="000D22EF">
            <w:pPr>
              <w:pStyle w:val="naisc"/>
              <w:spacing w:before="0" w:after="0"/>
              <w:ind w:firstLine="284"/>
              <w:jc w:val="both"/>
            </w:pPr>
            <w:r>
              <w:t>..”</w:t>
            </w:r>
          </w:p>
          <w:p w14:paraId="170CB20B" w14:textId="7CBC02FC" w:rsidR="00445BA2" w:rsidRPr="00126B96" w:rsidRDefault="00445BA2" w:rsidP="001C15F9">
            <w:pPr>
              <w:pStyle w:val="naisc"/>
              <w:spacing w:before="0" w:after="0"/>
              <w:jc w:val="both"/>
            </w:pPr>
            <w:r w:rsidRPr="00DA5A84">
              <w:rPr>
                <w:rFonts w:cs="Calibri"/>
              </w:rPr>
              <w:t xml:space="preserve">Skatīt </w:t>
            </w:r>
            <w:r w:rsidR="001C15F9">
              <w:rPr>
                <w:rFonts w:cs="Calibri"/>
              </w:rPr>
              <w:t xml:space="preserve">precizēto </w:t>
            </w:r>
            <w:r w:rsidRPr="00DA5A84">
              <w:rPr>
                <w:rFonts w:cs="Calibri"/>
              </w:rPr>
              <w:t>rīkojuma projekta anotācijas I sadaļas 2.punktu</w:t>
            </w:r>
            <w:r>
              <w:rPr>
                <w:rFonts w:cs="Calibri"/>
              </w:rPr>
              <w:t>.</w:t>
            </w:r>
          </w:p>
        </w:tc>
      </w:tr>
      <w:tr w:rsidR="00800060" w14:paraId="47EBDE3A" w14:textId="77777777" w:rsidTr="00862767">
        <w:tc>
          <w:tcPr>
            <w:tcW w:w="14876" w:type="dxa"/>
            <w:gridSpan w:val="7"/>
            <w:tcBorders>
              <w:top w:val="single" w:sz="6" w:space="0" w:color="000000"/>
              <w:left w:val="single" w:sz="6" w:space="0" w:color="000000"/>
              <w:bottom w:val="single" w:sz="6" w:space="0" w:color="000000"/>
              <w:right w:val="single" w:sz="4" w:space="0" w:color="auto"/>
            </w:tcBorders>
          </w:tcPr>
          <w:p w14:paraId="416B12F7" w14:textId="77777777" w:rsidR="00800060" w:rsidRDefault="00800060" w:rsidP="00800B51">
            <w:pPr>
              <w:pStyle w:val="naisc"/>
              <w:spacing w:before="0" w:after="0"/>
              <w:ind w:firstLine="284"/>
            </w:pPr>
          </w:p>
          <w:p w14:paraId="37A03DC9" w14:textId="77777777" w:rsidR="00800060" w:rsidRPr="00E77754" w:rsidRDefault="00800060" w:rsidP="00800060">
            <w:pPr>
              <w:jc w:val="center"/>
              <w:rPr>
                <w:b/>
              </w:rPr>
            </w:pPr>
            <w:r w:rsidRPr="00E77754">
              <w:rPr>
                <w:b/>
              </w:rPr>
              <w:t xml:space="preserve">Finanšu ministrijas 12.07.2019. atzinums Nr.12/A-7/3329 (VSS-609) </w:t>
            </w:r>
            <w:r w:rsidRPr="00E77754">
              <w:rPr>
                <w:b/>
                <w:i/>
              </w:rPr>
              <w:t>par rīkojuma projektu</w:t>
            </w:r>
          </w:p>
          <w:p w14:paraId="43C354FD" w14:textId="77777777" w:rsidR="00800060" w:rsidRDefault="00800060" w:rsidP="00800060">
            <w:pPr>
              <w:pStyle w:val="naisc"/>
              <w:spacing w:before="0" w:after="0"/>
              <w:jc w:val="left"/>
            </w:pPr>
          </w:p>
          <w:p w14:paraId="33EA8B39" w14:textId="77777777" w:rsidR="00800060" w:rsidRPr="00126B96" w:rsidRDefault="00800060" w:rsidP="00800B51">
            <w:pPr>
              <w:pStyle w:val="naisc"/>
              <w:spacing w:before="0" w:after="0"/>
              <w:ind w:firstLine="284"/>
            </w:pPr>
          </w:p>
        </w:tc>
      </w:tr>
      <w:tr w:rsidR="003B1837" w:rsidRPr="00126B96" w14:paraId="79C72856" w14:textId="77777777" w:rsidTr="003B1837">
        <w:tc>
          <w:tcPr>
            <w:tcW w:w="701" w:type="dxa"/>
            <w:tcBorders>
              <w:top w:val="single" w:sz="6" w:space="0" w:color="000000"/>
              <w:left w:val="single" w:sz="6" w:space="0" w:color="000000"/>
              <w:bottom w:val="single" w:sz="6" w:space="0" w:color="000000"/>
            </w:tcBorders>
          </w:tcPr>
          <w:p w14:paraId="181C842D" w14:textId="196F13A0" w:rsidR="003B1837" w:rsidRPr="00126B96" w:rsidRDefault="00800060" w:rsidP="002179BD">
            <w:pPr>
              <w:pStyle w:val="naisc"/>
              <w:spacing w:before="0" w:after="0"/>
              <w:jc w:val="left"/>
            </w:pPr>
            <w:r>
              <w:t>9.</w:t>
            </w:r>
          </w:p>
        </w:tc>
        <w:tc>
          <w:tcPr>
            <w:tcW w:w="3686" w:type="dxa"/>
            <w:gridSpan w:val="2"/>
            <w:tcBorders>
              <w:top w:val="single" w:sz="6" w:space="0" w:color="000000"/>
              <w:left w:val="single" w:sz="6" w:space="0" w:color="000000"/>
              <w:bottom w:val="single" w:sz="6" w:space="0" w:color="000000"/>
            </w:tcBorders>
          </w:tcPr>
          <w:p w14:paraId="19076753" w14:textId="20E5D24F" w:rsidR="003B1837" w:rsidRPr="00516695" w:rsidRDefault="002F157B" w:rsidP="00800060">
            <w:pPr>
              <w:pStyle w:val="naisc"/>
              <w:spacing w:before="0" w:after="0"/>
              <w:ind w:firstLine="284"/>
              <w:jc w:val="both"/>
              <w:rPr>
                <w:u w:val="single"/>
              </w:rPr>
            </w:pPr>
            <w:r w:rsidRPr="00516695">
              <w:rPr>
                <w:u w:val="single"/>
              </w:rPr>
              <w:t>Skatīt rīkojuma projektu.</w:t>
            </w:r>
          </w:p>
        </w:tc>
        <w:tc>
          <w:tcPr>
            <w:tcW w:w="3969" w:type="dxa"/>
            <w:gridSpan w:val="2"/>
            <w:tcBorders>
              <w:top w:val="single" w:sz="6" w:space="0" w:color="000000"/>
              <w:left w:val="single" w:sz="6" w:space="0" w:color="000000"/>
              <w:bottom w:val="single" w:sz="6" w:space="0" w:color="000000"/>
            </w:tcBorders>
          </w:tcPr>
          <w:p w14:paraId="1E27CAD4" w14:textId="77777777" w:rsidR="00800060" w:rsidRPr="00E77754" w:rsidRDefault="00800060" w:rsidP="000D22EF">
            <w:pPr>
              <w:ind w:right="170" w:firstLine="720"/>
              <w:jc w:val="both"/>
              <w:rPr>
                <w:szCs w:val="24"/>
              </w:rPr>
            </w:pPr>
            <w:r w:rsidRPr="00E77754">
              <w:rPr>
                <w:szCs w:val="24"/>
              </w:rPr>
              <w:t xml:space="preserve">Saskaņā ar </w:t>
            </w:r>
            <w:r w:rsidRPr="00E77754">
              <w:rPr>
                <w:szCs w:val="24"/>
                <w:shd w:val="clear" w:color="auto" w:fill="FFFFFF"/>
              </w:rPr>
              <w:t xml:space="preserve">Sauszemes transportlīdzekļu īpašnieku civiltiesiskās atbildības obligātās apdrošināšanas likuma (turpmāk - </w:t>
            </w:r>
            <w:r w:rsidRPr="00E77754">
              <w:rPr>
                <w:szCs w:val="24"/>
              </w:rPr>
              <w:t xml:space="preserve">OCTA likuma) 17.panta piekto daļu apdrošinātājam, kurš ir saņēmis licenci </w:t>
            </w:r>
            <w:r w:rsidRPr="00E77754">
              <w:rPr>
                <w:szCs w:val="24"/>
                <w:shd w:val="clear" w:color="auto" w:fill="FFFFFF"/>
              </w:rPr>
              <w:t>sauszemes transportlīdzekļu īpašnieku civiltiesiskās atbildības obligātās apdrošināšanas pakalpojumu sniegšanai</w:t>
            </w:r>
            <w:r w:rsidRPr="00E77754">
              <w:rPr>
                <w:szCs w:val="24"/>
              </w:rPr>
              <w:t xml:space="preserve">, ir pienākums veikt maksājumus </w:t>
            </w:r>
            <w:r w:rsidRPr="00E77754">
              <w:rPr>
                <w:szCs w:val="24"/>
                <w:shd w:val="clear" w:color="auto" w:fill="FFFFFF"/>
              </w:rPr>
              <w:t>Latvijas </w:t>
            </w:r>
            <w:r w:rsidRPr="00E77754">
              <w:rPr>
                <w:szCs w:val="24"/>
              </w:rPr>
              <w:t>Transportlīdzekļu apdrošinātāju birojam (turpmāk - LTAB) vairākiem atšķirīgiem mērķiem:</w:t>
            </w:r>
          </w:p>
          <w:p w14:paraId="779CDC4A" w14:textId="77777777" w:rsidR="00800060" w:rsidRPr="00800060" w:rsidRDefault="00800060" w:rsidP="000D22EF">
            <w:pPr>
              <w:pStyle w:val="ListParagraph"/>
              <w:spacing w:before="0" w:after="0" w:line="240" w:lineRule="auto"/>
              <w:ind w:left="0" w:right="170" w:firstLine="604"/>
              <w:rPr>
                <w:sz w:val="24"/>
                <w:szCs w:val="24"/>
                <w:lang w:val="lv-LV"/>
              </w:rPr>
            </w:pPr>
            <w:r w:rsidRPr="00800060">
              <w:rPr>
                <w:sz w:val="24"/>
                <w:szCs w:val="24"/>
                <w:lang w:val="lv-LV"/>
              </w:rPr>
              <w:t xml:space="preserve">1) </w:t>
            </w:r>
            <w:r w:rsidRPr="00800060">
              <w:rPr>
                <w:sz w:val="24"/>
                <w:szCs w:val="24"/>
                <w:shd w:val="clear" w:color="auto" w:fill="FFFFFF"/>
                <w:lang w:val="lv-LV"/>
              </w:rPr>
              <w:t xml:space="preserve">sauszemes transportlīdzekļu īpašnieku civiltiesiskās atbildības obligātās apdrošināšanas garantijas fonda </w:t>
            </w:r>
            <w:r w:rsidRPr="00800060">
              <w:rPr>
                <w:sz w:val="24"/>
                <w:szCs w:val="24"/>
                <w:lang w:val="lv-LV"/>
              </w:rPr>
              <w:t>darbības nodrošināšanai (turpmāk – Garantijas fonds).</w:t>
            </w:r>
          </w:p>
          <w:p w14:paraId="57BBEDD8" w14:textId="77777777" w:rsidR="00800060" w:rsidRPr="00800060" w:rsidRDefault="00800060" w:rsidP="000D22EF">
            <w:pPr>
              <w:pStyle w:val="ListParagraph"/>
              <w:spacing w:before="0" w:after="0" w:line="240" w:lineRule="auto"/>
              <w:ind w:left="0" w:right="170" w:firstLine="604"/>
              <w:rPr>
                <w:sz w:val="24"/>
                <w:szCs w:val="24"/>
                <w:lang w:val="lv-LV"/>
              </w:rPr>
            </w:pPr>
            <w:r w:rsidRPr="00800060">
              <w:rPr>
                <w:sz w:val="24"/>
                <w:szCs w:val="24"/>
                <w:lang w:val="lv-LV"/>
              </w:rPr>
              <w:t xml:space="preserve">2) ceļu satiksmes negadījumu </w:t>
            </w:r>
            <w:r w:rsidRPr="00800060">
              <w:rPr>
                <w:sz w:val="24"/>
                <w:szCs w:val="24"/>
                <w:lang w:val="lv-LV"/>
              </w:rPr>
              <w:lastRenderedPageBreak/>
              <w:t>novēršanas pasākumu veikšanai;</w:t>
            </w:r>
          </w:p>
          <w:p w14:paraId="5FA0495D" w14:textId="3E8BBAC0" w:rsidR="00800060" w:rsidRPr="000D22EF" w:rsidRDefault="00800060" w:rsidP="000D22EF">
            <w:pPr>
              <w:pStyle w:val="ListParagraph"/>
              <w:spacing w:before="0" w:after="0" w:line="240" w:lineRule="auto"/>
              <w:ind w:left="0" w:right="170" w:firstLine="604"/>
              <w:rPr>
                <w:sz w:val="24"/>
                <w:szCs w:val="24"/>
                <w:lang w:val="lv-LV"/>
              </w:rPr>
            </w:pPr>
            <w:r w:rsidRPr="00800060">
              <w:rPr>
                <w:sz w:val="24"/>
                <w:szCs w:val="24"/>
                <w:lang w:val="lv-LV"/>
              </w:rPr>
              <w:t>3)</w:t>
            </w:r>
            <w:r w:rsidR="000D22EF">
              <w:rPr>
                <w:sz w:val="24"/>
                <w:szCs w:val="24"/>
                <w:lang w:val="lv-LV"/>
              </w:rPr>
              <w:t xml:space="preserve"> </w:t>
            </w:r>
            <w:r w:rsidRPr="00800060">
              <w:rPr>
                <w:sz w:val="24"/>
                <w:szCs w:val="24"/>
                <w:lang w:val="lv-LV"/>
              </w:rPr>
              <w:t xml:space="preserve">LTAB darbības nodrošināšanai. </w:t>
            </w:r>
          </w:p>
          <w:p w14:paraId="232B6315" w14:textId="77777777" w:rsidR="00800060" w:rsidRPr="00E77754" w:rsidRDefault="00800060" w:rsidP="000D22EF">
            <w:pPr>
              <w:ind w:right="170" w:firstLine="720"/>
              <w:jc w:val="both"/>
              <w:rPr>
                <w:szCs w:val="24"/>
                <w:shd w:val="clear" w:color="auto" w:fill="FFFFFF"/>
              </w:rPr>
            </w:pPr>
            <w:r w:rsidRPr="00E77754">
              <w:rPr>
                <w:szCs w:val="24"/>
              </w:rPr>
              <w:t>OCTA likuma 57.panta otrā daļa nosaka, ka c</w:t>
            </w:r>
            <w:r w:rsidRPr="00E77754">
              <w:rPr>
                <w:szCs w:val="24"/>
                <w:shd w:val="clear" w:color="auto" w:fill="FFFFFF"/>
              </w:rPr>
              <w:t>eļu satiksmes negadījumu novēršanas pasākumu veikšanai apdrošinātāji katru ceturksni ieskaita LTAB kontā divus procentus no parakstīto apdrošināšanas prēmiju summas, kas norādīta apdrošināšanas līgumā tā noslēgšanas brīdī, no tās atskaitot šā likuma </w:t>
            </w:r>
            <w:hyperlink r:id="rId8" w:anchor="p10" w:history="1">
              <w:r w:rsidRPr="00E77754">
                <w:rPr>
                  <w:szCs w:val="24"/>
                  <w:shd w:val="clear" w:color="auto" w:fill="FFFFFF"/>
                </w:rPr>
                <w:t>10.pantā</w:t>
              </w:r>
            </w:hyperlink>
            <w:r w:rsidRPr="00E77754">
              <w:rPr>
                <w:szCs w:val="24"/>
                <w:shd w:val="clear" w:color="auto" w:fill="FFFFFF"/>
              </w:rPr>
              <w:t> minētajos gadījumos transportlīdzekļa īpašniekam vai — transportlīdzekļa līzinga gadījumā — transportlīdzekļa reģistrācijas apliecībā norādītajam transportlīdzekļa turētājam atmaksāto prēmijas daļu. Šā likuma </w:t>
            </w:r>
            <w:hyperlink r:id="rId9" w:anchor="p14" w:history="1">
              <w:r w:rsidRPr="00E77754">
                <w:rPr>
                  <w:szCs w:val="24"/>
                  <w:shd w:val="clear" w:color="auto" w:fill="FFFFFF"/>
                </w:rPr>
                <w:t>14.panta</w:t>
              </w:r>
            </w:hyperlink>
            <w:r w:rsidRPr="00E77754">
              <w:rPr>
                <w:szCs w:val="24"/>
                <w:shd w:val="clear" w:color="auto" w:fill="FFFFFF"/>
              </w:rPr>
              <w:t> otrajā un trešajā daļā minētajos gadījumos parakstītā apdrošināšanas prēmija ir apdrošināšanas līguma noslēgšanas brīdī aprēķinātā prēmija, no kuras atskaitīts apdrošināšanas prēmijas maksājuma samazinājums, ko apdrošinātājam kompensē LTAB no Garantijas fonda.</w:t>
            </w:r>
          </w:p>
          <w:p w14:paraId="5284DE7D" w14:textId="77777777" w:rsidR="00800060" w:rsidRPr="00E77754" w:rsidRDefault="00800060" w:rsidP="000D22EF">
            <w:pPr>
              <w:ind w:right="170" w:firstLine="720"/>
              <w:jc w:val="both"/>
              <w:rPr>
                <w:szCs w:val="24"/>
              </w:rPr>
            </w:pPr>
            <w:r w:rsidRPr="00E77754">
              <w:rPr>
                <w:szCs w:val="24"/>
              </w:rPr>
              <w:t xml:space="preserve">Finanšu ministrija uzskata, ka ir būtiski veicināt ieinteresēto personu izpratni par izmaksām, kuras </w:t>
            </w:r>
            <w:r w:rsidRPr="00E77754">
              <w:rPr>
                <w:szCs w:val="24"/>
              </w:rPr>
              <w:lastRenderedPageBreak/>
              <w:t xml:space="preserve">apdrošinātājam rodas saistībā ar OCTA likuma 17.panta piektās daļas izpildi, jo apdrošinātājs tās ņem vērā, aprēķinot apdrošināšanas prēmiju cenas. Līdz ar to Finanšu ministrija aicina papildināt Projektu ar jaunu punktu, kurš paredzētu ietvert </w:t>
            </w:r>
            <w:r w:rsidRPr="00E77754">
              <w:rPr>
                <w:szCs w:val="24"/>
                <w:lang w:eastAsia="lv-LV"/>
              </w:rPr>
              <w:t xml:space="preserve">Ceļu satiksmes drošības plānā 2017.–2020.gadam </w:t>
            </w:r>
            <w:r w:rsidRPr="00E77754">
              <w:rPr>
                <w:szCs w:val="24"/>
              </w:rPr>
              <w:t xml:space="preserve">informāciju par apdrošinātāja pienākumu veikt maksājumus saskaņā ar OCTA likuma 17.panta piekto daļu un 57.pantu, kā arī paredzētu aizstāt visā plāna tekstā vārdus “OCTA līdzekļi” vai vārdus “OCTA budžets” ar vārdiem “apdrošinātāju veiktie maksājumi ceļu satiksmes negadījumu novēršanas pasākumu veikšanai”. </w:t>
            </w:r>
          </w:p>
          <w:p w14:paraId="4C139EBD" w14:textId="77777777" w:rsidR="003B1837" w:rsidRPr="00126B96" w:rsidRDefault="003B1837" w:rsidP="000D22EF">
            <w:pPr>
              <w:pStyle w:val="naisc"/>
              <w:spacing w:before="0" w:after="0"/>
              <w:ind w:firstLine="284"/>
            </w:pPr>
          </w:p>
        </w:tc>
        <w:tc>
          <w:tcPr>
            <w:tcW w:w="3260" w:type="dxa"/>
            <w:tcBorders>
              <w:top w:val="single" w:sz="6" w:space="0" w:color="000000"/>
              <w:left w:val="single" w:sz="6" w:space="0" w:color="000000"/>
              <w:bottom w:val="single" w:sz="6" w:space="0" w:color="000000"/>
            </w:tcBorders>
          </w:tcPr>
          <w:p w14:paraId="2DB44C15" w14:textId="0233EF09" w:rsidR="00800060" w:rsidRPr="00112AEE" w:rsidRDefault="00DF6B25" w:rsidP="000D22EF">
            <w:pPr>
              <w:pStyle w:val="naisc"/>
              <w:ind w:firstLine="284"/>
              <w:rPr>
                <w:b/>
              </w:rPr>
            </w:pPr>
            <w:r>
              <w:rPr>
                <w:b/>
              </w:rPr>
              <w:lastRenderedPageBreak/>
              <w:t>Panākta vienošanās</w:t>
            </w:r>
            <w:r w:rsidR="00800060" w:rsidRPr="00112AEE">
              <w:rPr>
                <w:b/>
              </w:rPr>
              <w:t>.</w:t>
            </w:r>
          </w:p>
          <w:p w14:paraId="3684EA00" w14:textId="77777777" w:rsidR="003B1837" w:rsidRDefault="002F157B" w:rsidP="00800060">
            <w:pPr>
              <w:pStyle w:val="naisc"/>
              <w:spacing w:before="0" w:after="0"/>
              <w:ind w:firstLine="284"/>
              <w:jc w:val="both"/>
            </w:pPr>
            <w:r>
              <w:t xml:space="preserve">Satiksmes ministrija piekrīt, ka ir nepieciešams veicināt ieinteresēto personu izpratni par izmaksām, kuras apdrošinātājam rodas saistībā ar OCTA likuma 17.panta piektās daļas izpildi, tomēr norāda, ka Finanšu ministrijas atzinumā norādītais iebildums nav izpildāms atbilstoši piedāvātajai redakcijai. </w:t>
            </w:r>
          </w:p>
          <w:p w14:paraId="3B18958A" w14:textId="77777777" w:rsidR="002F157B" w:rsidRDefault="002F157B" w:rsidP="00800060">
            <w:pPr>
              <w:pStyle w:val="naisc"/>
              <w:spacing w:before="0" w:after="0"/>
              <w:ind w:firstLine="284"/>
              <w:jc w:val="both"/>
            </w:pPr>
            <w:r>
              <w:t>Ņemot vērā, ka esošajā Ceļu satiksmes drošības plān</w:t>
            </w:r>
            <w:r w:rsidR="00AC7B50">
              <w:t xml:space="preserve">a 2017.-2020.gadam tekstā, plānā paredzēto pasākumu tabulā un pasākumu finansējuma plāna tabulā vārdu kombinācija, kas attiecas uz apdrošinātāju veiktajiem maksājumiem ceļu satiksmes negadījumu </w:t>
            </w:r>
            <w:r w:rsidR="00AC7B50">
              <w:lastRenderedPageBreak/>
              <w:t>novēršanas pasākumu veikšanai tiek lietota vairākās kombinācijās kā norādīts Finanšu ministrijas atzinumā - “OCTA budžets”, “OCTA līdzekļi”, ar grozījumiem plānā  aizstājot tikai šos vārdus varētu tikt radīta neizpratne par kopējo kontekstu attiecībā uz plānoto pasākumu finansējuma avotiem.</w:t>
            </w:r>
          </w:p>
          <w:p w14:paraId="27BD8C5B" w14:textId="129D54EC" w:rsidR="00AC7B50" w:rsidRPr="00126B96" w:rsidRDefault="00AC7B50" w:rsidP="00800060">
            <w:pPr>
              <w:pStyle w:val="naisc"/>
              <w:spacing w:before="0" w:after="0"/>
              <w:ind w:firstLine="284"/>
              <w:jc w:val="both"/>
            </w:pPr>
            <w:r>
              <w:t xml:space="preserve">Tādējādi, lai </w:t>
            </w:r>
            <w:r w:rsidR="00516695">
              <w:t xml:space="preserve">tiktu ņemts vērā </w:t>
            </w:r>
            <w:r>
              <w:t xml:space="preserve"> Finanšu ministrijas atzinumā sniegt</w:t>
            </w:r>
            <w:r w:rsidR="00516695">
              <w:t>ais iebildums</w:t>
            </w:r>
            <w:r>
              <w:t>, Satiksmes ministrija ir papildinājusi rīkojuma projektu, kas paredz papildināt plāna tekstu ar papildus skaidrojumu par apdrošinātāju veiktajiem maksājumiem ceļu satiksmes negadījumu novēršanas pasākumu veikšanai, kā arī iekļaut atsauci plāna sadaļā “Lietotie saīsinājumi” saīsinājumam “OCTA”</w:t>
            </w:r>
            <w:r w:rsidR="00516695">
              <w:t>.</w:t>
            </w:r>
          </w:p>
        </w:tc>
        <w:tc>
          <w:tcPr>
            <w:tcW w:w="3260" w:type="dxa"/>
            <w:tcBorders>
              <w:top w:val="single" w:sz="6" w:space="0" w:color="000000"/>
              <w:left w:val="single" w:sz="6" w:space="0" w:color="000000"/>
              <w:bottom w:val="single" w:sz="6" w:space="0" w:color="000000"/>
              <w:right w:val="single" w:sz="4" w:space="0" w:color="auto"/>
            </w:tcBorders>
          </w:tcPr>
          <w:p w14:paraId="3A464C68" w14:textId="1FCDFD75" w:rsidR="00516695" w:rsidRPr="00D14C32" w:rsidRDefault="00516695" w:rsidP="000D22EF">
            <w:pPr>
              <w:pStyle w:val="naisc"/>
              <w:spacing w:before="0" w:after="0"/>
              <w:jc w:val="both"/>
              <w:rPr>
                <w:u w:val="single"/>
              </w:rPr>
            </w:pPr>
            <w:r w:rsidRPr="00D14C32">
              <w:rPr>
                <w:u w:val="single"/>
              </w:rPr>
              <w:lastRenderedPageBreak/>
              <w:t>Rīkojum</w:t>
            </w:r>
            <w:r w:rsidRPr="00244C1A">
              <w:rPr>
                <w:u w:val="single"/>
              </w:rPr>
              <w:t xml:space="preserve">a </w:t>
            </w:r>
            <w:r w:rsidR="00FB2B8D" w:rsidRPr="00244C1A">
              <w:rPr>
                <w:u w:val="single"/>
              </w:rPr>
              <w:t>projekta 2</w:t>
            </w:r>
            <w:r w:rsidRPr="00244C1A">
              <w:rPr>
                <w:u w:val="single"/>
              </w:rPr>
              <w:t>.</w:t>
            </w:r>
            <w:r w:rsidR="00FB2B8D" w:rsidRPr="00244C1A">
              <w:rPr>
                <w:u w:val="single"/>
              </w:rPr>
              <w:t xml:space="preserve"> un 3.</w:t>
            </w:r>
            <w:r w:rsidRPr="00244C1A">
              <w:rPr>
                <w:u w:val="single"/>
              </w:rPr>
              <w:t>punkts:</w:t>
            </w:r>
          </w:p>
          <w:p w14:paraId="35EDFE36" w14:textId="77777777" w:rsidR="003B1837" w:rsidRDefault="003B1837" w:rsidP="00800060">
            <w:pPr>
              <w:pStyle w:val="naisc"/>
              <w:spacing w:before="0" w:after="0"/>
              <w:ind w:firstLine="284"/>
              <w:jc w:val="both"/>
            </w:pPr>
          </w:p>
          <w:p w14:paraId="559F428F" w14:textId="6EBFE1A5" w:rsidR="00FB2B8D" w:rsidRPr="00FB2B8D" w:rsidRDefault="00F52EBF" w:rsidP="00FB2B8D">
            <w:pPr>
              <w:tabs>
                <w:tab w:val="left" w:pos="851"/>
              </w:tabs>
              <w:spacing w:after="40"/>
              <w:ind w:right="175" w:firstLine="567"/>
              <w:jc w:val="both"/>
              <w:rPr>
                <w:rFonts w:eastAsia="Times New Roman"/>
                <w:szCs w:val="24"/>
                <w:lang w:eastAsia="lv-LV"/>
              </w:rPr>
            </w:pPr>
            <w:r>
              <w:rPr>
                <w:rFonts w:eastAsia="Times New Roman"/>
                <w:szCs w:val="24"/>
                <w:lang w:eastAsia="lv-LV"/>
              </w:rPr>
              <w:t>“</w:t>
            </w:r>
            <w:r w:rsidR="00FB2B8D" w:rsidRPr="00FB2B8D">
              <w:rPr>
                <w:rFonts w:eastAsia="Times New Roman"/>
                <w:szCs w:val="24"/>
                <w:lang w:eastAsia="lv-LV"/>
              </w:rPr>
              <w:t>2. Papildināt plāna sadaļā “Lietotie saīsinājumi” saīsinājumu “OCTA Obligātās civiltiesiskās atbildības apdrošināšana” ar  atsauci šādā redakcijā:</w:t>
            </w:r>
          </w:p>
          <w:p w14:paraId="59C94AEE" w14:textId="77777777" w:rsidR="00FB2B8D" w:rsidRPr="00FB2B8D" w:rsidRDefault="00FB2B8D" w:rsidP="00FB2B8D">
            <w:pPr>
              <w:tabs>
                <w:tab w:val="left" w:pos="851"/>
              </w:tabs>
              <w:spacing w:after="40"/>
              <w:ind w:right="567" w:firstLine="567"/>
              <w:jc w:val="both"/>
              <w:rPr>
                <w:rFonts w:eastAsia="Times New Roman"/>
                <w:szCs w:val="24"/>
                <w:lang w:eastAsia="lv-LV"/>
              </w:rPr>
            </w:pPr>
          </w:p>
          <w:p w14:paraId="1A4C6448" w14:textId="77777777" w:rsidR="00FB2B8D" w:rsidRPr="00FB2B8D" w:rsidRDefault="00FB2B8D" w:rsidP="00FB2B8D">
            <w:pPr>
              <w:tabs>
                <w:tab w:val="left" w:pos="851"/>
              </w:tabs>
              <w:spacing w:after="40"/>
              <w:ind w:right="34" w:firstLine="567"/>
              <w:jc w:val="both"/>
              <w:rPr>
                <w:rFonts w:eastAsia="Times New Roman"/>
                <w:szCs w:val="24"/>
                <w:lang w:eastAsia="lv-LV"/>
              </w:rPr>
            </w:pPr>
            <w:r w:rsidRPr="00FB2B8D">
              <w:rPr>
                <w:rFonts w:eastAsia="Times New Roman"/>
                <w:szCs w:val="24"/>
                <w:lang w:eastAsia="lv-LV"/>
              </w:rPr>
              <w:t xml:space="preserve">“Saskaņā ar Sauszemes transportlīdzekļu īpašnieku civiltiesiskās atbildības obligātās apdrošināšanas likuma 57.panta 1.-3.daļu ceļu satiksmes negadījumu novēršanas pasākumu veikšanai apdrošinātāji katru ceturksni ieskaita Transportlīdzekļu apdrošinātāju biroja kontā </w:t>
            </w:r>
            <w:r w:rsidRPr="00FB2B8D">
              <w:rPr>
                <w:rFonts w:eastAsia="Times New Roman"/>
                <w:szCs w:val="24"/>
                <w:lang w:eastAsia="lv-LV"/>
              </w:rPr>
              <w:lastRenderedPageBreak/>
              <w:t>divus procentus no parakstīto apdrošināšanas prēmiju summas. Par naudas izlietojumu lemj Ministru kabineta izveidota konsultatīva institūcija (Ceļu satiksmes drošības padome), kuras darbības mērķis ir sekmēt vienotas valsts politikas izstrādi un īstenošanu ceļu satiksmes drošības jomā.</w:t>
            </w:r>
          </w:p>
          <w:p w14:paraId="7FAFCD22" w14:textId="77777777" w:rsidR="00FB2B8D" w:rsidRPr="00FB2B8D" w:rsidRDefault="00FB2B8D" w:rsidP="00FB2B8D">
            <w:pPr>
              <w:tabs>
                <w:tab w:val="left" w:pos="851"/>
              </w:tabs>
              <w:spacing w:after="40"/>
              <w:ind w:right="567"/>
              <w:jc w:val="both"/>
              <w:rPr>
                <w:rFonts w:eastAsia="Times New Roman"/>
                <w:szCs w:val="24"/>
                <w:lang w:eastAsia="lv-LV"/>
              </w:rPr>
            </w:pPr>
          </w:p>
          <w:p w14:paraId="165D8D49" w14:textId="77777777" w:rsidR="00FB2B8D" w:rsidRPr="00FB2B8D" w:rsidRDefault="00FB2B8D" w:rsidP="00FB2B8D">
            <w:pPr>
              <w:tabs>
                <w:tab w:val="left" w:pos="851"/>
              </w:tabs>
              <w:spacing w:after="40"/>
              <w:ind w:right="175" w:firstLine="426"/>
              <w:jc w:val="both"/>
              <w:rPr>
                <w:rFonts w:eastAsia="Times New Roman"/>
                <w:szCs w:val="24"/>
                <w:lang w:eastAsia="lv-LV"/>
              </w:rPr>
            </w:pPr>
            <w:r w:rsidRPr="00FB2B8D">
              <w:rPr>
                <w:rFonts w:eastAsia="Times New Roman"/>
                <w:szCs w:val="24"/>
                <w:lang w:eastAsia="lv-LV"/>
              </w:rPr>
              <w:t xml:space="preserve"> 3. Papildināt plāna 1.sadaļas “Esošās situācijas raksturojums” 1.3.7.apakšpunktu “Preventīvie pasākumi ceļu satiksmes negadījumu novēršanā” ar pēdējo rindkopu šādā redakcijā:</w:t>
            </w:r>
          </w:p>
          <w:p w14:paraId="4B0BD757" w14:textId="2344B1CE" w:rsidR="00FB2B8D" w:rsidRPr="00FB2B8D" w:rsidRDefault="00FB2B8D" w:rsidP="00584E58">
            <w:pPr>
              <w:tabs>
                <w:tab w:val="left" w:pos="851"/>
                <w:tab w:val="left" w:pos="1312"/>
                <w:tab w:val="left" w:pos="2446"/>
              </w:tabs>
              <w:spacing w:after="40"/>
              <w:ind w:right="567"/>
              <w:jc w:val="both"/>
              <w:rPr>
                <w:rFonts w:eastAsia="Times New Roman"/>
                <w:szCs w:val="24"/>
                <w:lang w:eastAsia="lv-LV"/>
              </w:rPr>
            </w:pPr>
            <w:r w:rsidRPr="00FB2B8D">
              <w:rPr>
                <w:rFonts w:eastAsia="Times New Roman"/>
                <w:szCs w:val="24"/>
                <w:lang w:eastAsia="lv-LV"/>
              </w:rPr>
              <w:t>“</w:t>
            </w:r>
            <w:r w:rsidR="00821FA0">
              <w:rPr>
                <w:rFonts w:eastAsia="Times New Roman"/>
                <w:b/>
                <w:szCs w:val="24"/>
                <w:lang w:eastAsia="lv-LV"/>
              </w:rPr>
              <w:t>CSNg</w:t>
            </w:r>
            <w:r w:rsidRPr="00FB2B8D">
              <w:rPr>
                <w:rFonts w:eastAsia="Times New Roman"/>
                <w:b/>
                <w:szCs w:val="24"/>
                <w:lang w:eastAsia="lv-LV"/>
              </w:rPr>
              <w:t xml:space="preserve"> novēršanas pasākumu īstenošana</w:t>
            </w:r>
          </w:p>
          <w:p w14:paraId="2050FB99" w14:textId="77777777" w:rsidR="00FB2B8D" w:rsidRPr="00FB2B8D" w:rsidRDefault="00FB2B8D" w:rsidP="00FB2B8D">
            <w:pPr>
              <w:spacing w:after="40"/>
              <w:ind w:right="34" w:firstLine="117"/>
              <w:jc w:val="both"/>
              <w:rPr>
                <w:rFonts w:eastAsia="Times New Roman"/>
                <w:szCs w:val="24"/>
                <w:lang w:eastAsia="lv-LV"/>
              </w:rPr>
            </w:pPr>
            <w:r w:rsidRPr="00FB2B8D">
              <w:rPr>
                <w:rFonts w:eastAsia="Times New Roman"/>
                <w:szCs w:val="24"/>
                <w:lang w:eastAsia="lv-LV"/>
              </w:rPr>
              <w:t xml:space="preserve">Lai nodrošinātu CSNg novēršanas pasākumu īstenošanai nepieciešamo finansējumu, OCTA likums paredz apdrošinātājiem pienākumu katru ceturksni ieskaitīt LTAB kontā divus procentus no parakstīto apdrošināšanas prēmiju </w:t>
            </w:r>
            <w:r w:rsidRPr="00FB2B8D">
              <w:rPr>
                <w:rFonts w:eastAsia="Times New Roman"/>
                <w:szCs w:val="24"/>
                <w:lang w:eastAsia="lv-LV"/>
              </w:rPr>
              <w:lastRenderedPageBreak/>
              <w:t xml:space="preserve">summas (OCTA likuma 57.panta 2.daļa). Par minētās naudas izlietojumu lemj Ministru kabineta izveidota konsultatīva institūcija (CSDP), kuras darbības mērķis ir sekmēt vienotas valsts politikas izstrādi un īstenošanu ceļu satiksmes drošības jomā, lai paaugstinātu vispārējo ceļu satiksmes drošības līmeni valstī, ievērojot, ka ne mazāk par pusi no šā panta otrajā daļā minētajiem līdzekļiem izmanto IeM padotībā esošās iestādes. </w:t>
            </w:r>
          </w:p>
          <w:p w14:paraId="5DD0F200" w14:textId="77777777" w:rsidR="00FB2B8D" w:rsidRPr="00FB2B8D" w:rsidRDefault="00FB2B8D" w:rsidP="000D22EF">
            <w:pPr>
              <w:pStyle w:val="NoSpacing"/>
              <w:ind w:firstLine="709"/>
              <w:rPr>
                <w:szCs w:val="24"/>
                <w:lang w:eastAsia="lv-LV"/>
              </w:rPr>
            </w:pPr>
            <w:r w:rsidRPr="00FB2B8D">
              <w:rPr>
                <w:szCs w:val="24"/>
                <w:lang w:eastAsia="lv-LV"/>
              </w:rPr>
              <w:t>Savukārt CSNg novēršana ir ceļu satiksmes drošības pasākumu kopums, lai:</w:t>
            </w:r>
          </w:p>
          <w:p w14:paraId="33E0C68A" w14:textId="77777777" w:rsidR="00FB2B8D" w:rsidRPr="00FB2B8D" w:rsidRDefault="00FB2B8D" w:rsidP="000D22EF">
            <w:pPr>
              <w:pStyle w:val="NoSpacing"/>
              <w:rPr>
                <w:szCs w:val="24"/>
                <w:lang w:eastAsia="lv-LV"/>
              </w:rPr>
            </w:pPr>
            <w:r w:rsidRPr="00FB2B8D">
              <w:rPr>
                <w:szCs w:val="24"/>
                <w:lang w:eastAsia="lv-LV"/>
              </w:rPr>
              <w:t>1) nodrošinātu preventīvos pasākumus ceļu satiksmes drošības jomā;</w:t>
            </w:r>
          </w:p>
          <w:p w14:paraId="512D5C1F" w14:textId="77777777" w:rsidR="00FB2B8D" w:rsidRPr="00FB2B8D" w:rsidRDefault="00FB2B8D" w:rsidP="000D22EF">
            <w:pPr>
              <w:pStyle w:val="NoSpacing"/>
              <w:rPr>
                <w:szCs w:val="24"/>
                <w:lang w:eastAsia="lv-LV"/>
              </w:rPr>
            </w:pPr>
            <w:r w:rsidRPr="00FB2B8D">
              <w:rPr>
                <w:szCs w:val="24"/>
                <w:lang w:eastAsia="lv-LV"/>
              </w:rPr>
              <w:t>2) informētu un izglītotu ceļu satiksmes dalībniekus;</w:t>
            </w:r>
          </w:p>
          <w:p w14:paraId="5433EFBF" w14:textId="77777777" w:rsidR="00FB2B8D" w:rsidRPr="00FB2B8D" w:rsidRDefault="00FB2B8D" w:rsidP="000D22EF">
            <w:pPr>
              <w:pStyle w:val="NoSpacing"/>
              <w:rPr>
                <w:szCs w:val="24"/>
                <w:lang w:eastAsia="lv-LV"/>
              </w:rPr>
            </w:pPr>
            <w:r w:rsidRPr="00FB2B8D">
              <w:rPr>
                <w:szCs w:val="24"/>
                <w:lang w:eastAsia="lv-LV"/>
              </w:rPr>
              <w:t>3) mazinātu CSNg iestāšanās biežumu;</w:t>
            </w:r>
          </w:p>
          <w:p w14:paraId="403E31E4" w14:textId="67E0D40A" w:rsidR="00821FA0" w:rsidRPr="00F52EBF" w:rsidRDefault="00FB2B8D" w:rsidP="000D22EF">
            <w:pPr>
              <w:pStyle w:val="NoSpacing"/>
              <w:rPr>
                <w:szCs w:val="24"/>
                <w:lang w:eastAsia="lv-LV"/>
              </w:rPr>
            </w:pPr>
            <w:r w:rsidRPr="00FB2B8D">
              <w:rPr>
                <w:szCs w:val="24"/>
                <w:lang w:eastAsia="lv-LV"/>
              </w:rPr>
              <w:t>4) novērstu un mazinātu CSNg sekas.</w:t>
            </w:r>
            <w:r w:rsidR="00F52EBF">
              <w:rPr>
                <w:szCs w:val="24"/>
                <w:lang w:eastAsia="lv-LV"/>
              </w:rPr>
              <w:t xml:space="preserve"> “ </w:t>
            </w:r>
          </w:p>
          <w:p w14:paraId="2D0CC382" w14:textId="77777777" w:rsidR="00821FA0" w:rsidRDefault="00821FA0" w:rsidP="00821FA0">
            <w:pPr>
              <w:rPr>
                <w:lang w:eastAsia="lv-LV"/>
              </w:rPr>
            </w:pPr>
          </w:p>
          <w:p w14:paraId="2DBE54C7" w14:textId="052EA9AA" w:rsidR="00516695" w:rsidRPr="00126B96" w:rsidRDefault="00821FA0" w:rsidP="000D22EF">
            <w:pPr>
              <w:jc w:val="both"/>
            </w:pPr>
            <w:r w:rsidRPr="00DA5A84">
              <w:rPr>
                <w:rFonts w:cs="Calibri"/>
              </w:rPr>
              <w:t xml:space="preserve">Skatīt </w:t>
            </w:r>
            <w:r w:rsidR="001C15F9">
              <w:rPr>
                <w:rFonts w:cs="Calibri"/>
              </w:rPr>
              <w:t>precizēto</w:t>
            </w:r>
            <w:r>
              <w:rPr>
                <w:rFonts w:cs="Calibri"/>
              </w:rPr>
              <w:t xml:space="preserve"> </w:t>
            </w:r>
            <w:r w:rsidRPr="00DA5A84">
              <w:rPr>
                <w:rFonts w:cs="Calibri"/>
              </w:rPr>
              <w:t>rīkojuma projekta anotācijas I sadaļas 2.punktu</w:t>
            </w:r>
            <w:r w:rsidR="000D22EF">
              <w:rPr>
                <w:rFonts w:cs="Calibri"/>
              </w:rPr>
              <w:t>.</w:t>
            </w:r>
          </w:p>
        </w:tc>
      </w:tr>
      <w:tr w:rsidR="00821FA0" w:rsidRPr="00126B96" w14:paraId="0DDFFA3E" w14:textId="77777777" w:rsidTr="00862767">
        <w:tc>
          <w:tcPr>
            <w:tcW w:w="14876" w:type="dxa"/>
            <w:gridSpan w:val="7"/>
            <w:tcBorders>
              <w:top w:val="single" w:sz="6" w:space="0" w:color="000000"/>
              <w:left w:val="single" w:sz="6" w:space="0" w:color="000000"/>
              <w:bottom w:val="single" w:sz="6" w:space="0" w:color="000000"/>
              <w:right w:val="single" w:sz="4" w:space="0" w:color="auto"/>
            </w:tcBorders>
          </w:tcPr>
          <w:p w14:paraId="4E9E7AF7" w14:textId="77777777" w:rsidR="00821FA0" w:rsidRDefault="00821FA0" w:rsidP="00862767">
            <w:pPr>
              <w:pStyle w:val="naisc"/>
              <w:spacing w:before="0" w:after="0"/>
              <w:ind w:firstLine="284"/>
            </w:pPr>
          </w:p>
          <w:p w14:paraId="041BD91B" w14:textId="77777777" w:rsidR="00821FA0" w:rsidRPr="00E77754" w:rsidRDefault="00821FA0" w:rsidP="00821FA0">
            <w:pPr>
              <w:jc w:val="center"/>
              <w:rPr>
                <w:b/>
              </w:rPr>
            </w:pPr>
            <w:r w:rsidRPr="00E77754">
              <w:rPr>
                <w:b/>
              </w:rPr>
              <w:t xml:space="preserve">Finanšu ministrijas 12.07.2019. </w:t>
            </w:r>
            <w:r>
              <w:rPr>
                <w:b/>
              </w:rPr>
              <w:t>atzinums Nr.12/A-7/3330 (VSS-610</w:t>
            </w:r>
            <w:r w:rsidRPr="00E77754">
              <w:rPr>
                <w:b/>
              </w:rPr>
              <w:t xml:space="preserve">) </w:t>
            </w:r>
            <w:r>
              <w:rPr>
                <w:b/>
                <w:i/>
              </w:rPr>
              <w:t>par inform. ziņojuma</w:t>
            </w:r>
            <w:r w:rsidRPr="00E77754">
              <w:rPr>
                <w:b/>
                <w:i/>
              </w:rPr>
              <w:t xml:space="preserve"> projektu</w:t>
            </w:r>
          </w:p>
          <w:p w14:paraId="30E0412E" w14:textId="77777777" w:rsidR="00821FA0" w:rsidRDefault="00821FA0" w:rsidP="00821FA0">
            <w:pPr>
              <w:pStyle w:val="naisc"/>
              <w:spacing w:before="0" w:after="0"/>
              <w:jc w:val="left"/>
            </w:pPr>
          </w:p>
          <w:p w14:paraId="5845EE9E" w14:textId="77777777" w:rsidR="00821FA0" w:rsidRPr="00126B96" w:rsidRDefault="00821FA0" w:rsidP="00862767">
            <w:pPr>
              <w:pStyle w:val="naisc"/>
              <w:spacing w:before="0" w:after="0"/>
              <w:ind w:firstLine="284"/>
            </w:pPr>
          </w:p>
        </w:tc>
      </w:tr>
      <w:tr w:rsidR="003B1837" w:rsidRPr="00126B96" w14:paraId="75E74D05" w14:textId="77777777" w:rsidTr="003B1837">
        <w:tc>
          <w:tcPr>
            <w:tcW w:w="701" w:type="dxa"/>
            <w:tcBorders>
              <w:top w:val="single" w:sz="6" w:space="0" w:color="000000"/>
              <w:left w:val="single" w:sz="6" w:space="0" w:color="000000"/>
              <w:bottom w:val="single" w:sz="6" w:space="0" w:color="000000"/>
            </w:tcBorders>
          </w:tcPr>
          <w:p w14:paraId="648FE401" w14:textId="045571D2" w:rsidR="003B1837" w:rsidRPr="00126B96" w:rsidRDefault="000F2079" w:rsidP="000F2079">
            <w:pPr>
              <w:pStyle w:val="naisc"/>
              <w:spacing w:before="0" w:after="0"/>
              <w:jc w:val="left"/>
            </w:pPr>
            <w:r>
              <w:t>10.</w:t>
            </w:r>
          </w:p>
        </w:tc>
        <w:tc>
          <w:tcPr>
            <w:tcW w:w="3686" w:type="dxa"/>
            <w:gridSpan w:val="2"/>
            <w:tcBorders>
              <w:top w:val="single" w:sz="6" w:space="0" w:color="000000"/>
              <w:left w:val="single" w:sz="6" w:space="0" w:color="000000"/>
              <w:bottom w:val="single" w:sz="6" w:space="0" w:color="000000"/>
            </w:tcBorders>
          </w:tcPr>
          <w:p w14:paraId="7F2ADF23" w14:textId="1AA87926" w:rsidR="003B1837" w:rsidRPr="00584E58" w:rsidRDefault="00000483" w:rsidP="00584E58">
            <w:pPr>
              <w:pStyle w:val="naisc"/>
              <w:spacing w:before="0" w:after="0"/>
              <w:jc w:val="both"/>
            </w:pPr>
            <w:r w:rsidRPr="00584E58">
              <w:t>Skatīt informatīvā ziņojuma projektu.</w:t>
            </w:r>
          </w:p>
        </w:tc>
        <w:tc>
          <w:tcPr>
            <w:tcW w:w="3969" w:type="dxa"/>
            <w:gridSpan w:val="2"/>
            <w:tcBorders>
              <w:top w:val="single" w:sz="6" w:space="0" w:color="000000"/>
              <w:left w:val="single" w:sz="6" w:space="0" w:color="000000"/>
              <w:bottom w:val="single" w:sz="6" w:space="0" w:color="000000"/>
            </w:tcBorders>
          </w:tcPr>
          <w:p w14:paraId="117FC020" w14:textId="40AFD6DC" w:rsidR="000F2079" w:rsidRPr="00E77754" w:rsidRDefault="000F2079" w:rsidP="000D22EF">
            <w:pPr>
              <w:ind w:right="28" w:firstLine="720"/>
              <w:jc w:val="both"/>
              <w:rPr>
                <w:szCs w:val="24"/>
              </w:rPr>
            </w:pPr>
            <w:r w:rsidRPr="00E77754">
              <w:rPr>
                <w:szCs w:val="24"/>
              </w:rPr>
              <w:t xml:space="preserve">Saskaņā ar </w:t>
            </w:r>
            <w:r w:rsidRPr="00E77754">
              <w:rPr>
                <w:szCs w:val="24"/>
                <w:shd w:val="clear" w:color="auto" w:fill="FFFFFF"/>
              </w:rPr>
              <w:t xml:space="preserve">Sauszemes transportlīdzekļu īpašnieku civiltiesiskās atbildības obligātās apdrošināšanas likuma (turpmāk - </w:t>
            </w:r>
            <w:r w:rsidRPr="00E77754">
              <w:rPr>
                <w:szCs w:val="24"/>
              </w:rPr>
              <w:t xml:space="preserve">OCTA likuma) 17.panta piekto daļu apdrošinātājam, kurš ir saņēmis licenci </w:t>
            </w:r>
            <w:r w:rsidRPr="00E77754">
              <w:rPr>
                <w:szCs w:val="24"/>
                <w:shd w:val="clear" w:color="auto" w:fill="FFFFFF"/>
              </w:rPr>
              <w:t>sauszemes transportlīdzekļu īpašnieku civiltiesiskās atbildības obligātās apdrošināšanas pakalpojumu sniegšanai</w:t>
            </w:r>
            <w:r w:rsidRPr="00E77754">
              <w:rPr>
                <w:szCs w:val="24"/>
              </w:rPr>
              <w:t>, ir pienākums veikt maksājumus</w:t>
            </w:r>
            <w:r w:rsidR="0070119C">
              <w:rPr>
                <w:szCs w:val="24"/>
              </w:rPr>
              <w:t xml:space="preserve"> </w:t>
            </w:r>
            <w:r w:rsidRPr="00E77754">
              <w:rPr>
                <w:szCs w:val="24"/>
                <w:shd w:val="clear" w:color="auto" w:fill="FFFFFF"/>
              </w:rPr>
              <w:t>Latvijas </w:t>
            </w:r>
            <w:r w:rsidRPr="00E77754">
              <w:rPr>
                <w:szCs w:val="24"/>
              </w:rPr>
              <w:t>Transportlīdzekļu apdrošinātāju birojam (turpmāk - LTAB) vairākiem atšķirīgiem mērķiem:</w:t>
            </w:r>
          </w:p>
          <w:p w14:paraId="6CFA3E33" w14:textId="77777777" w:rsidR="000F2079" w:rsidRPr="000F2079" w:rsidRDefault="000F2079" w:rsidP="0070119C">
            <w:pPr>
              <w:pStyle w:val="ListParagraph"/>
              <w:spacing w:before="0" w:after="0" w:line="240" w:lineRule="auto"/>
              <w:ind w:left="0" w:right="28" w:firstLine="321"/>
              <w:rPr>
                <w:sz w:val="24"/>
                <w:szCs w:val="24"/>
                <w:lang w:val="lv-LV"/>
              </w:rPr>
            </w:pPr>
            <w:r w:rsidRPr="000F2079">
              <w:rPr>
                <w:sz w:val="24"/>
                <w:szCs w:val="24"/>
                <w:lang w:val="lv-LV"/>
              </w:rPr>
              <w:t xml:space="preserve">1) </w:t>
            </w:r>
            <w:r w:rsidRPr="000F2079">
              <w:rPr>
                <w:sz w:val="24"/>
                <w:szCs w:val="24"/>
                <w:shd w:val="clear" w:color="auto" w:fill="FFFFFF"/>
                <w:lang w:val="lv-LV"/>
              </w:rPr>
              <w:t xml:space="preserve">sauszemes transportlīdzekļu īpašnieku civiltiesiskās atbildības obligātās apdrošināšanas garantijas fonda </w:t>
            </w:r>
            <w:r w:rsidRPr="000F2079">
              <w:rPr>
                <w:sz w:val="24"/>
                <w:szCs w:val="24"/>
                <w:lang w:val="lv-LV"/>
              </w:rPr>
              <w:t>darbības nodrošināšanai (turpmāk – Garantijas fonds).</w:t>
            </w:r>
          </w:p>
          <w:p w14:paraId="57311BAB" w14:textId="77777777" w:rsidR="000F2079" w:rsidRPr="000F2079" w:rsidRDefault="000F2079" w:rsidP="0070119C">
            <w:pPr>
              <w:pStyle w:val="ListParagraph"/>
              <w:spacing w:before="0" w:after="0" w:line="240" w:lineRule="auto"/>
              <w:ind w:left="0" w:right="28" w:firstLine="321"/>
              <w:rPr>
                <w:sz w:val="24"/>
                <w:szCs w:val="24"/>
                <w:lang w:val="lv-LV"/>
              </w:rPr>
            </w:pPr>
            <w:r w:rsidRPr="000F2079">
              <w:rPr>
                <w:sz w:val="24"/>
                <w:szCs w:val="24"/>
                <w:lang w:val="lv-LV"/>
              </w:rPr>
              <w:t>2) ceļu satiksmes negadījumu novēršanas pasākumu veikšanai;</w:t>
            </w:r>
          </w:p>
          <w:p w14:paraId="11FF53C1" w14:textId="77777777" w:rsidR="000F2079" w:rsidRPr="000F2079" w:rsidRDefault="000F2079" w:rsidP="0070119C">
            <w:pPr>
              <w:pStyle w:val="ListParagraph"/>
              <w:spacing w:before="0" w:after="0" w:line="240" w:lineRule="auto"/>
              <w:ind w:left="1080" w:right="28" w:hanging="759"/>
              <w:rPr>
                <w:sz w:val="24"/>
                <w:szCs w:val="24"/>
                <w:shd w:val="clear" w:color="auto" w:fill="FFFFFF"/>
                <w:lang w:val="lv-LV"/>
              </w:rPr>
            </w:pPr>
            <w:r w:rsidRPr="000F2079">
              <w:rPr>
                <w:sz w:val="24"/>
                <w:szCs w:val="24"/>
                <w:lang w:val="lv-LV"/>
              </w:rPr>
              <w:t xml:space="preserve">3) LTAB darbības nodrošināšanai. </w:t>
            </w:r>
          </w:p>
          <w:p w14:paraId="0B3CC46B" w14:textId="77777777" w:rsidR="000F2079" w:rsidRPr="00E77754" w:rsidRDefault="000F2079" w:rsidP="00584E58">
            <w:pPr>
              <w:ind w:right="28"/>
              <w:jc w:val="both"/>
              <w:rPr>
                <w:szCs w:val="24"/>
                <w:shd w:val="clear" w:color="auto" w:fill="FFFFFF"/>
              </w:rPr>
            </w:pPr>
            <w:r w:rsidRPr="00E77754">
              <w:rPr>
                <w:szCs w:val="24"/>
              </w:rPr>
              <w:t>OCTA likuma 57.panta otrā daļa nosaka, ka c</w:t>
            </w:r>
            <w:r w:rsidRPr="00E77754">
              <w:rPr>
                <w:szCs w:val="24"/>
                <w:shd w:val="clear" w:color="auto" w:fill="FFFFFF"/>
              </w:rPr>
              <w:t xml:space="preserve">eļu satiksmes negadījumu novēršanas pasākumu veikšanai apdrošinātāji katru ceturksni ieskaita </w:t>
            </w:r>
            <w:r w:rsidRPr="00E77754">
              <w:rPr>
                <w:szCs w:val="24"/>
                <w:shd w:val="clear" w:color="auto" w:fill="FFFFFF"/>
              </w:rPr>
              <w:lastRenderedPageBreak/>
              <w:t>LTAB kontā divus procentus no parakstīto apdrošināšanas prēmiju summas, kas norādīta apdrošināšanas līgumā tā noslēgšanas brīdī, no tās atskaitot šā likuma </w:t>
            </w:r>
            <w:hyperlink r:id="rId10" w:anchor="p10" w:history="1">
              <w:r w:rsidRPr="00E77754">
                <w:rPr>
                  <w:szCs w:val="24"/>
                  <w:shd w:val="clear" w:color="auto" w:fill="FFFFFF"/>
                </w:rPr>
                <w:t>10.pantā</w:t>
              </w:r>
            </w:hyperlink>
            <w:r w:rsidRPr="00E77754">
              <w:rPr>
                <w:szCs w:val="24"/>
                <w:shd w:val="clear" w:color="auto" w:fill="FFFFFF"/>
              </w:rPr>
              <w:t> minētajos gadījumos transportlīdzekļa īpašniekam vai — transportlīdzekļa līzinga gadījumā — transportlīdzekļa reģistrācijas apliecībā norādītajam transportlīdzekļa turētājam atmaksāto prēmijas daļu. Šā likuma </w:t>
            </w:r>
            <w:hyperlink r:id="rId11" w:anchor="p14" w:history="1">
              <w:r w:rsidRPr="00E77754">
                <w:rPr>
                  <w:szCs w:val="24"/>
                  <w:shd w:val="clear" w:color="auto" w:fill="FFFFFF"/>
                </w:rPr>
                <w:t>14.panta</w:t>
              </w:r>
            </w:hyperlink>
            <w:r w:rsidRPr="00E77754">
              <w:rPr>
                <w:szCs w:val="24"/>
                <w:shd w:val="clear" w:color="auto" w:fill="FFFFFF"/>
              </w:rPr>
              <w:t> otrajā un trešajā daļā minētajos gadījumos parakstītā apdrošināšanas prēmija ir apdrošināšanas līguma noslēgšanas brīdī aprēķinātā prēmija, no kuras atskaitīts apdrošināšanas prēmijas maksājuma samazinājums, ko apdrošinātājam kompensē LTAB no Garantijas fonda.</w:t>
            </w:r>
          </w:p>
          <w:p w14:paraId="2ABF4DAF" w14:textId="35480447" w:rsidR="003B1837" w:rsidRPr="00126B96" w:rsidRDefault="000F2079" w:rsidP="00803F50">
            <w:pPr>
              <w:pStyle w:val="naisc"/>
              <w:spacing w:before="0" w:after="0"/>
              <w:ind w:firstLine="284"/>
              <w:jc w:val="both"/>
            </w:pPr>
            <w:r w:rsidRPr="00E77754">
              <w:t xml:space="preserve">Finanšu ministrija uzskata, ka ir būtiski veicināt ieinteresēto personu izpratni par izmaksām, kuras apdrošinātājam rodas saistībā ar OCTA likuma 17.panta piektās daļas izpildi, jo apdrošinātājs tās ņem vērā, aprēķinot apdrošināšanas prēmiju cenas. Līdz ar to Finanšu ministrija aicina precizēt Projekta redakciju, ietverot tajā informāciju par apdrošinātāja pienākumu veikt maksājumus saskaņā </w:t>
            </w:r>
            <w:r w:rsidRPr="00E77754">
              <w:lastRenderedPageBreak/>
              <w:t>ar OCTA likuma 17.panta piekto daļu un 57.pantu, kā arī aizstājot visā Projekta tekstā vārdus “OCTA līdzekļi” ar vārdiem “apdrošinātāju veiktie maksājumi ceļu satiksmes negadījumu novēršanas pasākumu veikšanai”.</w:t>
            </w:r>
          </w:p>
        </w:tc>
        <w:tc>
          <w:tcPr>
            <w:tcW w:w="3260" w:type="dxa"/>
            <w:tcBorders>
              <w:top w:val="single" w:sz="6" w:space="0" w:color="000000"/>
              <w:left w:val="single" w:sz="6" w:space="0" w:color="000000"/>
              <w:bottom w:val="single" w:sz="6" w:space="0" w:color="000000"/>
            </w:tcBorders>
          </w:tcPr>
          <w:p w14:paraId="5E64A9A8" w14:textId="56CD795B" w:rsidR="00000483" w:rsidRPr="00112AEE" w:rsidRDefault="00000483" w:rsidP="000D22EF">
            <w:pPr>
              <w:pStyle w:val="naisc"/>
              <w:ind w:firstLine="284"/>
              <w:rPr>
                <w:b/>
              </w:rPr>
            </w:pPr>
            <w:r w:rsidRPr="00112AEE">
              <w:rPr>
                <w:b/>
              </w:rPr>
              <w:lastRenderedPageBreak/>
              <w:t>Iebildums ņemts vērā.</w:t>
            </w:r>
          </w:p>
          <w:p w14:paraId="32EBF374" w14:textId="77777777" w:rsidR="003B1837" w:rsidRDefault="00000483" w:rsidP="00000483">
            <w:pPr>
              <w:pStyle w:val="naisc"/>
              <w:spacing w:before="0" w:after="0"/>
              <w:ind w:firstLine="284"/>
              <w:jc w:val="both"/>
            </w:pPr>
            <w:r>
              <w:t>Skatīt skaidrojumu par izziņas 9.punktu.</w:t>
            </w:r>
          </w:p>
          <w:p w14:paraId="46F622D6" w14:textId="669C891F" w:rsidR="00000483" w:rsidRDefault="009D5DB5" w:rsidP="009D5DB5">
            <w:pPr>
              <w:pStyle w:val="naisc"/>
              <w:spacing w:before="0" w:after="0"/>
              <w:ind w:firstLine="284"/>
              <w:jc w:val="both"/>
            </w:pPr>
            <w:r>
              <w:t>Satiksmes ministrija paskaidro</w:t>
            </w:r>
            <w:r w:rsidR="00862767">
              <w:t>, ka veicot grozījumus Ceļu satiksmes d</w:t>
            </w:r>
            <w:r w:rsidR="00803F50">
              <w:t xml:space="preserve">rošības plānā 2017.-2020.gadam, tajā </w:t>
            </w:r>
            <w:r w:rsidR="00862767">
              <w:t>tiek iekļauta arī papildus rindkopa ar skaidrojumu par apdrošinātāju veiktiem maksājumiem ceļu satiksmes negadījumu novēršanas pasākumu īstenošanai, tādēļ info</w:t>
            </w:r>
            <w:r>
              <w:t>r</w:t>
            </w:r>
            <w:r w:rsidR="00862767">
              <w:t xml:space="preserve">matīvā ziņojumā lietotais saīsinājums  </w:t>
            </w:r>
            <w:r w:rsidR="00862767" w:rsidRPr="00FB2B8D">
              <w:t>Sauszemes transportlīdzekļu īpašnieku civiltiesiskās atbildības obligātās apdrošināšanas likuma</w:t>
            </w:r>
            <w:r w:rsidR="00862767">
              <w:t>m (OCTA)</w:t>
            </w:r>
            <w:r w:rsidR="00862767" w:rsidRPr="00FB2B8D">
              <w:t xml:space="preserve"> </w:t>
            </w:r>
            <w:r w:rsidR="00862767">
              <w:t xml:space="preserve">ir papildināts </w:t>
            </w:r>
            <w:r w:rsidR="00803F50">
              <w:t xml:space="preserve">tikai </w:t>
            </w:r>
            <w:r w:rsidR="00862767">
              <w:t xml:space="preserve">ar atsauci, kurā ietverts skaidrojums par </w:t>
            </w:r>
            <w:r w:rsidR="00862767" w:rsidRPr="00862767">
              <w:t>Ceļu satiksmes negadīju</w:t>
            </w:r>
            <w:r>
              <w:t>mu novēršanas pasākumu īstenošanu atbilstoši OCTA likuma 57.panta 1.-3.daļu.</w:t>
            </w:r>
          </w:p>
          <w:p w14:paraId="0813F1BE" w14:textId="5C2C7BBE" w:rsidR="009D5DB5" w:rsidRPr="00126B96" w:rsidRDefault="009D5DB5" w:rsidP="009D5DB5">
            <w:pPr>
              <w:pStyle w:val="naisc"/>
              <w:spacing w:before="0" w:after="0"/>
              <w:ind w:firstLine="284"/>
              <w:jc w:val="both"/>
            </w:pPr>
            <w:r>
              <w:t xml:space="preserve">Vienlaikus jānorāda, ka aizstājot informatīvajā </w:t>
            </w:r>
            <w:r>
              <w:lastRenderedPageBreak/>
              <w:t xml:space="preserve">ziņojumā vārdus “OCTA līdzekļi” ar vārdiem “apdrošinātāju veiktiem maksājumiem ceļu satiksmes negadījumu novēršanas pasākumu īstenošanai” tiks radīta nekonsekvence ar saistīto politikas plānošanas dokumentu – Ceļu satiksmes drošības plāns 2017.-2020.gadam (skaidrojums izziņas 9.punktā). </w:t>
            </w:r>
          </w:p>
        </w:tc>
        <w:tc>
          <w:tcPr>
            <w:tcW w:w="3260" w:type="dxa"/>
            <w:tcBorders>
              <w:top w:val="single" w:sz="6" w:space="0" w:color="000000"/>
              <w:left w:val="single" w:sz="6" w:space="0" w:color="000000"/>
              <w:bottom w:val="single" w:sz="6" w:space="0" w:color="000000"/>
              <w:right w:val="single" w:sz="4" w:space="0" w:color="auto"/>
            </w:tcBorders>
          </w:tcPr>
          <w:p w14:paraId="1E054240" w14:textId="543325A7" w:rsidR="003B1837" w:rsidRPr="00584E58" w:rsidRDefault="009D5DB5" w:rsidP="000D22EF">
            <w:pPr>
              <w:pStyle w:val="naisc"/>
              <w:spacing w:before="0" w:after="0"/>
              <w:jc w:val="both"/>
            </w:pPr>
            <w:r w:rsidRPr="00584E58">
              <w:lastRenderedPageBreak/>
              <w:t>Informatīvā ziņojuma projekta</w:t>
            </w:r>
            <w:r w:rsidR="00803F50" w:rsidRPr="00584E58">
              <w:t xml:space="preserve"> sadaļa</w:t>
            </w:r>
            <w:r w:rsidRPr="00584E58">
              <w:t xml:space="preserve"> “Saīsinājumi”:</w:t>
            </w:r>
          </w:p>
          <w:p w14:paraId="7F9494D7" w14:textId="77777777" w:rsidR="009D5DB5" w:rsidRDefault="009D5DB5" w:rsidP="000D22EF">
            <w:pPr>
              <w:pStyle w:val="naisc"/>
              <w:spacing w:before="0" w:after="0"/>
              <w:jc w:val="both"/>
              <w:rPr>
                <w:u w:val="single"/>
              </w:rPr>
            </w:pPr>
          </w:p>
          <w:p w14:paraId="62C7C23B" w14:textId="2615369F" w:rsidR="009D5DB5" w:rsidRDefault="00F52EBF" w:rsidP="000D22EF">
            <w:pPr>
              <w:pStyle w:val="naisc"/>
              <w:spacing w:before="0" w:after="0"/>
              <w:jc w:val="both"/>
              <w:rPr>
                <w:vertAlign w:val="superscript"/>
              </w:rPr>
            </w:pPr>
            <w:r>
              <w:t>“</w:t>
            </w:r>
            <w:r w:rsidR="009D5DB5">
              <w:t xml:space="preserve">OCTA      </w:t>
            </w:r>
            <w:r w:rsidR="009D5DB5" w:rsidRPr="00FB2B8D">
              <w:t>Sauszemes transportlīdzekļu īpašnieku civiltiesiskās atbildības</w:t>
            </w:r>
            <w:r w:rsidR="009D5DB5">
              <w:t xml:space="preserve"> obligātās apdrošināšanas likums</w:t>
            </w:r>
            <w:r w:rsidR="009D5DB5">
              <w:rPr>
                <w:vertAlign w:val="superscript"/>
              </w:rPr>
              <w:t>1</w:t>
            </w:r>
            <w:r w:rsidR="000D22EF">
              <w:rPr>
                <w:vertAlign w:val="superscript"/>
              </w:rPr>
              <w:t>”</w:t>
            </w:r>
          </w:p>
          <w:p w14:paraId="37E17E7A" w14:textId="77777777" w:rsidR="009D5DB5" w:rsidRDefault="009D5DB5" w:rsidP="000D22EF">
            <w:pPr>
              <w:pStyle w:val="naisc"/>
              <w:spacing w:before="0" w:after="0"/>
              <w:jc w:val="both"/>
              <w:rPr>
                <w:vertAlign w:val="superscript"/>
              </w:rPr>
            </w:pPr>
          </w:p>
          <w:p w14:paraId="002DBE39" w14:textId="35B1BA16" w:rsidR="009D5DB5" w:rsidRPr="009D5DB5" w:rsidRDefault="009D5DB5" w:rsidP="009D5DB5">
            <w:pPr>
              <w:pStyle w:val="naisc"/>
              <w:spacing w:before="0" w:after="0"/>
              <w:ind w:firstLine="284"/>
              <w:jc w:val="both"/>
            </w:pPr>
            <w:r>
              <w:rPr>
                <w:vertAlign w:val="superscript"/>
              </w:rPr>
              <w:t>1</w:t>
            </w:r>
            <w:r w:rsidRPr="009D5DB5">
              <w:rPr>
                <w:sz w:val="20"/>
                <w:szCs w:val="20"/>
              </w:rPr>
              <w:t>Saskaņā ar Sauszemes transportlīdzekļu īpašnieku civiltiesiskās atbildības obligātās apdrošināšanas likuma 57.panta 1.-3.daļu ceļu satiksmes negadījumu novēršanas pasākumu veikšanai apdrošinātāji katru ceturksni ieskaita Transportlīdzekļu apdrošinātāju biroja kontā divus procentus no parakstīto apdrošināšanas prēmiju summas. Par naudas izlietojumu lemj Ministru kabineta izveidota konsultatīva institūcija (Ceļu satiksmes drošības padome), kuras darbības mērķis ir sekmēt vienotas valsts politikas izstrādi un īstenošanu ceļu satiksmes drošības jomā.</w:t>
            </w:r>
            <w:r w:rsidR="00F52EBF">
              <w:rPr>
                <w:sz w:val="20"/>
                <w:szCs w:val="20"/>
              </w:rPr>
              <w:t xml:space="preserve">  “</w:t>
            </w:r>
          </w:p>
        </w:tc>
      </w:tr>
      <w:tr w:rsidR="0082647D" w:rsidRPr="00126B96" w14:paraId="2B6BF9E9" w14:textId="77777777" w:rsidTr="007165BC">
        <w:tc>
          <w:tcPr>
            <w:tcW w:w="14876" w:type="dxa"/>
            <w:gridSpan w:val="7"/>
            <w:tcBorders>
              <w:top w:val="single" w:sz="6" w:space="0" w:color="000000"/>
              <w:left w:val="single" w:sz="6" w:space="0" w:color="000000"/>
              <w:bottom w:val="single" w:sz="6" w:space="0" w:color="000000"/>
              <w:right w:val="single" w:sz="4" w:space="0" w:color="auto"/>
            </w:tcBorders>
          </w:tcPr>
          <w:p w14:paraId="16666E57" w14:textId="77777777" w:rsidR="0082647D" w:rsidRDefault="0082647D" w:rsidP="00862767">
            <w:pPr>
              <w:pStyle w:val="naisc"/>
              <w:spacing w:before="0" w:after="0"/>
              <w:ind w:firstLine="284"/>
            </w:pPr>
          </w:p>
          <w:p w14:paraId="0B65E0BE" w14:textId="50DDB7A1" w:rsidR="0082647D" w:rsidRDefault="0082647D" w:rsidP="0082647D">
            <w:pPr>
              <w:jc w:val="center"/>
              <w:rPr>
                <w:b/>
              </w:rPr>
            </w:pPr>
            <w:r w:rsidRPr="00E77754">
              <w:rPr>
                <w:b/>
              </w:rPr>
              <w:t xml:space="preserve">Iekšlietu ministrijas 15.07.2019. atzinums Nr.1-57/1641 (VSS-609) </w:t>
            </w:r>
            <w:r w:rsidRPr="00E77754">
              <w:rPr>
                <w:b/>
                <w:i/>
              </w:rPr>
              <w:t>par rīkojuma projektu</w:t>
            </w:r>
          </w:p>
          <w:p w14:paraId="79D99668" w14:textId="77777777" w:rsidR="0082647D" w:rsidRPr="00126B96" w:rsidRDefault="0082647D" w:rsidP="0082647D">
            <w:pPr>
              <w:pStyle w:val="naisc"/>
              <w:spacing w:before="0" w:after="0"/>
              <w:ind w:firstLine="284"/>
            </w:pPr>
          </w:p>
        </w:tc>
      </w:tr>
      <w:tr w:rsidR="003B1837" w:rsidRPr="00126B96" w14:paraId="63BAC902" w14:textId="77777777" w:rsidTr="003B1837">
        <w:tc>
          <w:tcPr>
            <w:tcW w:w="701" w:type="dxa"/>
            <w:tcBorders>
              <w:top w:val="single" w:sz="6" w:space="0" w:color="000000"/>
              <w:left w:val="single" w:sz="6" w:space="0" w:color="000000"/>
              <w:bottom w:val="single" w:sz="6" w:space="0" w:color="000000"/>
            </w:tcBorders>
          </w:tcPr>
          <w:p w14:paraId="685F294C" w14:textId="7E25CE3C" w:rsidR="003B1837" w:rsidRPr="00126B96" w:rsidRDefault="0082647D" w:rsidP="0082647D">
            <w:pPr>
              <w:pStyle w:val="naisc"/>
              <w:spacing w:before="0" w:after="0"/>
              <w:jc w:val="left"/>
            </w:pPr>
            <w:r>
              <w:t xml:space="preserve"> 11.</w:t>
            </w:r>
          </w:p>
        </w:tc>
        <w:tc>
          <w:tcPr>
            <w:tcW w:w="3686" w:type="dxa"/>
            <w:gridSpan w:val="2"/>
            <w:tcBorders>
              <w:top w:val="single" w:sz="6" w:space="0" w:color="000000"/>
              <w:left w:val="single" w:sz="6" w:space="0" w:color="000000"/>
              <w:bottom w:val="single" w:sz="6" w:space="0" w:color="000000"/>
            </w:tcBorders>
          </w:tcPr>
          <w:p w14:paraId="49947366" w14:textId="77777777" w:rsidR="003B1837" w:rsidRPr="00680592" w:rsidRDefault="002A510F" w:rsidP="00584E58">
            <w:pPr>
              <w:pStyle w:val="naisc"/>
              <w:spacing w:before="0" w:after="0"/>
              <w:jc w:val="both"/>
              <w:rPr>
                <w:u w:val="single"/>
              </w:rPr>
            </w:pPr>
            <w:r w:rsidRPr="00680592">
              <w:rPr>
                <w:u w:val="single"/>
              </w:rPr>
              <w:t>Rīkojuma projekta 2.punkts:</w:t>
            </w:r>
          </w:p>
          <w:p w14:paraId="4DEE5C18" w14:textId="77777777" w:rsidR="002A510F" w:rsidRDefault="002A510F" w:rsidP="002A510F">
            <w:pPr>
              <w:pStyle w:val="naisc"/>
              <w:spacing w:before="0" w:after="0"/>
              <w:ind w:firstLine="284"/>
              <w:jc w:val="both"/>
            </w:pPr>
          </w:p>
          <w:p w14:paraId="089FA800" w14:textId="77777777" w:rsidR="002A510F" w:rsidRDefault="002A510F" w:rsidP="002A510F">
            <w:pPr>
              <w:pStyle w:val="naisc"/>
              <w:spacing w:before="0" w:after="0"/>
              <w:ind w:firstLine="284"/>
              <w:jc w:val="both"/>
            </w:pPr>
            <w:r>
              <w:t>“</w:t>
            </w:r>
            <w:r w:rsidRPr="002A510F">
              <w:t>2.</w:t>
            </w:r>
            <w:r w:rsidRPr="002A510F">
              <w:tab/>
              <w:t>Papildināt 3.sadaļas “Rīcības virzienu apraksts” rīcības virzienu ”3.1.1. Pētnieciskie pasākumi par ceļu satiksmes drošību Latvijā” ar 1.</w:t>
            </w:r>
            <w:r w:rsidRPr="00FD1E95">
              <w:rPr>
                <w:vertAlign w:val="superscript"/>
              </w:rPr>
              <w:t>1</w:t>
            </w:r>
            <w:r w:rsidRPr="002A510F">
              <w:t xml:space="preserve"> un 1.</w:t>
            </w:r>
            <w:r w:rsidRPr="00FD1E95">
              <w:rPr>
                <w:vertAlign w:val="superscript"/>
              </w:rPr>
              <w:t>2</w:t>
            </w:r>
            <w:r w:rsidRPr="002A510F">
              <w:t xml:space="preserve"> uzdevumu šādā redakcijā:</w:t>
            </w:r>
          </w:p>
          <w:p w14:paraId="6FFCC058" w14:textId="77777777" w:rsidR="002A510F" w:rsidRDefault="002A510F" w:rsidP="002A510F">
            <w:pPr>
              <w:pStyle w:val="naisc"/>
              <w:spacing w:before="0" w:after="0"/>
              <w:ind w:firstLine="284"/>
              <w:jc w:val="both"/>
            </w:pPr>
          </w:p>
          <w:p w14:paraId="628658EE" w14:textId="77777777" w:rsidR="002A510F" w:rsidRDefault="002A510F" w:rsidP="002A510F">
            <w:pPr>
              <w:pStyle w:val="naisc"/>
              <w:spacing w:before="0" w:after="0"/>
              <w:ind w:firstLine="284"/>
              <w:jc w:val="both"/>
              <w:rPr>
                <w:rFonts w:cs="Calibri"/>
                <w:sz w:val="20"/>
                <w:szCs w:val="20"/>
              </w:rPr>
            </w:pPr>
            <w:r>
              <w:rPr>
                <w:sz w:val="20"/>
                <w:szCs w:val="20"/>
              </w:rPr>
              <w:t>1.</w:t>
            </w:r>
            <w:r>
              <w:rPr>
                <w:sz w:val="20"/>
                <w:szCs w:val="20"/>
                <w:vertAlign w:val="superscript"/>
              </w:rPr>
              <w:t>1</w:t>
            </w:r>
            <w:r>
              <w:rPr>
                <w:sz w:val="20"/>
                <w:szCs w:val="20"/>
              </w:rPr>
              <w:t xml:space="preserve">  </w:t>
            </w:r>
            <w:r>
              <w:rPr>
                <w:rFonts w:cs="Calibri"/>
                <w:sz w:val="20"/>
                <w:szCs w:val="20"/>
              </w:rPr>
              <w:t>Nodrošināt, ka daļa no OCTA līdzekļiem tiek piešķirti ceļu satiksmes drošības pētījumiem un ceļu satiksmes drošības politikas plānotājiem ir pieejams aktuāls situācijas izvērtējums par būtiskiem ceļu satiksmes drošības riskiem/faktoriem, kas ietekmē satiksmes drošību.</w:t>
            </w:r>
          </w:p>
          <w:p w14:paraId="570E96AC" w14:textId="77777777" w:rsidR="002A510F" w:rsidRDefault="002A510F" w:rsidP="002A510F">
            <w:pPr>
              <w:pStyle w:val="naisc"/>
              <w:spacing w:before="0" w:after="0"/>
              <w:ind w:firstLine="284"/>
              <w:jc w:val="both"/>
              <w:rPr>
                <w:rFonts w:cs="Calibri"/>
                <w:sz w:val="20"/>
                <w:szCs w:val="20"/>
              </w:rPr>
            </w:pPr>
          </w:p>
          <w:p w14:paraId="65B73A1F" w14:textId="77777777" w:rsidR="002A510F" w:rsidRDefault="002A510F" w:rsidP="002A510F">
            <w:pPr>
              <w:pStyle w:val="naisc"/>
              <w:spacing w:before="0" w:after="0"/>
              <w:ind w:firstLine="284"/>
              <w:jc w:val="both"/>
              <w:rPr>
                <w:rFonts w:cs="Calibri"/>
                <w:sz w:val="20"/>
                <w:szCs w:val="20"/>
              </w:rPr>
            </w:pPr>
          </w:p>
          <w:p w14:paraId="73D531E3" w14:textId="77777777" w:rsidR="002A510F" w:rsidRDefault="002A510F" w:rsidP="002A510F">
            <w:pPr>
              <w:pStyle w:val="naisc"/>
              <w:spacing w:before="0" w:after="0"/>
              <w:ind w:firstLine="284"/>
              <w:jc w:val="both"/>
              <w:rPr>
                <w:rFonts w:cs="Calibri"/>
                <w:sz w:val="20"/>
                <w:szCs w:val="20"/>
              </w:rPr>
            </w:pPr>
            <w:r>
              <w:rPr>
                <w:rFonts w:cs="Calibri"/>
                <w:sz w:val="20"/>
                <w:szCs w:val="20"/>
              </w:rPr>
              <w:t>Darbības rezultāts:</w:t>
            </w:r>
          </w:p>
          <w:p w14:paraId="0D18D5B1" w14:textId="77777777" w:rsidR="002A510F" w:rsidRDefault="002A510F" w:rsidP="002A510F">
            <w:pPr>
              <w:pStyle w:val="naisc"/>
              <w:spacing w:before="0" w:after="0"/>
              <w:ind w:firstLine="284"/>
              <w:jc w:val="both"/>
              <w:rPr>
                <w:rFonts w:cs="Calibri"/>
                <w:sz w:val="20"/>
                <w:szCs w:val="20"/>
              </w:rPr>
            </w:pPr>
            <w:r>
              <w:rPr>
                <w:rFonts w:cs="Calibri"/>
                <w:sz w:val="20"/>
                <w:szCs w:val="20"/>
              </w:rPr>
              <w:t>Nodrošināta iespēja ceļu satiksmes drošības politikas plānotājiem iegūt izvērtējumu par aktuāliem un būtiskiem riskiem, kas ietekmē satiksmes drošību.</w:t>
            </w:r>
          </w:p>
          <w:p w14:paraId="0CCAAFC3" w14:textId="77777777" w:rsidR="002A510F" w:rsidRDefault="002A510F" w:rsidP="002A510F">
            <w:pPr>
              <w:pStyle w:val="naisc"/>
              <w:spacing w:before="0" w:after="0"/>
              <w:ind w:firstLine="284"/>
              <w:jc w:val="both"/>
              <w:rPr>
                <w:rFonts w:cs="Calibri"/>
                <w:sz w:val="20"/>
                <w:szCs w:val="20"/>
              </w:rPr>
            </w:pPr>
          </w:p>
          <w:p w14:paraId="47F76B33" w14:textId="77777777" w:rsidR="002A510F" w:rsidRDefault="002A510F" w:rsidP="002A510F">
            <w:pPr>
              <w:pStyle w:val="naisc"/>
              <w:spacing w:before="0" w:after="0"/>
              <w:ind w:firstLine="284"/>
              <w:jc w:val="both"/>
              <w:rPr>
                <w:rFonts w:cs="Calibri"/>
                <w:sz w:val="20"/>
                <w:szCs w:val="20"/>
              </w:rPr>
            </w:pPr>
            <w:r>
              <w:rPr>
                <w:rFonts w:cs="Calibri"/>
                <w:sz w:val="20"/>
                <w:szCs w:val="20"/>
              </w:rPr>
              <w:lastRenderedPageBreak/>
              <w:t>Rezultatīvie rādītāji:</w:t>
            </w:r>
          </w:p>
          <w:p w14:paraId="25C037A8" w14:textId="22B9F9AB" w:rsidR="002A510F" w:rsidRPr="00126B96" w:rsidRDefault="002A510F" w:rsidP="002A510F">
            <w:pPr>
              <w:pStyle w:val="naisc"/>
              <w:spacing w:before="0" w:after="0"/>
              <w:ind w:firstLine="284"/>
              <w:jc w:val="both"/>
            </w:pPr>
            <w:r>
              <w:rPr>
                <w:rFonts w:cs="Calibri"/>
                <w:sz w:val="20"/>
                <w:szCs w:val="20"/>
              </w:rPr>
              <w:t>Veikti 2-5 pētījumi ceļu satiksmes drošības jomā par aktuālām un būtiskām tēmām.</w:t>
            </w:r>
            <w:r w:rsidR="00F52EBF">
              <w:rPr>
                <w:rFonts w:cs="Calibri"/>
                <w:sz w:val="20"/>
                <w:szCs w:val="20"/>
              </w:rPr>
              <w:t xml:space="preserve">  .. “</w:t>
            </w:r>
          </w:p>
        </w:tc>
        <w:tc>
          <w:tcPr>
            <w:tcW w:w="3969" w:type="dxa"/>
            <w:gridSpan w:val="2"/>
            <w:tcBorders>
              <w:top w:val="single" w:sz="6" w:space="0" w:color="000000"/>
              <w:left w:val="single" w:sz="6" w:space="0" w:color="000000"/>
              <w:bottom w:val="single" w:sz="6" w:space="0" w:color="000000"/>
            </w:tcBorders>
          </w:tcPr>
          <w:p w14:paraId="5A23E2D9" w14:textId="2D385927" w:rsidR="003B1837" w:rsidRPr="00126B96" w:rsidRDefault="0082647D" w:rsidP="0082647D">
            <w:pPr>
              <w:pStyle w:val="naisc"/>
              <w:spacing w:before="0" w:after="0"/>
              <w:ind w:firstLine="284"/>
              <w:jc w:val="both"/>
            </w:pPr>
            <w:r>
              <w:lastRenderedPageBreak/>
              <w:t xml:space="preserve">1.   </w:t>
            </w:r>
            <w:r w:rsidRPr="00E77754">
              <w:t>Rīkojuma projekta 2.punkts paredz papildināt 3.sadaļas “Rīcības virzienu apraksts” rīcības virzienu ”3.1.1. Pētnieciskie pasākumi par ceļu satiksmes drošību Latvijā” ar 1.</w:t>
            </w:r>
            <w:r w:rsidRPr="00E77754">
              <w:rPr>
                <w:vertAlign w:val="superscript"/>
              </w:rPr>
              <w:t>1</w:t>
            </w:r>
            <w:r w:rsidRPr="00E77754">
              <w:t xml:space="preserve"> uzdevumu “Nodrošināt, ka daļa no OCTA līdzekļiem tiek piešķirti ceļu satiksmes drošības pētījumiem un ceļu satiksmes drošības politikas plānotājiem ir pieejams aktuāls situācijas izvērtējums par būtiskiem ceļu satiksmes drošības riskiem/faktoriem, kas ietekmē satiksmes drošību.” Izpildes termiņš paredzēts 2020.gadā, finansējums tiek plānots 150 000 euro apmērā 2-5 pētījumiem ceļu satiksmes drošības jomā par aktuālām un būtiskām tēmām. Lūdzam precizēt pasākuma nosaukumu, lai tas būtu saskaņots ar pasākuma darbības rezultātu, kā arī </w:t>
            </w:r>
            <w:r w:rsidRPr="00E77754">
              <w:lastRenderedPageBreak/>
              <w:t>precizēt pasākuma rezultatīvos rādījumus, papildinot ar informāciju, kādas tēmas ir aktuālas un būtiskas.</w:t>
            </w:r>
          </w:p>
        </w:tc>
        <w:tc>
          <w:tcPr>
            <w:tcW w:w="3260" w:type="dxa"/>
            <w:tcBorders>
              <w:top w:val="single" w:sz="6" w:space="0" w:color="000000"/>
              <w:left w:val="single" w:sz="6" w:space="0" w:color="000000"/>
              <w:bottom w:val="single" w:sz="6" w:space="0" w:color="000000"/>
            </w:tcBorders>
          </w:tcPr>
          <w:p w14:paraId="0CD04837" w14:textId="30B4A93C" w:rsidR="004413A6" w:rsidRPr="00126B96" w:rsidRDefault="00DF6B25" w:rsidP="0070119C">
            <w:pPr>
              <w:pStyle w:val="naisc"/>
              <w:spacing w:before="0" w:after="0"/>
              <w:ind w:firstLine="284"/>
              <w:rPr>
                <w:b/>
              </w:rPr>
            </w:pPr>
            <w:r>
              <w:rPr>
                <w:b/>
              </w:rPr>
              <w:lastRenderedPageBreak/>
              <w:t>Panākta vienošanās</w:t>
            </w:r>
            <w:r w:rsidR="004413A6" w:rsidRPr="00126B96">
              <w:rPr>
                <w:b/>
              </w:rPr>
              <w:t>.</w:t>
            </w:r>
          </w:p>
          <w:p w14:paraId="738C8FE0" w14:textId="023E3865" w:rsidR="004413A6" w:rsidRDefault="004413A6" w:rsidP="004413A6">
            <w:pPr>
              <w:pStyle w:val="naisc"/>
              <w:spacing w:before="0" w:after="0"/>
              <w:ind w:firstLine="284"/>
              <w:jc w:val="both"/>
            </w:pPr>
            <w:r>
              <w:t>Skatīt Satiksmes ministrijas skaidrojumu izziņas 1.punktā.</w:t>
            </w:r>
          </w:p>
          <w:p w14:paraId="72788147" w14:textId="77777777" w:rsidR="004413A6" w:rsidRDefault="004413A6" w:rsidP="004413A6">
            <w:pPr>
              <w:pStyle w:val="naisc"/>
              <w:spacing w:before="0" w:after="0"/>
              <w:ind w:firstLine="284"/>
              <w:jc w:val="both"/>
            </w:pPr>
          </w:p>
          <w:p w14:paraId="2DC28F3A" w14:textId="14047935" w:rsidR="003B1837" w:rsidRPr="00126B96" w:rsidRDefault="004413A6" w:rsidP="004413A6">
            <w:pPr>
              <w:pStyle w:val="naisc"/>
              <w:spacing w:before="0" w:after="0"/>
              <w:ind w:firstLine="284"/>
              <w:jc w:val="both"/>
            </w:pPr>
            <w:r>
              <w:t>Ņemot vērā minēto, ir papildināta rīkojuma projekta anotācija ar papildus informāciju par pasākuma nepieciešamību.</w:t>
            </w:r>
          </w:p>
        </w:tc>
        <w:tc>
          <w:tcPr>
            <w:tcW w:w="3260" w:type="dxa"/>
            <w:tcBorders>
              <w:top w:val="single" w:sz="6" w:space="0" w:color="000000"/>
              <w:left w:val="single" w:sz="6" w:space="0" w:color="000000"/>
              <w:bottom w:val="single" w:sz="6" w:space="0" w:color="000000"/>
              <w:right w:val="single" w:sz="4" w:space="0" w:color="auto"/>
            </w:tcBorders>
          </w:tcPr>
          <w:p w14:paraId="6EA19DF8" w14:textId="44588A4B" w:rsidR="004413A6" w:rsidRPr="00680592" w:rsidRDefault="004413A6" w:rsidP="00584E58">
            <w:pPr>
              <w:pStyle w:val="naisc"/>
              <w:spacing w:before="0" w:after="0"/>
              <w:jc w:val="both"/>
              <w:rPr>
                <w:u w:val="single"/>
              </w:rPr>
            </w:pPr>
            <w:r w:rsidRPr="00244C1A">
              <w:rPr>
                <w:u w:val="single"/>
              </w:rPr>
              <w:t xml:space="preserve">Rīkojuma </w:t>
            </w:r>
            <w:r w:rsidR="00244C1A" w:rsidRPr="00244C1A">
              <w:rPr>
                <w:u w:val="single"/>
              </w:rPr>
              <w:t>projekta 4</w:t>
            </w:r>
            <w:r w:rsidRPr="00244C1A">
              <w:rPr>
                <w:u w:val="single"/>
              </w:rPr>
              <w:t>.punkts:</w:t>
            </w:r>
          </w:p>
          <w:p w14:paraId="4936201D" w14:textId="77777777" w:rsidR="004413A6" w:rsidRDefault="004413A6" w:rsidP="004413A6">
            <w:pPr>
              <w:pStyle w:val="naisc"/>
              <w:spacing w:before="0" w:after="0"/>
              <w:ind w:firstLine="284"/>
              <w:jc w:val="both"/>
            </w:pPr>
          </w:p>
          <w:p w14:paraId="3C7ADD77" w14:textId="133063C9" w:rsidR="004413A6" w:rsidRDefault="004413A6" w:rsidP="004413A6">
            <w:pPr>
              <w:pStyle w:val="naisc"/>
              <w:spacing w:before="0" w:after="0"/>
              <w:ind w:firstLine="284"/>
              <w:jc w:val="both"/>
            </w:pPr>
            <w:r>
              <w:t>“</w:t>
            </w:r>
            <w:r w:rsidRPr="002A510F">
              <w:t>2.</w:t>
            </w:r>
            <w:r w:rsidRPr="002A510F">
              <w:tab/>
              <w:t>Papildināt 3.sadaļas “Rīcības virzienu apraksts” rīcības virzienu ”3.1.1. Pētnieciskie pasākumi par ceļu satiksmes drošību Latvijā” ar 1.</w:t>
            </w:r>
            <w:r w:rsidRPr="00FD1E95">
              <w:rPr>
                <w:vertAlign w:val="superscript"/>
              </w:rPr>
              <w:t>1</w:t>
            </w:r>
            <w:r w:rsidRPr="002A510F">
              <w:t xml:space="preserve"> un </w:t>
            </w:r>
            <w:r w:rsidR="00FD1E95">
              <w:t>1.</w:t>
            </w:r>
            <w:r w:rsidRPr="00FD1E95">
              <w:rPr>
                <w:vertAlign w:val="superscript"/>
              </w:rPr>
              <w:t>2</w:t>
            </w:r>
            <w:r w:rsidRPr="002A510F">
              <w:t xml:space="preserve"> uzdevumu šādā redakcijā:</w:t>
            </w:r>
          </w:p>
          <w:p w14:paraId="508EEB68" w14:textId="77777777" w:rsidR="004413A6" w:rsidRDefault="004413A6" w:rsidP="004413A6">
            <w:pPr>
              <w:pStyle w:val="naisc"/>
              <w:spacing w:before="0" w:after="0"/>
              <w:ind w:firstLine="284"/>
              <w:jc w:val="both"/>
            </w:pPr>
          </w:p>
          <w:p w14:paraId="15E9D212" w14:textId="77777777" w:rsidR="004413A6" w:rsidRDefault="004413A6" w:rsidP="004413A6">
            <w:pPr>
              <w:pStyle w:val="naisc"/>
              <w:spacing w:before="0" w:after="0"/>
              <w:ind w:firstLine="284"/>
              <w:jc w:val="both"/>
              <w:rPr>
                <w:rFonts w:cs="Calibri"/>
                <w:sz w:val="20"/>
                <w:szCs w:val="20"/>
              </w:rPr>
            </w:pPr>
            <w:r>
              <w:rPr>
                <w:sz w:val="20"/>
                <w:szCs w:val="20"/>
              </w:rPr>
              <w:t>1.</w:t>
            </w:r>
            <w:r>
              <w:rPr>
                <w:sz w:val="20"/>
                <w:szCs w:val="20"/>
                <w:vertAlign w:val="superscript"/>
              </w:rPr>
              <w:t>1</w:t>
            </w:r>
            <w:r>
              <w:rPr>
                <w:sz w:val="20"/>
                <w:szCs w:val="20"/>
              </w:rPr>
              <w:t xml:space="preserve">  </w:t>
            </w:r>
            <w:r>
              <w:rPr>
                <w:rFonts w:cs="Calibri"/>
                <w:sz w:val="20"/>
                <w:szCs w:val="20"/>
              </w:rPr>
              <w:t>Nodrošināt, ka daļa no OCTA līdzekļiem tiek piešķirti ceļu satiksmes drošības pētījumiem un ceļu satiksmes drošības politikas plānotājiem ir pieejams aktuāls situācijas izvērtējums par būtiskiem ceļu satiksmes drošības riskiem/faktoriem, kas ietekmē satiksmes drošību.</w:t>
            </w:r>
          </w:p>
          <w:p w14:paraId="3C3B31AF" w14:textId="77777777" w:rsidR="004413A6" w:rsidRDefault="004413A6" w:rsidP="0070119C">
            <w:pPr>
              <w:pStyle w:val="naisc"/>
              <w:spacing w:before="0" w:after="0"/>
              <w:jc w:val="both"/>
              <w:rPr>
                <w:rFonts w:cs="Calibri"/>
                <w:sz w:val="20"/>
                <w:szCs w:val="20"/>
              </w:rPr>
            </w:pPr>
          </w:p>
          <w:p w14:paraId="45EDE608" w14:textId="77777777" w:rsidR="004413A6" w:rsidRDefault="004413A6" w:rsidP="004413A6">
            <w:pPr>
              <w:pStyle w:val="naisc"/>
              <w:spacing w:before="0" w:after="0"/>
              <w:ind w:firstLine="284"/>
              <w:jc w:val="both"/>
              <w:rPr>
                <w:rFonts w:cs="Calibri"/>
                <w:sz w:val="20"/>
                <w:szCs w:val="20"/>
              </w:rPr>
            </w:pPr>
            <w:r>
              <w:rPr>
                <w:rFonts w:cs="Calibri"/>
                <w:sz w:val="20"/>
                <w:szCs w:val="20"/>
              </w:rPr>
              <w:t>Darbības rezultāts:</w:t>
            </w:r>
          </w:p>
          <w:p w14:paraId="529EAA7B" w14:textId="77777777" w:rsidR="004413A6" w:rsidRDefault="004413A6" w:rsidP="004413A6">
            <w:pPr>
              <w:pStyle w:val="naisc"/>
              <w:spacing w:before="0" w:after="0"/>
              <w:ind w:firstLine="284"/>
              <w:jc w:val="both"/>
              <w:rPr>
                <w:rFonts w:cs="Calibri"/>
                <w:sz w:val="20"/>
                <w:szCs w:val="20"/>
              </w:rPr>
            </w:pPr>
            <w:r>
              <w:rPr>
                <w:rFonts w:cs="Calibri"/>
                <w:sz w:val="20"/>
                <w:szCs w:val="20"/>
              </w:rPr>
              <w:t xml:space="preserve">Nodrošināta iespēja ceļu satiksmes drošības politikas plānotājiem iegūt izvērtējumu par aktuāliem un </w:t>
            </w:r>
            <w:r>
              <w:rPr>
                <w:rFonts w:cs="Calibri"/>
                <w:sz w:val="20"/>
                <w:szCs w:val="20"/>
              </w:rPr>
              <w:lastRenderedPageBreak/>
              <w:t>būtiskiem riskiem, kas ietekmē satiksmes drošību.</w:t>
            </w:r>
          </w:p>
          <w:p w14:paraId="2BFF07E7" w14:textId="77777777" w:rsidR="004413A6" w:rsidRDefault="004413A6" w:rsidP="004413A6">
            <w:pPr>
              <w:pStyle w:val="naisc"/>
              <w:spacing w:before="0" w:after="0"/>
              <w:ind w:firstLine="284"/>
              <w:jc w:val="both"/>
              <w:rPr>
                <w:rFonts w:cs="Calibri"/>
                <w:sz w:val="20"/>
                <w:szCs w:val="20"/>
              </w:rPr>
            </w:pPr>
          </w:p>
          <w:p w14:paraId="71DEECE0" w14:textId="77777777" w:rsidR="004413A6" w:rsidRDefault="004413A6" w:rsidP="004413A6">
            <w:pPr>
              <w:pStyle w:val="naisc"/>
              <w:spacing w:before="0" w:after="0"/>
              <w:ind w:firstLine="284"/>
              <w:jc w:val="both"/>
              <w:rPr>
                <w:rFonts w:cs="Calibri"/>
                <w:sz w:val="20"/>
                <w:szCs w:val="20"/>
              </w:rPr>
            </w:pPr>
            <w:r>
              <w:rPr>
                <w:rFonts w:cs="Calibri"/>
                <w:sz w:val="20"/>
                <w:szCs w:val="20"/>
              </w:rPr>
              <w:t>Rezultatīvie rādītāji:</w:t>
            </w:r>
          </w:p>
          <w:p w14:paraId="73642944" w14:textId="7BB2A22B" w:rsidR="003B1837" w:rsidRDefault="004413A6" w:rsidP="004413A6">
            <w:pPr>
              <w:pStyle w:val="naisc"/>
              <w:spacing w:before="0" w:after="0"/>
              <w:ind w:firstLine="284"/>
              <w:rPr>
                <w:rFonts w:cs="Calibri"/>
                <w:sz w:val="20"/>
                <w:szCs w:val="20"/>
              </w:rPr>
            </w:pPr>
            <w:r>
              <w:rPr>
                <w:rFonts w:cs="Calibri"/>
                <w:sz w:val="20"/>
                <w:szCs w:val="20"/>
              </w:rPr>
              <w:t>Veikti 2-5 pētījumi ceļu satiksmes drošības jomā par aktuālām un būtiskām tēmām.</w:t>
            </w:r>
            <w:r w:rsidR="00F52EBF">
              <w:rPr>
                <w:rFonts w:cs="Calibri"/>
                <w:sz w:val="20"/>
                <w:szCs w:val="20"/>
              </w:rPr>
              <w:t xml:space="preserve">    ..”</w:t>
            </w:r>
          </w:p>
          <w:p w14:paraId="22AE0A13" w14:textId="77777777" w:rsidR="004413A6" w:rsidRDefault="004413A6" w:rsidP="0070119C">
            <w:pPr>
              <w:pStyle w:val="naisc"/>
              <w:spacing w:before="0" w:after="0"/>
              <w:jc w:val="both"/>
              <w:rPr>
                <w:rFonts w:cs="Calibri"/>
                <w:sz w:val="20"/>
                <w:szCs w:val="20"/>
              </w:rPr>
            </w:pPr>
          </w:p>
          <w:p w14:paraId="1BFD693B" w14:textId="0496BEB6" w:rsidR="004413A6" w:rsidRPr="00126B96" w:rsidRDefault="004413A6" w:rsidP="004413A6">
            <w:pPr>
              <w:pStyle w:val="naisc"/>
              <w:spacing w:before="0" w:after="0"/>
              <w:ind w:firstLine="284"/>
              <w:jc w:val="both"/>
            </w:pPr>
            <w:r w:rsidRPr="00DA5A84">
              <w:rPr>
                <w:rFonts w:cs="Calibri"/>
              </w:rPr>
              <w:t xml:space="preserve">Skatīt </w:t>
            </w:r>
            <w:r w:rsidR="00802A5E" w:rsidRPr="00802A5E">
              <w:rPr>
                <w:rFonts w:cs="Calibri"/>
              </w:rPr>
              <w:t xml:space="preserve">precizēto </w:t>
            </w:r>
            <w:r w:rsidRPr="00DA5A84">
              <w:rPr>
                <w:rFonts w:cs="Calibri"/>
              </w:rPr>
              <w:t>rīkojuma projekta anotācijas I sadaļas 2.punktu.</w:t>
            </w:r>
          </w:p>
        </w:tc>
      </w:tr>
      <w:tr w:rsidR="003B1837" w:rsidRPr="00126B96" w14:paraId="382FF9BE" w14:textId="77777777" w:rsidTr="003B1837">
        <w:tc>
          <w:tcPr>
            <w:tcW w:w="701" w:type="dxa"/>
            <w:tcBorders>
              <w:top w:val="single" w:sz="6" w:space="0" w:color="000000"/>
              <w:left w:val="single" w:sz="6" w:space="0" w:color="000000"/>
              <w:bottom w:val="single" w:sz="6" w:space="0" w:color="000000"/>
            </w:tcBorders>
          </w:tcPr>
          <w:p w14:paraId="0FBE43FF" w14:textId="6B1639F8" w:rsidR="003B1837" w:rsidRPr="00126B96" w:rsidRDefault="004413A6" w:rsidP="004413A6">
            <w:pPr>
              <w:pStyle w:val="naisc"/>
              <w:spacing w:before="0" w:after="0"/>
              <w:jc w:val="left"/>
            </w:pPr>
            <w:r>
              <w:lastRenderedPageBreak/>
              <w:t>12.</w:t>
            </w:r>
          </w:p>
        </w:tc>
        <w:tc>
          <w:tcPr>
            <w:tcW w:w="3686" w:type="dxa"/>
            <w:gridSpan w:val="2"/>
            <w:tcBorders>
              <w:top w:val="single" w:sz="6" w:space="0" w:color="000000"/>
              <w:left w:val="single" w:sz="6" w:space="0" w:color="000000"/>
              <w:bottom w:val="single" w:sz="6" w:space="0" w:color="000000"/>
            </w:tcBorders>
          </w:tcPr>
          <w:p w14:paraId="79096BB6" w14:textId="3E9102B3" w:rsidR="004413A6" w:rsidRPr="00680592" w:rsidRDefault="004413A6" w:rsidP="00397885">
            <w:pPr>
              <w:pStyle w:val="naisc"/>
              <w:spacing w:before="0" w:after="0"/>
              <w:ind w:firstLine="284"/>
              <w:jc w:val="both"/>
              <w:rPr>
                <w:u w:val="single"/>
              </w:rPr>
            </w:pPr>
            <w:r w:rsidRPr="00680592">
              <w:rPr>
                <w:u w:val="single"/>
              </w:rPr>
              <w:t>Rīkojuma projekta 3.punkts:</w:t>
            </w:r>
          </w:p>
          <w:p w14:paraId="5C215F39" w14:textId="77777777" w:rsidR="00397885" w:rsidRDefault="00397885" w:rsidP="00397885">
            <w:pPr>
              <w:pStyle w:val="naisc"/>
              <w:spacing w:before="0" w:after="0"/>
              <w:ind w:firstLine="284"/>
              <w:jc w:val="both"/>
            </w:pPr>
          </w:p>
          <w:p w14:paraId="1EC6B5E3" w14:textId="46C46C65" w:rsidR="00397885" w:rsidRPr="00397885" w:rsidRDefault="00397885" w:rsidP="00D470AD">
            <w:pPr>
              <w:tabs>
                <w:tab w:val="left" w:pos="1134"/>
              </w:tabs>
              <w:spacing w:after="40"/>
              <w:ind w:right="34"/>
              <w:jc w:val="both"/>
              <w:rPr>
                <w:rFonts w:eastAsia="Times New Roman"/>
                <w:szCs w:val="24"/>
                <w:lang w:eastAsia="lv-LV"/>
              </w:rPr>
            </w:pPr>
            <w:r>
              <w:rPr>
                <w:rFonts w:eastAsia="Times New Roman"/>
                <w:szCs w:val="24"/>
                <w:lang w:eastAsia="lv-LV"/>
              </w:rPr>
              <w:t xml:space="preserve">    “  1.  </w:t>
            </w:r>
            <w:r w:rsidRPr="00397885">
              <w:rPr>
                <w:rFonts w:eastAsia="Times New Roman"/>
                <w:szCs w:val="24"/>
                <w:lang w:eastAsia="lv-LV"/>
              </w:rPr>
              <w:t>Papildināt 3.sadaļas “Rīcības virzienu apraksts” rīcības virzienu “3.1.3.Informācijas apmaiņas par CSNg uzlabošana” ar 5.</w:t>
            </w:r>
            <w:r w:rsidRPr="00397885">
              <w:rPr>
                <w:szCs w:val="24"/>
                <w:vertAlign w:val="superscript"/>
              </w:rPr>
              <w:t>1</w:t>
            </w:r>
            <w:r w:rsidRPr="00397885">
              <w:rPr>
                <w:rFonts w:eastAsia="Times New Roman"/>
                <w:szCs w:val="24"/>
                <w:lang w:eastAsia="lv-LV"/>
              </w:rPr>
              <w:t xml:space="preserve"> un 5.</w:t>
            </w:r>
            <w:r w:rsidRPr="00397885">
              <w:rPr>
                <w:szCs w:val="24"/>
                <w:vertAlign w:val="superscript"/>
              </w:rPr>
              <w:t>2</w:t>
            </w:r>
            <w:r w:rsidRPr="00397885">
              <w:rPr>
                <w:rFonts w:eastAsia="Times New Roman"/>
                <w:szCs w:val="24"/>
                <w:lang w:eastAsia="lv-LV"/>
              </w:rPr>
              <w:t xml:space="preserve"> uzdevumu šādā redakcijā:</w:t>
            </w:r>
          </w:p>
          <w:p w14:paraId="797628C3" w14:textId="77777777" w:rsidR="004413A6" w:rsidRDefault="004413A6" w:rsidP="004413A6">
            <w:pPr>
              <w:pStyle w:val="naisc"/>
              <w:spacing w:before="0" w:after="0"/>
              <w:ind w:firstLine="284"/>
              <w:jc w:val="both"/>
            </w:pPr>
          </w:p>
          <w:p w14:paraId="3F0596AF" w14:textId="33362870" w:rsidR="00397885" w:rsidRDefault="00397885" w:rsidP="00397885">
            <w:pPr>
              <w:jc w:val="both"/>
              <w:rPr>
                <w:rFonts w:eastAsia="Times New Roman" w:cs="Calibri"/>
                <w:sz w:val="20"/>
                <w:szCs w:val="20"/>
                <w:lang w:eastAsia="lv-LV"/>
              </w:rPr>
            </w:pPr>
            <w:r>
              <w:rPr>
                <w:rFonts w:eastAsia="Times New Roman"/>
                <w:sz w:val="20"/>
                <w:szCs w:val="20"/>
                <w:lang w:eastAsia="lv-LV"/>
              </w:rPr>
              <w:t>5.</w:t>
            </w:r>
            <w:r>
              <w:rPr>
                <w:sz w:val="20"/>
                <w:szCs w:val="20"/>
                <w:vertAlign w:val="superscript"/>
              </w:rPr>
              <w:t xml:space="preserve">2   </w:t>
            </w:r>
            <w:r>
              <w:rPr>
                <w:rFonts w:eastAsia="Times New Roman" w:cs="Calibri"/>
                <w:sz w:val="20"/>
                <w:szCs w:val="20"/>
                <w:lang w:eastAsia="lv-LV"/>
              </w:rPr>
              <w:t>Izvērtēt esošās prasības Valsts policijas metodiskajos norādījumos attiecībā uz ceļu satiksmes negadījuma vietas fiksēšanu.</w:t>
            </w:r>
          </w:p>
          <w:p w14:paraId="787F3F92" w14:textId="1A934756" w:rsidR="00397885" w:rsidRDefault="00397885" w:rsidP="004413A6">
            <w:pPr>
              <w:pStyle w:val="naisc"/>
              <w:spacing w:before="0" w:after="0"/>
              <w:ind w:firstLine="284"/>
              <w:jc w:val="both"/>
            </w:pPr>
          </w:p>
          <w:p w14:paraId="15394FE2" w14:textId="77777777" w:rsidR="00397885" w:rsidRDefault="00397885" w:rsidP="00397885">
            <w:pPr>
              <w:pStyle w:val="naisc"/>
              <w:spacing w:before="0" w:after="0"/>
              <w:ind w:firstLine="284"/>
              <w:jc w:val="both"/>
              <w:rPr>
                <w:rFonts w:cs="Calibri"/>
                <w:sz w:val="20"/>
                <w:szCs w:val="20"/>
              </w:rPr>
            </w:pPr>
            <w:r>
              <w:rPr>
                <w:rFonts w:cs="Calibri"/>
                <w:sz w:val="20"/>
                <w:szCs w:val="20"/>
              </w:rPr>
              <w:t>Darbības rezultāts:</w:t>
            </w:r>
          </w:p>
          <w:p w14:paraId="4D814379" w14:textId="0480909E" w:rsidR="00397885" w:rsidRDefault="00680592" w:rsidP="00397885">
            <w:pPr>
              <w:pStyle w:val="naisc"/>
              <w:spacing w:before="0" w:after="0"/>
              <w:ind w:firstLine="284"/>
              <w:jc w:val="both"/>
              <w:rPr>
                <w:rFonts w:cs="Calibri"/>
                <w:sz w:val="20"/>
                <w:szCs w:val="20"/>
              </w:rPr>
            </w:pPr>
            <w:r>
              <w:rPr>
                <w:rFonts w:cs="Calibri"/>
                <w:sz w:val="20"/>
                <w:szCs w:val="20"/>
              </w:rPr>
              <w:t>Nodrošināts, ka ceļu satiksmes negadījuma reģistrēšanas protokolā (Ceļu policijas reģistrā) tiek fiksēta papildus informācija par būtiskiem faktoriem, kas varēja izraisīt ceļu satiksmes negadījumu vai radīt traumas negadījuma dalībniekiem.</w:t>
            </w:r>
          </w:p>
          <w:p w14:paraId="229585C6" w14:textId="77777777" w:rsidR="00397885" w:rsidRDefault="00397885" w:rsidP="00397885">
            <w:pPr>
              <w:pStyle w:val="naisc"/>
              <w:spacing w:before="0" w:after="0"/>
              <w:ind w:firstLine="284"/>
              <w:jc w:val="both"/>
              <w:rPr>
                <w:rFonts w:cs="Calibri"/>
                <w:sz w:val="20"/>
                <w:szCs w:val="20"/>
              </w:rPr>
            </w:pPr>
          </w:p>
          <w:p w14:paraId="5D39B99F" w14:textId="77777777" w:rsidR="00397885" w:rsidRDefault="00397885" w:rsidP="00397885">
            <w:pPr>
              <w:pStyle w:val="naisc"/>
              <w:spacing w:before="0" w:after="0"/>
              <w:ind w:firstLine="284"/>
              <w:jc w:val="both"/>
              <w:rPr>
                <w:rFonts w:cs="Calibri"/>
                <w:sz w:val="20"/>
                <w:szCs w:val="20"/>
              </w:rPr>
            </w:pPr>
          </w:p>
          <w:p w14:paraId="73065EA2" w14:textId="77777777" w:rsidR="00397885" w:rsidRDefault="00397885" w:rsidP="00397885">
            <w:pPr>
              <w:pStyle w:val="naisc"/>
              <w:spacing w:before="0" w:after="0"/>
              <w:ind w:firstLine="284"/>
              <w:jc w:val="both"/>
              <w:rPr>
                <w:rFonts w:cs="Calibri"/>
                <w:sz w:val="20"/>
                <w:szCs w:val="20"/>
              </w:rPr>
            </w:pPr>
            <w:r>
              <w:rPr>
                <w:rFonts w:cs="Calibri"/>
                <w:sz w:val="20"/>
                <w:szCs w:val="20"/>
              </w:rPr>
              <w:t>Rezultatīvie rādītāji:</w:t>
            </w:r>
          </w:p>
          <w:p w14:paraId="4C60A8BD" w14:textId="18008501" w:rsidR="00397885" w:rsidRPr="00397885" w:rsidRDefault="00680592" w:rsidP="004413A6">
            <w:pPr>
              <w:pStyle w:val="naisc"/>
              <w:spacing w:before="0" w:after="0"/>
              <w:ind w:firstLine="284"/>
              <w:jc w:val="both"/>
            </w:pPr>
            <w:r>
              <w:rPr>
                <w:rFonts w:cs="Calibri"/>
                <w:sz w:val="20"/>
                <w:szCs w:val="20"/>
              </w:rPr>
              <w:t xml:space="preserve">Veikti grozījumi Valsts policijas metodiskajos norādījumos attiecībā uz ceļu </w:t>
            </w:r>
            <w:r>
              <w:rPr>
                <w:rFonts w:cs="Calibri"/>
                <w:sz w:val="20"/>
                <w:szCs w:val="20"/>
              </w:rPr>
              <w:lastRenderedPageBreak/>
              <w:t>satiksmes negadījuma vietas fiksēšanu.</w:t>
            </w:r>
            <w:r w:rsidR="00F52EBF">
              <w:rPr>
                <w:rFonts w:cs="Calibri"/>
                <w:sz w:val="20"/>
                <w:szCs w:val="20"/>
              </w:rPr>
              <w:t xml:space="preserve">   .. “</w:t>
            </w:r>
          </w:p>
          <w:p w14:paraId="11434131" w14:textId="77777777" w:rsidR="003B1837" w:rsidRPr="00126B96" w:rsidRDefault="003B1837" w:rsidP="004413A6">
            <w:pPr>
              <w:pStyle w:val="naisc"/>
              <w:spacing w:before="0" w:after="0"/>
              <w:ind w:firstLine="284"/>
              <w:jc w:val="left"/>
            </w:pPr>
          </w:p>
        </w:tc>
        <w:tc>
          <w:tcPr>
            <w:tcW w:w="3969" w:type="dxa"/>
            <w:gridSpan w:val="2"/>
            <w:tcBorders>
              <w:top w:val="single" w:sz="6" w:space="0" w:color="000000"/>
              <w:left w:val="single" w:sz="6" w:space="0" w:color="000000"/>
              <w:bottom w:val="single" w:sz="6" w:space="0" w:color="000000"/>
            </w:tcBorders>
          </w:tcPr>
          <w:p w14:paraId="01DFFE54" w14:textId="092C8402" w:rsidR="004413A6" w:rsidRPr="00E77754" w:rsidRDefault="004413A6" w:rsidP="004413A6">
            <w:pPr>
              <w:pStyle w:val="NoSpacing"/>
              <w:rPr>
                <w:szCs w:val="24"/>
              </w:rPr>
            </w:pPr>
            <w:r>
              <w:rPr>
                <w:szCs w:val="24"/>
              </w:rPr>
              <w:lastRenderedPageBreak/>
              <w:t xml:space="preserve">     </w:t>
            </w:r>
            <w:r w:rsidRPr="00E77754">
              <w:rPr>
                <w:szCs w:val="24"/>
              </w:rPr>
              <w:t>2. Rīkojuma projekta 3.punkts paredz papildināt 3.sadaļas “Rīcības virzienu apraksts” rīcības virzienu “3.1.3. Informācijas apmaiņas par CSNg uzlabošana” ar 5.</w:t>
            </w:r>
            <w:r w:rsidRPr="00E77754">
              <w:rPr>
                <w:szCs w:val="24"/>
                <w:vertAlign w:val="superscript"/>
              </w:rPr>
              <w:t>2</w:t>
            </w:r>
            <w:r w:rsidRPr="00E77754">
              <w:rPr>
                <w:szCs w:val="24"/>
              </w:rPr>
              <w:t xml:space="preserve"> uzdevumu “</w:t>
            </w:r>
            <w:r w:rsidRPr="00E77754">
              <w:rPr>
                <w:rFonts w:eastAsia="Times New Roman" w:cs="Calibri"/>
                <w:szCs w:val="24"/>
                <w:lang w:eastAsia="lv-LV"/>
              </w:rPr>
              <w:t xml:space="preserve">Izvērtēt esošās prasības Valsts policijas metodiskajos norādījumos attiecībā uz ceļu satiksmes negadījuma vietas fiksēšanu” un darbības rezultātu “Nodrošināts, ka ceļu satiksmes negadījuma reģistrēšanas protokolā (Ceļu policijas reģistrā) tiek fiksēta papildus informācija par būtiskiem faktoriem, kas varēja izraisīt ceļu satiksmes negadījumu vai radīt traumas negadījuma dalībniekiem”. Lūdzam minēto punktu svītrot, jo pasākums jau ir </w:t>
            </w:r>
            <w:r w:rsidRPr="00E77754">
              <w:rPr>
                <w:szCs w:val="24"/>
              </w:rPr>
              <w:t xml:space="preserve">realizēts un līdz ar to nav aktuāls.  </w:t>
            </w:r>
          </w:p>
          <w:p w14:paraId="5C28A714" w14:textId="77777777" w:rsidR="003B1837" w:rsidRPr="00126B96" w:rsidRDefault="003B1837" w:rsidP="00862767">
            <w:pPr>
              <w:pStyle w:val="naisc"/>
              <w:spacing w:before="0" w:after="0"/>
              <w:ind w:firstLine="284"/>
            </w:pPr>
          </w:p>
        </w:tc>
        <w:tc>
          <w:tcPr>
            <w:tcW w:w="3260" w:type="dxa"/>
            <w:tcBorders>
              <w:top w:val="single" w:sz="6" w:space="0" w:color="000000"/>
              <w:left w:val="single" w:sz="6" w:space="0" w:color="000000"/>
              <w:bottom w:val="single" w:sz="6" w:space="0" w:color="000000"/>
            </w:tcBorders>
          </w:tcPr>
          <w:p w14:paraId="5630FA54" w14:textId="26397C4F" w:rsidR="004413A6" w:rsidRPr="00126B96" w:rsidRDefault="004413A6" w:rsidP="0070119C">
            <w:pPr>
              <w:pStyle w:val="naisc"/>
              <w:spacing w:before="0" w:after="0"/>
              <w:ind w:firstLine="284"/>
              <w:rPr>
                <w:b/>
              </w:rPr>
            </w:pPr>
            <w:r>
              <w:rPr>
                <w:b/>
              </w:rPr>
              <w:t xml:space="preserve">Iebildums </w:t>
            </w:r>
            <w:r w:rsidRPr="00126B96">
              <w:rPr>
                <w:b/>
              </w:rPr>
              <w:t>ņemts vērā.</w:t>
            </w:r>
          </w:p>
          <w:p w14:paraId="300057EF" w14:textId="7753C395" w:rsidR="004413A6" w:rsidRDefault="00680592" w:rsidP="004413A6">
            <w:pPr>
              <w:pStyle w:val="naisc"/>
              <w:spacing w:before="0" w:after="0"/>
              <w:ind w:firstLine="284"/>
              <w:jc w:val="both"/>
            </w:pPr>
            <w:r>
              <w:t>Satiksmes ministrija ir precizējusi rīkojuma projektu – pasākums 5.</w:t>
            </w:r>
            <w:r w:rsidRPr="00680592">
              <w:rPr>
                <w:vertAlign w:val="superscript"/>
              </w:rPr>
              <w:t>2</w:t>
            </w:r>
            <w:r>
              <w:t xml:space="preserve"> dzēsts.</w:t>
            </w:r>
          </w:p>
          <w:p w14:paraId="183A497D" w14:textId="77777777" w:rsidR="004413A6" w:rsidRDefault="004413A6" w:rsidP="004413A6">
            <w:pPr>
              <w:pStyle w:val="naisc"/>
              <w:spacing w:before="0" w:after="0"/>
              <w:ind w:firstLine="284"/>
              <w:jc w:val="both"/>
            </w:pPr>
          </w:p>
          <w:p w14:paraId="1E9E7F89" w14:textId="06629F9F" w:rsidR="003B1837" w:rsidRPr="00126B96" w:rsidRDefault="003B1837" w:rsidP="004413A6">
            <w:pPr>
              <w:pStyle w:val="naisc"/>
              <w:spacing w:before="0" w:after="0"/>
              <w:ind w:firstLine="284"/>
            </w:pPr>
          </w:p>
        </w:tc>
        <w:tc>
          <w:tcPr>
            <w:tcW w:w="3260" w:type="dxa"/>
            <w:tcBorders>
              <w:top w:val="single" w:sz="6" w:space="0" w:color="000000"/>
              <w:left w:val="single" w:sz="6" w:space="0" w:color="000000"/>
              <w:bottom w:val="single" w:sz="6" w:space="0" w:color="000000"/>
              <w:right w:val="single" w:sz="4" w:space="0" w:color="auto"/>
            </w:tcBorders>
          </w:tcPr>
          <w:p w14:paraId="418F795F" w14:textId="6B17527E" w:rsidR="003B1837" w:rsidRPr="00584E58" w:rsidRDefault="00680592" w:rsidP="0070119C">
            <w:pPr>
              <w:pStyle w:val="naisc"/>
              <w:spacing w:before="0" w:after="0"/>
              <w:jc w:val="both"/>
            </w:pPr>
            <w:r w:rsidRPr="00584E58">
              <w:t xml:space="preserve">Skatīt </w:t>
            </w:r>
            <w:r w:rsidR="0070119C" w:rsidRPr="00584E58">
              <w:t xml:space="preserve">precizēto </w:t>
            </w:r>
            <w:r w:rsidRPr="00584E58">
              <w:t>rīkojuma projektu.</w:t>
            </w:r>
          </w:p>
        </w:tc>
      </w:tr>
      <w:tr w:rsidR="00680592" w:rsidRPr="00126B96" w14:paraId="41B949A1" w14:textId="77777777" w:rsidTr="007165BC">
        <w:tc>
          <w:tcPr>
            <w:tcW w:w="14876" w:type="dxa"/>
            <w:gridSpan w:val="7"/>
            <w:tcBorders>
              <w:top w:val="single" w:sz="6" w:space="0" w:color="000000"/>
              <w:left w:val="single" w:sz="6" w:space="0" w:color="000000"/>
              <w:bottom w:val="single" w:sz="6" w:space="0" w:color="000000"/>
              <w:right w:val="single" w:sz="4" w:space="0" w:color="auto"/>
            </w:tcBorders>
          </w:tcPr>
          <w:p w14:paraId="491C13BD" w14:textId="77777777" w:rsidR="00680592" w:rsidRDefault="00680592" w:rsidP="00862767">
            <w:pPr>
              <w:pStyle w:val="naisc"/>
              <w:spacing w:before="0" w:after="0"/>
              <w:ind w:firstLine="284"/>
            </w:pPr>
          </w:p>
          <w:p w14:paraId="552E1D17" w14:textId="3536696E" w:rsidR="00680592" w:rsidRPr="00680592" w:rsidRDefault="00680592" w:rsidP="00680592">
            <w:pPr>
              <w:jc w:val="center"/>
              <w:rPr>
                <w:b/>
              </w:rPr>
            </w:pPr>
            <w:r w:rsidRPr="00E77754">
              <w:rPr>
                <w:b/>
              </w:rPr>
              <w:t>Iekšlietu ministrijas 1</w:t>
            </w:r>
            <w:r>
              <w:rPr>
                <w:b/>
              </w:rPr>
              <w:t>5.07.2019. atzinums Nr.1-57/1640 (VSS-610</w:t>
            </w:r>
            <w:r w:rsidRPr="00E77754">
              <w:rPr>
                <w:b/>
              </w:rPr>
              <w:t xml:space="preserve">) </w:t>
            </w:r>
            <w:r w:rsidRPr="00E77754">
              <w:rPr>
                <w:b/>
                <w:i/>
              </w:rPr>
              <w:t xml:space="preserve">par </w:t>
            </w:r>
            <w:r>
              <w:rPr>
                <w:b/>
                <w:i/>
              </w:rPr>
              <w:t>inform. ziņojuma</w:t>
            </w:r>
            <w:r w:rsidRPr="00E77754">
              <w:rPr>
                <w:b/>
                <w:i/>
              </w:rPr>
              <w:t xml:space="preserve"> projektu</w:t>
            </w:r>
          </w:p>
          <w:p w14:paraId="457C042F" w14:textId="77777777" w:rsidR="00680592" w:rsidRPr="00126B96" w:rsidRDefault="00680592" w:rsidP="00862767">
            <w:pPr>
              <w:pStyle w:val="naisc"/>
              <w:spacing w:before="0" w:after="0"/>
              <w:ind w:firstLine="284"/>
            </w:pPr>
          </w:p>
        </w:tc>
      </w:tr>
      <w:tr w:rsidR="003B1837" w:rsidRPr="00126B96" w14:paraId="478007CA" w14:textId="77777777" w:rsidTr="003B1837">
        <w:tc>
          <w:tcPr>
            <w:tcW w:w="701" w:type="dxa"/>
            <w:tcBorders>
              <w:top w:val="single" w:sz="6" w:space="0" w:color="000000"/>
              <w:left w:val="single" w:sz="6" w:space="0" w:color="000000"/>
              <w:bottom w:val="single" w:sz="6" w:space="0" w:color="000000"/>
            </w:tcBorders>
          </w:tcPr>
          <w:p w14:paraId="7C4A750F" w14:textId="03777688" w:rsidR="003B1837" w:rsidRPr="00126B96" w:rsidRDefault="00680592" w:rsidP="00680592">
            <w:pPr>
              <w:pStyle w:val="naisc"/>
              <w:spacing w:before="0" w:after="0"/>
              <w:jc w:val="left"/>
            </w:pPr>
            <w:r>
              <w:t>13.</w:t>
            </w:r>
          </w:p>
        </w:tc>
        <w:tc>
          <w:tcPr>
            <w:tcW w:w="3686" w:type="dxa"/>
            <w:gridSpan w:val="2"/>
            <w:tcBorders>
              <w:top w:val="single" w:sz="6" w:space="0" w:color="000000"/>
              <w:left w:val="single" w:sz="6" w:space="0" w:color="000000"/>
              <w:bottom w:val="single" w:sz="6" w:space="0" w:color="000000"/>
            </w:tcBorders>
          </w:tcPr>
          <w:p w14:paraId="257EFF11" w14:textId="4F9AE76A" w:rsidR="00FD1E95" w:rsidRPr="00300EC8" w:rsidRDefault="00FD1E95" w:rsidP="00300EC8">
            <w:pPr>
              <w:pStyle w:val="naisc"/>
              <w:spacing w:before="0" w:after="0"/>
              <w:jc w:val="left"/>
              <w:rPr>
                <w:u w:val="single"/>
              </w:rPr>
            </w:pPr>
            <w:r w:rsidRPr="00DF03A9">
              <w:rPr>
                <w:u w:val="single"/>
              </w:rPr>
              <w:t>Informatīvā ziņojuma</w:t>
            </w:r>
            <w:r>
              <w:rPr>
                <w:u w:val="single"/>
              </w:rPr>
              <w:t xml:space="preserve"> 7.tabulas 13</w:t>
            </w:r>
            <w:r w:rsidRPr="00DF03A9">
              <w:rPr>
                <w:u w:val="single"/>
              </w:rPr>
              <w:t>.</w:t>
            </w:r>
            <w:r>
              <w:rPr>
                <w:u w:val="single"/>
              </w:rPr>
              <w:t>punkta pasākums</w:t>
            </w:r>
            <w:r w:rsidRPr="00DF03A9">
              <w:rPr>
                <w:u w:val="single"/>
              </w:rPr>
              <w:t>:</w:t>
            </w:r>
            <w:bookmarkStart w:id="0" w:name="_GoBack"/>
            <w:bookmarkEnd w:id="0"/>
          </w:p>
          <w:p w14:paraId="5AA2B0B7" w14:textId="5AA6E48D" w:rsidR="00FD1E95" w:rsidRPr="00300EC8" w:rsidRDefault="00FD1E95" w:rsidP="00300EC8">
            <w:pPr>
              <w:pStyle w:val="naisc"/>
              <w:spacing w:before="0" w:after="0"/>
              <w:jc w:val="both"/>
            </w:pPr>
            <w:r w:rsidRPr="00FD1E95">
              <w:t>Izvērtēt esošās prasības Valsts policijas metodiskajos norādījumos attiecībā uz ceļu satiksmes negadījuma vietas fiksēšanu.</w:t>
            </w:r>
          </w:p>
          <w:p w14:paraId="5B3EC39F" w14:textId="77777777" w:rsidR="00FD1E95" w:rsidRPr="00FD1E95" w:rsidRDefault="00FD1E95" w:rsidP="00FD1E95">
            <w:pPr>
              <w:pStyle w:val="naisc"/>
              <w:spacing w:before="0" w:after="0"/>
              <w:ind w:firstLine="284"/>
              <w:jc w:val="both"/>
              <w:rPr>
                <w:u w:val="single"/>
              </w:rPr>
            </w:pPr>
            <w:r w:rsidRPr="00FD1E95">
              <w:rPr>
                <w:u w:val="single"/>
              </w:rPr>
              <w:t>Darbības rezultāts:</w:t>
            </w:r>
          </w:p>
          <w:p w14:paraId="014F7A60" w14:textId="77777777" w:rsidR="00FD1E95" w:rsidRDefault="00FD1E95" w:rsidP="00FD1E95">
            <w:pPr>
              <w:pStyle w:val="naisc"/>
              <w:ind w:firstLine="284"/>
              <w:jc w:val="both"/>
            </w:pPr>
            <w:r>
              <w:t>Nodrošināts, ka ceļu satiksmes negadījuma reģistrēšanas protokolā (Ceļu policijas reģistrā) tiek fiksēta papildus informācija par būtiskiem faktoriem, kas varēja izraisīt ceļu satiksmes negadījumu vai radīt traumas negadījuma dalībniekiem.</w:t>
            </w:r>
          </w:p>
          <w:p w14:paraId="32FBDE63" w14:textId="1D4AC47D" w:rsidR="00FD1E95" w:rsidRPr="00FD1E95" w:rsidRDefault="00FD1E95" w:rsidP="00FD1E95">
            <w:pPr>
              <w:pStyle w:val="naisc"/>
              <w:ind w:firstLine="284"/>
              <w:jc w:val="both"/>
              <w:rPr>
                <w:u w:val="single"/>
              </w:rPr>
            </w:pPr>
            <w:r w:rsidRPr="00FD1E95">
              <w:rPr>
                <w:u w:val="single"/>
              </w:rPr>
              <w:t>Rezultatīvais rādītājs:</w:t>
            </w:r>
          </w:p>
          <w:p w14:paraId="4F79BCE8" w14:textId="62BBD352" w:rsidR="00FD1E95" w:rsidRPr="00FD1E95" w:rsidRDefault="00FD1E95" w:rsidP="00300EC8">
            <w:pPr>
              <w:pStyle w:val="naisc"/>
              <w:ind w:firstLine="284"/>
              <w:jc w:val="both"/>
            </w:pPr>
            <w:r w:rsidRPr="00FD1E95">
              <w:t>Veikti grozījumi Valsts policijas metodiskajos norādījumos attiecībā uz ceļu satiksmes negadījuma vietas fiksēšanu.</w:t>
            </w:r>
          </w:p>
        </w:tc>
        <w:tc>
          <w:tcPr>
            <w:tcW w:w="3969" w:type="dxa"/>
            <w:gridSpan w:val="2"/>
            <w:tcBorders>
              <w:top w:val="single" w:sz="6" w:space="0" w:color="000000"/>
              <w:left w:val="single" w:sz="6" w:space="0" w:color="000000"/>
              <w:bottom w:val="single" w:sz="6" w:space="0" w:color="000000"/>
            </w:tcBorders>
          </w:tcPr>
          <w:p w14:paraId="05981708" w14:textId="77777777" w:rsidR="003B1837" w:rsidRDefault="00680592" w:rsidP="00680592">
            <w:pPr>
              <w:pStyle w:val="NoSpacing"/>
              <w:spacing w:before="120"/>
              <w:ind w:firstLine="323"/>
              <w:rPr>
                <w:szCs w:val="24"/>
              </w:rPr>
            </w:pPr>
            <w:r>
              <w:rPr>
                <w:szCs w:val="24"/>
              </w:rPr>
              <w:t>1</w:t>
            </w:r>
            <w:r w:rsidRPr="00C27E35">
              <w:rPr>
                <w:szCs w:val="24"/>
              </w:rPr>
              <w:t xml:space="preserve">. Projekta 5.sadaļas “Jauni pasākumi ceļu satiksmes drošības uzlabošanai” 7.tabulā ietverts pasākums Nr.13 – “Izvērtēt esošās prasības Valsts policijas metodiskajos norādījumos attiecībā uz ceļu satiksmes negadījuma vietas fiksēšanu”. </w:t>
            </w:r>
            <w:r w:rsidRPr="00C27E35">
              <w:rPr>
                <w:rFonts w:eastAsia="Times New Roman" w:cs="Calibri"/>
                <w:szCs w:val="24"/>
                <w:lang w:eastAsia="lv-LV"/>
              </w:rPr>
              <w:t xml:space="preserve">Lūdzam minēto punktu svītrot, jo pasākums jau ir </w:t>
            </w:r>
            <w:r w:rsidRPr="00C27E35">
              <w:rPr>
                <w:szCs w:val="24"/>
              </w:rPr>
              <w:t xml:space="preserve">realizēts un līdz ar to nav aktuāls.  </w:t>
            </w:r>
          </w:p>
          <w:p w14:paraId="0C50DEE2" w14:textId="566BEE0C" w:rsidR="00680592" w:rsidRPr="00680592" w:rsidRDefault="00680592" w:rsidP="00680592"/>
        </w:tc>
        <w:tc>
          <w:tcPr>
            <w:tcW w:w="3260" w:type="dxa"/>
            <w:tcBorders>
              <w:top w:val="single" w:sz="6" w:space="0" w:color="000000"/>
              <w:left w:val="single" w:sz="6" w:space="0" w:color="000000"/>
              <w:bottom w:val="single" w:sz="6" w:space="0" w:color="000000"/>
            </w:tcBorders>
          </w:tcPr>
          <w:p w14:paraId="06A5029C" w14:textId="77777777" w:rsidR="00680592" w:rsidRPr="00126B96" w:rsidRDefault="00680592" w:rsidP="001135A0">
            <w:pPr>
              <w:pStyle w:val="naisc"/>
              <w:spacing w:before="0" w:after="0"/>
              <w:ind w:firstLine="284"/>
              <w:rPr>
                <w:b/>
              </w:rPr>
            </w:pPr>
            <w:r>
              <w:rPr>
                <w:b/>
              </w:rPr>
              <w:t xml:space="preserve">Iebildums </w:t>
            </w:r>
            <w:r w:rsidRPr="00126B96">
              <w:rPr>
                <w:b/>
              </w:rPr>
              <w:t>ņemts vērā.</w:t>
            </w:r>
          </w:p>
          <w:p w14:paraId="0361CCE1" w14:textId="66EEC22D" w:rsidR="00680592" w:rsidRDefault="00680592" w:rsidP="00680592">
            <w:pPr>
              <w:pStyle w:val="naisc"/>
              <w:spacing w:before="0" w:after="0"/>
              <w:ind w:firstLine="284"/>
              <w:jc w:val="both"/>
            </w:pPr>
            <w:r>
              <w:t xml:space="preserve">Satiksmes ministrija ir precizējusi informatīvā ziņojuma projektu – 7.tabulas </w:t>
            </w:r>
            <w:r w:rsidR="00E86B8B">
              <w:t>13.</w:t>
            </w:r>
            <w:r>
              <w:t>pas</w:t>
            </w:r>
            <w:r w:rsidR="00E86B8B">
              <w:t>ākums</w:t>
            </w:r>
            <w:r>
              <w:t xml:space="preserve"> dzēsts.</w:t>
            </w:r>
          </w:p>
          <w:p w14:paraId="15834C56" w14:textId="77777777" w:rsidR="003B1837" w:rsidRPr="00126B96" w:rsidRDefault="003B1837" w:rsidP="00862767">
            <w:pPr>
              <w:pStyle w:val="naisc"/>
              <w:spacing w:before="0" w:after="0"/>
              <w:ind w:firstLine="284"/>
            </w:pPr>
          </w:p>
        </w:tc>
        <w:tc>
          <w:tcPr>
            <w:tcW w:w="3260" w:type="dxa"/>
            <w:tcBorders>
              <w:top w:val="single" w:sz="6" w:space="0" w:color="000000"/>
              <w:left w:val="single" w:sz="6" w:space="0" w:color="000000"/>
              <w:bottom w:val="single" w:sz="6" w:space="0" w:color="000000"/>
              <w:right w:val="single" w:sz="4" w:space="0" w:color="auto"/>
            </w:tcBorders>
          </w:tcPr>
          <w:p w14:paraId="6914369D" w14:textId="0F931836" w:rsidR="003B1837" w:rsidRPr="00126B96" w:rsidRDefault="001135A0" w:rsidP="001135A0">
            <w:pPr>
              <w:pStyle w:val="naisc"/>
              <w:spacing w:before="0" w:after="0"/>
              <w:jc w:val="both"/>
            </w:pPr>
            <w:r>
              <w:t>Skatīt precizēto informatīvā ziņojuma projektu.</w:t>
            </w:r>
          </w:p>
        </w:tc>
      </w:tr>
      <w:tr w:rsidR="00725671" w:rsidRPr="00126B96" w14:paraId="476E3E80" w14:textId="77777777" w:rsidTr="007165BC">
        <w:tc>
          <w:tcPr>
            <w:tcW w:w="14876" w:type="dxa"/>
            <w:gridSpan w:val="7"/>
            <w:tcBorders>
              <w:top w:val="single" w:sz="6" w:space="0" w:color="000000"/>
              <w:left w:val="single" w:sz="6" w:space="0" w:color="000000"/>
              <w:bottom w:val="single" w:sz="6" w:space="0" w:color="000000"/>
              <w:right w:val="single" w:sz="4" w:space="0" w:color="auto"/>
            </w:tcBorders>
          </w:tcPr>
          <w:p w14:paraId="0374DFEE" w14:textId="77777777" w:rsidR="00725671" w:rsidRDefault="00725671" w:rsidP="00862767">
            <w:pPr>
              <w:pStyle w:val="naisc"/>
              <w:spacing w:before="0" w:after="0"/>
              <w:ind w:firstLine="284"/>
            </w:pPr>
          </w:p>
          <w:p w14:paraId="35BF6EB9" w14:textId="1954F532" w:rsidR="00725671" w:rsidRPr="00725671" w:rsidRDefault="00725671" w:rsidP="00725671">
            <w:pPr>
              <w:jc w:val="center"/>
              <w:rPr>
                <w:b/>
              </w:rPr>
            </w:pPr>
            <w:r w:rsidRPr="00E860D9">
              <w:rPr>
                <w:b/>
              </w:rPr>
              <w:t xml:space="preserve">Latvijas Pašvaldību savienības 11.07.2019. atzinums Nr.201906/SAN900/NOS513 (VSS-610) </w:t>
            </w:r>
            <w:r w:rsidRPr="00E860D9">
              <w:rPr>
                <w:b/>
                <w:i/>
              </w:rPr>
              <w:t>par inform. ziņojuma projektu</w:t>
            </w:r>
          </w:p>
          <w:p w14:paraId="51D0843F" w14:textId="77777777" w:rsidR="00725671" w:rsidRPr="00126B96" w:rsidRDefault="00725671" w:rsidP="00862767">
            <w:pPr>
              <w:pStyle w:val="naisc"/>
              <w:spacing w:before="0" w:after="0"/>
              <w:ind w:firstLine="284"/>
            </w:pPr>
          </w:p>
        </w:tc>
      </w:tr>
      <w:tr w:rsidR="003B1837" w:rsidRPr="00126B96" w14:paraId="0AD1123F" w14:textId="77777777" w:rsidTr="003B1837">
        <w:tc>
          <w:tcPr>
            <w:tcW w:w="701" w:type="dxa"/>
            <w:tcBorders>
              <w:top w:val="single" w:sz="6" w:space="0" w:color="000000"/>
              <w:left w:val="single" w:sz="6" w:space="0" w:color="000000"/>
              <w:bottom w:val="single" w:sz="6" w:space="0" w:color="000000"/>
            </w:tcBorders>
          </w:tcPr>
          <w:p w14:paraId="6B6097A1" w14:textId="6B4F4598" w:rsidR="003B1837" w:rsidRPr="00126B96" w:rsidRDefault="00725671" w:rsidP="00725671">
            <w:pPr>
              <w:pStyle w:val="naisc"/>
              <w:spacing w:before="0" w:after="0"/>
              <w:jc w:val="left"/>
            </w:pPr>
            <w:r>
              <w:t xml:space="preserve"> 14.</w:t>
            </w:r>
          </w:p>
        </w:tc>
        <w:tc>
          <w:tcPr>
            <w:tcW w:w="3686" w:type="dxa"/>
            <w:gridSpan w:val="2"/>
            <w:tcBorders>
              <w:top w:val="single" w:sz="6" w:space="0" w:color="000000"/>
              <w:left w:val="single" w:sz="6" w:space="0" w:color="000000"/>
              <w:bottom w:val="single" w:sz="6" w:space="0" w:color="000000"/>
            </w:tcBorders>
          </w:tcPr>
          <w:p w14:paraId="75972361" w14:textId="77777777" w:rsidR="003B1837" w:rsidRPr="00EC2649" w:rsidRDefault="00647353" w:rsidP="00D4181A">
            <w:pPr>
              <w:pStyle w:val="naisc"/>
              <w:spacing w:before="0" w:after="0"/>
              <w:ind w:firstLine="284"/>
              <w:jc w:val="left"/>
              <w:rPr>
                <w:u w:val="single"/>
              </w:rPr>
            </w:pPr>
            <w:r w:rsidRPr="00EC2649">
              <w:rPr>
                <w:u w:val="single"/>
              </w:rPr>
              <w:t>Rīkojuma projekta 8.punkts:</w:t>
            </w:r>
          </w:p>
          <w:p w14:paraId="0FCAE2AA" w14:textId="77777777" w:rsidR="00647353" w:rsidRDefault="00647353" w:rsidP="00D4181A">
            <w:pPr>
              <w:pStyle w:val="naisc"/>
              <w:spacing w:before="0" w:after="0"/>
              <w:ind w:firstLine="284"/>
              <w:jc w:val="left"/>
            </w:pPr>
          </w:p>
          <w:p w14:paraId="2ED4C60E" w14:textId="51340EF6" w:rsidR="00647353" w:rsidRPr="00647353" w:rsidRDefault="00647353" w:rsidP="00647353">
            <w:pPr>
              <w:tabs>
                <w:tab w:val="left" w:pos="1134"/>
              </w:tabs>
              <w:ind w:right="-23"/>
              <w:jc w:val="both"/>
              <w:rPr>
                <w:rFonts w:eastAsia="Times New Roman"/>
                <w:szCs w:val="24"/>
                <w:lang w:eastAsia="lv-LV"/>
              </w:rPr>
            </w:pPr>
            <w:r>
              <w:rPr>
                <w:szCs w:val="24"/>
              </w:rPr>
              <w:lastRenderedPageBreak/>
              <w:t xml:space="preserve">“8. </w:t>
            </w:r>
            <w:r w:rsidRPr="00647353">
              <w:rPr>
                <w:rFonts w:eastAsia="Times New Roman"/>
                <w:szCs w:val="24"/>
                <w:lang w:eastAsia="lv-LV"/>
              </w:rPr>
              <w:t>Papildināt 3.sadaļas “Rīcības virzienu apraksts” rīcības virzienu “3.3.2. Veloinfrastruktūras un gājēju infrastruktūras uzlabošanas pasākumi” ar 4.</w:t>
            </w:r>
            <w:r w:rsidRPr="00647353">
              <w:rPr>
                <w:szCs w:val="24"/>
                <w:vertAlign w:val="superscript"/>
              </w:rPr>
              <w:t>1</w:t>
            </w:r>
            <w:r w:rsidRPr="00647353">
              <w:rPr>
                <w:rFonts w:eastAsia="Times New Roman"/>
                <w:szCs w:val="24"/>
                <w:lang w:eastAsia="lv-LV"/>
              </w:rPr>
              <w:t xml:space="preserve"> un  4.</w:t>
            </w:r>
            <w:r w:rsidRPr="00647353">
              <w:rPr>
                <w:szCs w:val="24"/>
                <w:vertAlign w:val="superscript"/>
              </w:rPr>
              <w:t>2</w:t>
            </w:r>
            <w:r w:rsidRPr="00647353">
              <w:rPr>
                <w:rFonts w:eastAsia="Times New Roman"/>
                <w:szCs w:val="24"/>
                <w:lang w:eastAsia="lv-LV"/>
              </w:rPr>
              <w:t xml:space="preserve"> uzdevumu šādā redakcijā:</w:t>
            </w:r>
          </w:p>
          <w:p w14:paraId="5481377E" w14:textId="77777777" w:rsidR="00647353" w:rsidRDefault="00647353" w:rsidP="00D4181A">
            <w:pPr>
              <w:pStyle w:val="naisc"/>
              <w:spacing w:before="0" w:after="0"/>
              <w:ind w:firstLine="284"/>
              <w:jc w:val="left"/>
            </w:pPr>
          </w:p>
          <w:p w14:paraId="3145C5EC" w14:textId="77777777" w:rsidR="00647353" w:rsidRDefault="00647353" w:rsidP="00D4181A">
            <w:pPr>
              <w:pStyle w:val="naisc"/>
              <w:spacing w:before="0" w:after="0"/>
              <w:ind w:firstLine="284"/>
              <w:jc w:val="left"/>
              <w:rPr>
                <w:rFonts w:cs="Calibri"/>
                <w:sz w:val="20"/>
                <w:szCs w:val="20"/>
              </w:rPr>
            </w:pPr>
            <w:r>
              <w:rPr>
                <w:sz w:val="20"/>
                <w:szCs w:val="20"/>
              </w:rPr>
              <w:t>4.</w:t>
            </w:r>
            <w:r>
              <w:rPr>
                <w:sz w:val="20"/>
                <w:szCs w:val="20"/>
                <w:vertAlign w:val="superscript"/>
              </w:rPr>
              <w:t xml:space="preserve">2   </w:t>
            </w:r>
            <w:r>
              <w:rPr>
                <w:rFonts w:cs="Calibri"/>
                <w:sz w:val="20"/>
                <w:szCs w:val="20"/>
              </w:rPr>
              <w:t>VAS “Latvijas Valsts ceļi” organizēt apmācības atbildīgajām pašvaldības amatpersonām, kas nodarbojas ar satiksmes organizāciju savā pašvaldībā, par prasībām, kādas jāievēro uzstādot un aprīkojot gājēju pārejas atbilstoši satiksmes drošības prasībām.</w:t>
            </w:r>
          </w:p>
          <w:p w14:paraId="547A06C8" w14:textId="77777777" w:rsidR="00647353" w:rsidRDefault="00647353" w:rsidP="00D4181A">
            <w:pPr>
              <w:pStyle w:val="naisc"/>
              <w:spacing w:before="0" w:after="0"/>
              <w:ind w:firstLine="284"/>
              <w:jc w:val="left"/>
              <w:rPr>
                <w:rFonts w:cs="Calibri"/>
                <w:sz w:val="20"/>
                <w:szCs w:val="20"/>
              </w:rPr>
            </w:pPr>
          </w:p>
          <w:p w14:paraId="3B5B7FAF" w14:textId="77777777" w:rsidR="00647353" w:rsidRDefault="00647353" w:rsidP="00647353">
            <w:pPr>
              <w:pStyle w:val="naisc"/>
              <w:spacing w:before="0" w:after="0"/>
              <w:ind w:firstLine="284"/>
              <w:jc w:val="both"/>
              <w:rPr>
                <w:rFonts w:cs="Calibri"/>
                <w:sz w:val="20"/>
                <w:szCs w:val="20"/>
              </w:rPr>
            </w:pPr>
            <w:r>
              <w:rPr>
                <w:rFonts w:cs="Calibri"/>
                <w:sz w:val="20"/>
                <w:szCs w:val="20"/>
              </w:rPr>
              <w:t>Darbības rezultāts:</w:t>
            </w:r>
          </w:p>
          <w:p w14:paraId="403E4181" w14:textId="5C42DE69" w:rsidR="00647353" w:rsidRDefault="00647353" w:rsidP="00647353">
            <w:pPr>
              <w:pStyle w:val="naisc"/>
              <w:spacing w:before="0" w:after="0"/>
              <w:ind w:firstLine="284"/>
              <w:jc w:val="both"/>
              <w:rPr>
                <w:rFonts w:cs="Calibri"/>
                <w:sz w:val="20"/>
                <w:szCs w:val="20"/>
              </w:rPr>
            </w:pPr>
            <w:r>
              <w:rPr>
                <w:rFonts w:cs="Calibri"/>
                <w:sz w:val="20"/>
                <w:szCs w:val="20"/>
              </w:rPr>
              <w:t>Veikta ceļu satiksmes drošības nodrošināšanā iesaistīto personu apmācība par prasībām, kādas jāievēro gājēju pārēju uzstādīšanā un ekspluatācijā.</w:t>
            </w:r>
          </w:p>
          <w:p w14:paraId="2F63BF0A" w14:textId="77777777" w:rsidR="00647353" w:rsidRDefault="00647353" w:rsidP="00647353">
            <w:pPr>
              <w:pStyle w:val="naisc"/>
              <w:spacing w:before="0" w:after="0"/>
              <w:ind w:firstLine="284"/>
              <w:jc w:val="both"/>
              <w:rPr>
                <w:rFonts w:cs="Calibri"/>
                <w:sz w:val="20"/>
                <w:szCs w:val="20"/>
              </w:rPr>
            </w:pPr>
          </w:p>
          <w:p w14:paraId="20A4BFEC" w14:textId="77777777" w:rsidR="00647353" w:rsidRDefault="00647353" w:rsidP="00647353">
            <w:pPr>
              <w:pStyle w:val="naisc"/>
              <w:spacing w:before="0" w:after="0"/>
              <w:ind w:firstLine="284"/>
              <w:jc w:val="both"/>
              <w:rPr>
                <w:rFonts w:cs="Calibri"/>
                <w:sz w:val="20"/>
                <w:szCs w:val="20"/>
              </w:rPr>
            </w:pPr>
          </w:p>
          <w:p w14:paraId="6B6379AD" w14:textId="77777777" w:rsidR="00647353" w:rsidRDefault="00647353" w:rsidP="00647353">
            <w:pPr>
              <w:pStyle w:val="naisc"/>
              <w:spacing w:before="0" w:after="0"/>
              <w:ind w:firstLine="284"/>
              <w:jc w:val="both"/>
              <w:rPr>
                <w:rFonts w:cs="Calibri"/>
                <w:sz w:val="20"/>
                <w:szCs w:val="20"/>
              </w:rPr>
            </w:pPr>
            <w:r>
              <w:rPr>
                <w:rFonts w:cs="Calibri"/>
                <w:sz w:val="20"/>
                <w:szCs w:val="20"/>
              </w:rPr>
              <w:t>Rezultatīvie rādītāji:</w:t>
            </w:r>
          </w:p>
          <w:p w14:paraId="68630FA1" w14:textId="55395144" w:rsidR="00647353" w:rsidRDefault="00647353" w:rsidP="00D4181A">
            <w:pPr>
              <w:pStyle w:val="naisc"/>
              <w:spacing w:before="0" w:after="0"/>
              <w:ind w:firstLine="284"/>
              <w:jc w:val="left"/>
              <w:rPr>
                <w:rFonts w:cs="Calibri"/>
                <w:sz w:val="20"/>
                <w:szCs w:val="20"/>
              </w:rPr>
            </w:pPr>
            <w:r>
              <w:rPr>
                <w:rFonts w:cs="Calibri"/>
                <w:sz w:val="20"/>
                <w:szCs w:val="20"/>
              </w:rPr>
              <w:t>Īstenota informatīvo apmācību norise pašvaldībās par ceļu satiksmes drošību (gājēju pārejām).</w:t>
            </w:r>
          </w:p>
          <w:p w14:paraId="5CC6BC49" w14:textId="2D1C319D" w:rsidR="00647353" w:rsidRDefault="00F52EBF" w:rsidP="00D4181A">
            <w:pPr>
              <w:pStyle w:val="naisc"/>
              <w:spacing w:before="0" w:after="0"/>
              <w:ind w:firstLine="284"/>
              <w:jc w:val="left"/>
              <w:rPr>
                <w:rFonts w:cs="Calibri"/>
                <w:sz w:val="20"/>
                <w:szCs w:val="20"/>
              </w:rPr>
            </w:pPr>
            <w:r>
              <w:rPr>
                <w:rFonts w:cs="Calibri"/>
                <w:sz w:val="20"/>
                <w:szCs w:val="20"/>
              </w:rPr>
              <w:t xml:space="preserve">  .. “</w:t>
            </w:r>
          </w:p>
          <w:p w14:paraId="4F321648" w14:textId="77777777" w:rsidR="00647353" w:rsidRDefault="00647353" w:rsidP="00D4181A">
            <w:pPr>
              <w:pStyle w:val="naisc"/>
              <w:spacing w:before="0" w:after="0"/>
              <w:ind w:firstLine="284"/>
              <w:jc w:val="left"/>
              <w:rPr>
                <w:rFonts w:cs="Calibri"/>
                <w:sz w:val="20"/>
                <w:szCs w:val="20"/>
              </w:rPr>
            </w:pPr>
          </w:p>
          <w:p w14:paraId="73A5E13D" w14:textId="27BA4DC2" w:rsidR="00647353" w:rsidRPr="00647353" w:rsidRDefault="00647353" w:rsidP="00D4181A">
            <w:pPr>
              <w:pStyle w:val="naisc"/>
              <w:spacing w:before="0" w:after="0"/>
              <w:ind w:firstLine="284"/>
              <w:jc w:val="left"/>
            </w:pPr>
          </w:p>
        </w:tc>
        <w:tc>
          <w:tcPr>
            <w:tcW w:w="3969" w:type="dxa"/>
            <w:gridSpan w:val="2"/>
            <w:tcBorders>
              <w:top w:val="single" w:sz="6" w:space="0" w:color="000000"/>
              <w:left w:val="single" w:sz="6" w:space="0" w:color="000000"/>
              <w:bottom w:val="single" w:sz="6" w:space="0" w:color="000000"/>
            </w:tcBorders>
          </w:tcPr>
          <w:p w14:paraId="07590A0E" w14:textId="77777777" w:rsidR="00725671" w:rsidRPr="00E860D9" w:rsidRDefault="00725671" w:rsidP="00725671">
            <w:pPr>
              <w:ind w:firstLine="720"/>
              <w:jc w:val="both"/>
              <w:rPr>
                <w:szCs w:val="24"/>
              </w:rPr>
            </w:pPr>
            <w:r w:rsidRPr="00E860D9">
              <w:rPr>
                <w:szCs w:val="24"/>
              </w:rPr>
              <w:lastRenderedPageBreak/>
              <w:t xml:space="preserve">Lūdzam sniegt skaidrojumu, kāpēc VAS “Latvijas Valsts ceļi” </w:t>
            </w:r>
            <w:r w:rsidRPr="00E860D9">
              <w:rPr>
                <w:szCs w:val="24"/>
              </w:rPr>
              <w:lastRenderedPageBreak/>
              <w:t>organizētās apmācības pašvaldību amatpersonām, kas nodarbojas ar satiksmes organizāciju par prasībām, kas jāievēro, uzstādot un aprīkojot gājēju pārejas, tiek paredzētas par maksu. Līdz šim Latvijas Pašvaldību savienība uzskatīja, ka pasākumi cilvēku drošības nodrošināšanai nav un nevar būt valsts institūciju  maksas pakalpojums.</w:t>
            </w:r>
          </w:p>
          <w:p w14:paraId="3DBED4C6" w14:textId="77777777" w:rsidR="003B1837" w:rsidRPr="00126B96" w:rsidRDefault="003B1837" w:rsidP="00725671">
            <w:pPr>
              <w:pStyle w:val="naisc"/>
              <w:spacing w:before="0" w:after="0"/>
              <w:ind w:firstLine="284"/>
              <w:jc w:val="both"/>
            </w:pPr>
          </w:p>
        </w:tc>
        <w:tc>
          <w:tcPr>
            <w:tcW w:w="3260" w:type="dxa"/>
            <w:tcBorders>
              <w:top w:val="single" w:sz="6" w:space="0" w:color="000000"/>
              <w:left w:val="single" w:sz="6" w:space="0" w:color="000000"/>
              <w:bottom w:val="single" w:sz="6" w:space="0" w:color="000000"/>
            </w:tcBorders>
          </w:tcPr>
          <w:p w14:paraId="7EB2B670" w14:textId="77777777" w:rsidR="00725671" w:rsidRPr="00126B96" w:rsidRDefault="00725671" w:rsidP="001135A0">
            <w:pPr>
              <w:pStyle w:val="naisc"/>
              <w:spacing w:before="0" w:after="0"/>
              <w:ind w:firstLine="284"/>
              <w:rPr>
                <w:b/>
              </w:rPr>
            </w:pPr>
            <w:r>
              <w:rPr>
                <w:b/>
              </w:rPr>
              <w:lastRenderedPageBreak/>
              <w:t xml:space="preserve">Iebildums </w:t>
            </w:r>
            <w:r w:rsidRPr="00126B96">
              <w:rPr>
                <w:b/>
              </w:rPr>
              <w:t>ņemts vērā.</w:t>
            </w:r>
          </w:p>
          <w:p w14:paraId="3498D605" w14:textId="30FDC7F6" w:rsidR="00647353" w:rsidRDefault="00647353" w:rsidP="00647353">
            <w:pPr>
              <w:ind w:firstLine="720"/>
              <w:jc w:val="both"/>
              <w:rPr>
                <w:szCs w:val="24"/>
              </w:rPr>
            </w:pPr>
            <w:r>
              <w:lastRenderedPageBreak/>
              <w:t>Saskaņā ar  VAS “Latvijas Valsts ceļi”</w:t>
            </w:r>
            <w:r w:rsidR="007165BC">
              <w:t xml:space="preserve"> (turpmāk – LVC)</w:t>
            </w:r>
            <w:r>
              <w:t xml:space="preserve"> Satiksmes ministrijai sniegto inform</w:t>
            </w:r>
            <w:r w:rsidR="007165BC">
              <w:t>āciju, l</w:t>
            </w:r>
            <w:r w:rsidR="007165BC">
              <w:rPr>
                <w:szCs w:val="24"/>
              </w:rPr>
              <w:t>īdz šim visus LVC realizētos</w:t>
            </w:r>
            <w:r>
              <w:rPr>
                <w:szCs w:val="24"/>
              </w:rPr>
              <w:t xml:space="preserve"> ceļu satiksmes dalībnieku</w:t>
            </w:r>
            <w:r w:rsidR="007165BC">
              <w:rPr>
                <w:szCs w:val="24"/>
              </w:rPr>
              <w:t xml:space="preserve"> (cilvēku) drošību paaugstinošos pasākumus</w:t>
            </w:r>
            <w:r>
              <w:rPr>
                <w:szCs w:val="24"/>
              </w:rPr>
              <w:t xml:space="preserve"> (gājēju celiņu izbūve, gājēju pāreju izveidošanu, ceļu apgaismojuma</w:t>
            </w:r>
            <w:r w:rsidR="007165BC">
              <w:rPr>
                <w:szCs w:val="24"/>
              </w:rPr>
              <w:t xml:space="preserve"> ierīkošana u.t.t.) ir realizējuši</w:t>
            </w:r>
            <w:r>
              <w:rPr>
                <w:szCs w:val="24"/>
              </w:rPr>
              <w:t xml:space="preserve"> par valsts budžeta līdzekļiem. </w:t>
            </w:r>
            <w:r w:rsidR="007165BC">
              <w:rPr>
                <w:szCs w:val="24"/>
              </w:rPr>
              <w:t>Tādējādi v</w:t>
            </w:r>
            <w:r>
              <w:rPr>
                <w:szCs w:val="24"/>
              </w:rPr>
              <w:t>isi LVC pamatdarbības ietvaros veiktie darbi nav realizēti kā maksas pakalpojums.</w:t>
            </w:r>
          </w:p>
          <w:p w14:paraId="5CF59442" w14:textId="19148A24" w:rsidR="003B1837" w:rsidRPr="001135A0" w:rsidRDefault="00647353" w:rsidP="001135A0">
            <w:pPr>
              <w:ind w:firstLine="720"/>
              <w:jc w:val="both"/>
              <w:rPr>
                <w:szCs w:val="24"/>
              </w:rPr>
            </w:pPr>
            <w:r>
              <w:rPr>
                <w:szCs w:val="24"/>
              </w:rPr>
              <w:t xml:space="preserve">Atbilstoši noteiktajiem uzdevumiem, LVC nav saistīta ar ārēju apmācību procesu organizēšanu un nodrošināšanu. Lai realizētu pieminēto jauno priekšlikumu ceļu satiksmes drošības uzlabošanai, tika ierosināts šo LVC neraksturīgo uzdevumu – apmācību procesa organizēšanu – realizēt kā maksas pasākumu, vienlaicīgi saprotot arī to, ka tas netiks organizēts kā pasākums LVC peļņas gūšanai. Maksa par apmācību ir plānota tikai </w:t>
            </w:r>
            <w:r>
              <w:rPr>
                <w:szCs w:val="24"/>
              </w:rPr>
              <w:lastRenderedPageBreak/>
              <w:t>faktisko, tiešo izdevumu segšanai.</w:t>
            </w:r>
          </w:p>
        </w:tc>
        <w:tc>
          <w:tcPr>
            <w:tcW w:w="3260" w:type="dxa"/>
            <w:tcBorders>
              <w:top w:val="single" w:sz="6" w:space="0" w:color="000000"/>
              <w:left w:val="single" w:sz="6" w:space="0" w:color="000000"/>
              <w:bottom w:val="single" w:sz="6" w:space="0" w:color="000000"/>
              <w:right w:val="single" w:sz="4" w:space="0" w:color="auto"/>
            </w:tcBorders>
          </w:tcPr>
          <w:p w14:paraId="41A73CEC" w14:textId="06023740" w:rsidR="00647353" w:rsidRPr="00EC2649" w:rsidRDefault="00647353" w:rsidP="001135A0">
            <w:pPr>
              <w:pStyle w:val="naisc"/>
              <w:spacing w:before="0" w:after="0"/>
              <w:jc w:val="left"/>
              <w:rPr>
                <w:u w:val="single"/>
              </w:rPr>
            </w:pPr>
            <w:r w:rsidRPr="00244C1A">
              <w:rPr>
                <w:u w:val="single"/>
              </w:rPr>
              <w:lastRenderedPageBreak/>
              <w:t xml:space="preserve">Rīkojuma </w:t>
            </w:r>
            <w:r w:rsidR="00244C1A" w:rsidRPr="00244C1A">
              <w:rPr>
                <w:u w:val="single"/>
              </w:rPr>
              <w:t>projekta 11</w:t>
            </w:r>
            <w:r w:rsidRPr="00244C1A">
              <w:rPr>
                <w:u w:val="single"/>
              </w:rPr>
              <w:t>.punkts:</w:t>
            </w:r>
          </w:p>
          <w:p w14:paraId="47D8FC61" w14:textId="77777777" w:rsidR="00647353" w:rsidRDefault="00647353" w:rsidP="00647353">
            <w:pPr>
              <w:pStyle w:val="naisc"/>
              <w:spacing w:before="0" w:after="0"/>
              <w:ind w:firstLine="284"/>
              <w:jc w:val="left"/>
            </w:pPr>
          </w:p>
          <w:p w14:paraId="6A56FC7D" w14:textId="77777777" w:rsidR="00647353" w:rsidRPr="00647353" w:rsidRDefault="00647353" w:rsidP="00647353">
            <w:pPr>
              <w:tabs>
                <w:tab w:val="left" w:pos="1134"/>
              </w:tabs>
              <w:ind w:right="-23"/>
              <w:jc w:val="both"/>
              <w:rPr>
                <w:rFonts w:eastAsia="Times New Roman"/>
                <w:szCs w:val="24"/>
                <w:lang w:eastAsia="lv-LV"/>
              </w:rPr>
            </w:pPr>
            <w:r>
              <w:rPr>
                <w:szCs w:val="24"/>
              </w:rPr>
              <w:lastRenderedPageBreak/>
              <w:t xml:space="preserve">“ 8. </w:t>
            </w:r>
            <w:r w:rsidRPr="00647353">
              <w:rPr>
                <w:rFonts w:eastAsia="Times New Roman"/>
                <w:szCs w:val="24"/>
                <w:lang w:eastAsia="lv-LV"/>
              </w:rPr>
              <w:t>Papildināt 3.sadaļas “Rīcības virzienu apraksts” rīcības virzienu “3.3.2. Veloinfrastruktūras un gājēju infrastruktūras uzlabošanas pasākumi” ar 4.</w:t>
            </w:r>
            <w:r w:rsidRPr="00647353">
              <w:rPr>
                <w:szCs w:val="24"/>
                <w:vertAlign w:val="superscript"/>
              </w:rPr>
              <w:t>1</w:t>
            </w:r>
            <w:r w:rsidRPr="00647353">
              <w:rPr>
                <w:rFonts w:eastAsia="Times New Roman"/>
                <w:szCs w:val="24"/>
                <w:lang w:eastAsia="lv-LV"/>
              </w:rPr>
              <w:t xml:space="preserve"> un  4.</w:t>
            </w:r>
            <w:r w:rsidRPr="00647353">
              <w:rPr>
                <w:szCs w:val="24"/>
                <w:vertAlign w:val="superscript"/>
              </w:rPr>
              <w:t>2</w:t>
            </w:r>
            <w:r w:rsidRPr="00647353">
              <w:rPr>
                <w:rFonts w:eastAsia="Times New Roman"/>
                <w:szCs w:val="24"/>
                <w:lang w:eastAsia="lv-LV"/>
              </w:rPr>
              <w:t xml:space="preserve"> uzdevumu šādā redakcijā:</w:t>
            </w:r>
          </w:p>
          <w:p w14:paraId="26212CCA" w14:textId="77777777" w:rsidR="00647353" w:rsidRDefault="00647353" w:rsidP="00647353">
            <w:pPr>
              <w:pStyle w:val="naisc"/>
              <w:spacing w:before="0" w:after="0"/>
              <w:ind w:firstLine="284"/>
              <w:jc w:val="left"/>
            </w:pPr>
          </w:p>
          <w:p w14:paraId="61C01201" w14:textId="77777777" w:rsidR="00647353" w:rsidRDefault="00647353" w:rsidP="00647353">
            <w:pPr>
              <w:pStyle w:val="naisc"/>
              <w:spacing w:before="0" w:after="0"/>
              <w:ind w:firstLine="284"/>
              <w:jc w:val="left"/>
              <w:rPr>
                <w:rFonts w:cs="Calibri"/>
                <w:sz w:val="20"/>
                <w:szCs w:val="20"/>
              </w:rPr>
            </w:pPr>
            <w:r>
              <w:rPr>
                <w:sz w:val="20"/>
                <w:szCs w:val="20"/>
              </w:rPr>
              <w:t>4.</w:t>
            </w:r>
            <w:r>
              <w:rPr>
                <w:sz w:val="20"/>
                <w:szCs w:val="20"/>
                <w:vertAlign w:val="superscript"/>
              </w:rPr>
              <w:t xml:space="preserve">2   </w:t>
            </w:r>
            <w:r>
              <w:rPr>
                <w:rFonts w:cs="Calibri"/>
                <w:sz w:val="20"/>
                <w:szCs w:val="20"/>
              </w:rPr>
              <w:t>VAS “Latvijas Valsts ceļi” organizēt apmācības atbildīgajām pašvaldības amatpersonām, kas nodarbojas ar satiksmes organizāciju savā pašvaldībā, par prasībām, kādas jāievēro uzstādot un aprīkojot gājēju pārejas atbilstoši satiksmes drošības prasībām.</w:t>
            </w:r>
          </w:p>
          <w:p w14:paraId="207F9B4A" w14:textId="77777777" w:rsidR="00647353" w:rsidRDefault="00647353" w:rsidP="00647353">
            <w:pPr>
              <w:pStyle w:val="naisc"/>
              <w:spacing w:before="0" w:after="0"/>
              <w:ind w:firstLine="284"/>
              <w:jc w:val="left"/>
              <w:rPr>
                <w:rFonts w:cs="Calibri"/>
                <w:sz w:val="20"/>
                <w:szCs w:val="20"/>
              </w:rPr>
            </w:pPr>
          </w:p>
          <w:p w14:paraId="5A752113" w14:textId="77777777" w:rsidR="00647353" w:rsidRDefault="00647353" w:rsidP="00647353">
            <w:pPr>
              <w:pStyle w:val="naisc"/>
              <w:spacing w:before="0" w:after="0"/>
              <w:ind w:firstLine="284"/>
              <w:jc w:val="both"/>
              <w:rPr>
                <w:rFonts w:cs="Calibri"/>
                <w:sz w:val="20"/>
                <w:szCs w:val="20"/>
              </w:rPr>
            </w:pPr>
            <w:r>
              <w:rPr>
                <w:rFonts w:cs="Calibri"/>
                <w:sz w:val="20"/>
                <w:szCs w:val="20"/>
              </w:rPr>
              <w:t>Darbības rezultāts:</w:t>
            </w:r>
          </w:p>
          <w:p w14:paraId="5A82C2C6" w14:textId="77777777" w:rsidR="00647353" w:rsidRDefault="00647353" w:rsidP="00647353">
            <w:pPr>
              <w:pStyle w:val="naisc"/>
              <w:spacing w:before="0" w:after="0"/>
              <w:ind w:firstLine="284"/>
              <w:jc w:val="both"/>
              <w:rPr>
                <w:rFonts w:cs="Calibri"/>
                <w:sz w:val="20"/>
                <w:szCs w:val="20"/>
              </w:rPr>
            </w:pPr>
            <w:r>
              <w:rPr>
                <w:rFonts w:cs="Calibri"/>
                <w:sz w:val="20"/>
                <w:szCs w:val="20"/>
              </w:rPr>
              <w:t>Veikta ceļu satiksmes drošības nodrošināšanā iesaistīto personu apmācība par prasībām, kādas jāievēro gājēju pārēju uzstādīšanā un ekspluatācijā.</w:t>
            </w:r>
          </w:p>
          <w:p w14:paraId="6576FCD8" w14:textId="77777777" w:rsidR="00647353" w:rsidRDefault="00647353" w:rsidP="00647353">
            <w:pPr>
              <w:pStyle w:val="naisc"/>
              <w:spacing w:before="0" w:after="0"/>
              <w:ind w:firstLine="284"/>
              <w:jc w:val="both"/>
              <w:rPr>
                <w:rFonts w:cs="Calibri"/>
                <w:sz w:val="20"/>
                <w:szCs w:val="20"/>
              </w:rPr>
            </w:pPr>
          </w:p>
          <w:p w14:paraId="20CEDF49" w14:textId="77777777" w:rsidR="00647353" w:rsidRDefault="00647353" w:rsidP="00647353">
            <w:pPr>
              <w:pStyle w:val="naisc"/>
              <w:spacing w:before="0" w:after="0"/>
              <w:ind w:firstLine="284"/>
              <w:jc w:val="both"/>
              <w:rPr>
                <w:rFonts w:cs="Calibri"/>
                <w:sz w:val="20"/>
                <w:szCs w:val="20"/>
              </w:rPr>
            </w:pPr>
          </w:p>
          <w:p w14:paraId="3B58ADD0" w14:textId="77777777" w:rsidR="00647353" w:rsidRDefault="00647353" w:rsidP="00647353">
            <w:pPr>
              <w:pStyle w:val="naisc"/>
              <w:spacing w:before="0" w:after="0"/>
              <w:ind w:firstLine="284"/>
              <w:jc w:val="both"/>
              <w:rPr>
                <w:rFonts w:cs="Calibri"/>
                <w:sz w:val="20"/>
                <w:szCs w:val="20"/>
              </w:rPr>
            </w:pPr>
            <w:r>
              <w:rPr>
                <w:rFonts w:cs="Calibri"/>
                <w:sz w:val="20"/>
                <w:szCs w:val="20"/>
              </w:rPr>
              <w:t>Rezultatīvie rādītāji:</w:t>
            </w:r>
          </w:p>
          <w:p w14:paraId="5410EA8A" w14:textId="77777777" w:rsidR="00647353" w:rsidRDefault="00647353" w:rsidP="00647353">
            <w:pPr>
              <w:pStyle w:val="naisc"/>
              <w:spacing w:before="0" w:after="0"/>
              <w:ind w:firstLine="284"/>
              <w:jc w:val="left"/>
              <w:rPr>
                <w:rFonts w:cs="Calibri"/>
                <w:sz w:val="20"/>
                <w:szCs w:val="20"/>
              </w:rPr>
            </w:pPr>
            <w:r>
              <w:rPr>
                <w:rFonts w:cs="Calibri"/>
                <w:sz w:val="20"/>
                <w:szCs w:val="20"/>
              </w:rPr>
              <w:t>Īstenota informatīvo apmācību norise pašvaldībās par ceļu satiksmes drošību (gājēju pārejām).</w:t>
            </w:r>
          </w:p>
          <w:p w14:paraId="254428FB" w14:textId="08C3A74F" w:rsidR="00647353" w:rsidRDefault="00F52EBF" w:rsidP="00F52EBF">
            <w:pPr>
              <w:pStyle w:val="naisc"/>
              <w:spacing w:before="0" w:after="0"/>
              <w:ind w:firstLine="284"/>
              <w:jc w:val="left"/>
              <w:rPr>
                <w:rFonts w:cs="Calibri"/>
              </w:rPr>
            </w:pPr>
            <w:r>
              <w:rPr>
                <w:rFonts w:cs="Calibri"/>
              </w:rPr>
              <w:t>.. “</w:t>
            </w:r>
          </w:p>
          <w:p w14:paraId="1C7B1941" w14:textId="77777777" w:rsidR="00647353" w:rsidRDefault="00647353" w:rsidP="00EC2649">
            <w:pPr>
              <w:pStyle w:val="naisc"/>
              <w:spacing w:before="0" w:after="0"/>
              <w:jc w:val="left"/>
              <w:rPr>
                <w:rFonts w:cs="Calibri"/>
              </w:rPr>
            </w:pPr>
          </w:p>
          <w:p w14:paraId="54458A22" w14:textId="76CB4907" w:rsidR="003B1837" w:rsidRPr="00126B96" w:rsidRDefault="00647353" w:rsidP="001A287C">
            <w:pPr>
              <w:pStyle w:val="naisc"/>
              <w:spacing w:before="0" w:after="0"/>
              <w:jc w:val="both"/>
            </w:pPr>
            <w:r w:rsidRPr="00DA5A84">
              <w:rPr>
                <w:rFonts w:cs="Calibri"/>
              </w:rPr>
              <w:t xml:space="preserve">Skatīt </w:t>
            </w:r>
            <w:r w:rsidR="001A287C" w:rsidRPr="001A287C">
              <w:rPr>
                <w:rFonts w:cs="Calibri"/>
              </w:rPr>
              <w:t xml:space="preserve">precizēto </w:t>
            </w:r>
            <w:r w:rsidRPr="00DA5A84">
              <w:rPr>
                <w:rFonts w:cs="Calibri"/>
              </w:rPr>
              <w:t>rīkojuma projekta anotācijas I sadaļas 2.punktu.</w:t>
            </w:r>
          </w:p>
        </w:tc>
      </w:tr>
      <w:tr w:rsidR="00C97CF1" w:rsidRPr="00126B96" w14:paraId="334643B1" w14:textId="77777777" w:rsidTr="00C97CF1">
        <w:tc>
          <w:tcPr>
            <w:tcW w:w="14876" w:type="dxa"/>
            <w:gridSpan w:val="7"/>
            <w:tcBorders>
              <w:top w:val="single" w:sz="6" w:space="0" w:color="000000"/>
              <w:left w:val="single" w:sz="6" w:space="0" w:color="000000"/>
              <w:bottom w:val="single" w:sz="6" w:space="0" w:color="000000"/>
              <w:right w:val="single" w:sz="4" w:space="0" w:color="auto"/>
            </w:tcBorders>
          </w:tcPr>
          <w:p w14:paraId="49807790" w14:textId="77777777" w:rsidR="00C97CF1" w:rsidRDefault="00C97CF1" w:rsidP="00C97CF1">
            <w:pPr>
              <w:pStyle w:val="NoSpacing"/>
              <w:jc w:val="center"/>
              <w:rPr>
                <w:b/>
              </w:rPr>
            </w:pPr>
          </w:p>
          <w:p w14:paraId="60779E19" w14:textId="0B4BEC9B" w:rsidR="00C97CF1" w:rsidRDefault="00C97CF1" w:rsidP="00C97CF1">
            <w:pPr>
              <w:jc w:val="center"/>
              <w:rPr>
                <w:b/>
                <w:i/>
              </w:rPr>
            </w:pPr>
            <w:r w:rsidRPr="00E300D6">
              <w:rPr>
                <w:b/>
              </w:rPr>
              <w:t xml:space="preserve">Pārresoru koordinācijas centra </w:t>
            </w:r>
            <w:r>
              <w:rPr>
                <w:b/>
              </w:rPr>
              <w:t>08</w:t>
            </w:r>
            <w:r w:rsidRPr="00E300D6">
              <w:rPr>
                <w:b/>
              </w:rPr>
              <w:t>.</w:t>
            </w:r>
            <w:r>
              <w:rPr>
                <w:b/>
              </w:rPr>
              <w:t>08</w:t>
            </w:r>
            <w:r w:rsidRPr="00E300D6">
              <w:rPr>
                <w:b/>
              </w:rPr>
              <w:t>.2019. atzinums Nr.1.2-7/</w:t>
            </w:r>
            <w:r>
              <w:rPr>
                <w:b/>
              </w:rPr>
              <w:t xml:space="preserve">101 (VSS-609) </w:t>
            </w:r>
            <w:r w:rsidRPr="00B5734C">
              <w:rPr>
                <w:b/>
                <w:i/>
              </w:rPr>
              <w:t>Par rīkojuma projektu</w:t>
            </w:r>
          </w:p>
          <w:p w14:paraId="6AB8168E" w14:textId="77777777" w:rsidR="00C97CF1" w:rsidRPr="00244C1A" w:rsidRDefault="00C97CF1" w:rsidP="00647353">
            <w:pPr>
              <w:pStyle w:val="naisc"/>
              <w:spacing w:before="0" w:after="0"/>
              <w:ind w:firstLine="284"/>
              <w:jc w:val="left"/>
              <w:rPr>
                <w:u w:val="single"/>
              </w:rPr>
            </w:pPr>
          </w:p>
        </w:tc>
      </w:tr>
      <w:tr w:rsidR="00C97CF1" w:rsidRPr="00126B96" w14:paraId="15AC62AA" w14:textId="77777777" w:rsidTr="003B1837">
        <w:tc>
          <w:tcPr>
            <w:tcW w:w="701" w:type="dxa"/>
            <w:tcBorders>
              <w:top w:val="single" w:sz="6" w:space="0" w:color="000000"/>
              <w:left w:val="single" w:sz="6" w:space="0" w:color="000000"/>
              <w:bottom w:val="single" w:sz="6" w:space="0" w:color="000000"/>
            </w:tcBorders>
          </w:tcPr>
          <w:p w14:paraId="0A10F4A7" w14:textId="21ECD547" w:rsidR="00C97CF1" w:rsidRDefault="002179BD" w:rsidP="00725671">
            <w:pPr>
              <w:pStyle w:val="naisc"/>
              <w:spacing w:before="0" w:after="0"/>
              <w:jc w:val="left"/>
            </w:pPr>
            <w:r>
              <w:t>15.</w:t>
            </w:r>
          </w:p>
        </w:tc>
        <w:tc>
          <w:tcPr>
            <w:tcW w:w="3686" w:type="dxa"/>
            <w:gridSpan w:val="2"/>
            <w:tcBorders>
              <w:top w:val="single" w:sz="6" w:space="0" w:color="000000"/>
              <w:left w:val="single" w:sz="6" w:space="0" w:color="000000"/>
              <w:bottom w:val="single" w:sz="6" w:space="0" w:color="000000"/>
            </w:tcBorders>
          </w:tcPr>
          <w:p w14:paraId="4A4BD0F8" w14:textId="77777777" w:rsidR="00C97CF1" w:rsidRPr="00C5119A" w:rsidRDefault="00C97CF1" w:rsidP="002179BD">
            <w:pPr>
              <w:pStyle w:val="naisc"/>
              <w:spacing w:before="0" w:after="0"/>
              <w:jc w:val="left"/>
              <w:rPr>
                <w:u w:val="single"/>
              </w:rPr>
            </w:pPr>
            <w:r w:rsidRPr="00C5119A">
              <w:rPr>
                <w:u w:val="single"/>
              </w:rPr>
              <w:t>Rīkojuma projekta 4.punkts:</w:t>
            </w:r>
          </w:p>
          <w:p w14:paraId="12B10AA6" w14:textId="77777777" w:rsidR="00C97CF1" w:rsidRPr="00C5119A" w:rsidRDefault="00C97CF1" w:rsidP="00C97CF1">
            <w:pPr>
              <w:pStyle w:val="naisc"/>
              <w:spacing w:before="0" w:after="0"/>
              <w:ind w:firstLine="284"/>
              <w:jc w:val="both"/>
              <w:rPr>
                <w:rFonts w:cs="Calibri"/>
                <w:sz w:val="20"/>
                <w:szCs w:val="20"/>
              </w:rPr>
            </w:pPr>
          </w:p>
          <w:p w14:paraId="47865321" w14:textId="5C1D8149" w:rsidR="00C97CF1" w:rsidRPr="00C5119A" w:rsidRDefault="00C5119A" w:rsidP="0025005A">
            <w:pPr>
              <w:pStyle w:val="naisc"/>
              <w:spacing w:before="0" w:after="0"/>
              <w:jc w:val="both"/>
              <w:rPr>
                <w:u w:val="single"/>
              </w:rPr>
            </w:pPr>
            <w:r w:rsidRPr="00C5119A">
              <w:rPr>
                <w:sz w:val="20"/>
                <w:szCs w:val="20"/>
              </w:rPr>
              <w:t>“</w:t>
            </w:r>
            <w:r w:rsidR="00D06D93" w:rsidRPr="00C5119A">
              <w:rPr>
                <w:sz w:val="20"/>
                <w:szCs w:val="20"/>
              </w:rPr>
              <w:t>1.</w:t>
            </w:r>
            <w:r w:rsidR="00D06D93" w:rsidRPr="00C5119A">
              <w:rPr>
                <w:sz w:val="20"/>
                <w:szCs w:val="20"/>
                <w:vertAlign w:val="superscript"/>
              </w:rPr>
              <w:t xml:space="preserve">2 </w:t>
            </w:r>
            <w:r w:rsidR="00D06D93" w:rsidRPr="00C5119A">
              <w:rPr>
                <w:rFonts w:cs="Calibri"/>
                <w:sz w:val="20"/>
                <w:szCs w:val="20"/>
              </w:rPr>
              <w:t>Veikt Ceļu satiksmes drošības plāna 2017.-2020.gadam ietekmes izvērtējumu un identificēt  rīcības politikas prioritātes nākamajam īstermiņa politikas plānošanas dokumentam ceļu satiksmes drošības jomā laika periodā 2021.-2025.gadam (uzstādot mērķa rādītājus laika posmam 2020.-2030.gads).</w:t>
            </w:r>
            <w:r w:rsidRPr="00C5119A">
              <w:rPr>
                <w:rFonts w:cs="Calibri"/>
                <w:sz w:val="20"/>
                <w:szCs w:val="20"/>
              </w:rPr>
              <w:t>”</w:t>
            </w:r>
          </w:p>
        </w:tc>
        <w:tc>
          <w:tcPr>
            <w:tcW w:w="3969" w:type="dxa"/>
            <w:gridSpan w:val="2"/>
            <w:tcBorders>
              <w:top w:val="single" w:sz="6" w:space="0" w:color="000000"/>
              <w:left w:val="single" w:sz="6" w:space="0" w:color="000000"/>
              <w:bottom w:val="single" w:sz="6" w:space="0" w:color="000000"/>
            </w:tcBorders>
          </w:tcPr>
          <w:p w14:paraId="1EDCF51F" w14:textId="77777777" w:rsidR="00C97CF1" w:rsidRPr="00801615" w:rsidRDefault="00C97CF1" w:rsidP="00C97CF1">
            <w:pPr>
              <w:tabs>
                <w:tab w:val="left" w:pos="7230"/>
              </w:tabs>
              <w:spacing w:after="40"/>
              <w:jc w:val="both"/>
              <w:rPr>
                <w:rFonts w:eastAsia="Times New Roman"/>
                <w:szCs w:val="24"/>
              </w:rPr>
            </w:pPr>
            <w:r>
              <w:rPr>
                <w:rFonts w:eastAsia="Times New Roman"/>
                <w:szCs w:val="24"/>
              </w:rPr>
              <w:t>L</w:t>
            </w:r>
            <w:r w:rsidRPr="00B81DF2">
              <w:rPr>
                <w:rFonts w:eastAsia="Times New Roman"/>
                <w:szCs w:val="24"/>
              </w:rPr>
              <w:t xml:space="preserve">ūdzam </w:t>
            </w:r>
            <w:r>
              <w:rPr>
                <w:rFonts w:eastAsia="Times New Roman"/>
                <w:szCs w:val="24"/>
              </w:rPr>
              <w:t>precizēt rīkojuma projekta 4.punktu</w:t>
            </w:r>
            <w:r w:rsidRPr="00B81DF2">
              <w:rPr>
                <w:rFonts w:eastAsia="Times New Roman"/>
                <w:szCs w:val="24"/>
              </w:rPr>
              <w:t xml:space="preserve">, </w:t>
            </w:r>
            <w:r>
              <w:rPr>
                <w:rFonts w:eastAsia="Times New Roman"/>
                <w:szCs w:val="24"/>
              </w:rPr>
              <w:t xml:space="preserve">izsakot tabulas </w:t>
            </w:r>
            <w:r w:rsidRPr="00E95688">
              <w:rPr>
                <w:rFonts w:eastAsia="Times New Roman"/>
                <w:sz w:val="20"/>
                <w:szCs w:val="20"/>
                <w:lang w:eastAsia="lv-LV"/>
              </w:rPr>
              <w:t>1.</w:t>
            </w:r>
            <w:r>
              <w:rPr>
                <w:sz w:val="20"/>
                <w:szCs w:val="20"/>
                <w:vertAlign w:val="superscript"/>
              </w:rPr>
              <w:t xml:space="preserve">2 </w:t>
            </w:r>
            <w:r>
              <w:rPr>
                <w:rFonts w:eastAsia="Times New Roman"/>
                <w:szCs w:val="24"/>
              </w:rPr>
              <w:t xml:space="preserve">punktā </w:t>
            </w:r>
            <w:r w:rsidRPr="00801615">
              <w:rPr>
                <w:szCs w:val="24"/>
              </w:rPr>
              <w:t xml:space="preserve">minēto pasākumu šādā redakcijā </w:t>
            </w:r>
            <w:r>
              <w:rPr>
                <w:szCs w:val="24"/>
              </w:rPr>
              <w:t xml:space="preserve">- </w:t>
            </w:r>
            <w:r w:rsidRPr="00801615">
              <w:rPr>
                <w:szCs w:val="24"/>
              </w:rPr>
              <w:t>“Veikt Ceļu satiksmes drošības plāna 2017.-2020.gadam starpposma ietekmes izvērtējumu un identificēt  nepieciešamību un iespējamās politikas prioritātes nākamajam īstermiņa attīstības plānošanas dokumentam ceļu satiksmes drošības jomā laika periodā 2021.-202</w:t>
            </w:r>
            <w:r>
              <w:rPr>
                <w:szCs w:val="24"/>
              </w:rPr>
              <w:t>5</w:t>
            </w:r>
            <w:r w:rsidRPr="00801615">
              <w:rPr>
                <w:szCs w:val="24"/>
              </w:rPr>
              <w:t>.gadam”,</w:t>
            </w:r>
            <w:r>
              <w:rPr>
                <w:szCs w:val="24"/>
              </w:rPr>
              <w:t xml:space="preserve"> </w:t>
            </w:r>
            <w:r w:rsidRPr="00801615">
              <w:rPr>
                <w:szCs w:val="24"/>
              </w:rPr>
              <w:t>lai minētais formulējums atbilstu Ministru kabineta 2014.gada 2.decembra noteikumu Nr.737 “Attīstības plānošanas dokumentu izstrādes un ietekmes izvērtēšanas noteikumi” (turpmāk – noteikumi) 4</w:t>
            </w:r>
            <w:r w:rsidRPr="00801615">
              <w:rPr>
                <w:rFonts w:eastAsia="Times New Roman"/>
                <w:szCs w:val="24"/>
              </w:rPr>
              <w:t>0.punktam</w:t>
            </w:r>
            <w:r>
              <w:rPr>
                <w:szCs w:val="24"/>
              </w:rPr>
              <w:t>.</w:t>
            </w:r>
          </w:p>
          <w:p w14:paraId="072FF621" w14:textId="71CE9FFF" w:rsidR="00C97CF1" w:rsidRPr="00E860D9" w:rsidRDefault="00C97CF1" w:rsidP="0025005A">
            <w:pPr>
              <w:jc w:val="both"/>
              <w:rPr>
                <w:szCs w:val="24"/>
              </w:rPr>
            </w:pPr>
          </w:p>
        </w:tc>
        <w:tc>
          <w:tcPr>
            <w:tcW w:w="3260" w:type="dxa"/>
            <w:tcBorders>
              <w:top w:val="single" w:sz="6" w:space="0" w:color="000000"/>
              <w:left w:val="single" w:sz="6" w:space="0" w:color="000000"/>
              <w:bottom w:val="single" w:sz="6" w:space="0" w:color="000000"/>
            </w:tcBorders>
          </w:tcPr>
          <w:p w14:paraId="17960DF9" w14:textId="77777777" w:rsidR="00C97CF1" w:rsidRPr="00126B96" w:rsidRDefault="00C97CF1" w:rsidP="00C97CF1">
            <w:pPr>
              <w:pStyle w:val="naisc"/>
              <w:spacing w:before="0" w:after="0"/>
              <w:ind w:firstLine="284"/>
              <w:jc w:val="both"/>
              <w:rPr>
                <w:b/>
              </w:rPr>
            </w:pPr>
            <w:r>
              <w:rPr>
                <w:b/>
              </w:rPr>
              <w:t xml:space="preserve">Iebildums </w:t>
            </w:r>
            <w:r w:rsidRPr="00126B96">
              <w:rPr>
                <w:b/>
              </w:rPr>
              <w:t>ņemts vērā.</w:t>
            </w:r>
          </w:p>
          <w:p w14:paraId="5601FAFF" w14:textId="17613C32" w:rsidR="00C97CF1" w:rsidRDefault="00C97CF1" w:rsidP="0025005A">
            <w:pPr>
              <w:pStyle w:val="naisc"/>
              <w:spacing w:before="0" w:after="0"/>
              <w:jc w:val="both"/>
              <w:rPr>
                <w:b/>
              </w:rPr>
            </w:pPr>
            <w:r>
              <w:t xml:space="preserve">Satiksmes ministrija ir precizējusi </w:t>
            </w:r>
            <w:r w:rsidR="006010FD">
              <w:t>rīkojuma</w:t>
            </w:r>
            <w:r>
              <w:t xml:space="preserve"> </w:t>
            </w:r>
            <w:r w:rsidR="006010FD">
              <w:t>projekt</w:t>
            </w:r>
            <w:r w:rsidR="00D06D93">
              <w:t>a</w:t>
            </w:r>
            <w:r>
              <w:t xml:space="preserve"> 4.punkta </w:t>
            </w:r>
            <w:r w:rsidR="001135A0">
              <w:t xml:space="preserve">ietverto </w:t>
            </w:r>
            <w:r>
              <w:t>1.</w:t>
            </w:r>
            <w:r w:rsidRPr="00097E13">
              <w:rPr>
                <w:rFonts w:cs="Calibri"/>
                <w:sz w:val="20"/>
                <w:szCs w:val="20"/>
                <w:vertAlign w:val="superscript"/>
              </w:rPr>
              <w:t>2</w:t>
            </w:r>
            <w:r>
              <w:rPr>
                <w:rFonts w:cs="Calibri"/>
                <w:sz w:val="20"/>
                <w:szCs w:val="20"/>
                <w:vertAlign w:val="superscript"/>
              </w:rPr>
              <w:t xml:space="preserve"> </w:t>
            </w:r>
            <w:r>
              <w:t>pasākum</w:t>
            </w:r>
            <w:r w:rsidR="00D06D93">
              <w:t>u</w:t>
            </w:r>
            <w:r>
              <w:t>.</w:t>
            </w:r>
          </w:p>
        </w:tc>
        <w:tc>
          <w:tcPr>
            <w:tcW w:w="3260" w:type="dxa"/>
            <w:tcBorders>
              <w:top w:val="single" w:sz="6" w:space="0" w:color="000000"/>
              <w:left w:val="single" w:sz="6" w:space="0" w:color="000000"/>
              <w:bottom w:val="single" w:sz="6" w:space="0" w:color="000000"/>
              <w:right w:val="single" w:sz="4" w:space="0" w:color="auto"/>
            </w:tcBorders>
          </w:tcPr>
          <w:p w14:paraId="627371EC" w14:textId="77777777" w:rsidR="00C97CF1" w:rsidRDefault="00C97CF1" w:rsidP="002179BD">
            <w:pPr>
              <w:pStyle w:val="naisc"/>
              <w:spacing w:before="0" w:after="0"/>
              <w:jc w:val="left"/>
              <w:rPr>
                <w:u w:val="single"/>
              </w:rPr>
            </w:pPr>
            <w:r>
              <w:rPr>
                <w:u w:val="single"/>
              </w:rPr>
              <w:t>Rīkojuma projekta 4.punkts:</w:t>
            </w:r>
          </w:p>
          <w:p w14:paraId="50AAC729" w14:textId="77777777" w:rsidR="00C97CF1" w:rsidRDefault="00C97CF1" w:rsidP="00647353">
            <w:pPr>
              <w:pStyle w:val="naisc"/>
              <w:spacing w:before="0" w:after="0"/>
              <w:ind w:firstLine="284"/>
              <w:jc w:val="left"/>
              <w:rPr>
                <w:u w:val="single"/>
              </w:rPr>
            </w:pPr>
          </w:p>
          <w:p w14:paraId="2506EC85" w14:textId="52CC4074" w:rsidR="00C97CF1" w:rsidRPr="00244C1A" w:rsidRDefault="00D06D93" w:rsidP="0025005A">
            <w:pPr>
              <w:pStyle w:val="naisc"/>
              <w:spacing w:before="0" w:after="0"/>
              <w:jc w:val="both"/>
              <w:rPr>
                <w:u w:val="single"/>
              </w:rPr>
            </w:pPr>
            <w:r>
              <w:rPr>
                <w:rFonts w:cs="Calibri"/>
                <w:sz w:val="20"/>
                <w:szCs w:val="20"/>
              </w:rPr>
              <w:t>“</w:t>
            </w:r>
            <w:r w:rsidRPr="0025005A">
              <w:rPr>
                <w:sz w:val="20"/>
                <w:szCs w:val="20"/>
              </w:rPr>
              <w:t>1.</w:t>
            </w:r>
            <w:r w:rsidRPr="0025005A">
              <w:rPr>
                <w:sz w:val="20"/>
                <w:szCs w:val="20"/>
                <w:vertAlign w:val="superscript"/>
              </w:rPr>
              <w:t xml:space="preserve">2 </w:t>
            </w:r>
            <w:r w:rsidRPr="00144C1F">
              <w:rPr>
                <w:rFonts w:cs="Calibri"/>
                <w:sz w:val="20"/>
                <w:szCs w:val="20"/>
              </w:rPr>
              <w:t xml:space="preserve">Veikt Ceļu satiksmes drošības plāna 2017.-2020.gadam starpposma ietekmes izvērtējumu un identificēt  </w:t>
            </w:r>
            <w:r>
              <w:rPr>
                <w:rFonts w:cs="Calibri"/>
                <w:sz w:val="20"/>
                <w:szCs w:val="20"/>
              </w:rPr>
              <w:t xml:space="preserve">nepieciešamību un iespējamās </w:t>
            </w:r>
            <w:r w:rsidRPr="00144C1F">
              <w:rPr>
                <w:rFonts w:cs="Calibri"/>
                <w:sz w:val="20"/>
                <w:szCs w:val="20"/>
              </w:rPr>
              <w:t>politikas prioritātes nākamajam īstermiņa attīstības plānošanas dokumentam ceļu satiksmes drošības jomā laika periodā 2021.-2025.gadam</w:t>
            </w:r>
            <w:r>
              <w:rPr>
                <w:rFonts w:cs="Calibri"/>
                <w:sz w:val="20"/>
                <w:szCs w:val="20"/>
              </w:rPr>
              <w:t>.”</w:t>
            </w:r>
          </w:p>
        </w:tc>
      </w:tr>
      <w:tr w:rsidR="00C97CF1" w:rsidRPr="00126B96" w14:paraId="0D6F9AE5" w14:textId="77777777" w:rsidTr="00C97CF1">
        <w:tc>
          <w:tcPr>
            <w:tcW w:w="14876" w:type="dxa"/>
            <w:gridSpan w:val="7"/>
            <w:tcBorders>
              <w:top w:val="single" w:sz="6" w:space="0" w:color="000000"/>
              <w:left w:val="single" w:sz="6" w:space="0" w:color="000000"/>
              <w:bottom w:val="single" w:sz="6" w:space="0" w:color="000000"/>
              <w:right w:val="single" w:sz="4" w:space="0" w:color="auto"/>
            </w:tcBorders>
          </w:tcPr>
          <w:p w14:paraId="18FC5802" w14:textId="77777777" w:rsidR="00C97CF1" w:rsidRDefault="00C97CF1" w:rsidP="00C97CF1">
            <w:pPr>
              <w:jc w:val="center"/>
              <w:rPr>
                <w:b/>
              </w:rPr>
            </w:pPr>
          </w:p>
          <w:p w14:paraId="7CB23615" w14:textId="01C03311" w:rsidR="00C97CF1" w:rsidRDefault="00C97CF1" w:rsidP="00C97CF1">
            <w:pPr>
              <w:jc w:val="center"/>
              <w:rPr>
                <w:b/>
                <w:i/>
              </w:rPr>
            </w:pPr>
            <w:r w:rsidRPr="00E300D6">
              <w:rPr>
                <w:b/>
              </w:rPr>
              <w:t xml:space="preserve">Pārresoru koordinācijas centra </w:t>
            </w:r>
            <w:r>
              <w:rPr>
                <w:b/>
              </w:rPr>
              <w:t>08</w:t>
            </w:r>
            <w:r w:rsidRPr="00E300D6">
              <w:rPr>
                <w:b/>
              </w:rPr>
              <w:t>.</w:t>
            </w:r>
            <w:r>
              <w:rPr>
                <w:b/>
              </w:rPr>
              <w:t>08</w:t>
            </w:r>
            <w:r w:rsidRPr="00E300D6">
              <w:rPr>
                <w:b/>
              </w:rPr>
              <w:t>.2019. atzinums Nr.1.2-7/</w:t>
            </w:r>
            <w:r>
              <w:rPr>
                <w:b/>
              </w:rPr>
              <w:t xml:space="preserve">102 (VSS-610) </w:t>
            </w:r>
            <w:r w:rsidRPr="00B5734C">
              <w:rPr>
                <w:b/>
                <w:i/>
              </w:rPr>
              <w:t xml:space="preserve">Par </w:t>
            </w:r>
            <w:r>
              <w:rPr>
                <w:b/>
                <w:i/>
              </w:rPr>
              <w:t>informatīvā ziņojuma</w:t>
            </w:r>
            <w:r w:rsidRPr="00B5734C">
              <w:rPr>
                <w:b/>
                <w:i/>
              </w:rPr>
              <w:t xml:space="preserve"> projektu</w:t>
            </w:r>
          </w:p>
          <w:p w14:paraId="2517644D" w14:textId="77777777" w:rsidR="00C97CF1" w:rsidRDefault="00C97CF1" w:rsidP="00C97CF1">
            <w:pPr>
              <w:pStyle w:val="naisc"/>
              <w:spacing w:before="0" w:after="0"/>
              <w:ind w:firstLine="284"/>
              <w:jc w:val="left"/>
              <w:rPr>
                <w:u w:val="single"/>
              </w:rPr>
            </w:pPr>
          </w:p>
        </w:tc>
      </w:tr>
      <w:tr w:rsidR="00C97CF1" w:rsidRPr="00126B96" w14:paraId="60892948" w14:textId="77777777" w:rsidTr="003B1837">
        <w:tc>
          <w:tcPr>
            <w:tcW w:w="701" w:type="dxa"/>
            <w:tcBorders>
              <w:top w:val="single" w:sz="6" w:space="0" w:color="000000"/>
              <w:left w:val="single" w:sz="6" w:space="0" w:color="000000"/>
              <w:bottom w:val="single" w:sz="6" w:space="0" w:color="000000"/>
            </w:tcBorders>
          </w:tcPr>
          <w:p w14:paraId="6ADB3FEF" w14:textId="7C91CC88" w:rsidR="00C97CF1" w:rsidRDefault="002179BD" w:rsidP="00725671">
            <w:pPr>
              <w:pStyle w:val="naisc"/>
              <w:spacing w:before="0" w:after="0"/>
              <w:jc w:val="left"/>
            </w:pPr>
            <w:r>
              <w:t>16.</w:t>
            </w:r>
          </w:p>
        </w:tc>
        <w:tc>
          <w:tcPr>
            <w:tcW w:w="3686" w:type="dxa"/>
            <w:gridSpan w:val="2"/>
            <w:tcBorders>
              <w:top w:val="single" w:sz="6" w:space="0" w:color="000000"/>
              <w:left w:val="single" w:sz="6" w:space="0" w:color="000000"/>
              <w:bottom w:val="single" w:sz="6" w:space="0" w:color="000000"/>
            </w:tcBorders>
          </w:tcPr>
          <w:p w14:paraId="7C65E14C" w14:textId="290FA091" w:rsidR="006010FD" w:rsidRPr="00DF03A9" w:rsidRDefault="0025005A" w:rsidP="002179BD">
            <w:pPr>
              <w:pStyle w:val="naisc"/>
              <w:spacing w:before="0" w:after="0"/>
              <w:jc w:val="left"/>
              <w:rPr>
                <w:u w:val="single"/>
              </w:rPr>
            </w:pPr>
            <w:r w:rsidRPr="00DF03A9">
              <w:rPr>
                <w:u w:val="single"/>
              </w:rPr>
              <w:t>Informatīvā ziņojuma</w:t>
            </w:r>
            <w:r w:rsidR="00311EBA">
              <w:rPr>
                <w:u w:val="single"/>
              </w:rPr>
              <w:t xml:space="preserve"> 7.tabulas </w:t>
            </w:r>
            <w:r w:rsidRPr="00DF03A9">
              <w:rPr>
                <w:u w:val="single"/>
              </w:rPr>
              <w:t>5.</w:t>
            </w:r>
            <w:r w:rsidR="00311EBA">
              <w:rPr>
                <w:u w:val="single"/>
              </w:rPr>
              <w:t>p</w:t>
            </w:r>
            <w:r w:rsidR="00243D17">
              <w:rPr>
                <w:u w:val="single"/>
              </w:rPr>
              <w:t>unkta p</w:t>
            </w:r>
            <w:r w:rsidR="00311EBA">
              <w:rPr>
                <w:u w:val="single"/>
              </w:rPr>
              <w:t>asākums</w:t>
            </w:r>
            <w:r w:rsidRPr="00DF03A9">
              <w:rPr>
                <w:u w:val="single"/>
              </w:rPr>
              <w:t>:</w:t>
            </w:r>
          </w:p>
          <w:p w14:paraId="4C49B33D" w14:textId="77777777" w:rsidR="0025005A" w:rsidRDefault="0025005A" w:rsidP="006010FD">
            <w:pPr>
              <w:pStyle w:val="naisc"/>
              <w:spacing w:before="0" w:after="0"/>
              <w:ind w:firstLine="284"/>
              <w:jc w:val="both"/>
              <w:rPr>
                <w:rFonts w:asciiTheme="minorHAnsi" w:hAnsiTheme="minorHAnsi" w:cstheme="minorHAnsi"/>
                <w:sz w:val="20"/>
                <w:szCs w:val="20"/>
                <w:highlight w:val="yellow"/>
              </w:rPr>
            </w:pPr>
          </w:p>
          <w:p w14:paraId="7830B539" w14:textId="4378778B" w:rsidR="00C97CF1" w:rsidRPr="00476E25" w:rsidRDefault="0025005A" w:rsidP="0025005A">
            <w:pPr>
              <w:pStyle w:val="naisc"/>
              <w:spacing w:before="0" w:after="0"/>
              <w:jc w:val="both"/>
              <w:rPr>
                <w:sz w:val="20"/>
                <w:szCs w:val="20"/>
                <w:u w:val="single"/>
              </w:rPr>
            </w:pPr>
            <w:r w:rsidRPr="00476E25">
              <w:rPr>
                <w:sz w:val="20"/>
                <w:szCs w:val="20"/>
              </w:rPr>
              <w:t>“</w:t>
            </w:r>
            <w:r w:rsidR="00311EBA" w:rsidRPr="00476E25">
              <w:rPr>
                <w:sz w:val="20"/>
                <w:szCs w:val="20"/>
              </w:rPr>
              <w:t>5.</w:t>
            </w:r>
            <w:r w:rsidR="00C5119A" w:rsidRPr="00476E25">
              <w:rPr>
                <w:sz w:val="20"/>
                <w:szCs w:val="20"/>
                <w:vertAlign w:val="superscript"/>
              </w:rPr>
              <w:t xml:space="preserve"> </w:t>
            </w:r>
            <w:r w:rsidR="00476E25" w:rsidRPr="00476E25">
              <w:rPr>
                <w:sz w:val="20"/>
                <w:szCs w:val="20"/>
              </w:rPr>
              <w:t xml:space="preserve">Veikt Ceļu satiksmes drošības plāna 2017.-2020.gadam ietekmes izvērtējumu un identificēt  rīcības politikas prioritātes </w:t>
            </w:r>
            <w:r w:rsidR="00476E25" w:rsidRPr="00476E25">
              <w:rPr>
                <w:sz w:val="20"/>
                <w:szCs w:val="20"/>
              </w:rPr>
              <w:lastRenderedPageBreak/>
              <w:t>nākamajam īstermiņa politikas plānošanas dokumentam ceļu satiksmes drošības jomā laika periodā 2021.-2024.gadam (uzstādot mērķa rādītājus laika posmam 2020.-2030.gads).</w:t>
            </w:r>
            <w:r w:rsidR="00476E25">
              <w:rPr>
                <w:sz w:val="20"/>
                <w:szCs w:val="20"/>
              </w:rPr>
              <w:t>”</w:t>
            </w:r>
          </w:p>
        </w:tc>
        <w:tc>
          <w:tcPr>
            <w:tcW w:w="3969" w:type="dxa"/>
            <w:gridSpan w:val="2"/>
            <w:tcBorders>
              <w:top w:val="single" w:sz="6" w:space="0" w:color="000000"/>
              <w:left w:val="single" w:sz="6" w:space="0" w:color="000000"/>
              <w:bottom w:val="single" w:sz="6" w:space="0" w:color="000000"/>
            </w:tcBorders>
          </w:tcPr>
          <w:p w14:paraId="4E7CC665" w14:textId="45D79FAF" w:rsidR="00C97CF1" w:rsidRDefault="00C97CF1" w:rsidP="0025005A">
            <w:pPr>
              <w:jc w:val="both"/>
              <w:rPr>
                <w:szCs w:val="24"/>
              </w:rPr>
            </w:pPr>
            <w:r>
              <w:rPr>
                <w:szCs w:val="24"/>
              </w:rPr>
              <w:lastRenderedPageBreak/>
              <w:t xml:space="preserve">Lūdzam </w:t>
            </w:r>
            <w:r w:rsidRPr="00801615">
              <w:rPr>
                <w:szCs w:val="24"/>
              </w:rPr>
              <w:t xml:space="preserve">Informatīvā ziņojuma piecdesmitajā lappusē 5.punktā minēto pasākumu izteikt šādā redakcijā </w:t>
            </w:r>
            <w:r>
              <w:rPr>
                <w:szCs w:val="24"/>
              </w:rPr>
              <w:t xml:space="preserve">- </w:t>
            </w:r>
            <w:r w:rsidRPr="00801615">
              <w:rPr>
                <w:szCs w:val="24"/>
              </w:rPr>
              <w:t xml:space="preserve">“Veikt Ceļu satiksmes drošības plāna 2017.-2020.gadam starpposma </w:t>
            </w:r>
            <w:r w:rsidRPr="00801615">
              <w:rPr>
                <w:szCs w:val="24"/>
              </w:rPr>
              <w:lastRenderedPageBreak/>
              <w:t>ietekmes izvērtējumu un identificēt  nepieciešamību un iespējamās politikas prioritātes nākamajam īstermiņa attīstības plānošanas dokumentam ceļu satiksmes drošības jomā laika periodā 2021.-202</w:t>
            </w:r>
            <w:r>
              <w:rPr>
                <w:szCs w:val="24"/>
              </w:rPr>
              <w:t>5</w:t>
            </w:r>
            <w:r w:rsidRPr="00801615">
              <w:rPr>
                <w:szCs w:val="24"/>
              </w:rPr>
              <w:t>.gadam”, lai minētais formulējums atbilstu Ministru kabineta 2014.gada 2.decembra noteikumu Nr.737 “Attīstības plānošanas dokumentu izstrādes un ietekmes izvērtēšanas noteikumi” (turpmāk – noteikumi) 4</w:t>
            </w:r>
            <w:r w:rsidRPr="00801615">
              <w:rPr>
                <w:rFonts w:eastAsia="Times New Roman"/>
                <w:szCs w:val="24"/>
              </w:rPr>
              <w:t>0.punktam</w:t>
            </w:r>
            <w:r>
              <w:rPr>
                <w:szCs w:val="24"/>
              </w:rPr>
              <w:t>.</w:t>
            </w:r>
          </w:p>
          <w:p w14:paraId="7FA54038" w14:textId="77777777" w:rsidR="00C97CF1" w:rsidRDefault="00C97CF1" w:rsidP="00C97CF1">
            <w:pPr>
              <w:jc w:val="both"/>
              <w:rPr>
                <w:rFonts w:eastAsia="Times New Roman"/>
                <w:szCs w:val="24"/>
              </w:rPr>
            </w:pPr>
          </w:p>
        </w:tc>
        <w:tc>
          <w:tcPr>
            <w:tcW w:w="3260" w:type="dxa"/>
            <w:tcBorders>
              <w:top w:val="single" w:sz="6" w:space="0" w:color="000000"/>
              <w:left w:val="single" w:sz="6" w:space="0" w:color="000000"/>
              <w:bottom w:val="single" w:sz="6" w:space="0" w:color="000000"/>
            </w:tcBorders>
          </w:tcPr>
          <w:p w14:paraId="7876C815" w14:textId="77777777" w:rsidR="006010FD" w:rsidRPr="00126B96" w:rsidRDefault="006010FD" w:rsidP="006010FD">
            <w:pPr>
              <w:pStyle w:val="naisc"/>
              <w:spacing w:before="0" w:after="0"/>
              <w:ind w:firstLine="284"/>
              <w:jc w:val="both"/>
              <w:rPr>
                <w:b/>
              </w:rPr>
            </w:pPr>
            <w:r>
              <w:rPr>
                <w:b/>
              </w:rPr>
              <w:lastRenderedPageBreak/>
              <w:t xml:space="preserve">Iebildums </w:t>
            </w:r>
            <w:r w:rsidRPr="00126B96">
              <w:rPr>
                <w:b/>
              </w:rPr>
              <w:t>ņemts vērā.</w:t>
            </w:r>
          </w:p>
          <w:p w14:paraId="019D8F92" w14:textId="2E18DB26" w:rsidR="00C97CF1" w:rsidRDefault="006010FD" w:rsidP="0025005A">
            <w:pPr>
              <w:pStyle w:val="naisc"/>
              <w:spacing w:before="0" w:after="0"/>
              <w:jc w:val="both"/>
              <w:rPr>
                <w:b/>
              </w:rPr>
            </w:pPr>
            <w:r>
              <w:t xml:space="preserve">Satiksmes ministrija ir precizējusi informatīvā ziņojuma </w:t>
            </w:r>
            <w:r w:rsidR="00311EBA">
              <w:t>7</w:t>
            </w:r>
            <w:r>
              <w:t>.</w:t>
            </w:r>
            <w:r w:rsidR="00311EBA">
              <w:t xml:space="preserve">tabulas </w:t>
            </w:r>
            <w:r w:rsidR="000341ED">
              <w:t xml:space="preserve"> </w:t>
            </w:r>
            <w:r w:rsidR="00311EBA">
              <w:t>5.</w:t>
            </w:r>
            <w:r>
              <w:t>pasākumu.</w:t>
            </w:r>
          </w:p>
        </w:tc>
        <w:tc>
          <w:tcPr>
            <w:tcW w:w="3260" w:type="dxa"/>
            <w:tcBorders>
              <w:top w:val="single" w:sz="6" w:space="0" w:color="000000"/>
              <w:left w:val="single" w:sz="6" w:space="0" w:color="000000"/>
              <w:bottom w:val="single" w:sz="6" w:space="0" w:color="000000"/>
              <w:right w:val="single" w:sz="4" w:space="0" w:color="auto"/>
            </w:tcBorders>
          </w:tcPr>
          <w:p w14:paraId="1625F642" w14:textId="64B41181" w:rsidR="0025005A" w:rsidRPr="00DF03A9" w:rsidRDefault="0025005A" w:rsidP="002179BD">
            <w:pPr>
              <w:pStyle w:val="naisc"/>
              <w:spacing w:before="0" w:after="0"/>
              <w:jc w:val="left"/>
              <w:rPr>
                <w:u w:val="single"/>
              </w:rPr>
            </w:pPr>
            <w:r w:rsidRPr="00DF03A9">
              <w:rPr>
                <w:u w:val="single"/>
              </w:rPr>
              <w:t xml:space="preserve">Informatīvā ziņojuma </w:t>
            </w:r>
            <w:r w:rsidR="00311EBA">
              <w:rPr>
                <w:u w:val="single"/>
              </w:rPr>
              <w:t xml:space="preserve">7.tabulas </w:t>
            </w:r>
            <w:r w:rsidRPr="00DF03A9">
              <w:rPr>
                <w:u w:val="single"/>
              </w:rPr>
              <w:t>5.</w:t>
            </w:r>
            <w:r w:rsidR="00243D17">
              <w:rPr>
                <w:u w:val="single"/>
              </w:rPr>
              <w:t xml:space="preserve">punkta </w:t>
            </w:r>
            <w:r w:rsidR="00311EBA">
              <w:rPr>
                <w:u w:val="single"/>
              </w:rPr>
              <w:t>pasākums</w:t>
            </w:r>
            <w:r w:rsidRPr="00DF03A9">
              <w:rPr>
                <w:u w:val="single"/>
              </w:rPr>
              <w:t>:</w:t>
            </w:r>
          </w:p>
          <w:p w14:paraId="4964EEA2" w14:textId="77777777" w:rsidR="0025005A" w:rsidRDefault="0025005A" w:rsidP="0025005A">
            <w:pPr>
              <w:pStyle w:val="naisc"/>
              <w:spacing w:before="0" w:after="0"/>
              <w:ind w:firstLine="284"/>
              <w:jc w:val="both"/>
              <w:rPr>
                <w:rFonts w:asciiTheme="minorHAnsi" w:hAnsiTheme="minorHAnsi" w:cstheme="minorHAnsi"/>
                <w:sz w:val="20"/>
                <w:szCs w:val="20"/>
                <w:highlight w:val="yellow"/>
              </w:rPr>
            </w:pPr>
          </w:p>
          <w:p w14:paraId="149984D2" w14:textId="0B0F52E3" w:rsidR="00C97CF1" w:rsidRDefault="0025005A" w:rsidP="0025005A">
            <w:pPr>
              <w:pStyle w:val="naisc"/>
              <w:spacing w:before="0" w:after="0"/>
              <w:jc w:val="both"/>
              <w:rPr>
                <w:u w:val="single"/>
              </w:rPr>
            </w:pPr>
            <w:r>
              <w:rPr>
                <w:sz w:val="20"/>
                <w:szCs w:val="20"/>
              </w:rPr>
              <w:t>“</w:t>
            </w:r>
            <w:r w:rsidR="00311EBA">
              <w:rPr>
                <w:sz w:val="20"/>
                <w:szCs w:val="20"/>
              </w:rPr>
              <w:t xml:space="preserve">5. </w:t>
            </w:r>
            <w:r w:rsidR="00476E25" w:rsidRPr="00476E25">
              <w:rPr>
                <w:sz w:val="20"/>
                <w:szCs w:val="20"/>
              </w:rPr>
              <w:t xml:space="preserve">Veikt Ceļu satiksmes drošības plāna 2017.-2020.gadam starpposma ietekmes izvērtējumu un identificēt  </w:t>
            </w:r>
            <w:r w:rsidR="00476E25" w:rsidRPr="00476E25">
              <w:rPr>
                <w:sz w:val="20"/>
                <w:szCs w:val="20"/>
              </w:rPr>
              <w:lastRenderedPageBreak/>
              <w:t>nepieciešamību un iespējamās politikas prioritātes nākamajam īstermiņa attīstības plānošanas dokumentam ceļu satiksmes drošības jomā laika periodā 2021.-2025.gadam</w:t>
            </w:r>
            <w:r w:rsidR="00476E25">
              <w:rPr>
                <w:sz w:val="20"/>
                <w:szCs w:val="20"/>
              </w:rPr>
              <w:t>.”</w:t>
            </w:r>
          </w:p>
        </w:tc>
      </w:tr>
    </w:tbl>
    <w:p w14:paraId="69DC736A" w14:textId="77777777" w:rsidR="00334102" w:rsidRDefault="00334102" w:rsidP="00F5369C">
      <w:pPr>
        <w:rPr>
          <w:color w:val="auto"/>
          <w:szCs w:val="24"/>
        </w:rPr>
      </w:pPr>
    </w:p>
    <w:p w14:paraId="6B8F18FE" w14:textId="77777777" w:rsidR="00E36FA9" w:rsidRDefault="00E36FA9" w:rsidP="00F5369C">
      <w:pPr>
        <w:rPr>
          <w:color w:val="auto"/>
          <w:szCs w:val="24"/>
        </w:rPr>
      </w:pPr>
    </w:p>
    <w:p w14:paraId="6ABB65DE" w14:textId="2EF00F2E" w:rsidR="006C271E" w:rsidRPr="00FD43B1" w:rsidRDefault="006C271E" w:rsidP="006C271E">
      <w:pPr>
        <w:jc w:val="both"/>
      </w:pPr>
      <w:r w:rsidRPr="00FD43B1">
        <w:t xml:space="preserve">Atbildīgā amatpersona </w:t>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rsidRPr="00FD43B1">
        <w:tab/>
      </w:r>
      <w:r>
        <w:tab/>
        <w:t xml:space="preserve">         </w:t>
      </w:r>
      <w:r w:rsidRPr="00FD43B1">
        <w:t>T.</w:t>
      </w:r>
      <w:r w:rsidR="001D51F5">
        <w:t> </w:t>
      </w:r>
      <w:r w:rsidRPr="00FD43B1">
        <w:t>Vectirāns</w:t>
      </w:r>
    </w:p>
    <w:p w14:paraId="75BA651C" w14:textId="25F4E02A" w:rsidR="00CA3B40" w:rsidRDefault="00CA3B40" w:rsidP="00F5369C">
      <w:pPr>
        <w:rPr>
          <w:color w:val="auto"/>
          <w:sz w:val="20"/>
          <w:szCs w:val="20"/>
        </w:rPr>
      </w:pPr>
    </w:p>
    <w:p w14:paraId="5B8CED24" w14:textId="77777777" w:rsidR="00334102" w:rsidRDefault="00334102" w:rsidP="00F5369C">
      <w:pPr>
        <w:rPr>
          <w:color w:val="auto"/>
          <w:sz w:val="20"/>
          <w:szCs w:val="20"/>
        </w:rPr>
      </w:pPr>
    </w:p>
    <w:p w14:paraId="48727417" w14:textId="77777777" w:rsidR="00334102" w:rsidRDefault="00334102" w:rsidP="00F5369C">
      <w:pPr>
        <w:rPr>
          <w:color w:val="auto"/>
          <w:sz w:val="20"/>
          <w:szCs w:val="20"/>
        </w:rPr>
      </w:pPr>
    </w:p>
    <w:p w14:paraId="053973C6" w14:textId="21C6B14D" w:rsidR="00105B9B" w:rsidRPr="00105B9B" w:rsidRDefault="00334102" w:rsidP="00105B9B">
      <w:pPr>
        <w:tabs>
          <w:tab w:val="center" w:pos="4153"/>
          <w:tab w:val="right" w:pos="8306"/>
        </w:tabs>
        <w:spacing w:line="276" w:lineRule="auto"/>
        <w:jc w:val="both"/>
        <w:rPr>
          <w:rFonts w:eastAsia="Calibri"/>
          <w:color w:val="auto"/>
          <w:sz w:val="20"/>
          <w:szCs w:val="20"/>
        </w:rPr>
      </w:pPr>
      <w:r>
        <w:rPr>
          <w:rFonts w:eastAsia="Calibri"/>
          <w:color w:val="auto"/>
          <w:sz w:val="20"/>
          <w:szCs w:val="20"/>
        </w:rPr>
        <w:t>Kalniņš 67028118</w:t>
      </w:r>
    </w:p>
    <w:p w14:paraId="2DECBDA8" w14:textId="47591F5C" w:rsidR="00334102" w:rsidRPr="00CD47E3" w:rsidRDefault="00083B37" w:rsidP="00334102">
      <w:pPr>
        <w:rPr>
          <w:color w:val="auto"/>
          <w:sz w:val="20"/>
          <w:szCs w:val="20"/>
        </w:rPr>
      </w:pPr>
      <w:hyperlink r:id="rId12" w:history="1">
        <w:r w:rsidR="00334102" w:rsidRPr="007C71CB">
          <w:rPr>
            <w:rStyle w:val="Hyperlink"/>
            <w:rFonts w:eastAsia="Calibri"/>
            <w:color w:val="auto"/>
            <w:sz w:val="20"/>
            <w:szCs w:val="20"/>
            <w:u w:val="none"/>
          </w:rPr>
          <w:t>janis.kalnins@sam.gov.lv</w:t>
        </w:r>
      </w:hyperlink>
    </w:p>
    <w:p w14:paraId="195CC6FC" w14:textId="4114E01E" w:rsidR="003C0502" w:rsidRPr="00334102" w:rsidRDefault="003C0502" w:rsidP="00334102">
      <w:pPr>
        <w:tabs>
          <w:tab w:val="left" w:pos="1800"/>
        </w:tabs>
        <w:rPr>
          <w:sz w:val="20"/>
          <w:szCs w:val="20"/>
        </w:rPr>
      </w:pPr>
    </w:p>
    <w:sectPr w:rsidR="003C0502" w:rsidRPr="00334102" w:rsidSect="00E044A4">
      <w:headerReference w:type="default" r:id="rId13"/>
      <w:footerReference w:type="default" r:id="rId14"/>
      <w:footerReference w:type="first" r:id="rId15"/>
      <w:pgSz w:w="16838" w:h="11906" w:orient="landscape"/>
      <w:pgMar w:top="851" w:right="1245"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45B67" w14:textId="77777777" w:rsidR="005504FE" w:rsidRDefault="005504FE" w:rsidP="00C20D70">
      <w:r>
        <w:separator/>
      </w:r>
    </w:p>
  </w:endnote>
  <w:endnote w:type="continuationSeparator" w:id="0">
    <w:p w14:paraId="74DFC045" w14:textId="77777777" w:rsidR="005504FE" w:rsidRDefault="005504FE" w:rsidP="00C2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572E" w14:textId="23728A48" w:rsidR="00C97CF1" w:rsidRPr="004E2F09" w:rsidRDefault="00CF1D4B" w:rsidP="004E2F09">
    <w:pPr>
      <w:pStyle w:val="Footer"/>
    </w:pPr>
    <w:r>
      <w:rPr>
        <w:sz w:val="20"/>
        <w:szCs w:val="20"/>
      </w:rPr>
      <w:t>SMIzz_200819</w:t>
    </w:r>
    <w:r w:rsidRPr="00012970">
      <w:rPr>
        <w:sz w:val="20"/>
        <w:szCs w:val="20"/>
      </w:rPr>
      <w:t>_CSD</w:t>
    </w:r>
    <w:r>
      <w:rPr>
        <w:sz w:val="20"/>
        <w:szCs w:val="20"/>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8CAB" w14:textId="6EC1FF7A" w:rsidR="00C97CF1" w:rsidRPr="00012970" w:rsidRDefault="00C97CF1" w:rsidP="00012970">
    <w:pPr>
      <w:pStyle w:val="Footer"/>
    </w:pPr>
    <w:r>
      <w:rPr>
        <w:sz w:val="20"/>
        <w:szCs w:val="20"/>
      </w:rPr>
      <w:t>SMIzz_</w:t>
    </w:r>
    <w:r w:rsidR="00CF1D4B">
      <w:rPr>
        <w:sz w:val="20"/>
        <w:szCs w:val="20"/>
      </w:rPr>
      <w:t>200819</w:t>
    </w:r>
    <w:r w:rsidRPr="00012970">
      <w:rPr>
        <w:sz w:val="20"/>
        <w:szCs w:val="20"/>
      </w:rPr>
      <w:t>_CSD</w:t>
    </w:r>
    <w:r w:rsidR="00CF1D4B">
      <w:rPr>
        <w:sz w:val="20"/>
        <w:szCs w:val="20"/>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2675" w14:textId="77777777" w:rsidR="005504FE" w:rsidRDefault="005504FE" w:rsidP="00C20D70">
      <w:r>
        <w:separator/>
      </w:r>
    </w:p>
  </w:footnote>
  <w:footnote w:type="continuationSeparator" w:id="0">
    <w:p w14:paraId="4AAA25E3" w14:textId="77777777" w:rsidR="005504FE" w:rsidRDefault="005504FE" w:rsidP="00C2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876889"/>
      <w:docPartObj>
        <w:docPartGallery w:val="Page Numbers (Top of Page)"/>
        <w:docPartUnique/>
      </w:docPartObj>
    </w:sdtPr>
    <w:sdtEndPr>
      <w:rPr>
        <w:noProof/>
      </w:rPr>
    </w:sdtEndPr>
    <w:sdtContent>
      <w:p w14:paraId="00DB67C2" w14:textId="6133179C" w:rsidR="00C97CF1" w:rsidRDefault="00C97CF1">
        <w:pPr>
          <w:pStyle w:val="Header"/>
          <w:jc w:val="center"/>
        </w:pPr>
        <w:r>
          <w:fldChar w:fldCharType="begin"/>
        </w:r>
        <w:r>
          <w:instrText xml:space="preserve"> PAGE   \* MERGEFORMAT </w:instrText>
        </w:r>
        <w:r>
          <w:fldChar w:fldCharType="separate"/>
        </w:r>
        <w:r w:rsidR="00E45EB8">
          <w:rPr>
            <w:noProof/>
          </w:rPr>
          <w:t>24</w:t>
        </w:r>
        <w:r>
          <w:rPr>
            <w:noProof/>
          </w:rPr>
          <w:fldChar w:fldCharType="end"/>
        </w:r>
      </w:p>
    </w:sdtContent>
  </w:sdt>
  <w:p w14:paraId="7C282F00" w14:textId="77777777" w:rsidR="00C97CF1" w:rsidRPr="006852FB" w:rsidRDefault="00C9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565A"/>
    <w:multiLevelType w:val="multilevel"/>
    <w:tmpl w:val="E3C45B98"/>
    <w:lvl w:ilvl="0">
      <w:start w:val="1"/>
      <w:numFmt w:val="upperRoman"/>
      <w:lvlText w:val="%1."/>
      <w:lvlJc w:val="left"/>
      <w:pPr>
        <w:ind w:left="862" w:hanging="720"/>
      </w:pPr>
      <w:rPr>
        <w:rFonts w:hint="default"/>
      </w:rPr>
    </w:lvl>
    <w:lvl w:ilvl="1">
      <w:start w:val="7"/>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A78405B"/>
    <w:multiLevelType w:val="hybridMultilevel"/>
    <w:tmpl w:val="3FA63258"/>
    <w:lvl w:ilvl="0" w:tplc="963C26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6B29D0"/>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E31940"/>
    <w:multiLevelType w:val="hybridMultilevel"/>
    <w:tmpl w:val="44A02A0E"/>
    <w:lvl w:ilvl="0" w:tplc="545247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6527FEC"/>
    <w:multiLevelType w:val="hybridMultilevel"/>
    <w:tmpl w:val="BE764E2E"/>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5"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262F0AF2"/>
    <w:multiLevelType w:val="hybridMultilevel"/>
    <w:tmpl w:val="D5DAA3B6"/>
    <w:lvl w:ilvl="0" w:tplc="5060D770">
      <w:start w:val="1"/>
      <w:numFmt w:val="decimal"/>
      <w:lvlText w:val="%1."/>
      <w:lvlJc w:val="left"/>
      <w:pPr>
        <w:ind w:left="1069" w:hanging="360"/>
      </w:pPr>
      <w:rPr>
        <w:rFonts w:hint="default"/>
      </w:rPr>
    </w:lvl>
    <w:lvl w:ilvl="1" w:tplc="04260011">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84A5B69"/>
    <w:multiLevelType w:val="hybridMultilevel"/>
    <w:tmpl w:val="D58AB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C14272"/>
    <w:multiLevelType w:val="hybridMultilevel"/>
    <w:tmpl w:val="B72A745C"/>
    <w:lvl w:ilvl="0" w:tplc="9C00339E">
      <w:start w:val="1"/>
      <w:numFmt w:val="decimal"/>
      <w:lvlText w:val="%1)"/>
      <w:lvlJc w:val="left"/>
      <w:pPr>
        <w:ind w:left="720" w:hanging="360"/>
      </w:pPr>
    </w:lvl>
    <w:lvl w:ilvl="1" w:tplc="B664899E">
      <w:start w:val="1"/>
      <w:numFmt w:val="lowerLetter"/>
      <w:lvlText w:val="%2."/>
      <w:lvlJc w:val="left"/>
      <w:pPr>
        <w:ind w:left="1440" w:hanging="360"/>
      </w:pPr>
    </w:lvl>
    <w:lvl w:ilvl="2" w:tplc="F5D0BFB6" w:tentative="1">
      <w:start w:val="1"/>
      <w:numFmt w:val="lowerRoman"/>
      <w:lvlText w:val="%3."/>
      <w:lvlJc w:val="right"/>
      <w:pPr>
        <w:ind w:left="2160" w:hanging="180"/>
      </w:pPr>
    </w:lvl>
    <w:lvl w:ilvl="3" w:tplc="1E203206" w:tentative="1">
      <w:start w:val="1"/>
      <w:numFmt w:val="decimal"/>
      <w:lvlText w:val="%4."/>
      <w:lvlJc w:val="left"/>
      <w:pPr>
        <w:ind w:left="2880" w:hanging="360"/>
      </w:pPr>
    </w:lvl>
    <w:lvl w:ilvl="4" w:tplc="7E10C326" w:tentative="1">
      <w:start w:val="1"/>
      <w:numFmt w:val="lowerLetter"/>
      <w:lvlText w:val="%5."/>
      <w:lvlJc w:val="left"/>
      <w:pPr>
        <w:ind w:left="3600" w:hanging="360"/>
      </w:pPr>
    </w:lvl>
    <w:lvl w:ilvl="5" w:tplc="10E80FD8" w:tentative="1">
      <w:start w:val="1"/>
      <w:numFmt w:val="lowerRoman"/>
      <w:lvlText w:val="%6."/>
      <w:lvlJc w:val="right"/>
      <w:pPr>
        <w:ind w:left="4320" w:hanging="180"/>
      </w:pPr>
    </w:lvl>
    <w:lvl w:ilvl="6" w:tplc="548CE944" w:tentative="1">
      <w:start w:val="1"/>
      <w:numFmt w:val="decimal"/>
      <w:lvlText w:val="%7."/>
      <w:lvlJc w:val="left"/>
      <w:pPr>
        <w:ind w:left="5040" w:hanging="360"/>
      </w:pPr>
    </w:lvl>
    <w:lvl w:ilvl="7" w:tplc="5504EE18" w:tentative="1">
      <w:start w:val="1"/>
      <w:numFmt w:val="lowerLetter"/>
      <w:lvlText w:val="%8."/>
      <w:lvlJc w:val="left"/>
      <w:pPr>
        <w:ind w:left="5760" w:hanging="360"/>
      </w:pPr>
    </w:lvl>
    <w:lvl w:ilvl="8" w:tplc="B2423610" w:tentative="1">
      <w:start w:val="1"/>
      <w:numFmt w:val="lowerRoman"/>
      <w:lvlText w:val="%9."/>
      <w:lvlJc w:val="right"/>
      <w:pPr>
        <w:ind w:left="6480" w:hanging="180"/>
      </w:pPr>
    </w:lvl>
  </w:abstractNum>
  <w:abstractNum w:abstractNumId="9" w15:restartNumberingAfterBreak="0">
    <w:nsid w:val="33F02ABD"/>
    <w:multiLevelType w:val="hybridMultilevel"/>
    <w:tmpl w:val="8DFECC04"/>
    <w:lvl w:ilvl="0" w:tplc="B9242F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577581D"/>
    <w:multiLevelType w:val="multilevel"/>
    <w:tmpl w:val="3F2849D2"/>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37933790"/>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FFB313A"/>
    <w:multiLevelType w:val="hybridMultilevel"/>
    <w:tmpl w:val="43BE5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3D1E8A"/>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13A1792"/>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1">
    <w:nsid w:val="42FB4FA3"/>
    <w:multiLevelType w:val="hybridMultilevel"/>
    <w:tmpl w:val="C540D35A"/>
    <w:lvl w:ilvl="0" w:tplc="0DA6EE12">
      <w:start w:val="1"/>
      <w:numFmt w:val="decimal"/>
      <w:lvlText w:val="%1."/>
      <w:lvlJc w:val="left"/>
      <w:pPr>
        <w:ind w:left="1080" w:hanging="360"/>
      </w:pPr>
    </w:lvl>
    <w:lvl w:ilvl="1" w:tplc="EF8E9948">
      <w:start w:val="1"/>
      <w:numFmt w:val="lowerLetter"/>
      <w:lvlText w:val="%2."/>
      <w:lvlJc w:val="left"/>
      <w:pPr>
        <w:ind w:left="1800" w:hanging="360"/>
      </w:pPr>
    </w:lvl>
    <w:lvl w:ilvl="2" w:tplc="CE40FA3A" w:tentative="1">
      <w:start w:val="1"/>
      <w:numFmt w:val="lowerRoman"/>
      <w:lvlText w:val="%3."/>
      <w:lvlJc w:val="right"/>
      <w:pPr>
        <w:ind w:left="2520" w:hanging="180"/>
      </w:pPr>
    </w:lvl>
    <w:lvl w:ilvl="3" w:tplc="412A3A08" w:tentative="1">
      <w:start w:val="1"/>
      <w:numFmt w:val="decimal"/>
      <w:lvlText w:val="%4."/>
      <w:lvlJc w:val="left"/>
      <w:pPr>
        <w:ind w:left="3240" w:hanging="360"/>
      </w:pPr>
    </w:lvl>
    <w:lvl w:ilvl="4" w:tplc="A84637BE" w:tentative="1">
      <w:start w:val="1"/>
      <w:numFmt w:val="lowerLetter"/>
      <w:lvlText w:val="%5."/>
      <w:lvlJc w:val="left"/>
      <w:pPr>
        <w:ind w:left="3960" w:hanging="360"/>
      </w:pPr>
    </w:lvl>
    <w:lvl w:ilvl="5" w:tplc="D2884968" w:tentative="1">
      <w:start w:val="1"/>
      <w:numFmt w:val="lowerRoman"/>
      <w:lvlText w:val="%6."/>
      <w:lvlJc w:val="right"/>
      <w:pPr>
        <w:ind w:left="4680" w:hanging="180"/>
      </w:pPr>
    </w:lvl>
    <w:lvl w:ilvl="6" w:tplc="681C8304" w:tentative="1">
      <w:start w:val="1"/>
      <w:numFmt w:val="decimal"/>
      <w:lvlText w:val="%7."/>
      <w:lvlJc w:val="left"/>
      <w:pPr>
        <w:ind w:left="5400" w:hanging="360"/>
      </w:pPr>
    </w:lvl>
    <w:lvl w:ilvl="7" w:tplc="B2AE70A8" w:tentative="1">
      <w:start w:val="1"/>
      <w:numFmt w:val="lowerLetter"/>
      <w:lvlText w:val="%8."/>
      <w:lvlJc w:val="left"/>
      <w:pPr>
        <w:ind w:left="6120" w:hanging="360"/>
      </w:pPr>
    </w:lvl>
    <w:lvl w:ilvl="8" w:tplc="6534D080" w:tentative="1">
      <w:start w:val="1"/>
      <w:numFmt w:val="lowerRoman"/>
      <w:lvlText w:val="%9."/>
      <w:lvlJc w:val="right"/>
      <w:pPr>
        <w:ind w:left="6840" w:hanging="180"/>
      </w:pPr>
    </w:lvl>
  </w:abstractNum>
  <w:abstractNum w:abstractNumId="16" w15:restartNumberingAfterBreak="0">
    <w:nsid w:val="45255E65"/>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7319FB"/>
    <w:multiLevelType w:val="hybridMultilevel"/>
    <w:tmpl w:val="0F5EF690"/>
    <w:lvl w:ilvl="0" w:tplc="70F6FD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A8208B1"/>
    <w:multiLevelType w:val="hybridMultilevel"/>
    <w:tmpl w:val="61D21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F51091"/>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CCA6CCE"/>
    <w:multiLevelType w:val="hybridMultilevel"/>
    <w:tmpl w:val="C04A66B2"/>
    <w:lvl w:ilvl="0" w:tplc="34D0928C">
      <w:start w:val="1"/>
      <w:numFmt w:val="decimal"/>
      <w:lvlText w:val="%1)"/>
      <w:lvlJc w:val="left"/>
      <w:pPr>
        <w:ind w:left="720" w:hanging="720"/>
      </w:pPr>
      <w:rPr>
        <w:rFonts w:ascii="Times New Roman" w:hAnsi="Times New Roman" w:cs="Times New Roman" w:hint="default"/>
      </w:rPr>
    </w:lvl>
    <w:lvl w:ilvl="1" w:tplc="8878D142" w:tentative="1">
      <w:start w:val="1"/>
      <w:numFmt w:val="lowerLetter"/>
      <w:lvlText w:val="%2."/>
      <w:lvlJc w:val="left"/>
      <w:pPr>
        <w:ind w:left="1080" w:hanging="360"/>
      </w:pPr>
    </w:lvl>
    <w:lvl w:ilvl="2" w:tplc="67FE137E" w:tentative="1">
      <w:start w:val="1"/>
      <w:numFmt w:val="lowerRoman"/>
      <w:lvlText w:val="%3."/>
      <w:lvlJc w:val="right"/>
      <w:pPr>
        <w:ind w:left="1800" w:hanging="180"/>
      </w:pPr>
    </w:lvl>
    <w:lvl w:ilvl="3" w:tplc="33547C7A" w:tentative="1">
      <w:start w:val="1"/>
      <w:numFmt w:val="decimal"/>
      <w:lvlText w:val="%4."/>
      <w:lvlJc w:val="left"/>
      <w:pPr>
        <w:ind w:left="2520" w:hanging="360"/>
      </w:pPr>
    </w:lvl>
    <w:lvl w:ilvl="4" w:tplc="F2D47974" w:tentative="1">
      <w:start w:val="1"/>
      <w:numFmt w:val="lowerLetter"/>
      <w:lvlText w:val="%5."/>
      <w:lvlJc w:val="left"/>
      <w:pPr>
        <w:ind w:left="3240" w:hanging="360"/>
      </w:pPr>
    </w:lvl>
    <w:lvl w:ilvl="5" w:tplc="CC7E87A4" w:tentative="1">
      <w:start w:val="1"/>
      <w:numFmt w:val="lowerRoman"/>
      <w:lvlText w:val="%6."/>
      <w:lvlJc w:val="right"/>
      <w:pPr>
        <w:ind w:left="3960" w:hanging="180"/>
      </w:pPr>
    </w:lvl>
    <w:lvl w:ilvl="6" w:tplc="00702F40" w:tentative="1">
      <w:start w:val="1"/>
      <w:numFmt w:val="decimal"/>
      <w:lvlText w:val="%7."/>
      <w:lvlJc w:val="left"/>
      <w:pPr>
        <w:ind w:left="4680" w:hanging="360"/>
      </w:pPr>
    </w:lvl>
    <w:lvl w:ilvl="7" w:tplc="04A209B6" w:tentative="1">
      <w:start w:val="1"/>
      <w:numFmt w:val="lowerLetter"/>
      <w:lvlText w:val="%8."/>
      <w:lvlJc w:val="left"/>
      <w:pPr>
        <w:ind w:left="5400" w:hanging="360"/>
      </w:pPr>
    </w:lvl>
    <w:lvl w:ilvl="8" w:tplc="EE749A0A" w:tentative="1">
      <w:start w:val="1"/>
      <w:numFmt w:val="lowerRoman"/>
      <w:lvlText w:val="%9."/>
      <w:lvlJc w:val="right"/>
      <w:pPr>
        <w:ind w:left="6120" w:hanging="180"/>
      </w:pPr>
    </w:lvl>
  </w:abstractNum>
  <w:abstractNum w:abstractNumId="21" w15:restartNumberingAfterBreak="0">
    <w:nsid w:val="618615AD"/>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1E97B11"/>
    <w:multiLevelType w:val="hybridMultilevel"/>
    <w:tmpl w:val="46CC57E2"/>
    <w:lvl w:ilvl="0" w:tplc="E9EA51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7417324"/>
    <w:multiLevelType w:val="hybridMultilevel"/>
    <w:tmpl w:val="F95E50D0"/>
    <w:lvl w:ilvl="0" w:tplc="A8E0154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6E7972F2"/>
    <w:multiLevelType w:val="hybridMultilevel"/>
    <w:tmpl w:val="9F12E44E"/>
    <w:lvl w:ilvl="0" w:tplc="CFF468D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6F460C"/>
    <w:multiLevelType w:val="hybridMultilevel"/>
    <w:tmpl w:val="C9E00CDE"/>
    <w:lvl w:ilvl="0" w:tplc="576E70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FBB6C53"/>
    <w:multiLevelType w:val="hybridMultilevel"/>
    <w:tmpl w:val="AC8C2970"/>
    <w:lvl w:ilvl="0" w:tplc="CD84C24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6"/>
  </w:num>
  <w:num w:numId="6">
    <w:abstractNumId w:val="3"/>
  </w:num>
  <w:num w:numId="7">
    <w:abstractNumId w:val="8"/>
  </w:num>
  <w:num w:numId="8">
    <w:abstractNumId w:val="20"/>
  </w:num>
  <w:num w:numId="9">
    <w:abstractNumId w:val="16"/>
  </w:num>
  <w:num w:numId="10">
    <w:abstractNumId w:val="11"/>
  </w:num>
  <w:num w:numId="11">
    <w:abstractNumId w:val="19"/>
  </w:num>
  <w:num w:numId="12">
    <w:abstractNumId w:val="14"/>
  </w:num>
  <w:num w:numId="13">
    <w:abstractNumId w:val="13"/>
  </w:num>
  <w:num w:numId="14">
    <w:abstractNumId w:val="2"/>
  </w:num>
  <w:num w:numId="15">
    <w:abstractNumId w:val="21"/>
  </w:num>
  <w:num w:numId="16">
    <w:abstractNumId w:val="22"/>
  </w:num>
  <w:num w:numId="17">
    <w:abstractNumId w:val="12"/>
  </w:num>
  <w:num w:numId="18">
    <w:abstractNumId w:val="5"/>
  </w:num>
  <w:num w:numId="19">
    <w:abstractNumId w:val="17"/>
  </w:num>
  <w:num w:numId="20">
    <w:abstractNumId w:val="7"/>
  </w:num>
  <w:num w:numId="21">
    <w:abstractNumId w:val="24"/>
  </w:num>
  <w:num w:numId="22">
    <w:abstractNumId w:val="25"/>
  </w:num>
  <w:num w:numId="23">
    <w:abstractNumId w:val="18"/>
  </w:num>
  <w:num w:numId="24">
    <w:abstractNumId w:val="26"/>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70"/>
    <w:rsid w:val="00000483"/>
    <w:rsid w:val="000008C7"/>
    <w:rsid w:val="00001601"/>
    <w:rsid w:val="000027CB"/>
    <w:rsid w:val="000032F4"/>
    <w:rsid w:val="000034C7"/>
    <w:rsid w:val="00005044"/>
    <w:rsid w:val="00007253"/>
    <w:rsid w:val="000128B1"/>
    <w:rsid w:val="00012970"/>
    <w:rsid w:val="00012A7F"/>
    <w:rsid w:val="00013A22"/>
    <w:rsid w:val="00014BA0"/>
    <w:rsid w:val="00015659"/>
    <w:rsid w:val="00015925"/>
    <w:rsid w:val="00016409"/>
    <w:rsid w:val="000168E6"/>
    <w:rsid w:val="00016975"/>
    <w:rsid w:val="000235BE"/>
    <w:rsid w:val="00023BC8"/>
    <w:rsid w:val="00023D4A"/>
    <w:rsid w:val="000256E8"/>
    <w:rsid w:val="00027F20"/>
    <w:rsid w:val="00027FEB"/>
    <w:rsid w:val="00030657"/>
    <w:rsid w:val="00032330"/>
    <w:rsid w:val="00032A71"/>
    <w:rsid w:val="00033AFD"/>
    <w:rsid w:val="000341ED"/>
    <w:rsid w:val="000357A9"/>
    <w:rsid w:val="00035810"/>
    <w:rsid w:val="0003618C"/>
    <w:rsid w:val="00040CCC"/>
    <w:rsid w:val="000412C4"/>
    <w:rsid w:val="000412E8"/>
    <w:rsid w:val="00041BFC"/>
    <w:rsid w:val="00044344"/>
    <w:rsid w:val="00044686"/>
    <w:rsid w:val="000448AC"/>
    <w:rsid w:val="000468E4"/>
    <w:rsid w:val="00047872"/>
    <w:rsid w:val="00047B09"/>
    <w:rsid w:val="00047DDF"/>
    <w:rsid w:val="00050129"/>
    <w:rsid w:val="00050DFB"/>
    <w:rsid w:val="0005256D"/>
    <w:rsid w:val="0005322D"/>
    <w:rsid w:val="00053650"/>
    <w:rsid w:val="00056022"/>
    <w:rsid w:val="00057554"/>
    <w:rsid w:val="00060F01"/>
    <w:rsid w:val="00061B09"/>
    <w:rsid w:val="00062266"/>
    <w:rsid w:val="0006289C"/>
    <w:rsid w:val="00062F2A"/>
    <w:rsid w:val="00063C31"/>
    <w:rsid w:val="00064A94"/>
    <w:rsid w:val="000672A8"/>
    <w:rsid w:val="0007034E"/>
    <w:rsid w:val="000704C5"/>
    <w:rsid w:val="000706AE"/>
    <w:rsid w:val="00070FAD"/>
    <w:rsid w:val="00072B40"/>
    <w:rsid w:val="0007424F"/>
    <w:rsid w:val="00074723"/>
    <w:rsid w:val="0007582F"/>
    <w:rsid w:val="00076E7B"/>
    <w:rsid w:val="000770EC"/>
    <w:rsid w:val="000771C0"/>
    <w:rsid w:val="00077822"/>
    <w:rsid w:val="00082BF9"/>
    <w:rsid w:val="00082EE4"/>
    <w:rsid w:val="00083B37"/>
    <w:rsid w:val="000843E7"/>
    <w:rsid w:val="00084D0E"/>
    <w:rsid w:val="0008535F"/>
    <w:rsid w:val="000856A3"/>
    <w:rsid w:val="00086188"/>
    <w:rsid w:val="0008645B"/>
    <w:rsid w:val="000872CF"/>
    <w:rsid w:val="0008742A"/>
    <w:rsid w:val="00091ACB"/>
    <w:rsid w:val="000923E1"/>
    <w:rsid w:val="000928A9"/>
    <w:rsid w:val="00094124"/>
    <w:rsid w:val="000951E4"/>
    <w:rsid w:val="0009641E"/>
    <w:rsid w:val="000973C9"/>
    <w:rsid w:val="00097D8B"/>
    <w:rsid w:val="00097E13"/>
    <w:rsid w:val="000A20B4"/>
    <w:rsid w:val="000A21CC"/>
    <w:rsid w:val="000A25BB"/>
    <w:rsid w:val="000A33F2"/>
    <w:rsid w:val="000A4D76"/>
    <w:rsid w:val="000A5A4A"/>
    <w:rsid w:val="000A5EFA"/>
    <w:rsid w:val="000A60C6"/>
    <w:rsid w:val="000A69F2"/>
    <w:rsid w:val="000A6B88"/>
    <w:rsid w:val="000A6EB9"/>
    <w:rsid w:val="000A7BD7"/>
    <w:rsid w:val="000B100A"/>
    <w:rsid w:val="000B592D"/>
    <w:rsid w:val="000B6610"/>
    <w:rsid w:val="000B6E4D"/>
    <w:rsid w:val="000C065C"/>
    <w:rsid w:val="000C2C1C"/>
    <w:rsid w:val="000C3241"/>
    <w:rsid w:val="000C386A"/>
    <w:rsid w:val="000C3C35"/>
    <w:rsid w:val="000C4544"/>
    <w:rsid w:val="000C663F"/>
    <w:rsid w:val="000D22EF"/>
    <w:rsid w:val="000D2362"/>
    <w:rsid w:val="000D3DC3"/>
    <w:rsid w:val="000D4FFD"/>
    <w:rsid w:val="000D5C6F"/>
    <w:rsid w:val="000D64DF"/>
    <w:rsid w:val="000D65C6"/>
    <w:rsid w:val="000D6B36"/>
    <w:rsid w:val="000D6F7B"/>
    <w:rsid w:val="000D7CF0"/>
    <w:rsid w:val="000E18B6"/>
    <w:rsid w:val="000E1CCA"/>
    <w:rsid w:val="000E1E8C"/>
    <w:rsid w:val="000E2C4C"/>
    <w:rsid w:val="000E537B"/>
    <w:rsid w:val="000E581C"/>
    <w:rsid w:val="000E5C58"/>
    <w:rsid w:val="000E68A0"/>
    <w:rsid w:val="000E6EE0"/>
    <w:rsid w:val="000E721A"/>
    <w:rsid w:val="000E74CC"/>
    <w:rsid w:val="000F0503"/>
    <w:rsid w:val="000F0696"/>
    <w:rsid w:val="000F17D1"/>
    <w:rsid w:val="000F2079"/>
    <w:rsid w:val="000F366E"/>
    <w:rsid w:val="000F3703"/>
    <w:rsid w:val="000F3738"/>
    <w:rsid w:val="000F3D6C"/>
    <w:rsid w:val="000F418B"/>
    <w:rsid w:val="000F4DB5"/>
    <w:rsid w:val="000F53E8"/>
    <w:rsid w:val="000F558E"/>
    <w:rsid w:val="000F5954"/>
    <w:rsid w:val="000F5BB9"/>
    <w:rsid w:val="000F611C"/>
    <w:rsid w:val="000F7C65"/>
    <w:rsid w:val="001003A9"/>
    <w:rsid w:val="00100647"/>
    <w:rsid w:val="00101457"/>
    <w:rsid w:val="001014FC"/>
    <w:rsid w:val="00101726"/>
    <w:rsid w:val="001021B6"/>
    <w:rsid w:val="00102681"/>
    <w:rsid w:val="001052DF"/>
    <w:rsid w:val="00105B9B"/>
    <w:rsid w:val="00105F4D"/>
    <w:rsid w:val="0010684A"/>
    <w:rsid w:val="00106D10"/>
    <w:rsid w:val="0010713F"/>
    <w:rsid w:val="00107A73"/>
    <w:rsid w:val="0011175A"/>
    <w:rsid w:val="00112AEE"/>
    <w:rsid w:val="00112B7C"/>
    <w:rsid w:val="001135A0"/>
    <w:rsid w:val="001136E1"/>
    <w:rsid w:val="00113A2C"/>
    <w:rsid w:val="0011451F"/>
    <w:rsid w:val="001148EC"/>
    <w:rsid w:val="0011669D"/>
    <w:rsid w:val="00116CE1"/>
    <w:rsid w:val="00116E35"/>
    <w:rsid w:val="00117A30"/>
    <w:rsid w:val="001203F1"/>
    <w:rsid w:val="00121014"/>
    <w:rsid w:val="00121CD2"/>
    <w:rsid w:val="0012208D"/>
    <w:rsid w:val="001233D4"/>
    <w:rsid w:val="001265BB"/>
    <w:rsid w:val="00126B96"/>
    <w:rsid w:val="001279C4"/>
    <w:rsid w:val="0013085A"/>
    <w:rsid w:val="00131501"/>
    <w:rsid w:val="00133A30"/>
    <w:rsid w:val="00134E61"/>
    <w:rsid w:val="0013642F"/>
    <w:rsid w:val="001378CD"/>
    <w:rsid w:val="001469DF"/>
    <w:rsid w:val="00146EE3"/>
    <w:rsid w:val="00150937"/>
    <w:rsid w:val="001544F3"/>
    <w:rsid w:val="00154B27"/>
    <w:rsid w:val="00155A47"/>
    <w:rsid w:val="00156181"/>
    <w:rsid w:val="00156D5C"/>
    <w:rsid w:val="00157B61"/>
    <w:rsid w:val="001606C2"/>
    <w:rsid w:val="00160780"/>
    <w:rsid w:val="0016324D"/>
    <w:rsid w:val="00164430"/>
    <w:rsid w:val="00165933"/>
    <w:rsid w:val="00165A04"/>
    <w:rsid w:val="00165BFA"/>
    <w:rsid w:val="001661E3"/>
    <w:rsid w:val="0016761E"/>
    <w:rsid w:val="00167DBE"/>
    <w:rsid w:val="001705FF"/>
    <w:rsid w:val="0017606F"/>
    <w:rsid w:val="0017632A"/>
    <w:rsid w:val="00177550"/>
    <w:rsid w:val="00177A80"/>
    <w:rsid w:val="00177D1F"/>
    <w:rsid w:val="00177E0B"/>
    <w:rsid w:val="00180598"/>
    <w:rsid w:val="00181629"/>
    <w:rsid w:val="00181FD6"/>
    <w:rsid w:val="00182A7B"/>
    <w:rsid w:val="001833FC"/>
    <w:rsid w:val="00183680"/>
    <w:rsid w:val="00183F22"/>
    <w:rsid w:val="00184B48"/>
    <w:rsid w:val="0018512E"/>
    <w:rsid w:val="001856C3"/>
    <w:rsid w:val="0018612D"/>
    <w:rsid w:val="00186A2C"/>
    <w:rsid w:val="00192F12"/>
    <w:rsid w:val="0019310D"/>
    <w:rsid w:val="00194908"/>
    <w:rsid w:val="00194CB6"/>
    <w:rsid w:val="00195194"/>
    <w:rsid w:val="00195BDC"/>
    <w:rsid w:val="001961B6"/>
    <w:rsid w:val="00196C4C"/>
    <w:rsid w:val="001977E3"/>
    <w:rsid w:val="0019781C"/>
    <w:rsid w:val="001A1629"/>
    <w:rsid w:val="001A1E19"/>
    <w:rsid w:val="001A287C"/>
    <w:rsid w:val="001A3148"/>
    <w:rsid w:val="001A3539"/>
    <w:rsid w:val="001A358E"/>
    <w:rsid w:val="001A458D"/>
    <w:rsid w:val="001A47DE"/>
    <w:rsid w:val="001A6D1F"/>
    <w:rsid w:val="001B02A9"/>
    <w:rsid w:val="001B0660"/>
    <w:rsid w:val="001B0F79"/>
    <w:rsid w:val="001B0F93"/>
    <w:rsid w:val="001B1530"/>
    <w:rsid w:val="001B17E5"/>
    <w:rsid w:val="001B2E00"/>
    <w:rsid w:val="001B2F5A"/>
    <w:rsid w:val="001B310C"/>
    <w:rsid w:val="001B6E44"/>
    <w:rsid w:val="001B75E5"/>
    <w:rsid w:val="001C0B22"/>
    <w:rsid w:val="001C15F9"/>
    <w:rsid w:val="001C5002"/>
    <w:rsid w:val="001C53D8"/>
    <w:rsid w:val="001C59E4"/>
    <w:rsid w:val="001C624F"/>
    <w:rsid w:val="001D1C24"/>
    <w:rsid w:val="001D2201"/>
    <w:rsid w:val="001D3DD7"/>
    <w:rsid w:val="001D4455"/>
    <w:rsid w:val="001D51F5"/>
    <w:rsid w:val="001D5564"/>
    <w:rsid w:val="001D5AFD"/>
    <w:rsid w:val="001D5C10"/>
    <w:rsid w:val="001D6919"/>
    <w:rsid w:val="001D6A94"/>
    <w:rsid w:val="001D6BFE"/>
    <w:rsid w:val="001D7E14"/>
    <w:rsid w:val="001E1096"/>
    <w:rsid w:val="001E18A1"/>
    <w:rsid w:val="001E1C2D"/>
    <w:rsid w:val="001E1CFE"/>
    <w:rsid w:val="001E2FB6"/>
    <w:rsid w:val="001E3F31"/>
    <w:rsid w:val="001E58F2"/>
    <w:rsid w:val="001E5BAC"/>
    <w:rsid w:val="001E64EB"/>
    <w:rsid w:val="001E7D4E"/>
    <w:rsid w:val="001E7EE6"/>
    <w:rsid w:val="001F043E"/>
    <w:rsid w:val="001F057C"/>
    <w:rsid w:val="001F19C4"/>
    <w:rsid w:val="001F28BE"/>
    <w:rsid w:val="001F2DCE"/>
    <w:rsid w:val="001F3507"/>
    <w:rsid w:val="001F37A8"/>
    <w:rsid w:val="001F414B"/>
    <w:rsid w:val="001F623E"/>
    <w:rsid w:val="001F72B9"/>
    <w:rsid w:val="001F7775"/>
    <w:rsid w:val="002002AF"/>
    <w:rsid w:val="00200BF3"/>
    <w:rsid w:val="00200DF7"/>
    <w:rsid w:val="00201489"/>
    <w:rsid w:val="00202B48"/>
    <w:rsid w:val="00202D9B"/>
    <w:rsid w:val="00204B50"/>
    <w:rsid w:val="002054D0"/>
    <w:rsid w:val="0020581F"/>
    <w:rsid w:val="002058E6"/>
    <w:rsid w:val="002058FF"/>
    <w:rsid w:val="002068F6"/>
    <w:rsid w:val="0020693C"/>
    <w:rsid w:val="002076C1"/>
    <w:rsid w:val="002077DF"/>
    <w:rsid w:val="00210304"/>
    <w:rsid w:val="00210609"/>
    <w:rsid w:val="00210AFB"/>
    <w:rsid w:val="00211176"/>
    <w:rsid w:val="002114F4"/>
    <w:rsid w:val="00211CC9"/>
    <w:rsid w:val="00212384"/>
    <w:rsid w:val="002126A1"/>
    <w:rsid w:val="00213C92"/>
    <w:rsid w:val="0021472C"/>
    <w:rsid w:val="00215079"/>
    <w:rsid w:val="00216245"/>
    <w:rsid w:val="00216E43"/>
    <w:rsid w:val="0021779E"/>
    <w:rsid w:val="002179BD"/>
    <w:rsid w:val="002179E8"/>
    <w:rsid w:val="00220417"/>
    <w:rsid w:val="00221187"/>
    <w:rsid w:val="0022378F"/>
    <w:rsid w:val="00224EC7"/>
    <w:rsid w:val="00226C0C"/>
    <w:rsid w:val="00227623"/>
    <w:rsid w:val="00230982"/>
    <w:rsid w:val="00231025"/>
    <w:rsid w:val="0023286E"/>
    <w:rsid w:val="002334E2"/>
    <w:rsid w:val="002336D6"/>
    <w:rsid w:val="00234596"/>
    <w:rsid w:val="00234C75"/>
    <w:rsid w:val="00234E96"/>
    <w:rsid w:val="0023502C"/>
    <w:rsid w:val="0023635D"/>
    <w:rsid w:val="00236523"/>
    <w:rsid w:val="00236DF2"/>
    <w:rsid w:val="00237ADC"/>
    <w:rsid w:val="00240CB1"/>
    <w:rsid w:val="00243885"/>
    <w:rsid w:val="00243D17"/>
    <w:rsid w:val="00244530"/>
    <w:rsid w:val="00244C1A"/>
    <w:rsid w:val="00247ED7"/>
    <w:rsid w:val="0025005A"/>
    <w:rsid w:val="00250F2D"/>
    <w:rsid w:val="002518A4"/>
    <w:rsid w:val="00251CB6"/>
    <w:rsid w:val="00252055"/>
    <w:rsid w:val="00253322"/>
    <w:rsid w:val="0025377B"/>
    <w:rsid w:val="002555E3"/>
    <w:rsid w:val="002571DC"/>
    <w:rsid w:val="00260678"/>
    <w:rsid w:val="00261B22"/>
    <w:rsid w:val="00261C5C"/>
    <w:rsid w:val="00262E12"/>
    <w:rsid w:val="00263BC5"/>
    <w:rsid w:val="00263E9C"/>
    <w:rsid w:val="0026633E"/>
    <w:rsid w:val="002703FD"/>
    <w:rsid w:val="002721CA"/>
    <w:rsid w:val="00272232"/>
    <w:rsid w:val="0027307D"/>
    <w:rsid w:val="0027391F"/>
    <w:rsid w:val="00273D70"/>
    <w:rsid w:val="00275157"/>
    <w:rsid w:val="00275FD7"/>
    <w:rsid w:val="002767AC"/>
    <w:rsid w:val="00277944"/>
    <w:rsid w:val="00277B98"/>
    <w:rsid w:val="00277F7E"/>
    <w:rsid w:val="002809E2"/>
    <w:rsid w:val="00281016"/>
    <w:rsid w:val="00281EB1"/>
    <w:rsid w:val="002823E0"/>
    <w:rsid w:val="00282E45"/>
    <w:rsid w:val="00285DAA"/>
    <w:rsid w:val="00286D4D"/>
    <w:rsid w:val="00287D0D"/>
    <w:rsid w:val="00290E34"/>
    <w:rsid w:val="00291472"/>
    <w:rsid w:val="00291FA6"/>
    <w:rsid w:val="00292E6C"/>
    <w:rsid w:val="002939E3"/>
    <w:rsid w:val="0029441E"/>
    <w:rsid w:val="0029511F"/>
    <w:rsid w:val="00295EB4"/>
    <w:rsid w:val="0029730D"/>
    <w:rsid w:val="002A08F0"/>
    <w:rsid w:val="002A096F"/>
    <w:rsid w:val="002A147F"/>
    <w:rsid w:val="002A17BC"/>
    <w:rsid w:val="002A1E5D"/>
    <w:rsid w:val="002A22D8"/>
    <w:rsid w:val="002A2926"/>
    <w:rsid w:val="002A2AFC"/>
    <w:rsid w:val="002A2BF7"/>
    <w:rsid w:val="002A369D"/>
    <w:rsid w:val="002A510F"/>
    <w:rsid w:val="002A5D61"/>
    <w:rsid w:val="002A690B"/>
    <w:rsid w:val="002A718C"/>
    <w:rsid w:val="002A7238"/>
    <w:rsid w:val="002A7CD9"/>
    <w:rsid w:val="002A7F5D"/>
    <w:rsid w:val="002B0102"/>
    <w:rsid w:val="002B1293"/>
    <w:rsid w:val="002B5206"/>
    <w:rsid w:val="002B6287"/>
    <w:rsid w:val="002B66AF"/>
    <w:rsid w:val="002B7495"/>
    <w:rsid w:val="002C03F9"/>
    <w:rsid w:val="002C21B0"/>
    <w:rsid w:val="002C25CF"/>
    <w:rsid w:val="002C27DD"/>
    <w:rsid w:val="002C2A14"/>
    <w:rsid w:val="002C33BC"/>
    <w:rsid w:val="002C3E1B"/>
    <w:rsid w:val="002C570C"/>
    <w:rsid w:val="002C5BFD"/>
    <w:rsid w:val="002C624A"/>
    <w:rsid w:val="002C7BD0"/>
    <w:rsid w:val="002D1129"/>
    <w:rsid w:val="002D1813"/>
    <w:rsid w:val="002D1EA9"/>
    <w:rsid w:val="002D2094"/>
    <w:rsid w:val="002D285A"/>
    <w:rsid w:val="002D3C16"/>
    <w:rsid w:val="002D60AA"/>
    <w:rsid w:val="002D670A"/>
    <w:rsid w:val="002D7DB5"/>
    <w:rsid w:val="002D7DF9"/>
    <w:rsid w:val="002E0342"/>
    <w:rsid w:val="002E243D"/>
    <w:rsid w:val="002E46B5"/>
    <w:rsid w:val="002E48C0"/>
    <w:rsid w:val="002E5A87"/>
    <w:rsid w:val="002E5DFD"/>
    <w:rsid w:val="002E6756"/>
    <w:rsid w:val="002E67FE"/>
    <w:rsid w:val="002E75DC"/>
    <w:rsid w:val="002F0B81"/>
    <w:rsid w:val="002F0F9E"/>
    <w:rsid w:val="002F157B"/>
    <w:rsid w:val="002F16DC"/>
    <w:rsid w:val="002F16F3"/>
    <w:rsid w:val="002F22B3"/>
    <w:rsid w:val="002F3387"/>
    <w:rsid w:val="002F390C"/>
    <w:rsid w:val="002F39D2"/>
    <w:rsid w:val="002F479C"/>
    <w:rsid w:val="002F47D7"/>
    <w:rsid w:val="002F57E2"/>
    <w:rsid w:val="0030022F"/>
    <w:rsid w:val="003003F5"/>
    <w:rsid w:val="00300EC8"/>
    <w:rsid w:val="00301A1C"/>
    <w:rsid w:val="00302944"/>
    <w:rsid w:val="00305DD0"/>
    <w:rsid w:val="0030623E"/>
    <w:rsid w:val="00306935"/>
    <w:rsid w:val="0030728C"/>
    <w:rsid w:val="00307842"/>
    <w:rsid w:val="00307DD3"/>
    <w:rsid w:val="00310744"/>
    <w:rsid w:val="00311DDB"/>
    <w:rsid w:val="00311EBA"/>
    <w:rsid w:val="003124C5"/>
    <w:rsid w:val="003132C2"/>
    <w:rsid w:val="00313ABD"/>
    <w:rsid w:val="00313B2F"/>
    <w:rsid w:val="003145F9"/>
    <w:rsid w:val="00314691"/>
    <w:rsid w:val="003204C9"/>
    <w:rsid w:val="00320F73"/>
    <w:rsid w:val="003218D0"/>
    <w:rsid w:val="003219D6"/>
    <w:rsid w:val="00321B39"/>
    <w:rsid w:val="00322E88"/>
    <w:rsid w:val="00323E91"/>
    <w:rsid w:val="0032594F"/>
    <w:rsid w:val="0032634A"/>
    <w:rsid w:val="00327105"/>
    <w:rsid w:val="0033081B"/>
    <w:rsid w:val="00331D76"/>
    <w:rsid w:val="00331F6C"/>
    <w:rsid w:val="00332053"/>
    <w:rsid w:val="00332084"/>
    <w:rsid w:val="00334102"/>
    <w:rsid w:val="00334C15"/>
    <w:rsid w:val="00334F55"/>
    <w:rsid w:val="0033606E"/>
    <w:rsid w:val="003360F5"/>
    <w:rsid w:val="00336DE4"/>
    <w:rsid w:val="0033702B"/>
    <w:rsid w:val="0033751E"/>
    <w:rsid w:val="003378EE"/>
    <w:rsid w:val="00337FBF"/>
    <w:rsid w:val="003430F2"/>
    <w:rsid w:val="003437C0"/>
    <w:rsid w:val="003439AD"/>
    <w:rsid w:val="003448B8"/>
    <w:rsid w:val="003451F1"/>
    <w:rsid w:val="003458F3"/>
    <w:rsid w:val="003468E0"/>
    <w:rsid w:val="00346F8B"/>
    <w:rsid w:val="003505CA"/>
    <w:rsid w:val="0035173D"/>
    <w:rsid w:val="00352FBA"/>
    <w:rsid w:val="003539D8"/>
    <w:rsid w:val="003565D5"/>
    <w:rsid w:val="00356B00"/>
    <w:rsid w:val="003572D3"/>
    <w:rsid w:val="00361A5F"/>
    <w:rsid w:val="00361E3C"/>
    <w:rsid w:val="003641B1"/>
    <w:rsid w:val="0036553F"/>
    <w:rsid w:val="00367306"/>
    <w:rsid w:val="00367672"/>
    <w:rsid w:val="0036786D"/>
    <w:rsid w:val="00367E17"/>
    <w:rsid w:val="00371ECC"/>
    <w:rsid w:val="00371FA0"/>
    <w:rsid w:val="0037232E"/>
    <w:rsid w:val="003723C9"/>
    <w:rsid w:val="00373870"/>
    <w:rsid w:val="003739DD"/>
    <w:rsid w:val="00374B8B"/>
    <w:rsid w:val="00376A44"/>
    <w:rsid w:val="00376BBE"/>
    <w:rsid w:val="00376E8F"/>
    <w:rsid w:val="00377097"/>
    <w:rsid w:val="00380284"/>
    <w:rsid w:val="0038060B"/>
    <w:rsid w:val="00380BBD"/>
    <w:rsid w:val="003810E6"/>
    <w:rsid w:val="00383651"/>
    <w:rsid w:val="003840F4"/>
    <w:rsid w:val="00384404"/>
    <w:rsid w:val="00384D2A"/>
    <w:rsid w:val="00385952"/>
    <w:rsid w:val="00386434"/>
    <w:rsid w:val="003867B2"/>
    <w:rsid w:val="0039061C"/>
    <w:rsid w:val="003918FB"/>
    <w:rsid w:val="0039214F"/>
    <w:rsid w:val="00392E5A"/>
    <w:rsid w:val="0039382B"/>
    <w:rsid w:val="00394003"/>
    <w:rsid w:val="00394835"/>
    <w:rsid w:val="00395876"/>
    <w:rsid w:val="00396096"/>
    <w:rsid w:val="0039623D"/>
    <w:rsid w:val="00396A69"/>
    <w:rsid w:val="00397774"/>
    <w:rsid w:val="00397885"/>
    <w:rsid w:val="003A0532"/>
    <w:rsid w:val="003A0967"/>
    <w:rsid w:val="003A1315"/>
    <w:rsid w:val="003A16B9"/>
    <w:rsid w:val="003A4D01"/>
    <w:rsid w:val="003A5C7D"/>
    <w:rsid w:val="003A65CA"/>
    <w:rsid w:val="003A6A8D"/>
    <w:rsid w:val="003A7A10"/>
    <w:rsid w:val="003B0ACC"/>
    <w:rsid w:val="003B1837"/>
    <w:rsid w:val="003B1F65"/>
    <w:rsid w:val="003B646E"/>
    <w:rsid w:val="003C0502"/>
    <w:rsid w:val="003C3507"/>
    <w:rsid w:val="003C3740"/>
    <w:rsid w:val="003C6269"/>
    <w:rsid w:val="003D0211"/>
    <w:rsid w:val="003D08B4"/>
    <w:rsid w:val="003D2650"/>
    <w:rsid w:val="003D33C2"/>
    <w:rsid w:val="003D4FE4"/>
    <w:rsid w:val="003D5A3B"/>
    <w:rsid w:val="003D77EA"/>
    <w:rsid w:val="003E15B7"/>
    <w:rsid w:val="003E23A6"/>
    <w:rsid w:val="003E2FD5"/>
    <w:rsid w:val="003E33C9"/>
    <w:rsid w:val="003E3D47"/>
    <w:rsid w:val="003E4E82"/>
    <w:rsid w:val="003E5059"/>
    <w:rsid w:val="003E56AF"/>
    <w:rsid w:val="003E60C5"/>
    <w:rsid w:val="003F0C86"/>
    <w:rsid w:val="003F1F81"/>
    <w:rsid w:val="003F2583"/>
    <w:rsid w:val="003F3E82"/>
    <w:rsid w:val="003F59F3"/>
    <w:rsid w:val="003F7C52"/>
    <w:rsid w:val="00400094"/>
    <w:rsid w:val="00400628"/>
    <w:rsid w:val="00400C1E"/>
    <w:rsid w:val="00401172"/>
    <w:rsid w:val="004023C1"/>
    <w:rsid w:val="00402B7E"/>
    <w:rsid w:val="00402DE9"/>
    <w:rsid w:val="00402E25"/>
    <w:rsid w:val="00403D63"/>
    <w:rsid w:val="00404D78"/>
    <w:rsid w:val="0040620B"/>
    <w:rsid w:val="00407945"/>
    <w:rsid w:val="00410D5E"/>
    <w:rsid w:val="00411FA3"/>
    <w:rsid w:val="0041573E"/>
    <w:rsid w:val="00415CB2"/>
    <w:rsid w:val="004160A8"/>
    <w:rsid w:val="0042011D"/>
    <w:rsid w:val="00420AD4"/>
    <w:rsid w:val="00420EA5"/>
    <w:rsid w:val="0042192D"/>
    <w:rsid w:val="00421C97"/>
    <w:rsid w:val="00422108"/>
    <w:rsid w:val="004233DA"/>
    <w:rsid w:val="0042359D"/>
    <w:rsid w:val="00425405"/>
    <w:rsid w:val="0042546F"/>
    <w:rsid w:val="00425AA7"/>
    <w:rsid w:val="0042730B"/>
    <w:rsid w:val="00427ECB"/>
    <w:rsid w:val="00430FB8"/>
    <w:rsid w:val="00431A7A"/>
    <w:rsid w:val="004327BC"/>
    <w:rsid w:val="00435253"/>
    <w:rsid w:val="0043531D"/>
    <w:rsid w:val="0043563A"/>
    <w:rsid w:val="00435EE4"/>
    <w:rsid w:val="00435FFF"/>
    <w:rsid w:val="0043680A"/>
    <w:rsid w:val="00436F47"/>
    <w:rsid w:val="00437D87"/>
    <w:rsid w:val="004413A6"/>
    <w:rsid w:val="00442267"/>
    <w:rsid w:val="0044559A"/>
    <w:rsid w:val="00445BA2"/>
    <w:rsid w:val="00445BF6"/>
    <w:rsid w:val="00445C7A"/>
    <w:rsid w:val="0044652D"/>
    <w:rsid w:val="00447897"/>
    <w:rsid w:val="0045018F"/>
    <w:rsid w:val="004519C2"/>
    <w:rsid w:val="004530A2"/>
    <w:rsid w:val="004548BE"/>
    <w:rsid w:val="00456903"/>
    <w:rsid w:val="00456D34"/>
    <w:rsid w:val="00457B20"/>
    <w:rsid w:val="00460430"/>
    <w:rsid w:val="00460A3C"/>
    <w:rsid w:val="00461372"/>
    <w:rsid w:val="00462663"/>
    <w:rsid w:val="00462C31"/>
    <w:rsid w:val="00462D49"/>
    <w:rsid w:val="00464EB8"/>
    <w:rsid w:val="00465C1A"/>
    <w:rsid w:val="004704C1"/>
    <w:rsid w:val="0047158F"/>
    <w:rsid w:val="004736B2"/>
    <w:rsid w:val="00475754"/>
    <w:rsid w:val="00475E48"/>
    <w:rsid w:val="00476E25"/>
    <w:rsid w:val="00480903"/>
    <w:rsid w:val="004811CB"/>
    <w:rsid w:val="004812E8"/>
    <w:rsid w:val="00481D59"/>
    <w:rsid w:val="0048203A"/>
    <w:rsid w:val="0048211F"/>
    <w:rsid w:val="004821E5"/>
    <w:rsid w:val="004848D4"/>
    <w:rsid w:val="00485303"/>
    <w:rsid w:val="00486CD9"/>
    <w:rsid w:val="00487106"/>
    <w:rsid w:val="0048781B"/>
    <w:rsid w:val="00487A65"/>
    <w:rsid w:val="00491567"/>
    <w:rsid w:val="004927E8"/>
    <w:rsid w:val="004944B1"/>
    <w:rsid w:val="00495405"/>
    <w:rsid w:val="00497716"/>
    <w:rsid w:val="00497782"/>
    <w:rsid w:val="00497D30"/>
    <w:rsid w:val="004A0C0E"/>
    <w:rsid w:val="004A1608"/>
    <w:rsid w:val="004A1A0D"/>
    <w:rsid w:val="004A21B2"/>
    <w:rsid w:val="004A2CB6"/>
    <w:rsid w:val="004A2FA9"/>
    <w:rsid w:val="004A392C"/>
    <w:rsid w:val="004A447F"/>
    <w:rsid w:val="004A5761"/>
    <w:rsid w:val="004A5822"/>
    <w:rsid w:val="004A5FC7"/>
    <w:rsid w:val="004A62F9"/>
    <w:rsid w:val="004A7258"/>
    <w:rsid w:val="004B11C2"/>
    <w:rsid w:val="004B1A38"/>
    <w:rsid w:val="004B47F8"/>
    <w:rsid w:val="004B51AE"/>
    <w:rsid w:val="004B6531"/>
    <w:rsid w:val="004B7C12"/>
    <w:rsid w:val="004C0A81"/>
    <w:rsid w:val="004C26C1"/>
    <w:rsid w:val="004C52B4"/>
    <w:rsid w:val="004C61EF"/>
    <w:rsid w:val="004C6CE1"/>
    <w:rsid w:val="004D220F"/>
    <w:rsid w:val="004D3E2D"/>
    <w:rsid w:val="004D456E"/>
    <w:rsid w:val="004D4EA5"/>
    <w:rsid w:val="004D5A60"/>
    <w:rsid w:val="004D6220"/>
    <w:rsid w:val="004D662F"/>
    <w:rsid w:val="004D6B92"/>
    <w:rsid w:val="004D7D3F"/>
    <w:rsid w:val="004E0166"/>
    <w:rsid w:val="004E1FA6"/>
    <w:rsid w:val="004E2F09"/>
    <w:rsid w:val="004E31E8"/>
    <w:rsid w:val="004E45A1"/>
    <w:rsid w:val="004E617A"/>
    <w:rsid w:val="004E6193"/>
    <w:rsid w:val="004E7A18"/>
    <w:rsid w:val="004F06AD"/>
    <w:rsid w:val="004F11E3"/>
    <w:rsid w:val="004F44A5"/>
    <w:rsid w:val="004F47F5"/>
    <w:rsid w:val="004F646D"/>
    <w:rsid w:val="004F7C2D"/>
    <w:rsid w:val="00503CF0"/>
    <w:rsid w:val="00503EA3"/>
    <w:rsid w:val="00504CE0"/>
    <w:rsid w:val="005058D8"/>
    <w:rsid w:val="00506DDA"/>
    <w:rsid w:val="005073CA"/>
    <w:rsid w:val="00507E6C"/>
    <w:rsid w:val="005100B6"/>
    <w:rsid w:val="005116E7"/>
    <w:rsid w:val="00511B88"/>
    <w:rsid w:val="0051273C"/>
    <w:rsid w:val="00513F77"/>
    <w:rsid w:val="005149F8"/>
    <w:rsid w:val="0051536A"/>
    <w:rsid w:val="00515EF4"/>
    <w:rsid w:val="0051615A"/>
    <w:rsid w:val="00516695"/>
    <w:rsid w:val="00516EFD"/>
    <w:rsid w:val="0051759A"/>
    <w:rsid w:val="00517C41"/>
    <w:rsid w:val="00521DCC"/>
    <w:rsid w:val="00522626"/>
    <w:rsid w:val="00526FFC"/>
    <w:rsid w:val="005270A6"/>
    <w:rsid w:val="0052752A"/>
    <w:rsid w:val="0053031D"/>
    <w:rsid w:val="005310F8"/>
    <w:rsid w:val="0053179B"/>
    <w:rsid w:val="005324AB"/>
    <w:rsid w:val="00532F49"/>
    <w:rsid w:val="00533345"/>
    <w:rsid w:val="005344C6"/>
    <w:rsid w:val="005349BE"/>
    <w:rsid w:val="00534DCB"/>
    <w:rsid w:val="00536620"/>
    <w:rsid w:val="0053663F"/>
    <w:rsid w:val="00536C86"/>
    <w:rsid w:val="00537975"/>
    <w:rsid w:val="00537BFB"/>
    <w:rsid w:val="00540C7C"/>
    <w:rsid w:val="00540FAF"/>
    <w:rsid w:val="00541E45"/>
    <w:rsid w:val="00543356"/>
    <w:rsid w:val="00547E6E"/>
    <w:rsid w:val="005504FE"/>
    <w:rsid w:val="00550EC1"/>
    <w:rsid w:val="005511C6"/>
    <w:rsid w:val="0055148C"/>
    <w:rsid w:val="00551CE1"/>
    <w:rsid w:val="0055299B"/>
    <w:rsid w:val="00554DAD"/>
    <w:rsid w:val="005550A1"/>
    <w:rsid w:val="005553F7"/>
    <w:rsid w:val="005558D5"/>
    <w:rsid w:val="00555AE2"/>
    <w:rsid w:val="005560A3"/>
    <w:rsid w:val="00557BC2"/>
    <w:rsid w:val="005602BD"/>
    <w:rsid w:val="0056126B"/>
    <w:rsid w:val="005615AE"/>
    <w:rsid w:val="00564D0C"/>
    <w:rsid w:val="00564FD1"/>
    <w:rsid w:val="00566B0C"/>
    <w:rsid w:val="00566BDB"/>
    <w:rsid w:val="0056710C"/>
    <w:rsid w:val="00567F96"/>
    <w:rsid w:val="0057011B"/>
    <w:rsid w:val="0057174E"/>
    <w:rsid w:val="00571B07"/>
    <w:rsid w:val="00574661"/>
    <w:rsid w:val="00574718"/>
    <w:rsid w:val="00575D85"/>
    <w:rsid w:val="0057650C"/>
    <w:rsid w:val="00576600"/>
    <w:rsid w:val="0057664E"/>
    <w:rsid w:val="00577EF2"/>
    <w:rsid w:val="00580249"/>
    <w:rsid w:val="0058099C"/>
    <w:rsid w:val="00581C31"/>
    <w:rsid w:val="00583500"/>
    <w:rsid w:val="00583858"/>
    <w:rsid w:val="00583E50"/>
    <w:rsid w:val="0058417C"/>
    <w:rsid w:val="005846DF"/>
    <w:rsid w:val="00584AD9"/>
    <w:rsid w:val="00584E58"/>
    <w:rsid w:val="00585563"/>
    <w:rsid w:val="0058630E"/>
    <w:rsid w:val="005867F0"/>
    <w:rsid w:val="0058718F"/>
    <w:rsid w:val="00587E97"/>
    <w:rsid w:val="00590262"/>
    <w:rsid w:val="00590B40"/>
    <w:rsid w:val="005919C6"/>
    <w:rsid w:val="0059221A"/>
    <w:rsid w:val="005928A9"/>
    <w:rsid w:val="00594E99"/>
    <w:rsid w:val="00596214"/>
    <w:rsid w:val="00596411"/>
    <w:rsid w:val="005975CB"/>
    <w:rsid w:val="00597C9D"/>
    <w:rsid w:val="005A12C8"/>
    <w:rsid w:val="005A1D19"/>
    <w:rsid w:val="005A3972"/>
    <w:rsid w:val="005A5149"/>
    <w:rsid w:val="005A78D2"/>
    <w:rsid w:val="005B0552"/>
    <w:rsid w:val="005B1BC1"/>
    <w:rsid w:val="005B1C7E"/>
    <w:rsid w:val="005B3203"/>
    <w:rsid w:val="005B3324"/>
    <w:rsid w:val="005B3A72"/>
    <w:rsid w:val="005B5C40"/>
    <w:rsid w:val="005B5ED8"/>
    <w:rsid w:val="005B7EFD"/>
    <w:rsid w:val="005C0810"/>
    <w:rsid w:val="005C0A60"/>
    <w:rsid w:val="005C1E8B"/>
    <w:rsid w:val="005C1F38"/>
    <w:rsid w:val="005C222F"/>
    <w:rsid w:val="005C31D1"/>
    <w:rsid w:val="005C48D1"/>
    <w:rsid w:val="005C4C7F"/>
    <w:rsid w:val="005C4F3F"/>
    <w:rsid w:val="005C5AC5"/>
    <w:rsid w:val="005C6D78"/>
    <w:rsid w:val="005C6F0B"/>
    <w:rsid w:val="005C762E"/>
    <w:rsid w:val="005C7BE5"/>
    <w:rsid w:val="005D100F"/>
    <w:rsid w:val="005D2ABF"/>
    <w:rsid w:val="005D44BD"/>
    <w:rsid w:val="005D5E1C"/>
    <w:rsid w:val="005E039E"/>
    <w:rsid w:val="005E1494"/>
    <w:rsid w:val="005E1609"/>
    <w:rsid w:val="005E1D66"/>
    <w:rsid w:val="005E384E"/>
    <w:rsid w:val="005E3EA4"/>
    <w:rsid w:val="005E4390"/>
    <w:rsid w:val="005E4BB5"/>
    <w:rsid w:val="005E4F88"/>
    <w:rsid w:val="005E6480"/>
    <w:rsid w:val="005E670F"/>
    <w:rsid w:val="005E6C39"/>
    <w:rsid w:val="005E7795"/>
    <w:rsid w:val="005F13C2"/>
    <w:rsid w:val="005F303B"/>
    <w:rsid w:val="005F3880"/>
    <w:rsid w:val="005F4F58"/>
    <w:rsid w:val="005F6424"/>
    <w:rsid w:val="005F6476"/>
    <w:rsid w:val="005F7C9B"/>
    <w:rsid w:val="006002D3"/>
    <w:rsid w:val="006010FD"/>
    <w:rsid w:val="00601464"/>
    <w:rsid w:val="006016AD"/>
    <w:rsid w:val="00601A4C"/>
    <w:rsid w:val="00602394"/>
    <w:rsid w:val="00602909"/>
    <w:rsid w:val="0060474E"/>
    <w:rsid w:val="00604F65"/>
    <w:rsid w:val="0060740D"/>
    <w:rsid w:val="00610332"/>
    <w:rsid w:val="0061041C"/>
    <w:rsid w:val="0061203E"/>
    <w:rsid w:val="006168CE"/>
    <w:rsid w:val="00617B51"/>
    <w:rsid w:val="00617BE3"/>
    <w:rsid w:val="00624707"/>
    <w:rsid w:val="00625C2A"/>
    <w:rsid w:val="00625C72"/>
    <w:rsid w:val="0062659D"/>
    <w:rsid w:val="0063179C"/>
    <w:rsid w:val="00633072"/>
    <w:rsid w:val="006335FC"/>
    <w:rsid w:val="006336B0"/>
    <w:rsid w:val="006340B8"/>
    <w:rsid w:val="006346B7"/>
    <w:rsid w:val="00637443"/>
    <w:rsid w:val="0063762C"/>
    <w:rsid w:val="0064131C"/>
    <w:rsid w:val="006428F4"/>
    <w:rsid w:val="00642F69"/>
    <w:rsid w:val="00643698"/>
    <w:rsid w:val="00644366"/>
    <w:rsid w:val="006456E5"/>
    <w:rsid w:val="00646CE3"/>
    <w:rsid w:val="00647353"/>
    <w:rsid w:val="006475FD"/>
    <w:rsid w:val="00650202"/>
    <w:rsid w:val="00650B9D"/>
    <w:rsid w:val="00652140"/>
    <w:rsid w:val="00652629"/>
    <w:rsid w:val="00652A2A"/>
    <w:rsid w:val="00653635"/>
    <w:rsid w:val="006537CC"/>
    <w:rsid w:val="00653FD7"/>
    <w:rsid w:val="0065539C"/>
    <w:rsid w:val="00655837"/>
    <w:rsid w:val="00656041"/>
    <w:rsid w:val="0065644B"/>
    <w:rsid w:val="00656F80"/>
    <w:rsid w:val="006575BE"/>
    <w:rsid w:val="0065792F"/>
    <w:rsid w:val="00661449"/>
    <w:rsid w:val="00661A6D"/>
    <w:rsid w:val="00661A79"/>
    <w:rsid w:val="00661D54"/>
    <w:rsid w:val="00661EED"/>
    <w:rsid w:val="00662732"/>
    <w:rsid w:val="006629FF"/>
    <w:rsid w:val="00663334"/>
    <w:rsid w:val="006643C2"/>
    <w:rsid w:val="0066444F"/>
    <w:rsid w:val="00665784"/>
    <w:rsid w:val="00666453"/>
    <w:rsid w:val="00667209"/>
    <w:rsid w:val="0066744D"/>
    <w:rsid w:val="00667EA8"/>
    <w:rsid w:val="0067118A"/>
    <w:rsid w:val="00675042"/>
    <w:rsid w:val="00677593"/>
    <w:rsid w:val="00680592"/>
    <w:rsid w:val="00680D29"/>
    <w:rsid w:val="00681FF1"/>
    <w:rsid w:val="0068223D"/>
    <w:rsid w:val="0068352D"/>
    <w:rsid w:val="0068353E"/>
    <w:rsid w:val="006844F6"/>
    <w:rsid w:val="00684A52"/>
    <w:rsid w:val="00684BF3"/>
    <w:rsid w:val="00685115"/>
    <w:rsid w:val="006852FB"/>
    <w:rsid w:val="00685C92"/>
    <w:rsid w:val="00685DDA"/>
    <w:rsid w:val="0068697B"/>
    <w:rsid w:val="00693693"/>
    <w:rsid w:val="0069474E"/>
    <w:rsid w:val="00694948"/>
    <w:rsid w:val="006A0023"/>
    <w:rsid w:val="006A0B59"/>
    <w:rsid w:val="006A2A74"/>
    <w:rsid w:val="006A3634"/>
    <w:rsid w:val="006A3656"/>
    <w:rsid w:val="006A36FD"/>
    <w:rsid w:val="006A3C79"/>
    <w:rsid w:val="006A4553"/>
    <w:rsid w:val="006A4983"/>
    <w:rsid w:val="006B0ED5"/>
    <w:rsid w:val="006B1166"/>
    <w:rsid w:val="006B1D34"/>
    <w:rsid w:val="006B1E7D"/>
    <w:rsid w:val="006B273C"/>
    <w:rsid w:val="006B2A4A"/>
    <w:rsid w:val="006B2D3F"/>
    <w:rsid w:val="006B5DFC"/>
    <w:rsid w:val="006C166E"/>
    <w:rsid w:val="006C1AAC"/>
    <w:rsid w:val="006C24A5"/>
    <w:rsid w:val="006C271E"/>
    <w:rsid w:val="006C36E4"/>
    <w:rsid w:val="006C3E19"/>
    <w:rsid w:val="006C47E0"/>
    <w:rsid w:val="006D006B"/>
    <w:rsid w:val="006D0E37"/>
    <w:rsid w:val="006D1785"/>
    <w:rsid w:val="006D2016"/>
    <w:rsid w:val="006D3B12"/>
    <w:rsid w:val="006D3F6B"/>
    <w:rsid w:val="006D46DF"/>
    <w:rsid w:val="006D4A6F"/>
    <w:rsid w:val="006D5356"/>
    <w:rsid w:val="006D665D"/>
    <w:rsid w:val="006D7199"/>
    <w:rsid w:val="006E0023"/>
    <w:rsid w:val="006E07D6"/>
    <w:rsid w:val="006E0AF7"/>
    <w:rsid w:val="006E1BC1"/>
    <w:rsid w:val="006E2266"/>
    <w:rsid w:val="006E47DB"/>
    <w:rsid w:val="006E53C3"/>
    <w:rsid w:val="006E53D2"/>
    <w:rsid w:val="006F14A2"/>
    <w:rsid w:val="006F26CA"/>
    <w:rsid w:val="006F3075"/>
    <w:rsid w:val="006F3BF8"/>
    <w:rsid w:val="006F400B"/>
    <w:rsid w:val="006F40AB"/>
    <w:rsid w:val="006F4590"/>
    <w:rsid w:val="006F4C40"/>
    <w:rsid w:val="006F4D1B"/>
    <w:rsid w:val="006F7700"/>
    <w:rsid w:val="0070119C"/>
    <w:rsid w:val="00701D9D"/>
    <w:rsid w:val="0070231D"/>
    <w:rsid w:val="0070392E"/>
    <w:rsid w:val="00704188"/>
    <w:rsid w:val="00704419"/>
    <w:rsid w:val="00704CBF"/>
    <w:rsid w:val="007061E2"/>
    <w:rsid w:val="00706957"/>
    <w:rsid w:val="00707772"/>
    <w:rsid w:val="00707957"/>
    <w:rsid w:val="00710322"/>
    <w:rsid w:val="00711CA0"/>
    <w:rsid w:val="00712C72"/>
    <w:rsid w:val="00715B6C"/>
    <w:rsid w:val="007161EE"/>
    <w:rsid w:val="0071642C"/>
    <w:rsid w:val="007165BC"/>
    <w:rsid w:val="007171E8"/>
    <w:rsid w:val="0072008E"/>
    <w:rsid w:val="0072048D"/>
    <w:rsid w:val="007208AF"/>
    <w:rsid w:val="007210A9"/>
    <w:rsid w:val="0072181F"/>
    <w:rsid w:val="007239F8"/>
    <w:rsid w:val="00723D7D"/>
    <w:rsid w:val="00724666"/>
    <w:rsid w:val="00724C20"/>
    <w:rsid w:val="00725671"/>
    <w:rsid w:val="007259C0"/>
    <w:rsid w:val="00725CAA"/>
    <w:rsid w:val="0072675C"/>
    <w:rsid w:val="007313C6"/>
    <w:rsid w:val="00731836"/>
    <w:rsid w:val="00732197"/>
    <w:rsid w:val="00733027"/>
    <w:rsid w:val="0073306F"/>
    <w:rsid w:val="0073320E"/>
    <w:rsid w:val="00735862"/>
    <w:rsid w:val="00735D60"/>
    <w:rsid w:val="00735D6F"/>
    <w:rsid w:val="00735E4D"/>
    <w:rsid w:val="00736C6D"/>
    <w:rsid w:val="00743507"/>
    <w:rsid w:val="00743DAF"/>
    <w:rsid w:val="00743FA0"/>
    <w:rsid w:val="00744BDA"/>
    <w:rsid w:val="0074630B"/>
    <w:rsid w:val="007469FB"/>
    <w:rsid w:val="0074744F"/>
    <w:rsid w:val="00750155"/>
    <w:rsid w:val="00751414"/>
    <w:rsid w:val="00752A67"/>
    <w:rsid w:val="00754360"/>
    <w:rsid w:val="007549D5"/>
    <w:rsid w:val="007551C0"/>
    <w:rsid w:val="00755B57"/>
    <w:rsid w:val="007573C7"/>
    <w:rsid w:val="00757D09"/>
    <w:rsid w:val="0076279F"/>
    <w:rsid w:val="007636B5"/>
    <w:rsid w:val="007640BB"/>
    <w:rsid w:val="0076556B"/>
    <w:rsid w:val="00766BF1"/>
    <w:rsid w:val="00766D78"/>
    <w:rsid w:val="00766D7D"/>
    <w:rsid w:val="007759F3"/>
    <w:rsid w:val="00775F96"/>
    <w:rsid w:val="00776189"/>
    <w:rsid w:val="0077635C"/>
    <w:rsid w:val="00776988"/>
    <w:rsid w:val="007774DD"/>
    <w:rsid w:val="0078099E"/>
    <w:rsid w:val="00781449"/>
    <w:rsid w:val="007818CE"/>
    <w:rsid w:val="0078278B"/>
    <w:rsid w:val="00783F5B"/>
    <w:rsid w:val="007854C1"/>
    <w:rsid w:val="00786768"/>
    <w:rsid w:val="007901AD"/>
    <w:rsid w:val="0079102C"/>
    <w:rsid w:val="0079272F"/>
    <w:rsid w:val="00792F75"/>
    <w:rsid w:val="00792F76"/>
    <w:rsid w:val="007937FB"/>
    <w:rsid w:val="00793D84"/>
    <w:rsid w:val="00796359"/>
    <w:rsid w:val="00796FB8"/>
    <w:rsid w:val="00797B2F"/>
    <w:rsid w:val="007A0593"/>
    <w:rsid w:val="007A0F24"/>
    <w:rsid w:val="007A3F32"/>
    <w:rsid w:val="007A4040"/>
    <w:rsid w:val="007A4994"/>
    <w:rsid w:val="007A4AAB"/>
    <w:rsid w:val="007A5B13"/>
    <w:rsid w:val="007A5D62"/>
    <w:rsid w:val="007A617A"/>
    <w:rsid w:val="007A6209"/>
    <w:rsid w:val="007A6378"/>
    <w:rsid w:val="007A6C0F"/>
    <w:rsid w:val="007A6F8C"/>
    <w:rsid w:val="007B0F05"/>
    <w:rsid w:val="007B1801"/>
    <w:rsid w:val="007B2F3C"/>
    <w:rsid w:val="007B4B5D"/>
    <w:rsid w:val="007B65B4"/>
    <w:rsid w:val="007B6616"/>
    <w:rsid w:val="007B717D"/>
    <w:rsid w:val="007B73F7"/>
    <w:rsid w:val="007C081F"/>
    <w:rsid w:val="007C0D81"/>
    <w:rsid w:val="007C1F5E"/>
    <w:rsid w:val="007C206A"/>
    <w:rsid w:val="007C2B49"/>
    <w:rsid w:val="007C2CC3"/>
    <w:rsid w:val="007C59E8"/>
    <w:rsid w:val="007C630F"/>
    <w:rsid w:val="007C65F0"/>
    <w:rsid w:val="007C66ED"/>
    <w:rsid w:val="007C7092"/>
    <w:rsid w:val="007C71CB"/>
    <w:rsid w:val="007C73C5"/>
    <w:rsid w:val="007D09FF"/>
    <w:rsid w:val="007D0EBB"/>
    <w:rsid w:val="007D3EB4"/>
    <w:rsid w:val="007D41D4"/>
    <w:rsid w:val="007D59A3"/>
    <w:rsid w:val="007D6BD3"/>
    <w:rsid w:val="007D78AE"/>
    <w:rsid w:val="007D795D"/>
    <w:rsid w:val="007E04B6"/>
    <w:rsid w:val="007E05D7"/>
    <w:rsid w:val="007E2A4E"/>
    <w:rsid w:val="007E5441"/>
    <w:rsid w:val="007E55A0"/>
    <w:rsid w:val="007E564A"/>
    <w:rsid w:val="007E5DC3"/>
    <w:rsid w:val="007E6AE5"/>
    <w:rsid w:val="007E7B5C"/>
    <w:rsid w:val="007F15F1"/>
    <w:rsid w:val="007F1984"/>
    <w:rsid w:val="007F30B1"/>
    <w:rsid w:val="007F310D"/>
    <w:rsid w:val="007F4142"/>
    <w:rsid w:val="007F4CD7"/>
    <w:rsid w:val="007F57E0"/>
    <w:rsid w:val="007F652C"/>
    <w:rsid w:val="007F77FE"/>
    <w:rsid w:val="007F7854"/>
    <w:rsid w:val="00800060"/>
    <w:rsid w:val="00800B51"/>
    <w:rsid w:val="008012EF"/>
    <w:rsid w:val="008022DE"/>
    <w:rsid w:val="00802369"/>
    <w:rsid w:val="00802A5E"/>
    <w:rsid w:val="00802F46"/>
    <w:rsid w:val="008038C0"/>
    <w:rsid w:val="00803B7B"/>
    <w:rsid w:val="00803F50"/>
    <w:rsid w:val="0080640C"/>
    <w:rsid w:val="00806650"/>
    <w:rsid w:val="00806DF8"/>
    <w:rsid w:val="0080741F"/>
    <w:rsid w:val="0081015F"/>
    <w:rsid w:val="00810A2C"/>
    <w:rsid w:val="00810B9E"/>
    <w:rsid w:val="00811D55"/>
    <w:rsid w:val="008120BA"/>
    <w:rsid w:val="00812598"/>
    <w:rsid w:val="00812C45"/>
    <w:rsid w:val="00812F47"/>
    <w:rsid w:val="0081311E"/>
    <w:rsid w:val="008135E7"/>
    <w:rsid w:val="00813B84"/>
    <w:rsid w:val="00814B23"/>
    <w:rsid w:val="008163E6"/>
    <w:rsid w:val="00816847"/>
    <w:rsid w:val="00817E1B"/>
    <w:rsid w:val="00820057"/>
    <w:rsid w:val="00820D12"/>
    <w:rsid w:val="00821FA0"/>
    <w:rsid w:val="00823B3E"/>
    <w:rsid w:val="008245EF"/>
    <w:rsid w:val="00824731"/>
    <w:rsid w:val="00825166"/>
    <w:rsid w:val="0082647D"/>
    <w:rsid w:val="00826A6C"/>
    <w:rsid w:val="00827EED"/>
    <w:rsid w:val="00830513"/>
    <w:rsid w:val="00830843"/>
    <w:rsid w:val="00835F8E"/>
    <w:rsid w:val="0083767C"/>
    <w:rsid w:val="00840B30"/>
    <w:rsid w:val="0084285A"/>
    <w:rsid w:val="00842890"/>
    <w:rsid w:val="008434A0"/>
    <w:rsid w:val="008457BC"/>
    <w:rsid w:val="008459CF"/>
    <w:rsid w:val="008460E1"/>
    <w:rsid w:val="00847151"/>
    <w:rsid w:val="00847307"/>
    <w:rsid w:val="008535F2"/>
    <w:rsid w:val="008547A7"/>
    <w:rsid w:val="00854913"/>
    <w:rsid w:val="008553F2"/>
    <w:rsid w:val="00855702"/>
    <w:rsid w:val="00857555"/>
    <w:rsid w:val="00860039"/>
    <w:rsid w:val="008600DD"/>
    <w:rsid w:val="0086181E"/>
    <w:rsid w:val="00862767"/>
    <w:rsid w:val="00862C4B"/>
    <w:rsid w:val="008644EE"/>
    <w:rsid w:val="00864F8A"/>
    <w:rsid w:val="008663A8"/>
    <w:rsid w:val="00867D73"/>
    <w:rsid w:val="008736CA"/>
    <w:rsid w:val="00873FC2"/>
    <w:rsid w:val="00875059"/>
    <w:rsid w:val="00875370"/>
    <w:rsid w:val="008756F8"/>
    <w:rsid w:val="00875980"/>
    <w:rsid w:val="00881751"/>
    <w:rsid w:val="00883919"/>
    <w:rsid w:val="00884718"/>
    <w:rsid w:val="008854BA"/>
    <w:rsid w:val="008855FD"/>
    <w:rsid w:val="0088561A"/>
    <w:rsid w:val="00885899"/>
    <w:rsid w:val="008858E9"/>
    <w:rsid w:val="008859A5"/>
    <w:rsid w:val="00885EC3"/>
    <w:rsid w:val="008875EF"/>
    <w:rsid w:val="00890419"/>
    <w:rsid w:val="008909D8"/>
    <w:rsid w:val="00891805"/>
    <w:rsid w:val="00892E8F"/>
    <w:rsid w:val="0089304B"/>
    <w:rsid w:val="008A0703"/>
    <w:rsid w:val="008A189E"/>
    <w:rsid w:val="008A2475"/>
    <w:rsid w:val="008A2DC8"/>
    <w:rsid w:val="008A31EA"/>
    <w:rsid w:val="008A380A"/>
    <w:rsid w:val="008A573D"/>
    <w:rsid w:val="008A5DA3"/>
    <w:rsid w:val="008B0012"/>
    <w:rsid w:val="008B03F3"/>
    <w:rsid w:val="008B0E3C"/>
    <w:rsid w:val="008B1001"/>
    <w:rsid w:val="008B1B93"/>
    <w:rsid w:val="008B1D34"/>
    <w:rsid w:val="008B3F97"/>
    <w:rsid w:val="008B45F7"/>
    <w:rsid w:val="008B5309"/>
    <w:rsid w:val="008B5C1A"/>
    <w:rsid w:val="008B5C75"/>
    <w:rsid w:val="008B5EF1"/>
    <w:rsid w:val="008B776F"/>
    <w:rsid w:val="008C098E"/>
    <w:rsid w:val="008C0D7C"/>
    <w:rsid w:val="008C124A"/>
    <w:rsid w:val="008C2D81"/>
    <w:rsid w:val="008C2FD2"/>
    <w:rsid w:val="008C3532"/>
    <w:rsid w:val="008C4DB1"/>
    <w:rsid w:val="008C5857"/>
    <w:rsid w:val="008D01B8"/>
    <w:rsid w:val="008D26A5"/>
    <w:rsid w:val="008D3911"/>
    <w:rsid w:val="008D4713"/>
    <w:rsid w:val="008D4E2D"/>
    <w:rsid w:val="008D5010"/>
    <w:rsid w:val="008D550F"/>
    <w:rsid w:val="008D68F3"/>
    <w:rsid w:val="008D7A70"/>
    <w:rsid w:val="008D7CE4"/>
    <w:rsid w:val="008E3533"/>
    <w:rsid w:val="008E43C7"/>
    <w:rsid w:val="008E658F"/>
    <w:rsid w:val="008E7E13"/>
    <w:rsid w:val="008E7E57"/>
    <w:rsid w:val="008F0FAE"/>
    <w:rsid w:val="008F210E"/>
    <w:rsid w:val="008F270D"/>
    <w:rsid w:val="008F4740"/>
    <w:rsid w:val="008F479A"/>
    <w:rsid w:val="008F775E"/>
    <w:rsid w:val="008F7EAC"/>
    <w:rsid w:val="009006A2"/>
    <w:rsid w:val="009009A7"/>
    <w:rsid w:val="00900AF6"/>
    <w:rsid w:val="00900C38"/>
    <w:rsid w:val="00903A68"/>
    <w:rsid w:val="00903F3B"/>
    <w:rsid w:val="009041DD"/>
    <w:rsid w:val="00904731"/>
    <w:rsid w:val="00905F5C"/>
    <w:rsid w:val="009079BD"/>
    <w:rsid w:val="00907A4F"/>
    <w:rsid w:val="0091063F"/>
    <w:rsid w:val="00910816"/>
    <w:rsid w:val="00910ECA"/>
    <w:rsid w:val="009116DC"/>
    <w:rsid w:val="00912052"/>
    <w:rsid w:val="009125A5"/>
    <w:rsid w:val="00912CB4"/>
    <w:rsid w:val="0091306B"/>
    <w:rsid w:val="00914994"/>
    <w:rsid w:val="0091756E"/>
    <w:rsid w:val="00920A5F"/>
    <w:rsid w:val="00921C45"/>
    <w:rsid w:val="00923075"/>
    <w:rsid w:val="00923644"/>
    <w:rsid w:val="00923959"/>
    <w:rsid w:val="00923E08"/>
    <w:rsid w:val="00924A65"/>
    <w:rsid w:val="00926783"/>
    <w:rsid w:val="00926880"/>
    <w:rsid w:val="00926EAB"/>
    <w:rsid w:val="00926F68"/>
    <w:rsid w:val="00930B03"/>
    <w:rsid w:val="00930B3D"/>
    <w:rsid w:val="00930BF0"/>
    <w:rsid w:val="009311B1"/>
    <w:rsid w:val="009313FE"/>
    <w:rsid w:val="0093209D"/>
    <w:rsid w:val="00934692"/>
    <w:rsid w:val="00934E25"/>
    <w:rsid w:val="009368B3"/>
    <w:rsid w:val="00937318"/>
    <w:rsid w:val="00937D90"/>
    <w:rsid w:val="0094110D"/>
    <w:rsid w:val="009413C5"/>
    <w:rsid w:val="00942251"/>
    <w:rsid w:val="009425DC"/>
    <w:rsid w:val="00944946"/>
    <w:rsid w:val="00947524"/>
    <w:rsid w:val="009478F0"/>
    <w:rsid w:val="00950AD3"/>
    <w:rsid w:val="00950C89"/>
    <w:rsid w:val="00951161"/>
    <w:rsid w:val="009516C4"/>
    <w:rsid w:val="00952E8A"/>
    <w:rsid w:val="009542B6"/>
    <w:rsid w:val="00954A8D"/>
    <w:rsid w:val="00955F35"/>
    <w:rsid w:val="009570B8"/>
    <w:rsid w:val="00957A7B"/>
    <w:rsid w:val="00957AFA"/>
    <w:rsid w:val="009600C1"/>
    <w:rsid w:val="00960FFE"/>
    <w:rsid w:val="009616DF"/>
    <w:rsid w:val="00961F98"/>
    <w:rsid w:val="00962139"/>
    <w:rsid w:val="0096387F"/>
    <w:rsid w:val="00963A77"/>
    <w:rsid w:val="0096469A"/>
    <w:rsid w:val="009647E0"/>
    <w:rsid w:val="009648C9"/>
    <w:rsid w:val="00965896"/>
    <w:rsid w:val="0096761B"/>
    <w:rsid w:val="00970BF7"/>
    <w:rsid w:val="0097136F"/>
    <w:rsid w:val="0097208D"/>
    <w:rsid w:val="00972B24"/>
    <w:rsid w:val="00972FA1"/>
    <w:rsid w:val="0097372D"/>
    <w:rsid w:val="00973841"/>
    <w:rsid w:val="00973E31"/>
    <w:rsid w:val="00973F16"/>
    <w:rsid w:val="00974449"/>
    <w:rsid w:val="00974A73"/>
    <w:rsid w:val="0097519B"/>
    <w:rsid w:val="00975285"/>
    <w:rsid w:val="009769D2"/>
    <w:rsid w:val="00977762"/>
    <w:rsid w:val="00977F23"/>
    <w:rsid w:val="00980CE1"/>
    <w:rsid w:val="009814E9"/>
    <w:rsid w:val="0098265E"/>
    <w:rsid w:val="009835E4"/>
    <w:rsid w:val="00983AB6"/>
    <w:rsid w:val="00985205"/>
    <w:rsid w:val="0098658E"/>
    <w:rsid w:val="00987A30"/>
    <w:rsid w:val="00987ECE"/>
    <w:rsid w:val="00987F59"/>
    <w:rsid w:val="0099026D"/>
    <w:rsid w:val="009906C1"/>
    <w:rsid w:val="00990DA4"/>
    <w:rsid w:val="0099146C"/>
    <w:rsid w:val="00991C23"/>
    <w:rsid w:val="009926F5"/>
    <w:rsid w:val="009961DA"/>
    <w:rsid w:val="0099649D"/>
    <w:rsid w:val="0099699E"/>
    <w:rsid w:val="009A05D5"/>
    <w:rsid w:val="009A178A"/>
    <w:rsid w:val="009A2559"/>
    <w:rsid w:val="009A266A"/>
    <w:rsid w:val="009A2D28"/>
    <w:rsid w:val="009A2DD9"/>
    <w:rsid w:val="009A3FD2"/>
    <w:rsid w:val="009A5EC0"/>
    <w:rsid w:val="009A7C0F"/>
    <w:rsid w:val="009B0165"/>
    <w:rsid w:val="009B0360"/>
    <w:rsid w:val="009B1832"/>
    <w:rsid w:val="009B3979"/>
    <w:rsid w:val="009B3AC3"/>
    <w:rsid w:val="009B4E64"/>
    <w:rsid w:val="009B5D55"/>
    <w:rsid w:val="009B762A"/>
    <w:rsid w:val="009B7916"/>
    <w:rsid w:val="009B7B0D"/>
    <w:rsid w:val="009C0ED9"/>
    <w:rsid w:val="009C0FAF"/>
    <w:rsid w:val="009C1AAA"/>
    <w:rsid w:val="009C2F29"/>
    <w:rsid w:val="009C42D7"/>
    <w:rsid w:val="009C49F0"/>
    <w:rsid w:val="009C5605"/>
    <w:rsid w:val="009C6489"/>
    <w:rsid w:val="009C6A34"/>
    <w:rsid w:val="009C77DD"/>
    <w:rsid w:val="009C7B57"/>
    <w:rsid w:val="009D0879"/>
    <w:rsid w:val="009D126B"/>
    <w:rsid w:val="009D2435"/>
    <w:rsid w:val="009D2521"/>
    <w:rsid w:val="009D2C4F"/>
    <w:rsid w:val="009D3D1D"/>
    <w:rsid w:val="009D5B11"/>
    <w:rsid w:val="009D5DB5"/>
    <w:rsid w:val="009D66B6"/>
    <w:rsid w:val="009D68CA"/>
    <w:rsid w:val="009E0E49"/>
    <w:rsid w:val="009E1021"/>
    <w:rsid w:val="009E247F"/>
    <w:rsid w:val="009E2B6D"/>
    <w:rsid w:val="009E449F"/>
    <w:rsid w:val="009E4AF6"/>
    <w:rsid w:val="009E4E6E"/>
    <w:rsid w:val="009E5200"/>
    <w:rsid w:val="009E6F3C"/>
    <w:rsid w:val="009E7160"/>
    <w:rsid w:val="009F1E31"/>
    <w:rsid w:val="009F3D48"/>
    <w:rsid w:val="009F6F8C"/>
    <w:rsid w:val="009F7AF2"/>
    <w:rsid w:val="009F7EEE"/>
    <w:rsid w:val="00A00481"/>
    <w:rsid w:val="00A00584"/>
    <w:rsid w:val="00A00A05"/>
    <w:rsid w:val="00A00A78"/>
    <w:rsid w:val="00A0216A"/>
    <w:rsid w:val="00A02CA9"/>
    <w:rsid w:val="00A04C83"/>
    <w:rsid w:val="00A05283"/>
    <w:rsid w:val="00A057E9"/>
    <w:rsid w:val="00A068CF"/>
    <w:rsid w:val="00A07C22"/>
    <w:rsid w:val="00A1061B"/>
    <w:rsid w:val="00A10817"/>
    <w:rsid w:val="00A10F55"/>
    <w:rsid w:val="00A11852"/>
    <w:rsid w:val="00A11E55"/>
    <w:rsid w:val="00A11E5B"/>
    <w:rsid w:val="00A139D3"/>
    <w:rsid w:val="00A13BD5"/>
    <w:rsid w:val="00A14E99"/>
    <w:rsid w:val="00A15106"/>
    <w:rsid w:val="00A16147"/>
    <w:rsid w:val="00A16561"/>
    <w:rsid w:val="00A166AF"/>
    <w:rsid w:val="00A16FCF"/>
    <w:rsid w:val="00A17171"/>
    <w:rsid w:val="00A17889"/>
    <w:rsid w:val="00A178E0"/>
    <w:rsid w:val="00A17BF1"/>
    <w:rsid w:val="00A203B5"/>
    <w:rsid w:val="00A206AE"/>
    <w:rsid w:val="00A20A01"/>
    <w:rsid w:val="00A215AB"/>
    <w:rsid w:val="00A22842"/>
    <w:rsid w:val="00A24107"/>
    <w:rsid w:val="00A24F26"/>
    <w:rsid w:val="00A26356"/>
    <w:rsid w:val="00A26907"/>
    <w:rsid w:val="00A27402"/>
    <w:rsid w:val="00A2764F"/>
    <w:rsid w:val="00A27D7A"/>
    <w:rsid w:val="00A301F4"/>
    <w:rsid w:val="00A30964"/>
    <w:rsid w:val="00A32C5F"/>
    <w:rsid w:val="00A346F5"/>
    <w:rsid w:val="00A36342"/>
    <w:rsid w:val="00A37C2E"/>
    <w:rsid w:val="00A40A9F"/>
    <w:rsid w:val="00A40B5F"/>
    <w:rsid w:val="00A40D74"/>
    <w:rsid w:val="00A41EAF"/>
    <w:rsid w:val="00A4275C"/>
    <w:rsid w:val="00A43120"/>
    <w:rsid w:val="00A4347B"/>
    <w:rsid w:val="00A43AC3"/>
    <w:rsid w:val="00A43BD3"/>
    <w:rsid w:val="00A43CB8"/>
    <w:rsid w:val="00A45ACE"/>
    <w:rsid w:val="00A46238"/>
    <w:rsid w:val="00A4779F"/>
    <w:rsid w:val="00A47CFC"/>
    <w:rsid w:val="00A5169E"/>
    <w:rsid w:val="00A518CF"/>
    <w:rsid w:val="00A51C6E"/>
    <w:rsid w:val="00A529B2"/>
    <w:rsid w:val="00A54B4D"/>
    <w:rsid w:val="00A56548"/>
    <w:rsid w:val="00A56A71"/>
    <w:rsid w:val="00A57D1D"/>
    <w:rsid w:val="00A60A24"/>
    <w:rsid w:val="00A62BCA"/>
    <w:rsid w:val="00A64916"/>
    <w:rsid w:val="00A64D11"/>
    <w:rsid w:val="00A673E7"/>
    <w:rsid w:val="00A6771C"/>
    <w:rsid w:val="00A67ED0"/>
    <w:rsid w:val="00A70DCD"/>
    <w:rsid w:val="00A71E41"/>
    <w:rsid w:val="00A729DF"/>
    <w:rsid w:val="00A73C28"/>
    <w:rsid w:val="00A73E21"/>
    <w:rsid w:val="00A749E4"/>
    <w:rsid w:val="00A74C1E"/>
    <w:rsid w:val="00A753D2"/>
    <w:rsid w:val="00A75B89"/>
    <w:rsid w:val="00A7707E"/>
    <w:rsid w:val="00A771CF"/>
    <w:rsid w:val="00A774A1"/>
    <w:rsid w:val="00A779C1"/>
    <w:rsid w:val="00A80E6F"/>
    <w:rsid w:val="00A81576"/>
    <w:rsid w:val="00A829FC"/>
    <w:rsid w:val="00A83D92"/>
    <w:rsid w:val="00A84122"/>
    <w:rsid w:val="00A85D1F"/>
    <w:rsid w:val="00A90884"/>
    <w:rsid w:val="00A915A5"/>
    <w:rsid w:val="00A93B44"/>
    <w:rsid w:val="00A96EE8"/>
    <w:rsid w:val="00A97094"/>
    <w:rsid w:val="00AA0E04"/>
    <w:rsid w:val="00AA0E18"/>
    <w:rsid w:val="00AA2233"/>
    <w:rsid w:val="00AA25F0"/>
    <w:rsid w:val="00AA296D"/>
    <w:rsid w:val="00AA2A1F"/>
    <w:rsid w:val="00AA3F64"/>
    <w:rsid w:val="00AA6E42"/>
    <w:rsid w:val="00AA7661"/>
    <w:rsid w:val="00AB1161"/>
    <w:rsid w:val="00AB2688"/>
    <w:rsid w:val="00AB3915"/>
    <w:rsid w:val="00AB5EF3"/>
    <w:rsid w:val="00AB6211"/>
    <w:rsid w:val="00AB69FC"/>
    <w:rsid w:val="00AB7567"/>
    <w:rsid w:val="00AC1877"/>
    <w:rsid w:val="00AC19C5"/>
    <w:rsid w:val="00AC1EA0"/>
    <w:rsid w:val="00AC2454"/>
    <w:rsid w:val="00AC27EB"/>
    <w:rsid w:val="00AC41F8"/>
    <w:rsid w:val="00AC429E"/>
    <w:rsid w:val="00AC42A0"/>
    <w:rsid w:val="00AC4B4D"/>
    <w:rsid w:val="00AC6350"/>
    <w:rsid w:val="00AC7B50"/>
    <w:rsid w:val="00AD262A"/>
    <w:rsid w:val="00AD327E"/>
    <w:rsid w:val="00AD4CDE"/>
    <w:rsid w:val="00AD5B56"/>
    <w:rsid w:val="00AD68E1"/>
    <w:rsid w:val="00AD6FD4"/>
    <w:rsid w:val="00AE093B"/>
    <w:rsid w:val="00AE1039"/>
    <w:rsid w:val="00AE2746"/>
    <w:rsid w:val="00AE2B53"/>
    <w:rsid w:val="00AE35E9"/>
    <w:rsid w:val="00AE419F"/>
    <w:rsid w:val="00AE44B0"/>
    <w:rsid w:val="00AE5722"/>
    <w:rsid w:val="00AE5C22"/>
    <w:rsid w:val="00AE5CC2"/>
    <w:rsid w:val="00AE6CB5"/>
    <w:rsid w:val="00AE6FAB"/>
    <w:rsid w:val="00AF034C"/>
    <w:rsid w:val="00AF1842"/>
    <w:rsid w:val="00AF343F"/>
    <w:rsid w:val="00AF3C0C"/>
    <w:rsid w:val="00AF4116"/>
    <w:rsid w:val="00AF4C2E"/>
    <w:rsid w:val="00AF4DF9"/>
    <w:rsid w:val="00AF69D9"/>
    <w:rsid w:val="00AF7741"/>
    <w:rsid w:val="00AF7AB8"/>
    <w:rsid w:val="00B006CD"/>
    <w:rsid w:val="00B01AB5"/>
    <w:rsid w:val="00B01BB2"/>
    <w:rsid w:val="00B027C1"/>
    <w:rsid w:val="00B02A50"/>
    <w:rsid w:val="00B034E0"/>
    <w:rsid w:val="00B0352C"/>
    <w:rsid w:val="00B03A1F"/>
    <w:rsid w:val="00B0427F"/>
    <w:rsid w:val="00B04FD4"/>
    <w:rsid w:val="00B05168"/>
    <w:rsid w:val="00B054D6"/>
    <w:rsid w:val="00B0674E"/>
    <w:rsid w:val="00B074D7"/>
    <w:rsid w:val="00B100CE"/>
    <w:rsid w:val="00B10E80"/>
    <w:rsid w:val="00B146F4"/>
    <w:rsid w:val="00B2200E"/>
    <w:rsid w:val="00B2273B"/>
    <w:rsid w:val="00B22BDF"/>
    <w:rsid w:val="00B27EB2"/>
    <w:rsid w:val="00B31452"/>
    <w:rsid w:val="00B315BB"/>
    <w:rsid w:val="00B324CB"/>
    <w:rsid w:val="00B3314B"/>
    <w:rsid w:val="00B36400"/>
    <w:rsid w:val="00B36B2C"/>
    <w:rsid w:val="00B40196"/>
    <w:rsid w:val="00B40739"/>
    <w:rsid w:val="00B41BE9"/>
    <w:rsid w:val="00B41C85"/>
    <w:rsid w:val="00B43149"/>
    <w:rsid w:val="00B433B2"/>
    <w:rsid w:val="00B44741"/>
    <w:rsid w:val="00B44BE1"/>
    <w:rsid w:val="00B44E46"/>
    <w:rsid w:val="00B45383"/>
    <w:rsid w:val="00B46011"/>
    <w:rsid w:val="00B46447"/>
    <w:rsid w:val="00B544EC"/>
    <w:rsid w:val="00B54AD2"/>
    <w:rsid w:val="00B55DB5"/>
    <w:rsid w:val="00B56446"/>
    <w:rsid w:val="00B5709C"/>
    <w:rsid w:val="00B57F25"/>
    <w:rsid w:val="00B601F0"/>
    <w:rsid w:val="00B6046A"/>
    <w:rsid w:val="00B60480"/>
    <w:rsid w:val="00B60964"/>
    <w:rsid w:val="00B60A65"/>
    <w:rsid w:val="00B60D1E"/>
    <w:rsid w:val="00B61FBA"/>
    <w:rsid w:val="00B62556"/>
    <w:rsid w:val="00B638AE"/>
    <w:rsid w:val="00B64130"/>
    <w:rsid w:val="00B648C1"/>
    <w:rsid w:val="00B66B86"/>
    <w:rsid w:val="00B7025F"/>
    <w:rsid w:val="00B70E08"/>
    <w:rsid w:val="00B714F7"/>
    <w:rsid w:val="00B720B4"/>
    <w:rsid w:val="00B733F6"/>
    <w:rsid w:val="00B7481B"/>
    <w:rsid w:val="00B74940"/>
    <w:rsid w:val="00B74B55"/>
    <w:rsid w:val="00B760CB"/>
    <w:rsid w:val="00B763DA"/>
    <w:rsid w:val="00B76A50"/>
    <w:rsid w:val="00B7765B"/>
    <w:rsid w:val="00B77E43"/>
    <w:rsid w:val="00B83508"/>
    <w:rsid w:val="00B83B93"/>
    <w:rsid w:val="00B8464B"/>
    <w:rsid w:val="00B859AA"/>
    <w:rsid w:val="00B873B2"/>
    <w:rsid w:val="00B919F4"/>
    <w:rsid w:val="00B923AA"/>
    <w:rsid w:val="00B929E2"/>
    <w:rsid w:val="00B94EAB"/>
    <w:rsid w:val="00B96FB8"/>
    <w:rsid w:val="00BA047B"/>
    <w:rsid w:val="00BA10ED"/>
    <w:rsid w:val="00BA132D"/>
    <w:rsid w:val="00BA1D49"/>
    <w:rsid w:val="00BA2038"/>
    <w:rsid w:val="00BA27CA"/>
    <w:rsid w:val="00BA3DC4"/>
    <w:rsid w:val="00BA43F6"/>
    <w:rsid w:val="00BA4BD3"/>
    <w:rsid w:val="00BA4E6A"/>
    <w:rsid w:val="00BA514E"/>
    <w:rsid w:val="00BA6689"/>
    <w:rsid w:val="00BA7094"/>
    <w:rsid w:val="00BB0606"/>
    <w:rsid w:val="00BB1313"/>
    <w:rsid w:val="00BB4638"/>
    <w:rsid w:val="00BB52C8"/>
    <w:rsid w:val="00BB533B"/>
    <w:rsid w:val="00BB577A"/>
    <w:rsid w:val="00BC266C"/>
    <w:rsid w:val="00BC270B"/>
    <w:rsid w:val="00BC3F57"/>
    <w:rsid w:val="00BC49B1"/>
    <w:rsid w:val="00BC4CE8"/>
    <w:rsid w:val="00BC57A5"/>
    <w:rsid w:val="00BC603B"/>
    <w:rsid w:val="00BC64DB"/>
    <w:rsid w:val="00BD13F8"/>
    <w:rsid w:val="00BD3179"/>
    <w:rsid w:val="00BD4D62"/>
    <w:rsid w:val="00BD5D27"/>
    <w:rsid w:val="00BD5E88"/>
    <w:rsid w:val="00BD674A"/>
    <w:rsid w:val="00BD6962"/>
    <w:rsid w:val="00BE067C"/>
    <w:rsid w:val="00BE0689"/>
    <w:rsid w:val="00BE0E9B"/>
    <w:rsid w:val="00BE25CE"/>
    <w:rsid w:val="00BE2C8A"/>
    <w:rsid w:val="00BE2D0A"/>
    <w:rsid w:val="00BE304C"/>
    <w:rsid w:val="00BE312E"/>
    <w:rsid w:val="00BE3CC9"/>
    <w:rsid w:val="00BE4511"/>
    <w:rsid w:val="00BE4FF8"/>
    <w:rsid w:val="00BE59B5"/>
    <w:rsid w:val="00BE61FB"/>
    <w:rsid w:val="00BE64D3"/>
    <w:rsid w:val="00BE7666"/>
    <w:rsid w:val="00BE7E8F"/>
    <w:rsid w:val="00BE7FD2"/>
    <w:rsid w:val="00BF01EB"/>
    <w:rsid w:val="00BF09FD"/>
    <w:rsid w:val="00BF2A5E"/>
    <w:rsid w:val="00BF31E0"/>
    <w:rsid w:val="00BF433D"/>
    <w:rsid w:val="00BF4925"/>
    <w:rsid w:val="00BF6F12"/>
    <w:rsid w:val="00C002CF"/>
    <w:rsid w:val="00C02F3B"/>
    <w:rsid w:val="00C03528"/>
    <w:rsid w:val="00C04BB6"/>
    <w:rsid w:val="00C04C00"/>
    <w:rsid w:val="00C0632C"/>
    <w:rsid w:val="00C0652A"/>
    <w:rsid w:val="00C07E6B"/>
    <w:rsid w:val="00C10C38"/>
    <w:rsid w:val="00C12189"/>
    <w:rsid w:val="00C157C8"/>
    <w:rsid w:val="00C15F00"/>
    <w:rsid w:val="00C1602A"/>
    <w:rsid w:val="00C16471"/>
    <w:rsid w:val="00C17465"/>
    <w:rsid w:val="00C201A2"/>
    <w:rsid w:val="00C20D70"/>
    <w:rsid w:val="00C2106B"/>
    <w:rsid w:val="00C22948"/>
    <w:rsid w:val="00C230C1"/>
    <w:rsid w:val="00C23D27"/>
    <w:rsid w:val="00C24800"/>
    <w:rsid w:val="00C25157"/>
    <w:rsid w:val="00C25460"/>
    <w:rsid w:val="00C26552"/>
    <w:rsid w:val="00C27341"/>
    <w:rsid w:val="00C2768F"/>
    <w:rsid w:val="00C27CAA"/>
    <w:rsid w:val="00C302A0"/>
    <w:rsid w:val="00C305F5"/>
    <w:rsid w:val="00C31022"/>
    <w:rsid w:val="00C31442"/>
    <w:rsid w:val="00C31549"/>
    <w:rsid w:val="00C316B5"/>
    <w:rsid w:val="00C329C6"/>
    <w:rsid w:val="00C32B62"/>
    <w:rsid w:val="00C332CD"/>
    <w:rsid w:val="00C33B8C"/>
    <w:rsid w:val="00C33C9D"/>
    <w:rsid w:val="00C33D00"/>
    <w:rsid w:val="00C33F6E"/>
    <w:rsid w:val="00C33FD5"/>
    <w:rsid w:val="00C3406B"/>
    <w:rsid w:val="00C34487"/>
    <w:rsid w:val="00C34974"/>
    <w:rsid w:val="00C34EC9"/>
    <w:rsid w:val="00C3573D"/>
    <w:rsid w:val="00C35BFD"/>
    <w:rsid w:val="00C379D2"/>
    <w:rsid w:val="00C40B12"/>
    <w:rsid w:val="00C40B4E"/>
    <w:rsid w:val="00C41A14"/>
    <w:rsid w:val="00C4253E"/>
    <w:rsid w:val="00C43FA1"/>
    <w:rsid w:val="00C44192"/>
    <w:rsid w:val="00C451E8"/>
    <w:rsid w:val="00C45F56"/>
    <w:rsid w:val="00C4697B"/>
    <w:rsid w:val="00C47C4C"/>
    <w:rsid w:val="00C507F2"/>
    <w:rsid w:val="00C5119A"/>
    <w:rsid w:val="00C52656"/>
    <w:rsid w:val="00C52817"/>
    <w:rsid w:val="00C5294A"/>
    <w:rsid w:val="00C5334C"/>
    <w:rsid w:val="00C56EC2"/>
    <w:rsid w:val="00C5707C"/>
    <w:rsid w:val="00C57861"/>
    <w:rsid w:val="00C62314"/>
    <w:rsid w:val="00C62DBA"/>
    <w:rsid w:val="00C62EAE"/>
    <w:rsid w:val="00C63F63"/>
    <w:rsid w:val="00C643D9"/>
    <w:rsid w:val="00C65094"/>
    <w:rsid w:val="00C65914"/>
    <w:rsid w:val="00C65B55"/>
    <w:rsid w:val="00C65EE4"/>
    <w:rsid w:val="00C6622E"/>
    <w:rsid w:val="00C663B3"/>
    <w:rsid w:val="00C6646B"/>
    <w:rsid w:val="00C66502"/>
    <w:rsid w:val="00C70379"/>
    <w:rsid w:val="00C71545"/>
    <w:rsid w:val="00C7247D"/>
    <w:rsid w:val="00C724BA"/>
    <w:rsid w:val="00C72BE9"/>
    <w:rsid w:val="00C737E3"/>
    <w:rsid w:val="00C74944"/>
    <w:rsid w:val="00C75564"/>
    <w:rsid w:val="00C76A9A"/>
    <w:rsid w:val="00C80D3C"/>
    <w:rsid w:val="00C81A07"/>
    <w:rsid w:val="00C84310"/>
    <w:rsid w:val="00C843C3"/>
    <w:rsid w:val="00C84E2D"/>
    <w:rsid w:val="00C850E9"/>
    <w:rsid w:val="00C85C9D"/>
    <w:rsid w:val="00C87CA8"/>
    <w:rsid w:val="00C90FF4"/>
    <w:rsid w:val="00C91C09"/>
    <w:rsid w:val="00C9266C"/>
    <w:rsid w:val="00C93727"/>
    <w:rsid w:val="00C9493C"/>
    <w:rsid w:val="00C95E12"/>
    <w:rsid w:val="00C974A4"/>
    <w:rsid w:val="00C97CF1"/>
    <w:rsid w:val="00CA0981"/>
    <w:rsid w:val="00CA0E47"/>
    <w:rsid w:val="00CA171F"/>
    <w:rsid w:val="00CA1D41"/>
    <w:rsid w:val="00CA3B40"/>
    <w:rsid w:val="00CA4497"/>
    <w:rsid w:val="00CA4CD7"/>
    <w:rsid w:val="00CA55E8"/>
    <w:rsid w:val="00CA56CD"/>
    <w:rsid w:val="00CA7F19"/>
    <w:rsid w:val="00CB02F6"/>
    <w:rsid w:val="00CB0493"/>
    <w:rsid w:val="00CB0E27"/>
    <w:rsid w:val="00CB3171"/>
    <w:rsid w:val="00CB50E3"/>
    <w:rsid w:val="00CB5704"/>
    <w:rsid w:val="00CB5CC2"/>
    <w:rsid w:val="00CB7A2E"/>
    <w:rsid w:val="00CB7A65"/>
    <w:rsid w:val="00CC10CD"/>
    <w:rsid w:val="00CC2027"/>
    <w:rsid w:val="00CC22E4"/>
    <w:rsid w:val="00CC7825"/>
    <w:rsid w:val="00CC7A78"/>
    <w:rsid w:val="00CC7B71"/>
    <w:rsid w:val="00CD10FF"/>
    <w:rsid w:val="00CD1879"/>
    <w:rsid w:val="00CD32A2"/>
    <w:rsid w:val="00CD3321"/>
    <w:rsid w:val="00CD47E3"/>
    <w:rsid w:val="00CD523B"/>
    <w:rsid w:val="00CD6397"/>
    <w:rsid w:val="00CD6827"/>
    <w:rsid w:val="00CD6E6E"/>
    <w:rsid w:val="00CD73BD"/>
    <w:rsid w:val="00CE1F22"/>
    <w:rsid w:val="00CE2C85"/>
    <w:rsid w:val="00CE33BC"/>
    <w:rsid w:val="00CE4F3B"/>
    <w:rsid w:val="00CE5A37"/>
    <w:rsid w:val="00CE6C1B"/>
    <w:rsid w:val="00CE798E"/>
    <w:rsid w:val="00CF0747"/>
    <w:rsid w:val="00CF082D"/>
    <w:rsid w:val="00CF155B"/>
    <w:rsid w:val="00CF1D4B"/>
    <w:rsid w:val="00CF4F30"/>
    <w:rsid w:val="00CF548F"/>
    <w:rsid w:val="00CF6E94"/>
    <w:rsid w:val="00D00AFF"/>
    <w:rsid w:val="00D019C2"/>
    <w:rsid w:val="00D02E5B"/>
    <w:rsid w:val="00D033E7"/>
    <w:rsid w:val="00D03994"/>
    <w:rsid w:val="00D03C0C"/>
    <w:rsid w:val="00D03C99"/>
    <w:rsid w:val="00D0697C"/>
    <w:rsid w:val="00D06D85"/>
    <w:rsid w:val="00D06D93"/>
    <w:rsid w:val="00D10FC7"/>
    <w:rsid w:val="00D10FFC"/>
    <w:rsid w:val="00D11FD5"/>
    <w:rsid w:val="00D12B02"/>
    <w:rsid w:val="00D13248"/>
    <w:rsid w:val="00D14C32"/>
    <w:rsid w:val="00D15CCA"/>
    <w:rsid w:val="00D16011"/>
    <w:rsid w:val="00D16BDC"/>
    <w:rsid w:val="00D16F41"/>
    <w:rsid w:val="00D177E6"/>
    <w:rsid w:val="00D17B75"/>
    <w:rsid w:val="00D2031C"/>
    <w:rsid w:val="00D20AD3"/>
    <w:rsid w:val="00D2246C"/>
    <w:rsid w:val="00D227C3"/>
    <w:rsid w:val="00D22E45"/>
    <w:rsid w:val="00D241B4"/>
    <w:rsid w:val="00D246B7"/>
    <w:rsid w:val="00D24A8D"/>
    <w:rsid w:val="00D25788"/>
    <w:rsid w:val="00D2639A"/>
    <w:rsid w:val="00D2649B"/>
    <w:rsid w:val="00D26E00"/>
    <w:rsid w:val="00D26E61"/>
    <w:rsid w:val="00D27AD2"/>
    <w:rsid w:val="00D32914"/>
    <w:rsid w:val="00D34A66"/>
    <w:rsid w:val="00D352F8"/>
    <w:rsid w:val="00D36D81"/>
    <w:rsid w:val="00D370A5"/>
    <w:rsid w:val="00D37C9A"/>
    <w:rsid w:val="00D37F73"/>
    <w:rsid w:val="00D403D8"/>
    <w:rsid w:val="00D4181A"/>
    <w:rsid w:val="00D42243"/>
    <w:rsid w:val="00D4291F"/>
    <w:rsid w:val="00D42A5D"/>
    <w:rsid w:val="00D42ADB"/>
    <w:rsid w:val="00D448AE"/>
    <w:rsid w:val="00D470AD"/>
    <w:rsid w:val="00D471AD"/>
    <w:rsid w:val="00D47BDA"/>
    <w:rsid w:val="00D47D28"/>
    <w:rsid w:val="00D512B9"/>
    <w:rsid w:val="00D5146E"/>
    <w:rsid w:val="00D52BD0"/>
    <w:rsid w:val="00D53212"/>
    <w:rsid w:val="00D535C5"/>
    <w:rsid w:val="00D55478"/>
    <w:rsid w:val="00D557B4"/>
    <w:rsid w:val="00D55D9B"/>
    <w:rsid w:val="00D563D0"/>
    <w:rsid w:val="00D56956"/>
    <w:rsid w:val="00D56993"/>
    <w:rsid w:val="00D57F71"/>
    <w:rsid w:val="00D57F7A"/>
    <w:rsid w:val="00D603FE"/>
    <w:rsid w:val="00D60732"/>
    <w:rsid w:val="00D60C41"/>
    <w:rsid w:val="00D6167A"/>
    <w:rsid w:val="00D61D1F"/>
    <w:rsid w:val="00D627BA"/>
    <w:rsid w:val="00D641CA"/>
    <w:rsid w:val="00D6475A"/>
    <w:rsid w:val="00D65C5A"/>
    <w:rsid w:val="00D6700D"/>
    <w:rsid w:val="00D6779C"/>
    <w:rsid w:val="00D70F5F"/>
    <w:rsid w:val="00D720FC"/>
    <w:rsid w:val="00D75390"/>
    <w:rsid w:val="00D75D55"/>
    <w:rsid w:val="00D76041"/>
    <w:rsid w:val="00D76606"/>
    <w:rsid w:val="00D77804"/>
    <w:rsid w:val="00D77CAA"/>
    <w:rsid w:val="00D77DAC"/>
    <w:rsid w:val="00D80248"/>
    <w:rsid w:val="00D8062A"/>
    <w:rsid w:val="00D80735"/>
    <w:rsid w:val="00D849F8"/>
    <w:rsid w:val="00D85693"/>
    <w:rsid w:val="00D857FF"/>
    <w:rsid w:val="00D85E69"/>
    <w:rsid w:val="00D8688B"/>
    <w:rsid w:val="00D86EDD"/>
    <w:rsid w:val="00D86FE6"/>
    <w:rsid w:val="00D8754E"/>
    <w:rsid w:val="00D87B49"/>
    <w:rsid w:val="00D87CEF"/>
    <w:rsid w:val="00D91579"/>
    <w:rsid w:val="00D919C2"/>
    <w:rsid w:val="00D91C92"/>
    <w:rsid w:val="00D9261F"/>
    <w:rsid w:val="00D9518C"/>
    <w:rsid w:val="00D96A54"/>
    <w:rsid w:val="00D9760C"/>
    <w:rsid w:val="00D9784A"/>
    <w:rsid w:val="00DA0641"/>
    <w:rsid w:val="00DA1888"/>
    <w:rsid w:val="00DA1B61"/>
    <w:rsid w:val="00DA240D"/>
    <w:rsid w:val="00DA3151"/>
    <w:rsid w:val="00DA44AB"/>
    <w:rsid w:val="00DA4C16"/>
    <w:rsid w:val="00DA5A84"/>
    <w:rsid w:val="00DA6F85"/>
    <w:rsid w:val="00DA7617"/>
    <w:rsid w:val="00DA775C"/>
    <w:rsid w:val="00DA781D"/>
    <w:rsid w:val="00DB0C88"/>
    <w:rsid w:val="00DB0D92"/>
    <w:rsid w:val="00DB14D3"/>
    <w:rsid w:val="00DB15B0"/>
    <w:rsid w:val="00DB1FF3"/>
    <w:rsid w:val="00DB2FBF"/>
    <w:rsid w:val="00DB309B"/>
    <w:rsid w:val="00DB6F4A"/>
    <w:rsid w:val="00DC1C65"/>
    <w:rsid w:val="00DC2969"/>
    <w:rsid w:val="00DC37A9"/>
    <w:rsid w:val="00DC3B40"/>
    <w:rsid w:val="00DC439B"/>
    <w:rsid w:val="00DC75CC"/>
    <w:rsid w:val="00DD0331"/>
    <w:rsid w:val="00DD0DF9"/>
    <w:rsid w:val="00DD0FB8"/>
    <w:rsid w:val="00DD1725"/>
    <w:rsid w:val="00DD221D"/>
    <w:rsid w:val="00DD2DD5"/>
    <w:rsid w:val="00DD3B8F"/>
    <w:rsid w:val="00DD44B6"/>
    <w:rsid w:val="00DD52CB"/>
    <w:rsid w:val="00DD540F"/>
    <w:rsid w:val="00DD671B"/>
    <w:rsid w:val="00DD6FE6"/>
    <w:rsid w:val="00DE01DA"/>
    <w:rsid w:val="00DE04B6"/>
    <w:rsid w:val="00DE1323"/>
    <w:rsid w:val="00DE13D7"/>
    <w:rsid w:val="00DE207C"/>
    <w:rsid w:val="00DE2495"/>
    <w:rsid w:val="00DE43CF"/>
    <w:rsid w:val="00DE4C11"/>
    <w:rsid w:val="00DE64ED"/>
    <w:rsid w:val="00DE6ACC"/>
    <w:rsid w:val="00DE72A9"/>
    <w:rsid w:val="00DE7B35"/>
    <w:rsid w:val="00DE7E1E"/>
    <w:rsid w:val="00DF03A9"/>
    <w:rsid w:val="00DF042F"/>
    <w:rsid w:val="00DF0987"/>
    <w:rsid w:val="00DF17D6"/>
    <w:rsid w:val="00DF1A34"/>
    <w:rsid w:val="00DF1D2F"/>
    <w:rsid w:val="00DF1EA8"/>
    <w:rsid w:val="00DF4322"/>
    <w:rsid w:val="00DF6A93"/>
    <w:rsid w:val="00DF6B25"/>
    <w:rsid w:val="00E008FE"/>
    <w:rsid w:val="00E00DAE"/>
    <w:rsid w:val="00E01CB9"/>
    <w:rsid w:val="00E03B30"/>
    <w:rsid w:val="00E03CE5"/>
    <w:rsid w:val="00E044A4"/>
    <w:rsid w:val="00E05F9B"/>
    <w:rsid w:val="00E0607B"/>
    <w:rsid w:val="00E06704"/>
    <w:rsid w:val="00E06DEC"/>
    <w:rsid w:val="00E0704C"/>
    <w:rsid w:val="00E10A0B"/>
    <w:rsid w:val="00E10D2A"/>
    <w:rsid w:val="00E10DE6"/>
    <w:rsid w:val="00E119D0"/>
    <w:rsid w:val="00E12CD2"/>
    <w:rsid w:val="00E13442"/>
    <w:rsid w:val="00E1588B"/>
    <w:rsid w:val="00E16BF5"/>
    <w:rsid w:val="00E1728F"/>
    <w:rsid w:val="00E177D0"/>
    <w:rsid w:val="00E17D76"/>
    <w:rsid w:val="00E21177"/>
    <w:rsid w:val="00E2160E"/>
    <w:rsid w:val="00E219A3"/>
    <w:rsid w:val="00E2296E"/>
    <w:rsid w:val="00E22AB4"/>
    <w:rsid w:val="00E22CE6"/>
    <w:rsid w:val="00E22F1A"/>
    <w:rsid w:val="00E23FD7"/>
    <w:rsid w:val="00E241AA"/>
    <w:rsid w:val="00E24381"/>
    <w:rsid w:val="00E2474D"/>
    <w:rsid w:val="00E2510D"/>
    <w:rsid w:val="00E2648A"/>
    <w:rsid w:val="00E26C84"/>
    <w:rsid w:val="00E26E57"/>
    <w:rsid w:val="00E270BB"/>
    <w:rsid w:val="00E300D6"/>
    <w:rsid w:val="00E308F9"/>
    <w:rsid w:val="00E30FF3"/>
    <w:rsid w:val="00E32663"/>
    <w:rsid w:val="00E32DF7"/>
    <w:rsid w:val="00E34155"/>
    <w:rsid w:val="00E355AC"/>
    <w:rsid w:val="00E36FA9"/>
    <w:rsid w:val="00E370EE"/>
    <w:rsid w:val="00E375ED"/>
    <w:rsid w:val="00E37679"/>
    <w:rsid w:val="00E37A30"/>
    <w:rsid w:val="00E408DE"/>
    <w:rsid w:val="00E4118B"/>
    <w:rsid w:val="00E418C1"/>
    <w:rsid w:val="00E41F95"/>
    <w:rsid w:val="00E4287E"/>
    <w:rsid w:val="00E42A89"/>
    <w:rsid w:val="00E439AE"/>
    <w:rsid w:val="00E45EB8"/>
    <w:rsid w:val="00E47648"/>
    <w:rsid w:val="00E50C45"/>
    <w:rsid w:val="00E5139A"/>
    <w:rsid w:val="00E5238F"/>
    <w:rsid w:val="00E53A56"/>
    <w:rsid w:val="00E5799D"/>
    <w:rsid w:val="00E605DB"/>
    <w:rsid w:val="00E60D7C"/>
    <w:rsid w:val="00E61E66"/>
    <w:rsid w:val="00E62B83"/>
    <w:rsid w:val="00E6544F"/>
    <w:rsid w:val="00E662B1"/>
    <w:rsid w:val="00E669C1"/>
    <w:rsid w:val="00E67282"/>
    <w:rsid w:val="00E67F1C"/>
    <w:rsid w:val="00E70586"/>
    <w:rsid w:val="00E70DFD"/>
    <w:rsid w:val="00E7275F"/>
    <w:rsid w:val="00E7511A"/>
    <w:rsid w:val="00E756C4"/>
    <w:rsid w:val="00E76F05"/>
    <w:rsid w:val="00E80037"/>
    <w:rsid w:val="00E81058"/>
    <w:rsid w:val="00E822D0"/>
    <w:rsid w:val="00E82564"/>
    <w:rsid w:val="00E83FAE"/>
    <w:rsid w:val="00E85584"/>
    <w:rsid w:val="00E86011"/>
    <w:rsid w:val="00E86B8B"/>
    <w:rsid w:val="00E86F43"/>
    <w:rsid w:val="00E8775A"/>
    <w:rsid w:val="00E87C62"/>
    <w:rsid w:val="00E901E8"/>
    <w:rsid w:val="00E90F69"/>
    <w:rsid w:val="00E92BEF"/>
    <w:rsid w:val="00E92D51"/>
    <w:rsid w:val="00E92D5E"/>
    <w:rsid w:val="00E92EBD"/>
    <w:rsid w:val="00E932B4"/>
    <w:rsid w:val="00E961D2"/>
    <w:rsid w:val="00E96CF6"/>
    <w:rsid w:val="00E97F5A"/>
    <w:rsid w:val="00EA0027"/>
    <w:rsid w:val="00EA080A"/>
    <w:rsid w:val="00EA0A5E"/>
    <w:rsid w:val="00EA0CC8"/>
    <w:rsid w:val="00EA2435"/>
    <w:rsid w:val="00EA2511"/>
    <w:rsid w:val="00EA282B"/>
    <w:rsid w:val="00EA2E8E"/>
    <w:rsid w:val="00EA3BCD"/>
    <w:rsid w:val="00EA4217"/>
    <w:rsid w:val="00EA5135"/>
    <w:rsid w:val="00EA529E"/>
    <w:rsid w:val="00EA5A23"/>
    <w:rsid w:val="00EA6C72"/>
    <w:rsid w:val="00EA7229"/>
    <w:rsid w:val="00EA7933"/>
    <w:rsid w:val="00EB0027"/>
    <w:rsid w:val="00EB07EB"/>
    <w:rsid w:val="00EB2F3B"/>
    <w:rsid w:val="00EB3018"/>
    <w:rsid w:val="00EB38A8"/>
    <w:rsid w:val="00EB3B7A"/>
    <w:rsid w:val="00EB543F"/>
    <w:rsid w:val="00EB61B9"/>
    <w:rsid w:val="00EB63B0"/>
    <w:rsid w:val="00EB6E11"/>
    <w:rsid w:val="00EB739A"/>
    <w:rsid w:val="00EC0F24"/>
    <w:rsid w:val="00EC17A2"/>
    <w:rsid w:val="00EC1B96"/>
    <w:rsid w:val="00EC1DAD"/>
    <w:rsid w:val="00EC2131"/>
    <w:rsid w:val="00EC2649"/>
    <w:rsid w:val="00EC589E"/>
    <w:rsid w:val="00EC69D5"/>
    <w:rsid w:val="00EC75B5"/>
    <w:rsid w:val="00ED00F6"/>
    <w:rsid w:val="00ED0C1F"/>
    <w:rsid w:val="00ED1707"/>
    <w:rsid w:val="00ED394B"/>
    <w:rsid w:val="00ED3A0B"/>
    <w:rsid w:val="00ED498C"/>
    <w:rsid w:val="00ED5827"/>
    <w:rsid w:val="00EE10F9"/>
    <w:rsid w:val="00EE1D9D"/>
    <w:rsid w:val="00EE2755"/>
    <w:rsid w:val="00EE2C37"/>
    <w:rsid w:val="00EE3C8A"/>
    <w:rsid w:val="00EE4ABF"/>
    <w:rsid w:val="00EE4DA2"/>
    <w:rsid w:val="00EE6AB1"/>
    <w:rsid w:val="00EE6C54"/>
    <w:rsid w:val="00EE75F6"/>
    <w:rsid w:val="00EF16FB"/>
    <w:rsid w:val="00EF3845"/>
    <w:rsid w:val="00EF5328"/>
    <w:rsid w:val="00EF665A"/>
    <w:rsid w:val="00EF6C5C"/>
    <w:rsid w:val="00EF6DD7"/>
    <w:rsid w:val="00EF7773"/>
    <w:rsid w:val="00F00279"/>
    <w:rsid w:val="00F00370"/>
    <w:rsid w:val="00F008E3"/>
    <w:rsid w:val="00F01979"/>
    <w:rsid w:val="00F02159"/>
    <w:rsid w:val="00F02AC8"/>
    <w:rsid w:val="00F043D6"/>
    <w:rsid w:val="00F043E5"/>
    <w:rsid w:val="00F0550F"/>
    <w:rsid w:val="00F0607D"/>
    <w:rsid w:val="00F11625"/>
    <w:rsid w:val="00F11BAA"/>
    <w:rsid w:val="00F13095"/>
    <w:rsid w:val="00F13C5F"/>
    <w:rsid w:val="00F14A39"/>
    <w:rsid w:val="00F15038"/>
    <w:rsid w:val="00F214BC"/>
    <w:rsid w:val="00F23272"/>
    <w:rsid w:val="00F23804"/>
    <w:rsid w:val="00F2535B"/>
    <w:rsid w:val="00F25574"/>
    <w:rsid w:val="00F26E04"/>
    <w:rsid w:val="00F270D1"/>
    <w:rsid w:val="00F27319"/>
    <w:rsid w:val="00F278A0"/>
    <w:rsid w:val="00F31619"/>
    <w:rsid w:val="00F31F3E"/>
    <w:rsid w:val="00F3211B"/>
    <w:rsid w:val="00F3258C"/>
    <w:rsid w:val="00F3469A"/>
    <w:rsid w:val="00F34E62"/>
    <w:rsid w:val="00F35973"/>
    <w:rsid w:val="00F3630C"/>
    <w:rsid w:val="00F37301"/>
    <w:rsid w:val="00F37881"/>
    <w:rsid w:val="00F37899"/>
    <w:rsid w:val="00F4039D"/>
    <w:rsid w:val="00F4096C"/>
    <w:rsid w:val="00F41128"/>
    <w:rsid w:val="00F41E31"/>
    <w:rsid w:val="00F43230"/>
    <w:rsid w:val="00F43532"/>
    <w:rsid w:val="00F43609"/>
    <w:rsid w:val="00F4505A"/>
    <w:rsid w:val="00F4514B"/>
    <w:rsid w:val="00F46B3B"/>
    <w:rsid w:val="00F50FEA"/>
    <w:rsid w:val="00F515B0"/>
    <w:rsid w:val="00F52765"/>
    <w:rsid w:val="00F52EBF"/>
    <w:rsid w:val="00F5369C"/>
    <w:rsid w:val="00F54642"/>
    <w:rsid w:val="00F54EC5"/>
    <w:rsid w:val="00F5645B"/>
    <w:rsid w:val="00F5663A"/>
    <w:rsid w:val="00F57745"/>
    <w:rsid w:val="00F578E8"/>
    <w:rsid w:val="00F579E1"/>
    <w:rsid w:val="00F60239"/>
    <w:rsid w:val="00F60773"/>
    <w:rsid w:val="00F6088D"/>
    <w:rsid w:val="00F60A1E"/>
    <w:rsid w:val="00F60F64"/>
    <w:rsid w:val="00F623D0"/>
    <w:rsid w:val="00F62E30"/>
    <w:rsid w:val="00F632AB"/>
    <w:rsid w:val="00F648E5"/>
    <w:rsid w:val="00F657B7"/>
    <w:rsid w:val="00F67623"/>
    <w:rsid w:val="00F67DDD"/>
    <w:rsid w:val="00F718C5"/>
    <w:rsid w:val="00F73ED0"/>
    <w:rsid w:val="00F74AE9"/>
    <w:rsid w:val="00F75166"/>
    <w:rsid w:val="00F77A00"/>
    <w:rsid w:val="00F81B12"/>
    <w:rsid w:val="00F841F9"/>
    <w:rsid w:val="00F84372"/>
    <w:rsid w:val="00F84F42"/>
    <w:rsid w:val="00F85094"/>
    <w:rsid w:val="00F85CE3"/>
    <w:rsid w:val="00F869AD"/>
    <w:rsid w:val="00F87A93"/>
    <w:rsid w:val="00F87FD1"/>
    <w:rsid w:val="00F902A4"/>
    <w:rsid w:val="00F9066D"/>
    <w:rsid w:val="00F90784"/>
    <w:rsid w:val="00F90E9F"/>
    <w:rsid w:val="00F92006"/>
    <w:rsid w:val="00F9210C"/>
    <w:rsid w:val="00F92E15"/>
    <w:rsid w:val="00F9354B"/>
    <w:rsid w:val="00F959E0"/>
    <w:rsid w:val="00F963BC"/>
    <w:rsid w:val="00F963BD"/>
    <w:rsid w:val="00F96757"/>
    <w:rsid w:val="00F96CDA"/>
    <w:rsid w:val="00F97469"/>
    <w:rsid w:val="00FA2069"/>
    <w:rsid w:val="00FA2174"/>
    <w:rsid w:val="00FA3677"/>
    <w:rsid w:val="00FA61AF"/>
    <w:rsid w:val="00FA68E0"/>
    <w:rsid w:val="00FA6B87"/>
    <w:rsid w:val="00FB01F6"/>
    <w:rsid w:val="00FB2B8D"/>
    <w:rsid w:val="00FB3987"/>
    <w:rsid w:val="00FB5CC8"/>
    <w:rsid w:val="00FB631C"/>
    <w:rsid w:val="00FB6A45"/>
    <w:rsid w:val="00FB6E37"/>
    <w:rsid w:val="00FC0AB9"/>
    <w:rsid w:val="00FC2023"/>
    <w:rsid w:val="00FC4B7F"/>
    <w:rsid w:val="00FC63F4"/>
    <w:rsid w:val="00FC6EF9"/>
    <w:rsid w:val="00FC6F43"/>
    <w:rsid w:val="00FC7145"/>
    <w:rsid w:val="00FD03D0"/>
    <w:rsid w:val="00FD061B"/>
    <w:rsid w:val="00FD06C5"/>
    <w:rsid w:val="00FD0ACB"/>
    <w:rsid w:val="00FD113A"/>
    <w:rsid w:val="00FD189D"/>
    <w:rsid w:val="00FD1E50"/>
    <w:rsid w:val="00FD1E95"/>
    <w:rsid w:val="00FD2E72"/>
    <w:rsid w:val="00FD3126"/>
    <w:rsid w:val="00FD3671"/>
    <w:rsid w:val="00FD3A23"/>
    <w:rsid w:val="00FD4764"/>
    <w:rsid w:val="00FD627F"/>
    <w:rsid w:val="00FD6D84"/>
    <w:rsid w:val="00FE1BD9"/>
    <w:rsid w:val="00FE2802"/>
    <w:rsid w:val="00FE33C5"/>
    <w:rsid w:val="00FE39BA"/>
    <w:rsid w:val="00FE695F"/>
    <w:rsid w:val="00FE6BBB"/>
    <w:rsid w:val="00FE70E1"/>
    <w:rsid w:val="00FE72F8"/>
    <w:rsid w:val="00FE7ACB"/>
    <w:rsid w:val="00FF1098"/>
    <w:rsid w:val="00FF1613"/>
    <w:rsid w:val="00FF225D"/>
    <w:rsid w:val="00FF22C1"/>
    <w:rsid w:val="00FF2EB9"/>
    <w:rsid w:val="00FF314D"/>
    <w:rsid w:val="00FF3EA3"/>
    <w:rsid w:val="00FF55D9"/>
    <w:rsid w:val="00FF737C"/>
    <w:rsid w:val="00FF7DD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836B79"/>
  <w15:chartTrackingRefBased/>
  <w15:docId w15:val="{BB1FE6E3-8543-41AA-B5D0-13156999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8"/>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20D70"/>
    <w:pPr>
      <w:spacing w:before="75" w:after="75"/>
      <w:jc w:val="center"/>
    </w:pPr>
    <w:rPr>
      <w:rFonts w:eastAsia="Times New Roman"/>
      <w:szCs w:val="24"/>
      <w:lang w:eastAsia="lv-LV"/>
    </w:rPr>
  </w:style>
  <w:style w:type="paragraph" w:customStyle="1" w:styleId="naisf">
    <w:name w:val="naisf"/>
    <w:basedOn w:val="Normal"/>
    <w:rsid w:val="00C20D70"/>
    <w:pPr>
      <w:spacing w:before="75" w:after="75"/>
      <w:ind w:firstLine="375"/>
      <w:jc w:val="both"/>
    </w:pPr>
    <w:rPr>
      <w:rFonts w:eastAsia="Times New Roman"/>
      <w:szCs w:val="24"/>
      <w:lang w:eastAsia="lv-LV"/>
    </w:rPr>
  </w:style>
  <w:style w:type="paragraph" w:customStyle="1" w:styleId="naisnod">
    <w:name w:val="naisnod"/>
    <w:basedOn w:val="Normal"/>
    <w:uiPriority w:val="99"/>
    <w:rsid w:val="00C20D70"/>
    <w:pPr>
      <w:spacing w:before="150" w:after="150"/>
      <w:jc w:val="center"/>
    </w:pPr>
    <w:rPr>
      <w:rFonts w:eastAsia="Times New Roman"/>
      <w:b/>
      <w:bCs/>
      <w:szCs w:val="24"/>
      <w:lang w:eastAsia="lv-LV"/>
    </w:rPr>
  </w:style>
  <w:style w:type="paragraph" w:styleId="Header">
    <w:name w:val="header"/>
    <w:basedOn w:val="Normal"/>
    <w:link w:val="HeaderChar"/>
    <w:uiPriority w:val="99"/>
    <w:unhideWhenUsed/>
    <w:rsid w:val="00C20D70"/>
    <w:pPr>
      <w:tabs>
        <w:tab w:val="center" w:pos="4153"/>
        <w:tab w:val="right" w:pos="8306"/>
      </w:tabs>
    </w:pPr>
  </w:style>
  <w:style w:type="character" w:customStyle="1" w:styleId="HeaderChar">
    <w:name w:val="Header Char"/>
    <w:basedOn w:val="DefaultParagraphFont"/>
    <w:link w:val="Header"/>
    <w:uiPriority w:val="99"/>
    <w:rsid w:val="00C20D70"/>
  </w:style>
  <w:style w:type="paragraph" w:styleId="Footer">
    <w:name w:val="footer"/>
    <w:basedOn w:val="Normal"/>
    <w:link w:val="FooterChar"/>
    <w:unhideWhenUsed/>
    <w:rsid w:val="00C20D70"/>
    <w:pPr>
      <w:tabs>
        <w:tab w:val="center" w:pos="4153"/>
        <w:tab w:val="right" w:pos="8306"/>
      </w:tabs>
    </w:pPr>
  </w:style>
  <w:style w:type="character" w:customStyle="1" w:styleId="FooterChar">
    <w:name w:val="Footer Char"/>
    <w:basedOn w:val="DefaultParagraphFont"/>
    <w:link w:val="Footer"/>
    <w:rsid w:val="00C20D70"/>
  </w:style>
  <w:style w:type="paragraph" w:styleId="ListParagraph">
    <w:name w:val="List Paragraph"/>
    <w:aliases w:val="2"/>
    <w:basedOn w:val="Normal"/>
    <w:link w:val="ListParagraphChar"/>
    <w:qFormat/>
    <w:rsid w:val="00FD189D"/>
    <w:pPr>
      <w:widowControl w:val="0"/>
      <w:spacing w:before="60" w:after="60" w:line="360" w:lineRule="auto"/>
      <w:ind w:left="720" w:firstLine="720"/>
      <w:contextualSpacing/>
      <w:jc w:val="both"/>
    </w:pPr>
    <w:rPr>
      <w:rFonts w:eastAsia="Times New Roman"/>
      <w:sz w:val="26"/>
      <w:szCs w:val="20"/>
      <w:lang w:val="en-AU"/>
    </w:rPr>
  </w:style>
  <w:style w:type="character" w:styleId="Hyperlink">
    <w:name w:val="Hyperlink"/>
    <w:unhideWhenUsed/>
    <w:rsid w:val="00D370A5"/>
    <w:rPr>
      <w:color w:val="0000FF"/>
      <w:u w:val="single"/>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uiPriority w:val="99"/>
    <w:unhideWhenUsed/>
    <w:rsid w:val="00D370A5"/>
    <w:pPr>
      <w:widowControl w:val="0"/>
      <w:spacing w:after="200" w:line="276" w:lineRule="auto"/>
    </w:pPr>
    <w:rPr>
      <w:rFonts w:ascii="Calibri" w:eastAsia="Calibri" w:hAnsi="Calibri"/>
      <w:sz w:val="20"/>
      <w:szCs w:val="20"/>
      <w:lang w:val="en-US"/>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uiPriority w:val="99"/>
    <w:rsid w:val="00D370A5"/>
    <w:rPr>
      <w:rFonts w:ascii="Calibri" w:eastAsia="Calibri" w:hAnsi="Calibri" w:cs="Times New Roman"/>
      <w:sz w:val="20"/>
      <w:szCs w:val="20"/>
      <w:lang w:val="en-US"/>
    </w:rPr>
  </w:style>
  <w:style w:type="character" w:styleId="FootnoteReference">
    <w:name w:val="footnote reference"/>
    <w:aliases w:val="Footnote Reference Number,Footnote symbol,SUPERS"/>
    <w:uiPriority w:val="99"/>
    <w:unhideWhenUsed/>
    <w:rsid w:val="00D370A5"/>
    <w:rPr>
      <w:vertAlign w:val="superscript"/>
    </w:rPr>
  </w:style>
  <w:style w:type="paragraph" w:styleId="BodyText">
    <w:name w:val="Body Text"/>
    <w:basedOn w:val="Normal"/>
    <w:link w:val="BodyTextChar"/>
    <w:uiPriority w:val="99"/>
    <w:unhideWhenUsed/>
    <w:rsid w:val="009D66B6"/>
    <w:pPr>
      <w:jc w:val="both"/>
    </w:pPr>
    <w:rPr>
      <w:rFonts w:eastAsia="Calibri"/>
      <w:sz w:val="28"/>
      <w:lang w:eastAsia="lv-LV"/>
    </w:rPr>
  </w:style>
  <w:style w:type="character" w:customStyle="1" w:styleId="BodyTextChar">
    <w:name w:val="Body Text Char"/>
    <w:basedOn w:val="DefaultParagraphFont"/>
    <w:link w:val="BodyText"/>
    <w:uiPriority w:val="99"/>
    <w:rsid w:val="009D66B6"/>
    <w:rPr>
      <w:rFonts w:ascii="Times New Roman" w:eastAsia="Calibri" w:hAnsi="Times New Roman" w:cs="Times New Roman"/>
      <w:sz w:val="28"/>
      <w:szCs w:val="28"/>
      <w:lang w:eastAsia="lv-LV"/>
    </w:rPr>
  </w:style>
  <w:style w:type="paragraph" w:styleId="NoSpacing">
    <w:name w:val="No Spacing"/>
    <w:basedOn w:val="Normal"/>
    <w:next w:val="Normal"/>
    <w:uiPriority w:val="1"/>
    <w:qFormat/>
    <w:rsid w:val="00934E25"/>
    <w:pPr>
      <w:widowControl w:val="0"/>
      <w:jc w:val="both"/>
    </w:pPr>
    <w:rPr>
      <w:rFonts w:eastAsia="Calibri"/>
    </w:rPr>
  </w:style>
  <w:style w:type="character" w:styleId="CommentReference">
    <w:name w:val="annotation reference"/>
    <w:basedOn w:val="DefaultParagraphFont"/>
    <w:uiPriority w:val="99"/>
    <w:semiHidden/>
    <w:unhideWhenUsed/>
    <w:rsid w:val="00EC2131"/>
    <w:rPr>
      <w:sz w:val="16"/>
      <w:szCs w:val="16"/>
    </w:rPr>
  </w:style>
  <w:style w:type="paragraph" w:styleId="CommentText">
    <w:name w:val="annotation text"/>
    <w:aliases w:val="Char3"/>
    <w:basedOn w:val="Normal"/>
    <w:link w:val="CommentTextChar"/>
    <w:uiPriority w:val="99"/>
    <w:unhideWhenUsed/>
    <w:rsid w:val="00EC2131"/>
    <w:rPr>
      <w:sz w:val="20"/>
      <w:szCs w:val="20"/>
    </w:rPr>
  </w:style>
  <w:style w:type="character" w:customStyle="1" w:styleId="CommentTextChar">
    <w:name w:val="Comment Text Char"/>
    <w:aliases w:val="Char3 Char"/>
    <w:basedOn w:val="DefaultParagraphFont"/>
    <w:link w:val="CommentText"/>
    <w:uiPriority w:val="99"/>
    <w:rsid w:val="00EC2131"/>
    <w:rPr>
      <w:sz w:val="20"/>
      <w:szCs w:val="20"/>
    </w:rPr>
  </w:style>
  <w:style w:type="paragraph" w:styleId="CommentSubject">
    <w:name w:val="annotation subject"/>
    <w:basedOn w:val="CommentText"/>
    <w:next w:val="CommentText"/>
    <w:link w:val="CommentSubjectChar"/>
    <w:uiPriority w:val="99"/>
    <w:semiHidden/>
    <w:unhideWhenUsed/>
    <w:rsid w:val="00EC2131"/>
    <w:rPr>
      <w:b/>
      <w:bCs/>
    </w:rPr>
  </w:style>
  <w:style w:type="character" w:customStyle="1" w:styleId="CommentSubjectChar">
    <w:name w:val="Comment Subject Char"/>
    <w:basedOn w:val="CommentTextChar"/>
    <w:link w:val="CommentSubject"/>
    <w:uiPriority w:val="99"/>
    <w:semiHidden/>
    <w:rsid w:val="00EC2131"/>
    <w:rPr>
      <w:b/>
      <w:bCs/>
      <w:sz w:val="20"/>
      <w:szCs w:val="20"/>
    </w:rPr>
  </w:style>
  <w:style w:type="paragraph" w:styleId="BalloonText">
    <w:name w:val="Balloon Text"/>
    <w:basedOn w:val="Normal"/>
    <w:link w:val="BalloonTextChar"/>
    <w:uiPriority w:val="99"/>
    <w:semiHidden/>
    <w:unhideWhenUsed/>
    <w:rsid w:val="00EC2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31"/>
    <w:rPr>
      <w:rFonts w:ascii="Segoe UI" w:hAnsi="Segoe UI" w:cs="Segoe UI"/>
      <w:sz w:val="18"/>
      <w:szCs w:val="18"/>
    </w:rPr>
  </w:style>
  <w:style w:type="character" w:customStyle="1" w:styleId="spelle">
    <w:name w:val="spelle"/>
    <w:basedOn w:val="DefaultParagraphFont"/>
    <w:rsid w:val="0070392E"/>
  </w:style>
  <w:style w:type="paragraph" w:customStyle="1" w:styleId="Default">
    <w:name w:val="Default"/>
    <w:rsid w:val="00B43149"/>
    <w:pPr>
      <w:autoSpaceDE w:val="0"/>
      <w:autoSpaceDN w:val="0"/>
      <w:adjustRightInd w:val="0"/>
    </w:pPr>
    <w:rPr>
      <w:szCs w:val="24"/>
    </w:rPr>
  </w:style>
  <w:style w:type="paragraph" w:customStyle="1" w:styleId="CM1">
    <w:name w:val="CM1"/>
    <w:basedOn w:val="Default"/>
    <w:next w:val="Default"/>
    <w:uiPriority w:val="99"/>
    <w:rsid w:val="00B43149"/>
  </w:style>
  <w:style w:type="paragraph" w:customStyle="1" w:styleId="CM3">
    <w:name w:val="CM3"/>
    <w:basedOn w:val="Default"/>
    <w:next w:val="Default"/>
    <w:uiPriority w:val="99"/>
    <w:rsid w:val="00B43149"/>
  </w:style>
  <w:style w:type="paragraph" w:customStyle="1" w:styleId="CM4">
    <w:name w:val="CM4"/>
    <w:basedOn w:val="Default"/>
    <w:next w:val="Default"/>
    <w:uiPriority w:val="99"/>
    <w:rsid w:val="00B43149"/>
  </w:style>
  <w:style w:type="paragraph" w:customStyle="1" w:styleId="tv213">
    <w:name w:val="tv213"/>
    <w:basedOn w:val="Normal"/>
    <w:rsid w:val="00B41C85"/>
    <w:pPr>
      <w:spacing w:before="100" w:beforeAutospacing="1" w:after="100" w:afterAutospacing="1"/>
    </w:pPr>
    <w:rPr>
      <w:rFonts w:eastAsia="Times New Roman"/>
      <w:color w:val="auto"/>
      <w:szCs w:val="24"/>
      <w:lang w:val="en-US"/>
    </w:rPr>
  </w:style>
  <w:style w:type="character" w:customStyle="1" w:styleId="ListParagraphChar">
    <w:name w:val="List Paragraph Char"/>
    <w:aliases w:val="2 Char"/>
    <w:link w:val="ListParagraph"/>
    <w:uiPriority w:val="34"/>
    <w:locked/>
    <w:rsid w:val="00A057E9"/>
    <w:rPr>
      <w:rFonts w:eastAsia="Times New Roman"/>
      <w:sz w:val="26"/>
      <w:szCs w:val="20"/>
      <w:lang w:val="en-AU"/>
    </w:rPr>
  </w:style>
  <w:style w:type="paragraph" w:styleId="NormalWeb">
    <w:name w:val="Normal (Web)"/>
    <w:basedOn w:val="Normal"/>
    <w:uiPriority w:val="99"/>
    <w:rsid w:val="00291472"/>
    <w:pPr>
      <w:spacing w:before="100" w:beforeAutospacing="1" w:after="100" w:afterAutospacing="1"/>
    </w:pPr>
    <w:rPr>
      <w:rFonts w:eastAsia="Times New Roman"/>
      <w:color w:val="auto"/>
      <w:szCs w:val="24"/>
      <w:lang w:eastAsia="lv-LV"/>
    </w:rPr>
  </w:style>
  <w:style w:type="paragraph" w:customStyle="1" w:styleId="naiskr">
    <w:name w:val="naiskr"/>
    <w:basedOn w:val="Normal"/>
    <w:rsid w:val="00291472"/>
    <w:pPr>
      <w:spacing w:before="75" w:after="75"/>
    </w:pPr>
    <w:rPr>
      <w:rFonts w:eastAsia="Times New Roman"/>
      <w:color w:val="auto"/>
      <w:szCs w:val="24"/>
      <w:lang w:eastAsia="lv-LV"/>
    </w:rPr>
  </w:style>
  <w:style w:type="paragraph" w:styleId="Revision">
    <w:name w:val="Revision"/>
    <w:hidden/>
    <w:uiPriority w:val="99"/>
    <w:semiHidden/>
    <w:rsid w:val="00C33C9D"/>
  </w:style>
  <w:style w:type="table" w:styleId="TableGrid">
    <w:name w:val="Table Grid"/>
    <w:basedOn w:val="TableNormal"/>
    <w:uiPriority w:val="39"/>
    <w:rsid w:val="00EB38A8"/>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652629"/>
    <w:pPr>
      <w:spacing w:line="360" w:lineRule="auto"/>
      <w:ind w:firstLine="300"/>
    </w:pPr>
    <w:rPr>
      <w:rFonts w:eastAsia="Times New Roman"/>
      <w:color w:val="414142"/>
      <w:sz w:val="20"/>
      <w:szCs w:val="20"/>
      <w:lang w:eastAsia="lv-LV"/>
    </w:rPr>
  </w:style>
  <w:style w:type="character" w:customStyle="1" w:styleId="italic1">
    <w:name w:val="italic1"/>
    <w:basedOn w:val="DefaultParagraphFont"/>
    <w:rsid w:val="001D6BFE"/>
    <w:rPr>
      <w:i/>
      <w:iCs/>
    </w:rPr>
  </w:style>
  <w:style w:type="character" w:styleId="Emphasis">
    <w:name w:val="Emphasis"/>
    <w:basedOn w:val="DefaultParagraphFont"/>
    <w:uiPriority w:val="20"/>
    <w:qFormat/>
    <w:rsid w:val="00E21177"/>
    <w:rPr>
      <w:b/>
      <w:bCs/>
      <w:i w:val="0"/>
      <w:iCs w:val="0"/>
    </w:rPr>
  </w:style>
  <w:style w:type="character" w:customStyle="1" w:styleId="st1">
    <w:name w:val="st1"/>
    <w:basedOn w:val="DefaultParagraphFont"/>
    <w:rsid w:val="00E21177"/>
  </w:style>
  <w:style w:type="paragraph" w:styleId="EnvelopeAddress">
    <w:name w:val="envelope address"/>
    <w:basedOn w:val="Normal"/>
    <w:next w:val="Subtitle"/>
    <w:rsid w:val="00224EC7"/>
    <w:pPr>
      <w:keepNext/>
      <w:keepLines/>
      <w:widowControl w:val="0"/>
      <w:spacing w:before="60" w:after="60"/>
      <w:ind w:left="5103"/>
    </w:pPr>
    <w:rPr>
      <w:rFonts w:eastAsia="Times New Roman"/>
      <w:color w:val="auto"/>
      <w:sz w:val="26"/>
      <w:szCs w:val="20"/>
    </w:rPr>
  </w:style>
  <w:style w:type="paragraph" w:styleId="Subtitle">
    <w:name w:val="Subtitle"/>
    <w:basedOn w:val="Normal"/>
    <w:next w:val="Normal"/>
    <w:link w:val="SubtitleChar"/>
    <w:uiPriority w:val="11"/>
    <w:qFormat/>
    <w:rsid w:val="00224E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24EC7"/>
    <w:rPr>
      <w:rFonts w:asciiTheme="minorHAnsi" w:eastAsiaTheme="minorEastAsia" w:hAnsiTheme="minorHAnsi" w:cstheme="minorBidi"/>
      <w:color w:val="5A5A5A" w:themeColor="text1" w:themeTint="A5"/>
      <w:spacing w:val="15"/>
      <w:sz w:val="22"/>
      <w:szCs w:val="22"/>
    </w:rPr>
  </w:style>
  <w:style w:type="paragraph" w:styleId="PlainText">
    <w:name w:val="Plain Text"/>
    <w:basedOn w:val="Normal"/>
    <w:link w:val="PlainTextChar"/>
    <w:uiPriority w:val="99"/>
    <w:unhideWhenUsed/>
    <w:rsid w:val="00FB631C"/>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FB631C"/>
    <w:rPr>
      <w:rFonts w:ascii="Calibri" w:hAnsi="Calibri" w:cstheme="minorBidi"/>
      <w:color w:val="auto"/>
      <w:sz w:val="22"/>
      <w:szCs w:val="21"/>
    </w:rPr>
  </w:style>
  <w:style w:type="paragraph" w:customStyle="1" w:styleId="liknoteik">
    <w:name w:val="lik_noteik"/>
    <w:basedOn w:val="Normal"/>
    <w:rsid w:val="00CD523B"/>
    <w:pPr>
      <w:spacing w:before="100" w:beforeAutospacing="1" w:after="100" w:afterAutospacing="1"/>
    </w:pPr>
    <w:rPr>
      <w:rFonts w:eastAsia="Times New Roman"/>
      <w:color w:val="auto"/>
      <w:szCs w:val="24"/>
      <w:lang w:eastAsia="lv-LV"/>
    </w:rPr>
  </w:style>
  <w:style w:type="paragraph" w:customStyle="1" w:styleId="tv213tvp">
    <w:name w:val="tv213 tvp"/>
    <w:basedOn w:val="Normal"/>
    <w:rsid w:val="00715B6C"/>
    <w:pPr>
      <w:spacing w:before="100" w:beforeAutospacing="1" w:after="100" w:afterAutospacing="1"/>
    </w:pPr>
    <w:rPr>
      <w:rFonts w:eastAsia="Times New Roman"/>
      <w:color w:val="auto"/>
      <w:szCs w:val="24"/>
      <w:lang w:eastAsia="lv-LV"/>
    </w:rPr>
  </w:style>
  <w:style w:type="character" w:styleId="Strong">
    <w:name w:val="Strong"/>
    <w:basedOn w:val="DefaultParagraphFont"/>
    <w:uiPriority w:val="22"/>
    <w:qFormat/>
    <w:rsid w:val="0058417C"/>
    <w:rPr>
      <w:b/>
      <w:bCs/>
    </w:rPr>
  </w:style>
  <w:style w:type="character" w:customStyle="1" w:styleId="UnresolvedMention1">
    <w:name w:val="Unresolved Mention1"/>
    <w:basedOn w:val="DefaultParagraphFont"/>
    <w:uiPriority w:val="99"/>
    <w:semiHidden/>
    <w:unhideWhenUsed/>
    <w:rsid w:val="00A10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3950">
      <w:bodyDiv w:val="1"/>
      <w:marLeft w:val="0"/>
      <w:marRight w:val="0"/>
      <w:marTop w:val="0"/>
      <w:marBottom w:val="0"/>
      <w:divBdr>
        <w:top w:val="none" w:sz="0" w:space="0" w:color="auto"/>
        <w:left w:val="none" w:sz="0" w:space="0" w:color="auto"/>
        <w:bottom w:val="none" w:sz="0" w:space="0" w:color="auto"/>
        <w:right w:val="none" w:sz="0" w:space="0" w:color="auto"/>
      </w:divBdr>
    </w:div>
    <w:div w:id="85612019">
      <w:bodyDiv w:val="1"/>
      <w:marLeft w:val="0"/>
      <w:marRight w:val="0"/>
      <w:marTop w:val="0"/>
      <w:marBottom w:val="0"/>
      <w:divBdr>
        <w:top w:val="none" w:sz="0" w:space="0" w:color="auto"/>
        <w:left w:val="none" w:sz="0" w:space="0" w:color="auto"/>
        <w:bottom w:val="none" w:sz="0" w:space="0" w:color="auto"/>
        <w:right w:val="none" w:sz="0" w:space="0" w:color="auto"/>
      </w:divBdr>
      <w:divsChild>
        <w:div w:id="728260665">
          <w:marLeft w:val="0"/>
          <w:marRight w:val="0"/>
          <w:marTop w:val="0"/>
          <w:marBottom w:val="0"/>
          <w:divBdr>
            <w:top w:val="none" w:sz="0" w:space="0" w:color="auto"/>
            <w:left w:val="none" w:sz="0" w:space="0" w:color="auto"/>
            <w:bottom w:val="none" w:sz="0" w:space="0" w:color="auto"/>
            <w:right w:val="none" w:sz="0" w:space="0" w:color="auto"/>
          </w:divBdr>
          <w:divsChild>
            <w:div w:id="1620723244">
              <w:marLeft w:val="0"/>
              <w:marRight w:val="0"/>
              <w:marTop w:val="0"/>
              <w:marBottom w:val="0"/>
              <w:divBdr>
                <w:top w:val="none" w:sz="0" w:space="0" w:color="auto"/>
                <w:left w:val="none" w:sz="0" w:space="0" w:color="auto"/>
                <w:bottom w:val="none" w:sz="0" w:space="0" w:color="auto"/>
                <w:right w:val="none" w:sz="0" w:space="0" w:color="auto"/>
              </w:divBdr>
              <w:divsChild>
                <w:div w:id="1540358643">
                  <w:marLeft w:val="0"/>
                  <w:marRight w:val="0"/>
                  <w:marTop w:val="0"/>
                  <w:marBottom w:val="0"/>
                  <w:divBdr>
                    <w:top w:val="none" w:sz="0" w:space="0" w:color="auto"/>
                    <w:left w:val="none" w:sz="0" w:space="0" w:color="auto"/>
                    <w:bottom w:val="none" w:sz="0" w:space="0" w:color="auto"/>
                    <w:right w:val="none" w:sz="0" w:space="0" w:color="auto"/>
                  </w:divBdr>
                  <w:divsChild>
                    <w:div w:id="509411701">
                      <w:marLeft w:val="0"/>
                      <w:marRight w:val="0"/>
                      <w:marTop w:val="0"/>
                      <w:marBottom w:val="0"/>
                      <w:divBdr>
                        <w:top w:val="none" w:sz="0" w:space="0" w:color="auto"/>
                        <w:left w:val="none" w:sz="0" w:space="0" w:color="auto"/>
                        <w:bottom w:val="none" w:sz="0" w:space="0" w:color="auto"/>
                        <w:right w:val="none" w:sz="0" w:space="0" w:color="auto"/>
                      </w:divBdr>
                      <w:divsChild>
                        <w:div w:id="293947737">
                          <w:marLeft w:val="0"/>
                          <w:marRight w:val="0"/>
                          <w:marTop w:val="0"/>
                          <w:marBottom w:val="0"/>
                          <w:divBdr>
                            <w:top w:val="none" w:sz="0" w:space="0" w:color="auto"/>
                            <w:left w:val="none" w:sz="0" w:space="0" w:color="auto"/>
                            <w:bottom w:val="none" w:sz="0" w:space="0" w:color="auto"/>
                            <w:right w:val="none" w:sz="0" w:space="0" w:color="auto"/>
                          </w:divBdr>
                          <w:divsChild>
                            <w:div w:id="19933694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1061">
      <w:bodyDiv w:val="1"/>
      <w:marLeft w:val="0"/>
      <w:marRight w:val="0"/>
      <w:marTop w:val="0"/>
      <w:marBottom w:val="0"/>
      <w:divBdr>
        <w:top w:val="none" w:sz="0" w:space="0" w:color="auto"/>
        <w:left w:val="none" w:sz="0" w:space="0" w:color="auto"/>
        <w:bottom w:val="none" w:sz="0" w:space="0" w:color="auto"/>
        <w:right w:val="none" w:sz="0" w:space="0" w:color="auto"/>
      </w:divBdr>
    </w:div>
    <w:div w:id="178811587">
      <w:bodyDiv w:val="1"/>
      <w:marLeft w:val="0"/>
      <w:marRight w:val="0"/>
      <w:marTop w:val="0"/>
      <w:marBottom w:val="0"/>
      <w:divBdr>
        <w:top w:val="none" w:sz="0" w:space="0" w:color="auto"/>
        <w:left w:val="none" w:sz="0" w:space="0" w:color="auto"/>
        <w:bottom w:val="none" w:sz="0" w:space="0" w:color="auto"/>
        <w:right w:val="none" w:sz="0" w:space="0" w:color="auto"/>
      </w:divBdr>
    </w:div>
    <w:div w:id="226496838">
      <w:bodyDiv w:val="1"/>
      <w:marLeft w:val="0"/>
      <w:marRight w:val="0"/>
      <w:marTop w:val="0"/>
      <w:marBottom w:val="0"/>
      <w:divBdr>
        <w:top w:val="none" w:sz="0" w:space="0" w:color="auto"/>
        <w:left w:val="none" w:sz="0" w:space="0" w:color="auto"/>
        <w:bottom w:val="none" w:sz="0" w:space="0" w:color="auto"/>
        <w:right w:val="none" w:sz="0" w:space="0" w:color="auto"/>
      </w:divBdr>
    </w:div>
    <w:div w:id="277763519">
      <w:bodyDiv w:val="1"/>
      <w:marLeft w:val="0"/>
      <w:marRight w:val="0"/>
      <w:marTop w:val="0"/>
      <w:marBottom w:val="0"/>
      <w:divBdr>
        <w:top w:val="none" w:sz="0" w:space="0" w:color="auto"/>
        <w:left w:val="none" w:sz="0" w:space="0" w:color="auto"/>
        <w:bottom w:val="none" w:sz="0" w:space="0" w:color="auto"/>
        <w:right w:val="none" w:sz="0" w:space="0" w:color="auto"/>
      </w:divBdr>
    </w:div>
    <w:div w:id="280846266">
      <w:bodyDiv w:val="1"/>
      <w:marLeft w:val="0"/>
      <w:marRight w:val="0"/>
      <w:marTop w:val="0"/>
      <w:marBottom w:val="0"/>
      <w:divBdr>
        <w:top w:val="none" w:sz="0" w:space="0" w:color="auto"/>
        <w:left w:val="none" w:sz="0" w:space="0" w:color="auto"/>
        <w:bottom w:val="none" w:sz="0" w:space="0" w:color="auto"/>
        <w:right w:val="none" w:sz="0" w:space="0" w:color="auto"/>
      </w:divBdr>
    </w:div>
    <w:div w:id="315303911">
      <w:bodyDiv w:val="1"/>
      <w:marLeft w:val="0"/>
      <w:marRight w:val="0"/>
      <w:marTop w:val="0"/>
      <w:marBottom w:val="0"/>
      <w:divBdr>
        <w:top w:val="none" w:sz="0" w:space="0" w:color="auto"/>
        <w:left w:val="none" w:sz="0" w:space="0" w:color="auto"/>
        <w:bottom w:val="none" w:sz="0" w:space="0" w:color="auto"/>
        <w:right w:val="none" w:sz="0" w:space="0" w:color="auto"/>
      </w:divBdr>
    </w:div>
    <w:div w:id="404886071">
      <w:bodyDiv w:val="1"/>
      <w:marLeft w:val="0"/>
      <w:marRight w:val="0"/>
      <w:marTop w:val="0"/>
      <w:marBottom w:val="0"/>
      <w:divBdr>
        <w:top w:val="none" w:sz="0" w:space="0" w:color="auto"/>
        <w:left w:val="none" w:sz="0" w:space="0" w:color="auto"/>
        <w:bottom w:val="none" w:sz="0" w:space="0" w:color="auto"/>
        <w:right w:val="none" w:sz="0" w:space="0" w:color="auto"/>
      </w:divBdr>
    </w:div>
    <w:div w:id="466820957">
      <w:bodyDiv w:val="1"/>
      <w:marLeft w:val="0"/>
      <w:marRight w:val="0"/>
      <w:marTop w:val="0"/>
      <w:marBottom w:val="0"/>
      <w:divBdr>
        <w:top w:val="none" w:sz="0" w:space="0" w:color="auto"/>
        <w:left w:val="none" w:sz="0" w:space="0" w:color="auto"/>
        <w:bottom w:val="none" w:sz="0" w:space="0" w:color="auto"/>
        <w:right w:val="none" w:sz="0" w:space="0" w:color="auto"/>
      </w:divBdr>
    </w:div>
    <w:div w:id="473913664">
      <w:bodyDiv w:val="1"/>
      <w:marLeft w:val="0"/>
      <w:marRight w:val="0"/>
      <w:marTop w:val="0"/>
      <w:marBottom w:val="0"/>
      <w:divBdr>
        <w:top w:val="none" w:sz="0" w:space="0" w:color="auto"/>
        <w:left w:val="none" w:sz="0" w:space="0" w:color="auto"/>
        <w:bottom w:val="none" w:sz="0" w:space="0" w:color="auto"/>
        <w:right w:val="none" w:sz="0" w:space="0" w:color="auto"/>
      </w:divBdr>
    </w:div>
    <w:div w:id="503980856">
      <w:bodyDiv w:val="1"/>
      <w:marLeft w:val="0"/>
      <w:marRight w:val="0"/>
      <w:marTop w:val="0"/>
      <w:marBottom w:val="0"/>
      <w:divBdr>
        <w:top w:val="none" w:sz="0" w:space="0" w:color="auto"/>
        <w:left w:val="none" w:sz="0" w:space="0" w:color="auto"/>
        <w:bottom w:val="none" w:sz="0" w:space="0" w:color="auto"/>
        <w:right w:val="none" w:sz="0" w:space="0" w:color="auto"/>
      </w:divBdr>
    </w:div>
    <w:div w:id="522130851">
      <w:bodyDiv w:val="1"/>
      <w:marLeft w:val="0"/>
      <w:marRight w:val="0"/>
      <w:marTop w:val="0"/>
      <w:marBottom w:val="0"/>
      <w:divBdr>
        <w:top w:val="none" w:sz="0" w:space="0" w:color="auto"/>
        <w:left w:val="none" w:sz="0" w:space="0" w:color="auto"/>
        <w:bottom w:val="none" w:sz="0" w:space="0" w:color="auto"/>
        <w:right w:val="none" w:sz="0" w:space="0" w:color="auto"/>
      </w:divBdr>
    </w:div>
    <w:div w:id="624166133">
      <w:bodyDiv w:val="1"/>
      <w:marLeft w:val="0"/>
      <w:marRight w:val="0"/>
      <w:marTop w:val="0"/>
      <w:marBottom w:val="0"/>
      <w:divBdr>
        <w:top w:val="none" w:sz="0" w:space="0" w:color="auto"/>
        <w:left w:val="none" w:sz="0" w:space="0" w:color="auto"/>
        <w:bottom w:val="none" w:sz="0" w:space="0" w:color="auto"/>
        <w:right w:val="none" w:sz="0" w:space="0" w:color="auto"/>
      </w:divBdr>
    </w:div>
    <w:div w:id="638845174">
      <w:bodyDiv w:val="1"/>
      <w:marLeft w:val="0"/>
      <w:marRight w:val="0"/>
      <w:marTop w:val="0"/>
      <w:marBottom w:val="0"/>
      <w:divBdr>
        <w:top w:val="none" w:sz="0" w:space="0" w:color="auto"/>
        <w:left w:val="none" w:sz="0" w:space="0" w:color="auto"/>
        <w:bottom w:val="none" w:sz="0" w:space="0" w:color="auto"/>
        <w:right w:val="none" w:sz="0" w:space="0" w:color="auto"/>
      </w:divBdr>
    </w:div>
    <w:div w:id="658461421">
      <w:bodyDiv w:val="1"/>
      <w:marLeft w:val="0"/>
      <w:marRight w:val="0"/>
      <w:marTop w:val="0"/>
      <w:marBottom w:val="0"/>
      <w:divBdr>
        <w:top w:val="none" w:sz="0" w:space="0" w:color="auto"/>
        <w:left w:val="none" w:sz="0" w:space="0" w:color="auto"/>
        <w:bottom w:val="none" w:sz="0" w:space="0" w:color="auto"/>
        <w:right w:val="none" w:sz="0" w:space="0" w:color="auto"/>
      </w:divBdr>
    </w:div>
    <w:div w:id="664211314">
      <w:bodyDiv w:val="1"/>
      <w:marLeft w:val="0"/>
      <w:marRight w:val="0"/>
      <w:marTop w:val="0"/>
      <w:marBottom w:val="0"/>
      <w:divBdr>
        <w:top w:val="none" w:sz="0" w:space="0" w:color="auto"/>
        <w:left w:val="none" w:sz="0" w:space="0" w:color="auto"/>
        <w:bottom w:val="none" w:sz="0" w:space="0" w:color="auto"/>
        <w:right w:val="none" w:sz="0" w:space="0" w:color="auto"/>
      </w:divBdr>
    </w:div>
    <w:div w:id="685254018">
      <w:bodyDiv w:val="1"/>
      <w:marLeft w:val="0"/>
      <w:marRight w:val="0"/>
      <w:marTop w:val="0"/>
      <w:marBottom w:val="0"/>
      <w:divBdr>
        <w:top w:val="none" w:sz="0" w:space="0" w:color="auto"/>
        <w:left w:val="none" w:sz="0" w:space="0" w:color="auto"/>
        <w:bottom w:val="none" w:sz="0" w:space="0" w:color="auto"/>
        <w:right w:val="none" w:sz="0" w:space="0" w:color="auto"/>
      </w:divBdr>
    </w:div>
    <w:div w:id="787241548">
      <w:bodyDiv w:val="1"/>
      <w:marLeft w:val="0"/>
      <w:marRight w:val="0"/>
      <w:marTop w:val="0"/>
      <w:marBottom w:val="0"/>
      <w:divBdr>
        <w:top w:val="none" w:sz="0" w:space="0" w:color="auto"/>
        <w:left w:val="none" w:sz="0" w:space="0" w:color="auto"/>
        <w:bottom w:val="none" w:sz="0" w:space="0" w:color="auto"/>
        <w:right w:val="none" w:sz="0" w:space="0" w:color="auto"/>
      </w:divBdr>
    </w:div>
    <w:div w:id="789470722">
      <w:bodyDiv w:val="1"/>
      <w:marLeft w:val="0"/>
      <w:marRight w:val="0"/>
      <w:marTop w:val="0"/>
      <w:marBottom w:val="0"/>
      <w:divBdr>
        <w:top w:val="none" w:sz="0" w:space="0" w:color="auto"/>
        <w:left w:val="none" w:sz="0" w:space="0" w:color="auto"/>
        <w:bottom w:val="none" w:sz="0" w:space="0" w:color="auto"/>
        <w:right w:val="none" w:sz="0" w:space="0" w:color="auto"/>
      </w:divBdr>
    </w:div>
    <w:div w:id="806703658">
      <w:bodyDiv w:val="1"/>
      <w:marLeft w:val="0"/>
      <w:marRight w:val="0"/>
      <w:marTop w:val="0"/>
      <w:marBottom w:val="0"/>
      <w:divBdr>
        <w:top w:val="none" w:sz="0" w:space="0" w:color="auto"/>
        <w:left w:val="none" w:sz="0" w:space="0" w:color="auto"/>
        <w:bottom w:val="none" w:sz="0" w:space="0" w:color="auto"/>
        <w:right w:val="none" w:sz="0" w:space="0" w:color="auto"/>
      </w:divBdr>
    </w:div>
    <w:div w:id="826046559">
      <w:bodyDiv w:val="1"/>
      <w:marLeft w:val="0"/>
      <w:marRight w:val="0"/>
      <w:marTop w:val="0"/>
      <w:marBottom w:val="0"/>
      <w:divBdr>
        <w:top w:val="none" w:sz="0" w:space="0" w:color="auto"/>
        <w:left w:val="none" w:sz="0" w:space="0" w:color="auto"/>
        <w:bottom w:val="none" w:sz="0" w:space="0" w:color="auto"/>
        <w:right w:val="none" w:sz="0" w:space="0" w:color="auto"/>
      </w:divBdr>
    </w:div>
    <w:div w:id="887452984">
      <w:bodyDiv w:val="1"/>
      <w:marLeft w:val="0"/>
      <w:marRight w:val="0"/>
      <w:marTop w:val="0"/>
      <w:marBottom w:val="0"/>
      <w:divBdr>
        <w:top w:val="none" w:sz="0" w:space="0" w:color="auto"/>
        <w:left w:val="none" w:sz="0" w:space="0" w:color="auto"/>
        <w:bottom w:val="none" w:sz="0" w:space="0" w:color="auto"/>
        <w:right w:val="none" w:sz="0" w:space="0" w:color="auto"/>
      </w:divBdr>
    </w:div>
    <w:div w:id="927347633">
      <w:bodyDiv w:val="1"/>
      <w:marLeft w:val="0"/>
      <w:marRight w:val="0"/>
      <w:marTop w:val="0"/>
      <w:marBottom w:val="0"/>
      <w:divBdr>
        <w:top w:val="none" w:sz="0" w:space="0" w:color="auto"/>
        <w:left w:val="none" w:sz="0" w:space="0" w:color="auto"/>
        <w:bottom w:val="none" w:sz="0" w:space="0" w:color="auto"/>
        <w:right w:val="none" w:sz="0" w:space="0" w:color="auto"/>
      </w:divBdr>
    </w:div>
    <w:div w:id="937181900">
      <w:bodyDiv w:val="1"/>
      <w:marLeft w:val="0"/>
      <w:marRight w:val="0"/>
      <w:marTop w:val="0"/>
      <w:marBottom w:val="0"/>
      <w:divBdr>
        <w:top w:val="none" w:sz="0" w:space="0" w:color="auto"/>
        <w:left w:val="none" w:sz="0" w:space="0" w:color="auto"/>
        <w:bottom w:val="none" w:sz="0" w:space="0" w:color="auto"/>
        <w:right w:val="none" w:sz="0" w:space="0" w:color="auto"/>
      </w:divBdr>
    </w:div>
    <w:div w:id="957644658">
      <w:bodyDiv w:val="1"/>
      <w:marLeft w:val="0"/>
      <w:marRight w:val="0"/>
      <w:marTop w:val="0"/>
      <w:marBottom w:val="0"/>
      <w:divBdr>
        <w:top w:val="none" w:sz="0" w:space="0" w:color="auto"/>
        <w:left w:val="none" w:sz="0" w:space="0" w:color="auto"/>
        <w:bottom w:val="none" w:sz="0" w:space="0" w:color="auto"/>
        <w:right w:val="none" w:sz="0" w:space="0" w:color="auto"/>
      </w:divBdr>
    </w:div>
    <w:div w:id="1031608428">
      <w:bodyDiv w:val="1"/>
      <w:marLeft w:val="0"/>
      <w:marRight w:val="0"/>
      <w:marTop w:val="0"/>
      <w:marBottom w:val="0"/>
      <w:divBdr>
        <w:top w:val="none" w:sz="0" w:space="0" w:color="auto"/>
        <w:left w:val="none" w:sz="0" w:space="0" w:color="auto"/>
        <w:bottom w:val="none" w:sz="0" w:space="0" w:color="auto"/>
        <w:right w:val="none" w:sz="0" w:space="0" w:color="auto"/>
      </w:divBdr>
    </w:div>
    <w:div w:id="1049185821">
      <w:bodyDiv w:val="1"/>
      <w:marLeft w:val="0"/>
      <w:marRight w:val="0"/>
      <w:marTop w:val="0"/>
      <w:marBottom w:val="0"/>
      <w:divBdr>
        <w:top w:val="none" w:sz="0" w:space="0" w:color="auto"/>
        <w:left w:val="none" w:sz="0" w:space="0" w:color="auto"/>
        <w:bottom w:val="none" w:sz="0" w:space="0" w:color="auto"/>
        <w:right w:val="none" w:sz="0" w:space="0" w:color="auto"/>
      </w:divBdr>
    </w:div>
    <w:div w:id="1116604868">
      <w:bodyDiv w:val="1"/>
      <w:marLeft w:val="0"/>
      <w:marRight w:val="0"/>
      <w:marTop w:val="0"/>
      <w:marBottom w:val="0"/>
      <w:divBdr>
        <w:top w:val="none" w:sz="0" w:space="0" w:color="auto"/>
        <w:left w:val="none" w:sz="0" w:space="0" w:color="auto"/>
        <w:bottom w:val="none" w:sz="0" w:space="0" w:color="auto"/>
        <w:right w:val="none" w:sz="0" w:space="0" w:color="auto"/>
      </w:divBdr>
    </w:div>
    <w:div w:id="1138379581">
      <w:bodyDiv w:val="1"/>
      <w:marLeft w:val="0"/>
      <w:marRight w:val="0"/>
      <w:marTop w:val="0"/>
      <w:marBottom w:val="0"/>
      <w:divBdr>
        <w:top w:val="none" w:sz="0" w:space="0" w:color="auto"/>
        <w:left w:val="none" w:sz="0" w:space="0" w:color="auto"/>
        <w:bottom w:val="none" w:sz="0" w:space="0" w:color="auto"/>
        <w:right w:val="none" w:sz="0" w:space="0" w:color="auto"/>
      </w:divBdr>
    </w:div>
    <w:div w:id="1146118966">
      <w:bodyDiv w:val="1"/>
      <w:marLeft w:val="0"/>
      <w:marRight w:val="0"/>
      <w:marTop w:val="0"/>
      <w:marBottom w:val="0"/>
      <w:divBdr>
        <w:top w:val="none" w:sz="0" w:space="0" w:color="auto"/>
        <w:left w:val="none" w:sz="0" w:space="0" w:color="auto"/>
        <w:bottom w:val="none" w:sz="0" w:space="0" w:color="auto"/>
        <w:right w:val="none" w:sz="0" w:space="0" w:color="auto"/>
      </w:divBdr>
    </w:div>
    <w:div w:id="1157569198">
      <w:bodyDiv w:val="1"/>
      <w:marLeft w:val="0"/>
      <w:marRight w:val="0"/>
      <w:marTop w:val="0"/>
      <w:marBottom w:val="0"/>
      <w:divBdr>
        <w:top w:val="none" w:sz="0" w:space="0" w:color="auto"/>
        <w:left w:val="none" w:sz="0" w:space="0" w:color="auto"/>
        <w:bottom w:val="none" w:sz="0" w:space="0" w:color="auto"/>
        <w:right w:val="none" w:sz="0" w:space="0" w:color="auto"/>
      </w:divBdr>
    </w:div>
    <w:div w:id="1164054628">
      <w:bodyDiv w:val="1"/>
      <w:marLeft w:val="0"/>
      <w:marRight w:val="0"/>
      <w:marTop w:val="0"/>
      <w:marBottom w:val="0"/>
      <w:divBdr>
        <w:top w:val="none" w:sz="0" w:space="0" w:color="auto"/>
        <w:left w:val="none" w:sz="0" w:space="0" w:color="auto"/>
        <w:bottom w:val="none" w:sz="0" w:space="0" w:color="auto"/>
        <w:right w:val="none" w:sz="0" w:space="0" w:color="auto"/>
      </w:divBdr>
    </w:div>
    <w:div w:id="1198202024">
      <w:bodyDiv w:val="1"/>
      <w:marLeft w:val="0"/>
      <w:marRight w:val="0"/>
      <w:marTop w:val="0"/>
      <w:marBottom w:val="0"/>
      <w:divBdr>
        <w:top w:val="none" w:sz="0" w:space="0" w:color="auto"/>
        <w:left w:val="none" w:sz="0" w:space="0" w:color="auto"/>
        <w:bottom w:val="none" w:sz="0" w:space="0" w:color="auto"/>
        <w:right w:val="none" w:sz="0" w:space="0" w:color="auto"/>
      </w:divBdr>
    </w:div>
    <w:div w:id="1211457442">
      <w:bodyDiv w:val="1"/>
      <w:marLeft w:val="0"/>
      <w:marRight w:val="0"/>
      <w:marTop w:val="0"/>
      <w:marBottom w:val="0"/>
      <w:divBdr>
        <w:top w:val="none" w:sz="0" w:space="0" w:color="auto"/>
        <w:left w:val="none" w:sz="0" w:space="0" w:color="auto"/>
        <w:bottom w:val="none" w:sz="0" w:space="0" w:color="auto"/>
        <w:right w:val="none" w:sz="0" w:space="0" w:color="auto"/>
      </w:divBdr>
    </w:div>
    <w:div w:id="1293293885">
      <w:bodyDiv w:val="1"/>
      <w:marLeft w:val="0"/>
      <w:marRight w:val="0"/>
      <w:marTop w:val="0"/>
      <w:marBottom w:val="0"/>
      <w:divBdr>
        <w:top w:val="none" w:sz="0" w:space="0" w:color="auto"/>
        <w:left w:val="none" w:sz="0" w:space="0" w:color="auto"/>
        <w:bottom w:val="none" w:sz="0" w:space="0" w:color="auto"/>
        <w:right w:val="none" w:sz="0" w:space="0" w:color="auto"/>
      </w:divBdr>
    </w:div>
    <w:div w:id="1306592718">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135341150">
          <w:marLeft w:val="0"/>
          <w:marRight w:val="0"/>
          <w:marTop w:val="0"/>
          <w:marBottom w:val="0"/>
          <w:divBdr>
            <w:top w:val="none" w:sz="0" w:space="0" w:color="auto"/>
            <w:left w:val="none" w:sz="0" w:space="0" w:color="auto"/>
            <w:bottom w:val="none" w:sz="0" w:space="0" w:color="auto"/>
            <w:right w:val="none" w:sz="0" w:space="0" w:color="auto"/>
          </w:divBdr>
          <w:divsChild>
            <w:div w:id="32925210">
              <w:marLeft w:val="0"/>
              <w:marRight w:val="0"/>
              <w:marTop w:val="0"/>
              <w:marBottom w:val="0"/>
              <w:divBdr>
                <w:top w:val="none" w:sz="0" w:space="0" w:color="auto"/>
                <w:left w:val="none" w:sz="0" w:space="0" w:color="auto"/>
                <w:bottom w:val="none" w:sz="0" w:space="0" w:color="auto"/>
                <w:right w:val="none" w:sz="0" w:space="0" w:color="auto"/>
              </w:divBdr>
              <w:divsChild>
                <w:div w:id="2043941926">
                  <w:marLeft w:val="0"/>
                  <w:marRight w:val="0"/>
                  <w:marTop w:val="0"/>
                  <w:marBottom w:val="0"/>
                  <w:divBdr>
                    <w:top w:val="none" w:sz="0" w:space="0" w:color="auto"/>
                    <w:left w:val="none" w:sz="0" w:space="0" w:color="auto"/>
                    <w:bottom w:val="none" w:sz="0" w:space="0" w:color="auto"/>
                    <w:right w:val="none" w:sz="0" w:space="0" w:color="auto"/>
                  </w:divBdr>
                  <w:divsChild>
                    <w:div w:id="1562709476">
                      <w:marLeft w:val="0"/>
                      <w:marRight w:val="0"/>
                      <w:marTop w:val="0"/>
                      <w:marBottom w:val="0"/>
                      <w:divBdr>
                        <w:top w:val="none" w:sz="0" w:space="0" w:color="auto"/>
                        <w:left w:val="none" w:sz="0" w:space="0" w:color="auto"/>
                        <w:bottom w:val="none" w:sz="0" w:space="0" w:color="auto"/>
                        <w:right w:val="none" w:sz="0" w:space="0" w:color="auto"/>
                      </w:divBdr>
                      <w:divsChild>
                        <w:div w:id="379549577">
                          <w:marLeft w:val="0"/>
                          <w:marRight w:val="0"/>
                          <w:marTop w:val="0"/>
                          <w:marBottom w:val="0"/>
                          <w:divBdr>
                            <w:top w:val="none" w:sz="0" w:space="0" w:color="auto"/>
                            <w:left w:val="none" w:sz="0" w:space="0" w:color="auto"/>
                            <w:bottom w:val="none" w:sz="0" w:space="0" w:color="auto"/>
                            <w:right w:val="none" w:sz="0" w:space="0" w:color="auto"/>
                          </w:divBdr>
                          <w:divsChild>
                            <w:div w:id="17807626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48016">
      <w:bodyDiv w:val="1"/>
      <w:marLeft w:val="0"/>
      <w:marRight w:val="0"/>
      <w:marTop w:val="0"/>
      <w:marBottom w:val="0"/>
      <w:divBdr>
        <w:top w:val="none" w:sz="0" w:space="0" w:color="auto"/>
        <w:left w:val="none" w:sz="0" w:space="0" w:color="auto"/>
        <w:bottom w:val="none" w:sz="0" w:space="0" w:color="auto"/>
        <w:right w:val="none" w:sz="0" w:space="0" w:color="auto"/>
      </w:divBdr>
    </w:div>
    <w:div w:id="1368217568">
      <w:bodyDiv w:val="1"/>
      <w:marLeft w:val="0"/>
      <w:marRight w:val="0"/>
      <w:marTop w:val="0"/>
      <w:marBottom w:val="0"/>
      <w:divBdr>
        <w:top w:val="none" w:sz="0" w:space="0" w:color="auto"/>
        <w:left w:val="none" w:sz="0" w:space="0" w:color="auto"/>
        <w:bottom w:val="none" w:sz="0" w:space="0" w:color="auto"/>
        <w:right w:val="none" w:sz="0" w:space="0" w:color="auto"/>
      </w:divBdr>
    </w:div>
    <w:div w:id="1484812009">
      <w:bodyDiv w:val="1"/>
      <w:marLeft w:val="0"/>
      <w:marRight w:val="0"/>
      <w:marTop w:val="0"/>
      <w:marBottom w:val="0"/>
      <w:divBdr>
        <w:top w:val="none" w:sz="0" w:space="0" w:color="auto"/>
        <w:left w:val="none" w:sz="0" w:space="0" w:color="auto"/>
        <w:bottom w:val="none" w:sz="0" w:space="0" w:color="auto"/>
        <w:right w:val="none" w:sz="0" w:space="0" w:color="auto"/>
      </w:divBdr>
    </w:div>
    <w:div w:id="1552616510">
      <w:bodyDiv w:val="1"/>
      <w:marLeft w:val="0"/>
      <w:marRight w:val="0"/>
      <w:marTop w:val="0"/>
      <w:marBottom w:val="0"/>
      <w:divBdr>
        <w:top w:val="none" w:sz="0" w:space="0" w:color="auto"/>
        <w:left w:val="none" w:sz="0" w:space="0" w:color="auto"/>
        <w:bottom w:val="none" w:sz="0" w:space="0" w:color="auto"/>
        <w:right w:val="none" w:sz="0" w:space="0" w:color="auto"/>
      </w:divBdr>
    </w:div>
    <w:div w:id="1586765595">
      <w:bodyDiv w:val="1"/>
      <w:marLeft w:val="0"/>
      <w:marRight w:val="0"/>
      <w:marTop w:val="0"/>
      <w:marBottom w:val="0"/>
      <w:divBdr>
        <w:top w:val="none" w:sz="0" w:space="0" w:color="auto"/>
        <w:left w:val="none" w:sz="0" w:space="0" w:color="auto"/>
        <w:bottom w:val="none" w:sz="0" w:space="0" w:color="auto"/>
        <w:right w:val="none" w:sz="0" w:space="0" w:color="auto"/>
      </w:divBdr>
    </w:div>
    <w:div w:id="1588347971">
      <w:bodyDiv w:val="1"/>
      <w:marLeft w:val="0"/>
      <w:marRight w:val="0"/>
      <w:marTop w:val="0"/>
      <w:marBottom w:val="0"/>
      <w:divBdr>
        <w:top w:val="none" w:sz="0" w:space="0" w:color="auto"/>
        <w:left w:val="none" w:sz="0" w:space="0" w:color="auto"/>
        <w:bottom w:val="none" w:sz="0" w:space="0" w:color="auto"/>
        <w:right w:val="none" w:sz="0" w:space="0" w:color="auto"/>
      </w:divBdr>
    </w:div>
    <w:div w:id="1597321312">
      <w:bodyDiv w:val="1"/>
      <w:marLeft w:val="0"/>
      <w:marRight w:val="0"/>
      <w:marTop w:val="0"/>
      <w:marBottom w:val="0"/>
      <w:divBdr>
        <w:top w:val="none" w:sz="0" w:space="0" w:color="auto"/>
        <w:left w:val="none" w:sz="0" w:space="0" w:color="auto"/>
        <w:bottom w:val="none" w:sz="0" w:space="0" w:color="auto"/>
        <w:right w:val="none" w:sz="0" w:space="0" w:color="auto"/>
      </w:divBdr>
    </w:div>
    <w:div w:id="1639648359">
      <w:bodyDiv w:val="1"/>
      <w:marLeft w:val="0"/>
      <w:marRight w:val="0"/>
      <w:marTop w:val="0"/>
      <w:marBottom w:val="0"/>
      <w:divBdr>
        <w:top w:val="none" w:sz="0" w:space="0" w:color="auto"/>
        <w:left w:val="none" w:sz="0" w:space="0" w:color="auto"/>
        <w:bottom w:val="none" w:sz="0" w:space="0" w:color="auto"/>
        <w:right w:val="none" w:sz="0" w:space="0" w:color="auto"/>
      </w:divBdr>
    </w:div>
    <w:div w:id="1686784578">
      <w:bodyDiv w:val="1"/>
      <w:marLeft w:val="0"/>
      <w:marRight w:val="0"/>
      <w:marTop w:val="0"/>
      <w:marBottom w:val="0"/>
      <w:divBdr>
        <w:top w:val="none" w:sz="0" w:space="0" w:color="auto"/>
        <w:left w:val="none" w:sz="0" w:space="0" w:color="auto"/>
        <w:bottom w:val="none" w:sz="0" w:space="0" w:color="auto"/>
        <w:right w:val="none" w:sz="0" w:space="0" w:color="auto"/>
      </w:divBdr>
    </w:div>
    <w:div w:id="1692144953">
      <w:bodyDiv w:val="1"/>
      <w:marLeft w:val="0"/>
      <w:marRight w:val="0"/>
      <w:marTop w:val="0"/>
      <w:marBottom w:val="0"/>
      <w:divBdr>
        <w:top w:val="none" w:sz="0" w:space="0" w:color="auto"/>
        <w:left w:val="none" w:sz="0" w:space="0" w:color="auto"/>
        <w:bottom w:val="none" w:sz="0" w:space="0" w:color="auto"/>
        <w:right w:val="none" w:sz="0" w:space="0" w:color="auto"/>
      </w:divBdr>
    </w:div>
    <w:div w:id="1706560147">
      <w:bodyDiv w:val="1"/>
      <w:marLeft w:val="0"/>
      <w:marRight w:val="0"/>
      <w:marTop w:val="0"/>
      <w:marBottom w:val="0"/>
      <w:divBdr>
        <w:top w:val="none" w:sz="0" w:space="0" w:color="auto"/>
        <w:left w:val="none" w:sz="0" w:space="0" w:color="auto"/>
        <w:bottom w:val="none" w:sz="0" w:space="0" w:color="auto"/>
        <w:right w:val="none" w:sz="0" w:space="0" w:color="auto"/>
      </w:divBdr>
    </w:div>
    <w:div w:id="1717002323">
      <w:bodyDiv w:val="1"/>
      <w:marLeft w:val="0"/>
      <w:marRight w:val="0"/>
      <w:marTop w:val="0"/>
      <w:marBottom w:val="0"/>
      <w:divBdr>
        <w:top w:val="none" w:sz="0" w:space="0" w:color="auto"/>
        <w:left w:val="none" w:sz="0" w:space="0" w:color="auto"/>
        <w:bottom w:val="none" w:sz="0" w:space="0" w:color="auto"/>
        <w:right w:val="none" w:sz="0" w:space="0" w:color="auto"/>
      </w:divBdr>
    </w:div>
    <w:div w:id="1785726704">
      <w:bodyDiv w:val="1"/>
      <w:marLeft w:val="0"/>
      <w:marRight w:val="0"/>
      <w:marTop w:val="0"/>
      <w:marBottom w:val="0"/>
      <w:divBdr>
        <w:top w:val="none" w:sz="0" w:space="0" w:color="auto"/>
        <w:left w:val="none" w:sz="0" w:space="0" w:color="auto"/>
        <w:bottom w:val="none" w:sz="0" w:space="0" w:color="auto"/>
        <w:right w:val="none" w:sz="0" w:space="0" w:color="auto"/>
      </w:divBdr>
    </w:div>
    <w:div w:id="1792284201">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67282248">
      <w:bodyDiv w:val="1"/>
      <w:marLeft w:val="0"/>
      <w:marRight w:val="0"/>
      <w:marTop w:val="0"/>
      <w:marBottom w:val="0"/>
      <w:divBdr>
        <w:top w:val="none" w:sz="0" w:space="0" w:color="auto"/>
        <w:left w:val="none" w:sz="0" w:space="0" w:color="auto"/>
        <w:bottom w:val="none" w:sz="0" w:space="0" w:color="auto"/>
        <w:right w:val="none" w:sz="0" w:space="0" w:color="auto"/>
      </w:divBdr>
    </w:div>
    <w:div w:id="1949696387">
      <w:bodyDiv w:val="1"/>
      <w:marLeft w:val="0"/>
      <w:marRight w:val="0"/>
      <w:marTop w:val="0"/>
      <w:marBottom w:val="0"/>
      <w:divBdr>
        <w:top w:val="none" w:sz="0" w:space="0" w:color="auto"/>
        <w:left w:val="none" w:sz="0" w:space="0" w:color="auto"/>
        <w:bottom w:val="none" w:sz="0" w:space="0" w:color="auto"/>
        <w:right w:val="none" w:sz="0" w:space="0" w:color="auto"/>
      </w:divBdr>
    </w:div>
    <w:div w:id="1956710429">
      <w:bodyDiv w:val="1"/>
      <w:marLeft w:val="0"/>
      <w:marRight w:val="0"/>
      <w:marTop w:val="0"/>
      <w:marBottom w:val="0"/>
      <w:divBdr>
        <w:top w:val="none" w:sz="0" w:space="0" w:color="auto"/>
        <w:left w:val="none" w:sz="0" w:space="0" w:color="auto"/>
        <w:bottom w:val="none" w:sz="0" w:space="0" w:color="auto"/>
        <w:right w:val="none" w:sz="0" w:space="0" w:color="auto"/>
      </w:divBdr>
    </w:div>
    <w:div w:id="1958023208">
      <w:bodyDiv w:val="1"/>
      <w:marLeft w:val="0"/>
      <w:marRight w:val="0"/>
      <w:marTop w:val="0"/>
      <w:marBottom w:val="0"/>
      <w:divBdr>
        <w:top w:val="none" w:sz="0" w:space="0" w:color="auto"/>
        <w:left w:val="none" w:sz="0" w:space="0" w:color="auto"/>
        <w:bottom w:val="none" w:sz="0" w:space="0" w:color="auto"/>
        <w:right w:val="none" w:sz="0" w:space="0" w:color="auto"/>
      </w:divBdr>
    </w:div>
    <w:div w:id="1983346197">
      <w:bodyDiv w:val="1"/>
      <w:marLeft w:val="0"/>
      <w:marRight w:val="0"/>
      <w:marTop w:val="0"/>
      <w:marBottom w:val="0"/>
      <w:divBdr>
        <w:top w:val="none" w:sz="0" w:space="0" w:color="auto"/>
        <w:left w:val="none" w:sz="0" w:space="0" w:color="auto"/>
        <w:bottom w:val="none" w:sz="0" w:space="0" w:color="auto"/>
        <w:right w:val="none" w:sz="0" w:space="0" w:color="auto"/>
      </w:divBdr>
    </w:div>
    <w:div w:id="1991595154">
      <w:bodyDiv w:val="1"/>
      <w:marLeft w:val="0"/>
      <w:marRight w:val="0"/>
      <w:marTop w:val="0"/>
      <w:marBottom w:val="0"/>
      <w:divBdr>
        <w:top w:val="none" w:sz="0" w:space="0" w:color="auto"/>
        <w:left w:val="none" w:sz="0" w:space="0" w:color="auto"/>
        <w:bottom w:val="none" w:sz="0" w:space="0" w:color="auto"/>
        <w:right w:val="none" w:sz="0" w:space="0" w:color="auto"/>
      </w:divBdr>
    </w:div>
    <w:div w:id="2074280197">
      <w:bodyDiv w:val="1"/>
      <w:marLeft w:val="0"/>
      <w:marRight w:val="0"/>
      <w:marTop w:val="0"/>
      <w:marBottom w:val="0"/>
      <w:divBdr>
        <w:top w:val="none" w:sz="0" w:space="0" w:color="auto"/>
        <w:left w:val="none" w:sz="0" w:space="0" w:color="auto"/>
        <w:bottom w:val="none" w:sz="0" w:space="0" w:color="auto"/>
        <w:right w:val="none" w:sz="0" w:space="0" w:color="auto"/>
      </w:divBdr>
    </w:div>
    <w:div w:id="2105563549">
      <w:bodyDiv w:val="1"/>
      <w:marLeft w:val="0"/>
      <w:marRight w:val="0"/>
      <w:marTop w:val="0"/>
      <w:marBottom w:val="0"/>
      <w:divBdr>
        <w:top w:val="none" w:sz="0" w:space="0" w:color="auto"/>
        <w:left w:val="none" w:sz="0" w:space="0" w:color="auto"/>
        <w:bottom w:val="none" w:sz="0" w:space="0" w:color="auto"/>
        <w:right w:val="none" w:sz="0" w:space="0" w:color="auto"/>
      </w:divBdr>
    </w:div>
    <w:div w:id="2113470626">
      <w:bodyDiv w:val="1"/>
      <w:marLeft w:val="0"/>
      <w:marRight w:val="0"/>
      <w:marTop w:val="0"/>
      <w:marBottom w:val="0"/>
      <w:divBdr>
        <w:top w:val="none" w:sz="0" w:space="0" w:color="auto"/>
        <w:left w:val="none" w:sz="0" w:space="0" w:color="auto"/>
        <w:bottom w:val="none" w:sz="0" w:space="0" w:color="auto"/>
        <w:right w:val="none" w:sz="0" w:space="0" w:color="auto"/>
      </w:divBdr>
    </w:div>
    <w:div w:id="21219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754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is.kalnins@s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754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87547" TargetMode="External"/><Relationship Id="rId4" Type="http://schemas.openxmlformats.org/officeDocument/2006/relationships/settings" Target="settings.xml"/><Relationship Id="rId9" Type="http://schemas.openxmlformats.org/officeDocument/2006/relationships/hyperlink" Target="https://likumi.lv/ta/id/8754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6E1F-4C58-45D4-ACA8-1030F000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25</Pages>
  <Words>29489</Words>
  <Characters>16810</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rīkojuma projektu "Grozījumi Ceļu satiksmes drošības plānā 2017.–2020.gadam" (VSS-609) un informatīvo ziņojumu "Ceļu satiksmes drošības plāna 2017.-2020.gadam starpposma ietekmes izvērtēju</vt:lpstr>
    </vt:vector>
  </TitlesOfParts>
  <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"Grozījumi Ceļu satiksmes drošības plānā 2017.–2020.gadam" (VSS-609) un informatīvo ziņojumu "Ceļu satiksmes drošības plāna 2017.-2020.gadam starpposma ietekmes izvērtējums" (VSS-610)</dc:title>
  <dc:subject/>
  <dc:creator>Janis.Kalnins@sam.gov.lv</dc:creator>
  <cp:keywords/>
  <dc:description>janis.kalnins@sam.gov.lv; 67028118</dc:description>
  <cp:lastModifiedBy>Ineta Vula</cp:lastModifiedBy>
  <cp:revision>344</cp:revision>
  <cp:lastPrinted>2019-03-29T08:06:00Z</cp:lastPrinted>
  <dcterms:created xsi:type="dcterms:W3CDTF">2018-11-08T09:19:00Z</dcterms:created>
  <dcterms:modified xsi:type="dcterms:W3CDTF">2019-10-08T10:34:00Z</dcterms:modified>
</cp:coreProperties>
</file>