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445F" w:rsidR="009C445F" w:rsidP="009C445F" w:rsidRDefault="00D30741" w14:paraId="40424D41" w14:textId="07B522C8">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bookmarkStart w:name="OLE_LINK5" w:id="0"/>
      <w:bookmarkStart w:name="OLE_LINK1" w:id="1"/>
      <w:bookmarkStart w:name="OLE_LINK2" w:id="2"/>
      <w:bookmarkStart w:name="OLE_LINK6" w:id="3"/>
      <w:r>
        <w:rPr>
          <w:rFonts w:ascii="Times New Roman" w:hAnsi="Times New Roman" w:eastAsia="Times New Roman" w:cs="Times New Roman"/>
          <w:sz w:val="24"/>
          <w:szCs w:val="24"/>
          <w:lang w:val="lv-LV" w:eastAsia="lv-LV"/>
        </w:rPr>
        <w:t xml:space="preserve">                           </w:t>
      </w:r>
      <w:r w:rsidR="00464354">
        <w:rPr>
          <w:rFonts w:ascii="Times New Roman" w:hAnsi="Times New Roman" w:eastAsia="Times New Roman" w:cs="Times New Roman"/>
          <w:sz w:val="24"/>
          <w:szCs w:val="24"/>
          <w:lang w:val="lv-LV" w:eastAsia="lv-LV"/>
        </w:rPr>
        <w:t xml:space="preserve">          </w:t>
      </w:r>
    </w:p>
    <w:p w:rsidRPr="009C445F" w:rsidR="009C445F" w:rsidP="009C445F" w:rsidRDefault="009C445F" w14:paraId="4A9A849D"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p>
    <w:p w:rsidRPr="009C445F" w:rsidR="009C445F" w:rsidP="009C445F" w:rsidRDefault="009C445F" w14:paraId="24DE583F"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p>
    <w:p w:rsidRPr="009C445F" w:rsidR="009C445F" w:rsidP="009C445F" w:rsidRDefault="009C445F" w14:paraId="00EC413B"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bookmarkStart w:name="_Hlk6299424" w:id="4"/>
      <w:r w:rsidRPr="009C445F">
        <w:rPr>
          <w:rFonts w:ascii="Times New Roman" w:hAnsi="Times New Roman" w:eastAsia="Times New Roman" w:cs="Times New Roman"/>
          <w:sz w:val="24"/>
          <w:szCs w:val="24"/>
          <w:lang w:val="lv-LV" w:eastAsia="lv-LV"/>
        </w:rPr>
        <w:t>Izziņa par atzinumos sniegtajiem</w:t>
      </w:r>
      <w:bookmarkStart w:name="_Hlk231877390" w:id="5"/>
      <w:r w:rsidRPr="009C445F">
        <w:rPr>
          <w:rFonts w:ascii="Times New Roman" w:hAnsi="Times New Roman" w:eastAsia="Times New Roman" w:cs="Times New Roman"/>
          <w:sz w:val="24"/>
          <w:szCs w:val="24"/>
          <w:lang w:val="lv-LV" w:eastAsia="lv-LV"/>
        </w:rPr>
        <w:t xml:space="preserve"> iebildumiem</w:t>
      </w:r>
      <w:bookmarkEnd w:id="5"/>
    </w:p>
    <w:p w:rsidRPr="009C445F" w:rsidR="009C445F" w:rsidP="009C445F" w:rsidRDefault="009C445F" w14:paraId="028F2DD5" w14:textId="77777777">
      <w:pPr>
        <w:autoSpaceDE w:val="0"/>
        <w:autoSpaceDN w:val="0"/>
        <w:spacing w:after="0" w:line="240" w:lineRule="auto"/>
        <w:ind w:left="170" w:right="170"/>
        <w:jc w:val="center"/>
        <w:rPr>
          <w:rFonts w:ascii="Times New Roman" w:hAnsi="Times New Roman" w:eastAsia="Times New Roman" w:cs="Times New Roman"/>
          <w:b/>
          <w:bCs/>
          <w:sz w:val="24"/>
          <w:szCs w:val="24"/>
          <w:lang w:val="x-none" w:eastAsia="x-none"/>
        </w:rPr>
      </w:pPr>
    </w:p>
    <w:tbl>
      <w:tblPr>
        <w:tblW w:w="0" w:type="auto"/>
        <w:tblInd w:w="108" w:type="dxa"/>
        <w:tblLayout w:type="fixed"/>
        <w:tblLook w:val="0000" w:firstRow="0" w:lastRow="0" w:firstColumn="0" w:lastColumn="0" w:noHBand="0" w:noVBand="0"/>
      </w:tblPr>
      <w:tblGrid>
        <w:gridCol w:w="14049"/>
      </w:tblGrid>
      <w:tr w:rsidRPr="009C445F" w:rsidR="009C445F" w:rsidTr="00CA1481" w14:paraId="6443A0AD" w14:textId="77777777">
        <w:trPr>
          <w:trHeight w:val="285"/>
        </w:trPr>
        <w:tc>
          <w:tcPr>
            <w:tcW w:w="14049" w:type="dxa"/>
            <w:tcBorders>
              <w:bottom w:val="single" w:color="000000" w:sz="4" w:space="0"/>
            </w:tcBorders>
          </w:tcPr>
          <w:p w:rsidRPr="00C02DE4" w:rsidR="009C445F" w:rsidP="009C445F" w:rsidRDefault="00071950" w14:paraId="49DDFD1A" w14:textId="3F102D09">
            <w:pPr>
              <w:autoSpaceDE w:val="0"/>
              <w:autoSpaceDN w:val="0"/>
              <w:spacing w:after="0" w:line="240" w:lineRule="auto"/>
              <w:ind w:left="170" w:right="170"/>
              <w:jc w:val="center"/>
              <w:rPr>
                <w:rFonts w:ascii="Times New Roman" w:hAnsi="Times New Roman" w:eastAsia="Times New Roman" w:cs="Times New Roman"/>
                <w:b/>
                <w:sz w:val="24"/>
                <w:szCs w:val="24"/>
                <w:lang w:val="lv-LV" w:eastAsia="lv-LV"/>
              </w:rPr>
            </w:pPr>
            <w:r w:rsidRPr="00C02DE4">
              <w:rPr>
                <w:rFonts w:ascii="Times New Roman" w:hAnsi="Times New Roman" w:eastAsia="Times New Roman" w:cs="Times New Roman"/>
                <w:b/>
                <w:sz w:val="24"/>
                <w:szCs w:val="24"/>
                <w:lang w:val="lv-LV" w:eastAsia="lv-LV"/>
              </w:rPr>
              <w:t>Informatīvais ziņojums “</w:t>
            </w:r>
            <w:r w:rsidRPr="00C12902" w:rsidR="00C12902">
              <w:rPr>
                <w:rFonts w:ascii="Times New Roman" w:hAnsi="Times New Roman" w:eastAsia="Times New Roman" w:cs="Times New Roman"/>
                <w:b/>
                <w:sz w:val="24"/>
                <w:szCs w:val="24"/>
                <w:lang w:val="lv-LV" w:eastAsia="lv-LV"/>
              </w:rPr>
              <w:t>Par numerācijas resursu maksājumu un nepieciešamību iedalīt numerācijas resursus lietu internetam un mašīnas-mašīnas sakaru pakalpojumiem</w:t>
            </w:r>
            <w:r w:rsidRPr="00C02DE4">
              <w:rPr>
                <w:rFonts w:ascii="Times New Roman" w:hAnsi="Times New Roman" w:eastAsia="Times New Roman" w:cs="Times New Roman"/>
                <w:b/>
                <w:sz w:val="24"/>
                <w:szCs w:val="24"/>
                <w:lang w:val="lv-LV" w:eastAsia="lv-LV"/>
              </w:rPr>
              <w:t>”</w:t>
            </w:r>
          </w:p>
        </w:tc>
      </w:tr>
      <w:bookmarkEnd w:id="4"/>
    </w:tbl>
    <w:p w:rsidRPr="009C445F" w:rsidR="009C445F" w:rsidP="009C445F" w:rsidRDefault="009C445F" w14:paraId="414C8EED" w14:textId="77777777">
      <w:pPr>
        <w:autoSpaceDE w:val="0"/>
        <w:autoSpaceDN w:val="0"/>
        <w:spacing w:after="0" w:line="240" w:lineRule="auto"/>
        <w:ind w:left="170" w:right="170"/>
        <w:rPr>
          <w:rFonts w:ascii="Times New Roman" w:hAnsi="Times New Roman" w:eastAsia="Times New Roman" w:cs="Times New Roman"/>
          <w:b/>
          <w:bCs/>
          <w:sz w:val="24"/>
          <w:szCs w:val="24"/>
          <w:lang w:val="x-none" w:eastAsia="x-none"/>
        </w:rPr>
      </w:pPr>
    </w:p>
    <w:bookmarkEnd w:id="0"/>
    <w:bookmarkEnd w:id="1"/>
    <w:bookmarkEnd w:id="2"/>
    <w:bookmarkEnd w:id="3"/>
    <w:p w:rsidRPr="009C445F" w:rsidR="009C445F" w:rsidP="009C445F" w:rsidRDefault="009C445F" w14:paraId="3113F8F5" w14:textId="77777777">
      <w:pPr>
        <w:autoSpaceDE w:val="0"/>
        <w:autoSpaceDN w:val="0"/>
        <w:spacing w:after="0" w:line="240" w:lineRule="auto"/>
        <w:ind w:left="170" w:right="170"/>
        <w:jc w:val="center"/>
        <w:rPr>
          <w:rFonts w:ascii="Times New Roman" w:hAnsi="Times New Roman" w:eastAsia="Times New Roman" w:cs="Times New Roman"/>
          <w:b/>
          <w:bCs/>
          <w:sz w:val="24"/>
          <w:szCs w:val="24"/>
          <w:lang w:val="lv-LV" w:eastAsia="lv-LV"/>
        </w:rPr>
      </w:pPr>
      <w:r w:rsidRPr="009C445F">
        <w:rPr>
          <w:rFonts w:ascii="Times New Roman" w:hAnsi="Times New Roman" w:eastAsia="Times New Roman" w:cs="Times New Roman"/>
          <w:b/>
          <w:bCs/>
          <w:sz w:val="24"/>
          <w:szCs w:val="24"/>
          <w:lang w:val="lv-LV" w:eastAsia="lv-LV"/>
        </w:rPr>
        <w:t>I. </w:t>
      </w:r>
      <w:bookmarkStart w:name="_Hlk10122842" w:id="6"/>
      <w:r w:rsidRPr="009C445F">
        <w:rPr>
          <w:rFonts w:ascii="Times New Roman" w:hAnsi="Times New Roman" w:eastAsia="Times New Roman" w:cs="Times New Roman"/>
          <w:b/>
          <w:bCs/>
          <w:sz w:val="24"/>
          <w:szCs w:val="24"/>
          <w:lang w:val="lv-LV" w:eastAsia="lv-LV"/>
        </w:rPr>
        <w:t>Jautājumi, par kuriem saskaņošanā vienošanās nav panākta</w:t>
      </w:r>
      <w:bookmarkEnd w:id="6"/>
    </w:p>
    <w:p w:rsidRPr="009C445F" w:rsidR="009C445F" w:rsidP="009C445F" w:rsidRDefault="009C445F" w14:paraId="6642A731" w14:textId="77777777">
      <w:pPr>
        <w:autoSpaceDE w:val="0"/>
        <w:autoSpaceDN w:val="0"/>
        <w:spacing w:after="0" w:line="240" w:lineRule="auto"/>
        <w:ind w:left="170" w:right="170"/>
        <w:rPr>
          <w:rFonts w:ascii="Times New Roman" w:hAnsi="Times New Roman" w:eastAsia="Times New Roman" w:cs="Times New Roman"/>
          <w:b/>
          <w:bCs/>
          <w:sz w:val="24"/>
          <w:szCs w:val="24"/>
          <w:lang w:val="lv-LV" w:eastAsia="lv-LV"/>
        </w:rPr>
      </w:pPr>
      <w:bookmarkStart w:name="bkm25" w:id="7"/>
    </w:p>
    <w:tbl>
      <w:tblPr>
        <w:tblW w:w="13862" w:type="dxa"/>
        <w:tblInd w:w="-5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13" w:type="dxa"/>
          <w:right w:w="113" w:type="dxa"/>
        </w:tblCellMar>
        <w:tblLook w:val="0000" w:firstRow="0" w:lastRow="0" w:firstColumn="0" w:lastColumn="0" w:noHBand="0" w:noVBand="0"/>
      </w:tblPr>
      <w:tblGrid>
        <w:gridCol w:w="835"/>
        <w:gridCol w:w="2000"/>
        <w:gridCol w:w="3245"/>
        <w:gridCol w:w="2976"/>
        <w:gridCol w:w="2710"/>
        <w:gridCol w:w="2096"/>
      </w:tblGrid>
      <w:tr w:rsidRPr="009C445F" w:rsidR="009C445F" w:rsidTr="006F129E" w14:paraId="4E703CB5" w14:textId="77777777">
        <w:trPr>
          <w:trHeight w:val="1524"/>
        </w:trPr>
        <w:tc>
          <w:tcPr>
            <w:tcW w:w="835" w:type="dxa"/>
          </w:tcPr>
          <w:p w:rsidRPr="009C445F" w:rsidR="009C445F" w:rsidP="009C445F" w:rsidRDefault="009C445F" w14:paraId="2614FAFD" w14:textId="77777777">
            <w:pPr>
              <w:autoSpaceDE w:val="0"/>
              <w:autoSpaceDN w:val="0"/>
              <w:spacing w:after="0" w:line="240" w:lineRule="auto"/>
              <w:ind w:right="170"/>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Nr. p.k.</w:t>
            </w:r>
          </w:p>
        </w:tc>
        <w:tc>
          <w:tcPr>
            <w:tcW w:w="2000" w:type="dxa"/>
            <w:vAlign w:val="center"/>
          </w:tcPr>
          <w:p w:rsidRPr="009C445F" w:rsidR="009C445F" w:rsidP="009C445F" w:rsidRDefault="009C445F" w14:paraId="0DED7CE0"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Saskaņošanai nosūtītā projekta redakcija (konkrēta punkta (panta) redakcija)</w:t>
            </w:r>
          </w:p>
        </w:tc>
        <w:tc>
          <w:tcPr>
            <w:tcW w:w="3245" w:type="dxa"/>
            <w:vAlign w:val="center"/>
          </w:tcPr>
          <w:p w:rsidRPr="009C445F" w:rsidR="009C445F" w:rsidP="009C445F" w:rsidRDefault="009C445F" w14:paraId="6ADC635B"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Atzinumā norādītais ministrijas (citas institūcijas) iebildums, kā arī saskaņošanā papildus izteiktais iebildums par projekta konkrēto punktu (pantu)</w:t>
            </w:r>
          </w:p>
        </w:tc>
        <w:tc>
          <w:tcPr>
            <w:tcW w:w="2976" w:type="dxa"/>
            <w:vAlign w:val="center"/>
          </w:tcPr>
          <w:p w:rsidRPr="003E3608" w:rsidR="009C445F" w:rsidP="009C445F" w:rsidRDefault="009C445F" w14:paraId="23DC8CED"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bookmarkStart w:name="_Hlk10128062" w:id="8"/>
            <w:r w:rsidRPr="003E3608">
              <w:rPr>
                <w:rFonts w:ascii="Times New Roman" w:hAnsi="Times New Roman" w:eastAsia="Times New Roman" w:cs="Times New Roman"/>
                <w:sz w:val="24"/>
                <w:szCs w:val="24"/>
                <w:lang w:val="lv-LV" w:eastAsia="lv-LV"/>
              </w:rPr>
              <w:t>Atbildīgās ministrijas pamatojums iebilduma noraidījumam</w:t>
            </w:r>
            <w:bookmarkEnd w:id="8"/>
          </w:p>
        </w:tc>
        <w:tc>
          <w:tcPr>
            <w:tcW w:w="2710" w:type="dxa"/>
            <w:vAlign w:val="center"/>
          </w:tcPr>
          <w:p w:rsidRPr="009C445F" w:rsidR="009C445F" w:rsidP="009C445F" w:rsidRDefault="009C445F" w14:paraId="5F17251B"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Atzinuma sniedzēja uzturētais iebildums, ja tas atšķiras no atzinumā norādītā iebilduma pamatojuma</w:t>
            </w:r>
          </w:p>
        </w:tc>
        <w:tc>
          <w:tcPr>
            <w:tcW w:w="2096" w:type="dxa"/>
            <w:vAlign w:val="center"/>
          </w:tcPr>
          <w:p w:rsidRPr="009C445F" w:rsidR="009C445F" w:rsidP="009C445F" w:rsidRDefault="009C445F" w14:paraId="15F761D1"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Projekta attiecīgā punkta (panta) galīgā redakcija</w:t>
            </w:r>
          </w:p>
        </w:tc>
      </w:tr>
      <w:tr w:rsidRPr="009C445F" w:rsidR="00A36432" w:rsidTr="00BE5283" w14:paraId="003A5136" w14:textId="77777777">
        <w:trPr>
          <w:trHeight w:val="1524"/>
        </w:trPr>
        <w:tc>
          <w:tcPr>
            <w:tcW w:w="835" w:type="dxa"/>
          </w:tcPr>
          <w:p w:rsidRPr="009C445F" w:rsidR="00A36432" w:rsidP="00A36432" w:rsidRDefault="00A36432" w14:paraId="53F1CBBE" w14:textId="7ECAC255">
            <w:pPr>
              <w:autoSpaceDE w:val="0"/>
              <w:autoSpaceDN w:val="0"/>
              <w:spacing w:after="0" w:line="240" w:lineRule="auto"/>
              <w:ind w:right="170"/>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1.</w:t>
            </w:r>
          </w:p>
        </w:tc>
        <w:tc>
          <w:tcPr>
            <w:tcW w:w="2000" w:type="dxa"/>
          </w:tcPr>
          <w:p w:rsidRPr="009377E2" w:rsidR="00494AC2" w:rsidP="00494AC2" w:rsidRDefault="00494AC2" w14:paraId="6FE08E69"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9377E2">
              <w:rPr>
                <w:rFonts w:ascii="Times New Roman" w:hAnsi="Times New Roman" w:eastAsia="Times New Roman" w:cs="Times New Roman"/>
                <w:sz w:val="24"/>
                <w:szCs w:val="24"/>
                <w:lang w:val="lv-LV" w:eastAsia="lv-LV"/>
              </w:rPr>
              <w:t>Skatīt precizētā informatīvā ziņojuma redakciju.</w:t>
            </w:r>
          </w:p>
          <w:p w:rsidRPr="009C445F" w:rsidR="00A36432" w:rsidP="00A36432" w:rsidRDefault="00A36432" w14:paraId="7E221C80"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p>
        </w:tc>
        <w:tc>
          <w:tcPr>
            <w:tcW w:w="3245" w:type="dxa"/>
            <w:vAlign w:val="center"/>
          </w:tcPr>
          <w:p w:rsidR="00B11D5D" w:rsidP="00B11D5D" w:rsidRDefault="00B11D5D" w14:paraId="1607AAC1" w14:textId="77777777">
            <w:pPr>
              <w:autoSpaceDE w:val="0"/>
              <w:autoSpaceDN w:val="0"/>
              <w:spacing w:after="0" w:line="240" w:lineRule="auto"/>
              <w:ind w:right="170"/>
              <w:jc w:val="both"/>
              <w:rPr>
                <w:rFonts w:ascii="Times New Roman" w:hAnsi="Times New Roman" w:eastAsia="Times New Roman" w:cs="Times New Roman"/>
                <w:b/>
                <w:bCs/>
                <w:sz w:val="24"/>
                <w:szCs w:val="24"/>
                <w:lang w:val="lv-LV" w:eastAsia="lv-LV"/>
              </w:rPr>
            </w:pPr>
            <w:r w:rsidRPr="00D214BB">
              <w:rPr>
                <w:rFonts w:ascii="Times New Roman" w:hAnsi="Times New Roman" w:eastAsia="Times New Roman" w:cs="Times New Roman"/>
                <w:b/>
                <w:bCs/>
                <w:sz w:val="24"/>
                <w:szCs w:val="24"/>
                <w:lang w:val="lv-LV" w:eastAsia="lv-LV"/>
              </w:rPr>
              <w:t>Latvijas Darba devēju konfederācija (LDDK)</w:t>
            </w:r>
          </w:p>
          <w:p w:rsidR="00B11D5D" w:rsidP="00B11D5D" w:rsidRDefault="00B11D5D" w14:paraId="4C488AF5"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p>
          <w:p w:rsidR="00B11D5D" w:rsidP="00B11D5D" w:rsidRDefault="00B11D5D" w14:paraId="37E707F5" w14:textId="2E8F58A5">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sidRPr="00A36432">
              <w:rPr>
                <w:rFonts w:ascii="Times New Roman" w:hAnsi="Times New Roman" w:eastAsia="Times New Roman" w:cs="Times New Roman"/>
                <w:b/>
                <w:bCs/>
                <w:sz w:val="24"/>
                <w:szCs w:val="24"/>
                <w:lang w:val="lv-LV" w:eastAsia="lv-LV"/>
              </w:rPr>
              <w:t>2</w:t>
            </w:r>
            <w:r>
              <w:rPr>
                <w:rFonts w:ascii="Times New Roman" w:hAnsi="Times New Roman" w:eastAsia="Times New Roman" w:cs="Times New Roman"/>
                <w:b/>
                <w:bCs/>
                <w:sz w:val="24"/>
                <w:szCs w:val="24"/>
                <w:lang w:val="lv-LV" w:eastAsia="lv-LV"/>
              </w:rPr>
              <w:t>6</w:t>
            </w:r>
            <w:r w:rsidRPr="00A36432">
              <w:rPr>
                <w:rFonts w:ascii="Times New Roman" w:hAnsi="Times New Roman" w:eastAsia="Times New Roman" w:cs="Times New Roman"/>
                <w:b/>
                <w:bCs/>
                <w:sz w:val="24"/>
                <w:szCs w:val="24"/>
                <w:lang w:val="lv-LV" w:eastAsia="lv-LV"/>
              </w:rPr>
              <w:t>.11.2019.</w:t>
            </w:r>
          </w:p>
          <w:p w:rsidR="00B11D5D" w:rsidP="00B11D5D" w:rsidRDefault="00B11D5D" w14:paraId="3529121A"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p>
          <w:p w:rsidR="00B11D5D" w:rsidP="00B11D5D" w:rsidRDefault="00B11D5D" w14:paraId="03A84FF5"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9377E2">
              <w:rPr>
                <w:rFonts w:ascii="Times New Roman" w:hAnsi="Times New Roman" w:eastAsia="Times New Roman" w:cs="Times New Roman"/>
                <w:sz w:val="24"/>
                <w:szCs w:val="24"/>
                <w:lang w:val="lv-LV" w:eastAsia="lv-LV"/>
              </w:rPr>
              <w:t>Latvijas Darba devēju konfederācija (LDDK)</w:t>
            </w:r>
            <w:r>
              <w:rPr>
                <w:rFonts w:ascii="Times New Roman" w:hAnsi="Times New Roman" w:eastAsia="Times New Roman" w:cs="Times New Roman"/>
                <w:sz w:val="24"/>
                <w:szCs w:val="24"/>
                <w:lang w:val="lv-LV" w:eastAsia="lv-LV"/>
              </w:rPr>
              <w:t xml:space="preserve"> </w:t>
            </w:r>
            <w:r w:rsidRPr="009377E2">
              <w:rPr>
                <w:rFonts w:ascii="Times New Roman" w:hAnsi="Times New Roman" w:eastAsia="Times New Roman" w:cs="Times New Roman"/>
                <w:sz w:val="24"/>
                <w:szCs w:val="24"/>
                <w:lang w:val="lv-LV" w:eastAsia="lv-LV"/>
              </w:rPr>
              <w:t xml:space="preserve">ir izskatījusi Satiksmes ministrijas sagatavoto Informatīvo ziņojumu "Par numerācijas resursu maksājumu un nepieciešamību iedalīt numerācijas resursus lietu internetam un mašīnas-mašīnas sakaru pakalpojumiem" (turpmāk – Informatīvais ziņojums) (VSS-264), Ministru kabineta sēdes </w:t>
            </w:r>
            <w:proofErr w:type="spellStart"/>
            <w:r w:rsidRPr="009377E2">
              <w:rPr>
                <w:rFonts w:ascii="Times New Roman" w:hAnsi="Times New Roman" w:eastAsia="Times New Roman" w:cs="Times New Roman"/>
                <w:sz w:val="24"/>
                <w:szCs w:val="24"/>
                <w:lang w:val="lv-LV" w:eastAsia="lv-LV"/>
              </w:rPr>
              <w:t>protokollēmuma</w:t>
            </w:r>
            <w:proofErr w:type="spellEnd"/>
            <w:r w:rsidRPr="009377E2">
              <w:rPr>
                <w:rFonts w:ascii="Times New Roman" w:hAnsi="Times New Roman" w:eastAsia="Times New Roman" w:cs="Times New Roman"/>
                <w:sz w:val="24"/>
                <w:szCs w:val="24"/>
                <w:lang w:val="lv-LV" w:eastAsia="lv-LV"/>
              </w:rPr>
              <w:t xml:space="preserve"> projektu un izziņu par atzinumos </w:t>
            </w:r>
            <w:r w:rsidRPr="009377E2">
              <w:rPr>
                <w:rFonts w:ascii="Times New Roman" w:hAnsi="Times New Roman" w:eastAsia="Times New Roman" w:cs="Times New Roman"/>
                <w:sz w:val="24"/>
                <w:szCs w:val="24"/>
                <w:lang w:val="lv-LV" w:eastAsia="lv-LV"/>
              </w:rPr>
              <w:lastRenderedPageBreak/>
              <w:t>sniegtajiem iebildumiem, un sniedz šādus iebildumus.</w:t>
            </w:r>
          </w:p>
          <w:p w:rsidR="00B11D5D" w:rsidP="00B11D5D" w:rsidRDefault="00B11D5D" w14:paraId="6B101BAE"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00B11D5D" w:rsidP="00B11D5D" w:rsidRDefault="00B11D5D" w14:paraId="6402CC75"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151A9B">
              <w:rPr>
                <w:rFonts w:ascii="Times New Roman" w:hAnsi="Times New Roman" w:eastAsia="Times New Roman" w:cs="Times New Roman"/>
                <w:sz w:val="24"/>
                <w:szCs w:val="24"/>
                <w:lang w:val="lv-LV" w:eastAsia="lv-LV"/>
              </w:rPr>
              <w:t>LDDK iebilst pret pagarinātu 11 vai 12 ciparu numuru ieviešanu Nacionālajā numerācijas plānā</w:t>
            </w:r>
            <w:r>
              <w:rPr>
                <w:rFonts w:ascii="Times New Roman" w:hAnsi="Times New Roman" w:eastAsia="Times New Roman" w:cs="Times New Roman"/>
                <w:sz w:val="24"/>
                <w:szCs w:val="24"/>
                <w:lang w:val="lv-LV" w:eastAsia="lv-LV"/>
              </w:rPr>
              <w:t>.</w:t>
            </w:r>
          </w:p>
          <w:p w:rsidR="00B11D5D" w:rsidP="00B11D5D" w:rsidRDefault="00B11D5D" w14:paraId="5A6A9438"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Pr="007006B6" w:rsidR="00B11D5D" w:rsidP="00B11D5D" w:rsidRDefault="00B11D5D" w14:paraId="45C521E1"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7006B6">
              <w:rPr>
                <w:rFonts w:ascii="Times New Roman" w:hAnsi="Times New Roman" w:eastAsia="Times New Roman" w:cs="Times New Roman"/>
                <w:sz w:val="24"/>
                <w:szCs w:val="24"/>
                <w:lang w:val="lv-LV" w:eastAsia="lv-LV"/>
              </w:rPr>
              <w:t xml:space="preserve">Numerācijas resursi ir nepieciešami, lai elektronisko sakaru komersanti varētu nodrošināt sakaru pakalpojumus galalietotājiem. Informatīvajā ziņojumā nepamatots uzsvars ir likts uz eksteritoriālā pielietojuma numerācijas diapazona izdalīšanu un numerācijas nodevas plašāku piemērošanu, neievērojot Latvijas elektronisko sakaru nozares attīstības intereses. Saskaroties ar numerācijas resursu trūkumu vai pārvaldības problēmām, tieši elektronisko sakaru komersanti būtu pirmie, kas </w:t>
            </w:r>
            <w:r w:rsidRPr="007006B6">
              <w:rPr>
                <w:rFonts w:ascii="Times New Roman" w:hAnsi="Times New Roman" w:eastAsia="Times New Roman" w:cs="Times New Roman"/>
                <w:sz w:val="24"/>
                <w:szCs w:val="24"/>
                <w:lang w:val="lv-LV" w:eastAsia="lv-LV"/>
              </w:rPr>
              <w:lastRenderedPageBreak/>
              <w:t xml:space="preserve">aicinātu pārskatīt numerācijas pārvaldības kārtību. Tomēr konkrētajā situācijā, tieši pretēji, elektronisko sakaru komersanti iebilst pret risinājumiem, kas paaugstina administratīvo slogu un nodokļu maksājumu apmēru, tai pat laikā nesniedzot pienesumu numerācijas efektīvai pārvaldībai vai </w:t>
            </w:r>
            <w:proofErr w:type="spellStart"/>
            <w:r w:rsidRPr="007006B6">
              <w:rPr>
                <w:rFonts w:ascii="Times New Roman" w:hAnsi="Times New Roman" w:eastAsia="Times New Roman" w:cs="Times New Roman"/>
                <w:sz w:val="24"/>
                <w:szCs w:val="24"/>
                <w:lang w:val="lv-LV" w:eastAsia="lv-LV"/>
              </w:rPr>
              <w:t>krāpniecības</w:t>
            </w:r>
            <w:proofErr w:type="spellEnd"/>
            <w:r w:rsidRPr="007006B6">
              <w:rPr>
                <w:rFonts w:ascii="Times New Roman" w:hAnsi="Times New Roman" w:eastAsia="Times New Roman" w:cs="Times New Roman"/>
                <w:sz w:val="24"/>
                <w:szCs w:val="24"/>
                <w:lang w:val="lv-LV" w:eastAsia="lv-LV"/>
              </w:rPr>
              <w:t xml:space="preserve"> risku mazināšanai. </w:t>
            </w:r>
          </w:p>
          <w:p w:rsidR="00B11D5D" w:rsidP="00B11D5D" w:rsidRDefault="00B11D5D" w14:paraId="36B1800B"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7006B6">
              <w:rPr>
                <w:rFonts w:ascii="Times New Roman" w:hAnsi="Times New Roman" w:eastAsia="Times New Roman" w:cs="Times New Roman"/>
                <w:sz w:val="24"/>
                <w:szCs w:val="24"/>
                <w:lang w:val="lv-LV" w:eastAsia="lv-LV"/>
              </w:rPr>
              <w:t>Līdz ar to informatīvajā ziņojumā izdarītos secinājumus nepieciešams pārskatīt, ņemot vērā Latvijas elektronisko sakaru nozares attīstības tendences.</w:t>
            </w:r>
          </w:p>
          <w:p w:rsidRPr="007006B6" w:rsidR="00B11D5D" w:rsidP="00B11D5D" w:rsidRDefault="00B11D5D" w14:paraId="5289EE87"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00B11D5D" w:rsidP="00B11D5D" w:rsidRDefault="00B11D5D" w14:paraId="1090844B"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V</w:t>
            </w:r>
            <w:r w:rsidRPr="00196504">
              <w:rPr>
                <w:rFonts w:ascii="Times New Roman" w:hAnsi="Times New Roman" w:eastAsia="Times New Roman" w:cs="Times New Roman"/>
                <w:sz w:val="24"/>
                <w:szCs w:val="24"/>
                <w:lang w:val="lv-LV" w:eastAsia="lv-LV"/>
              </w:rPr>
              <w:t xml:space="preserve">arētu atbalstīt pagarinātu 11 vai 12 ciparu numuru ieviešanu Nacionālajā numerācijas plānā vienīgi pie nosacījuma, ka Latvijas elektronisko sakaru komersantiem tiek saglabātas iespējas </w:t>
            </w:r>
            <w:proofErr w:type="spellStart"/>
            <w:r w:rsidRPr="00196504">
              <w:rPr>
                <w:rFonts w:ascii="Times New Roman" w:hAnsi="Times New Roman" w:eastAsia="Times New Roman" w:cs="Times New Roman"/>
                <w:sz w:val="24"/>
                <w:szCs w:val="24"/>
                <w:lang w:val="lv-LV" w:eastAsia="lv-LV"/>
              </w:rPr>
              <w:t>IoT</w:t>
            </w:r>
            <w:proofErr w:type="spellEnd"/>
            <w:r w:rsidRPr="00196504">
              <w:rPr>
                <w:rFonts w:ascii="Times New Roman" w:hAnsi="Times New Roman" w:eastAsia="Times New Roman" w:cs="Times New Roman"/>
                <w:sz w:val="24"/>
                <w:szCs w:val="24"/>
                <w:lang w:val="lv-LV" w:eastAsia="lv-LV"/>
              </w:rPr>
              <w:t xml:space="preserve">/M2M pakalpojumu </w:t>
            </w:r>
            <w:r w:rsidRPr="00196504">
              <w:rPr>
                <w:rFonts w:ascii="Times New Roman" w:hAnsi="Times New Roman" w:eastAsia="Times New Roman" w:cs="Times New Roman"/>
                <w:sz w:val="24"/>
                <w:szCs w:val="24"/>
                <w:lang w:val="lv-LV" w:eastAsia="lv-LV"/>
              </w:rPr>
              <w:lastRenderedPageBreak/>
              <w:t>nodrošināšanai brīvi un bez papildus nodevām izmantot 8 ciparu numerāciju.</w:t>
            </w:r>
          </w:p>
          <w:p w:rsidR="00B11D5D" w:rsidP="00B11D5D" w:rsidRDefault="00B11D5D" w14:paraId="132FDD28"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00B11D5D" w:rsidP="00B11D5D" w:rsidRDefault="00B11D5D" w14:paraId="2E440BF1"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sidRPr="00D214BB">
              <w:rPr>
                <w:rFonts w:ascii="Times New Roman" w:hAnsi="Times New Roman" w:eastAsia="Times New Roman" w:cs="Times New Roman"/>
                <w:b/>
                <w:bCs/>
                <w:sz w:val="24"/>
                <w:szCs w:val="24"/>
                <w:lang w:val="lv-LV" w:eastAsia="lv-LV"/>
              </w:rPr>
              <w:t>Latvijas Informācijas un komunikācijas tehnoloģiju asociācija (LIKTA)</w:t>
            </w:r>
          </w:p>
          <w:p w:rsidR="00B11D5D" w:rsidP="00B11D5D" w:rsidRDefault="00B11D5D" w14:paraId="038AF02D"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p>
          <w:p w:rsidR="00B11D5D" w:rsidP="00B11D5D" w:rsidRDefault="00B11D5D" w14:paraId="042C96BD"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Pr>
                <w:rFonts w:ascii="Times New Roman" w:hAnsi="Times New Roman" w:eastAsia="Times New Roman" w:cs="Times New Roman"/>
                <w:b/>
                <w:bCs/>
                <w:sz w:val="24"/>
                <w:szCs w:val="24"/>
                <w:lang w:val="lv-LV" w:eastAsia="lv-LV"/>
              </w:rPr>
              <w:t>27.11.2019.</w:t>
            </w:r>
          </w:p>
          <w:p w:rsidR="00B11D5D" w:rsidP="00B11D5D" w:rsidRDefault="00B11D5D" w14:paraId="3D9F8077"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p>
          <w:p w:rsidRPr="00B33FDD" w:rsidR="00B11D5D" w:rsidP="00B11D5D" w:rsidRDefault="00B11D5D" w14:paraId="2B102ABA"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B33FDD">
              <w:rPr>
                <w:rFonts w:ascii="Times New Roman" w:hAnsi="Times New Roman" w:eastAsia="Times New Roman" w:cs="Times New Roman"/>
                <w:sz w:val="24"/>
                <w:szCs w:val="24"/>
                <w:lang w:val="lv-LV" w:eastAsia="lv-LV"/>
              </w:rPr>
              <w:t>Latvija</w:t>
            </w:r>
            <w:r>
              <w:rPr>
                <w:rFonts w:ascii="Times New Roman" w:hAnsi="Times New Roman" w:eastAsia="Times New Roman" w:cs="Times New Roman"/>
                <w:sz w:val="24"/>
                <w:szCs w:val="24"/>
                <w:lang w:val="lv-LV" w:eastAsia="lv-LV"/>
              </w:rPr>
              <w:t>s I</w:t>
            </w:r>
            <w:r w:rsidRPr="00B33FDD">
              <w:rPr>
                <w:rFonts w:ascii="Times New Roman" w:hAnsi="Times New Roman" w:eastAsia="Times New Roman" w:cs="Times New Roman"/>
                <w:sz w:val="24"/>
                <w:szCs w:val="24"/>
                <w:lang w:val="lv-LV" w:eastAsia="lv-LV"/>
              </w:rPr>
              <w:t>n</w:t>
            </w:r>
            <w:r>
              <w:rPr>
                <w:rFonts w:ascii="Times New Roman" w:hAnsi="Times New Roman" w:eastAsia="Times New Roman" w:cs="Times New Roman"/>
                <w:sz w:val="24"/>
                <w:szCs w:val="24"/>
                <w:lang w:val="lv-LV" w:eastAsia="lv-LV"/>
              </w:rPr>
              <w:t>formācijas u</w:t>
            </w:r>
            <w:r w:rsidRPr="00B33FDD">
              <w:rPr>
                <w:rFonts w:ascii="Times New Roman" w:hAnsi="Times New Roman" w:eastAsia="Times New Roman" w:cs="Times New Roman"/>
                <w:sz w:val="24"/>
                <w:szCs w:val="24"/>
                <w:lang w:val="lv-LV" w:eastAsia="lv-LV"/>
              </w:rPr>
              <w:t>n komunik</w:t>
            </w:r>
            <w:r>
              <w:rPr>
                <w:rFonts w:ascii="Times New Roman" w:hAnsi="Times New Roman" w:eastAsia="Times New Roman" w:cs="Times New Roman"/>
                <w:sz w:val="24"/>
                <w:szCs w:val="24"/>
                <w:lang w:val="lv-LV" w:eastAsia="lv-LV"/>
              </w:rPr>
              <w:t>ā</w:t>
            </w:r>
            <w:r w:rsidRPr="00B33FDD">
              <w:rPr>
                <w:rFonts w:ascii="Times New Roman" w:hAnsi="Times New Roman" w:eastAsia="Times New Roman" w:cs="Times New Roman"/>
                <w:sz w:val="24"/>
                <w:szCs w:val="24"/>
                <w:lang w:val="lv-LV" w:eastAsia="lv-LV"/>
              </w:rPr>
              <w:t xml:space="preserve">cijas </w:t>
            </w:r>
            <w:r>
              <w:rPr>
                <w:rFonts w:ascii="Times New Roman" w:hAnsi="Times New Roman" w:eastAsia="Times New Roman" w:cs="Times New Roman"/>
                <w:sz w:val="24"/>
                <w:szCs w:val="24"/>
                <w:lang w:val="lv-LV" w:eastAsia="lv-LV"/>
              </w:rPr>
              <w:t>te</w:t>
            </w:r>
            <w:r w:rsidRPr="00B33FDD">
              <w:rPr>
                <w:rFonts w:ascii="Times New Roman" w:hAnsi="Times New Roman" w:eastAsia="Times New Roman" w:cs="Times New Roman"/>
                <w:sz w:val="24"/>
                <w:szCs w:val="24"/>
                <w:lang w:val="lv-LV" w:eastAsia="lv-LV"/>
              </w:rPr>
              <w:t>hnolo</w:t>
            </w:r>
            <w:r>
              <w:rPr>
                <w:rFonts w:ascii="Times New Roman" w:hAnsi="Times New Roman" w:eastAsia="Times New Roman" w:cs="Times New Roman"/>
                <w:sz w:val="24"/>
                <w:szCs w:val="24"/>
                <w:lang w:val="lv-LV" w:eastAsia="lv-LV"/>
              </w:rPr>
              <w:t>ģ</w:t>
            </w:r>
            <w:r w:rsidRPr="00B33FDD">
              <w:rPr>
                <w:rFonts w:ascii="Times New Roman" w:hAnsi="Times New Roman" w:eastAsia="Times New Roman" w:cs="Times New Roman"/>
                <w:sz w:val="24"/>
                <w:szCs w:val="24"/>
                <w:lang w:val="lv-LV" w:eastAsia="lv-LV"/>
              </w:rPr>
              <w:t xml:space="preserve">ijas </w:t>
            </w:r>
            <w:r>
              <w:rPr>
                <w:rFonts w:ascii="Times New Roman" w:hAnsi="Times New Roman" w:eastAsia="Times New Roman" w:cs="Times New Roman"/>
                <w:sz w:val="24"/>
                <w:szCs w:val="24"/>
                <w:lang w:val="lv-LV" w:eastAsia="lv-LV"/>
              </w:rPr>
              <w:t>as</w:t>
            </w:r>
            <w:r w:rsidRPr="00B33FDD">
              <w:rPr>
                <w:rFonts w:ascii="Times New Roman" w:hAnsi="Times New Roman" w:eastAsia="Times New Roman" w:cs="Times New Roman"/>
                <w:sz w:val="24"/>
                <w:szCs w:val="24"/>
                <w:lang w:val="lv-LV" w:eastAsia="lv-LV"/>
              </w:rPr>
              <w:t>oci</w:t>
            </w:r>
            <w:r>
              <w:rPr>
                <w:rFonts w:ascii="Times New Roman" w:hAnsi="Times New Roman" w:eastAsia="Times New Roman" w:cs="Times New Roman"/>
                <w:sz w:val="24"/>
                <w:szCs w:val="24"/>
                <w:lang w:val="lv-LV" w:eastAsia="lv-LV"/>
              </w:rPr>
              <w:t>ā</w:t>
            </w:r>
            <w:r w:rsidRPr="00B33FDD">
              <w:rPr>
                <w:rFonts w:ascii="Times New Roman" w:hAnsi="Times New Roman" w:eastAsia="Times New Roman" w:cs="Times New Roman"/>
                <w:sz w:val="24"/>
                <w:szCs w:val="24"/>
                <w:lang w:val="lv-LV" w:eastAsia="lv-LV"/>
              </w:rPr>
              <w:t>cij</w:t>
            </w:r>
            <w:r>
              <w:rPr>
                <w:rFonts w:ascii="Times New Roman" w:hAnsi="Times New Roman" w:eastAsia="Times New Roman" w:cs="Times New Roman"/>
                <w:sz w:val="24"/>
                <w:szCs w:val="24"/>
                <w:lang w:val="lv-LV" w:eastAsia="lv-LV"/>
              </w:rPr>
              <w:t xml:space="preserve">a </w:t>
            </w:r>
            <w:r w:rsidRPr="00B33FDD">
              <w:rPr>
                <w:rFonts w:ascii="Times New Roman" w:hAnsi="Times New Roman" w:eastAsia="Times New Roman" w:cs="Times New Roman"/>
                <w:sz w:val="24"/>
                <w:szCs w:val="24"/>
                <w:lang w:val="lv-LV" w:eastAsia="lv-LV"/>
              </w:rPr>
              <w:t>(turpm</w:t>
            </w:r>
            <w:r>
              <w:rPr>
                <w:rFonts w:ascii="Times New Roman" w:hAnsi="Times New Roman" w:eastAsia="Times New Roman" w:cs="Times New Roman"/>
                <w:sz w:val="24"/>
                <w:szCs w:val="24"/>
                <w:lang w:val="lv-LV" w:eastAsia="lv-LV"/>
              </w:rPr>
              <w:t>ā</w:t>
            </w:r>
            <w:r w:rsidRPr="00B33FDD">
              <w:rPr>
                <w:rFonts w:ascii="Times New Roman" w:hAnsi="Times New Roman" w:eastAsia="Times New Roman" w:cs="Times New Roman"/>
                <w:sz w:val="24"/>
                <w:szCs w:val="24"/>
                <w:lang w:val="lv-LV" w:eastAsia="lv-LV"/>
              </w:rPr>
              <w:t>k- LIKTA)</w:t>
            </w:r>
            <w:r>
              <w:rPr>
                <w:rFonts w:ascii="Times New Roman" w:hAnsi="Times New Roman" w:eastAsia="Times New Roman" w:cs="Times New Roman"/>
                <w:sz w:val="24"/>
                <w:szCs w:val="24"/>
                <w:lang w:val="lv-LV" w:eastAsia="lv-LV"/>
              </w:rPr>
              <w:t xml:space="preserve"> i</w:t>
            </w:r>
            <w:r w:rsidRPr="00B33FDD">
              <w:rPr>
                <w:rFonts w:ascii="Times New Roman" w:hAnsi="Times New Roman" w:eastAsia="Times New Roman" w:cs="Times New Roman"/>
                <w:sz w:val="24"/>
                <w:szCs w:val="24"/>
                <w:lang w:val="lv-LV" w:eastAsia="lv-LV"/>
              </w:rPr>
              <w:t>r iepazinusies</w:t>
            </w:r>
            <w:r>
              <w:rPr>
                <w:rFonts w:ascii="Times New Roman" w:hAnsi="Times New Roman" w:eastAsia="Times New Roman" w:cs="Times New Roman"/>
                <w:sz w:val="24"/>
                <w:szCs w:val="24"/>
                <w:lang w:val="lv-LV" w:eastAsia="lv-LV"/>
              </w:rPr>
              <w:t xml:space="preserve"> a</w:t>
            </w:r>
            <w:r w:rsidRPr="00B33FDD">
              <w:rPr>
                <w:rFonts w:ascii="Times New Roman" w:hAnsi="Times New Roman" w:eastAsia="Times New Roman" w:cs="Times New Roman"/>
                <w:sz w:val="24"/>
                <w:szCs w:val="24"/>
                <w:lang w:val="lv-LV" w:eastAsia="lv-LV"/>
              </w:rPr>
              <w:t>r</w:t>
            </w:r>
          </w:p>
          <w:p w:rsidRPr="00B33FDD" w:rsidR="00B11D5D" w:rsidP="00B11D5D" w:rsidRDefault="00B11D5D" w14:paraId="2643DEB7"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B33FDD">
              <w:rPr>
                <w:rFonts w:ascii="Times New Roman" w:hAnsi="Times New Roman" w:eastAsia="Times New Roman" w:cs="Times New Roman"/>
                <w:sz w:val="24"/>
                <w:szCs w:val="24"/>
                <w:lang w:val="lv-LV" w:eastAsia="lv-LV"/>
              </w:rPr>
              <w:t xml:space="preserve">Satiksmes </w:t>
            </w:r>
            <w:r>
              <w:rPr>
                <w:rFonts w:ascii="Times New Roman" w:hAnsi="Times New Roman" w:eastAsia="Times New Roman" w:cs="Times New Roman"/>
                <w:sz w:val="24"/>
                <w:szCs w:val="24"/>
                <w:lang w:val="lv-LV" w:eastAsia="lv-LV"/>
              </w:rPr>
              <w:t>m</w:t>
            </w:r>
            <w:r w:rsidRPr="00B33FDD">
              <w:rPr>
                <w:rFonts w:ascii="Times New Roman" w:hAnsi="Times New Roman" w:eastAsia="Times New Roman" w:cs="Times New Roman"/>
                <w:sz w:val="24"/>
                <w:szCs w:val="24"/>
                <w:lang w:val="lv-LV" w:eastAsia="lv-LV"/>
              </w:rPr>
              <w:t xml:space="preserve">inistrijas </w:t>
            </w:r>
            <w:r>
              <w:rPr>
                <w:rFonts w:ascii="Times New Roman" w:hAnsi="Times New Roman" w:eastAsia="Times New Roman" w:cs="Times New Roman"/>
                <w:sz w:val="24"/>
                <w:szCs w:val="24"/>
                <w:lang w:val="lv-LV" w:eastAsia="lv-LV"/>
              </w:rPr>
              <w:t>sa</w:t>
            </w:r>
            <w:r w:rsidRPr="00B33FDD">
              <w:rPr>
                <w:rFonts w:ascii="Times New Roman" w:hAnsi="Times New Roman" w:eastAsia="Times New Roman" w:cs="Times New Roman"/>
                <w:sz w:val="24"/>
                <w:szCs w:val="24"/>
                <w:lang w:val="lv-LV" w:eastAsia="lv-LV"/>
              </w:rPr>
              <w:t>gatavoto</w:t>
            </w:r>
            <w:r>
              <w:rPr>
                <w:rFonts w:ascii="Times New Roman" w:hAnsi="Times New Roman" w:eastAsia="Times New Roman" w:cs="Times New Roman"/>
                <w:sz w:val="24"/>
                <w:szCs w:val="24"/>
                <w:lang w:val="lv-LV" w:eastAsia="lv-LV"/>
              </w:rPr>
              <w:t xml:space="preserve"> </w:t>
            </w:r>
            <w:r w:rsidRPr="009377E2">
              <w:rPr>
                <w:rFonts w:ascii="Times New Roman" w:hAnsi="Times New Roman" w:eastAsia="Times New Roman" w:cs="Times New Roman"/>
                <w:sz w:val="24"/>
                <w:szCs w:val="24"/>
                <w:lang w:val="lv-LV" w:eastAsia="lv-LV"/>
              </w:rPr>
              <w:t xml:space="preserve">Informatīvo ziņojumu "Par numerācijas resursu maksājumu un nepieciešamību iedalīt numerācijas resursus lietu internetam un mašīnas-mašīnas sakaru pakalpojumiem", Ministru kabineta sēdes </w:t>
            </w:r>
            <w:proofErr w:type="spellStart"/>
            <w:r w:rsidRPr="009377E2">
              <w:rPr>
                <w:rFonts w:ascii="Times New Roman" w:hAnsi="Times New Roman" w:eastAsia="Times New Roman" w:cs="Times New Roman"/>
                <w:sz w:val="24"/>
                <w:szCs w:val="24"/>
                <w:lang w:val="lv-LV" w:eastAsia="lv-LV"/>
              </w:rPr>
              <w:t>protokollēmuma</w:t>
            </w:r>
            <w:proofErr w:type="spellEnd"/>
            <w:r w:rsidRPr="009377E2">
              <w:rPr>
                <w:rFonts w:ascii="Times New Roman" w:hAnsi="Times New Roman" w:eastAsia="Times New Roman" w:cs="Times New Roman"/>
                <w:sz w:val="24"/>
                <w:szCs w:val="24"/>
                <w:lang w:val="lv-LV" w:eastAsia="lv-LV"/>
              </w:rPr>
              <w:t xml:space="preserve"> projektu un izziņu par atzinumos sniegtajiem iebildumiem, un sniedz</w:t>
            </w:r>
            <w:r>
              <w:rPr>
                <w:rFonts w:ascii="Times New Roman" w:hAnsi="Times New Roman" w:eastAsia="Times New Roman" w:cs="Times New Roman"/>
                <w:sz w:val="24"/>
                <w:szCs w:val="24"/>
                <w:lang w:val="lv-LV" w:eastAsia="lv-LV"/>
              </w:rPr>
              <w:t>am šādus komentārus.</w:t>
            </w:r>
          </w:p>
          <w:p w:rsidR="00B11D5D" w:rsidP="00B11D5D" w:rsidRDefault="00B11D5D" w14:paraId="14C3CE5A"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p>
          <w:p w:rsidRPr="007006B6" w:rsidR="00B11D5D" w:rsidP="00B11D5D" w:rsidRDefault="00B11D5D" w14:paraId="36D00B31"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7006B6">
              <w:rPr>
                <w:rFonts w:ascii="Times New Roman" w:hAnsi="Times New Roman" w:eastAsia="Times New Roman" w:cs="Times New Roman"/>
                <w:sz w:val="24"/>
                <w:szCs w:val="24"/>
                <w:lang w:val="lv-LV" w:eastAsia="lv-LV"/>
              </w:rPr>
              <w:lastRenderedPageBreak/>
              <w:t xml:space="preserve">Numerācijas resursi ir nepieciešami, lai elektronisko sakaru komersanti varētu nodrošināt sakaru pakalpojumus galalietotājiem. Informatīvajā ziņojumā nepamatots uzsvars ir likts uz eksteritoriālā pielietojuma numerācijas diapazona izdalīšanu un numerācijas nodevas plašāku piemērošanu, neievērojot Latvijas elektronisko sakaru nozares attīstības intereses. Saskaroties ar numerācijas resursu trūkumu vai pārvaldības problēmām, tieši elektronisko sakaru komersanti būtu pirmie, kas aicinātu pārskatīt numerācijas pārvaldības kārtību. Tomēr konkrētajā situācijā, tieši pretēji, elektronisko sakaru komersanti iebilst pret risinājumiem, kas paaugstina administratīvo slogu un nodokļu </w:t>
            </w:r>
            <w:r w:rsidRPr="007006B6">
              <w:rPr>
                <w:rFonts w:ascii="Times New Roman" w:hAnsi="Times New Roman" w:eastAsia="Times New Roman" w:cs="Times New Roman"/>
                <w:sz w:val="24"/>
                <w:szCs w:val="24"/>
                <w:lang w:val="lv-LV" w:eastAsia="lv-LV"/>
              </w:rPr>
              <w:lastRenderedPageBreak/>
              <w:t xml:space="preserve">maksājumu apmēru, tai pat laikā nesniedzot pienesumu numerācijas efektīvai pārvaldībai vai </w:t>
            </w:r>
            <w:proofErr w:type="spellStart"/>
            <w:r w:rsidRPr="007006B6">
              <w:rPr>
                <w:rFonts w:ascii="Times New Roman" w:hAnsi="Times New Roman" w:eastAsia="Times New Roman" w:cs="Times New Roman"/>
                <w:sz w:val="24"/>
                <w:szCs w:val="24"/>
                <w:lang w:val="lv-LV" w:eastAsia="lv-LV"/>
              </w:rPr>
              <w:t>krāpniecības</w:t>
            </w:r>
            <w:proofErr w:type="spellEnd"/>
            <w:r w:rsidRPr="007006B6">
              <w:rPr>
                <w:rFonts w:ascii="Times New Roman" w:hAnsi="Times New Roman" w:eastAsia="Times New Roman" w:cs="Times New Roman"/>
                <w:sz w:val="24"/>
                <w:szCs w:val="24"/>
                <w:lang w:val="lv-LV" w:eastAsia="lv-LV"/>
              </w:rPr>
              <w:t xml:space="preserve"> risku mazināšanai. </w:t>
            </w:r>
          </w:p>
          <w:p w:rsidR="00B11D5D" w:rsidP="00B11D5D" w:rsidRDefault="00B11D5D" w14:paraId="664A2EFD"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7006B6">
              <w:rPr>
                <w:rFonts w:ascii="Times New Roman" w:hAnsi="Times New Roman" w:eastAsia="Times New Roman" w:cs="Times New Roman"/>
                <w:sz w:val="24"/>
                <w:szCs w:val="24"/>
                <w:lang w:val="lv-LV" w:eastAsia="lv-LV"/>
              </w:rPr>
              <w:t>Līdz ar to informatīvajā ziņojumā izdarītos secinājumus nepieciešams pārskatīt, ņemot vērā Latvijas elektronisko sakaru nozares attīstības tendences.</w:t>
            </w:r>
          </w:p>
          <w:p w:rsidRPr="007006B6" w:rsidR="00B11D5D" w:rsidP="00B11D5D" w:rsidRDefault="00B11D5D" w14:paraId="46F99818"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00B11D5D" w:rsidP="00B11D5D" w:rsidRDefault="00B11D5D" w14:paraId="704CB80B"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Pr>
                <w:rFonts w:ascii="Times New Roman" w:hAnsi="Times New Roman" w:eastAsia="Times New Roman" w:cs="Times New Roman"/>
                <w:sz w:val="24"/>
                <w:szCs w:val="24"/>
                <w:lang w:val="lv-LV" w:eastAsia="lv-LV"/>
              </w:rPr>
              <w:t>V</w:t>
            </w:r>
            <w:r w:rsidRPr="00196504">
              <w:rPr>
                <w:rFonts w:ascii="Times New Roman" w:hAnsi="Times New Roman" w:eastAsia="Times New Roman" w:cs="Times New Roman"/>
                <w:sz w:val="24"/>
                <w:szCs w:val="24"/>
                <w:lang w:val="lv-LV" w:eastAsia="lv-LV"/>
              </w:rPr>
              <w:t xml:space="preserve">arētu atbalstīt pagarinātu 11 vai 12 ciparu numuru ieviešanu Nacionālajā numerācijas plānā vienīgi pie nosacījuma, ka Latvijas elektronisko sakaru komersantiem tiek saglabātas iespējas </w:t>
            </w:r>
            <w:proofErr w:type="spellStart"/>
            <w:r w:rsidRPr="00196504">
              <w:rPr>
                <w:rFonts w:ascii="Times New Roman" w:hAnsi="Times New Roman" w:eastAsia="Times New Roman" w:cs="Times New Roman"/>
                <w:sz w:val="24"/>
                <w:szCs w:val="24"/>
                <w:lang w:val="lv-LV" w:eastAsia="lv-LV"/>
              </w:rPr>
              <w:t>IoT</w:t>
            </w:r>
            <w:proofErr w:type="spellEnd"/>
            <w:r w:rsidRPr="00196504">
              <w:rPr>
                <w:rFonts w:ascii="Times New Roman" w:hAnsi="Times New Roman" w:eastAsia="Times New Roman" w:cs="Times New Roman"/>
                <w:sz w:val="24"/>
                <w:szCs w:val="24"/>
                <w:lang w:val="lv-LV" w:eastAsia="lv-LV"/>
              </w:rPr>
              <w:t>/M2M pakalpojumu nodrošināšanai brīvi un bez papildus nodevām izmantot 8 ciparu numerāciju.</w:t>
            </w:r>
          </w:p>
          <w:p w:rsidR="00B11D5D" w:rsidP="00E407EA" w:rsidRDefault="00B11D5D" w14:paraId="6C4062C8" w14:textId="77777777">
            <w:pPr>
              <w:autoSpaceDE w:val="0"/>
              <w:autoSpaceDN w:val="0"/>
              <w:spacing w:after="0" w:line="240" w:lineRule="auto"/>
              <w:ind w:right="170"/>
              <w:jc w:val="both"/>
              <w:rPr>
                <w:rFonts w:ascii="Times New Roman" w:hAnsi="Times New Roman" w:eastAsia="Times New Roman" w:cs="Times New Roman"/>
                <w:b/>
                <w:bCs/>
                <w:sz w:val="24"/>
                <w:szCs w:val="24"/>
                <w:lang w:val="lv-LV" w:eastAsia="lv-LV"/>
              </w:rPr>
            </w:pPr>
          </w:p>
          <w:p w:rsidR="00E407EA" w:rsidP="00E407EA" w:rsidRDefault="00E407EA" w14:paraId="59D75C4A" w14:textId="2AAA8F18">
            <w:pPr>
              <w:autoSpaceDE w:val="0"/>
              <w:autoSpaceDN w:val="0"/>
              <w:spacing w:after="0" w:line="240" w:lineRule="auto"/>
              <w:ind w:right="170"/>
              <w:jc w:val="both"/>
              <w:rPr>
                <w:rFonts w:ascii="Times New Roman" w:hAnsi="Times New Roman" w:eastAsia="Times New Roman" w:cs="Times New Roman"/>
                <w:b/>
                <w:bCs/>
                <w:sz w:val="24"/>
                <w:szCs w:val="24"/>
                <w:lang w:val="lv-LV" w:eastAsia="lv-LV"/>
              </w:rPr>
            </w:pPr>
            <w:r w:rsidRPr="00D214BB">
              <w:rPr>
                <w:rFonts w:ascii="Times New Roman" w:hAnsi="Times New Roman" w:eastAsia="Times New Roman" w:cs="Times New Roman"/>
                <w:b/>
                <w:bCs/>
                <w:sz w:val="24"/>
                <w:szCs w:val="24"/>
                <w:lang w:val="lv-LV" w:eastAsia="lv-LV"/>
              </w:rPr>
              <w:t>Latvijas Informācijas un komunikācijas tehnoloģiju asociācija (LIKTA) un Latvijas Darba devēju konfederācija (LDDK)</w:t>
            </w:r>
          </w:p>
          <w:p w:rsidRPr="00FE6562" w:rsidR="00A36432" w:rsidP="00A36432" w:rsidRDefault="00A36432" w14:paraId="0199A6F4"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p>
          <w:p w:rsidR="00A36432" w:rsidP="00A36432" w:rsidRDefault="00A36432" w14:paraId="7EA67C9C" w14:textId="39FB9B1D">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sidRPr="00FE6562">
              <w:rPr>
                <w:rFonts w:ascii="Times New Roman" w:hAnsi="Times New Roman" w:eastAsia="Times New Roman" w:cs="Times New Roman"/>
                <w:b/>
                <w:bCs/>
                <w:sz w:val="24"/>
                <w:szCs w:val="24"/>
                <w:lang w:val="lv-LV" w:eastAsia="lv-LV"/>
              </w:rPr>
              <w:t>12.04.2019.</w:t>
            </w:r>
          </w:p>
          <w:p w:rsidRPr="00EB425C" w:rsidR="00EB425C" w:rsidP="00E407EA" w:rsidRDefault="00EB425C" w14:paraId="0CBCB309"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p>
          <w:p w:rsidRPr="00EB425C" w:rsidR="00EB425C" w:rsidP="00EB425C" w:rsidRDefault="00151A9B" w14:paraId="6B41A8CF" w14:textId="035103FF">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Institūcijas i</w:t>
            </w:r>
            <w:r w:rsidRPr="00EB425C" w:rsidR="00EB425C">
              <w:rPr>
                <w:rFonts w:ascii="Times New Roman" w:hAnsi="Times New Roman" w:eastAsia="Times New Roman" w:cs="Times New Roman"/>
                <w:sz w:val="24"/>
                <w:szCs w:val="24"/>
                <w:lang w:val="lv-LV" w:eastAsia="lv-LV"/>
              </w:rPr>
              <w:t>ebilst pret Informatīvajā ziņojumā iekļautās mobilās un fiksētās numerācijas diapazonu lietošanas tiesību ierobežojumiem.</w:t>
            </w:r>
          </w:p>
          <w:p w:rsidRPr="00FE6562" w:rsidR="00A36432" w:rsidP="00A36432" w:rsidRDefault="00A36432" w14:paraId="54075FB0"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Pr="00FE6562" w:rsidR="00A36432" w:rsidP="00A36432" w:rsidRDefault="00A36432" w14:paraId="177F27F3"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FE6562">
              <w:rPr>
                <w:rFonts w:ascii="Times New Roman" w:hAnsi="Times New Roman" w:eastAsia="Times New Roman" w:cs="Times New Roman"/>
                <w:sz w:val="24"/>
                <w:szCs w:val="24"/>
                <w:lang w:val="lv-LV" w:eastAsia="lv-LV"/>
              </w:rPr>
              <w:t>Numerācijas resursi ir nepieciešami, lai elektronisko sakaru komersanti varētu nodrošināt sakaru pakalpojumus galalietotājiem, tādējādi numerācijas resursu racionāla pārvaldība ir būtiska elektronisko sakaru nozares interese. Tomēr konkrētajā situācijā elektronisko sakaru nozare aicina atturēties no risinājumiem, kas drīzāk rada nevajadzīgus ierobežojumus un var kavēt elektronisko sakaru pakalpojumu attīstību.</w:t>
            </w:r>
          </w:p>
          <w:p w:rsidRPr="00FE6562" w:rsidR="00A36432" w:rsidP="00A36432" w:rsidRDefault="00A36432" w14:paraId="042C5558"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FE6562">
              <w:rPr>
                <w:rFonts w:ascii="Times New Roman" w:hAnsi="Times New Roman" w:eastAsia="Times New Roman" w:cs="Times New Roman"/>
                <w:sz w:val="24"/>
                <w:szCs w:val="24"/>
                <w:lang w:val="lv-LV" w:eastAsia="lv-LV"/>
              </w:rPr>
              <w:t xml:space="preserve">Latvijas Nacionālais numerācijas plāns ir veidots </w:t>
            </w:r>
            <w:r w:rsidRPr="00FE6562">
              <w:rPr>
                <w:rFonts w:ascii="Times New Roman" w:hAnsi="Times New Roman" w:eastAsia="Times New Roman" w:cs="Times New Roman"/>
                <w:sz w:val="24"/>
                <w:szCs w:val="24"/>
                <w:lang w:val="lv-LV" w:eastAsia="lv-LV"/>
              </w:rPr>
              <w:lastRenderedPageBreak/>
              <w:t xml:space="preserve">par pamatu ņemot 8 ciparu numerāciju, tādējādi potenciāli nodrošinot 80 miljonus numuru, neskaitot īsos kodus. Elektronisko sakaru komersanti </w:t>
            </w:r>
            <w:proofErr w:type="spellStart"/>
            <w:r w:rsidRPr="00FE6562">
              <w:rPr>
                <w:rFonts w:ascii="Times New Roman" w:hAnsi="Times New Roman" w:eastAsia="Times New Roman" w:cs="Times New Roman"/>
                <w:sz w:val="24"/>
                <w:szCs w:val="24"/>
                <w:lang w:val="lv-LV" w:eastAsia="lv-LV"/>
              </w:rPr>
              <w:t>IoT</w:t>
            </w:r>
            <w:proofErr w:type="spellEnd"/>
            <w:r w:rsidRPr="00FE6562">
              <w:rPr>
                <w:rFonts w:ascii="Times New Roman" w:hAnsi="Times New Roman" w:eastAsia="Times New Roman" w:cs="Times New Roman"/>
                <w:sz w:val="24"/>
                <w:szCs w:val="24"/>
                <w:lang w:val="lv-LV" w:eastAsia="lv-LV"/>
              </w:rPr>
              <w:t xml:space="preserve">/M2M pakalpojumus šobrīd nodrošina izmantojot vispārējā pielietojuma mobilās un fiksētās numerācijas diapazonus 2XXXXXXX un 6XXXXXXX. Šajos diapazonos ir pieejami 20 miljoni numuru, kas aptuveni desmit reizes pārsniedz iedzīvotāju skaitu valstī. Turklāt atbilstoši informatīvajā ziņojumā norādītajiem datiem, gandrīz puse (~47%) no šiem numuriem pat nav izsniegti lietošanā elektronisko sakaru komersantiem. Vēl jo vairāk, ņemot vērā Sabiedrisko pakalpojumu regulēšanas komisijas lēmumus par numerācijas resursu efektīvas izmantošanas saistībām, </w:t>
            </w:r>
            <w:r w:rsidRPr="00FE6562">
              <w:rPr>
                <w:rFonts w:ascii="Times New Roman" w:hAnsi="Times New Roman" w:eastAsia="Times New Roman" w:cs="Times New Roman"/>
                <w:sz w:val="24"/>
                <w:szCs w:val="24"/>
                <w:lang w:val="lv-LV" w:eastAsia="lv-LV"/>
              </w:rPr>
              <w:lastRenderedPageBreak/>
              <w:t xml:space="preserve">tuvāko divu gadu periodā paredzama plaša neizmantoto numuru atgriešana valstij. Numerācijas resursu nepieciešamību ilgtermiņā samazinās arī IPv6 plašāka izmantošana. No minētā izriet, ka Latvijā šobrīd nav konstatējams numerācijas resursu trūkums vai nepieciešamība izdalīt atsevišķu numerācijas diapazonu </w:t>
            </w:r>
            <w:proofErr w:type="spellStart"/>
            <w:r w:rsidRPr="00FE6562">
              <w:rPr>
                <w:rFonts w:ascii="Times New Roman" w:hAnsi="Times New Roman" w:eastAsia="Times New Roman" w:cs="Times New Roman"/>
                <w:sz w:val="24"/>
                <w:szCs w:val="24"/>
                <w:lang w:val="lv-LV" w:eastAsia="lv-LV"/>
              </w:rPr>
              <w:t>IoT</w:t>
            </w:r>
            <w:proofErr w:type="spellEnd"/>
            <w:r w:rsidRPr="00FE6562">
              <w:rPr>
                <w:rFonts w:ascii="Times New Roman" w:hAnsi="Times New Roman" w:eastAsia="Times New Roman" w:cs="Times New Roman"/>
                <w:sz w:val="24"/>
                <w:szCs w:val="24"/>
                <w:lang w:val="lv-LV" w:eastAsia="lv-LV"/>
              </w:rPr>
              <w:t>/M2M pakalpojumiem.</w:t>
            </w:r>
          </w:p>
          <w:p w:rsidRPr="00FE6562" w:rsidR="00A36432" w:rsidP="00A36432" w:rsidRDefault="00A36432" w14:paraId="33D2D00F"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FE6562">
              <w:rPr>
                <w:rFonts w:ascii="Times New Roman" w:hAnsi="Times New Roman" w:eastAsia="Times New Roman" w:cs="Times New Roman"/>
                <w:sz w:val="24"/>
                <w:szCs w:val="24"/>
                <w:lang w:val="lv-LV" w:eastAsia="lv-LV"/>
              </w:rPr>
              <w:t xml:space="preserve">Informatīvajā ziņojumā jauna numerācijas diapazona izdalīšana </w:t>
            </w:r>
            <w:proofErr w:type="spellStart"/>
            <w:r w:rsidRPr="00FE6562">
              <w:rPr>
                <w:rFonts w:ascii="Times New Roman" w:hAnsi="Times New Roman" w:eastAsia="Times New Roman" w:cs="Times New Roman"/>
                <w:sz w:val="24"/>
                <w:szCs w:val="24"/>
                <w:lang w:val="lv-LV" w:eastAsia="lv-LV"/>
              </w:rPr>
              <w:t>IoT</w:t>
            </w:r>
            <w:proofErr w:type="spellEnd"/>
            <w:r w:rsidRPr="00FE6562">
              <w:rPr>
                <w:rFonts w:ascii="Times New Roman" w:hAnsi="Times New Roman" w:eastAsia="Times New Roman" w:cs="Times New Roman"/>
                <w:sz w:val="24"/>
                <w:szCs w:val="24"/>
                <w:lang w:val="lv-LV" w:eastAsia="lv-LV"/>
              </w:rPr>
              <w:t xml:space="preserve">/M2M pakalpojumiem pamatota ar Eiropas Parlamenta un Padomes 2018.gada 11.decembra direktīvas (ES) 2018/1972 par Eiropas Elektronisko sakaru kodeksa izveidi (turpmāk – Direktīva) 93.panta 4.punktu, kas prasa dalībvalstīm nodrošināt, lai valsts regulatīvās vai citas kompetentās iestādes darītu </w:t>
            </w:r>
            <w:r w:rsidRPr="00FE6562">
              <w:rPr>
                <w:rFonts w:ascii="Times New Roman" w:hAnsi="Times New Roman" w:eastAsia="Times New Roman" w:cs="Times New Roman"/>
                <w:sz w:val="24"/>
                <w:szCs w:val="24"/>
                <w:lang w:val="lv-LV" w:eastAsia="lv-LV"/>
              </w:rPr>
              <w:lastRenderedPageBreak/>
              <w:t xml:space="preserve">pieejamu neģeogrāfisku numuru diapazonu, ko var izmantot tādu elektronisko sakaru pakalpojumu, kas nav </w:t>
            </w:r>
            <w:proofErr w:type="spellStart"/>
            <w:r w:rsidRPr="00FE6562">
              <w:rPr>
                <w:rFonts w:ascii="Times New Roman" w:hAnsi="Times New Roman" w:eastAsia="Times New Roman" w:cs="Times New Roman"/>
                <w:sz w:val="24"/>
                <w:szCs w:val="24"/>
                <w:lang w:val="lv-LV" w:eastAsia="lv-LV"/>
              </w:rPr>
              <w:t>starppersonu</w:t>
            </w:r>
            <w:proofErr w:type="spellEnd"/>
            <w:r w:rsidRPr="00FE6562">
              <w:rPr>
                <w:rFonts w:ascii="Times New Roman" w:hAnsi="Times New Roman" w:eastAsia="Times New Roman" w:cs="Times New Roman"/>
                <w:sz w:val="24"/>
                <w:szCs w:val="24"/>
                <w:lang w:val="lv-LV" w:eastAsia="lv-LV"/>
              </w:rPr>
              <w:t xml:space="preserve"> sakaru pakalpojumi, sniegšanai visā Savienības teritorijā.</w:t>
            </w:r>
          </w:p>
          <w:p w:rsidRPr="00FE6562" w:rsidR="00A36432" w:rsidP="00A36432" w:rsidRDefault="00A36432" w14:paraId="3984A70B"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FE6562">
              <w:rPr>
                <w:rFonts w:ascii="Times New Roman" w:hAnsi="Times New Roman" w:eastAsia="Times New Roman" w:cs="Times New Roman"/>
                <w:sz w:val="24"/>
                <w:szCs w:val="24"/>
                <w:lang w:val="lv-LV" w:eastAsia="lv-LV"/>
              </w:rPr>
              <w:t xml:space="preserve">Neizslēdzot iespējamību izdalīt atsevišķu numerācijas diapazonu </w:t>
            </w:r>
            <w:proofErr w:type="spellStart"/>
            <w:r w:rsidRPr="00FE6562">
              <w:rPr>
                <w:rFonts w:ascii="Times New Roman" w:hAnsi="Times New Roman" w:eastAsia="Times New Roman" w:cs="Times New Roman"/>
                <w:sz w:val="24"/>
                <w:szCs w:val="24"/>
                <w:lang w:val="lv-LV" w:eastAsia="lv-LV"/>
              </w:rPr>
              <w:t>IoT</w:t>
            </w:r>
            <w:proofErr w:type="spellEnd"/>
            <w:r w:rsidRPr="00FE6562">
              <w:rPr>
                <w:rFonts w:ascii="Times New Roman" w:hAnsi="Times New Roman" w:eastAsia="Times New Roman" w:cs="Times New Roman"/>
                <w:sz w:val="24"/>
                <w:szCs w:val="24"/>
                <w:lang w:val="lv-LV" w:eastAsia="lv-LV"/>
              </w:rPr>
              <w:t xml:space="preserve">/M2M pakalpojumiem, LIKTA uzskata, ka Direktīva neliedz </w:t>
            </w:r>
            <w:proofErr w:type="spellStart"/>
            <w:r w:rsidRPr="00FE6562">
              <w:rPr>
                <w:rFonts w:ascii="Times New Roman" w:hAnsi="Times New Roman" w:eastAsia="Times New Roman" w:cs="Times New Roman"/>
                <w:sz w:val="24"/>
                <w:szCs w:val="24"/>
                <w:lang w:val="lv-LV" w:eastAsia="lv-LV"/>
              </w:rPr>
              <w:t>IoT</w:t>
            </w:r>
            <w:proofErr w:type="spellEnd"/>
            <w:r w:rsidRPr="00FE6562">
              <w:rPr>
                <w:rFonts w:ascii="Times New Roman" w:hAnsi="Times New Roman" w:eastAsia="Times New Roman" w:cs="Times New Roman"/>
                <w:sz w:val="24"/>
                <w:szCs w:val="24"/>
                <w:lang w:val="lv-LV" w:eastAsia="lv-LV"/>
              </w:rPr>
              <w:t xml:space="preserve">/M2M pakalpojumiem arī turpmāk izmantot vispārējā pielietojuma numerācijas diapazonus. </w:t>
            </w:r>
          </w:p>
          <w:p w:rsidR="00A36432" w:rsidP="00A36432" w:rsidRDefault="00A36432" w14:paraId="31091170"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FE6562">
              <w:rPr>
                <w:rFonts w:ascii="Times New Roman" w:hAnsi="Times New Roman" w:eastAsia="Times New Roman" w:cs="Times New Roman"/>
                <w:sz w:val="24"/>
                <w:szCs w:val="24"/>
                <w:lang w:val="lv-LV" w:eastAsia="lv-LV"/>
              </w:rPr>
              <w:t xml:space="preserve">Līdz ar to iebilstam pret mobilās un fiksētās numerācijas diapazonu lietošanas tiesību ierobežojumiem, jo tiem nav pamatojuma. Ierosinām Nacionālajā numerācijas plānā arī turpmāk saglabāt brīvu iespēju </w:t>
            </w:r>
            <w:proofErr w:type="spellStart"/>
            <w:r w:rsidRPr="00FE6562">
              <w:rPr>
                <w:rFonts w:ascii="Times New Roman" w:hAnsi="Times New Roman" w:eastAsia="Times New Roman" w:cs="Times New Roman"/>
                <w:sz w:val="24"/>
                <w:szCs w:val="24"/>
                <w:lang w:val="lv-LV" w:eastAsia="lv-LV"/>
              </w:rPr>
              <w:t>IoT</w:t>
            </w:r>
            <w:proofErr w:type="spellEnd"/>
            <w:r w:rsidRPr="00FE6562">
              <w:rPr>
                <w:rFonts w:ascii="Times New Roman" w:hAnsi="Times New Roman" w:eastAsia="Times New Roman" w:cs="Times New Roman"/>
                <w:sz w:val="24"/>
                <w:szCs w:val="24"/>
                <w:lang w:val="lv-LV" w:eastAsia="lv-LV"/>
              </w:rPr>
              <w:t xml:space="preserve">/M2M pakalpojumus nodrošināt 2XXXXXXX un 6XXXXXXX numerācijas diapazonos. Tas ļaus nodrošināt racionālu </w:t>
            </w:r>
            <w:r w:rsidRPr="00FE6562">
              <w:rPr>
                <w:rFonts w:ascii="Times New Roman" w:hAnsi="Times New Roman" w:eastAsia="Times New Roman" w:cs="Times New Roman"/>
                <w:sz w:val="24"/>
                <w:szCs w:val="24"/>
                <w:lang w:val="lv-LV" w:eastAsia="lv-LV"/>
              </w:rPr>
              <w:lastRenderedPageBreak/>
              <w:t xml:space="preserve">numerācijas resursu izmantošanu un izvairīties no esošo </w:t>
            </w:r>
            <w:proofErr w:type="spellStart"/>
            <w:r w:rsidRPr="00FE6562">
              <w:rPr>
                <w:rFonts w:ascii="Times New Roman" w:hAnsi="Times New Roman" w:eastAsia="Times New Roman" w:cs="Times New Roman"/>
                <w:sz w:val="24"/>
                <w:szCs w:val="24"/>
                <w:lang w:val="lv-LV" w:eastAsia="lv-LV"/>
              </w:rPr>
              <w:t>IoT</w:t>
            </w:r>
            <w:proofErr w:type="spellEnd"/>
            <w:r w:rsidRPr="00FE6562">
              <w:rPr>
                <w:rFonts w:ascii="Times New Roman" w:hAnsi="Times New Roman" w:eastAsia="Times New Roman" w:cs="Times New Roman"/>
                <w:sz w:val="24"/>
                <w:szCs w:val="24"/>
                <w:lang w:val="lv-LV" w:eastAsia="lv-LV"/>
              </w:rPr>
              <w:t xml:space="preserve">/M2M </w:t>
            </w:r>
            <w:proofErr w:type="spellStart"/>
            <w:r w:rsidRPr="00FE6562">
              <w:rPr>
                <w:rFonts w:ascii="Times New Roman" w:hAnsi="Times New Roman" w:eastAsia="Times New Roman" w:cs="Times New Roman"/>
                <w:sz w:val="24"/>
                <w:szCs w:val="24"/>
                <w:lang w:val="lv-LV" w:eastAsia="lv-LV"/>
              </w:rPr>
              <w:t>pieslēgumu</w:t>
            </w:r>
            <w:proofErr w:type="spellEnd"/>
            <w:r w:rsidRPr="00FE6562">
              <w:rPr>
                <w:rFonts w:ascii="Times New Roman" w:hAnsi="Times New Roman" w:eastAsia="Times New Roman" w:cs="Times New Roman"/>
                <w:sz w:val="24"/>
                <w:szCs w:val="24"/>
                <w:lang w:val="lv-LV" w:eastAsia="lv-LV"/>
              </w:rPr>
              <w:t xml:space="preserve"> masveida slēgšanas.</w:t>
            </w:r>
          </w:p>
          <w:p w:rsidR="00A36432" w:rsidP="00A36432" w:rsidRDefault="00A36432" w14:paraId="43EEB141" w14:textId="788A5892">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Pr="009C445F" w:rsidR="00A36432" w:rsidP="00A36432" w:rsidRDefault="00A36432" w14:paraId="7DAC4A97" w14:textId="3BCBE604">
            <w:pPr>
              <w:autoSpaceDE w:val="0"/>
              <w:autoSpaceDN w:val="0"/>
              <w:spacing w:after="0" w:line="240" w:lineRule="auto"/>
              <w:ind w:right="170"/>
              <w:jc w:val="both"/>
              <w:rPr>
                <w:rFonts w:ascii="Times New Roman" w:hAnsi="Times New Roman" w:eastAsia="Times New Roman" w:cs="Times New Roman"/>
                <w:sz w:val="24"/>
                <w:szCs w:val="24"/>
                <w:lang w:val="lv-LV" w:eastAsia="lv-LV"/>
              </w:rPr>
            </w:pPr>
          </w:p>
        </w:tc>
        <w:tc>
          <w:tcPr>
            <w:tcW w:w="2976" w:type="dxa"/>
          </w:tcPr>
          <w:p w:rsidRPr="00A36432" w:rsidR="00A36432" w:rsidP="00A36432" w:rsidRDefault="005E3587" w14:paraId="2C0D7338" w14:textId="11D5E398">
            <w:pPr>
              <w:autoSpaceDE w:val="0"/>
              <w:autoSpaceDN w:val="0"/>
              <w:spacing w:after="0" w:line="240" w:lineRule="auto"/>
              <w:ind w:right="170"/>
              <w:jc w:val="both"/>
              <w:rPr>
                <w:rFonts w:ascii="Times New Roman" w:hAnsi="Times New Roman" w:eastAsia="Times New Roman" w:cs="Times New Roman"/>
                <w:b/>
                <w:bCs/>
                <w:sz w:val="24"/>
                <w:szCs w:val="24"/>
                <w:lang w:val="lv-LV" w:eastAsia="lv-LV"/>
              </w:rPr>
            </w:pPr>
            <w:r>
              <w:rPr>
                <w:rFonts w:ascii="Times New Roman" w:hAnsi="Times New Roman" w:eastAsia="Times New Roman" w:cs="Times New Roman"/>
                <w:b/>
                <w:bCs/>
                <w:sz w:val="24"/>
                <w:szCs w:val="24"/>
                <w:lang w:val="lv-LV" w:eastAsia="lv-LV"/>
              </w:rPr>
              <w:lastRenderedPageBreak/>
              <w:t>Iebildums n</w:t>
            </w:r>
            <w:r w:rsidR="00B11D5D">
              <w:rPr>
                <w:rFonts w:ascii="Times New Roman" w:hAnsi="Times New Roman" w:eastAsia="Times New Roman" w:cs="Times New Roman"/>
                <w:b/>
                <w:bCs/>
                <w:sz w:val="24"/>
                <w:szCs w:val="24"/>
                <w:lang w:val="lv-LV" w:eastAsia="lv-LV"/>
              </w:rPr>
              <w:t>av ņemts vērā</w:t>
            </w:r>
          </w:p>
          <w:p w:rsidR="00A36432" w:rsidP="00A36432" w:rsidRDefault="00A36432" w14:paraId="315D1BC3"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p>
          <w:p w:rsidRPr="003E3608" w:rsidR="00A36432" w:rsidP="00A36432" w:rsidRDefault="00A36432" w14:paraId="55B678DE" w14:textId="4C25731A">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Starpinstitūciju sanāksmē un </w:t>
            </w:r>
            <w:r w:rsidRPr="004928F3">
              <w:rPr>
                <w:rFonts w:ascii="Times New Roman" w:hAnsi="Times New Roman" w:eastAsia="Times New Roman" w:cs="Times New Roman"/>
                <w:sz w:val="24"/>
                <w:szCs w:val="24"/>
                <w:lang w:val="lv-LV" w:eastAsia="lv-LV"/>
              </w:rPr>
              <w:t xml:space="preserve">Vides aizsardzības un reģionālās attīstības ministrijas </w:t>
            </w:r>
            <w:r>
              <w:rPr>
                <w:rFonts w:ascii="Times New Roman" w:hAnsi="Times New Roman" w:eastAsia="Times New Roman" w:cs="Times New Roman"/>
                <w:sz w:val="24"/>
                <w:szCs w:val="24"/>
                <w:lang w:val="lv-LV" w:eastAsia="lv-LV"/>
              </w:rPr>
              <w:t xml:space="preserve">ar </w:t>
            </w:r>
            <w:r w:rsidRPr="004928F3">
              <w:rPr>
                <w:rFonts w:ascii="Times New Roman" w:hAnsi="Times New Roman" w:eastAsia="Times New Roman" w:cs="Times New Roman"/>
                <w:sz w:val="24"/>
                <w:szCs w:val="24"/>
                <w:lang w:val="lv-LV" w:eastAsia="lv-LV"/>
              </w:rPr>
              <w:t>2015.gada 13.augusta rīkojumu Nr.257 izveidotajā Numerācijas resursu koordinācijas darba grupā</w:t>
            </w:r>
            <w:r>
              <w:rPr>
                <w:rFonts w:ascii="Times New Roman" w:hAnsi="Times New Roman" w:eastAsia="Times New Roman" w:cs="Times New Roman"/>
                <w:sz w:val="24"/>
                <w:szCs w:val="24"/>
                <w:lang w:val="lv-LV" w:eastAsia="lv-LV"/>
              </w:rPr>
              <w:t xml:space="preserve"> (turpmāk – darba grupa) tika panākta konceptuāla vienošanās - </w:t>
            </w:r>
            <w:r w:rsidRPr="00F6589D">
              <w:rPr>
                <w:rFonts w:ascii="Times New Roman" w:hAnsi="Times New Roman" w:eastAsia="Times New Roman" w:cs="Times New Roman"/>
                <w:sz w:val="24"/>
                <w:szCs w:val="24"/>
                <w:lang w:val="lv-LV" w:eastAsia="lv-LV"/>
              </w:rPr>
              <w:t xml:space="preserve">ieviest divus diapazonus, no kuriem viens būtu 8 ciparu formāta, ar obligātu numuru saglabāšanas pakalpojumu iekšzemes vajadzībām, savukārt otrs – 11 vai 12 ciparu formāta, ar numuru saglabāšanas </w:t>
            </w:r>
            <w:r w:rsidRPr="00F6589D">
              <w:rPr>
                <w:rFonts w:ascii="Times New Roman" w:hAnsi="Times New Roman" w:eastAsia="Times New Roman" w:cs="Times New Roman"/>
                <w:sz w:val="24"/>
                <w:szCs w:val="24"/>
                <w:lang w:val="lv-LV" w:eastAsia="lv-LV"/>
              </w:rPr>
              <w:lastRenderedPageBreak/>
              <w:t>pakalpojumu ierobežojumiem, ciktāl tas ir tehniski iespējams, kas būtu paredzēts eksteritoriālai izmantošanai.</w:t>
            </w:r>
            <w:r>
              <w:rPr>
                <w:rFonts w:ascii="Times New Roman" w:hAnsi="Times New Roman" w:eastAsia="Times New Roman" w:cs="Times New Roman"/>
                <w:sz w:val="24"/>
                <w:szCs w:val="24"/>
                <w:lang w:val="lv-LV" w:eastAsia="lv-LV"/>
              </w:rPr>
              <w:t xml:space="preserve"> Savukārt attiecībā par nodevas ieviešanu, </w:t>
            </w:r>
            <w:r w:rsidRPr="00F6589D">
              <w:rPr>
                <w:rFonts w:ascii="Times New Roman" w:hAnsi="Times New Roman" w:eastAsia="Times New Roman" w:cs="Times New Roman"/>
                <w:sz w:val="24"/>
                <w:szCs w:val="24"/>
                <w:lang w:val="lv-LV" w:eastAsia="lv-LV"/>
              </w:rPr>
              <w:t xml:space="preserve">Satiksmes ministrija sniedz priekšlikumu Nodevu ieviest pakāpeniski - ar 2021.gada 1.janvāri pakalpojuma numuriem un </w:t>
            </w:r>
            <w:proofErr w:type="spellStart"/>
            <w:r w:rsidRPr="00F6589D">
              <w:rPr>
                <w:rFonts w:ascii="Times New Roman" w:hAnsi="Times New Roman" w:eastAsia="Times New Roman" w:cs="Times New Roman"/>
                <w:sz w:val="24"/>
                <w:szCs w:val="24"/>
                <w:lang w:val="lv-LV" w:eastAsia="lv-LV"/>
              </w:rPr>
              <w:t>IoT</w:t>
            </w:r>
            <w:proofErr w:type="spellEnd"/>
            <w:r w:rsidRPr="00F6589D">
              <w:rPr>
                <w:rFonts w:ascii="Times New Roman" w:hAnsi="Times New Roman" w:eastAsia="Times New Roman" w:cs="Times New Roman"/>
                <w:sz w:val="24"/>
                <w:szCs w:val="24"/>
                <w:lang w:val="lv-LV" w:eastAsia="lv-LV"/>
              </w:rPr>
              <w:t>/M2M pakalpojuma numuriem, un ar 2022.gada 1.janvāri nacionālajiem numuriem (publiskā fiksētā un publiskā mobilā telefonu tīkla numuri).</w:t>
            </w:r>
            <w:r>
              <w:rPr>
                <w:rFonts w:ascii="Times New Roman" w:hAnsi="Times New Roman" w:eastAsia="Times New Roman" w:cs="Times New Roman"/>
                <w:sz w:val="24"/>
                <w:szCs w:val="24"/>
                <w:lang w:val="lv-LV" w:eastAsia="lv-LV"/>
              </w:rPr>
              <w:t xml:space="preserve"> </w:t>
            </w:r>
            <w:r w:rsidR="00ED5FAE">
              <w:rPr>
                <w:rFonts w:ascii="Times New Roman" w:hAnsi="Times New Roman" w:eastAsia="Times New Roman" w:cs="Times New Roman"/>
                <w:sz w:val="24"/>
                <w:szCs w:val="24"/>
                <w:lang w:val="lv-LV" w:eastAsia="lv-LV"/>
              </w:rPr>
              <w:t>Jāatzīmē</w:t>
            </w:r>
            <w:r>
              <w:rPr>
                <w:rFonts w:ascii="Times New Roman" w:hAnsi="Times New Roman" w:eastAsia="Times New Roman" w:cs="Times New Roman"/>
                <w:sz w:val="24"/>
                <w:szCs w:val="24"/>
                <w:lang w:val="lv-LV" w:eastAsia="lv-LV"/>
              </w:rPr>
              <w:t xml:space="preserve">, ka starpinstitūciju sanāksmē un darba grupā no iebildumu sniedzēju puses netika izvirzīta konkrēta prasība, ka </w:t>
            </w:r>
            <w:r w:rsidRPr="00F3518D">
              <w:rPr>
                <w:rFonts w:ascii="Times New Roman" w:hAnsi="Times New Roman" w:eastAsia="Times New Roman" w:cs="Times New Roman"/>
                <w:sz w:val="24"/>
                <w:szCs w:val="24"/>
                <w:lang w:val="lv-LV" w:eastAsia="lv-LV"/>
              </w:rPr>
              <w:t xml:space="preserve">11 vai 12 ciparu numuru ieviešanu Nacionālajā numerācijas plānā </w:t>
            </w:r>
            <w:r>
              <w:rPr>
                <w:rFonts w:ascii="Times New Roman" w:hAnsi="Times New Roman" w:eastAsia="Times New Roman" w:cs="Times New Roman"/>
                <w:sz w:val="24"/>
                <w:szCs w:val="24"/>
                <w:lang w:val="lv-LV" w:eastAsia="lv-LV"/>
              </w:rPr>
              <w:t xml:space="preserve">varētu tikt atbalstīta </w:t>
            </w:r>
            <w:r w:rsidRPr="00F3518D">
              <w:rPr>
                <w:rFonts w:ascii="Times New Roman" w:hAnsi="Times New Roman" w:eastAsia="Times New Roman" w:cs="Times New Roman"/>
                <w:sz w:val="24"/>
                <w:szCs w:val="24"/>
                <w:lang w:val="lv-LV" w:eastAsia="lv-LV"/>
              </w:rPr>
              <w:t>vienīgi pie nosacījuma,</w:t>
            </w:r>
            <w:r>
              <w:rPr>
                <w:rFonts w:ascii="Times New Roman" w:hAnsi="Times New Roman" w:eastAsia="Times New Roman" w:cs="Times New Roman"/>
                <w:sz w:val="24"/>
                <w:szCs w:val="24"/>
                <w:lang w:val="lv-LV" w:eastAsia="lv-LV"/>
              </w:rPr>
              <w:t xml:space="preserve"> ja</w:t>
            </w:r>
            <w:r w:rsidRPr="00F3518D">
              <w:rPr>
                <w:rFonts w:ascii="Times New Roman" w:hAnsi="Times New Roman" w:eastAsia="Times New Roman" w:cs="Times New Roman"/>
                <w:sz w:val="24"/>
                <w:szCs w:val="24"/>
                <w:lang w:val="lv-LV" w:eastAsia="lv-LV"/>
              </w:rPr>
              <w:t xml:space="preserve"> Latvijas elektronisko sakaru komersantiem tiek </w:t>
            </w:r>
            <w:r w:rsidRPr="00F3518D">
              <w:rPr>
                <w:rFonts w:ascii="Times New Roman" w:hAnsi="Times New Roman" w:eastAsia="Times New Roman" w:cs="Times New Roman"/>
                <w:sz w:val="24"/>
                <w:szCs w:val="24"/>
                <w:lang w:val="lv-LV" w:eastAsia="lv-LV"/>
              </w:rPr>
              <w:lastRenderedPageBreak/>
              <w:t xml:space="preserve">saglabātas iespējas </w:t>
            </w:r>
            <w:proofErr w:type="spellStart"/>
            <w:r w:rsidRPr="00F3518D">
              <w:rPr>
                <w:rFonts w:ascii="Times New Roman" w:hAnsi="Times New Roman" w:eastAsia="Times New Roman" w:cs="Times New Roman"/>
                <w:sz w:val="24"/>
                <w:szCs w:val="24"/>
                <w:lang w:val="lv-LV" w:eastAsia="lv-LV"/>
              </w:rPr>
              <w:t>IoT</w:t>
            </w:r>
            <w:proofErr w:type="spellEnd"/>
            <w:r w:rsidRPr="00F3518D">
              <w:rPr>
                <w:rFonts w:ascii="Times New Roman" w:hAnsi="Times New Roman" w:eastAsia="Times New Roman" w:cs="Times New Roman"/>
                <w:sz w:val="24"/>
                <w:szCs w:val="24"/>
                <w:lang w:val="lv-LV" w:eastAsia="lv-LV"/>
              </w:rPr>
              <w:t>/M2M pakalpojumu nodrošināšanai brīvi un bez papildus nodevām izmantot 8 ciparu numerāciju</w:t>
            </w:r>
            <w:r>
              <w:rPr>
                <w:rFonts w:ascii="Times New Roman" w:hAnsi="Times New Roman" w:eastAsia="Times New Roman" w:cs="Times New Roman"/>
                <w:sz w:val="24"/>
                <w:szCs w:val="24"/>
                <w:lang w:val="lv-LV" w:eastAsia="lv-LV"/>
              </w:rPr>
              <w:t xml:space="preserve">.  </w:t>
            </w:r>
          </w:p>
        </w:tc>
        <w:tc>
          <w:tcPr>
            <w:tcW w:w="2710" w:type="dxa"/>
          </w:tcPr>
          <w:p w:rsidRPr="009C445F" w:rsidR="00151A9B" w:rsidP="00B11D5D" w:rsidRDefault="00647D7D" w14:paraId="5447B9C9" w14:textId="1213173E">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472588">
              <w:rPr>
                <w:rFonts w:ascii="Times New Roman" w:hAnsi="Times New Roman" w:eastAsia="Times New Roman" w:cs="Times New Roman"/>
                <w:b/>
                <w:bCs/>
                <w:sz w:val="24"/>
                <w:szCs w:val="24"/>
                <w:lang w:val="lv-LV" w:eastAsia="lv-LV"/>
              </w:rPr>
              <w:lastRenderedPageBreak/>
              <w:t>Uzturētais iebildums neatšķiras no atzinumā norādītā iebilduma pamatojuma.</w:t>
            </w:r>
          </w:p>
        </w:tc>
        <w:tc>
          <w:tcPr>
            <w:tcW w:w="2096" w:type="dxa"/>
          </w:tcPr>
          <w:p w:rsidRPr="009377E2" w:rsidR="00A36432" w:rsidP="00A36432" w:rsidRDefault="00A36432" w14:paraId="1BCC8036" w14:textId="77777777">
            <w:pPr>
              <w:rPr>
                <w:rFonts w:ascii="Times New Roman" w:hAnsi="Times New Roman" w:eastAsia="Times New Roman" w:cs="Times New Roman"/>
                <w:b/>
                <w:bCs/>
                <w:i/>
                <w:iCs/>
                <w:sz w:val="24"/>
                <w:szCs w:val="24"/>
                <w:lang w:val="lv-LV" w:eastAsia="lv-LV"/>
              </w:rPr>
            </w:pPr>
            <w:r w:rsidRPr="009377E2">
              <w:rPr>
                <w:rFonts w:ascii="Times New Roman" w:hAnsi="Times New Roman" w:eastAsia="Times New Roman" w:cs="Times New Roman"/>
                <w:b/>
                <w:bCs/>
                <w:i/>
                <w:iCs/>
                <w:sz w:val="24"/>
                <w:szCs w:val="24"/>
                <w:lang w:val="lv-LV" w:eastAsia="lv-LV"/>
              </w:rPr>
              <w:t>Skatīt precizēto informatīvo ziņojumu.</w:t>
            </w:r>
          </w:p>
          <w:p w:rsidRPr="009C445F" w:rsidR="00A36432" w:rsidP="00A36432" w:rsidRDefault="00A36432" w14:paraId="5EAF2564"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p>
        </w:tc>
      </w:tr>
      <w:tr w:rsidRPr="00D65F04" w:rsidR="00472588" w:rsidTr="00897A20" w14:paraId="323EFE54" w14:textId="77777777">
        <w:trPr>
          <w:trHeight w:val="1316"/>
        </w:trPr>
        <w:tc>
          <w:tcPr>
            <w:tcW w:w="835" w:type="dxa"/>
          </w:tcPr>
          <w:p w:rsidR="00472588" w:rsidP="00472588" w:rsidRDefault="00472588" w14:paraId="32E0523A" w14:textId="2CA98422">
            <w:pPr>
              <w:autoSpaceDE w:val="0"/>
              <w:autoSpaceDN w:val="0"/>
              <w:spacing w:after="0" w:line="240" w:lineRule="auto"/>
              <w:ind w:right="170"/>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lastRenderedPageBreak/>
              <w:t>2.</w:t>
            </w:r>
          </w:p>
        </w:tc>
        <w:tc>
          <w:tcPr>
            <w:tcW w:w="2000" w:type="dxa"/>
          </w:tcPr>
          <w:p w:rsidRPr="009377E2" w:rsidR="00472588" w:rsidP="00472588" w:rsidRDefault="00472588" w14:paraId="4E3435EC"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9377E2">
              <w:rPr>
                <w:rFonts w:ascii="Times New Roman" w:hAnsi="Times New Roman" w:eastAsia="Times New Roman" w:cs="Times New Roman"/>
                <w:sz w:val="24"/>
                <w:szCs w:val="24"/>
                <w:lang w:val="lv-LV" w:eastAsia="lv-LV"/>
              </w:rPr>
              <w:t>Skatīt precizētā informatīvā ziņojuma redakciju.</w:t>
            </w:r>
          </w:p>
          <w:p w:rsidR="00472588" w:rsidP="00472588" w:rsidRDefault="00472588" w14:paraId="62BF5069"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p>
        </w:tc>
        <w:tc>
          <w:tcPr>
            <w:tcW w:w="3245" w:type="dxa"/>
            <w:vAlign w:val="center"/>
          </w:tcPr>
          <w:p w:rsidR="00472588" w:rsidP="00472588" w:rsidRDefault="00472588" w14:paraId="5F296A00" w14:textId="77777777">
            <w:pPr>
              <w:autoSpaceDE w:val="0"/>
              <w:autoSpaceDN w:val="0"/>
              <w:spacing w:after="0" w:line="240" w:lineRule="auto"/>
              <w:ind w:right="170"/>
              <w:jc w:val="both"/>
              <w:rPr>
                <w:rFonts w:ascii="Times New Roman" w:hAnsi="Times New Roman" w:eastAsia="Times New Roman" w:cs="Times New Roman"/>
                <w:b/>
                <w:bCs/>
                <w:sz w:val="24"/>
                <w:szCs w:val="24"/>
                <w:lang w:val="lv-LV" w:eastAsia="lv-LV"/>
              </w:rPr>
            </w:pPr>
            <w:r w:rsidRPr="00D214BB">
              <w:rPr>
                <w:rFonts w:ascii="Times New Roman" w:hAnsi="Times New Roman" w:eastAsia="Times New Roman" w:cs="Times New Roman"/>
                <w:b/>
                <w:bCs/>
                <w:sz w:val="24"/>
                <w:szCs w:val="24"/>
                <w:lang w:val="lv-LV" w:eastAsia="lv-LV"/>
              </w:rPr>
              <w:t>Latvijas Informācijas un komunikācijas tehnoloģiju asociācija (LIKTA) un Latvijas Darba devēju konfederācija (LDDK)</w:t>
            </w:r>
          </w:p>
          <w:p w:rsidRPr="00D214BB" w:rsidR="00472588" w:rsidP="00472588" w:rsidRDefault="00472588" w14:paraId="52D469ED" w14:textId="77777777">
            <w:pPr>
              <w:autoSpaceDE w:val="0"/>
              <w:autoSpaceDN w:val="0"/>
              <w:spacing w:after="0" w:line="240" w:lineRule="auto"/>
              <w:ind w:right="170"/>
              <w:jc w:val="both"/>
              <w:rPr>
                <w:rFonts w:ascii="Times New Roman" w:hAnsi="Times New Roman" w:eastAsia="Times New Roman" w:cs="Times New Roman"/>
                <w:b/>
                <w:bCs/>
                <w:sz w:val="24"/>
                <w:szCs w:val="24"/>
                <w:lang w:val="lv-LV" w:eastAsia="lv-LV"/>
              </w:rPr>
            </w:pPr>
          </w:p>
          <w:p w:rsidRPr="001B10BE" w:rsidR="00472588" w:rsidP="00472588" w:rsidRDefault="00472588" w14:paraId="39F08077"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12.04.2019.</w:t>
            </w:r>
          </w:p>
          <w:p w:rsidR="00472588" w:rsidP="00472588" w:rsidRDefault="00472588" w14:paraId="5A7D2720"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p>
          <w:p w:rsidRPr="001B10BE" w:rsidR="00472588" w:rsidP="00472588" w:rsidRDefault="00472588" w14:paraId="0E52E4EC"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 xml:space="preserve">Nacionālais numerācijas plāns nosaka vienotu 8 ciparu numerācijas formātu, ar to nodrošinot Latvijas mērogam vairāk nekā pietiekamu numerācijas resursu apjomu. Tādējādi nav saskatāma objektīva nepieciešamība </w:t>
            </w:r>
            <w:proofErr w:type="spellStart"/>
            <w:r w:rsidRPr="001B10BE">
              <w:rPr>
                <w:rFonts w:ascii="Times New Roman" w:hAnsi="Times New Roman" w:eastAsia="Times New Roman" w:cs="Times New Roman"/>
                <w:sz w:val="24"/>
                <w:szCs w:val="24"/>
                <w:lang w:val="lv-LV" w:eastAsia="lv-LV"/>
              </w:rPr>
              <w:t>IoT</w:t>
            </w:r>
            <w:proofErr w:type="spellEnd"/>
            <w:r w:rsidRPr="001B10BE">
              <w:rPr>
                <w:rFonts w:ascii="Times New Roman" w:hAnsi="Times New Roman" w:eastAsia="Times New Roman" w:cs="Times New Roman"/>
                <w:sz w:val="24"/>
                <w:szCs w:val="24"/>
                <w:lang w:val="lv-LV" w:eastAsia="lv-LV"/>
              </w:rPr>
              <w:t xml:space="preserve">/M2M pakalpojumu nodrošināšanai ieviest 11 ciparu numerācijas formātu. Kaut arī matemātiski 11 ciparu numerācijas ieviešana palielina pieejamo numerācijas resursu apjomu, divu atšķirīgu numerācijas </w:t>
            </w:r>
            <w:r w:rsidRPr="001B10BE">
              <w:rPr>
                <w:rFonts w:ascii="Times New Roman" w:hAnsi="Times New Roman" w:eastAsia="Times New Roman" w:cs="Times New Roman"/>
                <w:sz w:val="24"/>
                <w:szCs w:val="24"/>
                <w:lang w:val="lv-LV" w:eastAsia="lv-LV"/>
              </w:rPr>
              <w:lastRenderedPageBreak/>
              <w:t>formātu uzturēšanas radītais administratīvais slogs nesamērīgi pārsniedz šādas reformas radītos ieguvumus.</w:t>
            </w:r>
          </w:p>
          <w:p w:rsidRPr="001B10BE" w:rsidR="00472588" w:rsidP="00472588" w:rsidRDefault="00472588" w14:paraId="1D24F399"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Pr="001B10BE" w:rsidR="00472588" w:rsidP="00472588" w:rsidRDefault="00472588" w14:paraId="2DA20176"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LDDK un LIKTA iebilst pret 11 ciparu numerācijas ieviešanu, jo šāds risinājums:</w:t>
            </w:r>
          </w:p>
          <w:p w:rsidRPr="001B10BE" w:rsidR="00472588" w:rsidP="00472588" w:rsidRDefault="00472588" w14:paraId="3B1ECD48"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1)</w:t>
            </w:r>
            <w:r w:rsidRPr="001B10BE">
              <w:rPr>
                <w:rFonts w:ascii="Times New Roman" w:hAnsi="Times New Roman" w:eastAsia="Times New Roman" w:cs="Times New Roman"/>
                <w:sz w:val="24"/>
                <w:szCs w:val="24"/>
                <w:lang w:val="lv-LV" w:eastAsia="lv-LV"/>
              </w:rPr>
              <w:tab/>
              <w:t>izjauc vienoto 8 ciparu numerācijas pārvaldības sistēmu;</w:t>
            </w:r>
          </w:p>
          <w:p w:rsidRPr="001B10BE" w:rsidR="00472588" w:rsidP="00472588" w:rsidRDefault="00472588" w14:paraId="27B60C96"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2)</w:t>
            </w:r>
            <w:r w:rsidRPr="001B10BE">
              <w:rPr>
                <w:rFonts w:ascii="Times New Roman" w:hAnsi="Times New Roman" w:eastAsia="Times New Roman" w:cs="Times New Roman"/>
                <w:sz w:val="24"/>
                <w:szCs w:val="24"/>
                <w:lang w:val="lv-LV" w:eastAsia="lv-LV"/>
              </w:rPr>
              <w:tab/>
              <w:t>prasa ieviest tehnoloģiskus risinājumus atšķirīga numerācijas formāta pārvaldībai;</w:t>
            </w:r>
          </w:p>
          <w:p w:rsidRPr="001B10BE" w:rsidR="00472588" w:rsidP="00472588" w:rsidRDefault="00472588" w14:paraId="0E0DB0A2"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3)</w:t>
            </w:r>
            <w:r w:rsidRPr="001B10BE">
              <w:rPr>
                <w:rFonts w:ascii="Times New Roman" w:hAnsi="Times New Roman" w:eastAsia="Times New Roman" w:cs="Times New Roman"/>
                <w:sz w:val="24"/>
                <w:szCs w:val="24"/>
                <w:lang w:val="lv-LV" w:eastAsia="lv-LV"/>
              </w:rPr>
              <w:tab/>
              <w:t>nesniedz ieguvumus elektronisko sakaru pakapājumu galalietotājiem;</w:t>
            </w:r>
          </w:p>
          <w:p w:rsidRPr="001B10BE" w:rsidR="00472588" w:rsidP="00472588" w:rsidRDefault="00472588" w14:paraId="3E3DFE09"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4)</w:t>
            </w:r>
            <w:r w:rsidRPr="001B10BE">
              <w:rPr>
                <w:rFonts w:ascii="Times New Roman" w:hAnsi="Times New Roman" w:eastAsia="Times New Roman" w:cs="Times New Roman"/>
                <w:sz w:val="24"/>
                <w:szCs w:val="24"/>
                <w:lang w:val="lv-LV" w:eastAsia="lv-LV"/>
              </w:rPr>
              <w:tab/>
              <w:t>rada izdevumus elektronisko sakaru komersantiem;</w:t>
            </w:r>
          </w:p>
          <w:p w:rsidRPr="001B10BE" w:rsidR="00472588" w:rsidP="00472588" w:rsidRDefault="00472588" w14:paraId="6B47682C"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5)</w:t>
            </w:r>
            <w:r w:rsidRPr="001B10BE">
              <w:rPr>
                <w:rFonts w:ascii="Times New Roman" w:hAnsi="Times New Roman" w:eastAsia="Times New Roman" w:cs="Times New Roman"/>
                <w:sz w:val="24"/>
                <w:szCs w:val="24"/>
                <w:lang w:val="lv-LV" w:eastAsia="lv-LV"/>
              </w:rPr>
              <w:tab/>
            </w:r>
            <w:proofErr w:type="spellStart"/>
            <w:r w:rsidRPr="001B10BE">
              <w:rPr>
                <w:rFonts w:ascii="Times New Roman" w:hAnsi="Times New Roman" w:eastAsia="Times New Roman" w:cs="Times New Roman"/>
                <w:sz w:val="24"/>
                <w:szCs w:val="24"/>
                <w:lang w:val="lv-LV" w:eastAsia="lv-LV"/>
              </w:rPr>
              <w:t>sarežģī</w:t>
            </w:r>
            <w:proofErr w:type="spellEnd"/>
            <w:r w:rsidRPr="001B10BE">
              <w:rPr>
                <w:rFonts w:ascii="Times New Roman" w:hAnsi="Times New Roman" w:eastAsia="Times New Roman" w:cs="Times New Roman"/>
                <w:sz w:val="24"/>
                <w:szCs w:val="24"/>
                <w:lang w:val="lv-LV" w:eastAsia="lv-LV"/>
              </w:rPr>
              <w:t xml:space="preserve"> izsaukumu maršrutēšanu elektronisko sakaru tīklā.</w:t>
            </w:r>
          </w:p>
          <w:p w:rsidR="00472588" w:rsidP="00472588" w:rsidRDefault="00472588" w14:paraId="2D745613"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1B10BE">
              <w:rPr>
                <w:rFonts w:ascii="Times New Roman" w:hAnsi="Times New Roman" w:eastAsia="Times New Roman" w:cs="Times New Roman"/>
                <w:sz w:val="24"/>
                <w:szCs w:val="24"/>
                <w:lang w:val="lv-LV" w:eastAsia="lv-LV"/>
              </w:rPr>
              <w:t xml:space="preserve">Līdz ar to iebilstam pret 11 ciparu numerācijas formāta ieviešanu Nacionālajā numerācijas plānā. Aicinām šī jautājuma izskatīšanu atlikt līdz brīdim, kad būs </w:t>
            </w:r>
            <w:r w:rsidRPr="001B10BE">
              <w:rPr>
                <w:rFonts w:ascii="Times New Roman" w:hAnsi="Times New Roman" w:eastAsia="Times New Roman" w:cs="Times New Roman"/>
                <w:sz w:val="24"/>
                <w:szCs w:val="24"/>
                <w:lang w:val="lv-LV" w:eastAsia="lv-LV"/>
              </w:rPr>
              <w:lastRenderedPageBreak/>
              <w:t>pabeigta 1.punktā minēto SPRK lēmuma par numerācijas resursu efektīvas izmantošanas saistībām izpilde no komersantu puses un veikta lēmuma izpildes rezultātu novērtēšana.</w:t>
            </w:r>
          </w:p>
          <w:p w:rsidR="00472588" w:rsidP="00472588" w:rsidRDefault="00472588" w14:paraId="6316D491"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00472588" w:rsidP="00472588" w:rsidRDefault="00472588" w14:paraId="607CC813"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p>
        </w:tc>
        <w:tc>
          <w:tcPr>
            <w:tcW w:w="2976" w:type="dxa"/>
          </w:tcPr>
          <w:p w:rsidR="00472588" w:rsidP="00472588" w:rsidRDefault="00472588" w14:paraId="524E0521"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b/>
                <w:bCs/>
                <w:sz w:val="24"/>
                <w:szCs w:val="24"/>
                <w:lang w:val="lv-LV" w:eastAsia="lv-LV"/>
              </w:rPr>
              <w:lastRenderedPageBreak/>
              <w:t>Daļēja v</w:t>
            </w:r>
            <w:r w:rsidRPr="00FE6562">
              <w:rPr>
                <w:rFonts w:ascii="Times New Roman" w:hAnsi="Times New Roman" w:eastAsia="Times New Roman" w:cs="Times New Roman"/>
                <w:b/>
                <w:bCs/>
                <w:sz w:val="24"/>
                <w:szCs w:val="24"/>
                <w:lang w:val="lv-LV" w:eastAsia="lv-LV"/>
              </w:rPr>
              <w:t>ienošanās panākta starpinstitūciju sanāksmē</w:t>
            </w:r>
            <w:r>
              <w:rPr>
                <w:rFonts w:ascii="Times New Roman" w:hAnsi="Times New Roman" w:eastAsia="Times New Roman" w:cs="Times New Roman"/>
                <w:sz w:val="24"/>
                <w:szCs w:val="24"/>
                <w:lang w:val="lv-LV" w:eastAsia="lv-LV"/>
              </w:rPr>
              <w:t xml:space="preserve">. </w:t>
            </w:r>
          </w:p>
          <w:p w:rsidR="00472588" w:rsidP="00472588" w:rsidRDefault="00472588" w14:paraId="16279989"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Pr="00B45C15" w:rsidR="00472588" w:rsidP="00472588" w:rsidRDefault="00472588" w14:paraId="2E146B60" w14:textId="41B93A01">
            <w:pPr>
              <w:autoSpaceDE w:val="0"/>
              <w:autoSpaceDN w:val="0"/>
              <w:spacing w:after="0" w:line="240" w:lineRule="auto"/>
              <w:jc w:val="both"/>
              <w:rPr>
                <w:rFonts w:ascii="Times New Roman" w:hAnsi="Times New Roman" w:eastAsia="Times New Roman" w:cs="Times New Roman"/>
                <w:b/>
                <w:bCs/>
                <w:sz w:val="24"/>
                <w:szCs w:val="24"/>
                <w:lang w:val="lv-LV" w:eastAsia="lv-LV"/>
              </w:rPr>
            </w:pPr>
            <w:r w:rsidRPr="00710681">
              <w:rPr>
                <w:rFonts w:ascii="Times New Roman" w:hAnsi="Times New Roman" w:eastAsia="Times New Roman" w:cs="Times New Roman"/>
                <w:sz w:val="24"/>
                <w:szCs w:val="24"/>
                <w:lang w:val="lv-LV" w:eastAsia="lv-LV"/>
              </w:rPr>
              <w:t xml:space="preserve">Starpinstitūciju sanāksmē un Vides aizsardzības un reģionālās attīstības ministrijas ar 2015.gada 13.augusta rīkojumu Nr.257 izveidotajā Numerācijas resursu koordinācijas darba grupā (turpmāk – darba grupa) tika panākta konceptuāla vienošanās - ieviest divus diapazonus, no kuriem viens būtu 8 ciparu formāta, ar obligātu numuru saglabāšanas pakalpojumu iekšzemes vajadzībām, savukārt otrs – 11 vai 12 ciparu formāta, ar numuru saglabāšanas pakalpojumu ierobežojumiem, ciktāl tas ir tehniski iespējams, kas būtu </w:t>
            </w:r>
            <w:r w:rsidRPr="00710681">
              <w:rPr>
                <w:rFonts w:ascii="Times New Roman" w:hAnsi="Times New Roman" w:eastAsia="Times New Roman" w:cs="Times New Roman"/>
                <w:sz w:val="24"/>
                <w:szCs w:val="24"/>
                <w:lang w:val="lv-LV" w:eastAsia="lv-LV"/>
              </w:rPr>
              <w:lastRenderedPageBreak/>
              <w:t xml:space="preserve">paredzēts eksteritoriālai izmantošanai. Savukārt attiecībā par nodevas ieviešanu, Satiksmes ministrija sniedz priekšlikumu Nodevu ieviest pakāpeniski - ar 2021.gada 1.janvāri pakalpojuma numuriem un </w:t>
            </w:r>
            <w:proofErr w:type="spellStart"/>
            <w:r w:rsidRPr="00710681">
              <w:rPr>
                <w:rFonts w:ascii="Times New Roman" w:hAnsi="Times New Roman" w:eastAsia="Times New Roman" w:cs="Times New Roman"/>
                <w:sz w:val="24"/>
                <w:szCs w:val="24"/>
                <w:lang w:val="lv-LV" w:eastAsia="lv-LV"/>
              </w:rPr>
              <w:t>IoT</w:t>
            </w:r>
            <w:proofErr w:type="spellEnd"/>
            <w:r w:rsidRPr="00710681">
              <w:rPr>
                <w:rFonts w:ascii="Times New Roman" w:hAnsi="Times New Roman" w:eastAsia="Times New Roman" w:cs="Times New Roman"/>
                <w:sz w:val="24"/>
                <w:szCs w:val="24"/>
                <w:lang w:val="lv-LV" w:eastAsia="lv-LV"/>
              </w:rPr>
              <w:t xml:space="preserve">/M2M pakalpojuma numuriem, un ar 2022.gada 1.janvāri nacionālajiem numuriem (publiskā fiksētā un publiskā mobilā telefonu tīkla numuri). </w:t>
            </w:r>
            <w:r w:rsidRPr="00710681" w:rsidR="00307D56">
              <w:rPr>
                <w:rFonts w:ascii="Times New Roman" w:hAnsi="Times New Roman" w:eastAsia="Times New Roman" w:cs="Times New Roman"/>
                <w:sz w:val="24"/>
                <w:szCs w:val="24"/>
                <w:lang w:val="lv-LV" w:eastAsia="lv-LV"/>
              </w:rPr>
              <w:t>Jāatzīmē</w:t>
            </w:r>
            <w:r w:rsidRPr="00710681">
              <w:rPr>
                <w:rFonts w:ascii="Times New Roman" w:hAnsi="Times New Roman" w:eastAsia="Times New Roman" w:cs="Times New Roman"/>
                <w:sz w:val="24"/>
                <w:szCs w:val="24"/>
                <w:lang w:val="lv-LV" w:eastAsia="lv-LV"/>
              </w:rPr>
              <w:t>,</w:t>
            </w:r>
            <w:bookmarkStart w:name="_GoBack" w:id="9"/>
            <w:bookmarkEnd w:id="9"/>
            <w:r w:rsidRPr="00710681">
              <w:rPr>
                <w:rFonts w:ascii="Times New Roman" w:hAnsi="Times New Roman" w:eastAsia="Times New Roman" w:cs="Times New Roman"/>
                <w:sz w:val="24"/>
                <w:szCs w:val="24"/>
                <w:lang w:val="lv-LV" w:eastAsia="lv-LV"/>
              </w:rPr>
              <w:t xml:space="preserve"> ka starpinstitūciju sanāksmē un darba grupā no iebildumu sniedzēju puses netika izvirzīta konkrēta prasība, ka 11 vai 12 ciparu numuru ieviešanu Nacionālajā numerācijas plānā varētu tikt atbalstīta vienīgi pie nosacījuma, ja Latvijas elektronisko sakaru komersantiem tiek saglabātas iespējas </w:t>
            </w:r>
            <w:proofErr w:type="spellStart"/>
            <w:r w:rsidRPr="00710681">
              <w:rPr>
                <w:rFonts w:ascii="Times New Roman" w:hAnsi="Times New Roman" w:eastAsia="Times New Roman" w:cs="Times New Roman"/>
                <w:sz w:val="24"/>
                <w:szCs w:val="24"/>
                <w:lang w:val="lv-LV" w:eastAsia="lv-LV"/>
              </w:rPr>
              <w:t>IoT</w:t>
            </w:r>
            <w:proofErr w:type="spellEnd"/>
            <w:r w:rsidRPr="00710681">
              <w:rPr>
                <w:rFonts w:ascii="Times New Roman" w:hAnsi="Times New Roman" w:eastAsia="Times New Roman" w:cs="Times New Roman"/>
                <w:sz w:val="24"/>
                <w:szCs w:val="24"/>
                <w:lang w:val="lv-LV" w:eastAsia="lv-LV"/>
              </w:rPr>
              <w:t>/M2M pakalpojumu nodrošināšanai brīvi un bez papildus nodevām izmantot 8 ciparu numerāciju.</w:t>
            </w:r>
          </w:p>
        </w:tc>
        <w:tc>
          <w:tcPr>
            <w:tcW w:w="2710" w:type="dxa"/>
            <w:tcBorders>
              <w:right w:val="single" w:color="auto" w:sz="4" w:space="0"/>
            </w:tcBorders>
          </w:tcPr>
          <w:p w:rsidRPr="00472588" w:rsidR="00472588" w:rsidP="00472588" w:rsidRDefault="00472588" w14:paraId="60681FFC" w14:textId="4736B909">
            <w:pPr>
              <w:autoSpaceDE w:val="0"/>
              <w:autoSpaceDN w:val="0"/>
              <w:spacing w:after="0" w:line="240" w:lineRule="auto"/>
              <w:jc w:val="both"/>
              <w:rPr>
                <w:rFonts w:ascii="Times New Roman" w:hAnsi="Times New Roman" w:eastAsia="Times New Roman" w:cs="Times New Roman"/>
                <w:b/>
                <w:bCs/>
                <w:sz w:val="24"/>
                <w:szCs w:val="24"/>
                <w:lang w:val="lv-LV" w:eastAsia="lv-LV"/>
              </w:rPr>
            </w:pPr>
            <w:r w:rsidRPr="00472588">
              <w:rPr>
                <w:rFonts w:ascii="Times New Roman" w:hAnsi="Times New Roman" w:eastAsia="Times New Roman" w:cs="Times New Roman"/>
                <w:b/>
                <w:bCs/>
                <w:sz w:val="24"/>
                <w:szCs w:val="24"/>
                <w:lang w:val="lv-LV" w:eastAsia="lv-LV"/>
              </w:rPr>
              <w:lastRenderedPageBreak/>
              <w:t>Uzturētais iebildums neatšķiras no atzinumā norādītā iebilduma pamatojuma.</w:t>
            </w:r>
          </w:p>
        </w:tc>
        <w:tc>
          <w:tcPr>
            <w:tcW w:w="2096" w:type="dxa"/>
            <w:tcBorders>
              <w:left w:val="single" w:color="auto" w:sz="4" w:space="0"/>
            </w:tcBorders>
          </w:tcPr>
          <w:p w:rsidRPr="009377E2" w:rsidR="00472588" w:rsidP="00472588" w:rsidRDefault="00472588" w14:paraId="159FE5C9" w14:textId="4589A831">
            <w:pPr>
              <w:rPr>
                <w:rFonts w:ascii="Times New Roman" w:hAnsi="Times New Roman" w:eastAsia="Times New Roman" w:cs="Times New Roman"/>
                <w:b/>
                <w:bCs/>
                <w:i/>
                <w:iCs/>
                <w:sz w:val="24"/>
                <w:szCs w:val="24"/>
                <w:lang w:val="lv-LV" w:eastAsia="lv-LV"/>
              </w:rPr>
            </w:pPr>
            <w:r w:rsidRPr="009377E2">
              <w:rPr>
                <w:rFonts w:ascii="Times New Roman" w:hAnsi="Times New Roman" w:eastAsia="Times New Roman" w:cs="Times New Roman"/>
                <w:b/>
                <w:bCs/>
                <w:i/>
                <w:iCs/>
                <w:sz w:val="24"/>
                <w:szCs w:val="24"/>
                <w:lang w:val="lv-LV" w:eastAsia="lv-LV"/>
              </w:rPr>
              <w:t>Skatīt precizētā informatīvā ziņojuma redakciju.</w:t>
            </w:r>
          </w:p>
        </w:tc>
      </w:tr>
      <w:tr w:rsidRPr="00D65F04" w:rsidR="00472588" w:rsidTr="006F129E" w14:paraId="22713586" w14:textId="77777777">
        <w:trPr>
          <w:trHeight w:val="1316"/>
        </w:trPr>
        <w:tc>
          <w:tcPr>
            <w:tcW w:w="835" w:type="dxa"/>
          </w:tcPr>
          <w:p w:rsidR="00472588" w:rsidP="00472588" w:rsidRDefault="009377E2" w14:paraId="4BAD9E5C" w14:textId="7BE3454C">
            <w:pPr>
              <w:autoSpaceDE w:val="0"/>
              <w:autoSpaceDN w:val="0"/>
              <w:spacing w:after="0" w:line="240" w:lineRule="auto"/>
              <w:ind w:right="170"/>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lastRenderedPageBreak/>
              <w:t>3.</w:t>
            </w:r>
          </w:p>
        </w:tc>
        <w:tc>
          <w:tcPr>
            <w:tcW w:w="2000" w:type="dxa"/>
          </w:tcPr>
          <w:p w:rsidRPr="009377E2" w:rsidR="00472588" w:rsidP="00472588" w:rsidRDefault="00472588" w14:paraId="5FAE29FB"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9377E2">
              <w:rPr>
                <w:rFonts w:ascii="Times New Roman" w:hAnsi="Times New Roman" w:eastAsia="Times New Roman" w:cs="Times New Roman"/>
                <w:sz w:val="24"/>
                <w:szCs w:val="24"/>
                <w:lang w:val="lv-LV" w:eastAsia="lv-LV"/>
              </w:rPr>
              <w:t>Skatīt precizētā informatīvā ziņojuma redakciju.</w:t>
            </w:r>
          </w:p>
          <w:p w:rsidR="00472588" w:rsidP="00472588" w:rsidRDefault="00472588" w14:paraId="5EA11CE4"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p>
        </w:tc>
        <w:tc>
          <w:tcPr>
            <w:tcW w:w="3245" w:type="dxa"/>
          </w:tcPr>
          <w:p w:rsidR="00472588" w:rsidP="00472588" w:rsidRDefault="00472588" w14:paraId="6C1F0841"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6C524E">
              <w:rPr>
                <w:rFonts w:ascii="Times New Roman" w:hAnsi="Times New Roman" w:eastAsia="Times New Roman" w:cs="Times New Roman"/>
                <w:b/>
                <w:sz w:val="24"/>
                <w:szCs w:val="24"/>
                <w:lang w:val="lv-LV" w:eastAsia="lv-LV"/>
              </w:rPr>
              <w:t>Latvijas Telekomunikāciju asociācija (LTA)</w:t>
            </w:r>
          </w:p>
          <w:p w:rsidR="00472588" w:rsidP="00472588" w:rsidRDefault="00472588" w14:paraId="7D8C96C0"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b/>
                <w:sz w:val="24"/>
                <w:szCs w:val="24"/>
                <w:lang w:val="lv-LV" w:eastAsia="lv-LV"/>
              </w:rPr>
              <w:t>26.03.2019.</w:t>
            </w:r>
          </w:p>
          <w:p w:rsidRPr="006C524E" w:rsidR="00472588" w:rsidP="00472588" w:rsidRDefault="00472588" w14:paraId="15804EBF"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6C524E">
              <w:rPr>
                <w:rFonts w:ascii="Times New Roman" w:hAnsi="Times New Roman" w:eastAsia="Times New Roman" w:cs="Times New Roman"/>
                <w:sz w:val="24"/>
                <w:szCs w:val="24"/>
                <w:lang w:val="lv-LV" w:eastAsia="lv-LV"/>
              </w:rPr>
              <w:t>Izvērt</w:t>
            </w:r>
            <w:r>
              <w:rPr>
                <w:rFonts w:ascii="Times New Roman" w:hAnsi="Times New Roman" w:eastAsia="Times New Roman" w:cs="Times New Roman"/>
                <w:sz w:val="24"/>
                <w:szCs w:val="24"/>
                <w:lang w:val="lv-LV" w:eastAsia="lv-LV"/>
              </w:rPr>
              <w:t>ē</w:t>
            </w:r>
            <w:r w:rsidRPr="006C524E">
              <w:rPr>
                <w:rFonts w:ascii="Times New Roman" w:hAnsi="Times New Roman" w:eastAsia="Times New Roman" w:cs="Times New Roman"/>
                <w:sz w:val="24"/>
                <w:szCs w:val="24"/>
                <w:lang w:val="lv-LV" w:eastAsia="lv-LV"/>
              </w:rPr>
              <w:t>jot Ziņojuma norādīto informāciju, LTA uzskata, ka nav nepieciešams iedalīt</w:t>
            </w:r>
            <w:r>
              <w:rPr>
                <w:rFonts w:ascii="Times New Roman" w:hAnsi="Times New Roman" w:eastAsia="Times New Roman" w:cs="Times New Roman"/>
                <w:sz w:val="24"/>
                <w:szCs w:val="24"/>
                <w:lang w:val="lv-LV" w:eastAsia="lv-LV"/>
              </w:rPr>
              <w:t xml:space="preserve"> </w:t>
            </w:r>
            <w:r w:rsidRPr="006C524E">
              <w:rPr>
                <w:rFonts w:ascii="Times New Roman" w:hAnsi="Times New Roman" w:eastAsia="Times New Roman" w:cs="Times New Roman"/>
                <w:sz w:val="24"/>
                <w:szCs w:val="24"/>
                <w:lang w:val="lv-LV" w:eastAsia="lv-LV"/>
              </w:rPr>
              <w:t>jaunus, 11 ciparu numerācijas resursus lietu interneta un mašīnas - mašīnas sakaru pakalpojumu</w:t>
            </w:r>
            <w:r>
              <w:rPr>
                <w:rFonts w:ascii="Times New Roman" w:hAnsi="Times New Roman" w:eastAsia="Times New Roman" w:cs="Times New Roman"/>
                <w:sz w:val="24"/>
                <w:szCs w:val="24"/>
                <w:lang w:val="lv-LV" w:eastAsia="lv-LV"/>
              </w:rPr>
              <w:t xml:space="preserve"> </w:t>
            </w:r>
            <w:r w:rsidRPr="006C524E">
              <w:rPr>
                <w:rFonts w:ascii="Times New Roman" w:hAnsi="Times New Roman" w:eastAsia="Times New Roman" w:cs="Times New Roman"/>
                <w:sz w:val="24"/>
                <w:szCs w:val="24"/>
                <w:lang w:val="lv-LV" w:eastAsia="lv-LV"/>
              </w:rPr>
              <w:t>nodrošināšanai. Šādu sakaru pakalpojumu nodrošināšanai ir pieejami pietiekami daudz, vēl</w:t>
            </w:r>
          </w:p>
          <w:p w:rsidR="00472588" w:rsidP="00472588" w:rsidRDefault="00472588" w14:paraId="65DE3F20" w14:textId="7659A6C3">
            <w:pPr>
              <w:autoSpaceDE w:val="0"/>
              <w:autoSpaceDN w:val="0"/>
              <w:spacing w:after="0" w:line="240" w:lineRule="auto"/>
              <w:jc w:val="both"/>
              <w:rPr>
                <w:rFonts w:ascii="Times New Roman" w:hAnsi="Times New Roman" w:eastAsia="Times New Roman" w:cs="Times New Roman"/>
                <w:b/>
                <w:sz w:val="24"/>
                <w:szCs w:val="24"/>
                <w:lang w:val="lv-LV" w:eastAsia="lv-LV"/>
              </w:rPr>
            </w:pPr>
            <w:r w:rsidRPr="006C524E">
              <w:rPr>
                <w:rFonts w:ascii="Times New Roman" w:hAnsi="Times New Roman" w:eastAsia="Times New Roman" w:cs="Times New Roman"/>
                <w:sz w:val="24"/>
                <w:szCs w:val="24"/>
                <w:lang w:val="lv-LV" w:eastAsia="lv-LV"/>
              </w:rPr>
              <w:t>neizmantotu astoņu ciparu numerācijas diapazona resursu. Tāpēc nebūtu lietderīgi iedalīt jaunus</w:t>
            </w:r>
            <w:r>
              <w:rPr>
                <w:rFonts w:ascii="Times New Roman" w:hAnsi="Times New Roman" w:eastAsia="Times New Roman" w:cs="Times New Roman"/>
                <w:sz w:val="24"/>
                <w:szCs w:val="24"/>
                <w:lang w:val="lv-LV" w:eastAsia="lv-LV"/>
              </w:rPr>
              <w:t xml:space="preserve"> </w:t>
            </w:r>
            <w:r w:rsidRPr="006C524E">
              <w:rPr>
                <w:rFonts w:ascii="Times New Roman" w:hAnsi="Times New Roman" w:eastAsia="Times New Roman" w:cs="Times New Roman"/>
                <w:sz w:val="24"/>
                <w:szCs w:val="24"/>
                <w:lang w:val="lv-LV" w:eastAsia="lv-LV"/>
              </w:rPr>
              <w:t>numerācijas resursus, ja vēl ir pieejams 8 ciparu numerācijas diapazons.</w:t>
            </w:r>
          </w:p>
        </w:tc>
        <w:tc>
          <w:tcPr>
            <w:tcW w:w="2976" w:type="dxa"/>
          </w:tcPr>
          <w:p w:rsidR="00472588" w:rsidP="00472588" w:rsidRDefault="00472588" w14:paraId="6A0D5325"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b/>
                <w:bCs/>
                <w:sz w:val="24"/>
                <w:szCs w:val="24"/>
                <w:lang w:val="lv-LV" w:eastAsia="lv-LV"/>
              </w:rPr>
              <w:t>Daļēja v</w:t>
            </w:r>
            <w:r w:rsidRPr="00FE6562">
              <w:rPr>
                <w:rFonts w:ascii="Times New Roman" w:hAnsi="Times New Roman" w:eastAsia="Times New Roman" w:cs="Times New Roman"/>
                <w:b/>
                <w:bCs/>
                <w:sz w:val="24"/>
                <w:szCs w:val="24"/>
                <w:lang w:val="lv-LV" w:eastAsia="lv-LV"/>
              </w:rPr>
              <w:t>ienošanās panākta starpinstitūciju sanāksmē</w:t>
            </w:r>
            <w:r>
              <w:rPr>
                <w:rFonts w:ascii="Times New Roman" w:hAnsi="Times New Roman" w:eastAsia="Times New Roman" w:cs="Times New Roman"/>
                <w:sz w:val="24"/>
                <w:szCs w:val="24"/>
                <w:lang w:val="lv-LV" w:eastAsia="lv-LV"/>
              </w:rPr>
              <w:t xml:space="preserve">. </w:t>
            </w:r>
          </w:p>
          <w:p w:rsidR="00472588" w:rsidP="00472588" w:rsidRDefault="00472588" w14:paraId="1C3B94D3"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Pr="00B45C15" w:rsidR="00472588" w:rsidP="00472588" w:rsidRDefault="00472588" w14:paraId="1A28A8D6" w14:textId="1B00CFC8">
            <w:pPr>
              <w:autoSpaceDE w:val="0"/>
              <w:autoSpaceDN w:val="0"/>
              <w:spacing w:after="0" w:line="240" w:lineRule="auto"/>
              <w:jc w:val="both"/>
              <w:rPr>
                <w:rFonts w:ascii="Times New Roman" w:hAnsi="Times New Roman" w:eastAsia="Times New Roman" w:cs="Times New Roman"/>
                <w:b/>
                <w:bCs/>
                <w:sz w:val="24"/>
                <w:szCs w:val="24"/>
                <w:lang w:val="lv-LV" w:eastAsia="lv-LV"/>
              </w:rPr>
            </w:pPr>
            <w:r w:rsidRPr="00710681">
              <w:rPr>
                <w:rFonts w:ascii="Times New Roman" w:hAnsi="Times New Roman" w:eastAsia="Times New Roman" w:cs="Times New Roman"/>
                <w:sz w:val="24"/>
                <w:szCs w:val="24"/>
                <w:lang w:val="lv-LV" w:eastAsia="lv-LV"/>
              </w:rPr>
              <w:t xml:space="preserve">Starpinstitūciju sanāksmē un Vides aizsardzības un reģionālās attīstības ministrijas ar 2015.gada 13.augusta rīkojumu Nr.257 izveidotajā Numerācijas resursu koordinācijas darba grupā (turpmāk – darba grupa) tika panākta konceptuāla vienošanās - ieviest divus diapazonus, no kuriem viens būtu 8 ciparu formāta, ar obligātu numuru saglabāšanas pakalpojumu iekšzemes vajadzībām, savukārt otrs – 11 vai 12 ciparu formāta, ar numuru </w:t>
            </w:r>
            <w:r w:rsidRPr="00710681">
              <w:rPr>
                <w:rFonts w:ascii="Times New Roman" w:hAnsi="Times New Roman" w:eastAsia="Times New Roman" w:cs="Times New Roman"/>
                <w:sz w:val="24"/>
                <w:szCs w:val="24"/>
                <w:lang w:val="lv-LV" w:eastAsia="lv-LV"/>
              </w:rPr>
              <w:lastRenderedPageBreak/>
              <w:t xml:space="preserve">saglabāšanas pakalpojumu ierobežojumiem, ciktāl tas ir tehniski iespējams, kas būtu paredzēts eksteritoriālai izmantošanai. </w:t>
            </w:r>
          </w:p>
        </w:tc>
        <w:tc>
          <w:tcPr>
            <w:tcW w:w="2710" w:type="dxa"/>
            <w:tcBorders>
              <w:right w:val="single" w:color="auto" w:sz="4" w:space="0"/>
            </w:tcBorders>
          </w:tcPr>
          <w:p w:rsidRPr="00E06865" w:rsidR="00472588" w:rsidP="00472588" w:rsidRDefault="00472588" w14:paraId="24E1D709" w14:textId="25CFA1FC">
            <w:pPr>
              <w:autoSpaceDE w:val="0"/>
              <w:autoSpaceDN w:val="0"/>
              <w:spacing w:after="0" w:line="240" w:lineRule="auto"/>
              <w:jc w:val="both"/>
              <w:rPr>
                <w:rFonts w:ascii="Times New Roman" w:hAnsi="Times New Roman" w:eastAsia="Times New Roman" w:cs="Times New Roman"/>
                <w:b/>
                <w:sz w:val="24"/>
                <w:szCs w:val="24"/>
                <w:lang w:val="lv-LV" w:eastAsia="lv-LV"/>
              </w:rPr>
            </w:pPr>
            <w:r>
              <w:rPr>
                <w:rFonts w:ascii="Times New Roman" w:hAnsi="Times New Roman" w:eastAsia="Times New Roman" w:cs="Times New Roman"/>
                <w:b/>
                <w:sz w:val="24"/>
                <w:szCs w:val="24"/>
                <w:lang w:val="lv-LV" w:eastAsia="lv-LV"/>
              </w:rPr>
              <w:lastRenderedPageBreak/>
              <w:t xml:space="preserve">Atkārtots iebildums netika saņemts. </w:t>
            </w:r>
          </w:p>
        </w:tc>
        <w:tc>
          <w:tcPr>
            <w:tcW w:w="2096" w:type="dxa"/>
            <w:tcBorders>
              <w:left w:val="single" w:color="auto" w:sz="4" w:space="0"/>
            </w:tcBorders>
          </w:tcPr>
          <w:p w:rsidRPr="005E3587" w:rsidR="00472588" w:rsidP="00472588" w:rsidRDefault="00472588" w14:paraId="17DA6336" w14:textId="77777777">
            <w:pPr>
              <w:autoSpaceDE w:val="0"/>
              <w:autoSpaceDN w:val="0"/>
              <w:spacing w:after="0" w:line="240" w:lineRule="auto"/>
              <w:jc w:val="both"/>
              <w:rPr>
                <w:rFonts w:ascii="Times New Roman" w:hAnsi="Times New Roman" w:eastAsia="Times New Roman" w:cs="Times New Roman"/>
                <w:b/>
                <w:bCs/>
                <w:i/>
                <w:iCs/>
                <w:sz w:val="24"/>
                <w:szCs w:val="24"/>
                <w:lang w:val="lv-LV" w:eastAsia="lv-LV"/>
              </w:rPr>
            </w:pPr>
            <w:r w:rsidRPr="005E3587">
              <w:rPr>
                <w:rFonts w:ascii="Times New Roman" w:hAnsi="Times New Roman" w:eastAsia="Times New Roman" w:cs="Times New Roman"/>
                <w:b/>
                <w:bCs/>
                <w:i/>
                <w:iCs/>
                <w:sz w:val="24"/>
                <w:szCs w:val="24"/>
                <w:lang w:val="lv-LV" w:eastAsia="lv-LV"/>
              </w:rPr>
              <w:t>Skatīt precizētā informatīvā ziņojuma redakciju.</w:t>
            </w:r>
          </w:p>
          <w:p w:rsidRPr="000E5111" w:rsidR="00472588" w:rsidP="00472588" w:rsidRDefault="00472588" w14:paraId="07033E14" w14:textId="77777777">
            <w:pPr>
              <w:rPr>
                <w:rFonts w:ascii="Times New Roman" w:hAnsi="Times New Roman" w:eastAsia="Times New Roman" w:cs="Times New Roman"/>
                <w:b/>
                <w:bCs/>
                <w:sz w:val="24"/>
                <w:szCs w:val="24"/>
                <w:lang w:val="lv-LV" w:eastAsia="lv-LV"/>
              </w:rPr>
            </w:pPr>
          </w:p>
        </w:tc>
      </w:tr>
      <w:tr w:rsidRPr="00D65F04" w:rsidR="00472588" w:rsidTr="006F129E" w14:paraId="3744E392" w14:textId="77777777">
        <w:trPr>
          <w:trHeight w:val="1316"/>
        </w:trPr>
        <w:tc>
          <w:tcPr>
            <w:tcW w:w="835" w:type="dxa"/>
          </w:tcPr>
          <w:p w:rsidR="00472588" w:rsidP="00472588" w:rsidRDefault="009377E2" w14:paraId="1C61AFA7" w14:textId="58E66FF1">
            <w:pPr>
              <w:autoSpaceDE w:val="0"/>
              <w:autoSpaceDN w:val="0"/>
              <w:spacing w:after="0" w:line="240" w:lineRule="auto"/>
              <w:ind w:right="170"/>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4</w:t>
            </w:r>
            <w:r w:rsidR="00472588">
              <w:rPr>
                <w:rFonts w:ascii="Times New Roman" w:hAnsi="Times New Roman" w:eastAsia="Times New Roman" w:cs="Times New Roman"/>
                <w:sz w:val="24"/>
                <w:szCs w:val="24"/>
                <w:lang w:val="lv-LV" w:eastAsia="lv-LV"/>
              </w:rPr>
              <w:t xml:space="preserve">. </w:t>
            </w:r>
          </w:p>
        </w:tc>
        <w:tc>
          <w:tcPr>
            <w:tcW w:w="2000" w:type="dxa"/>
          </w:tcPr>
          <w:p w:rsidRPr="009377E2" w:rsidR="00472588" w:rsidP="00472588" w:rsidRDefault="00472588" w14:paraId="412AD328"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9377E2">
              <w:rPr>
                <w:rFonts w:ascii="Times New Roman" w:hAnsi="Times New Roman" w:eastAsia="Times New Roman" w:cs="Times New Roman"/>
                <w:sz w:val="24"/>
                <w:szCs w:val="24"/>
                <w:lang w:val="lv-LV" w:eastAsia="lv-LV"/>
              </w:rPr>
              <w:t>Skatīt precizētā informatīvā ziņojuma redakciju.</w:t>
            </w:r>
          </w:p>
          <w:p w:rsidRPr="009B4B7F" w:rsidR="00472588" w:rsidP="00472588" w:rsidRDefault="00472588" w14:paraId="147C6704" w14:textId="77777777">
            <w:pPr>
              <w:rPr>
                <w:rFonts w:ascii="Times New Roman" w:hAnsi="Times New Roman" w:eastAsia="Times New Roman" w:cs="Times New Roman"/>
                <w:sz w:val="24"/>
                <w:szCs w:val="24"/>
                <w:lang w:val="lv-LV" w:eastAsia="lv-LV"/>
              </w:rPr>
            </w:pPr>
          </w:p>
          <w:p w:rsidRPr="008D2E94" w:rsidR="00472588" w:rsidP="00472588" w:rsidRDefault="00472588" w14:paraId="3226F30D" w14:textId="77777777">
            <w:pPr>
              <w:rPr>
                <w:rFonts w:ascii="Times New Roman" w:hAnsi="Times New Roman" w:eastAsia="Times New Roman" w:cs="Times New Roman"/>
                <w:sz w:val="24"/>
                <w:szCs w:val="24"/>
                <w:lang w:val="lv-LV" w:eastAsia="lv-LV"/>
              </w:rPr>
            </w:pPr>
          </w:p>
          <w:p w:rsidRPr="009B4B7F" w:rsidR="00472588" w:rsidP="00472588" w:rsidRDefault="00472588" w14:paraId="10E02BD3" w14:textId="77777777">
            <w:pPr>
              <w:rPr>
                <w:rFonts w:ascii="Times New Roman" w:hAnsi="Times New Roman" w:eastAsia="Times New Roman" w:cs="Times New Roman"/>
                <w:sz w:val="24"/>
                <w:szCs w:val="24"/>
                <w:lang w:val="lv-LV" w:eastAsia="lv-LV"/>
              </w:rPr>
            </w:pPr>
          </w:p>
          <w:p w:rsidRPr="009B4B7F" w:rsidR="00472588" w:rsidP="00472588" w:rsidRDefault="00472588" w14:paraId="6337EF3C" w14:textId="77777777">
            <w:pPr>
              <w:rPr>
                <w:rFonts w:ascii="Times New Roman" w:hAnsi="Times New Roman" w:eastAsia="Times New Roman" w:cs="Times New Roman"/>
                <w:sz w:val="24"/>
                <w:szCs w:val="24"/>
                <w:lang w:val="lv-LV" w:eastAsia="lv-LV"/>
              </w:rPr>
            </w:pPr>
          </w:p>
          <w:p w:rsidRPr="009B4B7F" w:rsidR="00472588" w:rsidP="00472588" w:rsidRDefault="00472588" w14:paraId="37FF427B" w14:textId="77777777">
            <w:pPr>
              <w:rPr>
                <w:rFonts w:ascii="Times New Roman" w:hAnsi="Times New Roman" w:eastAsia="Times New Roman" w:cs="Times New Roman"/>
                <w:sz w:val="24"/>
                <w:szCs w:val="24"/>
                <w:lang w:val="lv-LV" w:eastAsia="lv-LV"/>
              </w:rPr>
            </w:pPr>
          </w:p>
          <w:p w:rsidRPr="009B4B7F" w:rsidR="00472588" w:rsidP="00472588" w:rsidRDefault="00472588" w14:paraId="3FD208B4" w14:textId="77777777">
            <w:pPr>
              <w:rPr>
                <w:rFonts w:ascii="Times New Roman" w:hAnsi="Times New Roman" w:eastAsia="Times New Roman" w:cs="Times New Roman"/>
                <w:sz w:val="24"/>
                <w:szCs w:val="24"/>
                <w:lang w:val="lv-LV" w:eastAsia="lv-LV"/>
              </w:rPr>
            </w:pPr>
          </w:p>
          <w:p w:rsidRPr="009B4B7F" w:rsidR="00472588" w:rsidP="00472588" w:rsidRDefault="00472588" w14:paraId="6A9C4C18" w14:textId="56A62B25">
            <w:pPr>
              <w:jc w:val="right"/>
              <w:rPr>
                <w:rFonts w:ascii="Times New Roman" w:hAnsi="Times New Roman" w:eastAsia="Times New Roman" w:cs="Times New Roman"/>
                <w:sz w:val="24"/>
                <w:szCs w:val="24"/>
                <w:lang w:val="lv-LV" w:eastAsia="lv-LV"/>
              </w:rPr>
            </w:pPr>
          </w:p>
        </w:tc>
        <w:tc>
          <w:tcPr>
            <w:tcW w:w="3245" w:type="dxa"/>
          </w:tcPr>
          <w:p w:rsidRPr="001C3F41" w:rsidR="00472588" w:rsidP="00472588" w:rsidRDefault="00472588" w14:paraId="191052DF"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Pr>
                <w:rFonts w:ascii="Times New Roman" w:hAnsi="Times New Roman" w:eastAsia="Times New Roman" w:cs="Times New Roman"/>
                <w:b/>
                <w:sz w:val="24"/>
                <w:szCs w:val="24"/>
                <w:lang w:val="lv-LV" w:eastAsia="lv-LV"/>
              </w:rPr>
              <w:t xml:space="preserve">Latvijas Informācijas un komunikācijas tehnoloģiju asociācija (LIKTA) un </w:t>
            </w:r>
            <w:r w:rsidRPr="001C3F41">
              <w:rPr>
                <w:rFonts w:ascii="Times New Roman" w:hAnsi="Times New Roman" w:eastAsia="Times New Roman" w:cs="Times New Roman"/>
                <w:b/>
                <w:sz w:val="24"/>
                <w:szCs w:val="24"/>
                <w:lang w:val="lv-LV" w:eastAsia="lv-LV"/>
              </w:rPr>
              <w:t>Latvijas Darba devēju konfederācija (LDDK)</w:t>
            </w:r>
          </w:p>
          <w:p w:rsidRPr="001C3F41" w:rsidR="00472588" w:rsidP="00472588" w:rsidRDefault="00472588" w14:paraId="2247FC0C"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1C3F41">
              <w:rPr>
                <w:rFonts w:ascii="Times New Roman" w:hAnsi="Times New Roman" w:eastAsia="Times New Roman" w:cs="Times New Roman"/>
                <w:b/>
                <w:sz w:val="24"/>
                <w:szCs w:val="24"/>
                <w:lang w:val="lv-LV" w:eastAsia="lv-LV"/>
              </w:rPr>
              <w:t>12.04.2019.</w:t>
            </w:r>
          </w:p>
          <w:p w:rsidR="00472588" w:rsidP="00472588" w:rsidRDefault="00472588" w14:paraId="237D6F4C"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p>
          <w:p w:rsidRPr="00671043" w:rsidR="00472588" w:rsidP="00472588" w:rsidRDefault="00472588" w14:paraId="168CE5FD" w14:textId="321C74D7">
            <w:pPr>
              <w:autoSpaceDE w:val="0"/>
              <w:autoSpaceDN w:val="0"/>
              <w:spacing w:after="0" w:line="240" w:lineRule="auto"/>
              <w:jc w:val="both"/>
              <w:rPr>
                <w:rFonts w:ascii="Times New Roman" w:hAnsi="Times New Roman" w:eastAsia="Times New Roman" w:cs="Times New Roman"/>
                <w:sz w:val="24"/>
                <w:szCs w:val="24"/>
                <w:lang w:val="lv-LV" w:eastAsia="lv-LV"/>
              </w:rPr>
            </w:pPr>
            <w:r w:rsidRPr="00671043">
              <w:rPr>
                <w:rFonts w:ascii="Times New Roman" w:hAnsi="Times New Roman" w:eastAsia="Times New Roman" w:cs="Times New Roman"/>
                <w:sz w:val="24"/>
                <w:szCs w:val="24"/>
                <w:lang w:val="lv-LV" w:eastAsia="lv-LV"/>
              </w:rPr>
              <w:t>Šobrīd numerācijas nodeva tiek attiecināta vienīgi uz īsajiem kodiem, kas ir vienīgais reāli ierobežotais numerācijas resurss. Pārējie numerācijas resursi Latvijā ir pieejami praktiski neierobežotā apjomā, kas daudzkārt pārsniedz iedzīvotāju skait</w:t>
            </w:r>
            <w:r>
              <w:rPr>
                <w:rFonts w:ascii="Times New Roman" w:hAnsi="Times New Roman" w:eastAsia="Times New Roman" w:cs="Times New Roman"/>
                <w:sz w:val="24"/>
                <w:szCs w:val="24"/>
                <w:lang w:val="lv-LV" w:eastAsia="lv-LV"/>
              </w:rPr>
              <w:t xml:space="preserve">u. </w:t>
            </w:r>
            <w:r w:rsidRPr="00671043">
              <w:rPr>
                <w:rFonts w:ascii="Times New Roman" w:hAnsi="Times New Roman" w:eastAsia="Times New Roman" w:cs="Times New Roman"/>
                <w:sz w:val="24"/>
                <w:szCs w:val="24"/>
                <w:lang w:val="lv-LV" w:eastAsia="lv-LV"/>
              </w:rPr>
              <w:t>Numerācijas nodevas objekta paplašināšana kavēs elektronisko sakaru pakalpojumu attīstību, kā arī paaugstinās pakalpojumu izmaksas galalietotājiem.</w:t>
            </w:r>
          </w:p>
          <w:p w:rsidRPr="00671043" w:rsidR="00472588" w:rsidP="00472588" w:rsidRDefault="00472588" w14:paraId="365FC5EB"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671043">
              <w:rPr>
                <w:rFonts w:ascii="Times New Roman" w:hAnsi="Times New Roman" w:eastAsia="Times New Roman" w:cs="Times New Roman"/>
                <w:sz w:val="24"/>
                <w:szCs w:val="24"/>
                <w:lang w:val="lv-LV" w:eastAsia="lv-LV"/>
              </w:rPr>
              <w:t xml:space="preserve">Ziņojuma projektā nav ietverti apsvērumi par numerācijas nodevas objekta paplašināšanas lietderību, ietekmi uz elektronisko skaru </w:t>
            </w:r>
            <w:r w:rsidRPr="00671043">
              <w:rPr>
                <w:rFonts w:ascii="Times New Roman" w:hAnsi="Times New Roman" w:eastAsia="Times New Roman" w:cs="Times New Roman"/>
                <w:sz w:val="24"/>
                <w:szCs w:val="24"/>
                <w:lang w:val="lv-LV" w:eastAsia="lv-LV"/>
              </w:rPr>
              <w:lastRenderedPageBreak/>
              <w:t>komersantiem vai elektronisko sakaru pakalpojumu izmaksām galalietotājiem.</w:t>
            </w:r>
          </w:p>
          <w:p w:rsidRPr="00671043" w:rsidR="00472588" w:rsidP="00472588" w:rsidRDefault="00472588" w14:paraId="1338AC41"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671043">
              <w:rPr>
                <w:rFonts w:ascii="Times New Roman" w:hAnsi="Times New Roman" w:eastAsia="Times New Roman" w:cs="Times New Roman"/>
                <w:sz w:val="24"/>
                <w:szCs w:val="24"/>
                <w:lang w:val="lv-LV" w:eastAsia="lv-LV"/>
              </w:rPr>
              <w:t>Sabiedrisko pakalpojumu regulēšanas komisija 2019.gada pirmajā ceturksnī ir pieņēmusi virkni lēmumu par numerācijas efektīvas izmantošanas prasībām. Diskusija par numerācijas nodevas plašāku piemērošanu iespējama vienīgi pēc lēmumos noteikto saistību izpildes kontroles (pēc 2 gadiem), un konstatējot objektīvu numerācijas resursu trūkumu.</w:t>
            </w:r>
          </w:p>
          <w:p w:rsidR="00472588" w:rsidP="00472588" w:rsidRDefault="00472588" w14:paraId="12668FB4"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671043">
              <w:rPr>
                <w:rFonts w:ascii="Times New Roman" w:hAnsi="Times New Roman" w:eastAsia="Times New Roman" w:cs="Times New Roman"/>
                <w:sz w:val="24"/>
                <w:szCs w:val="24"/>
                <w:lang w:val="lv-LV" w:eastAsia="lv-LV"/>
              </w:rPr>
              <w:t>Līdz ar to iebilstam pret numerācijas nodevas attiecināšanu uz visiem numerācijas resursiem, jo tā nav pamatota un uzliek papildu būtisku finansiālu slogu komersantiem. Arī šī jautājuma izskatīšanu varētu veikt laika periodā, kad veikta SPRK lēmuma par numerācijas resursu efektīvas izmantošanas saistībām izpilde no komersantu puses un veikta lēmuma izpildes rezultātu novērtēšana.</w:t>
            </w:r>
          </w:p>
          <w:p w:rsidR="00472588" w:rsidP="00472588" w:rsidRDefault="00472588" w14:paraId="37FC5087"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p>
          <w:p w:rsidRPr="001D5327" w:rsidR="00472588" w:rsidP="00472588" w:rsidRDefault="00472588" w14:paraId="65AA18BE"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1D5327">
              <w:rPr>
                <w:rFonts w:ascii="Times New Roman" w:hAnsi="Times New Roman" w:eastAsia="Times New Roman" w:cs="Times New Roman"/>
                <w:b/>
                <w:sz w:val="24"/>
                <w:szCs w:val="24"/>
                <w:lang w:val="lv-LV" w:eastAsia="lv-LV"/>
              </w:rPr>
              <w:t>Latvijas Telekomunikāciju asociācija (LTA)</w:t>
            </w:r>
          </w:p>
          <w:p w:rsidRPr="001D5327" w:rsidR="00472588" w:rsidP="00472588" w:rsidRDefault="00472588" w14:paraId="498418B9"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1D5327">
              <w:rPr>
                <w:rFonts w:ascii="Times New Roman" w:hAnsi="Times New Roman" w:eastAsia="Times New Roman" w:cs="Times New Roman"/>
                <w:b/>
                <w:sz w:val="24"/>
                <w:szCs w:val="24"/>
                <w:lang w:val="lv-LV" w:eastAsia="lv-LV"/>
              </w:rPr>
              <w:t>26.03.2019.</w:t>
            </w:r>
          </w:p>
          <w:p w:rsidRPr="001D5327" w:rsidR="00472588" w:rsidP="00472588" w:rsidRDefault="00472588" w14:paraId="6BB55A08"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p>
          <w:p w:rsidRPr="001D5327" w:rsidR="00472588" w:rsidP="00472588" w:rsidRDefault="00472588" w14:paraId="274BC32B"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LTA uzskata, ka grozījumu veikšana Noteikumos, kas paredzēs ikgadējas valsts nodevas</w:t>
            </w:r>
          </w:p>
          <w:p w:rsidRPr="001D5327" w:rsidR="00472588" w:rsidP="00472588" w:rsidRDefault="00472588" w14:paraId="208B0F95" w14:textId="4519671F">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par numerāciju lietošanas tiesībām piem</w:t>
            </w:r>
            <w:r>
              <w:rPr>
                <w:rFonts w:ascii="Times New Roman" w:hAnsi="Times New Roman" w:eastAsia="Times New Roman" w:cs="Times New Roman"/>
                <w:sz w:val="24"/>
                <w:szCs w:val="24"/>
                <w:lang w:val="lv-LV" w:eastAsia="lv-LV"/>
              </w:rPr>
              <w:t>ē</w:t>
            </w:r>
            <w:r w:rsidRPr="001D5327">
              <w:rPr>
                <w:rFonts w:ascii="Times New Roman" w:hAnsi="Times New Roman" w:eastAsia="Times New Roman" w:cs="Times New Roman"/>
                <w:sz w:val="24"/>
                <w:szCs w:val="24"/>
                <w:lang w:val="lv-LV" w:eastAsia="lv-LV"/>
              </w:rPr>
              <w:t>rošanu par visu Ministru kabineta 2015.gada 30.jūnija</w:t>
            </w:r>
          </w:p>
          <w:p w:rsidRPr="001D5327" w:rsidR="00472588" w:rsidP="00472588" w:rsidRDefault="00472588" w14:paraId="11E17B22" w14:textId="3ED05D3A">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 xml:space="preserve">noteikumos Nr. 367 </w:t>
            </w:r>
            <w:r>
              <w:rPr>
                <w:rFonts w:ascii="Times New Roman" w:hAnsi="Times New Roman" w:eastAsia="Times New Roman" w:cs="Times New Roman"/>
                <w:sz w:val="24"/>
                <w:szCs w:val="24"/>
                <w:lang w:val="lv-LV" w:eastAsia="lv-LV"/>
              </w:rPr>
              <w:t>“</w:t>
            </w:r>
            <w:r w:rsidRPr="001D5327">
              <w:rPr>
                <w:rFonts w:ascii="Times New Roman" w:hAnsi="Times New Roman" w:eastAsia="Times New Roman" w:cs="Times New Roman"/>
                <w:sz w:val="24"/>
                <w:szCs w:val="24"/>
                <w:lang w:val="lv-LV" w:eastAsia="lv-LV"/>
              </w:rPr>
              <w:t>Nacionālais numerācijas plāns</w:t>
            </w:r>
            <w:r>
              <w:rPr>
                <w:rFonts w:ascii="Times New Roman" w:hAnsi="Times New Roman" w:eastAsia="Times New Roman" w:cs="Times New Roman"/>
                <w:sz w:val="24"/>
                <w:szCs w:val="24"/>
                <w:lang w:val="lv-LV" w:eastAsia="lv-LV"/>
              </w:rPr>
              <w:t>”</w:t>
            </w:r>
            <w:r w:rsidRPr="001D5327">
              <w:rPr>
                <w:rFonts w:ascii="Times New Roman" w:hAnsi="Times New Roman" w:eastAsia="Times New Roman" w:cs="Times New Roman"/>
                <w:sz w:val="24"/>
                <w:szCs w:val="24"/>
                <w:lang w:val="lv-LV" w:eastAsia="lv-LV"/>
              </w:rPr>
              <w:t xml:space="preserve"> iekļauto numuru lietošanas tiesībām,</w:t>
            </w:r>
          </w:p>
          <w:p w:rsidRPr="001D5327" w:rsidR="00472588" w:rsidP="00472588" w:rsidRDefault="00472588" w14:paraId="123D7D14"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izņemot starptautiskos signalizācijas punktu kodus, nav atbalstāma.</w:t>
            </w:r>
          </w:p>
          <w:p w:rsidRPr="001D5327" w:rsidR="00472588" w:rsidP="00472588" w:rsidRDefault="00472588" w14:paraId="5BF424CE"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Šobrīd nav mainījušies vai radušies tādi apstākļi, kas pamatotu nepieciešamību ieviest</w:t>
            </w:r>
          </w:p>
          <w:p w:rsidRPr="001D5327" w:rsidR="00472588" w:rsidP="00472588" w:rsidRDefault="00472588" w14:paraId="4034EA0C"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valsts nodevu par fiksētajiem un mobilajiem numuriem. Regulējošo iestāžu rīcībā joprojām ir</w:t>
            </w:r>
          </w:p>
          <w:p w:rsidRPr="001D5327" w:rsidR="00472588" w:rsidP="00472588" w:rsidRDefault="00472588" w14:paraId="4903A7D3"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 xml:space="preserve">pietiekams metožu kopums arī bez valsts nodevas ieviešanas, </w:t>
            </w:r>
            <w:r w:rsidRPr="001D5327">
              <w:rPr>
                <w:rFonts w:ascii="Times New Roman" w:hAnsi="Times New Roman" w:eastAsia="Times New Roman" w:cs="Times New Roman"/>
                <w:sz w:val="24"/>
                <w:szCs w:val="24"/>
                <w:lang w:val="lv-LV" w:eastAsia="lv-LV"/>
              </w:rPr>
              <w:lastRenderedPageBreak/>
              <w:t>lai turpinātu nodrošināt efektīvu</w:t>
            </w:r>
          </w:p>
          <w:p w:rsidRPr="001D5327" w:rsidR="00472588" w:rsidP="00472588" w:rsidRDefault="00472588" w14:paraId="2C4A1ED9"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numerācijas resursu pārvaldību. Tāpat lūdzam ņemt vērā, ka līdzšinējās sarunās ar nozares</w:t>
            </w:r>
          </w:p>
          <w:p w:rsidRPr="00671043" w:rsidR="00472588" w:rsidP="00472588" w:rsidRDefault="00472588" w14:paraId="092017ED" w14:textId="328E3277">
            <w:pPr>
              <w:autoSpaceDE w:val="0"/>
              <w:autoSpaceDN w:val="0"/>
              <w:spacing w:after="0" w:line="240" w:lineRule="auto"/>
              <w:jc w:val="both"/>
              <w:rPr>
                <w:rFonts w:ascii="Times New Roman" w:hAnsi="Times New Roman" w:eastAsia="Times New Roman" w:cs="Times New Roman"/>
                <w:sz w:val="24"/>
                <w:szCs w:val="24"/>
                <w:lang w:val="lv-LV" w:eastAsia="lv-LV"/>
              </w:rPr>
            </w:pPr>
            <w:r w:rsidRPr="001D5327">
              <w:rPr>
                <w:rFonts w:ascii="Times New Roman" w:hAnsi="Times New Roman" w:eastAsia="Times New Roman" w:cs="Times New Roman"/>
                <w:sz w:val="24"/>
                <w:szCs w:val="24"/>
                <w:lang w:val="lv-LV" w:eastAsia="lv-LV"/>
              </w:rPr>
              <w:t>pārstāvjiem vienošanās par šāda regulējuma ieviešanu netika panākta.</w:t>
            </w:r>
          </w:p>
        </w:tc>
        <w:tc>
          <w:tcPr>
            <w:tcW w:w="2976" w:type="dxa"/>
          </w:tcPr>
          <w:p w:rsidRPr="00B45C15" w:rsidR="00472588" w:rsidP="00472588" w:rsidRDefault="00472588" w14:paraId="73F1024E" w14:textId="77777777">
            <w:pPr>
              <w:autoSpaceDE w:val="0"/>
              <w:autoSpaceDN w:val="0"/>
              <w:spacing w:after="0" w:line="240" w:lineRule="auto"/>
              <w:jc w:val="both"/>
              <w:rPr>
                <w:rFonts w:ascii="Times New Roman" w:hAnsi="Times New Roman" w:eastAsia="Times New Roman" w:cs="Times New Roman"/>
                <w:b/>
                <w:bCs/>
                <w:sz w:val="24"/>
                <w:szCs w:val="24"/>
                <w:lang w:val="lv-LV" w:eastAsia="lv-LV"/>
              </w:rPr>
            </w:pPr>
            <w:r w:rsidRPr="00B45C15">
              <w:rPr>
                <w:rFonts w:ascii="Times New Roman" w:hAnsi="Times New Roman" w:eastAsia="Times New Roman" w:cs="Times New Roman"/>
                <w:b/>
                <w:bCs/>
                <w:sz w:val="24"/>
                <w:szCs w:val="24"/>
                <w:lang w:val="lv-LV" w:eastAsia="lv-LV"/>
              </w:rPr>
              <w:lastRenderedPageBreak/>
              <w:t>Iebildums nav ņemts vērā.</w:t>
            </w:r>
          </w:p>
          <w:p w:rsidR="00472588" w:rsidP="00472588" w:rsidRDefault="00472588" w14:paraId="132D139A"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p>
          <w:p w:rsidRPr="003E3608" w:rsidR="00472588" w:rsidP="00472588" w:rsidRDefault="00472588" w14:paraId="4806C053" w14:textId="353A0A97">
            <w:pPr>
              <w:autoSpaceDE w:val="0"/>
              <w:autoSpaceDN w:val="0"/>
              <w:spacing w:after="0" w:line="240" w:lineRule="auto"/>
              <w:jc w:val="both"/>
              <w:rPr>
                <w:rFonts w:ascii="Times New Roman" w:hAnsi="Times New Roman" w:eastAsia="Times New Roman" w:cs="Times New Roman"/>
                <w:sz w:val="24"/>
                <w:szCs w:val="24"/>
                <w:lang w:val="lv-LV" w:eastAsia="lv-LV"/>
              </w:rPr>
            </w:pPr>
            <w:r w:rsidRPr="003E3608">
              <w:rPr>
                <w:rFonts w:ascii="Times New Roman" w:hAnsi="Times New Roman" w:eastAsia="Times New Roman" w:cs="Times New Roman"/>
                <w:sz w:val="24"/>
                <w:szCs w:val="24"/>
                <w:lang w:val="lv-LV" w:eastAsia="lv-LV"/>
              </w:rPr>
              <w:t>Elektronisko sakaru likuma 58.panta pirmā daļa noteic, ka par numerācijas lietošanas tiesībām maksājama ikgadējā valsts nodeva</w:t>
            </w:r>
            <w:r>
              <w:rPr>
                <w:rFonts w:ascii="Times New Roman" w:hAnsi="Times New Roman" w:eastAsia="Times New Roman" w:cs="Times New Roman"/>
                <w:sz w:val="24"/>
                <w:szCs w:val="24"/>
                <w:lang w:val="lv-LV" w:eastAsia="lv-LV"/>
              </w:rPr>
              <w:t xml:space="preserve"> (turpmāk- Nodeva)</w:t>
            </w:r>
            <w:r w:rsidRPr="003E3608">
              <w:rPr>
                <w:rFonts w:ascii="Times New Roman" w:hAnsi="Times New Roman" w:eastAsia="Times New Roman" w:cs="Times New Roman"/>
                <w:sz w:val="24"/>
                <w:szCs w:val="24"/>
                <w:lang w:val="lv-LV" w:eastAsia="lv-LV"/>
              </w:rPr>
              <w:t xml:space="preserve">, kuras likmes, maksāšanas kārtību un atvieglojumus nosaka Ministru kabinets. Šobrīd </w:t>
            </w:r>
            <w:r>
              <w:rPr>
                <w:rFonts w:ascii="Times New Roman" w:hAnsi="Times New Roman" w:eastAsia="Times New Roman" w:cs="Times New Roman"/>
                <w:sz w:val="24"/>
                <w:szCs w:val="24"/>
                <w:lang w:val="lv-LV" w:eastAsia="lv-LV"/>
              </w:rPr>
              <w:t>Nodevu</w:t>
            </w:r>
            <w:r w:rsidRPr="003E3608">
              <w:rPr>
                <w:rFonts w:ascii="Times New Roman" w:hAnsi="Times New Roman" w:eastAsia="Times New Roman" w:cs="Times New Roman"/>
                <w:sz w:val="24"/>
                <w:szCs w:val="24"/>
                <w:lang w:val="lv-LV" w:eastAsia="lv-LV"/>
              </w:rPr>
              <w:t xml:space="preserve"> nosaka Ministru kabineta 2009.gada 11.augusta noteikumi Nr. 892 “Noteikumi par numerācijas lietošanas tiesību ikgadējo nodevu”, kuri paredz Nodev</w:t>
            </w:r>
            <w:r>
              <w:rPr>
                <w:rFonts w:ascii="Times New Roman" w:hAnsi="Times New Roman" w:eastAsia="Times New Roman" w:cs="Times New Roman"/>
                <w:sz w:val="24"/>
                <w:szCs w:val="24"/>
                <w:lang w:val="lv-LV" w:eastAsia="lv-LV"/>
              </w:rPr>
              <w:t>u</w:t>
            </w:r>
            <w:r w:rsidRPr="003E3608">
              <w:rPr>
                <w:rFonts w:ascii="Times New Roman" w:hAnsi="Times New Roman" w:eastAsia="Times New Roman" w:cs="Times New Roman"/>
                <w:sz w:val="24"/>
                <w:szCs w:val="24"/>
                <w:lang w:val="lv-LV" w:eastAsia="lv-LV"/>
              </w:rPr>
              <w:t xml:space="preserve"> tikai par īso kodu lietošanas tiesībām.</w:t>
            </w:r>
          </w:p>
          <w:p w:rsidRPr="003E3608" w:rsidR="00472588" w:rsidP="00472588" w:rsidRDefault="00472588" w14:paraId="460D075E" w14:textId="5C58E0B7">
            <w:pPr>
              <w:autoSpaceDE w:val="0"/>
              <w:autoSpaceDN w:val="0"/>
              <w:spacing w:after="0" w:line="240" w:lineRule="auto"/>
              <w:jc w:val="both"/>
              <w:rPr>
                <w:rFonts w:ascii="Times New Roman" w:hAnsi="Times New Roman" w:eastAsia="Times New Roman" w:cs="Times New Roman"/>
                <w:sz w:val="24"/>
                <w:szCs w:val="24"/>
                <w:lang w:val="lv-LV" w:eastAsia="lv-LV"/>
              </w:rPr>
            </w:pPr>
            <w:r w:rsidRPr="003E3608">
              <w:rPr>
                <w:rFonts w:ascii="Times New Roman" w:hAnsi="Times New Roman" w:eastAsia="Times New Roman" w:cs="Times New Roman"/>
                <w:sz w:val="24"/>
                <w:szCs w:val="24"/>
                <w:lang w:val="lv-LV" w:eastAsia="lv-LV"/>
              </w:rPr>
              <w:t xml:space="preserve">Analizējot ārvalstu tīmekļvietnes, kurās tika piedāvāti elektronisko sakaru pakalpojumi, tika secināts, ka 2015.-2019.gadā arvien biežāk ir piedāvājumi saņemt mobilās vai fiksētās </w:t>
            </w:r>
            <w:r w:rsidRPr="003E3608">
              <w:rPr>
                <w:rFonts w:ascii="Times New Roman" w:hAnsi="Times New Roman" w:eastAsia="Times New Roman" w:cs="Times New Roman"/>
                <w:sz w:val="24"/>
                <w:szCs w:val="24"/>
                <w:lang w:val="lv-LV" w:eastAsia="lv-LV"/>
              </w:rPr>
              <w:lastRenderedPageBreak/>
              <w:t>balss telefonijas pakalpojumus no ārvalstu elektronisko sakaru pakalpojumu sniedzējiem, izmantojot Latvijas Republikas numerāciju.</w:t>
            </w:r>
          </w:p>
          <w:p w:rsidRPr="003E3608" w:rsidR="00472588" w:rsidP="00472588" w:rsidRDefault="00472588" w14:paraId="7CE08B78" w14:textId="4D924365">
            <w:pPr>
              <w:autoSpaceDE w:val="0"/>
              <w:autoSpaceDN w:val="0"/>
              <w:spacing w:after="0" w:line="240" w:lineRule="auto"/>
              <w:jc w:val="both"/>
              <w:rPr>
                <w:rFonts w:ascii="Times New Roman" w:hAnsi="Times New Roman" w:eastAsia="Times New Roman" w:cs="Times New Roman"/>
                <w:sz w:val="24"/>
                <w:szCs w:val="24"/>
                <w:lang w:val="lv-LV" w:eastAsia="lv-LV"/>
              </w:rPr>
            </w:pPr>
            <w:r w:rsidRPr="003E3608">
              <w:rPr>
                <w:rFonts w:ascii="Times New Roman" w:hAnsi="Times New Roman" w:eastAsia="Times New Roman" w:cs="Times New Roman"/>
                <w:sz w:val="24"/>
                <w:szCs w:val="24"/>
                <w:lang w:val="lv-LV" w:eastAsia="lv-LV"/>
              </w:rPr>
              <w:t xml:space="preserve">Praktiski tas nozīmē numerācijas eksportu tādā veidā, ka Latvijas Republikas elektronisko sakaru komersanti, bez maksas saņemot lietošanā Latvijas Republikas numerāciju, kas ir nacionālais ierobežotais resurss, pārdod to ārvalstu komersantiem. </w:t>
            </w:r>
            <w:r>
              <w:rPr>
                <w:rFonts w:ascii="Times New Roman" w:hAnsi="Times New Roman" w:eastAsia="Times New Roman" w:cs="Times New Roman"/>
                <w:sz w:val="24"/>
                <w:szCs w:val="24"/>
                <w:lang w:val="lv-LV" w:eastAsia="lv-LV"/>
              </w:rPr>
              <w:t xml:space="preserve">Kā norāda Regulators, </w:t>
            </w:r>
            <w:r w:rsidRPr="003E3608">
              <w:rPr>
                <w:rFonts w:ascii="Times New Roman" w:hAnsi="Times New Roman" w:eastAsia="Times New Roman" w:cs="Times New Roman"/>
                <w:sz w:val="24"/>
                <w:szCs w:val="24"/>
                <w:lang w:val="lv-LV" w:eastAsia="lv-LV"/>
              </w:rPr>
              <w:t xml:space="preserve">bieži </w:t>
            </w:r>
            <w:r>
              <w:rPr>
                <w:rFonts w:ascii="Times New Roman" w:hAnsi="Times New Roman" w:eastAsia="Times New Roman" w:cs="Times New Roman"/>
                <w:sz w:val="24"/>
                <w:szCs w:val="24"/>
                <w:lang w:val="lv-LV" w:eastAsia="lv-LV"/>
              </w:rPr>
              <w:t>Latvijas Republikas</w:t>
            </w:r>
            <w:r w:rsidRPr="003E3608">
              <w:rPr>
                <w:rFonts w:ascii="Times New Roman" w:hAnsi="Times New Roman" w:eastAsia="Times New Roman" w:cs="Times New Roman"/>
                <w:sz w:val="24"/>
                <w:szCs w:val="24"/>
                <w:lang w:val="lv-LV" w:eastAsia="lv-LV"/>
              </w:rPr>
              <w:t xml:space="preserve"> </w:t>
            </w:r>
            <w:r>
              <w:rPr>
                <w:rFonts w:ascii="Times New Roman" w:hAnsi="Times New Roman" w:eastAsia="Times New Roman" w:cs="Times New Roman"/>
                <w:sz w:val="24"/>
                <w:szCs w:val="24"/>
                <w:lang w:val="lv-LV" w:eastAsia="lv-LV"/>
              </w:rPr>
              <w:t xml:space="preserve"> </w:t>
            </w:r>
            <w:r w:rsidRPr="00145E27">
              <w:rPr>
                <w:rFonts w:ascii="Times New Roman" w:hAnsi="Times New Roman" w:eastAsia="Times New Roman" w:cs="Times New Roman"/>
                <w:sz w:val="24"/>
                <w:szCs w:val="24"/>
                <w:lang w:val="lv-LV" w:eastAsia="lv-LV"/>
              </w:rPr>
              <w:t>numerācija tiek izmantota</w:t>
            </w:r>
            <w:r w:rsidRPr="00702A1A">
              <w:rPr>
                <w:rFonts w:ascii="Times New Roman" w:hAnsi="Times New Roman" w:eastAsia="Times New Roman" w:cs="Times New Roman"/>
                <w:sz w:val="24"/>
                <w:szCs w:val="24"/>
                <w:lang w:val="lv-LV" w:eastAsia="lv-LV"/>
              </w:rPr>
              <w:t xml:space="preserve"> </w:t>
            </w:r>
            <w:proofErr w:type="spellStart"/>
            <w:r w:rsidRPr="00702A1A">
              <w:rPr>
                <w:rFonts w:ascii="Times New Roman" w:hAnsi="Times New Roman" w:eastAsia="Times New Roman" w:cs="Times New Roman"/>
                <w:sz w:val="24"/>
                <w:szCs w:val="24"/>
                <w:lang w:val="lv-LV" w:eastAsia="lv-LV"/>
              </w:rPr>
              <w:t>krāpniecības</w:t>
            </w:r>
            <w:proofErr w:type="spellEnd"/>
            <w:r w:rsidRPr="003E3608">
              <w:rPr>
                <w:rFonts w:ascii="Times New Roman" w:hAnsi="Times New Roman" w:eastAsia="Times New Roman" w:cs="Times New Roman"/>
                <w:sz w:val="24"/>
                <w:szCs w:val="24"/>
                <w:lang w:val="lv-LV" w:eastAsia="lv-LV"/>
              </w:rPr>
              <w:t xml:space="preserve"> nolūkos. Ņemot vērā, ka </w:t>
            </w:r>
            <w:r>
              <w:rPr>
                <w:rFonts w:ascii="Times New Roman" w:hAnsi="Times New Roman" w:eastAsia="Times New Roman" w:cs="Times New Roman"/>
                <w:sz w:val="24"/>
                <w:szCs w:val="24"/>
                <w:lang w:val="lv-LV" w:eastAsia="lv-LV"/>
              </w:rPr>
              <w:t xml:space="preserve">par </w:t>
            </w:r>
            <w:r w:rsidRPr="003E3608">
              <w:rPr>
                <w:rFonts w:ascii="Times New Roman" w:hAnsi="Times New Roman" w:eastAsia="Times New Roman" w:cs="Times New Roman"/>
                <w:sz w:val="24"/>
                <w:szCs w:val="24"/>
                <w:lang w:val="lv-LV" w:eastAsia="lv-LV"/>
              </w:rPr>
              <w:t>lielāk</w:t>
            </w:r>
            <w:r>
              <w:rPr>
                <w:rFonts w:ascii="Times New Roman" w:hAnsi="Times New Roman" w:eastAsia="Times New Roman" w:cs="Times New Roman"/>
                <w:sz w:val="24"/>
                <w:szCs w:val="24"/>
                <w:lang w:val="lv-LV" w:eastAsia="lv-LV"/>
              </w:rPr>
              <w:t>o</w:t>
            </w:r>
            <w:r w:rsidRPr="003E3608">
              <w:rPr>
                <w:rFonts w:ascii="Times New Roman" w:hAnsi="Times New Roman" w:eastAsia="Times New Roman" w:cs="Times New Roman"/>
                <w:sz w:val="24"/>
                <w:szCs w:val="24"/>
                <w:lang w:val="lv-LV" w:eastAsia="lv-LV"/>
              </w:rPr>
              <w:t xml:space="preserve"> daļ</w:t>
            </w:r>
            <w:r>
              <w:rPr>
                <w:rFonts w:ascii="Times New Roman" w:hAnsi="Times New Roman" w:eastAsia="Times New Roman" w:cs="Times New Roman"/>
                <w:sz w:val="24"/>
                <w:szCs w:val="24"/>
                <w:lang w:val="lv-LV" w:eastAsia="lv-LV"/>
              </w:rPr>
              <w:t>u</w:t>
            </w:r>
            <w:r w:rsidRPr="003E3608">
              <w:rPr>
                <w:rFonts w:ascii="Times New Roman" w:hAnsi="Times New Roman" w:eastAsia="Times New Roman" w:cs="Times New Roman"/>
                <w:sz w:val="24"/>
                <w:szCs w:val="24"/>
                <w:lang w:val="lv-LV" w:eastAsia="lv-LV"/>
              </w:rPr>
              <w:t xml:space="preserve"> Latvijas Republikas numerācijas</w:t>
            </w:r>
            <w:r>
              <w:rPr>
                <w:rFonts w:ascii="Times New Roman" w:hAnsi="Times New Roman" w:eastAsia="Times New Roman" w:cs="Times New Roman"/>
                <w:sz w:val="24"/>
                <w:szCs w:val="24"/>
                <w:lang w:val="lv-LV" w:eastAsia="lv-LV"/>
              </w:rPr>
              <w:t xml:space="preserve"> resursu izmantošanu</w:t>
            </w:r>
            <w:r w:rsidRPr="003E3608">
              <w:rPr>
                <w:rFonts w:ascii="Times New Roman" w:hAnsi="Times New Roman" w:eastAsia="Times New Roman" w:cs="Times New Roman"/>
                <w:sz w:val="24"/>
                <w:szCs w:val="24"/>
                <w:lang w:val="lv-LV" w:eastAsia="lv-LV"/>
              </w:rPr>
              <w:t xml:space="preserve"> nav piemērota maksa, daudzi elektronisko sakaru komersanti izmanto numerāciju neefektīvi.</w:t>
            </w:r>
          </w:p>
          <w:p w:rsidRPr="003E3608" w:rsidR="00472588" w:rsidP="00472588" w:rsidRDefault="00472588" w14:paraId="4D537121" w14:textId="353E3C42">
            <w:pPr>
              <w:autoSpaceDE w:val="0"/>
              <w:autoSpaceDN w:val="0"/>
              <w:spacing w:after="0" w:line="240" w:lineRule="auto"/>
              <w:jc w:val="both"/>
              <w:rPr>
                <w:rFonts w:ascii="Times New Roman" w:hAnsi="Times New Roman" w:eastAsia="Times New Roman" w:cs="Times New Roman"/>
                <w:sz w:val="24"/>
                <w:szCs w:val="24"/>
                <w:lang w:val="lv-LV" w:eastAsia="lv-LV"/>
              </w:rPr>
            </w:pPr>
            <w:r w:rsidRPr="003E3608">
              <w:rPr>
                <w:rFonts w:ascii="Times New Roman" w:hAnsi="Times New Roman" w:eastAsia="Times New Roman" w:cs="Times New Roman"/>
                <w:sz w:val="24"/>
                <w:szCs w:val="24"/>
                <w:lang w:val="lv-LV" w:eastAsia="lv-LV"/>
              </w:rPr>
              <w:t xml:space="preserve">2019.gada 1.janvārī stājās spēkā grozījumi  Regulatora 2015.gada 3.decembra </w:t>
            </w:r>
            <w:r w:rsidRPr="003E3608">
              <w:rPr>
                <w:rFonts w:ascii="Times New Roman" w:hAnsi="Times New Roman" w:eastAsia="Times New Roman" w:cs="Times New Roman"/>
                <w:sz w:val="24"/>
                <w:szCs w:val="24"/>
                <w:lang w:val="lv-LV" w:eastAsia="lv-LV"/>
              </w:rPr>
              <w:lastRenderedPageBreak/>
              <w:t xml:space="preserve">lēmumā Nr.1/18 “Noteikumi par numerācijas lietošanas tiesībām”  attiecībā uz specifiskiem numerācijas lietošanas tiesību nosacījumiem. Šo grozījumu mērķis ir divu gadu laikā </w:t>
            </w:r>
            <w:proofErr w:type="spellStart"/>
            <w:r w:rsidRPr="003E3608">
              <w:rPr>
                <w:rFonts w:ascii="Times New Roman" w:hAnsi="Times New Roman" w:eastAsia="Times New Roman" w:cs="Times New Roman"/>
                <w:sz w:val="24"/>
                <w:szCs w:val="24"/>
                <w:lang w:val="lv-LV" w:eastAsia="lv-LV"/>
              </w:rPr>
              <w:t>efektivizēt</w:t>
            </w:r>
            <w:proofErr w:type="spellEnd"/>
            <w:r w:rsidRPr="003E3608">
              <w:rPr>
                <w:rFonts w:ascii="Times New Roman" w:hAnsi="Times New Roman" w:eastAsia="Times New Roman" w:cs="Times New Roman"/>
                <w:sz w:val="24"/>
                <w:szCs w:val="24"/>
                <w:lang w:val="lv-LV" w:eastAsia="lv-LV"/>
              </w:rPr>
              <w:t xml:space="preserve"> piešķirto numerācijas lietošanas tiesību izmantošanu. </w:t>
            </w:r>
            <w:r>
              <w:rPr>
                <w:rFonts w:ascii="Times New Roman" w:hAnsi="Times New Roman" w:eastAsia="Times New Roman" w:cs="Times New Roman"/>
                <w:sz w:val="24"/>
                <w:szCs w:val="24"/>
                <w:lang w:val="lv-LV" w:eastAsia="lv-LV"/>
              </w:rPr>
              <w:t xml:space="preserve">Regulatora ieskatā, </w:t>
            </w:r>
            <w:r w:rsidRPr="003E3608">
              <w:rPr>
                <w:rFonts w:ascii="Times New Roman" w:hAnsi="Times New Roman" w:eastAsia="Times New Roman" w:cs="Times New Roman"/>
                <w:sz w:val="24"/>
                <w:szCs w:val="24"/>
                <w:lang w:val="lv-LV" w:eastAsia="lv-LV"/>
              </w:rPr>
              <w:t>tas atrisinās problēmu tikai daļēji, jo numerācijas lietošanas tiesību izmantošanas kontrole ne vienmēr ir tehnoloģiski iespējama un ir ļoti darbietilpīga.</w:t>
            </w:r>
          </w:p>
          <w:p w:rsidR="00472588" w:rsidP="00472588" w:rsidRDefault="00472588" w14:paraId="1527E69E" w14:textId="2857F44C">
            <w:pPr>
              <w:autoSpaceDE w:val="0"/>
              <w:autoSpaceDN w:val="0"/>
              <w:spacing w:after="0" w:line="240" w:lineRule="auto"/>
              <w:jc w:val="both"/>
              <w:rPr>
                <w:rFonts w:ascii="Times New Roman" w:hAnsi="Times New Roman" w:eastAsia="Times New Roman" w:cs="Times New Roman"/>
                <w:sz w:val="24"/>
                <w:szCs w:val="24"/>
                <w:lang w:val="lv-LV" w:eastAsia="lv-LV"/>
              </w:rPr>
            </w:pPr>
            <w:r w:rsidRPr="003E3608">
              <w:rPr>
                <w:rFonts w:ascii="Times New Roman" w:hAnsi="Times New Roman" w:eastAsia="Times New Roman" w:cs="Times New Roman"/>
                <w:sz w:val="24"/>
                <w:szCs w:val="24"/>
                <w:lang w:val="lv-LV" w:eastAsia="lv-LV"/>
              </w:rPr>
              <w:t xml:space="preserve">Ikgadējās Nodevas piemērošana visai numerācijai veicinās to, ka elektronisko sakaru komersanti plānos numerācijas izmantošanu pēc iespējas racionālākā, efektīvākā un optimālākā veidā. Elektronisko sakaru komersanti būs motivēti pārdomāt numerācijas izmantošanu un to darbībai nepieciešamo numuru </w:t>
            </w:r>
            <w:r w:rsidRPr="003E3608">
              <w:rPr>
                <w:rFonts w:ascii="Times New Roman" w:hAnsi="Times New Roman" w:eastAsia="Times New Roman" w:cs="Times New Roman"/>
                <w:sz w:val="24"/>
                <w:szCs w:val="24"/>
                <w:lang w:val="lv-LV" w:eastAsia="lv-LV"/>
              </w:rPr>
              <w:lastRenderedPageBreak/>
              <w:t>daudzumu, k</w:t>
            </w:r>
            <w:r>
              <w:rPr>
                <w:rFonts w:ascii="Times New Roman" w:hAnsi="Times New Roman" w:eastAsia="Times New Roman" w:cs="Times New Roman"/>
                <w:sz w:val="24"/>
                <w:szCs w:val="24"/>
                <w:lang w:val="lv-LV" w:eastAsia="lv-LV"/>
              </w:rPr>
              <w:t>as</w:t>
            </w:r>
            <w:r w:rsidRPr="003E3608">
              <w:rPr>
                <w:rFonts w:ascii="Times New Roman" w:hAnsi="Times New Roman" w:eastAsia="Times New Roman" w:cs="Times New Roman"/>
                <w:sz w:val="24"/>
                <w:szCs w:val="24"/>
                <w:lang w:val="lv-LV" w:eastAsia="lv-LV"/>
              </w:rPr>
              <w:t xml:space="preserve"> samazinās Latvijas Republikas numerācijas izmantošanu </w:t>
            </w:r>
            <w:proofErr w:type="spellStart"/>
            <w:r w:rsidRPr="003E3608">
              <w:rPr>
                <w:rFonts w:ascii="Times New Roman" w:hAnsi="Times New Roman" w:eastAsia="Times New Roman" w:cs="Times New Roman"/>
                <w:sz w:val="24"/>
                <w:szCs w:val="24"/>
                <w:lang w:val="lv-LV" w:eastAsia="lv-LV"/>
              </w:rPr>
              <w:t>krāpniecībā</w:t>
            </w:r>
            <w:proofErr w:type="spellEnd"/>
            <w:r w:rsidRPr="003E3608">
              <w:rPr>
                <w:rFonts w:ascii="Times New Roman" w:hAnsi="Times New Roman" w:eastAsia="Times New Roman" w:cs="Times New Roman"/>
                <w:sz w:val="24"/>
                <w:szCs w:val="24"/>
                <w:lang w:val="lv-LV" w:eastAsia="lv-LV"/>
              </w:rPr>
              <w:t>, izmantojot numerāciju</w:t>
            </w:r>
            <w:r>
              <w:rPr>
                <w:rFonts w:ascii="Times New Roman" w:hAnsi="Times New Roman" w:eastAsia="Times New Roman" w:cs="Times New Roman"/>
                <w:sz w:val="24"/>
                <w:szCs w:val="24"/>
                <w:lang w:val="lv-LV" w:eastAsia="lv-LV"/>
              </w:rPr>
              <w:t>, kā arī numerācijas eksportu, kas īpaši prognozējams attiecībā uz eksteritoriālajiem numuriem.</w:t>
            </w:r>
          </w:p>
          <w:p w:rsidRPr="00300B77" w:rsidR="00472588" w:rsidP="00472588" w:rsidRDefault="00472588" w14:paraId="21BBFF3A" w14:textId="4DD35B4D">
            <w:pPr>
              <w:autoSpaceDE w:val="0"/>
              <w:autoSpaceDN w:val="0"/>
              <w:spacing w:after="0" w:line="240" w:lineRule="auto"/>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Spēkā esošā ar Ministru kabineta 2006.gada 25.jūnija rīkojumu Nr.562 “ Ikgadējā valsts nodeva par radiofrekvenču spektra un numerācijas resursu lietošanas tiesībām” apstiprinātā koncepcija paredz ieviest numerācijas valsts Nodevu ar </w:t>
            </w:r>
            <w:r w:rsidRPr="00300B77">
              <w:rPr>
                <w:rFonts w:ascii="Times New Roman" w:hAnsi="Times New Roman" w:eastAsia="Times New Roman" w:cs="Times New Roman"/>
                <w:sz w:val="24"/>
                <w:szCs w:val="24"/>
                <w:lang w:val="lv-LV" w:eastAsia="lv-LV"/>
              </w:rPr>
              <w:t xml:space="preserve"> bāzes likm</w:t>
            </w:r>
            <w:r>
              <w:rPr>
                <w:rFonts w:ascii="Times New Roman" w:hAnsi="Times New Roman" w:eastAsia="Times New Roman" w:cs="Times New Roman"/>
                <w:sz w:val="24"/>
                <w:szCs w:val="24"/>
                <w:lang w:val="lv-LV" w:eastAsia="lv-LV"/>
              </w:rPr>
              <w:t>i</w:t>
            </w:r>
            <w:r w:rsidRPr="00300B77">
              <w:rPr>
                <w:rFonts w:ascii="Times New Roman" w:hAnsi="Times New Roman" w:eastAsia="Times New Roman" w:cs="Times New Roman"/>
                <w:sz w:val="24"/>
                <w:szCs w:val="24"/>
                <w:lang w:val="lv-LV" w:eastAsia="lv-LV"/>
              </w:rPr>
              <w:t xml:space="preserve"> 0,1</w:t>
            </w:r>
            <w:r>
              <w:rPr>
                <w:rFonts w:ascii="Times New Roman" w:hAnsi="Times New Roman" w:eastAsia="Times New Roman" w:cs="Times New Roman"/>
                <w:sz w:val="24"/>
                <w:szCs w:val="24"/>
                <w:lang w:val="lv-LV" w:eastAsia="lv-LV"/>
              </w:rPr>
              <w:t>7</w:t>
            </w:r>
            <w:r w:rsidRPr="00300B77">
              <w:rPr>
                <w:rFonts w:ascii="Times New Roman" w:hAnsi="Times New Roman" w:eastAsia="Times New Roman" w:cs="Times New Roman"/>
                <w:sz w:val="24"/>
                <w:szCs w:val="24"/>
                <w:lang w:val="lv-LV" w:eastAsia="lv-LV"/>
              </w:rPr>
              <w:t xml:space="preserve"> </w:t>
            </w:r>
            <w:r>
              <w:rPr>
                <w:rFonts w:ascii="Times New Roman" w:hAnsi="Times New Roman" w:eastAsia="Times New Roman" w:cs="Times New Roman"/>
                <w:sz w:val="24"/>
                <w:szCs w:val="24"/>
                <w:lang w:val="lv-LV" w:eastAsia="lv-LV"/>
              </w:rPr>
              <w:t xml:space="preserve">eiro </w:t>
            </w:r>
            <w:r w:rsidRPr="00300B77">
              <w:rPr>
                <w:rFonts w:ascii="Times New Roman" w:hAnsi="Times New Roman" w:eastAsia="Times New Roman" w:cs="Times New Roman"/>
                <w:sz w:val="24"/>
                <w:szCs w:val="24"/>
                <w:lang w:val="lv-LV" w:eastAsia="lv-LV"/>
              </w:rPr>
              <w:t>(</w:t>
            </w:r>
            <w:r>
              <w:rPr>
                <w:rFonts w:ascii="Times New Roman" w:hAnsi="Times New Roman" w:eastAsia="Times New Roman" w:cs="Times New Roman"/>
                <w:sz w:val="24"/>
                <w:szCs w:val="24"/>
                <w:lang w:val="lv-LV" w:eastAsia="lv-LV"/>
              </w:rPr>
              <w:t xml:space="preserve">tolaik, </w:t>
            </w:r>
            <w:r w:rsidRPr="00300B77">
              <w:rPr>
                <w:rFonts w:ascii="Times New Roman" w:hAnsi="Times New Roman" w:eastAsia="Times New Roman" w:cs="Times New Roman"/>
                <w:sz w:val="24"/>
                <w:szCs w:val="24"/>
                <w:lang w:val="lv-LV" w:eastAsia="lv-LV"/>
              </w:rPr>
              <w:t>0,1</w:t>
            </w:r>
            <w:r>
              <w:rPr>
                <w:rFonts w:ascii="Times New Roman" w:hAnsi="Times New Roman" w:eastAsia="Times New Roman" w:cs="Times New Roman"/>
                <w:sz w:val="24"/>
                <w:szCs w:val="24"/>
                <w:lang w:val="lv-LV" w:eastAsia="lv-LV"/>
              </w:rPr>
              <w:t>2</w:t>
            </w:r>
            <w:r w:rsidRPr="00300B77">
              <w:rPr>
                <w:rFonts w:ascii="Times New Roman" w:hAnsi="Times New Roman" w:eastAsia="Times New Roman" w:cs="Times New Roman"/>
                <w:sz w:val="24"/>
                <w:szCs w:val="24"/>
                <w:lang w:val="lv-LV" w:eastAsia="lv-LV"/>
              </w:rPr>
              <w:t xml:space="preserve"> </w:t>
            </w:r>
            <w:r>
              <w:rPr>
                <w:rFonts w:ascii="Times New Roman" w:hAnsi="Times New Roman" w:eastAsia="Times New Roman" w:cs="Times New Roman"/>
                <w:sz w:val="24"/>
                <w:szCs w:val="24"/>
                <w:lang w:val="lv-LV" w:eastAsia="lv-LV"/>
              </w:rPr>
              <w:t>latu</w:t>
            </w:r>
            <w:r w:rsidRPr="00300B77">
              <w:rPr>
                <w:rFonts w:ascii="Times New Roman" w:hAnsi="Times New Roman" w:eastAsia="Times New Roman" w:cs="Times New Roman"/>
                <w:sz w:val="24"/>
                <w:szCs w:val="24"/>
                <w:lang w:val="lv-LV" w:eastAsia="lv-LV"/>
              </w:rPr>
              <w:t xml:space="preserve">) apmērā. </w:t>
            </w:r>
            <w:r>
              <w:rPr>
                <w:rFonts w:ascii="Times New Roman" w:hAnsi="Times New Roman" w:eastAsia="Times New Roman" w:cs="Times New Roman"/>
                <w:sz w:val="24"/>
                <w:szCs w:val="24"/>
                <w:lang w:val="lv-LV" w:eastAsia="lv-LV"/>
              </w:rPr>
              <w:t xml:space="preserve">Koncepcija paredzēja arī citas bāzes likmes, proti, 0,04 un 0,24 latu, kas attiecīgi netika atbalstīti. Koncepcija tika izstrādāta periodā, kad Latvijā bija septiņu zīmju numuri un draudēja to izsmelšana. Tomēr numuru pietiekamība tika atrisināta ar citu mehānismu, jo ar </w:t>
            </w:r>
            <w:r>
              <w:rPr>
                <w:rFonts w:ascii="Times New Roman" w:hAnsi="Times New Roman" w:eastAsia="Times New Roman" w:cs="Times New Roman"/>
                <w:sz w:val="24"/>
                <w:szCs w:val="24"/>
                <w:lang w:val="lv-LV" w:eastAsia="lv-LV"/>
              </w:rPr>
              <w:lastRenderedPageBreak/>
              <w:t>2008.gada 1.augustu pilnībā tika ieviesta astoņu zīmju numerācija. Tādējādi Nodevas jautājums uz laiku palika neaktuāls, jo astoņu zīmju numerācija nodrošināja pietiekami lielas numerācijas rezerves.</w:t>
            </w:r>
            <w:r w:rsidRPr="00300B77">
              <w:rPr>
                <w:rFonts w:ascii="Times New Roman" w:hAnsi="Times New Roman" w:eastAsia="Times New Roman" w:cs="Times New Roman"/>
                <w:sz w:val="24"/>
                <w:szCs w:val="24"/>
                <w:lang w:val="lv-LV" w:eastAsia="lv-LV"/>
              </w:rPr>
              <w:t xml:space="preserve"> </w:t>
            </w:r>
          </w:p>
          <w:p w:rsidRPr="003E3608" w:rsidR="00472588" w:rsidP="00472588" w:rsidRDefault="00472588" w14:paraId="0AFBAB67" w14:textId="49F285B3">
            <w:pPr>
              <w:autoSpaceDE w:val="0"/>
              <w:autoSpaceDN w:val="0"/>
              <w:spacing w:after="0" w:line="240" w:lineRule="auto"/>
              <w:jc w:val="both"/>
              <w:rPr>
                <w:rFonts w:ascii="Times New Roman" w:hAnsi="Times New Roman" w:eastAsia="Times New Roman" w:cs="Times New Roman"/>
                <w:sz w:val="24"/>
                <w:szCs w:val="24"/>
                <w:lang w:val="lv-LV" w:eastAsia="lv-LV"/>
              </w:rPr>
            </w:pPr>
            <w:r w:rsidRPr="00300B77">
              <w:rPr>
                <w:rFonts w:ascii="Times New Roman" w:hAnsi="Times New Roman" w:eastAsia="Times New Roman" w:cs="Times New Roman"/>
                <w:sz w:val="24"/>
                <w:szCs w:val="24"/>
                <w:lang w:val="lv-LV" w:eastAsia="lv-LV"/>
              </w:rPr>
              <w:t>Šī brīža tehnoloģijas attīstības tendences</w:t>
            </w:r>
            <w:r>
              <w:rPr>
                <w:rFonts w:ascii="Times New Roman" w:hAnsi="Times New Roman" w:eastAsia="Times New Roman" w:cs="Times New Roman"/>
                <w:sz w:val="24"/>
                <w:szCs w:val="24"/>
                <w:lang w:val="lv-LV" w:eastAsia="lv-LV"/>
              </w:rPr>
              <w:t xml:space="preserve"> un Regulatora rīcībā esošā informācija par </w:t>
            </w:r>
            <w:proofErr w:type="spellStart"/>
            <w:r>
              <w:rPr>
                <w:rFonts w:ascii="Times New Roman" w:hAnsi="Times New Roman" w:eastAsia="Times New Roman" w:cs="Times New Roman"/>
                <w:sz w:val="24"/>
                <w:szCs w:val="24"/>
                <w:lang w:val="lv-LV" w:eastAsia="lv-LV"/>
              </w:rPr>
              <w:t>krāpniecību</w:t>
            </w:r>
            <w:proofErr w:type="spellEnd"/>
            <w:r>
              <w:rPr>
                <w:rFonts w:ascii="Times New Roman" w:hAnsi="Times New Roman" w:eastAsia="Times New Roman" w:cs="Times New Roman"/>
                <w:sz w:val="24"/>
                <w:szCs w:val="24"/>
                <w:lang w:val="lv-LV" w:eastAsia="lv-LV"/>
              </w:rPr>
              <w:t xml:space="preserve">, izmantojot numerāciju, </w:t>
            </w:r>
            <w:r w:rsidRPr="00145E27">
              <w:rPr>
                <w:rFonts w:ascii="Times New Roman" w:hAnsi="Times New Roman" w:eastAsia="Times New Roman" w:cs="Times New Roman"/>
                <w:sz w:val="24"/>
                <w:szCs w:val="24"/>
                <w:lang w:val="lv-LV" w:eastAsia="lv-LV"/>
              </w:rPr>
              <w:t>Direktīva</w:t>
            </w:r>
            <w:r w:rsidRPr="00145E27">
              <w:rPr>
                <w:rStyle w:val="FootnoteReference"/>
                <w:rFonts w:ascii="Times New Roman" w:hAnsi="Times New Roman" w:eastAsia="Times New Roman" w:cs="Times New Roman"/>
                <w:sz w:val="24"/>
                <w:szCs w:val="24"/>
                <w:lang w:val="lv-LV" w:eastAsia="lv-LV"/>
              </w:rPr>
              <w:footnoteReference w:id="1"/>
            </w:r>
            <w:r w:rsidRPr="00145E27">
              <w:rPr>
                <w:rFonts w:ascii="Times New Roman" w:hAnsi="Times New Roman" w:eastAsia="Times New Roman" w:cs="Times New Roman"/>
                <w:sz w:val="24"/>
                <w:szCs w:val="24"/>
                <w:lang w:val="lv-LV" w:eastAsia="lv-LV"/>
              </w:rPr>
              <w:t>,</w:t>
            </w:r>
            <w:r>
              <w:rPr>
                <w:rFonts w:ascii="Times New Roman" w:hAnsi="Times New Roman" w:eastAsia="Times New Roman" w:cs="Times New Roman"/>
                <w:sz w:val="24"/>
                <w:szCs w:val="24"/>
                <w:lang w:val="lv-LV" w:eastAsia="lv-LV"/>
              </w:rPr>
              <w:t xml:space="preserve"> kas paredz jaunu numerācijas izmantošanas ietvaru (eksteritoriāli), kā arī Regulatora apzinātais citu dalībvalstu regulējums attiecībā uz Nodevu (skatīt informatīvo ziņojumu) </w:t>
            </w:r>
            <w:r w:rsidRPr="00300B77">
              <w:rPr>
                <w:rFonts w:ascii="Times New Roman" w:hAnsi="Times New Roman" w:eastAsia="Times New Roman" w:cs="Times New Roman"/>
                <w:sz w:val="24"/>
                <w:szCs w:val="24"/>
                <w:lang w:val="lv-LV" w:eastAsia="lv-LV"/>
              </w:rPr>
              <w:t xml:space="preserve">liek pārskatīt nepieciešamību </w:t>
            </w:r>
            <w:r>
              <w:rPr>
                <w:rFonts w:ascii="Times New Roman" w:hAnsi="Times New Roman" w:eastAsia="Times New Roman" w:cs="Times New Roman"/>
                <w:sz w:val="24"/>
                <w:szCs w:val="24"/>
                <w:lang w:val="lv-LV" w:eastAsia="lv-LV"/>
              </w:rPr>
              <w:t xml:space="preserve">un lietderību </w:t>
            </w:r>
            <w:r w:rsidRPr="00300B77">
              <w:rPr>
                <w:rFonts w:ascii="Times New Roman" w:hAnsi="Times New Roman" w:eastAsia="Times New Roman" w:cs="Times New Roman"/>
                <w:sz w:val="24"/>
                <w:szCs w:val="24"/>
                <w:lang w:val="lv-LV" w:eastAsia="lv-LV"/>
              </w:rPr>
              <w:t xml:space="preserve">ieviest </w:t>
            </w:r>
            <w:r>
              <w:rPr>
                <w:rFonts w:ascii="Times New Roman" w:hAnsi="Times New Roman" w:eastAsia="Times New Roman" w:cs="Times New Roman"/>
                <w:sz w:val="24"/>
                <w:szCs w:val="24"/>
                <w:lang w:val="lv-LV" w:eastAsia="lv-LV"/>
              </w:rPr>
              <w:t xml:space="preserve">numerācijas </w:t>
            </w:r>
            <w:r w:rsidRPr="00300B77">
              <w:rPr>
                <w:rFonts w:ascii="Times New Roman" w:hAnsi="Times New Roman" w:eastAsia="Times New Roman" w:cs="Times New Roman"/>
                <w:sz w:val="24"/>
                <w:szCs w:val="24"/>
                <w:lang w:val="lv-LV" w:eastAsia="lv-LV"/>
              </w:rPr>
              <w:t>Nodevu</w:t>
            </w:r>
            <w:r>
              <w:rPr>
                <w:rFonts w:ascii="Times New Roman" w:hAnsi="Times New Roman" w:eastAsia="Times New Roman" w:cs="Times New Roman"/>
                <w:sz w:val="24"/>
                <w:szCs w:val="24"/>
                <w:lang w:val="lv-LV" w:eastAsia="lv-LV"/>
              </w:rPr>
              <w:t xml:space="preserve">, </w:t>
            </w:r>
            <w:r w:rsidRPr="00300B77">
              <w:rPr>
                <w:rFonts w:ascii="Times New Roman" w:hAnsi="Times New Roman" w:eastAsia="Times New Roman" w:cs="Times New Roman"/>
                <w:sz w:val="24"/>
                <w:szCs w:val="24"/>
                <w:lang w:val="lv-LV" w:eastAsia="lv-LV"/>
              </w:rPr>
              <w:t xml:space="preserve"> </w:t>
            </w:r>
            <w:r>
              <w:rPr>
                <w:rFonts w:ascii="Times New Roman" w:hAnsi="Times New Roman" w:eastAsia="Times New Roman" w:cs="Times New Roman"/>
                <w:sz w:val="24"/>
                <w:szCs w:val="24"/>
                <w:lang w:val="lv-LV" w:eastAsia="lv-LV"/>
              </w:rPr>
              <w:t xml:space="preserve">tādējādi sekmējot gan numerācijas, kā ierobežotā resursa efektīvu izmantošanu, gan ierobežot numerācijas eksportu uz citām valstīm, gan iespējami </w:t>
            </w:r>
            <w:r>
              <w:rPr>
                <w:rFonts w:ascii="Times New Roman" w:hAnsi="Times New Roman" w:eastAsia="Times New Roman" w:cs="Times New Roman"/>
                <w:sz w:val="24"/>
                <w:szCs w:val="24"/>
                <w:lang w:val="lv-LV" w:eastAsia="lv-LV"/>
              </w:rPr>
              <w:lastRenderedPageBreak/>
              <w:t xml:space="preserve">ierobežojot </w:t>
            </w:r>
            <w:proofErr w:type="spellStart"/>
            <w:r>
              <w:rPr>
                <w:rFonts w:ascii="Times New Roman" w:hAnsi="Times New Roman" w:eastAsia="Times New Roman" w:cs="Times New Roman"/>
                <w:sz w:val="24"/>
                <w:szCs w:val="24"/>
                <w:lang w:val="lv-LV" w:eastAsia="lv-LV"/>
              </w:rPr>
              <w:t>krāpniecību</w:t>
            </w:r>
            <w:proofErr w:type="spellEnd"/>
            <w:r>
              <w:rPr>
                <w:rFonts w:ascii="Times New Roman" w:hAnsi="Times New Roman" w:eastAsia="Times New Roman" w:cs="Times New Roman"/>
                <w:sz w:val="24"/>
                <w:szCs w:val="24"/>
                <w:lang w:val="lv-LV" w:eastAsia="lv-LV"/>
              </w:rPr>
              <w:t xml:space="preserve"> izmantojot numerāciju. </w:t>
            </w:r>
          </w:p>
          <w:p w:rsidRPr="003E3608" w:rsidR="00472588" w:rsidP="00472588" w:rsidRDefault="00472588" w14:paraId="36C6F6E4" w14:textId="5149564E">
            <w:pPr>
              <w:autoSpaceDE w:val="0"/>
              <w:autoSpaceDN w:val="0"/>
              <w:spacing w:after="0" w:line="240" w:lineRule="auto"/>
              <w:jc w:val="both"/>
              <w:rPr>
                <w:rFonts w:ascii="Times New Roman" w:hAnsi="Times New Roman" w:eastAsia="Times New Roman" w:cs="Times New Roman"/>
                <w:sz w:val="24"/>
                <w:szCs w:val="24"/>
                <w:lang w:val="lv-LV" w:eastAsia="lv-LV"/>
              </w:rPr>
            </w:pPr>
            <w:r w:rsidRPr="003E3608">
              <w:rPr>
                <w:rFonts w:ascii="Times New Roman" w:hAnsi="Times New Roman" w:eastAsia="Times New Roman" w:cs="Times New Roman"/>
                <w:sz w:val="24"/>
                <w:szCs w:val="24"/>
                <w:lang w:val="lv-LV" w:eastAsia="lv-LV"/>
              </w:rPr>
              <w:t xml:space="preserve">Attiecībā par Nodevas ieviešanu, norādāms, ka </w:t>
            </w:r>
            <w:r>
              <w:rPr>
                <w:rFonts w:ascii="Times New Roman" w:hAnsi="Times New Roman" w:eastAsia="Times New Roman" w:cs="Times New Roman"/>
                <w:sz w:val="24"/>
                <w:szCs w:val="24"/>
                <w:lang w:val="lv-LV" w:eastAsia="lv-LV"/>
              </w:rPr>
              <w:t>ieviešana būtu jāveic</w:t>
            </w:r>
            <w:r w:rsidRPr="003E3608">
              <w:rPr>
                <w:rFonts w:ascii="Times New Roman" w:hAnsi="Times New Roman" w:eastAsia="Times New Roman" w:cs="Times New Roman"/>
                <w:sz w:val="24"/>
                <w:szCs w:val="24"/>
                <w:lang w:val="lv-LV" w:eastAsia="lv-LV"/>
              </w:rPr>
              <w:t xml:space="preserve"> pakāpeniski</w:t>
            </w:r>
            <w:r>
              <w:rPr>
                <w:rFonts w:ascii="Times New Roman" w:hAnsi="Times New Roman" w:eastAsia="Times New Roman" w:cs="Times New Roman"/>
                <w:sz w:val="24"/>
                <w:szCs w:val="24"/>
                <w:lang w:val="lv-LV" w:eastAsia="lv-LV"/>
              </w:rPr>
              <w:t>, saskaņojot termiņus ar nozari.</w:t>
            </w:r>
            <w:r w:rsidRPr="003E3608">
              <w:rPr>
                <w:rFonts w:ascii="Times New Roman" w:hAnsi="Times New Roman" w:eastAsia="Times New Roman" w:cs="Times New Roman"/>
                <w:sz w:val="24"/>
                <w:szCs w:val="24"/>
                <w:lang w:val="lv-LV" w:eastAsia="lv-LV"/>
              </w:rPr>
              <w:t xml:space="preserve"> </w:t>
            </w:r>
            <w:r>
              <w:rPr>
                <w:rFonts w:ascii="Times New Roman" w:hAnsi="Times New Roman" w:eastAsia="Times New Roman" w:cs="Times New Roman"/>
                <w:sz w:val="24"/>
                <w:szCs w:val="24"/>
                <w:lang w:val="lv-LV" w:eastAsia="lv-LV"/>
              </w:rPr>
              <w:t>Šobrīd indikatīvie termiņi -</w:t>
            </w:r>
            <w:r w:rsidRPr="003E3608">
              <w:rPr>
                <w:rFonts w:ascii="Times New Roman" w:hAnsi="Times New Roman" w:eastAsia="Times New Roman" w:cs="Times New Roman"/>
                <w:sz w:val="24"/>
                <w:szCs w:val="24"/>
                <w:lang w:val="lv-LV" w:eastAsia="lv-LV"/>
              </w:rPr>
              <w:t xml:space="preserve"> 202</w:t>
            </w:r>
            <w:r>
              <w:rPr>
                <w:rFonts w:ascii="Times New Roman" w:hAnsi="Times New Roman" w:eastAsia="Times New Roman" w:cs="Times New Roman"/>
                <w:sz w:val="24"/>
                <w:szCs w:val="24"/>
                <w:lang w:val="lv-LV" w:eastAsia="lv-LV"/>
              </w:rPr>
              <w:t>1</w:t>
            </w:r>
            <w:r w:rsidRPr="003E3608">
              <w:rPr>
                <w:rFonts w:ascii="Times New Roman" w:hAnsi="Times New Roman" w:eastAsia="Times New Roman" w:cs="Times New Roman"/>
                <w:sz w:val="24"/>
                <w:szCs w:val="24"/>
                <w:lang w:val="lv-LV" w:eastAsia="lv-LV"/>
              </w:rPr>
              <w:t>.gada 1.janvāri</w:t>
            </w:r>
            <w:r>
              <w:rPr>
                <w:rFonts w:ascii="Times New Roman" w:hAnsi="Times New Roman" w:eastAsia="Times New Roman" w:cs="Times New Roman"/>
                <w:sz w:val="24"/>
                <w:szCs w:val="24"/>
                <w:lang w:val="lv-LV" w:eastAsia="lv-LV"/>
              </w:rPr>
              <w:t>s</w:t>
            </w:r>
            <w:r w:rsidRPr="003E3608">
              <w:rPr>
                <w:rFonts w:ascii="Times New Roman" w:hAnsi="Times New Roman" w:eastAsia="Times New Roman" w:cs="Times New Roman"/>
                <w:sz w:val="24"/>
                <w:szCs w:val="24"/>
                <w:lang w:val="lv-LV" w:eastAsia="lv-LV"/>
              </w:rPr>
              <w:t xml:space="preserve"> pakalpojuma numuriem (bezmaksas izsaukuma pakalpojuma numuri, dalītās samaksas pakalpojuma numuri, papildu samaksas pakalpojuma numuri un citu veidu pakalpojumu numuri) un </w:t>
            </w:r>
            <w:proofErr w:type="spellStart"/>
            <w:r w:rsidRPr="00145E27">
              <w:rPr>
                <w:rFonts w:ascii="Times New Roman" w:hAnsi="Times New Roman" w:eastAsia="Times New Roman" w:cs="Times New Roman"/>
                <w:i/>
                <w:iCs/>
                <w:sz w:val="24"/>
                <w:szCs w:val="24"/>
                <w:lang w:val="lv-LV" w:eastAsia="lv-LV"/>
              </w:rPr>
              <w:t>IoT</w:t>
            </w:r>
            <w:proofErr w:type="spellEnd"/>
            <w:r w:rsidRPr="00145E27">
              <w:rPr>
                <w:rFonts w:ascii="Times New Roman" w:hAnsi="Times New Roman" w:eastAsia="Times New Roman" w:cs="Times New Roman"/>
                <w:i/>
                <w:iCs/>
                <w:sz w:val="24"/>
                <w:szCs w:val="24"/>
                <w:lang w:val="lv-LV" w:eastAsia="lv-LV"/>
              </w:rPr>
              <w:t>/M2M</w:t>
            </w:r>
            <w:r w:rsidRPr="003E3608">
              <w:rPr>
                <w:rFonts w:ascii="Times New Roman" w:hAnsi="Times New Roman" w:eastAsia="Times New Roman" w:cs="Times New Roman"/>
                <w:sz w:val="24"/>
                <w:szCs w:val="24"/>
                <w:lang w:val="lv-LV" w:eastAsia="lv-LV"/>
              </w:rPr>
              <w:t xml:space="preserve"> pakalpojuma numuriem, un 202</w:t>
            </w:r>
            <w:r>
              <w:rPr>
                <w:rFonts w:ascii="Times New Roman" w:hAnsi="Times New Roman" w:eastAsia="Times New Roman" w:cs="Times New Roman"/>
                <w:sz w:val="24"/>
                <w:szCs w:val="24"/>
                <w:lang w:val="lv-LV" w:eastAsia="lv-LV"/>
              </w:rPr>
              <w:t>2</w:t>
            </w:r>
            <w:r w:rsidRPr="003E3608">
              <w:rPr>
                <w:rFonts w:ascii="Times New Roman" w:hAnsi="Times New Roman" w:eastAsia="Times New Roman" w:cs="Times New Roman"/>
                <w:sz w:val="24"/>
                <w:szCs w:val="24"/>
                <w:lang w:val="lv-LV" w:eastAsia="lv-LV"/>
              </w:rPr>
              <w:t>.gada 1.janvār</w:t>
            </w:r>
            <w:r>
              <w:rPr>
                <w:rFonts w:ascii="Times New Roman" w:hAnsi="Times New Roman" w:eastAsia="Times New Roman" w:cs="Times New Roman"/>
                <w:sz w:val="24"/>
                <w:szCs w:val="24"/>
                <w:lang w:val="lv-LV" w:eastAsia="lv-LV"/>
              </w:rPr>
              <w:t>is</w:t>
            </w:r>
            <w:r w:rsidRPr="003E3608">
              <w:rPr>
                <w:rFonts w:ascii="Times New Roman" w:hAnsi="Times New Roman" w:eastAsia="Times New Roman" w:cs="Times New Roman"/>
                <w:sz w:val="24"/>
                <w:szCs w:val="24"/>
                <w:lang w:val="lv-LV" w:eastAsia="lv-LV"/>
              </w:rPr>
              <w:t xml:space="preserve"> nacionālajiem numuriem (publiskā fiksētā un publiskā mobilā telefonu tīkla numuri). </w:t>
            </w:r>
            <w:r>
              <w:rPr>
                <w:rFonts w:ascii="Times New Roman" w:hAnsi="Times New Roman" w:eastAsia="Times New Roman" w:cs="Times New Roman"/>
                <w:sz w:val="24"/>
                <w:szCs w:val="24"/>
                <w:lang w:val="lv-LV" w:eastAsia="lv-LV"/>
              </w:rPr>
              <w:t>Turklāt, ievērojot nepieciešamo numuru skaitu,</w:t>
            </w:r>
            <w:r w:rsidRPr="003E3608">
              <w:rPr>
                <w:rFonts w:ascii="Times New Roman" w:hAnsi="Times New Roman" w:eastAsia="Times New Roman" w:cs="Times New Roman"/>
                <w:sz w:val="24"/>
                <w:szCs w:val="24"/>
                <w:lang w:val="lv-LV" w:eastAsia="lv-LV"/>
              </w:rPr>
              <w:t xml:space="preserve"> </w:t>
            </w:r>
            <w:proofErr w:type="spellStart"/>
            <w:r w:rsidRPr="00145E27">
              <w:rPr>
                <w:rFonts w:ascii="Times New Roman" w:hAnsi="Times New Roman" w:eastAsia="Times New Roman" w:cs="Times New Roman"/>
                <w:i/>
                <w:iCs/>
                <w:sz w:val="24"/>
                <w:szCs w:val="24"/>
                <w:lang w:val="lv-LV" w:eastAsia="lv-LV"/>
              </w:rPr>
              <w:t>IoT</w:t>
            </w:r>
            <w:proofErr w:type="spellEnd"/>
            <w:r w:rsidRPr="00145E27">
              <w:rPr>
                <w:rFonts w:ascii="Times New Roman" w:hAnsi="Times New Roman" w:eastAsia="Times New Roman" w:cs="Times New Roman"/>
                <w:i/>
                <w:iCs/>
                <w:sz w:val="24"/>
                <w:szCs w:val="24"/>
                <w:lang w:val="lv-LV" w:eastAsia="lv-LV"/>
              </w:rPr>
              <w:t>/M2M</w:t>
            </w:r>
            <w:r w:rsidRPr="003E3608">
              <w:rPr>
                <w:rFonts w:ascii="Times New Roman" w:hAnsi="Times New Roman" w:eastAsia="Times New Roman" w:cs="Times New Roman"/>
                <w:sz w:val="24"/>
                <w:szCs w:val="24"/>
                <w:lang w:val="lv-LV" w:eastAsia="lv-LV"/>
              </w:rPr>
              <w:t xml:space="preserve"> pakalpojuma numuriem </w:t>
            </w:r>
            <w:r>
              <w:rPr>
                <w:rFonts w:ascii="Times New Roman" w:hAnsi="Times New Roman" w:eastAsia="Times New Roman" w:cs="Times New Roman"/>
                <w:sz w:val="24"/>
                <w:szCs w:val="24"/>
                <w:lang w:val="lv-LV" w:eastAsia="lv-LV"/>
              </w:rPr>
              <w:t xml:space="preserve">un </w:t>
            </w:r>
            <w:r w:rsidRPr="003E3608">
              <w:rPr>
                <w:rFonts w:ascii="Times New Roman" w:hAnsi="Times New Roman" w:eastAsia="Times New Roman" w:cs="Times New Roman"/>
                <w:sz w:val="24"/>
                <w:szCs w:val="24"/>
                <w:lang w:val="lv-LV" w:eastAsia="lv-LV"/>
              </w:rPr>
              <w:t xml:space="preserve"> publiskā fiksētā un publiskā mobilā telefonu tīkla numuriem</w:t>
            </w:r>
            <w:r>
              <w:rPr>
                <w:rFonts w:ascii="Times New Roman" w:hAnsi="Times New Roman" w:eastAsia="Times New Roman" w:cs="Times New Roman"/>
                <w:sz w:val="24"/>
                <w:szCs w:val="24"/>
                <w:lang w:val="lv-LV" w:eastAsia="lv-LV"/>
              </w:rPr>
              <w:t xml:space="preserve"> Nodevas apmēri plānoti atšķirīgi, ievērojot to daudzuma nepieciešamību pakalpojumu sniegšanai, </w:t>
            </w:r>
            <w:r>
              <w:rPr>
                <w:rFonts w:ascii="Times New Roman" w:hAnsi="Times New Roman" w:eastAsia="Times New Roman" w:cs="Times New Roman"/>
                <w:sz w:val="24"/>
                <w:szCs w:val="24"/>
                <w:lang w:val="lv-LV" w:eastAsia="lv-LV"/>
              </w:rPr>
              <w:lastRenderedPageBreak/>
              <w:t>vismazākā Nodeva būtu piemērojama eksteritoriālajiem numuriem ar 11 vai 12 zīmēm.</w:t>
            </w:r>
            <w:r w:rsidRPr="003E3608">
              <w:rPr>
                <w:rFonts w:ascii="Times New Roman" w:hAnsi="Times New Roman" w:eastAsia="Times New Roman" w:cs="Times New Roman"/>
                <w:sz w:val="24"/>
                <w:szCs w:val="24"/>
                <w:lang w:val="lv-LV" w:eastAsia="lv-LV"/>
              </w:rPr>
              <w:t xml:space="preserve"> </w:t>
            </w:r>
            <w:r w:rsidRPr="00852D0E">
              <w:rPr>
                <w:rFonts w:ascii="Times New Roman" w:hAnsi="Times New Roman" w:eastAsia="Times New Roman" w:cs="Times New Roman"/>
                <w:sz w:val="24"/>
                <w:szCs w:val="24"/>
                <w:lang w:val="lv-LV" w:eastAsia="lv-LV"/>
              </w:rPr>
              <w:t xml:space="preserve">Regulators norāda, ka </w:t>
            </w:r>
            <w:r>
              <w:rPr>
                <w:rFonts w:ascii="Times New Roman" w:hAnsi="Times New Roman" w:eastAsia="Times New Roman" w:cs="Times New Roman"/>
                <w:sz w:val="24"/>
                <w:szCs w:val="24"/>
                <w:lang w:val="lv-LV" w:eastAsia="lv-LV"/>
              </w:rPr>
              <w:t>N</w:t>
            </w:r>
            <w:r w:rsidRPr="00852D0E">
              <w:rPr>
                <w:rFonts w:ascii="Times New Roman" w:hAnsi="Times New Roman" w:eastAsia="Times New Roman" w:cs="Times New Roman"/>
                <w:sz w:val="24"/>
                <w:szCs w:val="24"/>
                <w:lang w:val="lv-LV" w:eastAsia="lv-LV"/>
              </w:rPr>
              <w:t xml:space="preserve">odevas ieviešana plānotajā piedāvātajā apmērā ļaus papildināt valsts budžetu aptuveni par 1 000 000 </w:t>
            </w:r>
            <w:r>
              <w:rPr>
                <w:rFonts w:ascii="Times New Roman" w:hAnsi="Times New Roman" w:eastAsia="Times New Roman" w:cs="Times New Roman"/>
                <w:sz w:val="24"/>
                <w:szCs w:val="24"/>
                <w:lang w:val="lv-LV" w:eastAsia="lv-LV"/>
              </w:rPr>
              <w:t>eiro</w:t>
            </w:r>
            <w:r w:rsidRPr="00852D0E">
              <w:rPr>
                <w:rFonts w:ascii="Times New Roman" w:hAnsi="Times New Roman" w:eastAsia="Times New Roman" w:cs="Times New Roman"/>
                <w:sz w:val="24"/>
                <w:szCs w:val="24"/>
                <w:lang w:val="lv-LV" w:eastAsia="lv-LV"/>
              </w:rPr>
              <w:t xml:space="preserve"> gadā</w:t>
            </w:r>
            <w:r>
              <w:rPr>
                <w:rFonts w:ascii="Times New Roman" w:hAnsi="Times New Roman" w:eastAsia="Times New Roman" w:cs="Times New Roman"/>
                <w:sz w:val="24"/>
                <w:szCs w:val="24"/>
                <w:lang w:val="lv-LV" w:eastAsia="lv-LV"/>
              </w:rPr>
              <w:t>.</w:t>
            </w:r>
            <w:r w:rsidRPr="003E3608">
              <w:rPr>
                <w:rFonts w:ascii="Times New Roman" w:hAnsi="Times New Roman" w:eastAsia="Times New Roman" w:cs="Times New Roman"/>
                <w:sz w:val="24"/>
                <w:szCs w:val="24"/>
                <w:lang w:val="lv-LV" w:eastAsia="lv-LV"/>
              </w:rPr>
              <w:t xml:space="preserve"> </w:t>
            </w:r>
          </w:p>
          <w:p w:rsidRPr="003E3608" w:rsidR="00472588" w:rsidP="00472588" w:rsidRDefault="00472588" w14:paraId="09FA6B36"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r w:rsidRPr="003E3608">
              <w:rPr>
                <w:rFonts w:ascii="Times New Roman" w:hAnsi="Times New Roman" w:eastAsia="Times New Roman" w:cs="Times New Roman"/>
                <w:sz w:val="24"/>
                <w:szCs w:val="24"/>
                <w:lang w:val="lv-LV" w:eastAsia="lv-LV"/>
              </w:rPr>
              <w:t>Visās Eiropas Savienības dalībvalstīs, izņemot Īriju, Austrijas Republiku un Latvijas Republiku, tiek noteikta ikgadējā Nodeva par numerācijas izmantošanu gandrīz visiem numerācijas veidiem.</w:t>
            </w:r>
          </w:p>
          <w:p w:rsidRPr="003E3608" w:rsidR="00472588" w:rsidP="00472588" w:rsidRDefault="00472588" w14:paraId="2F42A575" w14:textId="40902D2B">
            <w:pPr>
              <w:autoSpaceDE w:val="0"/>
              <w:autoSpaceDN w:val="0"/>
              <w:spacing w:after="0" w:line="240" w:lineRule="auto"/>
              <w:jc w:val="both"/>
              <w:rPr>
                <w:rFonts w:ascii="Times New Roman" w:hAnsi="Times New Roman" w:eastAsia="Times New Roman" w:cs="Times New Roman"/>
                <w:sz w:val="24"/>
                <w:szCs w:val="24"/>
                <w:lang w:val="lv-LV" w:eastAsia="lv-LV"/>
              </w:rPr>
            </w:pPr>
            <w:r w:rsidRPr="003E3608">
              <w:rPr>
                <w:rFonts w:ascii="Times New Roman" w:hAnsi="Times New Roman" w:eastAsia="Times New Roman" w:cs="Times New Roman"/>
                <w:sz w:val="24"/>
                <w:szCs w:val="24"/>
                <w:lang w:val="lv-LV" w:eastAsia="lv-LV"/>
              </w:rPr>
              <w:t xml:space="preserve">Lai vienkāršotu valsts regulatīvo vai citu kompetento iestāžu veikto uzraudzību attiecībā uz Direktīvā noteikto prasību ievērošanu, </w:t>
            </w:r>
            <w:r w:rsidRPr="00145E27">
              <w:rPr>
                <w:rFonts w:ascii="Times New Roman" w:hAnsi="Times New Roman" w:eastAsia="Times New Roman" w:cs="Times New Roman"/>
                <w:i/>
                <w:iCs/>
                <w:sz w:val="24"/>
                <w:szCs w:val="24"/>
                <w:lang w:val="lv-LV" w:eastAsia="lv-LV"/>
              </w:rPr>
              <w:t>BEREC</w:t>
            </w:r>
            <w:r w:rsidRPr="003E3608">
              <w:rPr>
                <w:rFonts w:ascii="Times New Roman" w:hAnsi="Times New Roman" w:eastAsia="Times New Roman" w:cs="Times New Roman"/>
                <w:sz w:val="24"/>
                <w:szCs w:val="24"/>
                <w:lang w:val="lv-LV" w:eastAsia="lv-LV"/>
              </w:rPr>
              <w:t xml:space="preserve"> izveido</w:t>
            </w:r>
            <w:r>
              <w:rPr>
                <w:rFonts w:ascii="Times New Roman" w:hAnsi="Times New Roman" w:eastAsia="Times New Roman" w:cs="Times New Roman"/>
                <w:sz w:val="24"/>
                <w:szCs w:val="24"/>
                <w:lang w:val="lv-LV" w:eastAsia="lv-LV"/>
              </w:rPr>
              <w:t>s</w:t>
            </w:r>
            <w:r w:rsidRPr="003E3608">
              <w:rPr>
                <w:rFonts w:ascii="Times New Roman" w:hAnsi="Times New Roman" w:eastAsia="Times New Roman" w:cs="Times New Roman"/>
                <w:sz w:val="24"/>
                <w:szCs w:val="24"/>
                <w:lang w:val="lv-LV" w:eastAsia="lv-LV"/>
              </w:rPr>
              <w:t xml:space="preserve"> datubāzi numerācijas resursiem, kuri Eiropas Savienībā var tikt izmantoti eksteritoriāli. Šim nolūkam valsts regulatīvās vai citas kompetentās iestādes sniedz </w:t>
            </w:r>
            <w:r w:rsidRPr="00145E27">
              <w:rPr>
                <w:rFonts w:ascii="Times New Roman" w:hAnsi="Times New Roman" w:eastAsia="Times New Roman" w:cs="Times New Roman"/>
                <w:i/>
                <w:iCs/>
                <w:sz w:val="24"/>
                <w:szCs w:val="24"/>
                <w:lang w:val="lv-LV" w:eastAsia="lv-LV"/>
              </w:rPr>
              <w:t>BEREC</w:t>
            </w:r>
            <w:r w:rsidRPr="003E3608">
              <w:rPr>
                <w:rFonts w:ascii="Times New Roman" w:hAnsi="Times New Roman" w:eastAsia="Times New Roman" w:cs="Times New Roman"/>
                <w:sz w:val="24"/>
                <w:szCs w:val="24"/>
                <w:lang w:val="lv-LV" w:eastAsia="lv-LV"/>
              </w:rPr>
              <w:t xml:space="preserve"> attiecīgo </w:t>
            </w:r>
            <w:r w:rsidRPr="003E3608">
              <w:rPr>
                <w:rFonts w:ascii="Times New Roman" w:hAnsi="Times New Roman" w:eastAsia="Times New Roman" w:cs="Times New Roman"/>
                <w:sz w:val="24"/>
                <w:szCs w:val="24"/>
                <w:lang w:val="lv-LV" w:eastAsia="lv-LV"/>
              </w:rPr>
              <w:lastRenderedPageBreak/>
              <w:t xml:space="preserve">informāciju. Izpildot Direktīvā noteikto un izdalot Latvijas Republikas numerācijas plānā </w:t>
            </w:r>
            <w:proofErr w:type="spellStart"/>
            <w:r w:rsidRPr="00145E27">
              <w:rPr>
                <w:rFonts w:ascii="Times New Roman" w:hAnsi="Times New Roman" w:eastAsia="Times New Roman" w:cs="Times New Roman"/>
                <w:i/>
                <w:iCs/>
                <w:sz w:val="24"/>
                <w:szCs w:val="24"/>
                <w:lang w:val="lv-LV" w:eastAsia="lv-LV"/>
              </w:rPr>
              <w:t>IoT</w:t>
            </w:r>
            <w:proofErr w:type="spellEnd"/>
            <w:r w:rsidRPr="00145E27">
              <w:rPr>
                <w:rFonts w:ascii="Times New Roman" w:hAnsi="Times New Roman" w:eastAsia="Times New Roman" w:cs="Times New Roman"/>
                <w:i/>
                <w:iCs/>
                <w:sz w:val="24"/>
                <w:szCs w:val="24"/>
                <w:lang w:val="lv-LV" w:eastAsia="lv-LV"/>
              </w:rPr>
              <w:t>/M2M</w:t>
            </w:r>
            <w:r w:rsidRPr="003E3608">
              <w:rPr>
                <w:rFonts w:ascii="Times New Roman" w:hAnsi="Times New Roman" w:eastAsia="Times New Roman" w:cs="Times New Roman"/>
                <w:sz w:val="24"/>
                <w:szCs w:val="24"/>
                <w:lang w:val="lv-LV" w:eastAsia="lv-LV"/>
              </w:rPr>
              <w:t xml:space="preserve"> numerācijai atsevišķu diapazonu eksteritoriālai lietošanai Eiropas Ekonomiskās zonas ietvaros,</w:t>
            </w:r>
            <w:r>
              <w:rPr>
                <w:rFonts w:ascii="Times New Roman" w:hAnsi="Times New Roman" w:eastAsia="Times New Roman" w:cs="Times New Roman"/>
                <w:sz w:val="24"/>
                <w:szCs w:val="24"/>
                <w:lang w:val="lv-LV" w:eastAsia="lv-LV"/>
              </w:rPr>
              <w:t xml:space="preserve"> Regulatora ieskatā</w:t>
            </w:r>
            <w:r w:rsidRPr="003E3608">
              <w:rPr>
                <w:rFonts w:ascii="Times New Roman" w:hAnsi="Times New Roman" w:eastAsia="Times New Roman" w:cs="Times New Roman"/>
                <w:sz w:val="24"/>
                <w:szCs w:val="24"/>
                <w:lang w:val="lv-LV" w:eastAsia="lv-LV"/>
              </w:rPr>
              <w:t xml:space="preserve"> palielinās risks, ka Latvijas Republikas nacionālie numuri pastiprināti tiks izmantoti </w:t>
            </w:r>
            <w:proofErr w:type="spellStart"/>
            <w:r w:rsidRPr="003E3608">
              <w:rPr>
                <w:rFonts w:ascii="Times New Roman" w:hAnsi="Times New Roman" w:eastAsia="Times New Roman" w:cs="Times New Roman"/>
                <w:sz w:val="24"/>
                <w:szCs w:val="24"/>
                <w:lang w:val="lv-LV" w:eastAsia="lv-LV"/>
              </w:rPr>
              <w:t>krāpniecības</w:t>
            </w:r>
            <w:proofErr w:type="spellEnd"/>
            <w:r w:rsidRPr="003E3608">
              <w:rPr>
                <w:rFonts w:ascii="Times New Roman" w:hAnsi="Times New Roman" w:eastAsia="Times New Roman" w:cs="Times New Roman"/>
                <w:sz w:val="24"/>
                <w:szCs w:val="24"/>
                <w:lang w:val="lv-LV" w:eastAsia="lv-LV"/>
              </w:rPr>
              <w:t xml:space="preserve"> gadījumos, jo numerācijas lietošanas tiesības kā ierobežotais resurss elektronisko sakaru komersantiem tiek piešķirts bez maksas.</w:t>
            </w:r>
          </w:p>
        </w:tc>
        <w:tc>
          <w:tcPr>
            <w:tcW w:w="2710" w:type="dxa"/>
            <w:tcBorders>
              <w:right w:val="single" w:color="auto" w:sz="4" w:space="0"/>
            </w:tcBorders>
          </w:tcPr>
          <w:p w:rsidRPr="00E06865" w:rsidR="00472588" w:rsidP="00472588" w:rsidRDefault="00472588" w14:paraId="08CB676E"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E06865">
              <w:rPr>
                <w:rFonts w:ascii="Times New Roman" w:hAnsi="Times New Roman" w:eastAsia="Times New Roman" w:cs="Times New Roman"/>
                <w:b/>
                <w:sz w:val="24"/>
                <w:szCs w:val="24"/>
                <w:lang w:val="lv-LV" w:eastAsia="lv-LV"/>
              </w:rPr>
              <w:lastRenderedPageBreak/>
              <w:t>Latvijas Informācijas un komunikācijas tehnoloģiju asociācija (LIKTA) un Latvijas Darba devēju konfederācija (LDDK)</w:t>
            </w:r>
          </w:p>
          <w:p w:rsidRPr="00E06865" w:rsidR="00472588" w:rsidP="00472588" w:rsidRDefault="00472588" w14:paraId="265746A0" w14:textId="7E4B9E68">
            <w:pPr>
              <w:autoSpaceDE w:val="0"/>
              <w:autoSpaceDN w:val="0"/>
              <w:spacing w:after="0" w:line="240" w:lineRule="auto"/>
              <w:jc w:val="both"/>
              <w:rPr>
                <w:rFonts w:ascii="Times New Roman" w:hAnsi="Times New Roman" w:eastAsia="Times New Roman" w:cs="Times New Roman"/>
                <w:b/>
                <w:sz w:val="24"/>
                <w:szCs w:val="24"/>
                <w:lang w:val="lv-LV" w:eastAsia="lv-LV"/>
              </w:rPr>
            </w:pPr>
            <w:r w:rsidRPr="00E06865">
              <w:rPr>
                <w:rFonts w:ascii="Times New Roman" w:hAnsi="Times New Roman" w:eastAsia="Times New Roman" w:cs="Times New Roman"/>
                <w:b/>
                <w:sz w:val="24"/>
                <w:szCs w:val="24"/>
                <w:lang w:val="lv-LV" w:eastAsia="lv-LV"/>
              </w:rPr>
              <w:t>27.11.2019.</w:t>
            </w:r>
          </w:p>
          <w:p w:rsidR="00472588" w:rsidP="00472588" w:rsidRDefault="00472588" w14:paraId="31E4B4BB" w14:textId="77777777">
            <w:pPr>
              <w:autoSpaceDE w:val="0"/>
              <w:autoSpaceDN w:val="0"/>
              <w:spacing w:after="0" w:line="240" w:lineRule="auto"/>
              <w:jc w:val="both"/>
              <w:rPr>
                <w:rFonts w:ascii="Times New Roman" w:hAnsi="Times New Roman" w:eastAsia="Times New Roman" w:cs="Times New Roman"/>
                <w:bCs/>
                <w:sz w:val="24"/>
                <w:szCs w:val="24"/>
                <w:lang w:val="lv-LV" w:eastAsia="lv-LV"/>
              </w:rPr>
            </w:pPr>
          </w:p>
          <w:p w:rsidRPr="00160E46" w:rsidR="00472588" w:rsidP="00472588" w:rsidRDefault="00472588" w14:paraId="24E35A98" w14:textId="7D3D409D">
            <w:pPr>
              <w:autoSpaceDE w:val="0"/>
              <w:autoSpaceDN w:val="0"/>
              <w:spacing w:after="0" w:line="240" w:lineRule="auto"/>
              <w:jc w:val="both"/>
              <w:rPr>
                <w:rFonts w:ascii="Times New Roman" w:hAnsi="Times New Roman" w:eastAsia="Times New Roman" w:cs="Times New Roman"/>
                <w:bCs/>
                <w:sz w:val="24"/>
                <w:szCs w:val="24"/>
                <w:lang w:val="lv-LV" w:eastAsia="lv-LV"/>
              </w:rPr>
            </w:pPr>
            <w:r w:rsidRPr="00160E46">
              <w:rPr>
                <w:rFonts w:ascii="Times New Roman" w:hAnsi="Times New Roman" w:eastAsia="Times New Roman" w:cs="Times New Roman"/>
                <w:bCs/>
                <w:sz w:val="24"/>
                <w:szCs w:val="24"/>
                <w:lang w:val="lv-LV" w:eastAsia="lv-LV"/>
              </w:rPr>
              <w:t xml:space="preserve">Numerācijas nodevas plašāka piemērošana nepalīdz risināt arī problēmas ar </w:t>
            </w:r>
            <w:proofErr w:type="spellStart"/>
            <w:r w:rsidRPr="00160E46">
              <w:rPr>
                <w:rFonts w:ascii="Times New Roman" w:hAnsi="Times New Roman" w:eastAsia="Times New Roman" w:cs="Times New Roman"/>
                <w:bCs/>
                <w:sz w:val="24"/>
                <w:szCs w:val="24"/>
                <w:lang w:val="lv-LV" w:eastAsia="lv-LV"/>
              </w:rPr>
              <w:t>krāpniecību</w:t>
            </w:r>
            <w:proofErr w:type="spellEnd"/>
            <w:r w:rsidRPr="00160E46">
              <w:rPr>
                <w:rFonts w:ascii="Times New Roman" w:hAnsi="Times New Roman" w:eastAsia="Times New Roman" w:cs="Times New Roman"/>
                <w:bCs/>
                <w:sz w:val="24"/>
                <w:szCs w:val="24"/>
                <w:lang w:val="lv-LV" w:eastAsia="lv-LV"/>
              </w:rPr>
              <w:t xml:space="preserve">, jo potenciālajiem krāpniekiem šādas nodevas apmērs būtu finansiāli maznozīmīgs. Vēl jo vairāk, krāpnieki savā darbībā brīvi izmanto arī tiem nepiešķirtus numurus. Nodevas slogs pēc būtības ietekmētu vienīgi lielos sakaru komersantus, kuru darbībā nav </w:t>
            </w:r>
            <w:r w:rsidRPr="00160E46">
              <w:rPr>
                <w:rFonts w:ascii="Times New Roman" w:hAnsi="Times New Roman" w:eastAsia="Times New Roman" w:cs="Times New Roman"/>
                <w:bCs/>
                <w:sz w:val="24"/>
                <w:szCs w:val="24"/>
                <w:lang w:val="lv-LV" w:eastAsia="lv-LV"/>
              </w:rPr>
              <w:lastRenderedPageBreak/>
              <w:t xml:space="preserve">konstatējamas problēmas ar </w:t>
            </w:r>
            <w:proofErr w:type="spellStart"/>
            <w:r w:rsidRPr="00160E46">
              <w:rPr>
                <w:rFonts w:ascii="Times New Roman" w:hAnsi="Times New Roman" w:eastAsia="Times New Roman" w:cs="Times New Roman"/>
                <w:bCs/>
                <w:sz w:val="24"/>
                <w:szCs w:val="24"/>
                <w:lang w:val="lv-LV" w:eastAsia="lv-LV"/>
              </w:rPr>
              <w:t>krāpniecību</w:t>
            </w:r>
            <w:proofErr w:type="spellEnd"/>
            <w:r w:rsidRPr="00160E46">
              <w:rPr>
                <w:rFonts w:ascii="Times New Roman" w:hAnsi="Times New Roman" w:eastAsia="Times New Roman" w:cs="Times New Roman"/>
                <w:bCs/>
                <w:sz w:val="24"/>
                <w:szCs w:val="24"/>
                <w:lang w:val="lv-LV" w:eastAsia="lv-LV"/>
              </w:rPr>
              <w:t>.</w:t>
            </w:r>
          </w:p>
          <w:p w:rsidRPr="00160E46" w:rsidR="00472588" w:rsidP="00472588" w:rsidRDefault="00C20139" w14:paraId="41173AA2" w14:textId="1C5907A4">
            <w:pPr>
              <w:autoSpaceDE w:val="0"/>
              <w:autoSpaceDN w:val="0"/>
              <w:spacing w:after="0" w:line="240" w:lineRule="auto"/>
              <w:jc w:val="both"/>
              <w:rPr>
                <w:rFonts w:ascii="Times New Roman" w:hAnsi="Times New Roman" w:eastAsia="Times New Roman" w:cs="Times New Roman"/>
                <w:bCs/>
                <w:sz w:val="24"/>
                <w:szCs w:val="24"/>
                <w:lang w:val="lv-LV" w:eastAsia="lv-LV"/>
              </w:rPr>
            </w:pPr>
            <w:r>
              <w:rPr>
                <w:rFonts w:ascii="Times New Roman" w:hAnsi="Times New Roman" w:eastAsia="Times New Roman" w:cs="Times New Roman"/>
                <w:bCs/>
                <w:sz w:val="24"/>
                <w:szCs w:val="24"/>
                <w:lang w:val="lv-LV" w:eastAsia="lv-LV"/>
              </w:rPr>
              <w:t>Tiek</w:t>
            </w:r>
            <w:r w:rsidRPr="00160E46" w:rsidR="00472588">
              <w:rPr>
                <w:rFonts w:ascii="Times New Roman" w:hAnsi="Times New Roman" w:eastAsia="Times New Roman" w:cs="Times New Roman"/>
                <w:bCs/>
                <w:sz w:val="24"/>
                <w:szCs w:val="24"/>
                <w:lang w:val="lv-LV" w:eastAsia="lv-LV"/>
              </w:rPr>
              <w:t xml:space="preserve"> vēr</w:t>
            </w:r>
            <w:r>
              <w:rPr>
                <w:rFonts w:ascii="Times New Roman" w:hAnsi="Times New Roman" w:eastAsia="Times New Roman" w:cs="Times New Roman"/>
                <w:bCs/>
                <w:sz w:val="24"/>
                <w:szCs w:val="24"/>
                <w:lang w:val="lv-LV" w:eastAsia="lv-LV"/>
              </w:rPr>
              <w:t>sta</w:t>
            </w:r>
            <w:r w:rsidRPr="00160E46" w:rsidR="00472588">
              <w:rPr>
                <w:rFonts w:ascii="Times New Roman" w:hAnsi="Times New Roman" w:eastAsia="Times New Roman" w:cs="Times New Roman"/>
                <w:bCs/>
                <w:sz w:val="24"/>
                <w:szCs w:val="24"/>
                <w:lang w:val="lv-LV" w:eastAsia="lv-LV"/>
              </w:rPr>
              <w:t xml:space="preserve"> uzmanīb</w:t>
            </w:r>
            <w:r>
              <w:rPr>
                <w:rFonts w:ascii="Times New Roman" w:hAnsi="Times New Roman" w:eastAsia="Times New Roman" w:cs="Times New Roman"/>
                <w:bCs/>
                <w:sz w:val="24"/>
                <w:szCs w:val="24"/>
                <w:lang w:val="lv-LV" w:eastAsia="lv-LV"/>
              </w:rPr>
              <w:t>a</w:t>
            </w:r>
            <w:r w:rsidRPr="00160E46" w:rsidR="00472588">
              <w:rPr>
                <w:rFonts w:ascii="Times New Roman" w:hAnsi="Times New Roman" w:eastAsia="Times New Roman" w:cs="Times New Roman"/>
                <w:bCs/>
                <w:sz w:val="24"/>
                <w:szCs w:val="24"/>
                <w:lang w:val="lv-LV" w:eastAsia="lv-LV"/>
              </w:rPr>
              <w:t xml:space="preserve"> uz Informatīvajā ziņojumā iekļauto SPRK sagatavoto salīdzinājumu par numerācijas nodevas likmēm katrā no Baltijas valstīm. Kā jau esam norādījuši gan SM organizētajās starpinstitūciju sanāksmēs, gan VARAM Numerācijas resursu koordinācijas darba grupā, SPRK atsauce uz nodevas likmēm Igaunijā nav piemērojama attiecībā uz Latvijas situāciju, jo Igaunijā nav ieviesta Regulēšanas nodeva. Uzskatam, ka jautājums par numerācijas nodevas attiecināšanu uz visiem numerācijas resursiem Latvijā nevar tikt skatīts atrauti no regulēšanas nodevas jautājumiem. Numerācijas nodevas palielināšanas gadījumā, </w:t>
            </w:r>
            <w:r w:rsidRPr="00160E46" w:rsidR="00472588">
              <w:rPr>
                <w:rFonts w:ascii="Times New Roman" w:hAnsi="Times New Roman" w:eastAsia="Times New Roman" w:cs="Times New Roman"/>
                <w:bCs/>
                <w:sz w:val="24"/>
                <w:szCs w:val="24"/>
                <w:lang w:val="lv-LV" w:eastAsia="lv-LV"/>
              </w:rPr>
              <w:lastRenderedPageBreak/>
              <w:t>attiecīgi jāsamazina regulēšanas nodeva, lai regulēšanas slogs nozarei nepieaug.</w:t>
            </w:r>
          </w:p>
          <w:p w:rsidRPr="00160E46" w:rsidR="00472588" w:rsidP="00472588" w:rsidRDefault="00472588" w14:paraId="33312248" w14:textId="77777777">
            <w:pPr>
              <w:autoSpaceDE w:val="0"/>
              <w:autoSpaceDN w:val="0"/>
              <w:spacing w:after="0" w:line="240" w:lineRule="auto"/>
              <w:jc w:val="both"/>
              <w:rPr>
                <w:rFonts w:ascii="Times New Roman" w:hAnsi="Times New Roman" w:eastAsia="Times New Roman" w:cs="Times New Roman"/>
                <w:bCs/>
                <w:sz w:val="24"/>
                <w:szCs w:val="24"/>
                <w:lang w:val="lv-LV" w:eastAsia="lv-LV"/>
              </w:rPr>
            </w:pPr>
            <w:r w:rsidRPr="00160E46">
              <w:rPr>
                <w:rFonts w:ascii="Times New Roman" w:hAnsi="Times New Roman" w:eastAsia="Times New Roman" w:cs="Times New Roman"/>
                <w:bCs/>
                <w:sz w:val="24"/>
                <w:szCs w:val="24"/>
                <w:lang w:val="lv-LV" w:eastAsia="lv-LV"/>
              </w:rPr>
              <w:t>Priekšlikums:</w:t>
            </w:r>
          </w:p>
          <w:p w:rsidRPr="00160E46" w:rsidR="00472588" w:rsidP="00472588" w:rsidRDefault="00472588" w14:paraId="2AD2427C" w14:textId="7EFCFE4B">
            <w:pPr>
              <w:autoSpaceDE w:val="0"/>
              <w:autoSpaceDN w:val="0"/>
              <w:spacing w:after="0" w:line="240" w:lineRule="auto"/>
              <w:ind w:right="170"/>
              <w:jc w:val="both"/>
              <w:rPr>
                <w:rFonts w:ascii="Times New Roman" w:hAnsi="Times New Roman" w:eastAsia="Times New Roman" w:cs="Times New Roman"/>
                <w:bCs/>
                <w:sz w:val="24"/>
                <w:szCs w:val="24"/>
                <w:lang w:val="lv-LV" w:eastAsia="lv-LV"/>
              </w:rPr>
            </w:pPr>
            <w:r w:rsidRPr="00160E46">
              <w:rPr>
                <w:rFonts w:ascii="Times New Roman" w:hAnsi="Times New Roman" w:eastAsia="Times New Roman" w:cs="Times New Roman"/>
                <w:bCs/>
                <w:sz w:val="24"/>
                <w:szCs w:val="24"/>
                <w:lang w:val="lv-LV" w:eastAsia="lv-LV"/>
              </w:rPr>
              <w:t xml:space="preserve">Svītrot Ministru kabineta </w:t>
            </w:r>
            <w:proofErr w:type="spellStart"/>
            <w:r w:rsidRPr="00160E46">
              <w:rPr>
                <w:rFonts w:ascii="Times New Roman" w:hAnsi="Times New Roman" w:eastAsia="Times New Roman" w:cs="Times New Roman"/>
                <w:bCs/>
                <w:sz w:val="24"/>
                <w:szCs w:val="24"/>
                <w:lang w:val="lv-LV" w:eastAsia="lv-LV"/>
              </w:rPr>
              <w:t>protokollēmuma</w:t>
            </w:r>
            <w:proofErr w:type="spellEnd"/>
            <w:r w:rsidRPr="00160E46">
              <w:rPr>
                <w:rFonts w:ascii="Times New Roman" w:hAnsi="Times New Roman" w:eastAsia="Times New Roman" w:cs="Times New Roman"/>
                <w:bCs/>
                <w:sz w:val="24"/>
                <w:szCs w:val="24"/>
                <w:lang w:val="lv-LV" w:eastAsia="lv-LV"/>
              </w:rPr>
              <w:t xml:space="preserve"> projekta 3.punktu, kā arī Informatīvā ziņojuma sadaļas par numerācijas nodevas ieviešanas nepieciešamību.</w:t>
            </w:r>
          </w:p>
        </w:tc>
        <w:tc>
          <w:tcPr>
            <w:tcW w:w="2096" w:type="dxa"/>
            <w:tcBorders>
              <w:left w:val="single" w:color="auto" w:sz="4" w:space="0"/>
            </w:tcBorders>
          </w:tcPr>
          <w:p w:rsidRPr="009377E2" w:rsidR="00472588" w:rsidP="00472588" w:rsidRDefault="00472588" w14:paraId="0EB1CCB5" w14:textId="4C6B30E9">
            <w:pPr>
              <w:rPr>
                <w:rFonts w:ascii="Times New Roman" w:hAnsi="Times New Roman" w:eastAsia="Times New Roman" w:cs="Times New Roman"/>
                <w:b/>
                <w:bCs/>
                <w:i/>
                <w:iCs/>
                <w:sz w:val="24"/>
                <w:szCs w:val="24"/>
                <w:lang w:val="lv-LV" w:eastAsia="lv-LV"/>
              </w:rPr>
            </w:pPr>
            <w:r w:rsidRPr="009377E2">
              <w:rPr>
                <w:rFonts w:ascii="Times New Roman" w:hAnsi="Times New Roman" w:eastAsia="Times New Roman" w:cs="Times New Roman"/>
                <w:b/>
                <w:bCs/>
                <w:i/>
                <w:iCs/>
                <w:sz w:val="24"/>
                <w:szCs w:val="24"/>
                <w:lang w:val="lv-LV" w:eastAsia="lv-LV"/>
              </w:rPr>
              <w:lastRenderedPageBreak/>
              <w:t>Skatīt precizēto informatīvo ziņojumu.</w:t>
            </w:r>
          </w:p>
          <w:p w:rsidR="00472588" w:rsidP="00472588" w:rsidRDefault="00472588" w14:paraId="638A56CD" w14:textId="77777777">
            <w:pPr>
              <w:rPr>
                <w:rFonts w:ascii="Times New Roman" w:hAnsi="Times New Roman" w:eastAsia="Times New Roman" w:cs="Times New Roman"/>
                <w:sz w:val="24"/>
                <w:szCs w:val="24"/>
                <w:lang w:val="lv-LV" w:eastAsia="lv-LV"/>
              </w:rPr>
            </w:pPr>
          </w:p>
          <w:p w:rsidRPr="009D7937" w:rsidR="00472588" w:rsidP="00472588" w:rsidRDefault="00472588" w14:paraId="680FD810" w14:textId="77777777">
            <w:pPr>
              <w:rPr>
                <w:rFonts w:ascii="Times New Roman" w:hAnsi="Times New Roman" w:eastAsia="Times New Roman" w:cs="Times New Roman"/>
                <w:sz w:val="24"/>
                <w:szCs w:val="24"/>
                <w:lang w:val="lv-LV" w:eastAsia="lv-LV"/>
              </w:rPr>
            </w:pPr>
          </w:p>
          <w:p w:rsidR="00472588" w:rsidP="00472588" w:rsidRDefault="00472588" w14:paraId="46F179CA" w14:textId="77777777">
            <w:pPr>
              <w:rPr>
                <w:rFonts w:ascii="Times New Roman" w:hAnsi="Times New Roman" w:eastAsia="Times New Roman" w:cs="Times New Roman"/>
                <w:sz w:val="24"/>
                <w:szCs w:val="24"/>
                <w:lang w:val="lv-LV" w:eastAsia="lv-LV"/>
              </w:rPr>
            </w:pPr>
          </w:p>
          <w:p w:rsidRPr="009D7937" w:rsidR="00472588" w:rsidP="00472588" w:rsidRDefault="00472588" w14:paraId="2257B418" w14:textId="77777777">
            <w:pPr>
              <w:rPr>
                <w:rFonts w:ascii="Times New Roman" w:hAnsi="Times New Roman" w:eastAsia="Times New Roman" w:cs="Times New Roman"/>
                <w:sz w:val="24"/>
                <w:szCs w:val="24"/>
                <w:lang w:val="lv-LV" w:eastAsia="lv-LV"/>
              </w:rPr>
            </w:pPr>
          </w:p>
          <w:p w:rsidR="00472588" w:rsidP="00472588" w:rsidRDefault="00472588" w14:paraId="6288EBF9" w14:textId="77777777">
            <w:pPr>
              <w:rPr>
                <w:rFonts w:ascii="Times New Roman" w:hAnsi="Times New Roman" w:eastAsia="Times New Roman" w:cs="Times New Roman"/>
                <w:sz w:val="24"/>
                <w:szCs w:val="24"/>
                <w:lang w:val="lv-LV" w:eastAsia="lv-LV"/>
              </w:rPr>
            </w:pPr>
          </w:p>
          <w:p w:rsidRPr="009D7937" w:rsidR="00472588" w:rsidP="00472588" w:rsidRDefault="00472588" w14:paraId="3BCB5DE3" w14:textId="77777777">
            <w:pPr>
              <w:rPr>
                <w:rFonts w:ascii="Times New Roman" w:hAnsi="Times New Roman" w:eastAsia="Times New Roman" w:cs="Times New Roman"/>
                <w:sz w:val="24"/>
                <w:szCs w:val="24"/>
                <w:lang w:val="lv-LV" w:eastAsia="lv-LV"/>
              </w:rPr>
            </w:pPr>
          </w:p>
          <w:p w:rsidR="00472588" w:rsidP="00472588" w:rsidRDefault="00472588" w14:paraId="686298C6" w14:textId="77777777">
            <w:pPr>
              <w:rPr>
                <w:rFonts w:ascii="Times New Roman" w:hAnsi="Times New Roman" w:eastAsia="Times New Roman" w:cs="Times New Roman"/>
                <w:sz w:val="24"/>
                <w:szCs w:val="24"/>
                <w:lang w:val="lv-LV" w:eastAsia="lv-LV"/>
              </w:rPr>
            </w:pPr>
          </w:p>
          <w:p w:rsidRPr="009D7937" w:rsidR="00472588" w:rsidP="00472588" w:rsidRDefault="00472588" w14:paraId="755FEDAB" w14:textId="77777777">
            <w:pPr>
              <w:rPr>
                <w:rFonts w:ascii="Times New Roman" w:hAnsi="Times New Roman" w:eastAsia="Times New Roman" w:cs="Times New Roman"/>
                <w:sz w:val="24"/>
                <w:szCs w:val="24"/>
                <w:lang w:val="lv-LV" w:eastAsia="lv-LV"/>
              </w:rPr>
            </w:pPr>
          </w:p>
          <w:p w:rsidR="00472588" w:rsidP="00472588" w:rsidRDefault="00472588" w14:paraId="011757BC" w14:textId="77777777">
            <w:pPr>
              <w:rPr>
                <w:rFonts w:ascii="Times New Roman" w:hAnsi="Times New Roman" w:eastAsia="Times New Roman" w:cs="Times New Roman"/>
                <w:sz w:val="24"/>
                <w:szCs w:val="24"/>
                <w:lang w:val="lv-LV" w:eastAsia="lv-LV"/>
              </w:rPr>
            </w:pPr>
          </w:p>
          <w:p w:rsidRPr="009D7937" w:rsidR="00472588" w:rsidP="00472588" w:rsidRDefault="00472588" w14:paraId="083060AD" w14:textId="77777777">
            <w:pPr>
              <w:rPr>
                <w:rFonts w:ascii="Times New Roman" w:hAnsi="Times New Roman" w:eastAsia="Times New Roman" w:cs="Times New Roman"/>
                <w:sz w:val="24"/>
                <w:szCs w:val="24"/>
                <w:lang w:val="lv-LV" w:eastAsia="lv-LV"/>
              </w:rPr>
            </w:pPr>
          </w:p>
          <w:p w:rsidR="00472588" w:rsidP="00472588" w:rsidRDefault="00472588" w14:paraId="5141C5F6" w14:textId="77777777">
            <w:pPr>
              <w:rPr>
                <w:rFonts w:ascii="Times New Roman" w:hAnsi="Times New Roman" w:eastAsia="Times New Roman" w:cs="Times New Roman"/>
                <w:sz w:val="24"/>
                <w:szCs w:val="24"/>
                <w:lang w:val="lv-LV" w:eastAsia="lv-LV"/>
              </w:rPr>
            </w:pPr>
          </w:p>
          <w:p w:rsidRPr="009D7937" w:rsidR="00472588" w:rsidP="00472588" w:rsidRDefault="00472588" w14:paraId="3223D948" w14:textId="77777777">
            <w:pPr>
              <w:rPr>
                <w:rFonts w:ascii="Times New Roman" w:hAnsi="Times New Roman" w:eastAsia="Times New Roman" w:cs="Times New Roman"/>
                <w:sz w:val="24"/>
                <w:szCs w:val="24"/>
                <w:lang w:val="lv-LV" w:eastAsia="lv-LV"/>
              </w:rPr>
            </w:pPr>
          </w:p>
          <w:p w:rsidR="00472588" w:rsidP="00472588" w:rsidRDefault="00472588" w14:paraId="30D44621" w14:textId="77777777">
            <w:pPr>
              <w:rPr>
                <w:rFonts w:ascii="Times New Roman" w:hAnsi="Times New Roman" w:eastAsia="Times New Roman" w:cs="Times New Roman"/>
                <w:sz w:val="24"/>
                <w:szCs w:val="24"/>
                <w:lang w:val="lv-LV" w:eastAsia="lv-LV"/>
              </w:rPr>
            </w:pPr>
          </w:p>
          <w:p w:rsidR="00472588" w:rsidP="00472588" w:rsidRDefault="00472588" w14:paraId="5C18B774" w14:textId="2961BD0B">
            <w:pPr>
              <w:rPr>
                <w:rFonts w:ascii="Times New Roman" w:hAnsi="Times New Roman" w:eastAsia="Times New Roman" w:cs="Times New Roman"/>
                <w:sz w:val="24"/>
                <w:szCs w:val="24"/>
                <w:lang w:val="lv-LV" w:eastAsia="lv-LV"/>
              </w:rPr>
            </w:pPr>
          </w:p>
          <w:p w:rsidRPr="009D7937" w:rsidR="00472588" w:rsidP="00472588" w:rsidRDefault="00472588" w14:paraId="259E1222" w14:textId="77777777">
            <w:pPr>
              <w:rPr>
                <w:rFonts w:ascii="Times New Roman" w:hAnsi="Times New Roman" w:eastAsia="Times New Roman" w:cs="Times New Roman"/>
                <w:sz w:val="24"/>
                <w:szCs w:val="24"/>
                <w:lang w:val="lv-LV" w:eastAsia="lv-LV"/>
              </w:rPr>
            </w:pPr>
          </w:p>
          <w:p w:rsidRPr="009D7937" w:rsidR="00472588" w:rsidP="00472588" w:rsidRDefault="00472588" w14:paraId="664CBFAA" w14:textId="77777777">
            <w:pPr>
              <w:rPr>
                <w:rFonts w:ascii="Times New Roman" w:hAnsi="Times New Roman" w:eastAsia="Times New Roman" w:cs="Times New Roman"/>
                <w:sz w:val="24"/>
                <w:szCs w:val="24"/>
                <w:lang w:val="lv-LV" w:eastAsia="lv-LV"/>
              </w:rPr>
            </w:pPr>
          </w:p>
          <w:p w:rsidRPr="009D7937" w:rsidR="00472588" w:rsidP="00472588" w:rsidRDefault="00472588" w14:paraId="3BDE65C9" w14:textId="77777777">
            <w:pPr>
              <w:rPr>
                <w:rFonts w:ascii="Times New Roman" w:hAnsi="Times New Roman" w:eastAsia="Times New Roman" w:cs="Times New Roman"/>
                <w:sz w:val="24"/>
                <w:szCs w:val="24"/>
                <w:lang w:val="lv-LV" w:eastAsia="lv-LV"/>
              </w:rPr>
            </w:pPr>
          </w:p>
          <w:p w:rsidRPr="009D7937" w:rsidR="00472588" w:rsidP="00472588" w:rsidRDefault="00472588" w14:paraId="0DD67A4B" w14:textId="77777777">
            <w:pPr>
              <w:rPr>
                <w:rFonts w:ascii="Times New Roman" w:hAnsi="Times New Roman" w:eastAsia="Times New Roman" w:cs="Times New Roman"/>
                <w:sz w:val="24"/>
                <w:szCs w:val="24"/>
                <w:lang w:val="lv-LV" w:eastAsia="lv-LV"/>
              </w:rPr>
            </w:pPr>
          </w:p>
          <w:p w:rsidRPr="009D7937" w:rsidR="00472588" w:rsidP="00472588" w:rsidRDefault="00472588" w14:paraId="5F4D65BD" w14:textId="5A933302">
            <w:pPr>
              <w:rPr>
                <w:rFonts w:ascii="Times New Roman" w:hAnsi="Times New Roman" w:eastAsia="Times New Roman" w:cs="Times New Roman"/>
                <w:sz w:val="24"/>
                <w:szCs w:val="24"/>
                <w:lang w:val="lv-LV" w:eastAsia="lv-LV"/>
              </w:rPr>
            </w:pPr>
          </w:p>
        </w:tc>
      </w:tr>
    </w:tbl>
    <w:p w:rsidRPr="009C445F" w:rsidR="009C445F" w:rsidP="009C445F" w:rsidRDefault="009C445F" w14:paraId="255A2976" w14:textId="77777777">
      <w:pPr>
        <w:autoSpaceDE w:val="0"/>
        <w:autoSpaceDN w:val="0"/>
        <w:spacing w:after="0" w:line="240" w:lineRule="auto"/>
        <w:ind w:left="170" w:right="170"/>
        <w:rPr>
          <w:rFonts w:ascii="Times New Roman" w:hAnsi="Times New Roman" w:eastAsia="Times New Roman" w:cs="Times New Roman"/>
          <w:b/>
          <w:bCs/>
          <w:sz w:val="24"/>
          <w:szCs w:val="24"/>
          <w:lang w:val="lv-LV" w:eastAsia="lv-LV"/>
        </w:rPr>
      </w:pPr>
    </w:p>
    <w:p w:rsidRPr="009C445F" w:rsidR="009C445F" w:rsidP="009C445F" w:rsidRDefault="009C445F" w14:paraId="0EF549F8" w14:textId="77777777">
      <w:pPr>
        <w:autoSpaceDE w:val="0"/>
        <w:autoSpaceDN w:val="0"/>
        <w:spacing w:after="0" w:line="240" w:lineRule="auto"/>
        <w:ind w:left="170" w:right="170"/>
        <w:rPr>
          <w:rFonts w:ascii="Times New Roman" w:hAnsi="Times New Roman" w:eastAsia="Times New Roman" w:cs="Times New Roman"/>
          <w:b/>
          <w:bCs/>
          <w:sz w:val="24"/>
          <w:szCs w:val="24"/>
          <w:lang w:val="lv-LV" w:eastAsia="lv-LV"/>
        </w:rPr>
      </w:pPr>
      <w:r w:rsidRPr="009C445F">
        <w:rPr>
          <w:rFonts w:ascii="Times New Roman" w:hAnsi="Times New Roman" w:eastAsia="Times New Roman" w:cs="Times New Roman"/>
          <w:b/>
          <w:bCs/>
          <w:sz w:val="24"/>
          <w:szCs w:val="24"/>
          <w:lang w:val="lv-LV" w:eastAsia="lv-LV"/>
        </w:rPr>
        <w:t xml:space="preserve">Informācija par </w:t>
      </w:r>
      <w:proofErr w:type="spellStart"/>
      <w:r w:rsidRPr="009C445F">
        <w:rPr>
          <w:rFonts w:ascii="Times New Roman" w:hAnsi="Times New Roman" w:eastAsia="Times New Roman" w:cs="Times New Roman"/>
          <w:b/>
          <w:bCs/>
          <w:sz w:val="24"/>
          <w:szCs w:val="24"/>
          <w:lang w:val="lv-LV" w:eastAsia="lv-LV"/>
        </w:rPr>
        <w:t>starpministriju</w:t>
      </w:r>
      <w:proofErr w:type="spellEnd"/>
      <w:r w:rsidRPr="009C445F">
        <w:rPr>
          <w:rFonts w:ascii="Times New Roman" w:hAnsi="Times New Roman" w:eastAsia="Times New Roman" w:cs="Times New Roman"/>
          <w:b/>
          <w:bCs/>
          <w:sz w:val="24"/>
          <w:szCs w:val="24"/>
          <w:lang w:val="lv-LV" w:eastAsia="lv-LV"/>
        </w:rPr>
        <w:t xml:space="preserve"> (starpinstitūciju) sanāksmi vai elektronisko saskaņošanu</w:t>
      </w:r>
    </w:p>
    <w:tbl>
      <w:tblPr>
        <w:tblW w:w="0" w:type="auto"/>
        <w:tblInd w:w="-108" w:type="dxa"/>
        <w:tblLayout w:type="fixed"/>
        <w:tblCellMar>
          <w:left w:w="0" w:type="dxa"/>
          <w:right w:w="0" w:type="dxa"/>
        </w:tblCellMar>
        <w:tblLook w:val="0000" w:firstRow="0" w:lastRow="0" w:firstColumn="0" w:lastColumn="0" w:noHBand="0" w:noVBand="0"/>
      </w:tblPr>
      <w:tblGrid>
        <w:gridCol w:w="108"/>
        <w:gridCol w:w="2211"/>
        <w:gridCol w:w="1475"/>
        <w:gridCol w:w="7229"/>
      </w:tblGrid>
      <w:tr w:rsidRPr="009C445F" w:rsidR="009C445F" w:rsidTr="000235B1" w14:paraId="21AB576B" w14:textId="77777777">
        <w:trPr>
          <w:gridBefore w:val="1"/>
          <w:wBefore w:w="108" w:type="dxa"/>
          <w:trHeight w:val="273"/>
        </w:trPr>
        <w:tc>
          <w:tcPr>
            <w:tcW w:w="2211" w:type="dxa"/>
            <w:tcBorders>
              <w:top w:val="nil"/>
              <w:left w:val="nil"/>
              <w:bottom w:val="nil"/>
              <w:right w:val="nil"/>
            </w:tcBorders>
          </w:tcPr>
          <w:p w:rsidRPr="009C445F" w:rsidR="009C445F" w:rsidP="009C445F" w:rsidRDefault="009C445F" w14:paraId="7323681D"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 xml:space="preserve"> Datums </w:t>
            </w:r>
          </w:p>
        </w:tc>
        <w:tc>
          <w:tcPr>
            <w:tcW w:w="8704" w:type="dxa"/>
            <w:gridSpan w:val="2"/>
            <w:tcBorders>
              <w:top w:val="nil"/>
              <w:left w:val="nil"/>
              <w:bottom w:val="single" w:color="000000" w:sz="8" w:space="0"/>
              <w:right w:val="nil"/>
            </w:tcBorders>
          </w:tcPr>
          <w:p w:rsidRPr="009C445F" w:rsidR="009C445F" w:rsidP="009C445F" w:rsidRDefault="009C445F" w14:paraId="305E0324" w14:textId="5BEA8B46">
            <w:pPr>
              <w:autoSpaceDE w:val="0"/>
              <w:autoSpaceDN w:val="0"/>
              <w:spacing w:after="0" w:line="240" w:lineRule="auto"/>
              <w:ind w:left="170" w:right="170"/>
              <w:rPr>
                <w:rFonts w:ascii="Times New Roman" w:hAnsi="Times New Roman" w:eastAsia="Times New Roman" w:cs="Times New Roman"/>
                <w:sz w:val="24"/>
                <w:szCs w:val="24"/>
                <w:lang w:val="lv-LV" w:eastAsia="lv-LV"/>
              </w:rPr>
            </w:pPr>
          </w:p>
        </w:tc>
      </w:tr>
      <w:tr w:rsidRPr="009C445F" w:rsidR="009C445F" w:rsidTr="000235B1" w14:paraId="704CC53E" w14:textId="77777777">
        <w:trPr>
          <w:gridBefore w:val="1"/>
          <w:wBefore w:w="108" w:type="dxa"/>
          <w:trHeight w:val="290"/>
        </w:trPr>
        <w:tc>
          <w:tcPr>
            <w:tcW w:w="2211" w:type="dxa"/>
            <w:tcBorders>
              <w:top w:val="nil"/>
              <w:left w:val="nil"/>
              <w:bottom w:val="nil"/>
              <w:right w:val="nil"/>
            </w:tcBorders>
          </w:tcPr>
          <w:p w:rsidRPr="009C445F" w:rsidR="009C445F" w:rsidP="009C445F" w:rsidRDefault="009C445F" w14:paraId="45456775"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 </w:t>
            </w:r>
          </w:p>
        </w:tc>
        <w:tc>
          <w:tcPr>
            <w:tcW w:w="8704" w:type="dxa"/>
            <w:gridSpan w:val="2"/>
            <w:tcBorders>
              <w:top w:val="nil"/>
              <w:left w:val="nil"/>
              <w:bottom w:val="single" w:color="000000" w:sz="8" w:space="0"/>
              <w:right w:val="nil"/>
            </w:tcBorders>
          </w:tcPr>
          <w:p w:rsidRPr="009C445F" w:rsidR="009C445F" w:rsidP="009C445F" w:rsidRDefault="00624872" w14:paraId="129EC734" w14:textId="0D65FB02">
            <w:pPr>
              <w:autoSpaceDE w:val="0"/>
              <w:autoSpaceDN w:val="0"/>
              <w:spacing w:after="0" w:line="240" w:lineRule="auto"/>
              <w:ind w:left="170" w:right="170"/>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2019.gada </w:t>
            </w:r>
            <w:r w:rsidR="00F35791">
              <w:rPr>
                <w:rFonts w:ascii="Times New Roman" w:hAnsi="Times New Roman" w:eastAsia="Times New Roman" w:cs="Times New Roman"/>
                <w:sz w:val="24"/>
                <w:szCs w:val="24"/>
                <w:lang w:val="lv-LV" w:eastAsia="lv-LV"/>
              </w:rPr>
              <w:t>27.septembr</w:t>
            </w:r>
            <w:r w:rsidR="008A6616">
              <w:rPr>
                <w:rFonts w:ascii="Times New Roman" w:hAnsi="Times New Roman" w:eastAsia="Times New Roman" w:cs="Times New Roman"/>
                <w:sz w:val="24"/>
                <w:szCs w:val="24"/>
                <w:lang w:val="lv-LV" w:eastAsia="lv-LV"/>
              </w:rPr>
              <w:t>is - starpinstitūciju sanāksme</w:t>
            </w:r>
            <w:r w:rsidR="00F35791">
              <w:rPr>
                <w:rFonts w:ascii="Times New Roman" w:hAnsi="Times New Roman" w:eastAsia="Times New Roman" w:cs="Times New Roman"/>
                <w:sz w:val="24"/>
                <w:szCs w:val="24"/>
                <w:lang w:val="lv-LV" w:eastAsia="lv-LV"/>
              </w:rPr>
              <w:t>.</w:t>
            </w:r>
          </w:p>
        </w:tc>
      </w:tr>
      <w:tr w:rsidRPr="009C445F" w:rsidR="009C445F" w:rsidTr="000235B1" w14:paraId="30163F28" w14:textId="77777777">
        <w:trPr>
          <w:gridBefore w:val="1"/>
          <w:wBefore w:w="108" w:type="dxa"/>
          <w:trHeight w:val="290"/>
        </w:trPr>
        <w:tc>
          <w:tcPr>
            <w:tcW w:w="2211" w:type="dxa"/>
            <w:tcBorders>
              <w:top w:val="nil"/>
              <w:left w:val="nil"/>
              <w:bottom w:val="nil"/>
              <w:right w:val="nil"/>
            </w:tcBorders>
          </w:tcPr>
          <w:p w:rsidRPr="009C445F" w:rsidR="009C445F" w:rsidP="009C445F" w:rsidRDefault="009C445F" w14:paraId="4C37D3EF"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 </w:t>
            </w:r>
          </w:p>
        </w:tc>
        <w:tc>
          <w:tcPr>
            <w:tcW w:w="8704" w:type="dxa"/>
            <w:gridSpan w:val="2"/>
            <w:tcBorders>
              <w:top w:val="nil"/>
              <w:left w:val="nil"/>
              <w:bottom w:val="single" w:color="000000" w:sz="8" w:space="0"/>
              <w:right w:val="nil"/>
            </w:tcBorders>
          </w:tcPr>
          <w:p w:rsidRPr="009C445F" w:rsidR="009C445F" w:rsidP="009C445F" w:rsidRDefault="009C445F" w14:paraId="14CA4DC5"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p>
        </w:tc>
      </w:tr>
      <w:tr w:rsidRPr="00B11D5D" w:rsidR="009C445F" w:rsidTr="000235B1" w14:paraId="21F0A14D" w14:textId="77777777">
        <w:trPr>
          <w:gridBefore w:val="1"/>
          <w:wBefore w:w="108" w:type="dxa"/>
          <w:trHeight w:val="290"/>
        </w:trPr>
        <w:tc>
          <w:tcPr>
            <w:tcW w:w="2211" w:type="dxa"/>
            <w:tcBorders>
              <w:top w:val="nil"/>
              <w:left w:val="nil"/>
              <w:bottom w:val="nil"/>
              <w:right w:val="nil"/>
            </w:tcBorders>
          </w:tcPr>
          <w:p w:rsidRPr="009C445F" w:rsidR="009C445F" w:rsidP="009C445F" w:rsidRDefault="009C445F" w14:paraId="6081AB09"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p>
        </w:tc>
        <w:tc>
          <w:tcPr>
            <w:tcW w:w="8704" w:type="dxa"/>
            <w:gridSpan w:val="2"/>
            <w:tcBorders>
              <w:top w:val="nil"/>
              <w:left w:val="nil"/>
              <w:bottom w:val="single" w:color="000000" w:sz="8" w:space="0"/>
              <w:right w:val="nil"/>
            </w:tcBorders>
          </w:tcPr>
          <w:p w:rsidRPr="009C445F" w:rsidR="009C445F" w:rsidP="009C445F" w:rsidRDefault="00624872" w14:paraId="698B5960" w14:textId="577A26FA">
            <w:pPr>
              <w:autoSpaceDE w:val="0"/>
              <w:autoSpaceDN w:val="0"/>
              <w:spacing w:after="0" w:line="240" w:lineRule="auto"/>
              <w:ind w:left="170" w:right="170"/>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2019.gada </w:t>
            </w:r>
            <w:r w:rsidR="00613359">
              <w:rPr>
                <w:rFonts w:ascii="Times New Roman" w:hAnsi="Times New Roman" w:eastAsia="Times New Roman" w:cs="Times New Roman"/>
                <w:sz w:val="24"/>
                <w:szCs w:val="24"/>
                <w:lang w:val="lv-LV" w:eastAsia="lv-LV"/>
              </w:rPr>
              <w:t>19. novembri</w:t>
            </w:r>
            <w:r w:rsidR="008A6616">
              <w:rPr>
                <w:rFonts w:ascii="Times New Roman" w:hAnsi="Times New Roman" w:eastAsia="Times New Roman" w:cs="Times New Roman"/>
                <w:sz w:val="24"/>
                <w:szCs w:val="24"/>
                <w:lang w:val="lv-LV" w:eastAsia="lv-LV"/>
              </w:rPr>
              <w:t xml:space="preserve">s - elektroniskā </w:t>
            </w:r>
            <w:r w:rsidRPr="008A6616" w:rsidR="008A6616">
              <w:rPr>
                <w:rFonts w:ascii="Times New Roman" w:hAnsi="Times New Roman" w:eastAsia="Times New Roman" w:cs="Times New Roman"/>
                <w:sz w:val="24"/>
                <w:szCs w:val="24"/>
                <w:lang w:val="lv-LV" w:eastAsia="lv-LV"/>
              </w:rPr>
              <w:t>saskaņošanā</w:t>
            </w:r>
            <w:r w:rsidR="00613359">
              <w:rPr>
                <w:rFonts w:ascii="Times New Roman" w:hAnsi="Times New Roman" w:eastAsia="Times New Roman" w:cs="Times New Roman"/>
                <w:sz w:val="24"/>
                <w:szCs w:val="24"/>
                <w:lang w:val="lv-LV" w:eastAsia="lv-LV"/>
              </w:rPr>
              <w:t xml:space="preserve">. </w:t>
            </w:r>
          </w:p>
        </w:tc>
      </w:tr>
      <w:tr w:rsidRPr="0011260E" w:rsidR="00F35791" w:rsidTr="000235B1" w14:paraId="3D6AE2DA" w14:textId="77777777">
        <w:trPr>
          <w:gridBefore w:val="1"/>
          <w:wBefore w:w="108" w:type="dxa"/>
          <w:trHeight w:val="290"/>
        </w:trPr>
        <w:tc>
          <w:tcPr>
            <w:tcW w:w="2211" w:type="dxa"/>
            <w:tcBorders>
              <w:top w:val="nil"/>
              <w:left w:val="nil"/>
              <w:bottom w:val="nil"/>
              <w:right w:val="nil"/>
            </w:tcBorders>
          </w:tcPr>
          <w:p w:rsidRPr="009C445F" w:rsidR="00F35791" w:rsidP="00F35791" w:rsidRDefault="00F35791" w14:paraId="2768D041"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p>
          <w:p w:rsidRPr="009C445F" w:rsidR="00F35791" w:rsidP="00F35791" w:rsidRDefault="00F35791" w14:paraId="7B0A19D0"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Saskaņošanas dalībnieki</w:t>
            </w:r>
          </w:p>
        </w:tc>
        <w:tc>
          <w:tcPr>
            <w:tcW w:w="8704" w:type="dxa"/>
            <w:gridSpan w:val="2"/>
            <w:tcBorders>
              <w:top w:val="nil"/>
              <w:left w:val="nil"/>
              <w:bottom w:val="single" w:color="000000" w:sz="8" w:space="0"/>
              <w:right w:val="nil"/>
            </w:tcBorders>
          </w:tcPr>
          <w:p w:rsidRPr="00AA157E" w:rsidR="00F35791" w:rsidP="00F35791" w:rsidRDefault="00F35791" w14:paraId="139A2678"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116F1F">
              <w:rPr>
                <w:rFonts w:ascii="Times New Roman" w:hAnsi="Times New Roman" w:eastAsia="Times New Roman" w:cs="Times New Roman"/>
                <w:sz w:val="24"/>
                <w:szCs w:val="24"/>
                <w:lang w:val="lv-LV" w:eastAsia="lv-LV"/>
              </w:rPr>
              <w:t>Latvijas Informācijas un komunikācijas tehnoloģiju asociācija</w:t>
            </w:r>
            <w:r>
              <w:rPr>
                <w:rFonts w:ascii="Times New Roman" w:hAnsi="Times New Roman" w:eastAsia="Times New Roman" w:cs="Times New Roman"/>
                <w:sz w:val="24"/>
                <w:szCs w:val="24"/>
                <w:lang w:val="lv-LV" w:eastAsia="lv-LV"/>
              </w:rPr>
              <w:t>,</w:t>
            </w:r>
            <w:r w:rsidRPr="00116F1F">
              <w:rPr>
                <w:rFonts w:ascii="Times New Roman" w:hAnsi="Times New Roman" w:eastAsia="Times New Roman" w:cs="Times New Roman"/>
                <w:sz w:val="24"/>
                <w:szCs w:val="24"/>
                <w:lang w:val="lv-LV" w:eastAsia="lv-LV"/>
              </w:rPr>
              <w:t xml:space="preserve"> Latvijas Darba devēju konfederācija</w:t>
            </w:r>
            <w:r>
              <w:rPr>
                <w:rFonts w:ascii="Times New Roman" w:hAnsi="Times New Roman" w:eastAsia="Times New Roman" w:cs="Times New Roman"/>
                <w:sz w:val="24"/>
                <w:szCs w:val="24"/>
                <w:lang w:val="lv-LV" w:eastAsia="lv-LV"/>
              </w:rPr>
              <w:t xml:space="preserve">, </w:t>
            </w:r>
            <w:r w:rsidRPr="00116F1F">
              <w:rPr>
                <w:rFonts w:ascii="Times New Roman" w:hAnsi="Times New Roman" w:eastAsia="Times New Roman" w:cs="Times New Roman"/>
                <w:sz w:val="24"/>
                <w:szCs w:val="24"/>
                <w:lang w:val="lv-LV" w:eastAsia="lv-LV"/>
              </w:rPr>
              <w:t>Sabiedrisko pakalpojumu regulēšanas komisija</w:t>
            </w:r>
            <w:r>
              <w:rPr>
                <w:rFonts w:ascii="Times New Roman" w:hAnsi="Times New Roman" w:eastAsia="Times New Roman" w:cs="Times New Roman"/>
                <w:sz w:val="24"/>
                <w:szCs w:val="24"/>
                <w:lang w:val="lv-LV" w:eastAsia="lv-LV"/>
              </w:rPr>
              <w:t xml:space="preserve">, </w:t>
            </w:r>
            <w:r w:rsidRPr="00116F1F">
              <w:rPr>
                <w:rFonts w:ascii="Times New Roman" w:hAnsi="Times New Roman" w:eastAsia="Times New Roman" w:cs="Times New Roman"/>
                <w:sz w:val="24"/>
                <w:szCs w:val="24"/>
                <w:lang w:val="lv-LV" w:eastAsia="lv-LV"/>
              </w:rPr>
              <w:t>Latvijas Telekomunikāciju asociācija</w:t>
            </w:r>
            <w:r>
              <w:rPr>
                <w:rFonts w:ascii="Times New Roman" w:hAnsi="Times New Roman" w:eastAsia="Times New Roman" w:cs="Times New Roman"/>
                <w:sz w:val="24"/>
                <w:szCs w:val="24"/>
                <w:lang w:val="lv-LV" w:eastAsia="lv-LV"/>
              </w:rPr>
              <w:t xml:space="preserve">, Tieslietu ministrija, </w:t>
            </w:r>
            <w:r w:rsidRPr="00116F1F">
              <w:rPr>
                <w:rFonts w:ascii="Times New Roman" w:hAnsi="Times New Roman" w:eastAsia="Times New Roman" w:cs="Times New Roman"/>
                <w:sz w:val="24"/>
                <w:szCs w:val="24"/>
                <w:lang w:val="lv-LV" w:eastAsia="lv-LV"/>
              </w:rPr>
              <w:t>Finanšu ministrija</w:t>
            </w:r>
            <w:r>
              <w:rPr>
                <w:rFonts w:ascii="Times New Roman" w:hAnsi="Times New Roman" w:eastAsia="Times New Roman" w:cs="Times New Roman"/>
                <w:sz w:val="24"/>
                <w:szCs w:val="24"/>
                <w:lang w:val="lv-LV" w:eastAsia="lv-LV"/>
              </w:rPr>
              <w:t xml:space="preserve">, </w:t>
            </w:r>
            <w:r w:rsidRPr="00B545E4">
              <w:rPr>
                <w:rFonts w:ascii="Times New Roman" w:hAnsi="Times New Roman" w:eastAsia="Times New Roman" w:cs="Times New Roman"/>
                <w:bCs/>
                <w:sz w:val="24"/>
                <w:szCs w:val="24"/>
                <w:lang w:val="lv-LV" w:eastAsia="lv-LV"/>
              </w:rPr>
              <w:t>Vides aizsardzības un reģionālās attīstības ministrija</w:t>
            </w:r>
          </w:p>
          <w:p w:rsidRPr="009C445F" w:rsidR="00F35791" w:rsidP="00F35791" w:rsidRDefault="00F35791" w14:paraId="4D8D3659" w14:textId="47C8E58F">
            <w:pPr>
              <w:spacing w:after="0" w:line="240" w:lineRule="auto"/>
              <w:rPr>
                <w:rFonts w:ascii="Times New Roman" w:hAnsi="Times New Roman" w:eastAsia="Times New Roman" w:cs="Times New Roman"/>
                <w:sz w:val="24"/>
                <w:szCs w:val="24"/>
                <w:lang w:val="lv-LV" w:eastAsia="lv-LV"/>
              </w:rPr>
            </w:pPr>
          </w:p>
        </w:tc>
      </w:tr>
      <w:tr w:rsidRPr="0011260E" w:rsidR="00F35791" w:rsidTr="000235B1" w14:paraId="06E01A6D" w14:textId="77777777">
        <w:trPr>
          <w:gridBefore w:val="1"/>
          <w:wBefore w:w="108" w:type="dxa"/>
          <w:trHeight w:val="273"/>
        </w:trPr>
        <w:tc>
          <w:tcPr>
            <w:tcW w:w="2211" w:type="dxa"/>
            <w:tcBorders>
              <w:top w:val="nil"/>
              <w:left w:val="nil"/>
              <w:bottom w:val="nil"/>
              <w:right w:val="nil"/>
            </w:tcBorders>
          </w:tcPr>
          <w:p w:rsidRPr="009C445F" w:rsidR="00F35791" w:rsidP="00F35791" w:rsidRDefault="00F35791" w14:paraId="488D9BF6"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p>
        </w:tc>
        <w:tc>
          <w:tcPr>
            <w:tcW w:w="8704" w:type="dxa"/>
            <w:gridSpan w:val="2"/>
            <w:tcBorders>
              <w:top w:val="nil"/>
              <w:left w:val="nil"/>
              <w:bottom w:val="single" w:color="000000" w:sz="8" w:space="0"/>
              <w:right w:val="nil"/>
            </w:tcBorders>
          </w:tcPr>
          <w:p w:rsidRPr="009C445F" w:rsidR="00F35791" w:rsidP="00F35791" w:rsidRDefault="00F35791" w14:paraId="7BA5133E"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p>
        </w:tc>
      </w:tr>
      <w:tr w:rsidRPr="0011260E" w:rsidR="00F35791" w:rsidTr="000235B1" w14:paraId="5A7D9639" w14:textId="77777777">
        <w:tblPrEx>
          <w:tblCellMar>
            <w:left w:w="108" w:type="dxa"/>
            <w:right w:w="108" w:type="dxa"/>
          </w:tblCellMar>
        </w:tblPrEx>
        <w:tc>
          <w:tcPr>
            <w:tcW w:w="3794" w:type="dxa"/>
            <w:gridSpan w:val="3"/>
          </w:tcPr>
          <w:p w:rsidRPr="009C445F" w:rsidR="00F35791" w:rsidP="00F35791" w:rsidRDefault="00F35791" w14:paraId="5E628676" w14:textId="77777777">
            <w:pPr>
              <w:snapToGrid w:val="0"/>
              <w:spacing w:after="0" w:line="240" w:lineRule="auto"/>
              <w:ind w:left="170" w:right="170"/>
              <w:rPr>
                <w:rFonts w:ascii="Times New Roman" w:hAnsi="Times New Roman" w:eastAsia="Times New Roman" w:cs="Times New Roman"/>
                <w:color w:val="000000"/>
                <w:sz w:val="24"/>
                <w:szCs w:val="24"/>
                <w:lang w:val="lv-LV" w:eastAsia="lv-LV"/>
              </w:rPr>
            </w:pPr>
          </w:p>
          <w:p w:rsidRPr="009C445F" w:rsidR="00F35791" w:rsidP="00F35791" w:rsidRDefault="00F35791" w14:paraId="04CD45EC" w14:textId="77777777">
            <w:pPr>
              <w:snapToGrid w:val="0"/>
              <w:spacing w:after="0" w:line="240" w:lineRule="auto"/>
              <w:ind w:left="170" w:right="170"/>
              <w:rPr>
                <w:rFonts w:ascii="Times New Roman" w:hAnsi="Times New Roman" w:eastAsia="Times New Roman" w:cs="Times New Roman"/>
                <w:color w:val="000000"/>
                <w:sz w:val="24"/>
                <w:szCs w:val="24"/>
                <w:lang w:val="lv-LV" w:eastAsia="lv-LV"/>
              </w:rPr>
            </w:pPr>
            <w:r w:rsidRPr="009C445F">
              <w:rPr>
                <w:rFonts w:ascii="Times New Roman" w:hAnsi="Times New Roman" w:eastAsia="Times New Roman" w:cs="Times New Roman"/>
                <w:color w:val="000000"/>
                <w:sz w:val="24"/>
                <w:szCs w:val="24"/>
                <w:lang w:val="lv-LV" w:eastAsia="lv-LV"/>
              </w:rPr>
              <w:lastRenderedPageBreak/>
              <w:t>Saskaņošanas dalībnieki izskatīja šādu ministriju (citu institūciju) iebildumus</w:t>
            </w:r>
          </w:p>
        </w:tc>
        <w:tc>
          <w:tcPr>
            <w:tcW w:w="7229" w:type="dxa"/>
            <w:tcBorders>
              <w:bottom w:val="single" w:color="000000" w:sz="4" w:space="0"/>
            </w:tcBorders>
          </w:tcPr>
          <w:p w:rsidRPr="009C445F" w:rsidR="00F35791" w:rsidP="00F35791" w:rsidRDefault="00F35791" w14:paraId="24B8A423" w14:textId="77777777">
            <w:pPr>
              <w:snapToGrid w:val="0"/>
              <w:spacing w:after="0" w:line="240" w:lineRule="auto"/>
              <w:ind w:left="170" w:right="170"/>
              <w:rPr>
                <w:rFonts w:ascii="Times New Roman" w:hAnsi="Times New Roman" w:eastAsia="Times New Roman" w:cs="Times New Roman"/>
                <w:color w:val="000000"/>
                <w:sz w:val="24"/>
                <w:szCs w:val="24"/>
                <w:lang w:val="lv-LV" w:eastAsia="lv-LV"/>
              </w:rPr>
            </w:pPr>
          </w:p>
        </w:tc>
      </w:tr>
      <w:tr w:rsidRPr="0011260E" w:rsidR="00F35791" w:rsidTr="000235B1" w14:paraId="53A52DF3" w14:textId="77777777">
        <w:tblPrEx>
          <w:tblCellMar>
            <w:left w:w="108" w:type="dxa"/>
            <w:right w:w="108" w:type="dxa"/>
          </w:tblCellMar>
        </w:tblPrEx>
        <w:tc>
          <w:tcPr>
            <w:tcW w:w="3794" w:type="dxa"/>
            <w:gridSpan w:val="3"/>
          </w:tcPr>
          <w:p w:rsidRPr="009C445F" w:rsidR="00F35791" w:rsidP="00F35791" w:rsidRDefault="00F35791" w14:paraId="1EF8FBCD" w14:textId="77777777">
            <w:pPr>
              <w:snapToGrid w:val="0"/>
              <w:spacing w:after="0" w:line="240" w:lineRule="auto"/>
              <w:ind w:left="170" w:right="170"/>
              <w:rPr>
                <w:rFonts w:ascii="Times New Roman" w:hAnsi="Times New Roman" w:eastAsia="Times New Roman" w:cs="Times New Roman"/>
                <w:color w:val="000000"/>
                <w:sz w:val="24"/>
                <w:szCs w:val="24"/>
                <w:lang w:val="lv-LV" w:eastAsia="lv-LV"/>
              </w:rPr>
            </w:pPr>
          </w:p>
        </w:tc>
        <w:tc>
          <w:tcPr>
            <w:tcW w:w="7229" w:type="dxa"/>
            <w:tcBorders>
              <w:bottom w:val="single" w:color="000000" w:sz="4" w:space="0"/>
            </w:tcBorders>
          </w:tcPr>
          <w:p w:rsidRPr="009C445F" w:rsidR="00F35791" w:rsidP="00F35791" w:rsidRDefault="00192C36" w14:paraId="50E09AF3" w14:textId="01CD7E2C">
            <w:pPr>
              <w:autoSpaceDE w:val="0"/>
              <w:autoSpaceDN w:val="0"/>
              <w:spacing w:after="0" w:line="240" w:lineRule="auto"/>
              <w:ind w:right="170"/>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T</w:t>
            </w:r>
            <w:r w:rsidR="00F35791">
              <w:rPr>
                <w:rFonts w:ascii="Times New Roman" w:hAnsi="Times New Roman" w:eastAsia="Times New Roman" w:cs="Times New Roman"/>
                <w:sz w:val="24"/>
                <w:szCs w:val="24"/>
                <w:lang w:val="lv-LV" w:eastAsia="lv-LV"/>
              </w:rPr>
              <w:t xml:space="preserve">ika izskatīti </w:t>
            </w:r>
            <w:r w:rsidRPr="00116F1F" w:rsidR="00F94E63">
              <w:rPr>
                <w:rFonts w:ascii="Times New Roman" w:hAnsi="Times New Roman" w:eastAsia="Times New Roman" w:cs="Times New Roman"/>
                <w:sz w:val="24"/>
                <w:szCs w:val="24"/>
                <w:lang w:val="lv-LV" w:eastAsia="lv-LV"/>
              </w:rPr>
              <w:t>Latvijas Informācijas un komunikācijas tehnoloģiju asociācija</w:t>
            </w:r>
            <w:r w:rsidR="00F94E63">
              <w:rPr>
                <w:rFonts w:ascii="Times New Roman" w:hAnsi="Times New Roman" w:eastAsia="Times New Roman" w:cs="Times New Roman"/>
                <w:sz w:val="24"/>
                <w:szCs w:val="24"/>
                <w:lang w:val="lv-LV" w:eastAsia="lv-LV"/>
              </w:rPr>
              <w:t>s,</w:t>
            </w:r>
            <w:r w:rsidRPr="00116F1F" w:rsidR="00F94E63">
              <w:rPr>
                <w:rFonts w:ascii="Times New Roman" w:hAnsi="Times New Roman" w:eastAsia="Times New Roman" w:cs="Times New Roman"/>
                <w:sz w:val="24"/>
                <w:szCs w:val="24"/>
                <w:lang w:val="lv-LV" w:eastAsia="lv-LV"/>
              </w:rPr>
              <w:t xml:space="preserve"> Latvijas Darba devēju konfederācija</w:t>
            </w:r>
            <w:r w:rsidR="00F94E63">
              <w:rPr>
                <w:rFonts w:ascii="Times New Roman" w:hAnsi="Times New Roman" w:eastAsia="Times New Roman" w:cs="Times New Roman"/>
                <w:sz w:val="24"/>
                <w:szCs w:val="24"/>
                <w:lang w:val="lv-LV" w:eastAsia="lv-LV"/>
              </w:rPr>
              <w:t>s,</w:t>
            </w:r>
            <w:r>
              <w:rPr>
                <w:rFonts w:ascii="Times New Roman" w:hAnsi="Times New Roman" w:eastAsia="Times New Roman" w:cs="Times New Roman"/>
                <w:sz w:val="24"/>
                <w:szCs w:val="24"/>
                <w:lang w:val="lv-LV" w:eastAsia="lv-LV"/>
              </w:rPr>
              <w:t xml:space="preserve"> </w:t>
            </w:r>
            <w:r w:rsidRPr="00192C36">
              <w:rPr>
                <w:rFonts w:ascii="Times New Roman" w:hAnsi="Times New Roman" w:eastAsia="Times New Roman" w:cs="Times New Roman"/>
                <w:sz w:val="24"/>
                <w:szCs w:val="24"/>
                <w:lang w:val="lv-LV" w:eastAsia="lv-LV"/>
              </w:rPr>
              <w:t>Sabiedrisko pakalpojumu regulēšanas komisija</w:t>
            </w:r>
            <w:r>
              <w:rPr>
                <w:rFonts w:ascii="Times New Roman" w:hAnsi="Times New Roman" w:eastAsia="Times New Roman" w:cs="Times New Roman"/>
                <w:sz w:val="24"/>
                <w:szCs w:val="24"/>
                <w:lang w:val="lv-LV" w:eastAsia="lv-LV"/>
              </w:rPr>
              <w:t xml:space="preserve">s, </w:t>
            </w:r>
            <w:r w:rsidRPr="00192C36">
              <w:rPr>
                <w:rFonts w:ascii="Times New Roman" w:hAnsi="Times New Roman" w:eastAsia="Times New Roman" w:cs="Times New Roman"/>
                <w:sz w:val="24"/>
                <w:szCs w:val="24"/>
                <w:lang w:val="lv-LV" w:eastAsia="lv-LV"/>
              </w:rPr>
              <w:t>Finanšu ministrija</w:t>
            </w:r>
            <w:r>
              <w:rPr>
                <w:rFonts w:ascii="Times New Roman" w:hAnsi="Times New Roman" w:eastAsia="Times New Roman" w:cs="Times New Roman"/>
                <w:sz w:val="24"/>
                <w:szCs w:val="24"/>
                <w:lang w:val="lv-LV" w:eastAsia="lv-LV"/>
              </w:rPr>
              <w:t xml:space="preserve">s, </w:t>
            </w:r>
            <w:r w:rsidRPr="00192C36">
              <w:rPr>
                <w:rFonts w:ascii="Times New Roman" w:hAnsi="Times New Roman" w:eastAsia="Times New Roman" w:cs="Times New Roman"/>
                <w:sz w:val="24"/>
                <w:szCs w:val="24"/>
                <w:lang w:val="lv-LV" w:eastAsia="lv-LV"/>
              </w:rPr>
              <w:t>Vides aizsardzības un reģionālās attīstības ministrija</w:t>
            </w:r>
            <w:r>
              <w:rPr>
                <w:rFonts w:ascii="Times New Roman" w:hAnsi="Times New Roman" w:eastAsia="Times New Roman" w:cs="Times New Roman"/>
                <w:sz w:val="24"/>
                <w:szCs w:val="24"/>
                <w:lang w:val="lv-LV" w:eastAsia="lv-LV"/>
              </w:rPr>
              <w:t>s,</w:t>
            </w:r>
            <w:r w:rsidR="00F94E63">
              <w:rPr>
                <w:rFonts w:ascii="Times New Roman" w:hAnsi="Times New Roman" w:eastAsia="Times New Roman" w:cs="Times New Roman"/>
                <w:sz w:val="24"/>
                <w:szCs w:val="24"/>
                <w:lang w:val="lv-LV" w:eastAsia="lv-LV"/>
              </w:rPr>
              <w:t xml:space="preserve"> </w:t>
            </w:r>
            <w:r w:rsidRPr="00116F1F" w:rsidR="00F94E63">
              <w:rPr>
                <w:rFonts w:ascii="Times New Roman" w:hAnsi="Times New Roman" w:eastAsia="Times New Roman" w:cs="Times New Roman"/>
                <w:sz w:val="24"/>
                <w:szCs w:val="24"/>
                <w:lang w:val="lv-LV" w:eastAsia="lv-LV"/>
              </w:rPr>
              <w:t>Latvijas Telekomunikāciju asociācija</w:t>
            </w:r>
            <w:r w:rsidR="00F94E63">
              <w:rPr>
                <w:rFonts w:ascii="Times New Roman" w:hAnsi="Times New Roman" w:eastAsia="Times New Roman" w:cs="Times New Roman"/>
                <w:sz w:val="24"/>
                <w:szCs w:val="24"/>
                <w:lang w:val="lv-LV" w:eastAsia="lv-LV"/>
              </w:rPr>
              <w:t>s un Tieslietu ministrijas</w:t>
            </w:r>
            <w:r w:rsidDel="00624872" w:rsidR="00F94E63">
              <w:rPr>
                <w:rFonts w:ascii="Times New Roman" w:hAnsi="Times New Roman" w:eastAsia="Times New Roman" w:cs="Times New Roman"/>
                <w:sz w:val="24"/>
                <w:szCs w:val="24"/>
                <w:lang w:val="lv-LV" w:eastAsia="lv-LV"/>
              </w:rPr>
              <w:t xml:space="preserve"> </w:t>
            </w:r>
            <w:r w:rsidR="00F35791">
              <w:rPr>
                <w:rFonts w:ascii="Times New Roman" w:hAnsi="Times New Roman" w:eastAsia="Times New Roman" w:cs="Times New Roman"/>
                <w:sz w:val="24"/>
                <w:szCs w:val="24"/>
                <w:lang w:val="lv-LV" w:eastAsia="lv-LV"/>
              </w:rPr>
              <w:t>iebildumi</w:t>
            </w:r>
            <w:r w:rsidR="00F94E63">
              <w:rPr>
                <w:rFonts w:ascii="Times New Roman" w:hAnsi="Times New Roman" w:eastAsia="Times New Roman" w:cs="Times New Roman"/>
                <w:sz w:val="24"/>
                <w:szCs w:val="24"/>
                <w:lang w:val="lv-LV" w:eastAsia="lv-LV"/>
              </w:rPr>
              <w:t>.</w:t>
            </w:r>
            <w:r w:rsidR="00F35791">
              <w:rPr>
                <w:rFonts w:ascii="Times New Roman" w:hAnsi="Times New Roman" w:eastAsia="Times New Roman" w:cs="Times New Roman"/>
                <w:sz w:val="24"/>
                <w:szCs w:val="24"/>
                <w:lang w:val="lv-LV" w:eastAsia="lv-LV"/>
              </w:rPr>
              <w:t xml:space="preserve"> </w:t>
            </w:r>
          </w:p>
        </w:tc>
      </w:tr>
      <w:tr w:rsidRPr="0011260E" w:rsidR="00F35791" w:rsidTr="000235B1" w14:paraId="25EA9417" w14:textId="77777777">
        <w:tblPrEx>
          <w:tblCellMar>
            <w:left w:w="108" w:type="dxa"/>
            <w:right w:w="108" w:type="dxa"/>
          </w:tblCellMar>
        </w:tblPrEx>
        <w:tc>
          <w:tcPr>
            <w:tcW w:w="3794" w:type="dxa"/>
            <w:gridSpan w:val="3"/>
          </w:tcPr>
          <w:p w:rsidRPr="009C445F" w:rsidR="00F35791" w:rsidP="00F35791" w:rsidRDefault="00F35791" w14:paraId="02E09CAC" w14:textId="77777777">
            <w:pPr>
              <w:snapToGrid w:val="0"/>
              <w:spacing w:after="0" w:line="240" w:lineRule="auto"/>
              <w:ind w:left="170" w:right="170"/>
              <w:rPr>
                <w:rFonts w:ascii="Times New Roman" w:hAnsi="Times New Roman" w:eastAsia="Times New Roman" w:cs="Times New Roman"/>
                <w:color w:val="000000"/>
                <w:sz w:val="24"/>
                <w:szCs w:val="24"/>
                <w:lang w:val="lv-LV" w:eastAsia="lv-LV"/>
              </w:rPr>
            </w:pPr>
          </w:p>
        </w:tc>
        <w:tc>
          <w:tcPr>
            <w:tcW w:w="7229" w:type="dxa"/>
            <w:tcBorders>
              <w:bottom w:val="single" w:color="000000" w:sz="4" w:space="0"/>
            </w:tcBorders>
          </w:tcPr>
          <w:p w:rsidRPr="009C445F" w:rsidR="00F35791" w:rsidP="00F35791" w:rsidRDefault="00F35791" w14:paraId="7DE71A58" w14:textId="77777777">
            <w:pPr>
              <w:autoSpaceDE w:val="0"/>
              <w:autoSpaceDN w:val="0"/>
              <w:spacing w:after="0" w:line="240" w:lineRule="auto"/>
              <w:ind w:left="170" w:right="170"/>
              <w:rPr>
                <w:rFonts w:ascii="Times New Roman" w:hAnsi="Times New Roman" w:eastAsia="Times New Roman" w:cs="Times New Roman"/>
                <w:sz w:val="24"/>
                <w:szCs w:val="24"/>
                <w:lang w:val="lv-LV" w:eastAsia="lv-LV"/>
              </w:rPr>
            </w:pPr>
          </w:p>
        </w:tc>
      </w:tr>
      <w:tr w:rsidRPr="0011260E" w:rsidR="00F35791" w:rsidTr="000235B1" w14:paraId="0E086D80" w14:textId="77777777">
        <w:tblPrEx>
          <w:tblCellMar>
            <w:left w:w="108" w:type="dxa"/>
            <w:right w:w="108" w:type="dxa"/>
          </w:tblCellMar>
        </w:tblPrEx>
        <w:tc>
          <w:tcPr>
            <w:tcW w:w="3794" w:type="dxa"/>
            <w:gridSpan w:val="3"/>
          </w:tcPr>
          <w:p w:rsidRPr="009C445F" w:rsidR="00F35791" w:rsidP="00F35791" w:rsidRDefault="00F35791" w14:paraId="333FF2F9" w14:textId="77777777">
            <w:pPr>
              <w:snapToGrid w:val="0"/>
              <w:spacing w:after="0" w:line="240" w:lineRule="auto"/>
              <w:ind w:left="170" w:right="170"/>
              <w:rPr>
                <w:rFonts w:ascii="Times New Roman" w:hAnsi="Times New Roman" w:eastAsia="Times New Roman" w:cs="Times New Roman"/>
                <w:color w:val="000000"/>
                <w:sz w:val="24"/>
                <w:szCs w:val="24"/>
                <w:lang w:val="lv-LV" w:eastAsia="lv-LV"/>
              </w:rPr>
            </w:pPr>
            <w:r w:rsidRPr="009C445F">
              <w:rPr>
                <w:rFonts w:ascii="Times New Roman" w:hAnsi="Times New Roman" w:eastAsia="Times New Roman" w:cs="Times New Roman"/>
                <w:color w:val="000000"/>
                <w:sz w:val="24"/>
                <w:szCs w:val="24"/>
                <w:lang w:val="lv-LV" w:eastAsia="lv-LV"/>
              </w:rPr>
              <w:t>Ministrijas (citas institūcijas), kuras nav ieradušās uz sanāksmi vai kuras nav atbildējušas uz uzaicinājumu piedalīties elektroniskajā saskaņošanā</w:t>
            </w:r>
          </w:p>
        </w:tc>
        <w:tc>
          <w:tcPr>
            <w:tcW w:w="7229" w:type="dxa"/>
            <w:tcBorders>
              <w:top w:val="single" w:color="000000" w:sz="4" w:space="0"/>
              <w:bottom w:val="single" w:color="000000" w:sz="4" w:space="0"/>
            </w:tcBorders>
          </w:tcPr>
          <w:p w:rsidRPr="009C445F" w:rsidR="00F35791" w:rsidP="00F35791" w:rsidRDefault="00F35791" w14:paraId="6F1EDCC5" w14:textId="77777777">
            <w:pPr>
              <w:spacing w:before="100" w:beforeAutospacing="1" w:after="100" w:afterAutospacing="1" w:line="240" w:lineRule="auto"/>
              <w:rPr>
                <w:rFonts w:ascii="Times New Roman" w:hAnsi="Times New Roman" w:eastAsia="Times New Roman" w:cs="Times New Roman"/>
                <w:color w:val="000000"/>
                <w:sz w:val="24"/>
                <w:szCs w:val="24"/>
                <w:lang w:val="lv-LV" w:eastAsia="lv-LV"/>
              </w:rPr>
            </w:pPr>
          </w:p>
        </w:tc>
      </w:tr>
      <w:tr w:rsidRPr="0011260E" w:rsidR="00F35791" w:rsidTr="000235B1" w14:paraId="572754D2" w14:textId="77777777">
        <w:tblPrEx>
          <w:tblCellMar>
            <w:left w:w="108" w:type="dxa"/>
            <w:right w:w="108" w:type="dxa"/>
          </w:tblCellMar>
        </w:tblPrEx>
        <w:tc>
          <w:tcPr>
            <w:tcW w:w="3794" w:type="dxa"/>
            <w:gridSpan w:val="3"/>
          </w:tcPr>
          <w:p w:rsidRPr="009C445F" w:rsidR="00F35791" w:rsidP="00F35791" w:rsidRDefault="00F35791" w14:paraId="745D8BC2" w14:textId="77777777">
            <w:pPr>
              <w:snapToGrid w:val="0"/>
              <w:spacing w:after="0" w:line="240" w:lineRule="auto"/>
              <w:ind w:left="170" w:right="170"/>
              <w:rPr>
                <w:rFonts w:ascii="Times New Roman" w:hAnsi="Times New Roman" w:eastAsia="Times New Roman" w:cs="Times New Roman"/>
                <w:color w:val="000000"/>
                <w:sz w:val="24"/>
                <w:szCs w:val="24"/>
                <w:lang w:val="lv-LV" w:eastAsia="lv-LV"/>
              </w:rPr>
            </w:pPr>
          </w:p>
        </w:tc>
        <w:tc>
          <w:tcPr>
            <w:tcW w:w="7229" w:type="dxa"/>
            <w:tcBorders>
              <w:top w:val="single" w:color="000000" w:sz="4" w:space="0"/>
              <w:bottom w:val="single" w:color="000000" w:sz="4" w:space="0"/>
            </w:tcBorders>
          </w:tcPr>
          <w:p w:rsidRPr="009C445F" w:rsidR="00F35791" w:rsidP="00F35791" w:rsidRDefault="00F35791" w14:paraId="43C77D86" w14:textId="77777777">
            <w:pPr>
              <w:snapToGrid w:val="0"/>
              <w:spacing w:after="0" w:line="240" w:lineRule="auto"/>
              <w:ind w:left="170" w:right="170"/>
              <w:rPr>
                <w:rFonts w:ascii="Times New Roman" w:hAnsi="Times New Roman" w:eastAsia="Times New Roman" w:cs="Times New Roman"/>
                <w:color w:val="000000"/>
                <w:sz w:val="24"/>
                <w:szCs w:val="24"/>
                <w:lang w:val="lv-LV" w:eastAsia="lv-LV"/>
              </w:rPr>
            </w:pPr>
          </w:p>
        </w:tc>
      </w:tr>
      <w:bookmarkEnd w:id="7"/>
    </w:tbl>
    <w:p w:rsidRPr="009C445F" w:rsidR="009C445F" w:rsidP="009C445F" w:rsidRDefault="009C445F" w14:paraId="1AEDDFA6" w14:textId="77777777">
      <w:pPr>
        <w:autoSpaceDE w:val="0"/>
        <w:autoSpaceDN w:val="0"/>
        <w:spacing w:after="0" w:line="240" w:lineRule="auto"/>
        <w:ind w:left="170" w:right="170"/>
        <w:jc w:val="center"/>
        <w:rPr>
          <w:rFonts w:ascii="Times New Roman" w:hAnsi="Times New Roman" w:eastAsia="Times New Roman" w:cs="Times New Roman"/>
          <w:b/>
          <w:bCs/>
          <w:sz w:val="24"/>
          <w:szCs w:val="24"/>
          <w:lang w:val="lv-LV" w:eastAsia="lv-LV"/>
        </w:rPr>
      </w:pPr>
    </w:p>
    <w:p w:rsidRPr="009C445F" w:rsidR="009C445F" w:rsidP="009C445F" w:rsidRDefault="009C445F" w14:paraId="32A9913D" w14:textId="77777777">
      <w:pPr>
        <w:autoSpaceDE w:val="0"/>
        <w:autoSpaceDN w:val="0"/>
        <w:spacing w:after="0" w:line="240" w:lineRule="auto"/>
        <w:ind w:left="170" w:right="170"/>
        <w:jc w:val="center"/>
        <w:rPr>
          <w:rFonts w:ascii="Times New Roman" w:hAnsi="Times New Roman" w:eastAsia="Times New Roman" w:cs="Times New Roman"/>
          <w:b/>
          <w:bCs/>
          <w:sz w:val="24"/>
          <w:szCs w:val="24"/>
          <w:lang w:val="lv-LV" w:eastAsia="lv-LV"/>
        </w:rPr>
      </w:pPr>
      <w:r w:rsidRPr="009C445F">
        <w:rPr>
          <w:rFonts w:ascii="Times New Roman" w:hAnsi="Times New Roman" w:eastAsia="Times New Roman" w:cs="Times New Roman"/>
          <w:b/>
          <w:bCs/>
          <w:sz w:val="24"/>
          <w:szCs w:val="24"/>
          <w:lang w:val="lv-LV" w:eastAsia="lv-LV"/>
        </w:rPr>
        <w:t>II. Jautājumi, par kuriem saskaņošanā vienošanās ir panākta</w:t>
      </w:r>
    </w:p>
    <w:p w:rsidRPr="009C445F" w:rsidR="009C445F" w:rsidP="009C445F" w:rsidRDefault="009C445F" w14:paraId="2E3591E6" w14:textId="77777777">
      <w:pPr>
        <w:autoSpaceDE w:val="0"/>
        <w:autoSpaceDN w:val="0"/>
        <w:spacing w:after="0" w:line="240" w:lineRule="auto"/>
        <w:ind w:left="170" w:right="170"/>
        <w:jc w:val="center"/>
        <w:rPr>
          <w:rFonts w:ascii="Times New Roman" w:hAnsi="Times New Roman" w:eastAsia="Times New Roman" w:cs="Times New Roman"/>
          <w:b/>
          <w:bCs/>
          <w:sz w:val="10"/>
          <w:szCs w:val="10"/>
          <w:lang w:val="lv-LV" w:eastAsia="lv-LV"/>
        </w:rPr>
      </w:pPr>
    </w:p>
    <w:tbl>
      <w:tblPr>
        <w:tblW w:w="1488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709"/>
        <w:gridCol w:w="3402"/>
        <w:gridCol w:w="3969"/>
        <w:gridCol w:w="3853"/>
        <w:gridCol w:w="2951"/>
      </w:tblGrid>
      <w:tr w:rsidRPr="009C445F" w:rsidR="00B545E4" w:rsidTr="00F3518D" w14:paraId="10D94781" w14:textId="77777777">
        <w:trPr>
          <w:trHeight w:val="358"/>
        </w:trPr>
        <w:tc>
          <w:tcPr>
            <w:tcW w:w="709" w:type="dxa"/>
          </w:tcPr>
          <w:p w:rsidRPr="009C445F" w:rsidR="00B545E4" w:rsidP="009C445F" w:rsidRDefault="00B545E4" w14:paraId="582AFBFF" w14:textId="77777777">
            <w:pPr>
              <w:autoSpaceDE w:val="0"/>
              <w:autoSpaceDN w:val="0"/>
              <w:spacing w:after="0" w:line="240" w:lineRule="auto"/>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Nr. p.k.</w:t>
            </w:r>
          </w:p>
        </w:tc>
        <w:tc>
          <w:tcPr>
            <w:tcW w:w="3402" w:type="dxa"/>
            <w:vAlign w:val="center"/>
          </w:tcPr>
          <w:p w:rsidRPr="009C445F" w:rsidR="00B545E4" w:rsidP="009C445F" w:rsidRDefault="00B545E4" w14:paraId="04123E81"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Saskaņošanai nosūtītā projekta redakcija (konkrēta punkta (panta) redakcija)</w:t>
            </w:r>
          </w:p>
        </w:tc>
        <w:tc>
          <w:tcPr>
            <w:tcW w:w="3969" w:type="dxa"/>
            <w:vAlign w:val="center"/>
          </w:tcPr>
          <w:p w:rsidRPr="009C445F" w:rsidR="00B545E4" w:rsidP="009C445F" w:rsidRDefault="00B545E4" w14:paraId="4AF49EAC"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853" w:type="dxa"/>
          </w:tcPr>
          <w:p w:rsidRPr="009C445F" w:rsidR="00B545E4" w:rsidP="00FE6562" w:rsidRDefault="00B545E4" w14:paraId="25781516"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bookmarkStart w:name="_Hlk10128029" w:id="10"/>
            <w:r w:rsidRPr="009C445F">
              <w:rPr>
                <w:rFonts w:ascii="Times New Roman" w:hAnsi="Times New Roman" w:eastAsia="Times New Roman" w:cs="Times New Roman"/>
                <w:sz w:val="24"/>
                <w:szCs w:val="24"/>
                <w:lang w:val="lv-LV" w:eastAsia="lv-LV"/>
              </w:rPr>
              <w:t>Atbildīgās ministrijas norāde par to, ka iebildums ir ņemts vērā, vai informācija par saskaņošanā panākto alternatīvo risinājumu</w:t>
            </w:r>
            <w:bookmarkEnd w:id="10"/>
          </w:p>
        </w:tc>
        <w:tc>
          <w:tcPr>
            <w:tcW w:w="2951" w:type="dxa"/>
          </w:tcPr>
          <w:p w:rsidRPr="009C445F" w:rsidR="00B545E4" w:rsidP="009C445F" w:rsidRDefault="00B545E4" w14:paraId="0ACDB65A" w14:textId="77777777">
            <w:pPr>
              <w:autoSpaceDE w:val="0"/>
              <w:autoSpaceDN w:val="0"/>
              <w:spacing w:after="0" w:line="240" w:lineRule="auto"/>
              <w:ind w:left="170" w:right="170"/>
              <w:jc w:val="center"/>
              <w:rPr>
                <w:rFonts w:ascii="Times New Roman" w:hAnsi="Times New Roman" w:eastAsia="Times New Roman" w:cs="Times New Roman"/>
                <w:sz w:val="24"/>
                <w:szCs w:val="24"/>
                <w:lang w:val="lv-LV" w:eastAsia="lv-LV"/>
              </w:rPr>
            </w:pPr>
            <w:r w:rsidRPr="009C445F">
              <w:rPr>
                <w:rFonts w:ascii="Times New Roman" w:hAnsi="Times New Roman" w:eastAsia="Times New Roman" w:cs="Times New Roman"/>
                <w:sz w:val="24"/>
                <w:szCs w:val="24"/>
                <w:lang w:val="lv-LV" w:eastAsia="lv-LV"/>
              </w:rPr>
              <w:t>Projekta attiecīgā punkta (panta) galīgā redakcija</w:t>
            </w:r>
          </w:p>
        </w:tc>
      </w:tr>
      <w:tr w:rsidRPr="009C445F" w:rsidR="00B545E4" w:rsidTr="00F3518D" w14:paraId="4EDF04B5" w14:textId="77777777">
        <w:trPr>
          <w:trHeight w:val="358"/>
        </w:trPr>
        <w:tc>
          <w:tcPr>
            <w:tcW w:w="709" w:type="dxa"/>
          </w:tcPr>
          <w:p w:rsidRPr="009C445F" w:rsidR="00B545E4" w:rsidP="009C445F" w:rsidRDefault="009377E2" w14:paraId="7A98EB2A" w14:textId="7E58B108">
            <w:pPr>
              <w:autoSpaceDE w:val="0"/>
              <w:autoSpaceDN w:val="0"/>
              <w:spacing w:after="0" w:line="240" w:lineRule="auto"/>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1</w:t>
            </w:r>
            <w:r w:rsidRPr="009C445F" w:rsidR="00B545E4">
              <w:rPr>
                <w:rFonts w:ascii="Times New Roman" w:hAnsi="Times New Roman" w:eastAsia="Times New Roman" w:cs="Times New Roman"/>
                <w:sz w:val="24"/>
                <w:szCs w:val="24"/>
                <w:lang w:val="lv-LV" w:eastAsia="lv-LV"/>
              </w:rPr>
              <w:t>.</w:t>
            </w:r>
          </w:p>
        </w:tc>
        <w:tc>
          <w:tcPr>
            <w:tcW w:w="3402" w:type="dxa"/>
          </w:tcPr>
          <w:p w:rsidRPr="009377E2" w:rsidR="00B545E4" w:rsidP="009C445F" w:rsidRDefault="00B545E4" w14:paraId="57829927" w14:textId="4C90CB63">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9377E2">
              <w:rPr>
                <w:rFonts w:ascii="Times New Roman" w:hAnsi="Times New Roman" w:eastAsia="Times New Roman" w:cs="Times New Roman"/>
                <w:sz w:val="24"/>
                <w:szCs w:val="24"/>
                <w:lang w:val="lv-LV" w:eastAsia="lv-LV"/>
              </w:rPr>
              <w:t>Skatīt izsludinātā informatīvā ziņojuma redakciju.</w:t>
            </w:r>
          </w:p>
        </w:tc>
        <w:tc>
          <w:tcPr>
            <w:tcW w:w="3969" w:type="dxa"/>
            <w:vAlign w:val="bottom"/>
          </w:tcPr>
          <w:p w:rsidRPr="00956F9F" w:rsidR="00B545E4" w:rsidP="00956F9F" w:rsidRDefault="00B545E4" w14:paraId="5B9E38C9" w14:textId="77777777">
            <w:pPr>
              <w:autoSpaceDE w:val="0"/>
              <w:autoSpaceDN w:val="0"/>
              <w:spacing w:after="0" w:line="240" w:lineRule="auto"/>
              <w:ind w:right="170"/>
              <w:jc w:val="both"/>
              <w:rPr>
                <w:rFonts w:ascii="Times New Roman" w:hAnsi="Times New Roman" w:eastAsia="Times New Roman" w:cs="Times New Roman"/>
                <w:b/>
                <w:sz w:val="24"/>
                <w:szCs w:val="24"/>
                <w:lang w:val="lv-LV" w:eastAsia="lv-LV"/>
              </w:rPr>
            </w:pPr>
            <w:r w:rsidRPr="00956F9F">
              <w:rPr>
                <w:rFonts w:ascii="Times New Roman" w:hAnsi="Times New Roman" w:eastAsia="Times New Roman" w:cs="Times New Roman"/>
                <w:b/>
                <w:sz w:val="24"/>
                <w:szCs w:val="24"/>
                <w:lang w:val="lv-LV" w:eastAsia="lv-LV"/>
              </w:rPr>
              <w:t>Sabiedrisko pakalpojumu regulēšanas komisija</w:t>
            </w:r>
          </w:p>
          <w:p w:rsidRPr="00956F9F" w:rsidR="00B545E4" w:rsidP="00956F9F" w:rsidRDefault="00B545E4" w14:paraId="5FF552F4" w14:textId="77777777">
            <w:pPr>
              <w:autoSpaceDE w:val="0"/>
              <w:autoSpaceDN w:val="0"/>
              <w:spacing w:after="0" w:line="240" w:lineRule="auto"/>
              <w:ind w:right="170"/>
              <w:jc w:val="both"/>
              <w:rPr>
                <w:rFonts w:ascii="Times New Roman" w:hAnsi="Times New Roman" w:eastAsia="Times New Roman" w:cs="Times New Roman"/>
                <w:b/>
                <w:sz w:val="24"/>
                <w:szCs w:val="24"/>
                <w:lang w:val="lv-LV" w:eastAsia="lv-LV"/>
              </w:rPr>
            </w:pPr>
            <w:r w:rsidRPr="00956F9F">
              <w:rPr>
                <w:rFonts w:ascii="Times New Roman" w:hAnsi="Times New Roman" w:eastAsia="Times New Roman" w:cs="Times New Roman"/>
                <w:b/>
                <w:sz w:val="24"/>
                <w:szCs w:val="24"/>
                <w:lang w:val="lv-LV" w:eastAsia="lv-LV"/>
              </w:rPr>
              <w:t>10.04.2019.</w:t>
            </w:r>
          </w:p>
          <w:p w:rsidRPr="00956F9F" w:rsidR="00B545E4" w:rsidP="00956F9F" w:rsidRDefault="00B545E4" w14:paraId="617C55F9"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p>
          <w:p w:rsidRPr="00956F9F" w:rsidR="00B545E4" w:rsidP="00956F9F" w:rsidRDefault="00B545E4" w14:paraId="79FB0A8B"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sidRPr="00956F9F">
              <w:rPr>
                <w:rFonts w:ascii="Times New Roman" w:hAnsi="Times New Roman" w:eastAsia="Times New Roman" w:cs="Times New Roman"/>
                <w:sz w:val="24"/>
                <w:szCs w:val="24"/>
                <w:lang w:val="lv-LV" w:eastAsia="lv-LV"/>
              </w:rPr>
              <w:t xml:space="preserve">Regulators izsaka šādus priekšlikumus: </w:t>
            </w:r>
          </w:p>
          <w:p w:rsidRPr="00956F9F" w:rsidR="00B545E4" w:rsidP="00956F9F" w:rsidRDefault="00B545E4" w14:paraId="2ED07593"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sidRPr="00956F9F">
              <w:rPr>
                <w:rFonts w:ascii="Times New Roman" w:hAnsi="Times New Roman" w:eastAsia="Times New Roman" w:cs="Times New Roman"/>
                <w:sz w:val="24"/>
                <w:szCs w:val="24"/>
                <w:lang w:val="lv-LV" w:eastAsia="lv-LV"/>
              </w:rPr>
              <w:t>Papildināt Projektu ar atsauci uz Elektronisko sakaru komisijas (</w:t>
            </w:r>
            <w:proofErr w:type="spellStart"/>
            <w:r w:rsidRPr="00956F9F">
              <w:rPr>
                <w:rFonts w:ascii="Times New Roman" w:hAnsi="Times New Roman" w:eastAsia="Times New Roman" w:cs="Times New Roman"/>
                <w:sz w:val="24"/>
                <w:szCs w:val="24"/>
                <w:lang w:val="lv-LV" w:eastAsia="lv-LV"/>
              </w:rPr>
              <w:t>Electronic</w:t>
            </w:r>
            <w:proofErr w:type="spellEnd"/>
            <w:r w:rsidRPr="00956F9F">
              <w:rPr>
                <w:rFonts w:ascii="Times New Roman" w:hAnsi="Times New Roman" w:eastAsia="Times New Roman" w:cs="Times New Roman"/>
                <w:sz w:val="24"/>
                <w:szCs w:val="24"/>
                <w:lang w:val="lv-LV" w:eastAsia="lv-LV"/>
              </w:rPr>
              <w:t xml:space="preserve"> Communications </w:t>
            </w:r>
            <w:proofErr w:type="spellStart"/>
            <w:r w:rsidRPr="00956F9F">
              <w:rPr>
                <w:rFonts w:ascii="Times New Roman" w:hAnsi="Times New Roman" w:eastAsia="Times New Roman" w:cs="Times New Roman"/>
                <w:sz w:val="24"/>
                <w:szCs w:val="24"/>
                <w:lang w:val="lv-LV" w:eastAsia="lv-LV"/>
              </w:rPr>
              <w:lastRenderedPageBreak/>
              <w:t>Committee</w:t>
            </w:r>
            <w:proofErr w:type="spellEnd"/>
            <w:r w:rsidRPr="00956F9F">
              <w:rPr>
                <w:rFonts w:ascii="Times New Roman" w:hAnsi="Times New Roman" w:eastAsia="Times New Roman" w:cs="Times New Roman"/>
                <w:sz w:val="24"/>
                <w:szCs w:val="24"/>
                <w:lang w:val="lv-LV" w:eastAsia="lv-LV"/>
              </w:rPr>
              <w:t>) rekomendāciju ECC/REC/(11)03. Regulators vērš uzmanību rekomendācijā norādītajam, ka visaptveroša interneta protokola 6.vesrijas (IPv6) ieviešana ir ilgstošas attīstības risinājums. Turklāt šī rekomendācija paredz dalībvalstīm izdalīt jaunu līdz 15 cipariem garu numerācijas diapazonu lietu internetam (</w:t>
            </w:r>
            <w:proofErr w:type="spellStart"/>
            <w:r w:rsidRPr="00956F9F">
              <w:rPr>
                <w:rFonts w:ascii="Times New Roman" w:hAnsi="Times New Roman" w:eastAsia="Times New Roman" w:cs="Times New Roman"/>
                <w:sz w:val="24"/>
                <w:szCs w:val="24"/>
                <w:lang w:val="lv-LV" w:eastAsia="lv-LV"/>
              </w:rPr>
              <w:t>IoT</w:t>
            </w:r>
            <w:proofErr w:type="spellEnd"/>
            <w:r w:rsidRPr="00956F9F">
              <w:rPr>
                <w:rFonts w:ascii="Times New Roman" w:hAnsi="Times New Roman" w:eastAsia="Times New Roman" w:cs="Times New Roman"/>
                <w:sz w:val="24"/>
                <w:szCs w:val="24"/>
                <w:lang w:val="lv-LV" w:eastAsia="lv-LV"/>
              </w:rPr>
              <w:t xml:space="preserve">) un mašīna-mašīna sakaru (M2M)  pakalpojumiem. Tas nozīmē, ka </w:t>
            </w:r>
            <w:proofErr w:type="spellStart"/>
            <w:r w:rsidRPr="00956F9F">
              <w:rPr>
                <w:rFonts w:ascii="Times New Roman" w:hAnsi="Times New Roman" w:eastAsia="Times New Roman" w:cs="Times New Roman"/>
                <w:sz w:val="24"/>
                <w:szCs w:val="24"/>
                <w:lang w:val="lv-LV" w:eastAsia="lv-LV"/>
              </w:rPr>
              <w:t>IoT</w:t>
            </w:r>
            <w:proofErr w:type="spellEnd"/>
            <w:r w:rsidRPr="00956F9F">
              <w:rPr>
                <w:rFonts w:ascii="Times New Roman" w:hAnsi="Times New Roman" w:eastAsia="Times New Roman" w:cs="Times New Roman"/>
                <w:sz w:val="24"/>
                <w:szCs w:val="24"/>
                <w:lang w:val="lv-LV" w:eastAsia="lv-LV"/>
              </w:rPr>
              <w:t>/M2M numerācijas ieviešana ir optimālākais vidēja termiņa variants.</w:t>
            </w:r>
          </w:p>
          <w:p w:rsidRPr="009C445F" w:rsidR="00B545E4" w:rsidP="009C445F" w:rsidRDefault="00B545E4" w14:paraId="43349CDF" w14:textId="77777777">
            <w:pPr>
              <w:autoSpaceDE w:val="0"/>
              <w:autoSpaceDN w:val="0"/>
              <w:spacing w:after="0" w:line="240" w:lineRule="auto"/>
              <w:ind w:right="170"/>
              <w:jc w:val="both"/>
              <w:rPr>
                <w:rFonts w:ascii="Times New Roman" w:hAnsi="Times New Roman" w:eastAsia="Times New Roman" w:cs="Times New Roman"/>
                <w:sz w:val="24"/>
                <w:szCs w:val="24"/>
                <w:lang w:val="lv-LV" w:eastAsia="lv-LV"/>
              </w:rPr>
            </w:pPr>
          </w:p>
        </w:tc>
        <w:tc>
          <w:tcPr>
            <w:tcW w:w="3853" w:type="dxa"/>
          </w:tcPr>
          <w:p w:rsidR="00B545E4" w:rsidP="00FE6562" w:rsidRDefault="00B545E4" w14:paraId="17164F1A"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sidRPr="00F63292">
              <w:rPr>
                <w:rFonts w:ascii="Times New Roman" w:hAnsi="Times New Roman" w:eastAsia="Times New Roman" w:cs="Times New Roman"/>
                <w:b/>
                <w:bCs/>
                <w:sz w:val="24"/>
                <w:szCs w:val="24"/>
                <w:lang w:val="lv-LV" w:eastAsia="lv-LV"/>
              </w:rPr>
              <w:lastRenderedPageBreak/>
              <w:t>Iebildums ir</w:t>
            </w:r>
            <w:r>
              <w:rPr>
                <w:rFonts w:ascii="Times New Roman" w:hAnsi="Times New Roman" w:eastAsia="Times New Roman" w:cs="Times New Roman"/>
                <w:b/>
                <w:bCs/>
                <w:sz w:val="24"/>
                <w:szCs w:val="24"/>
                <w:lang w:val="lv-LV" w:eastAsia="lv-LV"/>
              </w:rPr>
              <w:t xml:space="preserve"> </w:t>
            </w:r>
            <w:r w:rsidRPr="00F63292">
              <w:rPr>
                <w:rFonts w:ascii="Times New Roman" w:hAnsi="Times New Roman" w:eastAsia="Times New Roman" w:cs="Times New Roman"/>
                <w:b/>
                <w:bCs/>
                <w:sz w:val="24"/>
                <w:szCs w:val="24"/>
                <w:lang w:val="lv-LV" w:eastAsia="lv-LV"/>
              </w:rPr>
              <w:t>ņemts vērā.</w:t>
            </w:r>
          </w:p>
          <w:p w:rsidRPr="009C445F" w:rsidR="00B545E4" w:rsidP="00FE6562" w:rsidRDefault="00B545E4" w14:paraId="57F093FB" w14:textId="127656F2">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tc>
        <w:tc>
          <w:tcPr>
            <w:tcW w:w="2951" w:type="dxa"/>
          </w:tcPr>
          <w:p w:rsidRPr="009377E2" w:rsidR="00B545E4" w:rsidP="009C445F" w:rsidRDefault="00B545E4" w14:paraId="4369DA0D" w14:textId="4C6BB45F">
            <w:pPr>
              <w:autoSpaceDE w:val="0"/>
              <w:autoSpaceDN w:val="0"/>
              <w:spacing w:after="0" w:line="240" w:lineRule="auto"/>
              <w:ind w:left="170" w:right="170"/>
              <w:jc w:val="both"/>
              <w:rPr>
                <w:rFonts w:ascii="Times New Roman" w:hAnsi="Times New Roman" w:eastAsia="Times New Roman" w:cs="Times New Roman"/>
                <w:b/>
                <w:i/>
                <w:sz w:val="24"/>
                <w:szCs w:val="24"/>
                <w:lang w:val="lv-LV" w:eastAsia="lv-LV"/>
              </w:rPr>
            </w:pPr>
            <w:r w:rsidRPr="009377E2">
              <w:rPr>
                <w:rFonts w:ascii="Times New Roman" w:hAnsi="Times New Roman" w:eastAsia="Times New Roman" w:cs="Times New Roman"/>
                <w:b/>
                <w:i/>
                <w:sz w:val="24"/>
                <w:szCs w:val="24"/>
                <w:lang w:val="lv-LV" w:eastAsia="lv-LV"/>
              </w:rPr>
              <w:t xml:space="preserve">Skatīt precizētā informatīvā ziņojuma 2.daļu.  </w:t>
            </w:r>
          </w:p>
        </w:tc>
      </w:tr>
      <w:tr w:rsidRPr="009C445F" w:rsidR="00B545E4" w:rsidTr="00F3518D" w14:paraId="5713FB53" w14:textId="62EC76AF">
        <w:trPr>
          <w:trHeight w:val="358"/>
        </w:trPr>
        <w:tc>
          <w:tcPr>
            <w:tcW w:w="709" w:type="dxa"/>
          </w:tcPr>
          <w:p w:rsidRPr="009C445F" w:rsidR="00B545E4" w:rsidP="00852D0E" w:rsidRDefault="009377E2" w14:paraId="477EBAA4" w14:textId="473B4E02">
            <w:pPr>
              <w:autoSpaceDE w:val="0"/>
              <w:autoSpaceDN w:val="0"/>
              <w:spacing w:after="0" w:line="240" w:lineRule="auto"/>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2</w:t>
            </w:r>
            <w:r w:rsidR="00B545E4">
              <w:rPr>
                <w:rFonts w:ascii="Times New Roman" w:hAnsi="Times New Roman" w:eastAsia="Times New Roman" w:cs="Times New Roman"/>
                <w:sz w:val="24"/>
                <w:szCs w:val="24"/>
                <w:lang w:val="lv-LV" w:eastAsia="lv-LV"/>
              </w:rPr>
              <w:t>.</w:t>
            </w:r>
          </w:p>
        </w:tc>
        <w:tc>
          <w:tcPr>
            <w:tcW w:w="3402" w:type="dxa"/>
          </w:tcPr>
          <w:p w:rsidR="00B545E4" w:rsidP="00852D0E" w:rsidRDefault="00B545E4" w14:paraId="63CB07CF" w14:textId="580AF4AB">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Skatīt precizētā informatīvā ziņojuma redakciju.</w:t>
            </w:r>
          </w:p>
        </w:tc>
        <w:tc>
          <w:tcPr>
            <w:tcW w:w="3969" w:type="dxa"/>
          </w:tcPr>
          <w:p w:rsidRPr="009A178A" w:rsidR="00B545E4" w:rsidP="00852D0E" w:rsidRDefault="00B545E4" w14:paraId="70CB18F1"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9A178A">
              <w:rPr>
                <w:rFonts w:ascii="Times New Roman" w:hAnsi="Times New Roman" w:eastAsia="Times New Roman" w:cs="Times New Roman"/>
                <w:b/>
                <w:sz w:val="24"/>
                <w:szCs w:val="24"/>
                <w:lang w:val="lv-LV" w:eastAsia="lv-LV"/>
              </w:rPr>
              <w:t>Sabiedrisko pakalpojumu regulēšanas komisija</w:t>
            </w:r>
          </w:p>
          <w:p w:rsidRPr="009A178A" w:rsidR="00B545E4" w:rsidP="00852D0E" w:rsidRDefault="00B545E4" w14:paraId="3A88CBCA"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9A178A">
              <w:rPr>
                <w:rFonts w:ascii="Times New Roman" w:hAnsi="Times New Roman" w:eastAsia="Times New Roman" w:cs="Times New Roman"/>
                <w:b/>
                <w:sz w:val="24"/>
                <w:szCs w:val="24"/>
                <w:lang w:val="lv-LV" w:eastAsia="lv-LV"/>
              </w:rPr>
              <w:t>10.04.2019.</w:t>
            </w:r>
          </w:p>
          <w:p w:rsidRPr="009A178A" w:rsidR="00B545E4" w:rsidP="00852D0E" w:rsidRDefault="00B545E4" w14:paraId="2CFED023"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p>
          <w:p w:rsidRPr="00956F9F" w:rsidR="00B545E4" w:rsidP="00852D0E" w:rsidRDefault="00B545E4" w14:paraId="7EF76F0E" w14:textId="46839AB1">
            <w:pPr>
              <w:autoSpaceDE w:val="0"/>
              <w:autoSpaceDN w:val="0"/>
              <w:spacing w:after="0" w:line="240" w:lineRule="auto"/>
              <w:ind w:right="170"/>
              <w:jc w:val="both"/>
              <w:rPr>
                <w:rFonts w:ascii="Times New Roman" w:hAnsi="Times New Roman" w:eastAsia="Times New Roman" w:cs="Times New Roman"/>
                <w:b/>
                <w:sz w:val="24"/>
                <w:szCs w:val="24"/>
                <w:lang w:val="lv-LV" w:eastAsia="lv-LV"/>
              </w:rPr>
            </w:pPr>
            <w:r w:rsidRPr="009A178A">
              <w:rPr>
                <w:rFonts w:ascii="Times New Roman" w:hAnsi="Times New Roman" w:eastAsia="Times New Roman" w:cs="Times New Roman"/>
                <w:sz w:val="24"/>
                <w:szCs w:val="24"/>
                <w:lang w:val="lv-LV" w:eastAsia="lv-LV"/>
              </w:rPr>
              <w:t xml:space="preserve">Attiecībā par valsts nodevu par numerācijas lietošanas tiesībām (turpmāk – Nodeva) Regulators aicina papildināt Projektu ar priekšlikumu, kas paredz iespēju Nodevu ieviest pakāpeniski. Piemēram, ar 2020.gada 1.janvāri pakalpojuma numuriem (bezmaksas izsaukuma pakalpojuma numuri, dalītās samaksas pakalpojuma numuri, papildu samaksas pakalpojuma numuri un citu veidu </w:t>
            </w:r>
            <w:r w:rsidRPr="009A178A">
              <w:rPr>
                <w:rFonts w:ascii="Times New Roman" w:hAnsi="Times New Roman" w:eastAsia="Times New Roman" w:cs="Times New Roman"/>
                <w:sz w:val="24"/>
                <w:szCs w:val="24"/>
                <w:lang w:val="lv-LV" w:eastAsia="lv-LV"/>
              </w:rPr>
              <w:lastRenderedPageBreak/>
              <w:t>pakalpojumu numuri) un ar 2021.gada 1.janvāri nacionālajiem numuriem (publiskā fiksētā un mobilā telefona tīkla numuri). Papildus Regulators informē, ka Nodevas ieviešana Regulatora piedāvātajā apmērā ļaus papildināt Valsts budžetu aptuveni par 1 000 000 EUR gadā</w:t>
            </w:r>
          </w:p>
        </w:tc>
        <w:tc>
          <w:tcPr>
            <w:tcW w:w="3853" w:type="dxa"/>
          </w:tcPr>
          <w:p w:rsidRPr="00B45C15" w:rsidR="00B545E4" w:rsidP="00FE6562" w:rsidRDefault="00DD2539" w14:paraId="3DB43498" w14:textId="1308D14B">
            <w:pPr>
              <w:autoSpaceDE w:val="0"/>
              <w:autoSpaceDN w:val="0"/>
              <w:spacing w:after="0" w:line="240" w:lineRule="auto"/>
              <w:jc w:val="both"/>
              <w:rPr>
                <w:rFonts w:ascii="Times New Roman" w:hAnsi="Times New Roman" w:eastAsia="Times New Roman" w:cs="Times New Roman"/>
                <w:b/>
                <w:bCs/>
                <w:sz w:val="24"/>
                <w:szCs w:val="24"/>
                <w:lang w:val="lv-LV" w:eastAsia="lv-LV"/>
              </w:rPr>
            </w:pPr>
            <w:r>
              <w:rPr>
                <w:rFonts w:ascii="Times New Roman" w:hAnsi="Times New Roman" w:eastAsia="Times New Roman" w:cs="Times New Roman"/>
                <w:b/>
                <w:bCs/>
                <w:sz w:val="24"/>
                <w:szCs w:val="24"/>
                <w:lang w:val="lv-LV" w:eastAsia="lv-LV"/>
              </w:rPr>
              <w:lastRenderedPageBreak/>
              <w:t>Vienošanās ir panākta  elektroniskajā saskaņošanā</w:t>
            </w:r>
            <w:r w:rsidRPr="00B45C15" w:rsidR="00B545E4">
              <w:rPr>
                <w:rFonts w:ascii="Times New Roman" w:hAnsi="Times New Roman" w:eastAsia="Times New Roman" w:cs="Times New Roman"/>
                <w:b/>
                <w:bCs/>
                <w:sz w:val="24"/>
                <w:szCs w:val="24"/>
                <w:lang w:val="lv-LV" w:eastAsia="lv-LV"/>
              </w:rPr>
              <w:t>.</w:t>
            </w:r>
          </w:p>
          <w:p w:rsidR="00B545E4" w:rsidP="00FE6562" w:rsidRDefault="00B545E4" w14:paraId="455280DD" w14:textId="77777777">
            <w:pPr>
              <w:autoSpaceDE w:val="0"/>
              <w:autoSpaceDN w:val="0"/>
              <w:spacing w:after="0" w:line="240" w:lineRule="auto"/>
              <w:jc w:val="both"/>
              <w:rPr>
                <w:rFonts w:ascii="Times New Roman" w:hAnsi="Times New Roman" w:eastAsia="Times New Roman" w:cs="Times New Roman"/>
                <w:sz w:val="24"/>
                <w:szCs w:val="24"/>
                <w:lang w:val="lv-LV" w:eastAsia="lv-LV"/>
              </w:rPr>
            </w:pPr>
          </w:p>
          <w:p w:rsidRPr="00F63292" w:rsidR="00B545E4" w:rsidP="000E5111" w:rsidRDefault="00B545E4" w14:paraId="756C6AA3" w14:textId="0926695E">
            <w:pPr>
              <w:autoSpaceDE w:val="0"/>
              <w:autoSpaceDN w:val="0"/>
              <w:spacing w:after="0" w:line="240" w:lineRule="auto"/>
              <w:ind w:right="170"/>
              <w:jc w:val="both"/>
              <w:rPr>
                <w:rFonts w:ascii="Times New Roman" w:hAnsi="Times New Roman" w:eastAsia="Times New Roman" w:cs="Times New Roman"/>
                <w:b/>
                <w:bCs/>
                <w:sz w:val="24"/>
                <w:szCs w:val="24"/>
                <w:lang w:val="lv-LV" w:eastAsia="lv-LV"/>
              </w:rPr>
            </w:pPr>
            <w:r>
              <w:rPr>
                <w:rFonts w:ascii="Times New Roman" w:hAnsi="Times New Roman" w:eastAsia="Times New Roman" w:cs="Times New Roman"/>
                <w:sz w:val="24"/>
                <w:szCs w:val="24"/>
                <w:lang w:val="lv-LV" w:eastAsia="lv-LV"/>
              </w:rPr>
              <w:t xml:space="preserve">Satiksmes ministrijas ieskatā Nodevas ieviešana </w:t>
            </w:r>
            <w:r w:rsidRPr="009A178A">
              <w:rPr>
                <w:rFonts w:ascii="Times New Roman" w:hAnsi="Times New Roman" w:eastAsia="Times New Roman" w:cs="Times New Roman"/>
                <w:sz w:val="24"/>
                <w:szCs w:val="24"/>
                <w:lang w:val="lv-LV" w:eastAsia="lv-LV"/>
              </w:rPr>
              <w:t>pakalpojuma numuriem (bezmaksas izsaukuma pakalpojuma numuri, dalītās samaksas pakalpojuma numuri, papildu samaksas pakalpojuma numuri un citu veidu pakalpojumu numuri</w:t>
            </w:r>
            <w:r>
              <w:rPr>
                <w:rFonts w:ascii="Times New Roman" w:hAnsi="Times New Roman" w:eastAsia="Times New Roman" w:cs="Times New Roman"/>
                <w:sz w:val="24"/>
                <w:szCs w:val="24"/>
                <w:lang w:val="lv-LV" w:eastAsia="lv-LV"/>
              </w:rPr>
              <w:t xml:space="preserve">) līdz 2020.gada 1.janvārim ir pārāk strauja. </w:t>
            </w:r>
            <w:r w:rsidRPr="003E3608">
              <w:rPr>
                <w:rFonts w:ascii="Times New Roman" w:hAnsi="Times New Roman" w:eastAsia="Times New Roman" w:cs="Times New Roman"/>
                <w:sz w:val="24"/>
                <w:szCs w:val="24"/>
                <w:lang w:val="lv-LV" w:eastAsia="lv-LV"/>
              </w:rPr>
              <w:t>Satiksmes ministrija paredz iespēju Nodevu ieviest pakāpeniski. Piemēram, ar 202</w:t>
            </w:r>
            <w:r>
              <w:rPr>
                <w:rFonts w:ascii="Times New Roman" w:hAnsi="Times New Roman" w:eastAsia="Times New Roman" w:cs="Times New Roman"/>
                <w:sz w:val="24"/>
                <w:szCs w:val="24"/>
                <w:lang w:val="lv-LV" w:eastAsia="lv-LV"/>
              </w:rPr>
              <w:t>1</w:t>
            </w:r>
            <w:r w:rsidRPr="003E3608">
              <w:rPr>
                <w:rFonts w:ascii="Times New Roman" w:hAnsi="Times New Roman" w:eastAsia="Times New Roman" w:cs="Times New Roman"/>
                <w:sz w:val="24"/>
                <w:szCs w:val="24"/>
                <w:lang w:val="lv-LV" w:eastAsia="lv-LV"/>
              </w:rPr>
              <w:t xml:space="preserve">.gada 1.janvāri pakalpojuma numuriem un </w:t>
            </w:r>
            <w:proofErr w:type="spellStart"/>
            <w:r w:rsidRPr="003E3608">
              <w:rPr>
                <w:rFonts w:ascii="Times New Roman" w:hAnsi="Times New Roman" w:eastAsia="Times New Roman" w:cs="Times New Roman"/>
                <w:sz w:val="24"/>
                <w:szCs w:val="24"/>
                <w:lang w:val="lv-LV" w:eastAsia="lv-LV"/>
              </w:rPr>
              <w:t>IoT</w:t>
            </w:r>
            <w:proofErr w:type="spellEnd"/>
            <w:r w:rsidRPr="003E3608">
              <w:rPr>
                <w:rFonts w:ascii="Times New Roman" w:hAnsi="Times New Roman" w:eastAsia="Times New Roman" w:cs="Times New Roman"/>
                <w:sz w:val="24"/>
                <w:szCs w:val="24"/>
                <w:lang w:val="lv-LV" w:eastAsia="lv-LV"/>
              </w:rPr>
              <w:t xml:space="preserve">/M2M </w:t>
            </w:r>
            <w:r w:rsidRPr="003E3608">
              <w:rPr>
                <w:rFonts w:ascii="Times New Roman" w:hAnsi="Times New Roman" w:eastAsia="Times New Roman" w:cs="Times New Roman"/>
                <w:sz w:val="24"/>
                <w:szCs w:val="24"/>
                <w:lang w:val="lv-LV" w:eastAsia="lv-LV"/>
              </w:rPr>
              <w:lastRenderedPageBreak/>
              <w:t>pakalpojuma numuriem, un ar 202</w:t>
            </w:r>
            <w:r>
              <w:rPr>
                <w:rFonts w:ascii="Times New Roman" w:hAnsi="Times New Roman" w:eastAsia="Times New Roman" w:cs="Times New Roman"/>
                <w:sz w:val="24"/>
                <w:szCs w:val="24"/>
                <w:lang w:val="lv-LV" w:eastAsia="lv-LV"/>
              </w:rPr>
              <w:t>2</w:t>
            </w:r>
            <w:r w:rsidRPr="003E3608">
              <w:rPr>
                <w:rFonts w:ascii="Times New Roman" w:hAnsi="Times New Roman" w:eastAsia="Times New Roman" w:cs="Times New Roman"/>
                <w:sz w:val="24"/>
                <w:szCs w:val="24"/>
                <w:lang w:val="lv-LV" w:eastAsia="lv-LV"/>
              </w:rPr>
              <w:t>.gada 1.janvāri nacionālajiem numuriem (publiskā fiksētā un publiskā mobilā telefonu tīkla numuri).</w:t>
            </w:r>
          </w:p>
        </w:tc>
        <w:tc>
          <w:tcPr>
            <w:tcW w:w="2951" w:type="dxa"/>
            <w:tcBorders>
              <w:right w:val="single" w:color="auto" w:sz="4" w:space="0"/>
            </w:tcBorders>
          </w:tcPr>
          <w:p w:rsidR="00B545E4" w:rsidDel="00B678F5" w:rsidP="00852D0E" w:rsidRDefault="00C1386B" w14:paraId="5B43E779" w14:textId="78EEBA1B">
            <w:pPr>
              <w:autoSpaceDE w:val="0"/>
              <w:autoSpaceDN w:val="0"/>
              <w:spacing w:after="0" w:line="240" w:lineRule="auto"/>
              <w:ind w:left="170" w:right="170"/>
              <w:jc w:val="both"/>
              <w:rPr>
                <w:rFonts w:ascii="Times New Roman" w:hAnsi="Times New Roman" w:eastAsia="Times New Roman" w:cs="Times New Roman"/>
                <w:b/>
                <w:i/>
                <w:sz w:val="24"/>
                <w:szCs w:val="24"/>
                <w:lang w:val="lv-LV" w:eastAsia="lv-LV"/>
              </w:rPr>
            </w:pPr>
            <w:r>
              <w:rPr>
                <w:rFonts w:ascii="Times New Roman" w:hAnsi="Times New Roman" w:eastAsia="Times New Roman" w:cs="Times New Roman"/>
                <w:b/>
                <w:i/>
                <w:sz w:val="24"/>
                <w:szCs w:val="24"/>
                <w:lang w:val="lv-LV" w:eastAsia="lv-LV"/>
              </w:rPr>
              <w:lastRenderedPageBreak/>
              <w:t>Skatīt precizētā informatīvā ziņojuma 3.daļu.</w:t>
            </w:r>
          </w:p>
        </w:tc>
      </w:tr>
      <w:tr w:rsidRPr="00856A70" w:rsidR="00B545E4" w:rsidTr="00F3518D" w14:paraId="45B3ECEE" w14:textId="77777777">
        <w:trPr>
          <w:trHeight w:val="358"/>
        </w:trPr>
        <w:tc>
          <w:tcPr>
            <w:tcW w:w="709" w:type="dxa"/>
          </w:tcPr>
          <w:p w:rsidRPr="009C445F" w:rsidR="00B545E4" w:rsidP="00852D0E" w:rsidRDefault="009377E2" w14:paraId="4062B239" w14:textId="481B9639">
            <w:pPr>
              <w:autoSpaceDE w:val="0"/>
              <w:autoSpaceDN w:val="0"/>
              <w:spacing w:after="0" w:line="240" w:lineRule="auto"/>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3</w:t>
            </w:r>
            <w:r w:rsidR="00B545E4">
              <w:rPr>
                <w:rFonts w:ascii="Times New Roman" w:hAnsi="Times New Roman" w:eastAsia="Times New Roman" w:cs="Times New Roman"/>
                <w:sz w:val="24"/>
                <w:szCs w:val="24"/>
                <w:lang w:val="lv-LV" w:eastAsia="lv-LV"/>
              </w:rPr>
              <w:t>.</w:t>
            </w:r>
          </w:p>
        </w:tc>
        <w:tc>
          <w:tcPr>
            <w:tcW w:w="3402" w:type="dxa"/>
          </w:tcPr>
          <w:p w:rsidR="00B545E4" w:rsidP="00852D0E" w:rsidRDefault="00B545E4" w14:paraId="255C1405" w14:textId="6F440805">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Skatīt izsludinātā informatīvā ziņojuma redakciju.</w:t>
            </w:r>
          </w:p>
        </w:tc>
        <w:tc>
          <w:tcPr>
            <w:tcW w:w="3969" w:type="dxa"/>
          </w:tcPr>
          <w:p w:rsidRPr="00B545E4" w:rsidR="00B545E4" w:rsidP="00852D0E" w:rsidRDefault="00B545E4" w14:paraId="229550C9" w14:textId="77777777">
            <w:pPr>
              <w:autoSpaceDE w:val="0"/>
              <w:autoSpaceDN w:val="0"/>
              <w:spacing w:after="0" w:line="240" w:lineRule="auto"/>
              <w:jc w:val="both"/>
              <w:rPr>
                <w:rFonts w:ascii="Times New Roman" w:hAnsi="Times New Roman"/>
                <w:b/>
                <w:sz w:val="24"/>
                <w:szCs w:val="24"/>
                <w:lang w:val="lv-LV"/>
              </w:rPr>
            </w:pPr>
            <w:r w:rsidRPr="00B545E4">
              <w:rPr>
                <w:rFonts w:ascii="Times New Roman" w:hAnsi="Times New Roman"/>
                <w:b/>
                <w:sz w:val="24"/>
                <w:szCs w:val="24"/>
                <w:lang w:val="lv-LV"/>
              </w:rPr>
              <w:t>Tieslietu ministrija</w:t>
            </w:r>
          </w:p>
          <w:p w:rsidRPr="00B545E4" w:rsidR="00B545E4" w:rsidP="00852D0E" w:rsidRDefault="00B545E4" w14:paraId="5548FF31" w14:textId="77777777">
            <w:pPr>
              <w:autoSpaceDE w:val="0"/>
              <w:autoSpaceDN w:val="0"/>
              <w:spacing w:after="0" w:line="240" w:lineRule="auto"/>
              <w:jc w:val="both"/>
              <w:rPr>
                <w:rFonts w:ascii="Times New Roman" w:hAnsi="Times New Roman"/>
                <w:b/>
                <w:sz w:val="24"/>
                <w:szCs w:val="24"/>
                <w:lang w:val="lv-LV"/>
              </w:rPr>
            </w:pPr>
            <w:r w:rsidRPr="00B545E4">
              <w:rPr>
                <w:rFonts w:ascii="Times New Roman" w:hAnsi="Times New Roman"/>
                <w:b/>
                <w:sz w:val="24"/>
                <w:szCs w:val="24"/>
                <w:lang w:val="lv-LV"/>
              </w:rPr>
              <w:t>12.04.2019.</w:t>
            </w:r>
          </w:p>
          <w:p w:rsidRPr="00B545E4" w:rsidR="00B545E4" w:rsidP="00852D0E" w:rsidRDefault="00B545E4" w14:paraId="6C72E246" w14:textId="77777777">
            <w:pPr>
              <w:autoSpaceDE w:val="0"/>
              <w:autoSpaceDN w:val="0"/>
              <w:spacing w:after="0" w:line="240" w:lineRule="auto"/>
              <w:jc w:val="both"/>
              <w:rPr>
                <w:rFonts w:ascii="Times New Roman" w:hAnsi="Times New Roman"/>
                <w:b/>
                <w:sz w:val="24"/>
                <w:szCs w:val="24"/>
                <w:lang w:val="lv-LV"/>
              </w:rPr>
            </w:pPr>
          </w:p>
          <w:p w:rsidRPr="00956F9F" w:rsidR="00B545E4" w:rsidP="00852D0E" w:rsidRDefault="00B545E4" w14:paraId="5878B917" w14:textId="0E5F91B7">
            <w:pPr>
              <w:autoSpaceDE w:val="0"/>
              <w:autoSpaceDN w:val="0"/>
              <w:spacing w:after="0" w:line="240" w:lineRule="auto"/>
              <w:ind w:right="170"/>
              <w:jc w:val="both"/>
              <w:rPr>
                <w:rFonts w:ascii="Times New Roman" w:hAnsi="Times New Roman" w:eastAsia="Times New Roman" w:cs="Times New Roman"/>
                <w:b/>
                <w:sz w:val="24"/>
                <w:szCs w:val="24"/>
                <w:lang w:val="lv-LV" w:eastAsia="lv-LV"/>
              </w:rPr>
            </w:pPr>
            <w:r w:rsidRPr="00B545E4">
              <w:rPr>
                <w:rFonts w:ascii="Times New Roman" w:hAnsi="Times New Roman"/>
                <w:sz w:val="24"/>
                <w:szCs w:val="24"/>
                <w:lang w:val="lv-LV"/>
              </w:rPr>
              <w:t xml:space="preserve">Informatīvajam ziņojumam pievienotā </w:t>
            </w:r>
            <w:proofErr w:type="spellStart"/>
            <w:r w:rsidRPr="00B545E4">
              <w:rPr>
                <w:rFonts w:ascii="Times New Roman" w:hAnsi="Times New Roman"/>
                <w:sz w:val="24"/>
                <w:szCs w:val="24"/>
                <w:lang w:val="lv-LV"/>
              </w:rPr>
              <w:t>protokollēmuma</w:t>
            </w:r>
            <w:proofErr w:type="spellEnd"/>
            <w:r w:rsidRPr="00B545E4">
              <w:rPr>
                <w:rFonts w:ascii="Times New Roman" w:hAnsi="Times New Roman"/>
                <w:sz w:val="24"/>
                <w:szCs w:val="24"/>
                <w:lang w:val="lv-LV"/>
              </w:rPr>
              <w:t xml:space="preserve"> 3. punktā ir minēta Satiksmes ministrijas Numerācijas lietošanas tiesību ikgadējās valsts nodevas izvērtēšanas darba grupa. Lūdzam skaidrot, saskaņā ar kādu normatīvo aktu tāda darba grupa izveidota un kāds ir tās statuss, ņemot vērā to, ka Satiksmes ministrijas mājaslapā un ārējos normatīvos aktos nav atrodama informācija par šādu darba grupu.</w:t>
            </w:r>
          </w:p>
        </w:tc>
        <w:tc>
          <w:tcPr>
            <w:tcW w:w="3853" w:type="dxa"/>
          </w:tcPr>
          <w:p w:rsidR="00B545E4" w:rsidP="00FE6562" w:rsidRDefault="00B545E4" w14:paraId="628C9AF4"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sidRPr="00F63292">
              <w:rPr>
                <w:rFonts w:ascii="Times New Roman" w:hAnsi="Times New Roman" w:eastAsia="Times New Roman" w:cs="Times New Roman"/>
                <w:b/>
                <w:bCs/>
                <w:sz w:val="24"/>
                <w:szCs w:val="24"/>
                <w:lang w:val="lv-LV" w:eastAsia="lv-LV"/>
              </w:rPr>
              <w:t>Iebildums ir</w:t>
            </w:r>
            <w:r>
              <w:rPr>
                <w:rFonts w:ascii="Times New Roman" w:hAnsi="Times New Roman" w:eastAsia="Times New Roman" w:cs="Times New Roman"/>
                <w:b/>
                <w:bCs/>
                <w:sz w:val="24"/>
                <w:szCs w:val="24"/>
                <w:lang w:val="lv-LV" w:eastAsia="lv-LV"/>
              </w:rPr>
              <w:t xml:space="preserve"> </w:t>
            </w:r>
            <w:r w:rsidRPr="00F63292">
              <w:rPr>
                <w:rFonts w:ascii="Times New Roman" w:hAnsi="Times New Roman" w:eastAsia="Times New Roman" w:cs="Times New Roman"/>
                <w:b/>
                <w:bCs/>
                <w:sz w:val="24"/>
                <w:szCs w:val="24"/>
                <w:lang w:val="lv-LV" w:eastAsia="lv-LV"/>
              </w:rPr>
              <w:t>ņemts vērā.</w:t>
            </w:r>
          </w:p>
          <w:p w:rsidR="00B545E4" w:rsidP="00FE6562" w:rsidRDefault="00B545E4" w14:paraId="6A74B7D9"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p w:rsidRPr="009C445F" w:rsidR="00B545E4" w:rsidP="00FE6562" w:rsidRDefault="00B545E4" w14:paraId="2A6186D1" w14:textId="01D41A0B">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tc>
        <w:tc>
          <w:tcPr>
            <w:tcW w:w="2951" w:type="dxa"/>
          </w:tcPr>
          <w:p w:rsidRPr="009C445F" w:rsidR="00B545E4" w:rsidP="00852D0E" w:rsidRDefault="007B6698" w14:paraId="7A7DC322" w14:textId="4CA05192">
            <w:pPr>
              <w:autoSpaceDE w:val="0"/>
              <w:autoSpaceDN w:val="0"/>
              <w:spacing w:after="0" w:line="240" w:lineRule="auto"/>
              <w:ind w:left="170" w:right="170"/>
              <w:jc w:val="both"/>
              <w:rPr>
                <w:rFonts w:ascii="Times New Roman" w:hAnsi="Times New Roman" w:eastAsia="Times New Roman" w:cs="Times New Roman"/>
                <w:b/>
                <w:i/>
                <w:sz w:val="24"/>
                <w:szCs w:val="24"/>
                <w:lang w:val="lv-LV" w:eastAsia="lv-LV"/>
              </w:rPr>
            </w:pPr>
            <w:r>
              <w:rPr>
                <w:rFonts w:ascii="Times New Roman" w:hAnsi="Times New Roman" w:eastAsia="Times New Roman" w:cs="Times New Roman"/>
                <w:b/>
                <w:i/>
                <w:sz w:val="24"/>
                <w:szCs w:val="24"/>
                <w:lang w:val="lv-LV" w:eastAsia="lv-LV"/>
              </w:rPr>
              <w:t xml:space="preserve">Skatīt precizētā </w:t>
            </w:r>
            <w:proofErr w:type="spellStart"/>
            <w:r>
              <w:rPr>
                <w:rFonts w:ascii="Times New Roman" w:hAnsi="Times New Roman" w:eastAsia="Times New Roman" w:cs="Times New Roman"/>
                <w:b/>
                <w:i/>
                <w:sz w:val="24"/>
                <w:szCs w:val="24"/>
                <w:lang w:val="lv-LV" w:eastAsia="lv-LV"/>
              </w:rPr>
              <w:t>protokollēmuma</w:t>
            </w:r>
            <w:proofErr w:type="spellEnd"/>
            <w:r>
              <w:rPr>
                <w:rFonts w:ascii="Times New Roman" w:hAnsi="Times New Roman" w:eastAsia="Times New Roman" w:cs="Times New Roman"/>
                <w:b/>
                <w:i/>
                <w:sz w:val="24"/>
                <w:szCs w:val="24"/>
                <w:lang w:val="lv-LV" w:eastAsia="lv-LV"/>
              </w:rPr>
              <w:t xml:space="preserve"> 3.punktu.</w:t>
            </w:r>
          </w:p>
        </w:tc>
      </w:tr>
      <w:tr w:rsidRPr="009C445F" w:rsidR="00B545E4" w:rsidTr="00F3518D" w14:paraId="4FFF59FD" w14:textId="77777777">
        <w:trPr>
          <w:trHeight w:val="358"/>
        </w:trPr>
        <w:tc>
          <w:tcPr>
            <w:tcW w:w="709" w:type="dxa"/>
          </w:tcPr>
          <w:p w:rsidRPr="009C445F" w:rsidR="00B545E4" w:rsidP="00852D0E" w:rsidRDefault="009377E2" w14:paraId="3F8E9579" w14:textId="03039399">
            <w:pPr>
              <w:autoSpaceDE w:val="0"/>
              <w:autoSpaceDN w:val="0"/>
              <w:spacing w:after="0" w:line="240" w:lineRule="auto"/>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4</w:t>
            </w:r>
            <w:r w:rsidR="00B545E4">
              <w:rPr>
                <w:rFonts w:ascii="Times New Roman" w:hAnsi="Times New Roman" w:eastAsia="Times New Roman" w:cs="Times New Roman"/>
                <w:sz w:val="24"/>
                <w:szCs w:val="24"/>
                <w:lang w:val="lv-LV" w:eastAsia="lv-LV"/>
              </w:rPr>
              <w:t>.</w:t>
            </w:r>
          </w:p>
        </w:tc>
        <w:tc>
          <w:tcPr>
            <w:tcW w:w="3402" w:type="dxa"/>
          </w:tcPr>
          <w:p w:rsidR="00B545E4" w:rsidP="00852D0E" w:rsidRDefault="00B545E4" w14:paraId="5C090664" w14:textId="1FF4A254">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Skatīt izsludinātā informatīvā ziņojuma redakciju.</w:t>
            </w:r>
          </w:p>
        </w:tc>
        <w:tc>
          <w:tcPr>
            <w:tcW w:w="3969" w:type="dxa"/>
            <w:vAlign w:val="bottom"/>
          </w:tcPr>
          <w:p w:rsidRPr="00B545E4" w:rsidR="00B545E4" w:rsidP="00852D0E" w:rsidRDefault="00B545E4" w14:paraId="7BFBC613" w14:textId="77777777">
            <w:pPr>
              <w:autoSpaceDE w:val="0"/>
              <w:autoSpaceDN w:val="0"/>
              <w:spacing w:after="0" w:line="240" w:lineRule="auto"/>
              <w:jc w:val="both"/>
              <w:rPr>
                <w:rFonts w:ascii="Times New Roman" w:hAnsi="Times New Roman"/>
                <w:b/>
                <w:sz w:val="24"/>
                <w:szCs w:val="24"/>
                <w:lang w:val="lv-LV"/>
              </w:rPr>
            </w:pPr>
            <w:r w:rsidRPr="00B545E4">
              <w:rPr>
                <w:rFonts w:ascii="Times New Roman" w:hAnsi="Times New Roman"/>
                <w:b/>
                <w:sz w:val="24"/>
                <w:szCs w:val="24"/>
                <w:lang w:val="lv-LV"/>
              </w:rPr>
              <w:t>Finanšu ministrija</w:t>
            </w:r>
          </w:p>
          <w:p w:rsidRPr="00B545E4" w:rsidR="00B545E4" w:rsidP="00852D0E" w:rsidRDefault="00B545E4" w14:paraId="04EAB294" w14:textId="77777777">
            <w:pPr>
              <w:autoSpaceDE w:val="0"/>
              <w:autoSpaceDN w:val="0"/>
              <w:spacing w:after="0" w:line="240" w:lineRule="auto"/>
              <w:jc w:val="both"/>
              <w:rPr>
                <w:rFonts w:ascii="Times New Roman" w:hAnsi="Times New Roman"/>
                <w:b/>
                <w:sz w:val="24"/>
                <w:szCs w:val="24"/>
                <w:lang w:val="lv-LV"/>
              </w:rPr>
            </w:pPr>
            <w:r w:rsidRPr="00B545E4">
              <w:rPr>
                <w:rFonts w:ascii="Times New Roman" w:hAnsi="Times New Roman"/>
                <w:b/>
                <w:sz w:val="24"/>
                <w:szCs w:val="24"/>
                <w:lang w:val="lv-LV"/>
              </w:rPr>
              <w:t>11.04.2019.</w:t>
            </w:r>
          </w:p>
          <w:p w:rsidRPr="00B545E4" w:rsidR="00B545E4" w:rsidP="00852D0E" w:rsidRDefault="00B545E4" w14:paraId="3AD18BFE" w14:textId="77777777">
            <w:pPr>
              <w:autoSpaceDE w:val="0"/>
              <w:autoSpaceDN w:val="0"/>
              <w:spacing w:after="0" w:line="240" w:lineRule="auto"/>
              <w:jc w:val="both"/>
              <w:rPr>
                <w:rFonts w:ascii="Times New Roman" w:hAnsi="Times New Roman"/>
                <w:b/>
                <w:sz w:val="24"/>
                <w:szCs w:val="24"/>
                <w:lang w:val="lv-LV"/>
              </w:rPr>
            </w:pPr>
          </w:p>
          <w:p w:rsidRPr="00B545E4" w:rsidR="00B545E4" w:rsidP="00852D0E" w:rsidRDefault="00B545E4" w14:paraId="61471673" w14:textId="13F459E8">
            <w:pPr>
              <w:autoSpaceDE w:val="0"/>
              <w:autoSpaceDN w:val="0"/>
              <w:spacing w:after="0" w:line="240" w:lineRule="auto"/>
              <w:jc w:val="both"/>
              <w:rPr>
                <w:rFonts w:ascii="Times New Roman" w:hAnsi="Times New Roman"/>
                <w:sz w:val="24"/>
                <w:szCs w:val="24"/>
                <w:lang w:val="lv-LV"/>
              </w:rPr>
            </w:pPr>
            <w:r w:rsidRPr="00B545E4">
              <w:rPr>
                <w:rFonts w:ascii="Times New Roman" w:hAnsi="Times New Roman"/>
                <w:sz w:val="24"/>
                <w:szCs w:val="24"/>
                <w:lang w:val="lv-LV"/>
              </w:rPr>
              <w:t xml:space="preserve">Vēršam uzmanību, ka projektā tiek skaidrots par ikgadējās valsts nodevas noteikšanas nepieciešamību attiecībā uz visām numerācijas lietošanas </w:t>
            </w:r>
            <w:r w:rsidRPr="00B545E4">
              <w:rPr>
                <w:rFonts w:ascii="Times New Roman" w:hAnsi="Times New Roman"/>
                <w:sz w:val="24"/>
                <w:szCs w:val="24"/>
                <w:lang w:val="lv-LV"/>
              </w:rPr>
              <w:lastRenderedPageBreak/>
              <w:t>tiesībām un netiek runāts par maksas pakalpojumiem, tādējādi ierosinām precizēt lietoto terminoloģiju, aizstājot visā projektā vārdu “maksa” ar vārdu “maksājums”.</w:t>
            </w:r>
          </w:p>
        </w:tc>
        <w:tc>
          <w:tcPr>
            <w:tcW w:w="3853" w:type="dxa"/>
          </w:tcPr>
          <w:p w:rsidR="00B545E4" w:rsidP="00FE6562" w:rsidRDefault="00B545E4" w14:paraId="3FDC012E" w14:textId="77A9A8C8">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sidRPr="00F63292">
              <w:rPr>
                <w:rFonts w:ascii="Times New Roman" w:hAnsi="Times New Roman" w:eastAsia="Times New Roman" w:cs="Times New Roman"/>
                <w:b/>
                <w:bCs/>
                <w:sz w:val="24"/>
                <w:szCs w:val="24"/>
                <w:lang w:val="lv-LV" w:eastAsia="lv-LV"/>
              </w:rPr>
              <w:lastRenderedPageBreak/>
              <w:t>Iebildums ir</w:t>
            </w:r>
            <w:r>
              <w:rPr>
                <w:rFonts w:ascii="Times New Roman" w:hAnsi="Times New Roman" w:eastAsia="Times New Roman" w:cs="Times New Roman"/>
                <w:b/>
                <w:bCs/>
                <w:sz w:val="24"/>
                <w:szCs w:val="24"/>
                <w:lang w:val="lv-LV" w:eastAsia="lv-LV"/>
              </w:rPr>
              <w:t xml:space="preserve"> </w:t>
            </w:r>
            <w:r w:rsidRPr="00F63292">
              <w:rPr>
                <w:rFonts w:ascii="Times New Roman" w:hAnsi="Times New Roman" w:eastAsia="Times New Roman" w:cs="Times New Roman"/>
                <w:b/>
                <w:bCs/>
                <w:sz w:val="24"/>
                <w:szCs w:val="24"/>
                <w:lang w:val="lv-LV" w:eastAsia="lv-LV"/>
              </w:rPr>
              <w:t>ņemts vērā.</w:t>
            </w:r>
          </w:p>
          <w:p w:rsidRPr="009C445F" w:rsidR="00B545E4" w:rsidP="00FE6562" w:rsidRDefault="00B545E4" w14:paraId="7F3517BC" w14:textId="77777777">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p>
        </w:tc>
        <w:tc>
          <w:tcPr>
            <w:tcW w:w="2951" w:type="dxa"/>
          </w:tcPr>
          <w:p w:rsidRPr="009C445F" w:rsidR="00B545E4" w:rsidP="00852D0E" w:rsidRDefault="00B545E4" w14:paraId="32DC7EF5" w14:textId="565C69B5">
            <w:pPr>
              <w:autoSpaceDE w:val="0"/>
              <w:autoSpaceDN w:val="0"/>
              <w:spacing w:after="0" w:line="240" w:lineRule="auto"/>
              <w:ind w:left="170" w:right="170"/>
              <w:jc w:val="both"/>
              <w:rPr>
                <w:rFonts w:ascii="Times New Roman" w:hAnsi="Times New Roman" w:eastAsia="Times New Roman" w:cs="Times New Roman"/>
                <w:b/>
                <w:i/>
                <w:sz w:val="24"/>
                <w:szCs w:val="24"/>
                <w:lang w:val="lv-LV" w:eastAsia="lv-LV"/>
              </w:rPr>
            </w:pPr>
            <w:r>
              <w:rPr>
                <w:rFonts w:ascii="Times New Roman" w:hAnsi="Times New Roman" w:eastAsia="Times New Roman" w:cs="Times New Roman"/>
                <w:b/>
                <w:i/>
                <w:sz w:val="24"/>
                <w:szCs w:val="24"/>
                <w:lang w:val="lv-LV" w:eastAsia="lv-LV"/>
              </w:rPr>
              <w:t xml:space="preserve">Skatīt precizēto informatīvo ziņojumu. </w:t>
            </w:r>
          </w:p>
        </w:tc>
      </w:tr>
      <w:tr w:rsidRPr="00856A70" w:rsidR="00B545E4" w:rsidTr="00F3518D" w14:paraId="0F7D37D9" w14:textId="77777777">
        <w:trPr>
          <w:trHeight w:val="358"/>
        </w:trPr>
        <w:tc>
          <w:tcPr>
            <w:tcW w:w="709" w:type="dxa"/>
          </w:tcPr>
          <w:p w:rsidR="00B545E4" w:rsidP="00852D0E" w:rsidRDefault="009377E2" w14:paraId="5489E8F3" w14:textId="6E4D63DB">
            <w:pPr>
              <w:autoSpaceDE w:val="0"/>
              <w:autoSpaceDN w:val="0"/>
              <w:spacing w:after="0" w:line="240" w:lineRule="auto"/>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5</w:t>
            </w:r>
            <w:r w:rsidR="00B545E4">
              <w:rPr>
                <w:rFonts w:ascii="Times New Roman" w:hAnsi="Times New Roman" w:eastAsia="Times New Roman" w:cs="Times New Roman"/>
                <w:sz w:val="24"/>
                <w:szCs w:val="24"/>
                <w:lang w:val="lv-LV" w:eastAsia="lv-LV"/>
              </w:rPr>
              <w:t>.</w:t>
            </w:r>
          </w:p>
        </w:tc>
        <w:tc>
          <w:tcPr>
            <w:tcW w:w="3402" w:type="dxa"/>
          </w:tcPr>
          <w:p w:rsidR="00B545E4" w:rsidP="00852D0E" w:rsidRDefault="00B545E4" w14:paraId="49BA9CE6" w14:textId="15B6477C">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sidRPr="00AA157E">
              <w:rPr>
                <w:rFonts w:ascii="Times New Roman" w:hAnsi="Times New Roman" w:eastAsia="Times New Roman" w:cs="Times New Roman"/>
                <w:sz w:val="24"/>
                <w:szCs w:val="24"/>
                <w:lang w:val="lv-LV" w:eastAsia="lv-LV"/>
              </w:rPr>
              <w:t>Skatīt izsludinātā informatīvā ziņojuma redakciju.</w:t>
            </w:r>
          </w:p>
        </w:tc>
        <w:tc>
          <w:tcPr>
            <w:tcW w:w="3969" w:type="dxa"/>
          </w:tcPr>
          <w:p w:rsidRPr="00AA157E" w:rsidR="00B545E4" w:rsidP="00852D0E" w:rsidRDefault="00B545E4" w14:paraId="7456C6C5"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AA157E">
              <w:rPr>
                <w:rFonts w:ascii="Times New Roman" w:hAnsi="Times New Roman" w:eastAsia="Times New Roman" w:cs="Times New Roman"/>
                <w:b/>
                <w:sz w:val="24"/>
                <w:szCs w:val="24"/>
                <w:lang w:val="lv-LV" w:eastAsia="lv-LV"/>
              </w:rPr>
              <w:t>Vides aizsardzības un reģionālās attīstības ministrija</w:t>
            </w:r>
          </w:p>
          <w:p w:rsidRPr="00AA157E" w:rsidR="00B545E4" w:rsidP="00852D0E" w:rsidRDefault="00B545E4" w14:paraId="40147BA3"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AA157E">
              <w:rPr>
                <w:rFonts w:ascii="Times New Roman" w:hAnsi="Times New Roman" w:eastAsia="Times New Roman" w:cs="Times New Roman"/>
                <w:b/>
                <w:sz w:val="24"/>
                <w:szCs w:val="24"/>
                <w:lang w:val="lv-LV" w:eastAsia="lv-LV"/>
              </w:rPr>
              <w:t>12.04.2019.</w:t>
            </w:r>
          </w:p>
          <w:p w:rsidRPr="00AA157E" w:rsidR="00B545E4" w:rsidP="00852D0E" w:rsidRDefault="00B545E4" w14:paraId="6CD7F0A8"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p>
          <w:p w:rsidRPr="00B545E4" w:rsidR="00B545E4" w:rsidP="00852D0E" w:rsidRDefault="00B545E4" w14:paraId="17220F9B" w14:textId="33385212">
            <w:pPr>
              <w:autoSpaceDE w:val="0"/>
              <w:autoSpaceDN w:val="0"/>
              <w:spacing w:after="0" w:line="240" w:lineRule="auto"/>
              <w:jc w:val="both"/>
              <w:rPr>
                <w:rFonts w:ascii="Times New Roman" w:hAnsi="Times New Roman" w:eastAsia="Times New Roman" w:cs="Times New Roman"/>
                <w:bCs/>
                <w:sz w:val="24"/>
                <w:szCs w:val="24"/>
                <w:lang w:val="lv-LV" w:eastAsia="lv-LV"/>
              </w:rPr>
            </w:pPr>
            <w:r w:rsidRPr="00B545E4">
              <w:rPr>
                <w:rFonts w:ascii="Times New Roman" w:hAnsi="Times New Roman" w:eastAsia="Times New Roman" w:cs="Times New Roman"/>
                <w:bCs/>
                <w:sz w:val="24"/>
                <w:szCs w:val="24"/>
                <w:lang w:val="lv-LV" w:eastAsia="lv-LV"/>
              </w:rPr>
              <w:t xml:space="preserve">Atbilstoši jautājumu virzības kompetencei, izteikt </w:t>
            </w:r>
            <w:proofErr w:type="spellStart"/>
            <w:r w:rsidRPr="00B545E4">
              <w:rPr>
                <w:rFonts w:ascii="Times New Roman" w:hAnsi="Times New Roman" w:eastAsia="Times New Roman" w:cs="Times New Roman"/>
                <w:bCs/>
                <w:sz w:val="24"/>
                <w:szCs w:val="24"/>
                <w:lang w:val="lv-LV" w:eastAsia="lv-LV"/>
              </w:rPr>
              <w:t>protokollēmuma</w:t>
            </w:r>
            <w:proofErr w:type="spellEnd"/>
            <w:r w:rsidRPr="00B545E4">
              <w:rPr>
                <w:rFonts w:ascii="Times New Roman" w:hAnsi="Times New Roman" w:eastAsia="Times New Roman" w:cs="Times New Roman"/>
                <w:bCs/>
                <w:sz w:val="24"/>
                <w:szCs w:val="24"/>
                <w:lang w:val="lv-LV" w:eastAsia="lv-LV"/>
              </w:rPr>
              <w:t xml:space="preserve"> 2.punktu šādā redakcijā: “2. Satiksmes ministrijai līdz 2020. gada 1. aprīlim iesniegt priekšlikumus Vides aizsardzības un reģionālās attīstības ministrijai grozījumiem Ministru kabineta 2015. gada 30. jūnija noteikumos Nr. 367 “Nacionālais numerācijas plāns” par numerācijas iedalīšanu </w:t>
            </w:r>
            <w:proofErr w:type="spellStart"/>
            <w:r w:rsidRPr="00B545E4">
              <w:rPr>
                <w:rFonts w:ascii="Times New Roman" w:hAnsi="Times New Roman" w:eastAsia="Times New Roman" w:cs="Times New Roman"/>
                <w:bCs/>
                <w:sz w:val="24"/>
                <w:szCs w:val="24"/>
                <w:lang w:val="lv-LV" w:eastAsia="lv-LV"/>
              </w:rPr>
              <w:t>starpierīču</w:t>
            </w:r>
            <w:proofErr w:type="spellEnd"/>
            <w:r w:rsidRPr="00B545E4">
              <w:rPr>
                <w:rFonts w:ascii="Times New Roman" w:hAnsi="Times New Roman" w:eastAsia="Times New Roman" w:cs="Times New Roman"/>
                <w:bCs/>
                <w:sz w:val="24"/>
                <w:szCs w:val="24"/>
                <w:lang w:val="lv-LV" w:eastAsia="lv-LV"/>
              </w:rPr>
              <w:t xml:space="preserve"> sakariem (</w:t>
            </w:r>
            <w:proofErr w:type="spellStart"/>
            <w:r w:rsidRPr="00B545E4">
              <w:rPr>
                <w:rFonts w:ascii="Times New Roman" w:hAnsi="Times New Roman" w:eastAsia="Times New Roman" w:cs="Times New Roman"/>
                <w:bCs/>
                <w:sz w:val="24"/>
                <w:szCs w:val="24"/>
                <w:lang w:val="lv-LV" w:eastAsia="lv-LV"/>
              </w:rPr>
              <w:t>IoT</w:t>
            </w:r>
            <w:proofErr w:type="spellEnd"/>
            <w:r w:rsidRPr="00B545E4">
              <w:rPr>
                <w:rFonts w:ascii="Times New Roman" w:hAnsi="Times New Roman" w:eastAsia="Times New Roman" w:cs="Times New Roman"/>
                <w:bCs/>
                <w:sz w:val="24"/>
                <w:szCs w:val="24"/>
                <w:lang w:val="lv-LV" w:eastAsia="lv-LV"/>
              </w:rPr>
              <w:t>/M2M).”</w:t>
            </w:r>
          </w:p>
        </w:tc>
        <w:tc>
          <w:tcPr>
            <w:tcW w:w="3853" w:type="dxa"/>
          </w:tcPr>
          <w:p w:rsidR="00B545E4" w:rsidP="00FE6562" w:rsidRDefault="00B545E4" w14:paraId="08871FD2" w14:textId="3A13F9F8">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sidRPr="005F3CC0">
              <w:rPr>
                <w:rFonts w:ascii="Times New Roman" w:hAnsi="Times New Roman" w:eastAsia="Times New Roman" w:cs="Times New Roman"/>
                <w:b/>
                <w:bCs/>
                <w:sz w:val="24"/>
                <w:szCs w:val="24"/>
                <w:lang w:val="lv-LV" w:eastAsia="lv-LV"/>
              </w:rPr>
              <w:t xml:space="preserve">Iebildums </w:t>
            </w:r>
            <w:r w:rsidR="00D80BCB">
              <w:rPr>
                <w:rFonts w:ascii="Times New Roman" w:hAnsi="Times New Roman" w:eastAsia="Times New Roman" w:cs="Times New Roman"/>
                <w:b/>
                <w:bCs/>
                <w:sz w:val="24"/>
                <w:szCs w:val="24"/>
                <w:lang w:val="lv-LV" w:eastAsia="lv-LV"/>
              </w:rPr>
              <w:t xml:space="preserve">ir </w:t>
            </w:r>
            <w:r w:rsidRPr="005F3CC0">
              <w:rPr>
                <w:rFonts w:ascii="Times New Roman" w:hAnsi="Times New Roman" w:eastAsia="Times New Roman" w:cs="Times New Roman"/>
                <w:b/>
                <w:bCs/>
                <w:sz w:val="24"/>
                <w:szCs w:val="24"/>
                <w:lang w:val="lv-LV" w:eastAsia="lv-LV"/>
              </w:rPr>
              <w:t>ņemts vērā.</w:t>
            </w:r>
          </w:p>
          <w:p w:rsidR="00B545E4" w:rsidP="00FE6562" w:rsidRDefault="00B545E4" w14:paraId="468C568E" w14:textId="77777777">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p>
          <w:p w:rsidR="00B545E4" w:rsidP="00FE6562" w:rsidRDefault="00B545E4" w14:paraId="33D9CA75" w14:textId="77777777">
            <w:pPr>
              <w:jc w:val="both"/>
              <w:rPr>
                <w:rFonts w:ascii="Times New Roman" w:hAnsi="Times New Roman" w:eastAsia="Times New Roman" w:cs="Times New Roman"/>
                <w:b/>
                <w:bCs/>
                <w:sz w:val="24"/>
                <w:szCs w:val="24"/>
                <w:lang w:val="lv-LV" w:eastAsia="lv-LV"/>
              </w:rPr>
            </w:pPr>
          </w:p>
          <w:p w:rsidRPr="00B545E4" w:rsidR="00B545E4" w:rsidP="00FE6562" w:rsidRDefault="00B545E4" w14:paraId="10BD5DF1" w14:textId="4D86A19C">
            <w:pPr>
              <w:jc w:val="both"/>
              <w:rPr>
                <w:rFonts w:ascii="Times New Roman" w:hAnsi="Times New Roman" w:eastAsia="Times New Roman" w:cs="Times New Roman"/>
                <w:sz w:val="24"/>
                <w:szCs w:val="24"/>
                <w:lang w:val="lv-LV" w:eastAsia="lv-LV"/>
              </w:rPr>
            </w:pPr>
          </w:p>
        </w:tc>
        <w:tc>
          <w:tcPr>
            <w:tcW w:w="2951" w:type="dxa"/>
          </w:tcPr>
          <w:p w:rsidR="00B545E4" w:rsidP="00852D0E" w:rsidRDefault="00B545E4" w14:paraId="4BC9959B" w14:textId="3467D87F">
            <w:pPr>
              <w:autoSpaceDE w:val="0"/>
              <w:autoSpaceDN w:val="0"/>
              <w:spacing w:after="0" w:line="240" w:lineRule="auto"/>
              <w:ind w:left="170" w:right="170"/>
              <w:jc w:val="both"/>
              <w:rPr>
                <w:rFonts w:ascii="Times New Roman" w:hAnsi="Times New Roman" w:eastAsia="Times New Roman" w:cs="Times New Roman"/>
                <w:b/>
                <w:i/>
                <w:sz w:val="24"/>
                <w:szCs w:val="24"/>
                <w:lang w:val="lv-LV" w:eastAsia="lv-LV"/>
              </w:rPr>
            </w:pPr>
            <w:r>
              <w:rPr>
                <w:rFonts w:ascii="Times New Roman" w:hAnsi="Times New Roman" w:eastAsia="Times New Roman" w:cs="Times New Roman"/>
                <w:b/>
                <w:i/>
                <w:sz w:val="24"/>
                <w:szCs w:val="24"/>
                <w:lang w:val="lv-LV" w:eastAsia="lv-LV"/>
              </w:rPr>
              <w:t xml:space="preserve">Skatīt precizētā </w:t>
            </w:r>
            <w:proofErr w:type="spellStart"/>
            <w:r>
              <w:rPr>
                <w:rFonts w:ascii="Times New Roman" w:hAnsi="Times New Roman" w:eastAsia="Times New Roman" w:cs="Times New Roman"/>
                <w:b/>
                <w:i/>
                <w:sz w:val="24"/>
                <w:szCs w:val="24"/>
                <w:lang w:val="lv-LV" w:eastAsia="lv-LV"/>
              </w:rPr>
              <w:t>protokollēmuma</w:t>
            </w:r>
            <w:proofErr w:type="spellEnd"/>
            <w:r>
              <w:rPr>
                <w:rFonts w:ascii="Times New Roman" w:hAnsi="Times New Roman" w:eastAsia="Times New Roman" w:cs="Times New Roman"/>
                <w:b/>
                <w:i/>
                <w:sz w:val="24"/>
                <w:szCs w:val="24"/>
                <w:lang w:val="lv-LV" w:eastAsia="lv-LV"/>
              </w:rPr>
              <w:t xml:space="preserve"> 2.punktu. </w:t>
            </w:r>
          </w:p>
        </w:tc>
      </w:tr>
      <w:tr w:rsidRPr="00856A70" w:rsidR="00B545E4" w:rsidTr="00F3518D" w14:paraId="3FDD01A3" w14:textId="77777777">
        <w:trPr>
          <w:trHeight w:val="358"/>
        </w:trPr>
        <w:tc>
          <w:tcPr>
            <w:tcW w:w="709" w:type="dxa"/>
          </w:tcPr>
          <w:p w:rsidR="00B545E4" w:rsidP="00852D0E" w:rsidRDefault="009377E2" w14:paraId="668EDE3A" w14:textId="5ED4936F">
            <w:pPr>
              <w:autoSpaceDE w:val="0"/>
              <w:autoSpaceDN w:val="0"/>
              <w:spacing w:after="0" w:line="240" w:lineRule="auto"/>
              <w:jc w:val="center"/>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6</w:t>
            </w:r>
            <w:r w:rsidR="00B545E4">
              <w:rPr>
                <w:rFonts w:ascii="Times New Roman" w:hAnsi="Times New Roman" w:eastAsia="Times New Roman" w:cs="Times New Roman"/>
                <w:sz w:val="24"/>
                <w:szCs w:val="24"/>
                <w:lang w:val="lv-LV" w:eastAsia="lv-LV"/>
              </w:rPr>
              <w:t>.</w:t>
            </w:r>
          </w:p>
        </w:tc>
        <w:tc>
          <w:tcPr>
            <w:tcW w:w="3402" w:type="dxa"/>
          </w:tcPr>
          <w:p w:rsidR="00B545E4" w:rsidP="00852D0E" w:rsidRDefault="00B545E4" w14:paraId="11F05088" w14:textId="5DDFE2AE">
            <w:pPr>
              <w:autoSpaceDE w:val="0"/>
              <w:autoSpaceDN w:val="0"/>
              <w:spacing w:after="0" w:line="240" w:lineRule="auto"/>
              <w:ind w:left="170"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Skatīt izsludinātā informatīvā ziņojuma redakciju.</w:t>
            </w:r>
          </w:p>
        </w:tc>
        <w:tc>
          <w:tcPr>
            <w:tcW w:w="3969" w:type="dxa"/>
          </w:tcPr>
          <w:p w:rsidRPr="00EC5B91" w:rsidR="00B545E4" w:rsidP="00852D0E" w:rsidRDefault="00B545E4" w14:paraId="35F1E19A"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EC5B91">
              <w:rPr>
                <w:rFonts w:ascii="Times New Roman" w:hAnsi="Times New Roman" w:eastAsia="Times New Roman" w:cs="Times New Roman"/>
                <w:b/>
                <w:sz w:val="24"/>
                <w:szCs w:val="24"/>
                <w:lang w:val="lv-LV" w:eastAsia="lv-LV"/>
              </w:rPr>
              <w:t>Tieslietu ministrija</w:t>
            </w:r>
          </w:p>
          <w:p w:rsidRPr="00EC5B91" w:rsidR="00B545E4" w:rsidP="00852D0E" w:rsidRDefault="00B545E4" w14:paraId="1B68A937" w14:textId="77777777">
            <w:pPr>
              <w:autoSpaceDE w:val="0"/>
              <w:autoSpaceDN w:val="0"/>
              <w:spacing w:after="0" w:line="240" w:lineRule="auto"/>
              <w:jc w:val="both"/>
              <w:rPr>
                <w:rFonts w:ascii="Times New Roman" w:hAnsi="Times New Roman" w:eastAsia="Times New Roman" w:cs="Times New Roman"/>
                <w:b/>
                <w:sz w:val="24"/>
                <w:szCs w:val="24"/>
                <w:lang w:val="lv-LV" w:eastAsia="lv-LV"/>
              </w:rPr>
            </w:pPr>
            <w:r w:rsidRPr="00EC5B91">
              <w:rPr>
                <w:rFonts w:ascii="Times New Roman" w:hAnsi="Times New Roman" w:eastAsia="Times New Roman" w:cs="Times New Roman"/>
                <w:b/>
                <w:sz w:val="24"/>
                <w:szCs w:val="24"/>
                <w:lang w:val="lv-LV" w:eastAsia="lv-LV"/>
              </w:rPr>
              <w:t>12.04.2019.</w:t>
            </w:r>
          </w:p>
          <w:p w:rsidRPr="00EC5B91" w:rsidR="00B545E4" w:rsidP="00852D0E" w:rsidRDefault="00B545E4" w14:paraId="19305569" w14:textId="77777777">
            <w:pPr>
              <w:autoSpaceDE w:val="0"/>
              <w:autoSpaceDN w:val="0"/>
              <w:spacing w:after="0" w:line="240" w:lineRule="auto"/>
              <w:jc w:val="both"/>
              <w:rPr>
                <w:rFonts w:ascii="Times New Roman" w:hAnsi="Times New Roman" w:eastAsia="Times New Roman" w:cs="Times New Roman"/>
                <w:bCs/>
                <w:sz w:val="24"/>
                <w:szCs w:val="24"/>
                <w:lang w:val="lv-LV" w:eastAsia="lv-LV"/>
              </w:rPr>
            </w:pPr>
          </w:p>
          <w:p w:rsidRPr="00EC5B91" w:rsidR="00B545E4" w:rsidP="00852D0E" w:rsidRDefault="00B545E4" w14:paraId="64D792A1" w14:textId="77777777">
            <w:pPr>
              <w:autoSpaceDE w:val="0"/>
              <w:autoSpaceDN w:val="0"/>
              <w:spacing w:after="0" w:line="240" w:lineRule="auto"/>
              <w:jc w:val="both"/>
              <w:rPr>
                <w:rFonts w:ascii="Times New Roman" w:hAnsi="Times New Roman" w:eastAsia="Times New Roman" w:cs="Times New Roman"/>
                <w:bCs/>
                <w:sz w:val="24"/>
                <w:szCs w:val="24"/>
                <w:lang w:val="lv-LV" w:eastAsia="lv-LV"/>
              </w:rPr>
            </w:pPr>
            <w:r w:rsidRPr="00EC5B91">
              <w:rPr>
                <w:rFonts w:ascii="Times New Roman" w:hAnsi="Times New Roman" w:eastAsia="Times New Roman" w:cs="Times New Roman"/>
                <w:bCs/>
                <w:sz w:val="24"/>
                <w:szCs w:val="24"/>
                <w:lang w:val="lv-LV" w:eastAsia="lv-LV"/>
              </w:rPr>
              <w:t xml:space="preserve">Informatīvajam ziņojumam pievienotā </w:t>
            </w:r>
            <w:proofErr w:type="spellStart"/>
            <w:r w:rsidRPr="00EC5B91">
              <w:rPr>
                <w:rFonts w:ascii="Times New Roman" w:hAnsi="Times New Roman" w:eastAsia="Times New Roman" w:cs="Times New Roman"/>
                <w:bCs/>
                <w:sz w:val="24"/>
                <w:szCs w:val="24"/>
                <w:lang w:val="lv-LV" w:eastAsia="lv-LV"/>
              </w:rPr>
              <w:t>protokollēmuma</w:t>
            </w:r>
            <w:proofErr w:type="spellEnd"/>
            <w:r w:rsidRPr="00EC5B91">
              <w:rPr>
                <w:rFonts w:ascii="Times New Roman" w:hAnsi="Times New Roman" w:eastAsia="Times New Roman" w:cs="Times New Roman"/>
                <w:bCs/>
                <w:sz w:val="24"/>
                <w:szCs w:val="24"/>
                <w:lang w:val="lv-LV" w:eastAsia="lv-LV"/>
              </w:rPr>
              <w:t xml:space="preserve"> 3. punktā paredzēts uzdot Satiksmes ministrijas Numerācijas lietošanas tiesību ikgadējās valsts nodevas izvērtēšanas darba grupā izvērtēt un Satiksmes ministrijai līdz 2020. gada 21. </w:t>
            </w:r>
            <w:r w:rsidRPr="00EC5B91">
              <w:rPr>
                <w:rFonts w:ascii="Times New Roman" w:hAnsi="Times New Roman" w:eastAsia="Times New Roman" w:cs="Times New Roman"/>
                <w:bCs/>
                <w:sz w:val="24"/>
                <w:szCs w:val="24"/>
                <w:lang w:val="lv-LV" w:eastAsia="lv-LV"/>
              </w:rPr>
              <w:lastRenderedPageBreak/>
              <w:t xml:space="preserve">decembrim sagatavot un normatīvajos aktos noteiktā kārtībā iesniegt grozījumus Ministru kabineta 2009. gada 11. augusta noteikumos Nr. 892 "Noteikumi par numerācijas lietošanas tiesību ikgadējo valsts nodevu", kas paredz ikgadējās valsts nodevas par numerācijas lietošanas tiesībām noteikšanu par visu Ministru kabineta 2015. gada 30. jūnija noteikumos Nr. 367 "Nacionālais numerācijas plāns" iekļauto numuru lietošanas tiesībām, izņemot starptautisko signalizācijas punktu kodus. Informatīvā ziņojuma tekstā nav skaidrota ikgadējās valsts nodevas par numerācijas lietošanas tiesībām noteikšanas nepieciešamība, kā arī informatīvā ziņojuma 3. nodaļā priekšlikums ieviest ikgadējo valsts nodevu nav minēts kā priekšlikums turpmākai rīcībai. Līdz ar to nav skaidrs, kāpēc informatīvajam ziņojumam pievienotajā </w:t>
            </w:r>
            <w:proofErr w:type="spellStart"/>
            <w:r w:rsidRPr="00EC5B91">
              <w:rPr>
                <w:rFonts w:ascii="Times New Roman" w:hAnsi="Times New Roman" w:eastAsia="Times New Roman" w:cs="Times New Roman"/>
                <w:bCs/>
                <w:sz w:val="24"/>
                <w:szCs w:val="24"/>
                <w:lang w:val="lv-LV" w:eastAsia="lv-LV"/>
              </w:rPr>
              <w:t>protokollēmumā</w:t>
            </w:r>
            <w:proofErr w:type="spellEnd"/>
            <w:r w:rsidRPr="00EC5B91">
              <w:rPr>
                <w:rFonts w:ascii="Times New Roman" w:hAnsi="Times New Roman" w:eastAsia="Times New Roman" w:cs="Times New Roman"/>
                <w:bCs/>
                <w:sz w:val="24"/>
                <w:szCs w:val="24"/>
                <w:lang w:val="lv-LV" w:eastAsia="lv-LV"/>
              </w:rPr>
              <w:t xml:space="preserve"> ietverts 3. punkts.</w:t>
            </w:r>
          </w:p>
          <w:p w:rsidRPr="00EC5B91" w:rsidR="00EC5B91" w:rsidP="00EC5B91" w:rsidRDefault="00EC5B91" w14:paraId="211D838E" w14:textId="77777777">
            <w:pPr>
              <w:autoSpaceDE w:val="0"/>
              <w:autoSpaceDN w:val="0"/>
              <w:spacing w:after="0" w:line="240" w:lineRule="auto"/>
              <w:jc w:val="both"/>
              <w:rPr>
                <w:rFonts w:ascii="Times New Roman" w:hAnsi="Times New Roman"/>
                <w:bCs/>
                <w:sz w:val="24"/>
                <w:szCs w:val="24"/>
                <w:lang w:val="lv-LV"/>
              </w:rPr>
            </w:pPr>
            <w:r w:rsidRPr="00EC5B91">
              <w:rPr>
                <w:rFonts w:ascii="Times New Roman" w:hAnsi="Times New Roman"/>
                <w:bCs/>
                <w:sz w:val="24"/>
                <w:szCs w:val="24"/>
                <w:lang w:val="lv-LV"/>
              </w:rPr>
              <w:t xml:space="preserve">Informatīvajā ziņojumā ir ietverts šī brīža situācijas raksturojums un iesaistīto iestāžu un organizāciju viedokļi, taču nav ietverts Satiksmes ministrijas vērtējums par esošo situāciju un iesaistīto iestāžu un organizāciju viedokļiem. No </w:t>
            </w:r>
            <w:r w:rsidRPr="00EC5B91">
              <w:rPr>
                <w:rFonts w:ascii="Times New Roman" w:hAnsi="Times New Roman"/>
                <w:bCs/>
                <w:sz w:val="24"/>
                <w:szCs w:val="24"/>
                <w:lang w:val="lv-LV"/>
              </w:rPr>
              <w:lastRenderedPageBreak/>
              <w:t xml:space="preserve">informatīvā ziņojuma teksta neizriet, ka Satiksmes ministrija būtu vērtējusi </w:t>
            </w:r>
            <w:bookmarkStart w:name="_Hlk23757311" w:id="11"/>
            <w:r w:rsidRPr="00EC5B91">
              <w:rPr>
                <w:rFonts w:ascii="Times New Roman" w:hAnsi="Times New Roman"/>
                <w:bCs/>
                <w:sz w:val="24"/>
                <w:szCs w:val="24"/>
                <w:lang w:val="lv-LV"/>
              </w:rPr>
              <w:t xml:space="preserve">citas iespējas risināt jautājumu, ka, bez maksas saņemot lietošanā Latvijas numerāciju, kas ir nacionālais </w:t>
            </w:r>
            <w:r w:rsidRPr="00145E27">
              <w:rPr>
                <w:rFonts w:ascii="Times New Roman" w:hAnsi="Times New Roman"/>
                <w:bCs/>
                <w:sz w:val="24"/>
                <w:szCs w:val="24"/>
                <w:lang w:val="lv-LV"/>
              </w:rPr>
              <w:t>ierobežotais resurss, tas tiek pārdots ārvalstu komersantiem</w:t>
            </w:r>
            <w:bookmarkEnd w:id="11"/>
            <w:r w:rsidRPr="00145E27">
              <w:rPr>
                <w:rFonts w:ascii="Times New Roman" w:hAnsi="Times New Roman"/>
                <w:bCs/>
                <w:sz w:val="24"/>
                <w:szCs w:val="24"/>
                <w:lang w:val="lv-LV"/>
              </w:rPr>
              <w:t>. Proti, vai ir izvērtēta iespēja noteikt, ka bez maksas lietošanā saņemto Latvijas numerāciju nevar pārdot, kā arī noteikt, ka ārvalstu komersanti Latvijas numerāciju lietošanā var saņemt par noteiktu samaksu. No informatīvā ziņojuma teksta nav skaidrs</w:t>
            </w:r>
            <w:r w:rsidRPr="00EC5B91">
              <w:rPr>
                <w:rFonts w:ascii="Times New Roman" w:hAnsi="Times New Roman"/>
                <w:bCs/>
                <w:sz w:val="24"/>
                <w:szCs w:val="24"/>
                <w:lang w:val="lv-LV"/>
              </w:rPr>
              <w:t>, kāpēc atbilstošākais risinājums ir noteikt ikgadēju valsts nodevu visu numuru lietošanas tiesību izmantošanai.</w:t>
            </w:r>
          </w:p>
          <w:p w:rsidRPr="00EC5B91" w:rsidR="00EC5B91" w:rsidP="00EC5B91" w:rsidRDefault="00EC5B91" w14:paraId="044C9870" w14:textId="77777777">
            <w:pPr>
              <w:autoSpaceDE w:val="0"/>
              <w:autoSpaceDN w:val="0"/>
              <w:spacing w:after="0" w:line="240" w:lineRule="auto"/>
              <w:jc w:val="both"/>
              <w:rPr>
                <w:rFonts w:ascii="Times New Roman" w:hAnsi="Times New Roman"/>
                <w:bCs/>
                <w:sz w:val="24"/>
                <w:szCs w:val="24"/>
                <w:lang w:val="lv-LV"/>
              </w:rPr>
            </w:pPr>
            <w:r w:rsidRPr="00EC5B91">
              <w:rPr>
                <w:rFonts w:ascii="Times New Roman" w:hAnsi="Times New Roman"/>
                <w:bCs/>
                <w:sz w:val="24"/>
                <w:szCs w:val="24"/>
                <w:lang w:val="lv-LV"/>
              </w:rPr>
              <w:t xml:space="preserve">Vienlaikus rodas jautājums, kāpēc ir nepieciešams noteikt ikgadējo valsts nodevu visu numuru lietošanas tiesībām, ja informatīvais ziņojums paredz </w:t>
            </w:r>
            <w:proofErr w:type="spellStart"/>
            <w:r w:rsidRPr="00EC5B91">
              <w:rPr>
                <w:rFonts w:ascii="Times New Roman" w:hAnsi="Times New Roman"/>
                <w:bCs/>
                <w:sz w:val="24"/>
                <w:szCs w:val="24"/>
                <w:lang w:val="lv-LV"/>
              </w:rPr>
              <w:t>IoT</w:t>
            </w:r>
            <w:proofErr w:type="spellEnd"/>
            <w:r w:rsidRPr="00EC5B91">
              <w:rPr>
                <w:rFonts w:ascii="Times New Roman" w:hAnsi="Times New Roman"/>
                <w:bCs/>
                <w:sz w:val="24"/>
                <w:szCs w:val="24"/>
                <w:lang w:val="lv-LV"/>
              </w:rPr>
              <w:t xml:space="preserve">/M2M pakalpojumiem ieviest numurus ar 11 cipariem, lai nodrošinātu, ka neizsīkst numuri ar astoņiem cipariem. Informatīvā ziņojuma tekstā ir minēts, ka "īpaši ātri astoņu ciparu numuri tiks izsmelti, ja tie turpinās būt bez maksas un tādējādi pievilcīgi lielam daudzumam interesentu ārpus Latvijas". No minētā nav skaidrs, vai problēma ir tajā, ka </w:t>
            </w:r>
            <w:r w:rsidRPr="00EC5B91">
              <w:rPr>
                <w:rFonts w:ascii="Times New Roman" w:hAnsi="Times New Roman"/>
                <w:bCs/>
                <w:sz w:val="24"/>
                <w:szCs w:val="24"/>
                <w:lang w:val="lv-LV"/>
              </w:rPr>
              <w:lastRenderedPageBreak/>
              <w:t xml:space="preserve">astoņu ciparu numuri ir bez maksas, vai arī tajā, ka šobrīd tie tiek izmantoti arī </w:t>
            </w:r>
            <w:proofErr w:type="spellStart"/>
            <w:r w:rsidRPr="00EC5B91">
              <w:rPr>
                <w:rFonts w:ascii="Times New Roman" w:hAnsi="Times New Roman"/>
                <w:bCs/>
                <w:sz w:val="24"/>
                <w:szCs w:val="24"/>
                <w:lang w:val="lv-LV"/>
              </w:rPr>
              <w:t>IoT</w:t>
            </w:r>
            <w:proofErr w:type="spellEnd"/>
            <w:r w:rsidRPr="00EC5B91">
              <w:rPr>
                <w:rFonts w:ascii="Times New Roman" w:hAnsi="Times New Roman"/>
                <w:bCs/>
                <w:sz w:val="24"/>
                <w:szCs w:val="24"/>
                <w:lang w:val="lv-LV"/>
              </w:rPr>
              <w:t xml:space="preserve">/M2M pakalpojumiem. No informatīvā ziņojuma izriet, ka </w:t>
            </w:r>
            <w:proofErr w:type="spellStart"/>
            <w:r w:rsidRPr="00EC5B91">
              <w:rPr>
                <w:rFonts w:ascii="Times New Roman" w:hAnsi="Times New Roman"/>
                <w:bCs/>
                <w:sz w:val="24"/>
                <w:szCs w:val="24"/>
                <w:lang w:val="lv-LV"/>
              </w:rPr>
              <w:t>IoT</w:t>
            </w:r>
            <w:proofErr w:type="spellEnd"/>
            <w:r w:rsidRPr="00EC5B91">
              <w:rPr>
                <w:rFonts w:ascii="Times New Roman" w:hAnsi="Times New Roman"/>
                <w:bCs/>
                <w:sz w:val="24"/>
                <w:szCs w:val="24"/>
                <w:lang w:val="lv-LV"/>
              </w:rPr>
              <w:t xml:space="preserve">/M2M pakalpojumu sniegšanai vajadzētu ieviest numurus ar 11 cipariem, lai nodrošinātu, ka neizsīkst numuri ar astoņiem cipariem, kas ir paredzēti citiem pakalpojumiem. Līdz ar to nav skaidrs, kāpēc jāparedz arī ikgadēja valsts nodeva, kas arī risinās numuru ar astoņiem cipariem izsīkšanas problēmu. Proti, no informatīvā ziņojuma teksta nav skaidrs, vai, risinot situāciju, ka numuri ar astoņiem cipariem var izsīkt, ir jāparedz abi informatīvā ziņojuma </w:t>
            </w:r>
            <w:proofErr w:type="spellStart"/>
            <w:r w:rsidRPr="00EC5B91">
              <w:rPr>
                <w:rFonts w:ascii="Times New Roman" w:hAnsi="Times New Roman"/>
                <w:bCs/>
                <w:sz w:val="24"/>
                <w:szCs w:val="24"/>
                <w:lang w:val="lv-LV"/>
              </w:rPr>
              <w:t>protokollēmuma</w:t>
            </w:r>
            <w:proofErr w:type="spellEnd"/>
            <w:r w:rsidRPr="00EC5B91">
              <w:rPr>
                <w:rFonts w:ascii="Times New Roman" w:hAnsi="Times New Roman"/>
                <w:bCs/>
                <w:sz w:val="24"/>
                <w:szCs w:val="24"/>
                <w:lang w:val="lv-LV"/>
              </w:rPr>
              <w:t xml:space="preserve"> 2. un 3. punktā minētie mehānismi.</w:t>
            </w:r>
          </w:p>
          <w:p w:rsidRPr="00EC5B91" w:rsidR="00EC5B91" w:rsidP="00EC5B91" w:rsidRDefault="00EC5B91" w14:paraId="4B4E35BE" w14:textId="0980A1FF">
            <w:pPr>
              <w:autoSpaceDE w:val="0"/>
              <w:autoSpaceDN w:val="0"/>
              <w:spacing w:after="0" w:line="240" w:lineRule="auto"/>
              <w:jc w:val="both"/>
              <w:rPr>
                <w:rFonts w:ascii="Times New Roman" w:hAnsi="Times New Roman"/>
                <w:bCs/>
                <w:sz w:val="24"/>
                <w:szCs w:val="24"/>
                <w:lang w:val="lv-LV"/>
              </w:rPr>
            </w:pPr>
            <w:r w:rsidRPr="00EC5B91">
              <w:rPr>
                <w:rFonts w:ascii="Times New Roman" w:hAnsi="Times New Roman"/>
                <w:bCs/>
                <w:sz w:val="24"/>
                <w:szCs w:val="24"/>
                <w:lang w:val="lv-LV"/>
              </w:rPr>
              <w:t>Ņemot vērā visu minēto, lūdzam papildināt informatīvo ziņojumu ar attiecīgu informāciju.</w:t>
            </w:r>
          </w:p>
        </w:tc>
        <w:tc>
          <w:tcPr>
            <w:tcW w:w="3853" w:type="dxa"/>
          </w:tcPr>
          <w:p w:rsidR="00B545E4" w:rsidP="00FE6562" w:rsidRDefault="00B545E4" w14:paraId="189517C2" w14:textId="637CD919">
            <w:pPr>
              <w:autoSpaceDE w:val="0"/>
              <w:autoSpaceDN w:val="0"/>
              <w:spacing w:after="0" w:line="240" w:lineRule="auto"/>
              <w:ind w:left="170" w:right="170"/>
              <w:jc w:val="both"/>
              <w:rPr>
                <w:rFonts w:ascii="Times New Roman" w:hAnsi="Times New Roman" w:eastAsia="Times New Roman" w:cs="Times New Roman"/>
                <w:b/>
                <w:bCs/>
                <w:sz w:val="24"/>
                <w:szCs w:val="24"/>
                <w:lang w:val="lv-LV" w:eastAsia="lv-LV"/>
              </w:rPr>
            </w:pPr>
            <w:r w:rsidRPr="00B545E4">
              <w:rPr>
                <w:rFonts w:ascii="Times New Roman" w:hAnsi="Times New Roman" w:eastAsia="Times New Roman" w:cs="Times New Roman"/>
                <w:b/>
                <w:bCs/>
                <w:sz w:val="24"/>
                <w:szCs w:val="24"/>
                <w:lang w:val="lv-LV" w:eastAsia="lv-LV"/>
              </w:rPr>
              <w:lastRenderedPageBreak/>
              <w:t>Iebildums ņemts vērā.</w:t>
            </w:r>
          </w:p>
          <w:p w:rsidR="00B545E4" w:rsidP="00FE6562" w:rsidRDefault="00B545E4" w14:paraId="7933B4FB" w14:textId="77777777">
            <w:pPr>
              <w:autoSpaceDE w:val="0"/>
              <w:autoSpaceDN w:val="0"/>
              <w:spacing w:after="0" w:line="240" w:lineRule="auto"/>
              <w:ind w:right="170"/>
              <w:jc w:val="both"/>
              <w:rPr>
                <w:rFonts w:ascii="Times New Roman" w:hAnsi="Times New Roman" w:eastAsia="Times New Roman" w:cs="Times New Roman"/>
                <w:b/>
                <w:bCs/>
                <w:sz w:val="24"/>
                <w:szCs w:val="24"/>
                <w:lang w:val="lv-LV" w:eastAsia="lv-LV"/>
              </w:rPr>
            </w:pPr>
          </w:p>
          <w:p w:rsidR="00B545E4" w:rsidP="00FE6562" w:rsidRDefault="00B545E4" w14:paraId="2CEFE447" w14:textId="03F832B9">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A</w:t>
            </w:r>
            <w:r w:rsidRPr="00B545E4">
              <w:rPr>
                <w:rFonts w:ascii="Times New Roman" w:hAnsi="Times New Roman" w:eastAsia="Times New Roman" w:cs="Times New Roman"/>
                <w:sz w:val="24"/>
                <w:szCs w:val="24"/>
                <w:lang w:val="lv-LV" w:eastAsia="lv-LV"/>
              </w:rPr>
              <w:t>rgumentācij</w:t>
            </w:r>
            <w:r>
              <w:rPr>
                <w:rFonts w:ascii="Times New Roman" w:hAnsi="Times New Roman" w:eastAsia="Times New Roman" w:cs="Times New Roman"/>
                <w:sz w:val="24"/>
                <w:szCs w:val="24"/>
                <w:lang w:val="lv-LV" w:eastAsia="lv-LV"/>
              </w:rPr>
              <w:t>a</w:t>
            </w:r>
            <w:r w:rsidRPr="00B545E4">
              <w:rPr>
                <w:rFonts w:ascii="Times New Roman" w:hAnsi="Times New Roman" w:eastAsia="Times New Roman" w:cs="Times New Roman"/>
                <w:sz w:val="24"/>
                <w:szCs w:val="24"/>
                <w:lang w:val="lv-LV" w:eastAsia="lv-LV"/>
              </w:rPr>
              <w:t xml:space="preserve"> par Nodevas</w:t>
            </w:r>
            <w:r>
              <w:rPr>
                <w:rFonts w:ascii="Times New Roman" w:hAnsi="Times New Roman" w:eastAsia="Times New Roman" w:cs="Times New Roman"/>
                <w:sz w:val="24"/>
                <w:szCs w:val="24"/>
                <w:lang w:val="lv-LV" w:eastAsia="lv-LV"/>
              </w:rPr>
              <w:t xml:space="preserve"> </w:t>
            </w:r>
            <w:r w:rsidRPr="00B545E4">
              <w:rPr>
                <w:rFonts w:ascii="Times New Roman" w:hAnsi="Times New Roman" w:eastAsia="Times New Roman" w:cs="Times New Roman"/>
                <w:sz w:val="24"/>
                <w:szCs w:val="24"/>
                <w:lang w:val="lv-LV" w:eastAsia="lv-LV"/>
              </w:rPr>
              <w:t xml:space="preserve">nepieciešamību </w:t>
            </w:r>
            <w:r>
              <w:rPr>
                <w:rFonts w:ascii="Times New Roman" w:hAnsi="Times New Roman" w:eastAsia="Times New Roman" w:cs="Times New Roman"/>
                <w:sz w:val="24"/>
                <w:szCs w:val="24"/>
                <w:lang w:val="lv-LV" w:eastAsia="lv-LV"/>
              </w:rPr>
              <w:t xml:space="preserve">ir izklāstīta </w:t>
            </w:r>
            <w:r w:rsidR="001F24A3">
              <w:rPr>
                <w:rFonts w:ascii="Times New Roman" w:hAnsi="Times New Roman" w:eastAsia="Times New Roman" w:cs="Times New Roman"/>
                <w:sz w:val="24"/>
                <w:szCs w:val="24"/>
                <w:lang w:val="lv-LV" w:eastAsia="lv-LV"/>
              </w:rPr>
              <w:t>precizētā</w:t>
            </w:r>
            <w:r>
              <w:rPr>
                <w:rFonts w:ascii="Times New Roman" w:hAnsi="Times New Roman" w:eastAsia="Times New Roman" w:cs="Times New Roman"/>
                <w:sz w:val="24"/>
                <w:szCs w:val="24"/>
                <w:lang w:val="lv-LV" w:eastAsia="lv-LV"/>
              </w:rPr>
              <w:t xml:space="preserve"> informatīvā ziņojuma 2.daļā. </w:t>
            </w:r>
          </w:p>
          <w:p w:rsidR="00B545E4" w:rsidP="00FE6562" w:rsidRDefault="00B545E4" w14:paraId="5A749524" w14:textId="0FF4F5A3">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Ņemot vērā iebildumu, informatīvā ziņojuma 3.daļa ir papildināta ar konkrētu priekšlikumu - </w:t>
            </w:r>
            <w:r w:rsidRPr="003325A5">
              <w:rPr>
                <w:rFonts w:ascii="Times New Roman" w:hAnsi="Times New Roman" w:eastAsia="Times New Roman" w:cs="Times New Roman"/>
                <w:sz w:val="24"/>
                <w:szCs w:val="24"/>
                <w:lang w:val="lv-LV" w:eastAsia="lv-LV"/>
              </w:rPr>
              <w:t xml:space="preserve">Nodevu ieviest pakāpeniski. Piemēram, ar </w:t>
            </w:r>
            <w:r w:rsidRPr="003325A5">
              <w:rPr>
                <w:rFonts w:ascii="Times New Roman" w:hAnsi="Times New Roman" w:eastAsia="Times New Roman" w:cs="Times New Roman"/>
                <w:sz w:val="24"/>
                <w:szCs w:val="24"/>
                <w:lang w:val="lv-LV" w:eastAsia="lv-LV"/>
              </w:rPr>
              <w:lastRenderedPageBreak/>
              <w:t xml:space="preserve">2021.gada 1.janvāri pakalpojuma numuriem un </w:t>
            </w:r>
            <w:proofErr w:type="spellStart"/>
            <w:r w:rsidRPr="00145E27">
              <w:rPr>
                <w:rFonts w:ascii="Times New Roman" w:hAnsi="Times New Roman" w:eastAsia="Times New Roman" w:cs="Times New Roman"/>
                <w:i/>
                <w:iCs/>
                <w:sz w:val="24"/>
                <w:szCs w:val="24"/>
                <w:lang w:val="lv-LV" w:eastAsia="lv-LV"/>
              </w:rPr>
              <w:t>IoT</w:t>
            </w:r>
            <w:proofErr w:type="spellEnd"/>
            <w:r w:rsidRPr="00145E27">
              <w:rPr>
                <w:rFonts w:ascii="Times New Roman" w:hAnsi="Times New Roman" w:eastAsia="Times New Roman" w:cs="Times New Roman"/>
                <w:i/>
                <w:iCs/>
                <w:sz w:val="24"/>
                <w:szCs w:val="24"/>
                <w:lang w:val="lv-LV" w:eastAsia="lv-LV"/>
              </w:rPr>
              <w:t>/M2M</w:t>
            </w:r>
            <w:r w:rsidRPr="003325A5">
              <w:rPr>
                <w:rFonts w:ascii="Times New Roman" w:hAnsi="Times New Roman" w:eastAsia="Times New Roman" w:cs="Times New Roman"/>
                <w:sz w:val="24"/>
                <w:szCs w:val="24"/>
                <w:lang w:val="lv-LV" w:eastAsia="lv-LV"/>
              </w:rPr>
              <w:t xml:space="preserve"> pakalpojuma numuriem, un ar 2022.gada 1.janvāri nacionālajiem numuriem (publiskā fiksētā un publiskā mobilā telefonu tīkla numuri).</w:t>
            </w:r>
          </w:p>
          <w:p w:rsidRPr="004146C3" w:rsidR="0085093C" w:rsidP="00FE6562" w:rsidRDefault="00DD2794" w14:paraId="1825AF9C" w14:textId="3CD4A470">
            <w:pPr>
              <w:autoSpaceDE w:val="0"/>
              <w:autoSpaceDN w:val="0"/>
              <w:spacing w:after="0" w:line="240" w:lineRule="auto"/>
              <w:ind w:right="170"/>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Minētie priekšlikumi – jaunu numuru resursu iedalīšana </w:t>
            </w:r>
            <w:r w:rsidR="003F7193">
              <w:rPr>
                <w:rFonts w:ascii="Times New Roman" w:hAnsi="Times New Roman" w:eastAsia="Times New Roman" w:cs="Times New Roman"/>
                <w:sz w:val="24"/>
                <w:szCs w:val="24"/>
                <w:lang w:val="lv-LV" w:eastAsia="lv-LV"/>
              </w:rPr>
              <w:t xml:space="preserve"> </w:t>
            </w:r>
            <w:proofErr w:type="spellStart"/>
            <w:r w:rsidRPr="00145E27" w:rsidR="00E26DB9">
              <w:rPr>
                <w:rFonts w:ascii="Times New Roman" w:hAnsi="Times New Roman" w:eastAsia="Times New Roman" w:cs="Times New Roman"/>
                <w:i/>
                <w:iCs/>
                <w:sz w:val="24"/>
                <w:szCs w:val="24"/>
                <w:lang w:val="lv-LV" w:eastAsia="lv-LV"/>
              </w:rPr>
              <w:t>IoT</w:t>
            </w:r>
            <w:proofErr w:type="spellEnd"/>
            <w:r w:rsidRPr="00145E27" w:rsidR="00E26DB9">
              <w:rPr>
                <w:rFonts w:ascii="Times New Roman" w:hAnsi="Times New Roman" w:eastAsia="Times New Roman" w:cs="Times New Roman"/>
                <w:i/>
                <w:iCs/>
                <w:sz w:val="24"/>
                <w:szCs w:val="24"/>
                <w:lang w:val="lv-LV" w:eastAsia="lv-LV"/>
              </w:rPr>
              <w:t>/</w:t>
            </w:r>
            <w:r w:rsidRPr="00145E27">
              <w:rPr>
                <w:rFonts w:ascii="Times New Roman" w:hAnsi="Times New Roman" w:eastAsia="Times New Roman" w:cs="Times New Roman"/>
                <w:i/>
                <w:iCs/>
                <w:sz w:val="24"/>
                <w:szCs w:val="24"/>
                <w:lang w:val="lv-LV" w:eastAsia="lv-LV"/>
              </w:rPr>
              <w:t>M2M</w:t>
            </w:r>
            <w:r>
              <w:rPr>
                <w:rFonts w:ascii="Times New Roman" w:hAnsi="Times New Roman" w:eastAsia="Times New Roman" w:cs="Times New Roman"/>
                <w:sz w:val="24"/>
                <w:szCs w:val="24"/>
                <w:lang w:val="lv-LV" w:eastAsia="lv-LV"/>
              </w:rPr>
              <w:t xml:space="preserve"> pakalpojumiem un </w:t>
            </w:r>
            <w:r w:rsidRPr="00DD2794">
              <w:rPr>
                <w:rFonts w:ascii="Times New Roman" w:hAnsi="Times New Roman" w:eastAsia="Times New Roman" w:cs="Times New Roman"/>
                <w:sz w:val="24"/>
                <w:szCs w:val="24"/>
                <w:lang w:val="lv-LV" w:eastAsia="lv-LV"/>
              </w:rPr>
              <w:t>ikgadējās Nodevas piemērošana visai numerācija</w:t>
            </w:r>
            <w:r w:rsidR="009D123B">
              <w:rPr>
                <w:rFonts w:ascii="Times New Roman" w:hAnsi="Times New Roman" w:eastAsia="Times New Roman" w:cs="Times New Roman"/>
                <w:sz w:val="24"/>
                <w:szCs w:val="24"/>
                <w:lang w:val="lv-LV" w:eastAsia="lv-LV"/>
              </w:rPr>
              <w:t>i,</w:t>
            </w:r>
            <w:r w:rsidR="001F52EF">
              <w:rPr>
                <w:rFonts w:ascii="Times New Roman" w:hAnsi="Times New Roman" w:eastAsia="Times New Roman" w:cs="Times New Roman"/>
                <w:sz w:val="24"/>
                <w:szCs w:val="24"/>
                <w:lang w:val="lv-LV" w:eastAsia="lv-LV"/>
              </w:rPr>
              <w:t xml:space="preserve"> lai arī ir saistīti mehānismi, tomēr</w:t>
            </w:r>
            <w:r w:rsidR="009D123B">
              <w:rPr>
                <w:rFonts w:ascii="Times New Roman" w:hAnsi="Times New Roman" w:eastAsia="Times New Roman" w:cs="Times New Roman"/>
                <w:sz w:val="24"/>
                <w:szCs w:val="24"/>
                <w:lang w:val="lv-LV" w:eastAsia="lv-LV"/>
              </w:rPr>
              <w:t xml:space="preserve"> katrs risina savu problēmu. N</w:t>
            </w:r>
            <w:r w:rsidRPr="009D123B" w:rsidR="009D123B">
              <w:rPr>
                <w:rFonts w:ascii="Times New Roman" w:hAnsi="Times New Roman" w:eastAsia="Times New Roman" w:cs="Times New Roman"/>
                <w:sz w:val="24"/>
                <w:szCs w:val="24"/>
                <w:lang w:val="lv-LV" w:eastAsia="lv-LV"/>
              </w:rPr>
              <w:t xml:space="preserve">umerācijas resursu iedalīšana </w:t>
            </w:r>
            <w:proofErr w:type="spellStart"/>
            <w:r w:rsidRPr="00145E27" w:rsidR="009D123B">
              <w:rPr>
                <w:rFonts w:ascii="Times New Roman" w:hAnsi="Times New Roman" w:eastAsia="Times New Roman" w:cs="Times New Roman"/>
                <w:i/>
                <w:iCs/>
                <w:sz w:val="24"/>
                <w:szCs w:val="24"/>
                <w:lang w:val="lv-LV" w:eastAsia="lv-LV"/>
              </w:rPr>
              <w:t>IoT</w:t>
            </w:r>
            <w:proofErr w:type="spellEnd"/>
            <w:r w:rsidRPr="00145E27" w:rsidR="009D123B">
              <w:rPr>
                <w:rFonts w:ascii="Times New Roman" w:hAnsi="Times New Roman" w:eastAsia="Times New Roman" w:cs="Times New Roman"/>
                <w:i/>
                <w:iCs/>
                <w:sz w:val="24"/>
                <w:szCs w:val="24"/>
                <w:lang w:val="lv-LV" w:eastAsia="lv-LV"/>
              </w:rPr>
              <w:t>/M2M</w:t>
            </w:r>
            <w:r w:rsidRPr="009D123B" w:rsidR="009D123B">
              <w:rPr>
                <w:rFonts w:ascii="Times New Roman" w:hAnsi="Times New Roman" w:eastAsia="Times New Roman" w:cs="Times New Roman"/>
                <w:sz w:val="24"/>
                <w:szCs w:val="24"/>
                <w:lang w:val="lv-LV" w:eastAsia="lv-LV"/>
              </w:rPr>
              <w:t xml:space="preserve"> pakalpojumiem ļautu nodrošināt nepieciešamo numuru skaitu pastāvīgi augošajam </w:t>
            </w:r>
            <w:proofErr w:type="spellStart"/>
            <w:r w:rsidRPr="00145E27" w:rsidR="009D123B">
              <w:rPr>
                <w:rFonts w:ascii="Times New Roman" w:hAnsi="Times New Roman" w:eastAsia="Times New Roman" w:cs="Times New Roman"/>
                <w:i/>
                <w:iCs/>
                <w:sz w:val="24"/>
                <w:szCs w:val="24"/>
                <w:lang w:val="lv-LV" w:eastAsia="lv-LV"/>
              </w:rPr>
              <w:t>IoT</w:t>
            </w:r>
            <w:proofErr w:type="spellEnd"/>
            <w:r w:rsidRPr="00145E27" w:rsidR="009D123B">
              <w:rPr>
                <w:rFonts w:ascii="Times New Roman" w:hAnsi="Times New Roman" w:eastAsia="Times New Roman" w:cs="Times New Roman"/>
                <w:i/>
                <w:iCs/>
                <w:sz w:val="24"/>
                <w:szCs w:val="24"/>
                <w:lang w:val="lv-LV" w:eastAsia="lv-LV"/>
              </w:rPr>
              <w:t>/M2M</w:t>
            </w:r>
            <w:r w:rsidRPr="009D123B" w:rsidR="009D123B">
              <w:rPr>
                <w:rFonts w:ascii="Times New Roman" w:hAnsi="Times New Roman" w:eastAsia="Times New Roman" w:cs="Times New Roman"/>
                <w:sz w:val="24"/>
                <w:szCs w:val="24"/>
                <w:lang w:val="lv-LV" w:eastAsia="lv-LV"/>
              </w:rPr>
              <w:t xml:space="preserve"> </w:t>
            </w:r>
            <w:proofErr w:type="spellStart"/>
            <w:r w:rsidRPr="009D123B" w:rsidR="009D123B">
              <w:rPr>
                <w:rFonts w:ascii="Times New Roman" w:hAnsi="Times New Roman" w:eastAsia="Times New Roman" w:cs="Times New Roman"/>
                <w:sz w:val="24"/>
                <w:szCs w:val="24"/>
                <w:lang w:val="lv-LV" w:eastAsia="lv-LV"/>
              </w:rPr>
              <w:t>pieslēgumu</w:t>
            </w:r>
            <w:proofErr w:type="spellEnd"/>
            <w:r w:rsidR="002A1FF1">
              <w:rPr>
                <w:rFonts w:ascii="Times New Roman" w:hAnsi="Times New Roman" w:eastAsia="Times New Roman" w:cs="Times New Roman"/>
                <w:sz w:val="24"/>
                <w:szCs w:val="24"/>
                <w:lang w:val="lv-LV" w:eastAsia="lv-LV"/>
              </w:rPr>
              <w:t xml:space="preserve"> skaitam</w:t>
            </w:r>
            <w:r w:rsidR="009D123B">
              <w:rPr>
                <w:rFonts w:ascii="Times New Roman" w:hAnsi="Times New Roman" w:eastAsia="Times New Roman" w:cs="Times New Roman"/>
                <w:sz w:val="24"/>
                <w:szCs w:val="24"/>
                <w:lang w:val="lv-LV" w:eastAsia="lv-LV"/>
              </w:rPr>
              <w:t>, savukārt Nodevas piemērošana vis</w:t>
            </w:r>
            <w:r w:rsidR="00BE0613">
              <w:rPr>
                <w:rFonts w:ascii="Times New Roman" w:hAnsi="Times New Roman" w:eastAsia="Times New Roman" w:cs="Times New Roman"/>
                <w:sz w:val="24"/>
                <w:szCs w:val="24"/>
                <w:lang w:val="lv-LV" w:eastAsia="lv-LV"/>
              </w:rPr>
              <w:t>u</w:t>
            </w:r>
            <w:r w:rsidR="009D123B">
              <w:rPr>
                <w:rFonts w:ascii="Times New Roman" w:hAnsi="Times New Roman" w:eastAsia="Times New Roman" w:cs="Times New Roman"/>
                <w:sz w:val="24"/>
                <w:szCs w:val="24"/>
                <w:lang w:val="lv-LV" w:eastAsia="lv-LV"/>
              </w:rPr>
              <w:t xml:space="preserve"> numerācija</w:t>
            </w:r>
            <w:r w:rsidR="00BE0613">
              <w:rPr>
                <w:rFonts w:ascii="Times New Roman" w:hAnsi="Times New Roman" w:eastAsia="Times New Roman" w:cs="Times New Roman"/>
                <w:sz w:val="24"/>
                <w:szCs w:val="24"/>
                <w:lang w:val="lv-LV" w:eastAsia="lv-LV"/>
              </w:rPr>
              <w:t>s</w:t>
            </w:r>
            <w:r w:rsidRPr="009D123B" w:rsidR="009D123B">
              <w:rPr>
                <w:rFonts w:ascii="Times New Roman" w:hAnsi="Times New Roman" w:eastAsia="Times New Roman" w:cs="Times New Roman"/>
                <w:sz w:val="24"/>
                <w:szCs w:val="24"/>
                <w:lang w:val="lv-LV" w:eastAsia="lv-LV"/>
              </w:rPr>
              <w:t xml:space="preserve"> </w:t>
            </w:r>
            <w:r w:rsidR="00BE0613">
              <w:rPr>
                <w:rFonts w:ascii="Times New Roman" w:hAnsi="Times New Roman" w:eastAsia="Times New Roman" w:cs="Times New Roman"/>
                <w:sz w:val="24"/>
                <w:szCs w:val="24"/>
                <w:lang w:val="lv-LV" w:eastAsia="lv-LV"/>
              </w:rPr>
              <w:t>resursu lietošanas tiesībām</w:t>
            </w:r>
            <w:r w:rsidRPr="009D123B" w:rsidR="009D123B">
              <w:rPr>
                <w:rFonts w:ascii="Times New Roman" w:hAnsi="Times New Roman" w:eastAsia="Times New Roman" w:cs="Times New Roman"/>
                <w:sz w:val="24"/>
                <w:szCs w:val="24"/>
                <w:lang w:val="lv-LV" w:eastAsia="lv-LV"/>
              </w:rPr>
              <w:t xml:space="preserve"> </w:t>
            </w:r>
            <w:r w:rsidRPr="00DD2794">
              <w:rPr>
                <w:rFonts w:ascii="Times New Roman" w:hAnsi="Times New Roman" w:eastAsia="Times New Roman" w:cs="Times New Roman"/>
                <w:sz w:val="24"/>
                <w:szCs w:val="24"/>
                <w:lang w:val="lv-LV" w:eastAsia="lv-LV"/>
              </w:rPr>
              <w:t>veicinās to, ka elektronisko sakaru komersanti plānos numerācijas izmantošanu pēc iespējas racionālākā, efektīvākā un optimālākā veidā.</w:t>
            </w:r>
            <w:r w:rsidR="00E26DB9">
              <w:rPr>
                <w:rFonts w:ascii="Times New Roman" w:hAnsi="Times New Roman" w:eastAsia="Times New Roman" w:cs="Times New Roman"/>
                <w:sz w:val="24"/>
                <w:szCs w:val="24"/>
                <w:lang w:val="lv-LV" w:eastAsia="lv-LV"/>
              </w:rPr>
              <w:t xml:space="preserve"> Vērš</w:t>
            </w:r>
            <w:r w:rsidR="00BE0613">
              <w:rPr>
                <w:rFonts w:ascii="Times New Roman" w:hAnsi="Times New Roman" w:eastAsia="Times New Roman" w:cs="Times New Roman"/>
                <w:sz w:val="24"/>
                <w:szCs w:val="24"/>
                <w:lang w:val="lv-LV" w:eastAsia="lv-LV"/>
              </w:rPr>
              <w:t>a</w:t>
            </w:r>
            <w:r w:rsidR="00E26DB9">
              <w:rPr>
                <w:rFonts w:ascii="Times New Roman" w:hAnsi="Times New Roman" w:eastAsia="Times New Roman" w:cs="Times New Roman"/>
                <w:sz w:val="24"/>
                <w:szCs w:val="24"/>
                <w:lang w:val="lv-LV" w:eastAsia="lv-LV"/>
              </w:rPr>
              <w:t xml:space="preserve">m </w:t>
            </w:r>
            <w:r w:rsidRPr="004146C3" w:rsidR="00E26DB9">
              <w:rPr>
                <w:rFonts w:ascii="Times New Roman" w:hAnsi="Times New Roman" w:eastAsia="Times New Roman" w:cs="Times New Roman"/>
                <w:sz w:val="24"/>
                <w:szCs w:val="24"/>
                <w:lang w:val="lv-LV" w:eastAsia="lv-LV"/>
              </w:rPr>
              <w:t>uzmanību, ka astoņ</w:t>
            </w:r>
            <w:r w:rsidR="00BE0613">
              <w:rPr>
                <w:rFonts w:ascii="Times New Roman" w:hAnsi="Times New Roman" w:eastAsia="Times New Roman" w:cs="Times New Roman"/>
                <w:sz w:val="24"/>
                <w:szCs w:val="24"/>
                <w:lang w:val="lv-LV" w:eastAsia="lv-LV"/>
              </w:rPr>
              <w:t>u</w:t>
            </w:r>
            <w:r w:rsidRPr="004146C3" w:rsidR="00E26DB9">
              <w:rPr>
                <w:rFonts w:ascii="Times New Roman" w:hAnsi="Times New Roman" w:eastAsia="Times New Roman" w:cs="Times New Roman"/>
                <w:sz w:val="24"/>
                <w:szCs w:val="24"/>
                <w:lang w:val="lv-LV" w:eastAsia="lv-LV"/>
              </w:rPr>
              <w:t xml:space="preserve"> zīmju numerācija nav bezgalīga</w:t>
            </w:r>
            <w:r w:rsidR="00BE0613">
              <w:rPr>
                <w:rFonts w:ascii="Times New Roman" w:hAnsi="Times New Roman" w:eastAsia="Times New Roman" w:cs="Times New Roman"/>
                <w:sz w:val="24"/>
                <w:szCs w:val="24"/>
                <w:lang w:val="lv-LV" w:eastAsia="lv-LV"/>
              </w:rPr>
              <w:t>,</w:t>
            </w:r>
            <w:r w:rsidRPr="004146C3" w:rsidR="00E26DB9">
              <w:rPr>
                <w:rFonts w:ascii="Times New Roman" w:hAnsi="Times New Roman" w:eastAsia="Times New Roman" w:cs="Times New Roman"/>
                <w:sz w:val="24"/>
                <w:szCs w:val="24"/>
                <w:lang w:val="lv-LV" w:eastAsia="lv-LV"/>
              </w:rPr>
              <w:t xml:space="preserve"> tādēļ tās racionāla iz</w:t>
            </w:r>
            <w:r w:rsidRPr="004146C3" w:rsidR="004146C3">
              <w:rPr>
                <w:rFonts w:ascii="Times New Roman" w:hAnsi="Times New Roman" w:eastAsia="Times New Roman" w:cs="Times New Roman"/>
                <w:sz w:val="24"/>
                <w:szCs w:val="24"/>
                <w:lang w:val="lv-LV" w:eastAsia="lv-LV"/>
              </w:rPr>
              <w:t>m</w:t>
            </w:r>
            <w:r w:rsidRPr="001A3028" w:rsidR="00E26DB9">
              <w:rPr>
                <w:rFonts w:ascii="Times New Roman" w:hAnsi="Times New Roman" w:eastAsia="Times New Roman" w:cs="Times New Roman"/>
                <w:sz w:val="24"/>
                <w:szCs w:val="24"/>
                <w:lang w:val="lv-LV" w:eastAsia="lv-LV"/>
              </w:rPr>
              <w:t>antošana ir veicināma visos veidos.</w:t>
            </w:r>
            <w:r w:rsidR="005350F9">
              <w:rPr>
                <w:rFonts w:ascii="Times New Roman" w:hAnsi="Times New Roman" w:eastAsia="Times New Roman" w:cs="Times New Roman"/>
                <w:sz w:val="24"/>
                <w:szCs w:val="24"/>
                <w:lang w:val="lv-LV" w:eastAsia="lv-LV"/>
              </w:rPr>
              <w:t xml:space="preserve"> </w:t>
            </w:r>
            <w:r w:rsidRPr="004146C3" w:rsidR="0085093C">
              <w:rPr>
                <w:rFonts w:ascii="Times New Roman" w:hAnsi="Times New Roman" w:eastAsia="Times New Roman" w:cs="Times New Roman"/>
                <w:sz w:val="24"/>
                <w:szCs w:val="24"/>
                <w:lang w:val="lv-LV" w:eastAsia="lv-LV"/>
              </w:rPr>
              <w:t xml:space="preserve">Arī Ministru kabineta 2006. gada 25. jūlija rīkojumā Nr. 562 "Par koncepciju "Ikgadējā </w:t>
            </w:r>
            <w:r w:rsidRPr="004146C3" w:rsidR="0085093C">
              <w:rPr>
                <w:rFonts w:ascii="Times New Roman" w:hAnsi="Times New Roman" w:eastAsia="Times New Roman" w:cs="Times New Roman"/>
                <w:sz w:val="24"/>
                <w:szCs w:val="24"/>
                <w:lang w:val="lv-LV" w:eastAsia="lv-LV"/>
              </w:rPr>
              <w:lastRenderedPageBreak/>
              <w:t>valsts nodeva par radiofrekvenču spektra un numerācijas resursu lietošanas tiesībām"" skaidro</w:t>
            </w:r>
            <w:r w:rsidR="00BE0613">
              <w:rPr>
                <w:rFonts w:ascii="Times New Roman" w:hAnsi="Times New Roman" w:eastAsia="Times New Roman" w:cs="Times New Roman"/>
                <w:sz w:val="24"/>
                <w:szCs w:val="24"/>
                <w:lang w:val="lv-LV" w:eastAsia="lv-LV"/>
              </w:rPr>
              <w:t>ts</w:t>
            </w:r>
            <w:r w:rsidRPr="004146C3" w:rsidR="0085093C">
              <w:rPr>
                <w:rFonts w:ascii="Times New Roman" w:hAnsi="Times New Roman" w:eastAsia="Times New Roman" w:cs="Times New Roman"/>
                <w:sz w:val="24"/>
                <w:szCs w:val="24"/>
                <w:lang w:val="lv-LV" w:eastAsia="lv-LV"/>
              </w:rPr>
              <w:t>, ka maksa par numerācijas resursu lietošanas tiesībām ir viens no būtiskākajiem ekonomiskajiem mehānismiem un instrumentiem, kas regulē numerācijas resursu izmantošanas pieprasījumu un veicina to efektīvu un racionālu izmantošanu.</w:t>
            </w:r>
          </w:p>
          <w:p w:rsidRPr="004146C3" w:rsidR="00EB1556" w:rsidP="00FE6562" w:rsidRDefault="00E26DB9" w14:paraId="0E91FDF6" w14:textId="4D93A4BE">
            <w:pPr>
              <w:autoSpaceDE w:val="0"/>
              <w:autoSpaceDN w:val="0"/>
              <w:spacing w:after="0" w:line="240" w:lineRule="auto"/>
              <w:ind w:right="170"/>
              <w:jc w:val="both"/>
              <w:rPr>
                <w:rFonts w:ascii="Times New Roman" w:hAnsi="Times New Roman" w:eastAsia="Times New Roman" w:cs="Times New Roman"/>
                <w:sz w:val="24"/>
                <w:szCs w:val="24"/>
                <w:lang w:val="lv-LV" w:eastAsia="lv-LV"/>
              </w:rPr>
            </w:pPr>
            <w:bookmarkStart w:name="_Hlk23757389" w:id="12"/>
            <w:r w:rsidRPr="004146C3">
              <w:rPr>
                <w:rFonts w:ascii="Times New Roman" w:hAnsi="Times New Roman" w:eastAsia="Times New Roman" w:cs="Times New Roman"/>
                <w:sz w:val="24"/>
                <w:szCs w:val="24"/>
                <w:lang w:val="lv-LV" w:eastAsia="lv-LV"/>
              </w:rPr>
              <w:t>Vērš</w:t>
            </w:r>
            <w:r w:rsidRPr="004146C3" w:rsidR="009A76CE">
              <w:rPr>
                <w:rFonts w:ascii="Times New Roman" w:hAnsi="Times New Roman" w:eastAsia="Times New Roman" w:cs="Times New Roman"/>
                <w:sz w:val="24"/>
                <w:szCs w:val="24"/>
                <w:lang w:val="lv-LV" w:eastAsia="lv-LV"/>
              </w:rPr>
              <w:t>a</w:t>
            </w:r>
            <w:r w:rsidRPr="004146C3">
              <w:rPr>
                <w:rFonts w:ascii="Times New Roman" w:hAnsi="Times New Roman" w:eastAsia="Times New Roman" w:cs="Times New Roman"/>
                <w:sz w:val="24"/>
                <w:szCs w:val="24"/>
                <w:lang w:val="lv-LV" w:eastAsia="lv-LV"/>
              </w:rPr>
              <w:t>m uzmanību, ka Elektronisko sakaru likuma 1</w:t>
            </w:r>
            <w:r w:rsidR="00BE0613">
              <w:rPr>
                <w:rFonts w:ascii="Times New Roman" w:hAnsi="Times New Roman" w:eastAsia="Times New Roman" w:cs="Times New Roman"/>
                <w:sz w:val="24"/>
                <w:szCs w:val="24"/>
                <w:lang w:val="lv-LV" w:eastAsia="lv-LV"/>
              </w:rPr>
              <w:t>.</w:t>
            </w:r>
            <w:r w:rsidRPr="004146C3">
              <w:rPr>
                <w:rFonts w:ascii="Times New Roman" w:hAnsi="Times New Roman" w:eastAsia="Times New Roman" w:cs="Times New Roman"/>
                <w:sz w:val="24"/>
                <w:szCs w:val="24"/>
                <w:lang w:val="lv-LV" w:eastAsia="lv-LV"/>
              </w:rPr>
              <w:t xml:space="preserve">panta </w:t>
            </w:r>
            <w:r w:rsidRPr="00145E27">
              <w:rPr>
                <w:rFonts w:ascii="Times New Roman" w:hAnsi="Times New Roman" w:cs="Times New Roman"/>
                <w:sz w:val="24"/>
                <w:szCs w:val="24"/>
                <w:shd w:val="clear" w:color="auto" w:fill="FFFFFF"/>
                <w:lang w:val="lv-LV"/>
              </w:rPr>
              <w:t>46</w:t>
            </w:r>
            <w:r w:rsidR="00BE0613">
              <w:rPr>
                <w:rFonts w:ascii="Times New Roman" w:hAnsi="Times New Roman" w:cs="Times New Roman"/>
                <w:sz w:val="24"/>
                <w:szCs w:val="24"/>
                <w:shd w:val="clear" w:color="auto" w:fill="FFFFFF"/>
                <w:lang w:val="lv-LV"/>
              </w:rPr>
              <w:t>.</w:t>
            </w:r>
            <w:r w:rsidRPr="00145E27">
              <w:rPr>
                <w:rFonts w:ascii="Times New Roman" w:hAnsi="Times New Roman" w:cs="Times New Roman"/>
                <w:sz w:val="24"/>
                <w:szCs w:val="24"/>
                <w:shd w:val="clear" w:color="auto" w:fill="FFFFFF"/>
                <w:vertAlign w:val="superscript"/>
                <w:lang w:val="lv-LV"/>
              </w:rPr>
              <w:t>1</w:t>
            </w:r>
            <w:r w:rsidRPr="00145E27">
              <w:rPr>
                <w:rFonts w:ascii="Times New Roman" w:hAnsi="Times New Roman" w:cs="Times New Roman"/>
                <w:sz w:val="24"/>
                <w:szCs w:val="24"/>
                <w:shd w:val="clear" w:color="auto" w:fill="FFFFFF"/>
                <w:lang w:val="lv-LV"/>
              </w:rPr>
              <w:t>punktā noteikt</w:t>
            </w:r>
            <w:r w:rsidRPr="00145E27" w:rsidR="009A76CE">
              <w:rPr>
                <w:rFonts w:ascii="Times New Roman" w:hAnsi="Times New Roman" w:cs="Times New Roman"/>
                <w:sz w:val="24"/>
                <w:szCs w:val="24"/>
                <w:shd w:val="clear" w:color="auto" w:fill="FFFFFF"/>
                <w:lang w:val="lv-LV"/>
              </w:rPr>
              <w:t>ā</w:t>
            </w:r>
            <w:r w:rsidRPr="00145E27">
              <w:rPr>
                <w:rFonts w:ascii="Times New Roman" w:hAnsi="Times New Roman" w:cs="Times New Roman"/>
                <w:sz w:val="24"/>
                <w:szCs w:val="24"/>
                <w:shd w:val="clear" w:color="auto" w:fill="FFFFFF"/>
                <w:lang w:val="lv-LV"/>
              </w:rPr>
              <w:t xml:space="preserve"> tālāknodošanas </w:t>
            </w:r>
            <w:r w:rsidRPr="00145E27" w:rsidR="009A76CE">
              <w:rPr>
                <w:rFonts w:ascii="Times New Roman" w:hAnsi="Times New Roman" w:cs="Times New Roman"/>
                <w:sz w:val="24"/>
                <w:szCs w:val="24"/>
                <w:shd w:val="clear" w:color="auto" w:fill="FFFFFF"/>
                <w:lang w:val="lv-LV"/>
              </w:rPr>
              <w:t xml:space="preserve">definīcija, kas paredz arī </w:t>
            </w:r>
            <w:r w:rsidRPr="00145E27">
              <w:rPr>
                <w:rFonts w:ascii="Times New Roman" w:hAnsi="Times New Roman" w:cs="Times New Roman"/>
                <w:sz w:val="24"/>
                <w:szCs w:val="24"/>
                <w:shd w:val="clear" w:color="auto" w:fill="FFFFFF"/>
                <w:lang w:val="lv-LV"/>
              </w:rPr>
              <w:t>lietošanas tiesību pārdošan</w:t>
            </w:r>
            <w:r w:rsidRPr="00145E27" w:rsidR="009A76CE">
              <w:rPr>
                <w:rFonts w:ascii="Times New Roman" w:hAnsi="Times New Roman" w:cs="Times New Roman"/>
                <w:sz w:val="24"/>
                <w:szCs w:val="24"/>
                <w:shd w:val="clear" w:color="auto" w:fill="FFFFFF"/>
                <w:lang w:val="lv-LV"/>
              </w:rPr>
              <w:t>u</w:t>
            </w:r>
            <w:r w:rsidR="00BE0613">
              <w:rPr>
                <w:rFonts w:ascii="Times New Roman" w:hAnsi="Times New Roman" w:cs="Times New Roman"/>
                <w:sz w:val="24"/>
                <w:szCs w:val="24"/>
                <w:shd w:val="clear" w:color="auto" w:fill="FFFFFF"/>
                <w:lang w:val="lv-LV"/>
              </w:rPr>
              <w:t>,</w:t>
            </w:r>
            <w:r w:rsidRPr="00145E27">
              <w:rPr>
                <w:rFonts w:ascii="Times New Roman" w:hAnsi="Times New Roman" w:cs="Times New Roman"/>
                <w:sz w:val="24"/>
                <w:szCs w:val="24"/>
                <w:shd w:val="clear" w:color="auto" w:fill="FFFFFF"/>
                <w:lang w:val="lv-LV"/>
              </w:rPr>
              <w:t xml:space="preserve"> </w:t>
            </w:r>
            <w:r w:rsidRPr="00145E27" w:rsidR="009A76CE">
              <w:rPr>
                <w:rFonts w:ascii="Times New Roman" w:hAnsi="Times New Roman" w:cs="Times New Roman"/>
                <w:sz w:val="24"/>
                <w:szCs w:val="24"/>
                <w:shd w:val="clear" w:color="auto" w:fill="FFFFFF"/>
                <w:lang w:val="lv-LV"/>
              </w:rPr>
              <w:t>ir jāskata kontekstā ar visu numerācijas lietošanas tiesību piešķiršanas regulējumu. Paskaidrojam, ka minētā definīcija aptver visus ierobežoto resursu veidus, bet katram no tiem ir speciālais regulējums. Attiecībā uz numerācijas lietošanas tiesībām ir jāizmanto Regulatora 2015.</w:t>
            </w:r>
            <w:r w:rsidR="00BE0613">
              <w:rPr>
                <w:rFonts w:ascii="Times New Roman" w:hAnsi="Times New Roman" w:cs="Times New Roman"/>
                <w:sz w:val="24"/>
                <w:szCs w:val="24"/>
                <w:shd w:val="clear" w:color="auto" w:fill="FFFFFF"/>
                <w:lang w:val="lv-LV"/>
              </w:rPr>
              <w:t>gada 3.decembra</w:t>
            </w:r>
            <w:r w:rsidRPr="00145E27" w:rsidR="009A76CE">
              <w:rPr>
                <w:rFonts w:ascii="Times New Roman" w:hAnsi="Times New Roman" w:cs="Times New Roman"/>
                <w:sz w:val="24"/>
                <w:szCs w:val="24"/>
                <w:shd w:val="clear" w:color="auto" w:fill="FFFFFF"/>
                <w:lang w:val="lv-LV"/>
              </w:rPr>
              <w:t xml:space="preserve"> lēmums Nr.1/18 “Noteikumi par numerācijas lietošanas tiesībām” Minētais lēmums neparedz </w:t>
            </w:r>
            <w:r w:rsidRPr="00145E27" w:rsidR="0005177E">
              <w:rPr>
                <w:rFonts w:ascii="Times New Roman" w:hAnsi="Times New Roman" w:cs="Times New Roman"/>
                <w:sz w:val="24"/>
                <w:szCs w:val="24"/>
                <w:shd w:val="clear" w:color="auto" w:fill="FFFFFF"/>
                <w:lang w:val="lv-LV"/>
              </w:rPr>
              <w:t>numerācijas pārdošanu, līdz ar to pārdošana ir pārkāpums, bet ne atļauta darbība, kuru būtu iespējams atcelt.</w:t>
            </w:r>
            <w:r w:rsidRPr="00145E27" w:rsidR="009A76CE">
              <w:rPr>
                <w:rFonts w:ascii="Times New Roman" w:hAnsi="Times New Roman" w:cs="Times New Roman"/>
                <w:sz w:val="24"/>
                <w:szCs w:val="24"/>
                <w:shd w:val="clear" w:color="auto" w:fill="FFFFFF"/>
                <w:lang w:val="lv-LV"/>
              </w:rPr>
              <w:t xml:space="preserve"> </w:t>
            </w:r>
            <w:r w:rsidRPr="00145E27" w:rsidR="0005177E">
              <w:rPr>
                <w:rFonts w:ascii="Times New Roman" w:hAnsi="Times New Roman" w:cs="Times New Roman"/>
                <w:sz w:val="24"/>
                <w:szCs w:val="24"/>
                <w:shd w:val="clear" w:color="auto" w:fill="FFFFFF"/>
                <w:lang w:val="lv-LV"/>
              </w:rPr>
              <w:t xml:space="preserve">Savukārt </w:t>
            </w:r>
            <w:r w:rsidRPr="00145E27" w:rsidR="0005177E">
              <w:rPr>
                <w:rFonts w:ascii="Times New Roman" w:hAnsi="Times New Roman" w:cs="Times New Roman"/>
                <w:sz w:val="24"/>
                <w:szCs w:val="24"/>
                <w:shd w:val="clear" w:color="auto" w:fill="FFFFFF"/>
                <w:lang w:val="lv-LV"/>
              </w:rPr>
              <w:lastRenderedPageBreak/>
              <w:t>nosakot atšķirīgus nosacījumus numerācijas iegūšanai Latvijas</w:t>
            </w:r>
            <w:r w:rsidR="00F3086D">
              <w:rPr>
                <w:rFonts w:ascii="Times New Roman" w:hAnsi="Times New Roman" w:cs="Times New Roman"/>
                <w:sz w:val="24"/>
                <w:szCs w:val="24"/>
                <w:shd w:val="clear" w:color="auto" w:fill="FFFFFF"/>
                <w:lang w:val="lv-LV"/>
              </w:rPr>
              <w:t xml:space="preserve"> Republikas</w:t>
            </w:r>
            <w:r w:rsidRPr="00145E27" w:rsidR="0005177E">
              <w:rPr>
                <w:rFonts w:ascii="Times New Roman" w:hAnsi="Times New Roman" w:cs="Times New Roman"/>
                <w:sz w:val="24"/>
                <w:szCs w:val="24"/>
                <w:shd w:val="clear" w:color="auto" w:fill="FFFFFF"/>
                <w:lang w:val="lv-LV"/>
              </w:rPr>
              <w:t xml:space="preserve"> un citu ES dalībvalstu komersantiem tiktu pārkāpts vienlīdzības un </w:t>
            </w:r>
            <w:proofErr w:type="spellStart"/>
            <w:r w:rsidRPr="00145E27" w:rsidR="0005177E">
              <w:rPr>
                <w:rFonts w:ascii="Times New Roman" w:hAnsi="Times New Roman" w:cs="Times New Roman"/>
                <w:sz w:val="24"/>
                <w:szCs w:val="24"/>
                <w:shd w:val="clear" w:color="auto" w:fill="FFFFFF"/>
                <w:lang w:val="lv-LV"/>
              </w:rPr>
              <w:t>nediskriminācijas</w:t>
            </w:r>
            <w:proofErr w:type="spellEnd"/>
            <w:r w:rsidRPr="00145E27" w:rsidR="0005177E">
              <w:rPr>
                <w:rFonts w:ascii="Times New Roman" w:hAnsi="Times New Roman" w:cs="Times New Roman"/>
                <w:sz w:val="24"/>
                <w:szCs w:val="24"/>
                <w:shd w:val="clear" w:color="auto" w:fill="FFFFFF"/>
                <w:lang w:val="lv-LV"/>
              </w:rPr>
              <w:t xml:space="preserve"> princips, kas nav atļauts brīva preču un pakalpojumu tirgū, kāds ir definēts ES robežās. Attiecībā uz 11 zīmju numuriem paskaidrojam, ka to izmantošana plānota eksteritoriālai lietošanai dinamiskā pieaugumā, tādēļ šim resursam pirmkārt, ir jābūt ļoti lielam, bet otrkārt, ja Latvijā numuri būs bez maksas, bet citās dalībvalstīs par maksu, tad Latvijas</w:t>
            </w:r>
            <w:r w:rsidR="00F3086D">
              <w:rPr>
                <w:rFonts w:ascii="Times New Roman" w:hAnsi="Times New Roman" w:cs="Times New Roman"/>
                <w:sz w:val="24"/>
                <w:szCs w:val="24"/>
                <w:shd w:val="clear" w:color="auto" w:fill="FFFFFF"/>
                <w:lang w:val="lv-LV"/>
              </w:rPr>
              <w:t xml:space="preserve"> Republikas</w:t>
            </w:r>
            <w:r w:rsidRPr="00145E27" w:rsidR="0005177E">
              <w:rPr>
                <w:rFonts w:ascii="Times New Roman" w:hAnsi="Times New Roman" w:cs="Times New Roman"/>
                <w:sz w:val="24"/>
                <w:szCs w:val="24"/>
                <w:shd w:val="clear" w:color="auto" w:fill="FFFFFF"/>
                <w:lang w:val="lv-LV"/>
              </w:rPr>
              <w:t xml:space="preserve"> numerācija būs ļoti pievilcīga jebkuras dalībvalsts komersantam, kas jālīdzsvaro, nosakot Nodevu, kā tas ir citās dalībvalstīs.</w:t>
            </w:r>
            <w:r w:rsidRPr="00145E27" w:rsidR="0078314E">
              <w:rPr>
                <w:rFonts w:ascii="Times New Roman" w:hAnsi="Times New Roman" w:cs="Times New Roman"/>
                <w:sz w:val="24"/>
                <w:szCs w:val="24"/>
                <w:shd w:val="clear" w:color="auto" w:fill="FFFFFF"/>
                <w:lang w:val="lv-LV"/>
              </w:rPr>
              <w:t xml:space="preserve"> Tas, ka Latvij</w:t>
            </w:r>
            <w:r w:rsidR="00F3086D">
              <w:rPr>
                <w:rFonts w:ascii="Times New Roman" w:hAnsi="Times New Roman" w:cs="Times New Roman"/>
                <w:sz w:val="24"/>
                <w:szCs w:val="24"/>
                <w:shd w:val="clear" w:color="auto" w:fill="FFFFFF"/>
                <w:lang w:val="lv-LV"/>
              </w:rPr>
              <w:t>as Republik</w:t>
            </w:r>
            <w:r w:rsidRPr="00145E27" w:rsidR="0078314E">
              <w:rPr>
                <w:rFonts w:ascii="Times New Roman" w:hAnsi="Times New Roman" w:cs="Times New Roman"/>
                <w:sz w:val="24"/>
                <w:szCs w:val="24"/>
                <w:shd w:val="clear" w:color="auto" w:fill="FFFFFF"/>
                <w:lang w:val="lv-LV"/>
              </w:rPr>
              <w:t>ā numerācija</w:t>
            </w:r>
            <w:r w:rsidR="00F3086D">
              <w:rPr>
                <w:rFonts w:ascii="Times New Roman" w:hAnsi="Times New Roman" w:cs="Times New Roman"/>
                <w:sz w:val="24"/>
                <w:szCs w:val="24"/>
                <w:shd w:val="clear" w:color="auto" w:fill="FFFFFF"/>
                <w:lang w:val="lv-LV"/>
              </w:rPr>
              <w:t>s resursu lietošanas tiesības</w:t>
            </w:r>
            <w:r w:rsidRPr="00145E27" w:rsidR="0078314E">
              <w:rPr>
                <w:rFonts w:ascii="Times New Roman" w:hAnsi="Times New Roman" w:cs="Times New Roman"/>
                <w:sz w:val="24"/>
                <w:szCs w:val="24"/>
                <w:shd w:val="clear" w:color="auto" w:fill="FFFFFF"/>
                <w:lang w:val="lv-LV"/>
              </w:rPr>
              <w:t xml:space="preserve"> ir bez maksas, jau šobrīd ir radījis situāciju, kurā Latvijas</w:t>
            </w:r>
            <w:r w:rsidR="00F3086D">
              <w:rPr>
                <w:rFonts w:ascii="Times New Roman" w:hAnsi="Times New Roman" w:cs="Times New Roman"/>
                <w:sz w:val="24"/>
                <w:szCs w:val="24"/>
                <w:shd w:val="clear" w:color="auto" w:fill="FFFFFF"/>
                <w:lang w:val="lv-LV"/>
              </w:rPr>
              <w:t xml:space="preserve"> Republikas</w:t>
            </w:r>
            <w:r w:rsidRPr="00145E27" w:rsidR="0078314E">
              <w:rPr>
                <w:rFonts w:ascii="Times New Roman" w:hAnsi="Times New Roman" w:cs="Times New Roman"/>
                <w:sz w:val="24"/>
                <w:szCs w:val="24"/>
                <w:shd w:val="clear" w:color="auto" w:fill="FFFFFF"/>
                <w:lang w:val="lv-LV"/>
              </w:rPr>
              <w:t xml:space="preserve"> numuri ir sastopami visā pasaulē, turklāt to izmantošana ne vienmēr ir ar pozitīvu aspektu, tā, piemēram, Satiksmes ministrija, gan 2019.gada aprīlī, gan novembrī, ir saņēmusi Krievijas</w:t>
            </w:r>
            <w:r w:rsidR="00F3086D">
              <w:rPr>
                <w:rFonts w:ascii="Times New Roman" w:hAnsi="Times New Roman" w:cs="Times New Roman"/>
                <w:sz w:val="24"/>
                <w:szCs w:val="24"/>
                <w:shd w:val="clear" w:color="auto" w:fill="FFFFFF"/>
                <w:lang w:val="lv-LV"/>
              </w:rPr>
              <w:t xml:space="preserve"> Federācijas</w:t>
            </w:r>
            <w:r w:rsidRPr="00145E27" w:rsidR="0078314E">
              <w:rPr>
                <w:rFonts w:ascii="Times New Roman" w:hAnsi="Times New Roman" w:cs="Times New Roman"/>
                <w:sz w:val="24"/>
                <w:szCs w:val="24"/>
                <w:shd w:val="clear" w:color="auto" w:fill="FFFFFF"/>
                <w:lang w:val="lv-LV"/>
              </w:rPr>
              <w:t xml:space="preserve"> sūdzības par Latvijas</w:t>
            </w:r>
            <w:r w:rsidR="00F3086D">
              <w:rPr>
                <w:rFonts w:ascii="Times New Roman" w:hAnsi="Times New Roman" w:cs="Times New Roman"/>
                <w:sz w:val="24"/>
                <w:szCs w:val="24"/>
                <w:shd w:val="clear" w:color="auto" w:fill="FFFFFF"/>
                <w:lang w:val="lv-LV"/>
              </w:rPr>
              <w:t xml:space="preserve"> Republikas</w:t>
            </w:r>
            <w:r w:rsidRPr="00145E27" w:rsidR="0078314E">
              <w:rPr>
                <w:rFonts w:ascii="Times New Roman" w:hAnsi="Times New Roman" w:cs="Times New Roman"/>
                <w:sz w:val="24"/>
                <w:szCs w:val="24"/>
                <w:shd w:val="clear" w:color="auto" w:fill="FFFFFF"/>
                <w:lang w:val="lv-LV"/>
              </w:rPr>
              <w:t xml:space="preserve"> numerācijas </w:t>
            </w:r>
            <w:r w:rsidRPr="00145E27" w:rsidR="0078314E">
              <w:rPr>
                <w:rFonts w:ascii="Times New Roman" w:hAnsi="Times New Roman" w:cs="Times New Roman"/>
                <w:sz w:val="24"/>
                <w:szCs w:val="24"/>
                <w:shd w:val="clear" w:color="auto" w:fill="FFFFFF"/>
                <w:lang w:val="lv-LV"/>
              </w:rPr>
              <w:lastRenderedPageBreak/>
              <w:t xml:space="preserve">izmantošanu </w:t>
            </w:r>
            <w:proofErr w:type="spellStart"/>
            <w:r w:rsidRPr="00145E27" w:rsidR="0078314E">
              <w:rPr>
                <w:rFonts w:ascii="Times New Roman" w:hAnsi="Times New Roman" w:cs="Times New Roman"/>
                <w:sz w:val="24"/>
                <w:szCs w:val="24"/>
                <w:shd w:val="clear" w:color="auto" w:fill="FFFFFF"/>
                <w:lang w:val="lv-LV"/>
              </w:rPr>
              <w:t>krāpniecības</w:t>
            </w:r>
            <w:proofErr w:type="spellEnd"/>
            <w:r w:rsidRPr="00145E27" w:rsidR="0078314E">
              <w:rPr>
                <w:rFonts w:ascii="Times New Roman" w:hAnsi="Times New Roman" w:cs="Times New Roman"/>
                <w:sz w:val="24"/>
                <w:szCs w:val="24"/>
                <w:shd w:val="clear" w:color="auto" w:fill="FFFFFF"/>
                <w:lang w:val="lv-LV"/>
              </w:rPr>
              <w:t xml:space="preserve"> nolūkos. Ievērojot minēto skaidrojumu, M</w:t>
            </w:r>
            <w:r w:rsidR="00BE0613">
              <w:rPr>
                <w:rFonts w:ascii="Times New Roman" w:hAnsi="Times New Roman" w:cs="Times New Roman"/>
                <w:sz w:val="24"/>
                <w:szCs w:val="24"/>
                <w:shd w:val="clear" w:color="auto" w:fill="FFFFFF"/>
                <w:lang w:val="lv-LV"/>
              </w:rPr>
              <w:t>inistru kabineta</w:t>
            </w:r>
            <w:r w:rsidRPr="00145E27" w:rsidR="0078314E">
              <w:rPr>
                <w:rFonts w:ascii="Times New Roman" w:hAnsi="Times New Roman" w:cs="Times New Roman"/>
                <w:sz w:val="24"/>
                <w:szCs w:val="24"/>
                <w:shd w:val="clear" w:color="auto" w:fill="FFFFFF"/>
                <w:lang w:val="lv-LV"/>
              </w:rPr>
              <w:t xml:space="preserve"> </w:t>
            </w:r>
            <w:proofErr w:type="spellStart"/>
            <w:r w:rsidRPr="00145E27" w:rsidR="0078314E">
              <w:rPr>
                <w:rFonts w:ascii="Times New Roman" w:hAnsi="Times New Roman" w:cs="Times New Roman"/>
                <w:sz w:val="24"/>
                <w:szCs w:val="24"/>
                <w:shd w:val="clear" w:color="auto" w:fill="FFFFFF"/>
                <w:lang w:val="lv-LV"/>
              </w:rPr>
              <w:t>protokl</w:t>
            </w:r>
            <w:r w:rsidR="00BE0613">
              <w:rPr>
                <w:rFonts w:ascii="Times New Roman" w:hAnsi="Times New Roman" w:cs="Times New Roman"/>
                <w:sz w:val="24"/>
                <w:szCs w:val="24"/>
                <w:shd w:val="clear" w:color="auto" w:fill="FFFFFF"/>
                <w:lang w:val="lv-LV"/>
              </w:rPr>
              <w:t>lēmum</w:t>
            </w:r>
            <w:r w:rsidRPr="00145E27" w:rsidR="0078314E">
              <w:rPr>
                <w:rFonts w:ascii="Times New Roman" w:hAnsi="Times New Roman" w:cs="Times New Roman"/>
                <w:sz w:val="24"/>
                <w:szCs w:val="24"/>
                <w:shd w:val="clear" w:color="auto" w:fill="FFFFFF"/>
                <w:lang w:val="lv-LV"/>
              </w:rPr>
              <w:t>a</w:t>
            </w:r>
            <w:proofErr w:type="spellEnd"/>
            <w:r w:rsidR="00BE0613">
              <w:rPr>
                <w:rFonts w:ascii="Times New Roman" w:hAnsi="Times New Roman" w:cs="Times New Roman"/>
                <w:sz w:val="24"/>
                <w:szCs w:val="24"/>
                <w:shd w:val="clear" w:color="auto" w:fill="FFFFFF"/>
                <w:lang w:val="lv-LV"/>
              </w:rPr>
              <w:t xml:space="preserve"> projekta</w:t>
            </w:r>
            <w:r w:rsidRPr="00145E27" w:rsidR="0078314E">
              <w:rPr>
                <w:rFonts w:ascii="Times New Roman" w:hAnsi="Times New Roman" w:cs="Times New Roman"/>
                <w:sz w:val="24"/>
                <w:szCs w:val="24"/>
                <w:shd w:val="clear" w:color="auto" w:fill="FFFFFF"/>
                <w:lang w:val="lv-LV"/>
              </w:rPr>
              <w:t xml:space="preserve"> 2.un 3.punktā paredzētās darbības ir katra ar savu nošķirtu mērķi un nevar tikt uzskatīts par dublējošu mehānismu. </w:t>
            </w:r>
          </w:p>
          <w:bookmarkEnd w:id="12"/>
          <w:p w:rsidRPr="00B11D5D" w:rsidR="00B34C48" w:rsidP="00145E27" w:rsidRDefault="00B34C48" w14:paraId="127086AE" w14:textId="41954629">
            <w:pPr>
              <w:autoSpaceDE w:val="0"/>
              <w:autoSpaceDN w:val="0"/>
              <w:spacing w:after="0" w:line="240" w:lineRule="auto"/>
              <w:ind w:right="170"/>
              <w:jc w:val="both"/>
              <w:rPr>
                <w:lang w:val="lv-LV"/>
              </w:rPr>
            </w:pPr>
          </w:p>
        </w:tc>
        <w:tc>
          <w:tcPr>
            <w:tcW w:w="2951" w:type="dxa"/>
          </w:tcPr>
          <w:p w:rsidRPr="009C445F" w:rsidR="00B545E4" w:rsidP="00852D0E" w:rsidRDefault="00B545E4" w14:paraId="01EB6DB9" w14:textId="7D6B181D">
            <w:pPr>
              <w:autoSpaceDE w:val="0"/>
              <w:autoSpaceDN w:val="0"/>
              <w:spacing w:after="0" w:line="240" w:lineRule="auto"/>
              <w:ind w:left="170" w:right="170"/>
              <w:jc w:val="both"/>
              <w:rPr>
                <w:rFonts w:ascii="Times New Roman" w:hAnsi="Times New Roman" w:eastAsia="Times New Roman" w:cs="Times New Roman"/>
                <w:b/>
                <w:i/>
                <w:sz w:val="24"/>
                <w:szCs w:val="24"/>
                <w:lang w:val="lv-LV" w:eastAsia="lv-LV"/>
              </w:rPr>
            </w:pPr>
            <w:r>
              <w:rPr>
                <w:rFonts w:ascii="Times New Roman" w:hAnsi="Times New Roman" w:eastAsia="Times New Roman" w:cs="Times New Roman"/>
                <w:b/>
                <w:i/>
                <w:sz w:val="24"/>
                <w:szCs w:val="24"/>
                <w:lang w:val="lv-LV" w:eastAsia="lv-LV"/>
              </w:rPr>
              <w:lastRenderedPageBreak/>
              <w:t xml:space="preserve">Skatīt precizētā informatīvā ziņojuma 3.daļu . </w:t>
            </w:r>
          </w:p>
        </w:tc>
      </w:tr>
    </w:tbl>
    <w:p w:rsidRPr="009C445F" w:rsidR="009C445F" w:rsidP="009C445F" w:rsidRDefault="009C445F" w14:paraId="57419D0A" w14:textId="77777777">
      <w:pPr>
        <w:tabs>
          <w:tab w:val="left" w:pos="12750"/>
        </w:tabs>
        <w:autoSpaceDE w:val="0"/>
        <w:autoSpaceDN w:val="0"/>
        <w:spacing w:after="0" w:line="240" w:lineRule="auto"/>
        <w:ind w:right="170"/>
        <w:rPr>
          <w:rFonts w:ascii="Times New Roman" w:hAnsi="Times New Roman" w:eastAsia="Times New Roman" w:cs="Times New Roman"/>
          <w:sz w:val="20"/>
          <w:szCs w:val="20"/>
          <w:lang w:val="lv-LV" w:eastAsia="lv-LV"/>
        </w:rPr>
      </w:pPr>
      <w:r w:rsidRPr="009C445F">
        <w:rPr>
          <w:rFonts w:ascii="Times New Roman" w:hAnsi="Times New Roman" w:eastAsia="Times New Roman" w:cs="Times New Roman"/>
          <w:sz w:val="20"/>
          <w:szCs w:val="20"/>
          <w:lang w:val="lv-LV" w:eastAsia="lv-LV"/>
        </w:rPr>
        <w:lastRenderedPageBreak/>
        <w:tab/>
      </w:r>
    </w:p>
    <w:p w:rsidRPr="009C445F" w:rsidR="009C445F" w:rsidP="009C445F" w:rsidRDefault="009C445F" w14:paraId="0B327163" w14:textId="77777777">
      <w:pPr>
        <w:autoSpaceDE w:val="0"/>
        <w:autoSpaceDN w:val="0"/>
        <w:spacing w:after="0" w:line="240" w:lineRule="auto"/>
        <w:ind w:left="170" w:right="170"/>
        <w:rPr>
          <w:rFonts w:ascii="Times New Roman" w:hAnsi="Times New Roman" w:eastAsia="Times New Roman" w:cs="Times New Roman"/>
          <w:sz w:val="20"/>
          <w:szCs w:val="20"/>
          <w:lang w:val="lv-LV" w:eastAsia="lv-LV"/>
        </w:rPr>
      </w:pPr>
    </w:p>
    <w:tbl>
      <w:tblPr>
        <w:tblW w:w="15465" w:type="dxa"/>
        <w:tblCellSpacing w:w="0" w:type="dxa"/>
        <w:tblInd w:w="-459" w:type="dxa"/>
        <w:tblLayout w:type="fixed"/>
        <w:tblCellMar>
          <w:left w:w="0" w:type="dxa"/>
          <w:right w:w="0" w:type="dxa"/>
        </w:tblCellMar>
        <w:tblLook w:val="04A0" w:firstRow="1" w:lastRow="0" w:firstColumn="1" w:lastColumn="0" w:noHBand="0" w:noVBand="1"/>
      </w:tblPr>
      <w:tblGrid>
        <w:gridCol w:w="1180"/>
        <w:gridCol w:w="697"/>
        <w:gridCol w:w="2441"/>
        <w:gridCol w:w="3294"/>
        <w:gridCol w:w="4804"/>
        <w:gridCol w:w="71"/>
        <w:gridCol w:w="21"/>
        <w:gridCol w:w="21"/>
        <w:gridCol w:w="2936"/>
      </w:tblGrid>
      <w:tr w:rsidRPr="009C445F" w:rsidR="00624872" w:rsidTr="00CA1481" w14:paraId="14BCCCEB" w14:textId="77777777">
        <w:trPr>
          <w:tblCellSpacing w:w="0" w:type="dxa"/>
        </w:trPr>
        <w:tc>
          <w:tcPr>
            <w:tcW w:w="1877" w:type="dxa"/>
            <w:gridSpan w:val="2"/>
            <w:vAlign w:val="center"/>
            <w:hideMark/>
          </w:tcPr>
          <w:p w:rsidRPr="009C445F" w:rsidR="00624872" w:rsidP="00624872" w:rsidRDefault="00624872" w14:paraId="293493E5" w14:textId="77777777">
            <w:pPr>
              <w:spacing w:after="0" w:line="240" w:lineRule="auto"/>
              <w:ind w:left="170" w:right="170"/>
              <w:rPr>
                <w:rFonts w:ascii="Times New Roman" w:hAnsi="Times New Roman" w:eastAsia="Times New Roman" w:cs="Times New Roman"/>
                <w:color w:val="000000"/>
                <w:sz w:val="23"/>
                <w:szCs w:val="23"/>
                <w:lang w:val="lv-LV" w:eastAsia="lv-LV"/>
              </w:rPr>
            </w:pPr>
            <w:r w:rsidRPr="009C445F">
              <w:rPr>
                <w:rFonts w:ascii="Times New Roman" w:hAnsi="Times New Roman" w:eastAsia="Times New Roman" w:cs="Times New Roman"/>
                <w:color w:val="000000"/>
                <w:sz w:val="23"/>
                <w:szCs w:val="23"/>
                <w:lang w:val="lv-LV" w:eastAsia="lv-LV"/>
              </w:rPr>
              <w:t>Atbildīgā amatpersona</w:t>
            </w:r>
          </w:p>
        </w:tc>
        <w:tc>
          <w:tcPr>
            <w:tcW w:w="10539" w:type="dxa"/>
            <w:gridSpan w:val="3"/>
            <w:vAlign w:val="center"/>
            <w:hideMark/>
          </w:tcPr>
          <w:p w:rsidRPr="00624872" w:rsidR="00624872" w:rsidP="00624872" w:rsidRDefault="00624872" w14:paraId="146BD1B8" w14:textId="77777777">
            <w:pPr>
              <w:pStyle w:val="naiskr"/>
              <w:spacing w:before="0" w:beforeAutospacing="0" w:after="0" w:afterAutospacing="0"/>
              <w:ind w:left="170" w:right="170"/>
              <w:rPr>
                <w:color w:val="000000"/>
                <w:sz w:val="23"/>
                <w:szCs w:val="23"/>
              </w:rPr>
            </w:pPr>
          </w:p>
          <w:p w:rsidRPr="00624872" w:rsidR="00624872" w:rsidP="00624872" w:rsidRDefault="00624872" w14:paraId="611A831E" w14:textId="57729BC3">
            <w:pPr>
              <w:spacing w:after="0" w:line="240" w:lineRule="auto"/>
              <w:ind w:left="170" w:right="170"/>
              <w:rPr>
                <w:rFonts w:ascii="Times New Roman" w:hAnsi="Times New Roman" w:eastAsia="Times New Roman" w:cs="Times New Roman"/>
                <w:color w:val="000000"/>
                <w:sz w:val="23"/>
                <w:szCs w:val="23"/>
                <w:lang w:val="lv-LV" w:eastAsia="lv-LV"/>
              </w:rPr>
            </w:pPr>
            <w:r w:rsidRPr="00624872">
              <w:rPr>
                <w:rFonts w:ascii="Times New Roman" w:hAnsi="Times New Roman" w:cs="Times New Roman"/>
                <w:color w:val="000000"/>
                <w:sz w:val="23"/>
                <w:szCs w:val="23"/>
              </w:rPr>
              <w:t xml:space="preserve">                                                                                                                                                         Zita Kanberga</w:t>
            </w:r>
          </w:p>
        </w:tc>
        <w:tc>
          <w:tcPr>
            <w:tcW w:w="3049" w:type="dxa"/>
            <w:gridSpan w:val="4"/>
            <w:vAlign w:val="center"/>
            <w:hideMark/>
          </w:tcPr>
          <w:p w:rsidRPr="009C445F" w:rsidR="00624872" w:rsidP="00624872" w:rsidRDefault="00624872" w14:paraId="51250850" w14:textId="77777777">
            <w:pPr>
              <w:autoSpaceDE w:val="0"/>
              <w:autoSpaceDN w:val="0"/>
              <w:spacing w:after="0" w:line="240" w:lineRule="auto"/>
              <w:ind w:left="170" w:right="170"/>
              <w:rPr>
                <w:rFonts w:ascii="Times New Roman" w:hAnsi="Times New Roman" w:eastAsia="Times New Roman" w:cs="Times New Roman"/>
                <w:color w:val="000000"/>
                <w:sz w:val="24"/>
                <w:szCs w:val="24"/>
                <w:lang w:val="lv-LV" w:eastAsia="lv-LV"/>
              </w:rPr>
            </w:pPr>
            <w:r w:rsidRPr="009C445F">
              <w:rPr>
                <w:rFonts w:ascii="Times New Roman" w:hAnsi="Times New Roman" w:eastAsia="Times New Roman" w:cs="Times New Roman"/>
                <w:color w:val="000000"/>
                <w:sz w:val="24"/>
                <w:szCs w:val="24"/>
                <w:lang w:val="lv-LV" w:eastAsia="lv-LV"/>
              </w:rPr>
              <w:t> </w:t>
            </w:r>
          </w:p>
        </w:tc>
      </w:tr>
      <w:tr w:rsidRPr="009C445F" w:rsidR="00624872" w:rsidTr="00CA1481" w14:paraId="4F186C5D" w14:textId="77777777">
        <w:trPr>
          <w:tblCellSpacing w:w="0" w:type="dxa"/>
        </w:trPr>
        <w:tc>
          <w:tcPr>
            <w:tcW w:w="1877" w:type="dxa"/>
            <w:gridSpan w:val="2"/>
            <w:vAlign w:val="center"/>
            <w:hideMark/>
          </w:tcPr>
          <w:p w:rsidRPr="009C445F" w:rsidR="00624872" w:rsidP="00624872" w:rsidRDefault="00624872" w14:paraId="2A0DFD68" w14:textId="77777777">
            <w:pPr>
              <w:spacing w:after="0" w:line="240" w:lineRule="auto"/>
              <w:ind w:left="170" w:right="170"/>
              <w:rPr>
                <w:rFonts w:ascii="Times New Roman" w:hAnsi="Times New Roman" w:eastAsia="Times New Roman" w:cs="Times New Roman"/>
                <w:color w:val="000000"/>
                <w:sz w:val="23"/>
                <w:szCs w:val="23"/>
                <w:lang w:val="lv-LV" w:eastAsia="lv-LV"/>
              </w:rPr>
            </w:pPr>
            <w:r w:rsidRPr="009C445F">
              <w:rPr>
                <w:rFonts w:ascii="Times New Roman" w:hAnsi="Times New Roman" w:eastAsia="Times New Roman" w:cs="Times New Roman"/>
                <w:color w:val="000000"/>
                <w:sz w:val="23"/>
                <w:szCs w:val="23"/>
                <w:lang w:val="lv-LV" w:eastAsia="lv-LV"/>
              </w:rPr>
              <w:t> </w:t>
            </w:r>
          </w:p>
        </w:tc>
        <w:tc>
          <w:tcPr>
            <w:tcW w:w="10539" w:type="dxa"/>
            <w:gridSpan w:val="3"/>
            <w:tcBorders>
              <w:top w:val="single" w:color="auto" w:sz="8" w:space="0"/>
              <w:left w:val="nil"/>
              <w:bottom w:val="nil"/>
              <w:right w:val="nil"/>
            </w:tcBorders>
            <w:vAlign w:val="center"/>
            <w:hideMark/>
          </w:tcPr>
          <w:p w:rsidRPr="009C445F" w:rsidR="00624872" w:rsidP="00624872" w:rsidRDefault="00624872" w14:paraId="75BF54CC" w14:textId="38A24885">
            <w:pPr>
              <w:spacing w:after="0" w:line="240" w:lineRule="auto"/>
              <w:ind w:left="170" w:right="170"/>
              <w:jc w:val="center"/>
              <w:rPr>
                <w:rFonts w:ascii="Times New Roman" w:hAnsi="Times New Roman" w:eastAsia="Times New Roman" w:cs="Times New Roman"/>
                <w:color w:val="000000"/>
                <w:sz w:val="23"/>
                <w:szCs w:val="23"/>
                <w:lang w:val="lv-LV" w:eastAsia="lv-LV"/>
              </w:rPr>
            </w:pPr>
          </w:p>
        </w:tc>
        <w:tc>
          <w:tcPr>
            <w:tcW w:w="3049" w:type="dxa"/>
            <w:gridSpan w:val="4"/>
            <w:vAlign w:val="center"/>
            <w:hideMark/>
          </w:tcPr>
          <w:p w:rsidRPr="009C445F" w:rsidR="00624872" w:rsidP="00624872" w:rsidRDefault="00624872" w14:paraId="48250407" w14:textId="77777777">
            <w:pPr>
              <w:autoSpaceDE w:val="0"/>
              <w:autoSpaceDN w:val="0"/>
              <w:spacing w:after="0" w:line="240" w:lineRule="auto"/>
              <w:ind w:left="170" w:right="170"/>
              <w:rPr>
                <w:rFonts w:ascii="Times New Roman" w:hAnsi="Times New Roman" w:eastAsia="Times New Roman" w:cs="Times New Roman"/>
                <w:color w:val="000000"/>
                <w:sz w:val="24"/>
                <w:szCs w:val="24"/>
                <w:lang w:val="lv-LV" w:eastAsia="lv-LV"/>
              </w:rPr>
            </w:pPr>
            <w:r w:rsidRPr="009C445F">
              <w:rPr>
                <w:rFonts w:ascii="Times New Roman" w:hAnsi="Times New Roman" w:eastAsia="Times New Roman" w:cs="Times New Roman"/>
                <w:color w:val="000000"/>
                <w:sz w:val="24"/>
                <w:szCs w:val="24"/>
                <w:lang w:val="lv-LV" w:eastAsia="lv-LV"/>
              </w:rPr>
              <w:t> </w:t>
            </w:r>
          </w:p>
        </w:tc>
      </w:tr>
      <w:tr w:rsidRPr="009C445F" w:rsidR="009C445F" w:rsidTr="00CA1481" w14:paraId="222DFE72" w14:textId="77777777">
        <w:trPr>
          <w:gridAfter w:val="1"/>
          <w:wAfter w:w="2936" w:type="dxa"/>
          <w:tblCellSpacing w:w="0" w:type="dxa"/>
        </w:trPr>
        <w:tc>
          <w:tcPr>
            <w:tcW w:w="1180" w:type="dxa"/>
            <w:vAlign w:val="center"/>
          </w:tcPr>
          <w:p w:rsidRPr="009C445F" w:rsidR="009C445F" w:rsidP="009C445F" w:rsidRDefault="009C445F" w14:paraId="7702143B" w14:textId="77777777">
            <w:pPr>
              <w:autoSpaceDE w:val="0"/>
              <w:autoSpaceDN w:val="0"/>
              <w:spacing w:after="0" w:line="240" w:lineRule="auto"/>
              <w:ind w:left="170" w:right="170"/>
              <w:rPr>
                <w:rFonts w:ascii="Times New Roman" w:hAnsi="Times New Roman" w:eastAsia="Times New Roman" w:cs="Times New Roman"/>
                <w:color w:val="000000"/>
                <w:sz w:val="24"/>
                <w:szCs w:val="24"/>
                <w:lang w:val="lv-LV" w:eastAsia="lv-LV"/>
              </w:rPr>
            </w:pPr>
          </w:p>
        </w:tc>
        <w:tc>
          <w:tcPr>
            <w:tcW w:w="697" w:type="dxa"/>
            <w:vAlign w:val="center"/>
          </w:tcPr>
          <w:p w:rsidRPr="009C445F" w:rsidR="009C445F" w:rsidP="009C445F" w:rsidRDefault="009C445F" w14:paraId="25CF2395" w14:textId="77777777">
            <w:pPr>
              <w:spacing w:after="0" w:line="240" w:lineRule="auto"/>
              <w:ind w:left="170" w:right="170"/>
              <w:rPr>
                <w:rFonts w:ascii="Times New Roman" w:hAnsi="Times New Roman" w:eastAsia="Times New Roman" w:cs="Times New Roman"/>
                <w:color w:val="000000"/>
                <w:sz w:val="24"/>
                <w:szCs w:val="24"/>
                <w:lang w:val="lv-LV" w:eastAsia="lv-LV"/>
              </w:rPr>
            </w:pPr>
          </w:p>
        </w:tc>
        <w:tc>
          <w:tcPr>
            <w:tcW w:w="2441" w:type="dxa"/>
            <w:vAlign w:val="center"/>
          </w:tcPr>
          <w:p w:rsidRPr="009C445F" w:rsidR="009C445F" w:rsidP="009C445F" w:rsidRDefault="009C445F" w14:paraId="1694C042" w14:textId="77777777">
            <w:pPr>
              <w:autoSpaceDE w:val="0"/>
              <w:autoSpaceDN w:val="0"/>
              <w:spacing w:after="0" w:line="240" w:lineRule="auto"/>
              <w:ind w:left="170" w:right="170"/>
              <w:rPr>
                <w:rFonts w:ascii="Times New Roman" w:hAnsi="Times New Roman" w:eastAsia="Times New Roman" w:cs="Times New Roman"/>
                <w:color w:val="000000"/>
                <w:sz w:val="24"/>
                <w:szCs w:val="24"/>
                <w:lang w:val="lv-LV" w:eastAsia="lv-LV"/>
              </w:rPr>
            </w:pPr>
          </w:p>
        </w:tc>
        <w:tc>
          <w:tcPr>
            <w:tcW w:w="3294" w:type="dxa"/>
            <w:vAlign w:val="center"/>
          </w:tcPr>
          <w:p w:rsidRPr="009C445F" w:rsidR="009C445F" w:rsidP="009C445F" w:rsidRDefault="009C445F" w14:paraId="63A04F22" w14:textId="77777777">
            <w:pPr>
              <w:autoSpaceDE w:val="0"/>
              <w:autoSpaceDN w:val="0"/>
              <w:spacing w:after="0" w:line="240" w:lineRule="auto"/>
              <w:ind w:left="170" w:right="170"/>
              <w:rPr>
                <w:rFonts w:ascii="Times New Roman" w:hAnsi="Times New Roman" w:eastAsia="Times New Roman" w:cs="Times New Roman"/>
                <w:color w:val="000000"/>
                <w:sz w:val="24"/>
                <w:szCs w:val="24"/>
                <w:lang w:val="lv-LV" w:eastAsia="lv-LV"/>
              </w:rPr>
            </w:pPr>
          </w:p>
        </w:tc>
        <w:tc>
          <w:tcPr>
            <w:tcW w:w="4875" w:type="dxa"/>
            <w:gridSpan w:val="2"/>
            <w:vAlign w:val="center"/>
          </w:tcPr>
          <w:p w:rsidRPr="009C445F" w:rsidR="009C445F" w:rsidP="009C445F" w:rsidRDefault="009C445F" w14:paraId="1808BD2C" w14:textId="77777777">
            <w:pPr>
              <w:autoSpaceDE w:val="0"/>
              <w:autoSpaceDN w:val="0"/>
              <w:spacing w:after="0" w:line="240" w:lineRule="auto"/>
              <w:ind w:left="170" w:right="170"/>
              <w:rPr>
                <w:rFonts w:ascii="Times New Roman" w:hAnsi="Times New Roman" w:eastAsia="Times New Roman" w:cs="Times New Roman"/>
                <w:color w:val="000000"/>
                <w:sz w:val="24"/>
                <w:szCs w:val="24"/>
                <w:lang w:val="lv-LV" w:eastAsia="lv-LV"/>
              </w:rPr>
            </w:pPr>
          </w:p>
        </w:tc>
        <w:tc>
          <w:tcPr>
            <w:tcW w:w="21" w:type="dxa"/>
            <w:vAlign w:val="center"/>
          </w:tcPr>
          <w:p w:rsidRPr="009C445F" w:rsidR="009C445F" w:rsidP="009C445F" w:rsidRDefault="009C445F" w14:paraId="224DF117" w14:textId="77777777">
            <w:pPr>
              <w:autoSpaceDE w:val="0"/>
              <w:autoSpaceDN w:val="0"/>
              <w:spacing w:after="0" w:line="240" w:lineRule="auto"/>
              <w:ind w:left="170" w:right="170"/>
              <w:rPr>
                <w:rFonts w:ascii="Times New Roman" w:hAnsi="Times New Roman" w:eastAsia="Times New Roman" w:cs="Times New Roman"/>
                <w:color w:val="000000"/>
                <w:sz w:val="24"/>
                <w:szCs w:val="24"/>
                <w:lang w:val="lv-LV" w:eastAsia="lv-LV"/>
              </w:rPr>
            </w:pPr>
          </w:p>
        </w:tc>
        <w:tc>
          <w:tcPr>
            <w:tcW w:w="21" w:type="dxa"/>
            <w:vAlign w:val="center"/>
          </w:tcPr>
          <w:p w:rsidRPr="009C445F" w:rsidR="009C445F" w:rsidP="009C445F" w:rsidRDefault="009C445F" w14:paraId="2326CA5C" w14:textId="77777777">
            <w:pPr>
              <w:autoSpaceDE w:val="0"/>
              <w:autoSpaceDN w:val="0"/>
              <w:spacing w:after="0" w:line="240" w:lineRule="auto"/>
              <w:ind w:left="170" w:right="170"/>
              <w:rPr>
                <w:rFonts w:ascii="Times New Roman" w:hAnsi="Times New Roman" w:eastAsia="Times New Roman" w:cs="Times New Roman"/>
                <w:color w:val="000000"/>
                <w:sz w:val="24"/>
                <w:szCs w:val="24"/>
                <w:lang w:val="lv-LV" w:eastAsia="lv-LV"/>
              </w:rPr>
            </w:pPr>
          </w:p>
        </w:tc>
      </w:tr>
    </w:tbl>
    <w:p w:rsidR="002E369F" w:rsidRDefault="002E369F" w14:paraId="278FC657" w14:textId="77777777"/>
    <w:sectPr w:rsidR="002E369F" w:rsidSect="00702A1A">
      <w:headerReference w:type="default" r:id="rId8"/>
      <w:footerReference w:type="default" r:id="rId9"/>
      <w:footerReference w:type="first" r:id="rId10"/>
      <w:pgSz w:w="16838" w:h="11906" w:orient="landscape"/>
      <w:pgMar w:top="0" w:right="1134" w:bottom="851" w:left="1701" w:header="709"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4235" w14:textId="77777777" w:rsidR="000C7D71" w:rsidRDefault="000C7D71" w:rsidP="009C445F">
      <w:pPr>
        <w:spacing w:after="0" w:line="240" w:lineRule="auto"/>
      </w:pPr>
      <w:r>
        <w:separator/>
      </w:r>
    </w:p>
  </w:endnote>
  <w:endnote w:type="continuationSeparator" w:id="0">
    <w:p w14:paraId="0963019A" w14:textId="77777777" w:rsidR="000C7D71" w:rsidRDefault="000C7D71" w:rsidP="009C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FECC" w14:textId="77777777" w:rsidR="009720AF" w:rsidRDefault="00307D56" w:rsidP="00F84DAA">
    <w:pPr>
      <w:jc w:val="both"/>
      <w:outlineLvl w:val="3"/>
      <w:rPr>
        <w:bCs/>
        <w:sz w:val="20"/>
        <w:szCs w:val="20"/>
      </w:rPr>
    </w:pPr>
  </w:p>
  <w:p w14:paraId="6C31D308" w14:textId="6EF42B0E" w:rsidR="00F81AC4" w:rsidRPr="009D7937" w:rsidRDefault="00C9558A" w:rsidP="009D7937">
    <w:pPr>
      <w:ind w:right="737"/>
      <w:jc w:val="both"/>
      <w:outlineLvl w:val="3"/>
      <w:rPr>
        <w:rFonts w:ascii="Times New Roman" w:hAnsi="Times New Roman" w:cs="Times New Roman"/>
        <w:bCs/>
        <w:sz w:val="20"/>
        <w:szCs w:val="20"/>
      </w:rPr>
    </w:pPr>
    <w:r>
      <w:rPr>
        <w:rFonts w:ascii="Times New Roman" w:hAnsi="Times New Roman" w:cs="Times New Roman"/>
        <w:bCs/>
        <w:sz w:val="20"/>
        <w:szCs w:val="20"/>
      </w:rPr>
      <w:t>SMizz_</w:t>
    </w:r>
    <w:r w:rsidR="001F24A3">
      <w:rPr>
        <w:rFonts w:ascii="Times New Roman" w:hAnsi="Times New Roman" w:cs="Times New Roman"/>
        <w:bCs/>
        <w:sz w:val="20"/>
        <w:szCs w:val="20"/>
      </w:rPr>
      <w:t>19</w:t>
    </w:r>
    <w:r>
      <w:rPr>
        <w:rFonts w:ascii="Times New Roman" w:hAnsi="Times New Roman" w:cs="Times New Roman"/>
        <w:bCs/>
        <w:sz w:val="20"/>
        <w:szCs w:val="20"/>
      </w:rPr>
      <w:t>1</w:t>
    </w:r>
    <w:r w:rsidR="00F64644">
      <w:rPr>
        <w:rFonts w:ascii="Times New Roman" w:hAnsi="Times New Roman" w:cs="Times New Roman"/>
        <w:bCs/>
        <w:sz w:val="20"/>
        <w:szCs w:val="20"/>
      </w:rPr>
      <w:t>2</w:t>
    </w:r>
    <w:r>
      <w:rPr>
        <w:rFonts w:ascii="Times New Roman" w:hAnsi="Times New Roman" w:cs="Times New Roman"/>
        <w:bCs/>
        <w:sz w:val="20"/>
        <w:szCs w:val="20"/>
      </w:rPr>
      <w:t>19_IoT_M2M</w:t>
    </w:r>
    <w:r w:rsidR="00F81AC4" w:rsidRPr="009D7937">
      <w:rPr>
        <w:rFonts w:ascii="Times New Roman" w:hAnsi="Times New Roman" w:cs="Times New Roman"/>
        <w:bCs/>
        <w:sz w:val="20"/>
        <w:szCs w:val="20"/>
      </w:rPr>
      <w:t xml:space="preserve">; </w:t>
    </w:r>
    <w:proofErr w:type="spellStart"/>
    <w:r w:rsidR="00F81AC4" w:rsidRPr="009D7937">
      <w:rPr>
        <w:rFonts w:ascii="Times New Roman" w:hAnsi="Times New Roman" w:cs="Times New Roman"/>
        <w:bCs/>
        <w:sz w:val="20"/>
        <w:szCs w:val="20"/>
      </w:rPr>
      <w:t>Izziņa</w:t>
    </w:r>
    <w:proofErr w:type="spellEnd"/>
    <w:r w:rsidR="00F81AC4" w:rsidRPr="009D7937">
      <w:rPr>
        <w:rFonts w:ascii="Times New Roman" w:hAnsi="Times New Roman" w:cs="Times New Roman"/>
        <w:bCs/>
        <w:sz w:val="20"/>
        <w:szCs w:val="20"/>
      </w:rPr>
      <w:t xml:space="preserve"> par </w:t>
    </w:r>
    <w:proofErr w:type="spellStart"/>
    <w:r w:rsidR="00F81AC4" w:rsidRPr="009D7937">
      <w:rPr>
        <w:rFonts w:ascii="Times New Roman" w:hAnsi="Times New Roman" w:cs="Times New Roman"/>
        <w:bCs/>
        <w:sz w:val="20"/>
        <w:szCs w:val="20"/>
      </w:rPr>
      <w:t>atzinumos</w:t>
    </w:r>
    <w:proofErr w:type="spellEnd"/>
    <w:r w:rsidR="00F81AC4" w:rsidRPr="009D7937">
      <w:rPr>
        <w:rFonts w:ascii="Times New Roman" w:hAnsi="Times New Roman" w:cs="Times New Roman"/>
        <w:bCs/>
        <w:sz w:val="20"/>
        <w:szCs w:val="20"/>
      </w:rPr>
      <w:t xml:space="preserve"> </w:t>
    </w:r>
    <w:proofErr w:type="spellStart"/>
    <w:r w:rsidR="00F81AC4" w:rsidRPr="009D7937">
      <w:rPr>
        <w:rFonts w:ascii="Times New Roman" w:hAnsi="Times New Roman" w:cs="Times New Roman"/>
        <w:bCs/>
        <w:sz w:val="20"/>
        <w:szCs w:val="20"/>
      </w:rPr>
      <w:t>sniegtajiem</w:t>
    </w:r>
    <w:proofErr w:type="spellEnd"/>
    <w:r w:rsidR="00F81AC4" w:rsidRPr="009D7937">
      <w:rPr>
        <w:rFonts w:ascii="Times New Roman" w:hAnsi="Times New Roman" w:cs="Times New Roman"/>
        <w:bCs/>
        <w:sz w:val="20"/>
        <w:szCs w:val="20"/>
      </w:rPr>
      <w:t xml:space="preserve"> </w:t>
    </w:r>
    <w:proofErr w:type="spellStart"/>
    <w:r w:rsidR="00F81AC4" w:rsidRPr="009D7937">
      <w:rPr>
        <w:rFonts w:ascii="Times New Roman" w:hAnsi="Times New Roman" w:cs="Times New Roman"/>
        <w:bCs/>
        <w:sz w:val="20"/>
        <w:szCs w:val="20"/>
      </w:rPr>
      <w:t>iebildumiem</w:t>
    </w:r>
    <w:proofErr w:type="spellEnd"/>
    <w:r w:rsidR="00F81AC4" w:rsidRPr="009D7937">
      <w:rPr>
        <w:rFonts w:ascii="Times New Roman" w:hAnsi="Times New Roman" w:cs="Times New Roman"/>
        <w:bCs/>
        <w:sz w:val="20"/>
        <w:szCs w:val="20"/>
      </w:rPr>
      <w:t xml:space="preserve"> </w:t>
    </w:r>
    <w:r w:rsidR="00624872">
      <w:rPr>
        <w:rFonts w:ascii="Times New Roman" w:hAnsi="Times New Roman" w:cs="Times New Roman"/>
        <w:bCs/>
        <w:sz w:val="20"/>
        <w:szCs w:val="20"/>
      </w:rPr>
      <w:t xml:space="preserve">par </w:t>
    </w:r>
    <w:proofErr w:type="spellStart"/>
    <w:r w:rsidR="00624872">
      <w:rPr>
        <w:rFonts w:ascii="Times New Roman" w:hAnsi="Times New Roman" w:cs="Times New Roman"/>
        <w:bCs/>
        <w:sz w:val="20"/>
        <w:szCs w:val="20"/>
      </w:rPr>
      <w:t>i</w:t>
    </w:r>
    <w:r w:rsidR="00624872" w:rsidRPr="009D7937">
      <w:rPr>
        <w:rFonts w:ascii="Times New Roman" w:hAnsi="Times New Roman" w:cs="Times New Roman"/>
        <w:bCs/>
        <w:sz w:val="20"/>
        <w:szCs w:val="20"/>
      </w:rPr>
      <w:t>nformatīv</w:t>
    </w:r>
    <w:r w:rsidR="00624872">
      <w:rPr>
        <w:rFonts w:ascii="Times New Roman" w:hAnsi="Times New Roman" w:cs="Times New Roman"/>
        <w:bCs/>
        <w:sz w:val="20"/>
        <w:szCs w:val="20"/>
      </w:rPr>
      <w:t>o</w:t>
    </w:r>
    <w:proofErr w:type="spellEnd"/>
    <w:r w:rsidR="00624872" w:rsidRPr="009D7937">
      <w:rPr>
        <w:rFonts w:ascii="Times New Roman" w:hAnsi="Times New Roman" w:cs="Times New Roman"/>
        <w:bCs/>
        <w:sz w:val="20"/>
        <w:szCs w:val="20"/>
      </w:rPr>
      <w:t xml:space="preserve"> </w:t>
    </w:r>
    <w:proofErr w:type="spellStart"/>
    <w:r w:rsidR="00624872" w:rsidRPr="009D7937">
      <w:rPr>
        <w:rFonts w:ascii="Times New Roman" w:hAnsi="Times New Roman" w:cs="Times New Roman"/>
        <w:bCs/>
        <w:sz w:val="20"/>
        <w:szCs w:val="20"/>
      </w:rPr>
      <w:t>ziņojum</w:t>
    </w:r>
    <w:r w:rsidR="00624872">
      <w:rPr>
        <w:rFonts w:ascii="Times New Roman" w:hAnsi="Times New Roman" w:cs="Times New Roman"/>
        <w:bCs/>
        <w:sz w:val="20"/>
        <w:szCs w:val="20"/>
      </w:rPr>
      <w:t>u</w:t>
    </w:r>
    <w:proofErr w:type="spellEnd"/>
    <w:r w:rsidR="00624872" w:rsidRPr="009D7937">
      <w:rPr>
        <w:rFonts w:ascii="Times New Roman" w:hAnsi="Times New Roman" w:cs="Times New Roman"/>
        <w:bCs/>
        <w:sz w:val="20"/>
        <w:szCs w:val="20"/>
      </w:rPr>
      <w:t xml:space="preserve"> </w:t>
    </w:r>
    <w:r w:rsidR="00F81AC4" w:rsidRPr="009D7937">
      <w:rPr>
        <w:rFonts w:ascii="Times New Roman" w:hAnsi="Times New Roman" w:cs="Times New Roman"/>
        <w:bCs/>
        <w:sz w:val="20"/>
        <w:szCs w:val="20"/>
      </w:rPr>
      <w:t>“</w:t>
    </w:r>
    <w:r w:rsidR="005B1AB0" w:rsidRPr="005B1AB0">
      <w:rPr>
        <w:rFonts w:ascii="Times New Roman" w:hAnsi="Times New Roman" w:cs="Times New Roman"/>
        <w:bCs/>
        <w:sz w:val="20"/>
        <w:szCs w:val="20"/>
      </w:rPr>
      <w:t xml:space="preserve">Par </w:t>
    </w:r>
    <w:proofErr w:type="spellStart"/>
    <w:r w:rsidR="005B1AB0" w:rsidRPr="005B1AB0">
      <w:rPr>
        <w:rFonts w:ascii="Times New Roman" w:hAnsi="Times New Roman" w:cs="Times New Roman"/>
        <w:bCs/>
        <w:sz w:val="20"/>
        <w:szCs w:val="20"/>
      </w:rPr>
      <w:t>numerācijas</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resursu</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maksājumu</w:t>
    </w:r>
    <w:proofErr w:type="spellEnd"/>
    <w:r w:rsidR="005B1AB0" w:rsidRPr="005B1AB0">
      <w:rPr>
        <w:rFonts w:ascii="Times New Roman" w:hAnsi="Times New Roman" w:cs="Times New Roman"/>
        <w:bCs/>
        <w:sz w:val="20"/>
        <w:szCs w:val="20"/>
      </w:rPr>
      <w:t xml:space="preserve"> un </w:t>
    </w:r>
    <w:proofErr w:type="spellStart"/>
    <w:r w:rsidR="005B1AB0" w:rsidRPr="005B1AB0">
      <w:rPr>
        <w:rFonts w:ascii="Times New Roman" w:hAnsi="Times New Roman" w:cs="Times New Roman"/>
        <w:bCs/>
        <w:sz w:val="20"/>
        <w:szCs w:val="20"/>
      </w:rPr>
      <w:t>nepieciešamību</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iedalīt</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numerācijas</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resursus</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lietu</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internetam</w:t>
    </w:r>
    <w:proofErr w:type="spellEnd"/>
    <w:r w:rsidR="005B1AB0" w:rsidRPr="005B1AB0">
      <w:rPr>
        <w:rFonts w:ascii="Times New Roman" w:hAnsi="Times New Roman" w:cs="Times New Roman"/>
        <w:bCs/>
        <w:sz w:val="20"/>
        <w:szCs w:val="20"/>
      </w:rPr>
      <w:t xml:space="preserve"> un </w:t>
    </w:r>
    <w:proofErr w:type="spellStart"/>
    <w:r w:rsidR="005B1AB0" w:rsidRPr="005B1AB0">
      <w:rPr>
        <w:rFonts w:ascii="Times New Roman" w:hAnsi="Times New Roman" w:cs="Times New Roman"/>
        <w:bCs/>
        <w:sz w:val="20"/>
        <w:szCs w:val="20"/>
      </w:rPr>
      <w:t>mašīnas-mašīnas</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sakaru</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pakalpojumiem</w:t>
    </w:r>
    <w:proofErr w:type="spellEnd"/>
    <w:r w:rsidR="00F81AC4" w:rsidRPr="009D7937">
      <w:rPr>
        <w:rFonts w:ascii="Times New Roman" w:hAnsi="Times New Roman" w:cs="Times New Roman"/>
        <w:bCs/>
        <w:sz w:val="20"/>
        <w:szCs w:val="20"/>
      </w:rPr>
      <w:t>”</w:t>
    </w:r>
  </w:p>
  <w:p w14:paraId="68D2B10C" w14:textId="1384E42A" w:rsidR="009720AF" w:rsidRPr="00265D28" w:rsidRDefault="00307D56" w:rsidP="00F81AC4">
    <w:pPr>
      <w:jc w:val="both"/>
      <w:outlineLvl w:val="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B4FC" w14:textId="0FBFBFD4" w:rsidR="009720AF" w:rsidRPr="0047783F" w:rsidRDefault="00C9558A" w:rsidP="000B2D35">
    <w:pPr>
      <w:ind w:right="680"/>
      <w:outlineLvl w:val="3"/>
      <w:rPr>
        <w:bCs/>
        <w:sz w:val="20"/>
        <w:szCs w:val="20"/>
      </w:rPr>
    </w:pPr>
    <w:r>
      <w:rPr>
        <w:rFonts w:ascii="Times New Roman" w:hAnsi="Times New Roman" w:cs="Times New Roman"/>
        <w:bCs/>
        <w:sz w:val="20"/>
        <w:szCs w:val="20"/>
      </w:rPr>
      <w:t>SMizz_</w:t>
    </w:r>
    <w:r w:rsidR="00190974">
      <w:rPr>
        <w:rFonts w:ascii="Times New Roman" w:hAnsi="Times New Roman" w:cs="Times New Roman"/>
        <w:bCs/>
        <w:sz w:val="20"/>
        <w:szCs w:val="20"/>
      </w:rPr>
      <w:t>19</w:t>
    </w:r>
    <w:r>
      <w:rPr>
        <w:rFonts w:ascii="Times New Roman" w:hAnsi="Times New Roman" w:cs="Times New Roman"/>
        <w:bCs/>
        <w:sz w:val="20"/>
        <w:szCs w:val="20"/>
      </w:rPr>
      <w:t>1</w:t>
    </w:r>
    <w:r w:rsidR="00C80BDE">
      <w:rPr>
        <w:rFonts w:ascii="Times New Roman" w:hAnsi="Times New Roman" w:cs="Times New Roman"/>
        <w:bCs/>
        <w:sz w:val="20"/>
        <w:szCs w:val="20"/>
      </w:rPr>
      <w:t>2</w:t>
    </w:r>
    <w:r>
      <w:rPr>
        <w:rFonts w:ascii="Times New Roman" w:hAnsi="Times New Roman" w:cs="Times New Roman"/>
        <w:bCs/>
        <w:sz w:val="20"/>
        <w:szCs w:val="20"/>
      </w:rPr>
      <w:t>19_IoT_M2M</w:t>
    </w:r>
    <w:r w:rsidR="00681B44">
      <w:rPr>
        <w:rFonts w:ascii="Times New Roman" w:hAnsi="Times New Roman" w:cs="Times New Roman"/>
        <w:bCs/>
        <w:sz w:val="20"/>
        <w:szCs w:val="20"/>
      </w:rPr>
      <w:t xml:space="preserve">; </w:t>
    </w:r>
    <w:proofErr w:type="spellStart"/>
    <w:r w:rsidR="00681B44" w:rsidRPr="009D7937">
      <w:rPr>
        <w:rFonts w:ascii="Times New Roman" w:hAnsi="Times New Roman" w:cs="Times New Roman"/>
        <w:bCs/>
        <w:sz w:val="20"/>
        <w:szCs w:val="20"/>
      </w:rPr>
      <w:t>Izziņa</w:t>
    </w:r>
    <w:proofErr w:type="spellEnd"/>
    <w:r w:rsidR="00681B44" w:rsidRPr="009D7937">
      <w:rPr>
        <w:rFonts w:ascii="Times New Roman" w:hAnsi="Times New Roman" w:cs="Times New Roman"/>
        <w:bCs/>
        <w:sz w:val="20"/>
        <w:szCs w:val="20"/>
      </w:rPr>
      <w:t xml:space="preserve"> par </w:t>
    </w:r>
    <w:proofErr w:type="spellStart"/>
    <w:r w:rsidR="00681B44" w:rsidRPr="009D7937">
      <w:rPr>
        <w:rFonts w:ascii="Times New Roman" w:hAnsi="Times New Roman" w:cs="Times New Roman"/>
        <w:bCs/>
        <w:sz w:val="20"/>
        <w:szCs w:val="20"/>
      </w:rPr>
      <w:t>atzinumos</w:t>
    </w:r>
    <w:proofErr w:type="spellEnd"/>
    <w:r w:rsidR="00681B44" w:rsidRPr="009D7937">
      <w:rPr>
        <w:rFonts w:ascii="Times New Roman" w:hAnsi="Times New Roman" w:cs="Times New Roman"/>
        <w:bCs/>
        <w:sz w:val="20"/>
        <w:szCs w:val="20"/>
      </w:rPr>
      <w:t xml:space="preserve"> </w:t>
    </w:r>
    <w:proofErr w:type="spellStart"/>
    <w:r w:rsidR="00681B44" w:rsidRPr="009D7937">
      <w:rPr>
        <w:rFonts w:ascii="Times New Roman" w:hAnsi="Times New Roman" w:cs="Times New Roman"/>
        <w:bCs/>
        <w:sz w:val="20"/>
        <w:szCs w:val="20"/>
      </w:rPr>
      <w:t>sniegtajiem</w:t>
    </w:r>
    <w:proofErr w:type="spellEnd"/>
    <w:r w:rsidR="00681B44" w:rsidRPr="009D7937">
      <w:rPr>
        <w:rFonts w:ascii="Times New Roman" w:hAnsi="Times New Roman" w:cs="Times New Roman"/>
        <w:bCs/>
        <w:sz w:val="20"/>
        <w:szCs w:val="20"/>
      </w:rPr>
      <w:t xml:space="preserve"> </w:t>
    </w:r>
    <w:proofErr w:type="spellStart"/>
    <w:r w:rsidR="00681B44" w:rsidRPr="009D7937">
      <w:rPr>
        <w:rFonts w:ascii="Times New Roman" w:hAnsi="Times New Roman" w:cs="Times New Roman"/>
        <w:bCs/>
        <w:sz w:val="20"/>
        <w:szCs w:val="20"/>
      </w:rPr>
      <w:t>iebildumiem</w:t>
    </w:r>
    <w:proofErr w:type="spellEnd"/>
    <w:r w:rsidR="00681B44" w:rsidRPr="009D7937">
      <w:rPr>
        <w:rFonts w:ascii="Times New Roman" w:hAnsi="Times New Roman" w:cs="Times New Roman"/>
        <w:bCs/>
        <w:sz w:val="20"/>
        <w:szCs w:val="20"/>
      </w:rPr>
      <w:t xml:space="preserve"> </w:t>
    </w:r>
    <w:r w:rsidR="00624872">
      <w:rPr>
        <w:rFonts w:ascii="Times New Roman" w:hAnsi="Times New Roman" w:cs="Times New Roman"/>
        <w:bCs/>
        <w:sz w:val="20"/>
        <w:szCs w:val="20"/>
      </w:rPr>
      <w:t xml:space="preserve">par </w:t>
    </w:r>
    <w:proofErr w:type="spellStart"/>
    <w:r w:rsidR="00624872">
      <w:rPr>
        <w:rFonts w:ascii="Times New Roman" w:hAnsi="Times New Roman" w:cs="Times New Roman"/>
        <w:bCs/>
        <w:sz w:val="20"/>
        <w:szCs w:val="20"/>
      </w:rPr>
      <w:t>i</w:t>
    </w:r>
    <w:r w:rsidR="00681B44" w:rsidRPr="009D7937">
      <w:rPr>
        <w:rFonts w:ascii="Times New Roman" w:hAnsi="Times New Roman" w:cs="Times New Roman"/>
        <w:bCs/>
        <w:sz w:val="20"/>
        <w:szCs w:val="20"/>
      </w:rPr>
      <w:t>nformatīv</w:t>
    </w:r>
    <w:r w:rsidR="00624872">
      <w:rPr>
        <w:rFonts w:ascii="Times New Roman" w:hAnsi="Times New Roman" w:cs="Times New Roman"/>
        <w:bCs/>
        <w:sz w:val="20"/>
        <w:szCs w:val="20"/>
      </w:rPr>
      <w:t>o</w:t>
    </w:r>
    <w:proofErr w:type="spellEnd"/>
    <w:r w:rsidR="00681B44" w:rsidRPr="009D7937">
      <w:rPr>
        <w:rFonts w:ascii="Times New Roman" w:hAnsi="Times New Roman" w:cs="Times New Roman"/>
        <w:bCs/>
        <w:sz w:val="20"/>
        <w:szCs w:val="20"/>
      </w:rPr>
      <w:t xml:space="preserve"> </w:t>
    </w:r>
    <w:proofErr w:type="spellStart"/>
    <w:r w:rsidR="00681B44" w:rsidRPr="009D7937">
      <w:rPr>
        <w:rFonts w:ascii="Times New Roman" w:hAnsi="Times New Roman" w:cs="Times New Roman"/>
        <w:bCs/>
        <w:sz w:val="20"/>
        <w:szCs w:val="20"/>
      </w:rPr>
      <w:t>ziņojum</w:t>
    </w:r>
    <w:r w:rsidR="00624872">
      <w:rPr>
        <w:rFonts w:ascii="Times New Roman" w:hAnsi="Times New Roman" w:cs="Times New Roman"/>
        <w:bCs/>
        <w:sz w:val="20"/>
        <w:szCs w:val="20"/>
      </w:rPr>
      <w:t>u</w:t>
    </w:r>
    <w:proofErr w:type="spellEnd"/>
    <w:r w:rsidR="00681B44" w:rsidRPr="009D7937">
      <w:rPr>
        <w:rFonts w:ascii="Times New Roman" w:hAnsi="Times New Roman" w:cs="Times New Roman"/>
        <w:bCs/>
        <w:sz w:val="20"/>
        <w:szCs w:val="20"/>
      </w:rPr>
      <w:t xml:space="preserve"> “</w:t>
    </w:r>
    <w:r w:rsidR="005B1AB0" w:rsidRPr="005B1AB0">
      <w:rPr>
        <w:rFonts w:ascii="Times New Roman" w:hAnsi="Times New Roman" w:cs="Times New Roman"/>
        <w:bCs/>
        <w:sz w:val="20"/>
        <w:szCs w:val="20"/>
      </w:rPr>
      <w:t xml:space="preserve">Par </w:t>
    </w:r>
    <w:proofErr w:type="spellStart"/>
    <w:r w:rsidR="005B1AB0" w:rsidRPr="005B1AB0">
      <w:rPr>
        <w:rFonts w:ascii="Times New Roman" w:hAnsi="Times New Roman" w:cs="Times New Roman"/>
        <w:bCs/>
        <w:sz w:val="20"/>
        <w:szCs w:val="20"/>
      </w:rPr>
      <w:t>numerācijas</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resursu</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maksājumu</w:t>
    </w:r>
    <w:proofErr w:type="spellEnd"/>
    <w:r w:rsidR="005B1AB0" w:rsidRPr="005B1AB0">
      <w:rPr>
        <w:rFonts w:ascii="Times New Roman" w:hAnsi="Times New Roman" w:cs="Times New Roman"/>
        <w:bCs/>
        <w:sz w:val="20"/>
        <w:szCs w:val="20"/>
      </w:rPr>
      <w:t xml:space="preserve"> un </w:t>
    </w:r>
    <w:proofErr w:type="spellStart"/>
    <w:r w:rsidR="005B1AB0" w:rsidRPr="005B1AB0">
      <w:rPr>
        <w:rFonts w:ascii="Times New Roman" w:hAnsi="Times New Roman" w:cs="Times New Roman"/>
        <w:bCs/>
        <w:sz w:val="20"/>
        <w:szCs w:val="20"/>
      </w:rPr>
      <w:t>nepieciešamību</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iedalīt</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numerācijas</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resursus</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lietu</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internetam</w:t>
    </w:r>
    <w:proofErr w:type="spellEnd"/>
    <w:r w:rsidR="005B1AB0" w:rsidRPr="005B1AB0">
      <w:rPr>
        <w:rFonts w:ascii="Times New Roman" w:hAnsi="Times New Roman" w:cs="Times New Roman"/>
        <w:bCs/>
        <w:sz w:val="20"/>
        <w:szCs w:val="20"/>
      </w:rPr>
      <w:t xml:space="preserve"> un </w:t>
    </w:r>
    <w:proofErr w:type="spellStart"/>
    <w:r w:rsidR="005B1AB0" w:rsidRPr="005B1AB0">
      <w:rPr>
        <w:rFonts w:ascii="Times New Roman" w:hAnsi="Times New Roman" w:cs="Times New Roman"/>
        <w:bCs/>
        <w:sz w:val="20"/>
        <w:szCs w:val="20"/>
      </w:rPr>
      <w:t>mašīnas-mašīnas</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sakaru</w:t>
    </w:r>
    <w:proofErr w:type="spellEnd"/>
    <w:r w:rsidR="005B1AB0" w:rsidRPr="005B1AB0">
      <w:rPr>
        <w:rFonts w:ascii="Times New Roman" w:hAnsi="Times New Roman" w:cs="Times New Roman"/>
        <w:bCs/>
        <w:sz w:val="20"/>
        <w:szCs w:val="20"/>
      </w:rPr>
      <w:t xml:space="preserve"> </w:t>
    </w:r>
    <w:proofErr w:type="spellStart"/>
    <w:r w:rsidR="005B1AB0" w:rsidRPr="005B1AB0">
      <w:rPr>
        <w:rFonts w:ascii="Times New Roman" w:hAnsi="Times New Roman" w:cs="Times New Roman"/>
        <w:bCs/>
        <w:sz w:val="20"/>
        <w:szCs w:val="20"/>
      </w:rPr>
      <w:t>pakalpojumiem</w:t>
    </w:r>
    <w:proofErr w:type="spellEnd"/>
    <w:r w:rsidR="00681B44" w:rsidRPr="009D7937">
      <w:rPr>
        <w:rFonts w:ascii="Times New Roman" w:hAnsi="Times New Roman" w:cs="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211C" w14:textId="77777777" w:rsidR="000C7D71" w:rsidRDefault="000C7D71" w:rsidP="009C445F">
      <w:pPr>
        <w:spacing w:after="0" w:line="240" w:lineRule="auto"/>
      </w:pPr>
      <w:r>
        <w:separator/>
      </w:r>
    </w:p>
  </w:footnote>
  <w:footnote w:type="continuationSeparator" w:id="0">
    <w:p w14:paraId="07203199" w14:textId="77777777" w:rsidR="000C7D71" w:rsidRDefault="000C7D71" w:rsidP="009C445F">
      <w:pPr>
        <w:spacing w:after="0" w:line="240" w:lineRule="auto"/>
      </w:pPr>
      <w:r>
        <w:continuationSeparator/>
      </w:r>
    </w:p>
  </w:footnote>
  <w:footnote w:id="1">
    <w:p w14:paraId="3B2BC6FB" w14:textId="0FA90F8B" w:rsidR="00472588" w:rsidRDefault="00472588">
      <w:pPr>
        <w:pStyle w:val="FootnoteText"/>
      </w:pPr>
      <w:r>
        <w:rPr>
          <w:rStyle w:val="FootnoteReference"/>
        </w:rPr>
        <w:footnoteRef/>
      </w:r>
      <w:r>
        <w:t xml:space="preserve"> </w:t>
      </w:r>
      <w:r w:rsidRPr="00DE7D81">
        <w:rPr>
          <w:szCs w:val="24"/>
        </w:rPr>
        <w:t xml:space="preserve">Eiropas Parlamenta un Padomes 2018.gada 11.decembra direktīva </w:t>
      </w:r>
      <w:r>
        <w:rPr>
          <w:szCs w:val="24"/>
        </w:rPr>
        <w:t>Nr.</w:t>
      </w:r>
      <w:r w:rsidRPr="00DE7D81">
        <w:rPr>
          <w:szCs w:val="24"/>
        </w:rPr>
        <w:t>2018/1972</w:t>
      </w:r>
      <w:r>
        <w:rPr>
          <w:szCs w:val="24"/>
        </w:rPr>
        <w:t>/ES</w:t>
      </w:r>
      <w:r w:rsidRPr="00DE7D81">
        <w:rPr>
          <w:szCs w:val="24"/>
        </w:rPr>
        <w:t xml:space="preserve"> par Eiropas Elektronisko sakaru kodeksa izveidi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AF" w:rsidRDefault="00F80EFB" w14:paraId="732B41C1" w14:textId="77777777">
    <w:pPr>
      <w:pStyle w:val="Header"/>
      <w:jc w:val="center"/>
    </w:pPr>
    <w:r>
      <w:fldChar w:fldCharType="begin"/>
    </w:r>
    <w:r>
      <w:instrText xml:space="preserve"> PAGE   \* MERGEFORMAT </w:instrText>
    </w:r>
    <w:r>
      <w:fldChar w:fldCharType="separate"/>
    </w:r>
    <w:r>
      <w:rPr>
        <w:noProof/>
      </w:rPr>
      <w:t>2</w:t>
    </w:r>
    <w:r>
      <w:fldChar w:fldCharType="end"/>
    </w:r>
  </w:p>
  <w:p w:rsidR="009720AF" w:rsidRDefault="00307D56" w14:paraId="5D866D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D71"/>
    <w:multiLevelType w:val="hybridMultilevel"/>
    <w:tmpl w:val="FFA05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6D6349"/>
    <w:multiLevelType w:val="hybridMultilevel"/>
    <w:tmpl w:val="740C59EA"/>
    <w:lvl w:ilvl="0" w:tplc="0426000F">
      <w:start w:val="1"/>
      <w:numFmt w:val="decimal"/>
      <w:lvlText w:val="%1."/>
      <w:lvlJc w:val="left"/>
      <w:pPr>
        <w:ind w:left="752" w:hanging="360"/>
      </w:p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2" w15:restartNumberingAfterBreak="0">
    <w:nsid w:val="0ED95672"/>
    <w:multiLevelType w:val="hybridMultilevel"/>
    <w:tmpl w:val="7C181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D81127"/>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4" w15:restartNumberingAfterBreak="0">
    <w:nsid w:val="1BD44EB4"/>
    <w:multiLevelType w:val="hybridMultilevel"/>
    <w:tmpl w:val="A3A809AE"/>
    <w:lvl w:ilvl="0" w:tplc="87400D5A">
      <w:start w:val="1"/>
      <w:numFmt w:val="decimal"/>
      <w:lvlText w:val="%1."/>
      <w:lvlJc w:val="left"/>
      <w:pPr>
        <w:ind w:left="830" w:hanging="360"/>
      </w:pPr>
    </w:lvl>
    <w:lvl w:ilvl="1" w:tplc="04260019">
      <w:start w:val="1"/>
      <w:numFmt w:val="lowerLetter"/>
      <w:lvlText w:val="%2."/>
      <w:lvlJc w:val="left"/>
      <w:pPr>
        <w:ind w:left="1550" w:hanging="360"/>
      </w:pPr>
    </w:lvl>
    <w:lvl w:ilvl="2" w:tplc="0426001B">
      <w:start w:val="1"/>
      <w:numFmt w:val="lowerRoman"/>
      <w:lvlText w:val="%3."/>
      <w:lvlJc w:val="right"/>
      <w:pPr>
        <w:ind w:left="2270" w:hanging="180"/>
      </w:pPr>
    </w:lvl>
    <w:lvl w:ilvl="3" w:tplc="0426000F">
      <w:start w:val="1"/>
      <w:numFmt w:val="decimal"/>
      <w:lvlText w:val="%4."/>
      <w:lvlJc w:val="left"/>
      <w:pPr>
        <w:ind w:left="2990" w:hanging="360"/>
      </w:pPr>
    </w:lvl>
    <w:lvl w:ilvl="4" w:tplc="04260019">
      <w:start w:val="1"/>
      <w:numFmt w:val="lowerLetter"/>
      <w:lvlText w:val="%5."/>
      <w:lvlJc w:val="left"/>
      <w:pPr>
        <w:ind w:left="3710" w:hanging="360"/>
      </w:pPr>
    </w:lvl>
    <w:lvl w:ilvl="5" w:tplc="0426001B">
      <w:start w:val="1"/>
      <w:numFmt w:val="lowerRoman"/>
      <w:lvlText w:val="%6."/>
      <w:lvlJc w:val="right"/>
      <w:pPr>
        <w:ind w:left="4430" w:hanging="180"/>
      </w:pPr>
    </w:lvl>
    <w:lvl w:ilvl="6" w:tplc="0426000F">
      <w:start w:val="1"/>
      <w:numFmt w:val="decimal"/>
      <w:lvlText w:val="%7."/>
      <w:lvlJc w:val="left"/>
      <w:pPr>
        <w:ind w:left="5150" w:hanging="360"/>
      </w:pPr>
    </w:lvl>
    <w:lvl w:ilvl="7" w:tplc="04260019">
      <w:start w:val="1"/>
      <w:numFmt w:val="lowerLetter"/>
      <w:lvlText w:val="%8."/>
      <w:lvlJc w:val="left"/>
      <w:pPr>
        <w:ind w:left="5870" w:hanging="360"/>
      </w:pPr>
    </w:lvl>
    <w:lvl w:ilvl="8" w:tplc="0426001B">
      <w:start w:val="1"/>
      <w:numFmt w:val="lowerRoman"/>
      <w:lvlText w:val="%9."/>
      <w:lvlJc w:val="right"/>
      <w:pPr>
        <w:ind w:left="6590" w:hanging="180"/>
      </w:pPr>
    </w:lvl>
  </w:abstractNum>
  <w:abstractNum w:abstractNumId="5" w15:restartNumberingAfterBreak="0">
    <w:nsid w:val="37A6144F"/>
    <w:multiLevelType w:val="hybridMultilevel"/>
    <w:tmpl w:val="C0BA3482"/>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ED7231"/>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7" w15:restartNumberingAfterBreak="0">
    <w:nsid w:val="45E476F6"/>
    <w:multiLevelType w:val="hybridMultilevel"/>
    <w:tmpl w:val="D4AC7700"/>
    <w:lvl w:ilvl="0" w:tplc="A1A0228A">
      <w:start w:val="1"/>
      <w:numFmt w:val="decimal"/>
      <w:lvlText w:val="%1."/>
      <w:lvlJc w:val="left"/>
      <w:pPr>
        <w:ind w:left="720" w:hanging="360"/>
      </w:pPr>
      <w:rPr>
        <w:rFonts w:hint="default"/>
      </w:rPr>
    </w:lvl>
    <w:lvl w:ilvl="1" w:tplc="5F2C73B2" w:tentative="1">
      <w:start w:val="1"/>
      <w:numFmt w:val="lowerLetter"/>
      <w:lvlText w:val="%2."/>
      <w:lvlJc w:val="left"/>
      <w:pPr>
        <w:ind w:left="1440" w:hanging="360"/>
      </w:pPr>
    </w:lvl>
    <w:lvl w:ilvl="2" w:tplc="0C94C7FA" w:tentative="1">
      <w:start w:val="1"/>
      <w:numFmt w:val="lowerRoman"/>
      <w:lvlText w:val="%3."/>
      <w:lvlJc w:val="right"/>
      <w:pPr>
        <w:ind w:left="2160" w:hanging="180"/>
      </w:pPr>
    </w:lvl>
    <w:lvl w:ilvl="3" w:tplc="47D407E0" w:tentative="1">
      <w:start w:val="1"/>
      <w:numFmt w:val="decimal"/>
      <w:lvlText w:val="%4."/>
      <w:lvlJc w:val="left"/>
      <w:pPr>
        <w:ind w:left="2880" w:hanging="360"/>
      </w:pPr>
    </w:lvl>
    <w:lvl w:ilvl="4" w:tplc="716EEC3C" w:tentative="1">
      <w:start w:val="1"/>
      <w:numFmt w:val="lowerLetter"/>
      <w:lvlText w:val="%5."/>
      <w:lvlJc w:val="left"/>
      <w:pPr>
        <w:ind w:left="3600" w:hanging="360"/>
      </w:pPr>
    </w:lvl>
    <w:lvl w:ilvl="5" w:tplc="728E3B98" w:tentative="1">
      <w:start w:val="1"/>
      <w:numFmt w:val="lowerRoman"/>
      <w:lvlText w:val="%6."/>
      <w:lvlJc w:val="right"/>
      <w:pPr>
        <w:ind w:left="4320" w:hanging="180"/>
      </w:pPr>
    </w:lvl>
    <w:lvl w:ilvl="6" w:tplc="8D4C4082" w:tentative="1">
      <w:start w:val="1"/>
      <w:numFmt w:val="decimal"/>
      <w:lvlText w:val="%7."/>
      <w:lvlJc w:val="left"/>
      <w:pPr>
        <w:ind w:left="5040" w:hanging="360"/>
      </w:pPr>
    </w:lvl>
    <w:lvl w:ilvl="7" w:tplc="45124D52" w:tentative="1">
      <w:start w:val="1"/>
      <w:numFmt w:val="lowerLetter"/>
      <w:lvlText w:val="%8."/>
      <w:lvlJc w:val="left"/>
      <w:pPr>
        <w:ind w:left="5760" w:hanging="360"/>
      </w:pPr>
    </w:lvl>
    <w:lvl w:ilvl="8" w:tplc="BED20CEA" w:tentative="1">
      <w:start w:val="1"/>
      <w:numFmt w:val="lowerRoman"/>
      <w:lvlText w:val="%9."/>
      <w:lvlJc w:val="right"/>
      <w:pPr>
        <w:ind w:left="6480" w:hanging="180"/>
      </w:pPr>
    </w:lvl>
  </w:abstractNum>
  <w:abstractNum w:abstractNumId="8" w15:restartNumberingAfterBreak="0">
    <w:nsid w:val="46283DCC"/>
    <w:multiLevelType w:val="hybridMultilevel"/>
    <w:tmpl w:val="06E028A0"/>
    <w:lvl w:ilvl="0" w:tplc="F174B34C">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5C67FB"/>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10" w15:restartNumberingAfterBreak="0">
    <w:nsid w:val="4D5E4D94"/>
    <w:multiLevelType w:val="hybridMultilevel"/>
    <w:tmpl w:val="EA7C205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795C28"/>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26C4431"/>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13" w15:restartNumberingAfterBreak="0">
    <w:nsid w:val="599C7194"/>
    <w:multiLevelType w:val="hybridMultilevel"/>
    <w:tmpl w:val="1AC66870"/>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4577AC"/>
    <w:multiLevelType w:val="hybridMultilevel"/>
    <w:tmpl w:val="4ECC627C"/>
    <w:lvl w:ilvl="0" w:tplc="F53EF95A">
      <w:start w:val="1"/>
      <w:numFmt w:val="decimal"/>
      <w:lvlText w:val="%1."/>
      <w:lvlJc w:val="left"/>
      <w:pPr>
        <w:ind w:left="928" w:hanging="360"/>
      </w:pPr>
      <w:rPr>
        <w:b/>
        <w:sz w:val="24"/>
      </w:rPr>
    </w:lvl>
    <w:lvl w:ilvl="1" w:tplc="04260011">
      <w:start w:val="1"/>
      <w:numFmt w:val="decimal"/>
      <w:lvlText w:val="%2)"/>
      <w:lvlJc w:val="left"/>
      <w:pPr>
        <w:ind w:left="1440" w:hanging="360"/>
      </w:pPr>
    </w:lvl>
    <w:lvl w:ilvl="2" w:tplc="C58C32B2">
      <w:start w:val="5"/>
      <w:numFmt w:val="decimal"/>
      <w:lvlText w:val="(%3)"/>
      <w:lvlJc w:val="left"/>
      <w:pPr>
        <w:ind w:left="2400" w:hanging="42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175F52"/>
    <w:multiLevelType w:val="hybridMultilevel"/>
    <w:tmpl w:val="7E8E8AA4"/>
    <w:lvl w:ilvl="0" w:tplc="E1B813AC">
      <w:start w:val="1"/>
      <w:numFmt w:val="decimal"/>
      <w:lvlText w:val="(%1)"/>
      <w:lvlJc w:val="left"/>
      <w:pPr>
        <w:ind w:left="643" w:hanging="360"/>
      </w:pPr>
      <w:rPr>
        <w:rFonts w:hint="default"/>
      </w:rPr>
    </w:lvl>
    <w:lvl w:ilvl="1" w:tplc="04260011">
      <w:start w:val="1"/>
      <w:numFmt w:val="decimal"/>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3184C3E"/>
    <w:multiLevelType w:val="hybridMultilevel"/>
    <w:tmpl w:val="740C5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803CEE"/>
    <w:multiLevelType w:val="hybridMultilevel"/>
    <w:tmpl w:val="E0B03DAA"/>
    <w:lvl w:ilvl="0" w:tplc="4BBE4F12">
      <w:start w:val="1"/>
      <w:numFmt w:val="lowerLetter"/>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18" w15:restartNumberingAfterBreak="0">
    <w:nsid w:val="6C235AF0"/>
    <w:multiLevelType w:val="hybridMultilevel"/>
    <w:tmpl w:val="82BAA99C"/>
    <w:lvl w:ilvl="0" w:tplc="0368251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7043002F"/>
    <w:multiLevelType w:val="multilevel"/>
    <w:tmpl w:val="EF0E87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29348F0"/>
    <w:multiLevelType w:val="hybridMultilevel"/>
    <w:tmpl w:val="C1FC977C"/>
    <w:lvl w:ilvl="0" w:tplc="59C2E4E4">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22" w15:restartNumberingAfterBreak="0">
    <w:nsid w:val="73AF4C25"/>
    <w:multiLevelType w:val="hybridMultilevel"/>
    <w:tmpl w:val="740C59EA"/>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2"/>
  </w:num>
  <w:num w:numId="7">
    <w:abstractNumId w:val="9"/>
  </w:num>
  <w:num w:numId="8">
    <w:abstractNumId w:val="1"/>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11"/>
  </w:num>
  <w:num w:numId="14">
    <w:abstractNumId w:val="5"/>
  </w:num>
  <w:num w:numId="15">
    <w:abstractNumId w:val="8"/>
  </w:num>
  <w:num w:numId="16">
    <w:abstractNumId w:val="14"/>
  </w:num>
  <w:num w:numId="17">
    <w:abstractNumId w:val="19"/>
  </w:num>
  <w:num w:numId="18">
    <w:abstractNumId w:val="0"/>
  </w:num>
  <w:num w:numId="19">
    <w:abstractNumId w:val="7"/>
  </w:num>
  <w:num w:numId="20">
    <w:abstractNumId w:val="18"/>
  </w:num>
  <w:num w:numId="21">
    <w:abstractNumId w:val="1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5F"/>
    <w:rsid w:val="0000474A"/>
    <w:rsid w:val="000235B1"/>
    <w:rsid w:val="0002733F"/>
    <w:rsid w:val="0003464A"/>
    <w:rsid w:val="000357FD"/>
    <w:rsid w:val="0005177E"/>
    <w:rsid w:val="00056130"/>
    <w:rsid w:val="00071950"/>
    <w:rsid w:val="00076F6F"/>
    <w:rsid w:val="00080E45"/>
    <w:rsid w:val="00087694"/>
    <w:rsid w:val="00090E9D"/>
    <w:rsid w:val="000B2D35"/>
    <w:rsid w:val="000C06CF"/>
    <w:rsid w:val="000C7D71"/>
    <w:rsid w:val="000D2A1E"/>
    <w:rsid w:val="000D7DA7"/>
    <w:rsid w:val="000E0DE6"/>
    <w:rsid w:val="000E466E"/>
    <w:rsid w:val="000E5111"/>
    <w:rsid w:val="0011260E"/>
    <w:rsid w:val="00112CC8"/>
    <w:rsid w:val="00116F1F"/>
    <w:rsid w:val="00127E83"/>
    <w:rsid w:val="00142963"/>
    <w:rsid w:val="001453C2"/>
    <w:rsid w:val="00145E27"/>
    <w:rsid w:val="00151A9B"/>
    <w:rsid w:val="00160E46"/>
    <w:rsid w:val="001651E3"/>
    <w:rsid w:val="0018374E"/>
    <w:rsid w:val="00190974"/>
    <w:rsid w:val="00192C36"/>
    <w:rsid w:val="00192E03"/>
    <w:rsid w:val="00196504"/>
    <w:rsid w:val="001970A9"/>
    <w:rsid w:val="001A3028"/>
    <w:rsid w:val="001B10BE"/>
    <w:rsid w:val="001B3A0E"/>
    <w:rsid w:val="001C3F41"/>
    <w:rsid w:val="001D1F66"/>
    <w:rsid w:val="001D5327"/>
    <w:rsid w:val="001E4EE1"/>
    <w:rsid w:val="001F24A3"/>
    <w:rsid w:val="001F52EF"/>
    <w:rsid w:val="001F76D7"/>
    <w:rsid w:val="002078BA"/>
    <w:rsid w:val="0022544C"/>
    <w:rsid w:val="002444E1"/>
    <w:rsid w:val="002456AB"/>
    <w:rsid w:val="00290F99"/>
    <w:rsid w:val="002A1FF1"/>
    <w:rsid w:val="002D1361"/>
    <w:rsid w:val="002E242D"/>
    <w:rsid w:val="002E369F"/>
    <w:rsid w:val="002E758F"/>
    <w:rsid w:val="002E7974"/>
    <w:rsid w:val="002F32E8"/>
    <w:rsid w:val="00300B77"/>
    <w:rsid w:val="00307BDB"/>
    <w:rsid w:val="00307D56"/>
    <w:rsid w:val="003128D5"/>
    <w:rsid w:val="00322A95"/>
    <w:rsid w:val="003325A5"/>
    <w:rsid w:val="003337B8"/>
    <w:rsid w:val="00335C8B"/>
    <w:rsid w:val="00356AC0"/>
    <w:rsid w:val="00381F87"/>
    <w:rsid w:val="003C3BA7"/>
    <w:rsid w:val="003C5EF4"/>
    <w:rsid w:val="003E3608"/>
    <w:rsid w:val="003F7193"/>
    <w:rsid w:val="004146C3"/>
    <w:rsid w:val="0045233A"/>
    <w:rsid w:val="00462296"/>
    <w:rsid w:val="00464354"/>
    <w:rsid w:val="00471767"/>
    <w:rsid w:val="00472588"/>
    <w:rsid w:val="00477A75"/>
    <w:rsid w:val="004928F3"/>
    <w:rsid w:val="00494AC2"/>
    <w:rsid w:val="004A479E"/>
    <w:rsid w:val="004A7690"/>
    <w:rsid w:val="004B1412"/>
    <w:rsid w:val="004C5B3A"/>
    <w:rsid w:val="005142C9"/>
    <w:rsid w:val="00515C9A"/>
    <w:rsid w:val="005350F9"/>
    <w:rsid w:val="00546E8F"/>
    <w:rsid w:val="00552DC2"/>
    <w:rsid w:val="00554581"/>
    <w:rsid w:val="00556DC1"/>
    <w:rsid w:val="005A3C13"/>
    <w:rsid w:val="005B1AB0"/>
    <w:rsid w:val="005C5805"/>
    <w:rsid w:val="005D000C"/>
    <w:rsid w:val="005E3587"/>
    <w:rsid w:val="00613359"/>
    <w:rsid w:val="00624872"/>
    <w:rsid w:val="00636354"/>
    <w:rsid w:val="00637397"/>
    <w:rsid w:val="00647D7D"/>
    <w:rsid w:val="00671043"/>
    <w:rsid w:val="00681B44"/>
    <w:rsid w:val="00695784"/>
    <w:rsid w:val="006A2CB0"/>
    <w:rsid w:val="006C524E"/>
    <w:rsid w:val="006E75F8"/>
    <w:rsid w:val="006F129E"/>
    <w:rsid w:val="006F2A67"/>
    <w:rsid w:val="007006B6"/>
    <w:rsid w:val="00702A1A"/>
    <w:rsid w:val="00710681"/>
    <w:rsid w:val="00722896"/>
    <w:rsid w:val="00735103"/>
    <w:rsid w:val="00761D88"/>
    <w:rsid w:val="00770C09"/>
    <w:rsid w:val="0078314E"/>
    <w:rsid w:val="007939B8"/>
    <w:rsid w:val="007A1045"/>
    <w:rsid w:val="007A5F18"/>
    <w:rsid w:val="007B282D"/>
    <w:rsid w:val="007B29D7"/>
    <w:rsid w:val="007B6698"/>
    <w:rsid w:val="007B6B93"/>
    <w:rsid w:val="007C1165"/>
    <w:rsid w:val="007C225D"/>
    <w:rsid w:val="007C70AA"/>
    <w:rsid w:val="007F518F"/>
    <w:rsid w:val="007F656A"/>
    <w:rsid w:val="00814DD7"/>
    <w:rsid w:val="00826590"/>
    <w:rsid w:val="008348BF"/>
    <w:rsid w:val="008410FA"/>
    <w:rsid w:val="00843BE1"/>
    <w:rsid w:val="00846E42"/>
    <w:rsid w:val="0085093C"/>
    <w:rsid w:val="00852D0E"/>
    <w:rsid w:val="00856A70"/>
    <w:rsid w:val="00870D66"/>
    <w:rsid w:val="00875CB6"/>
    <w:rsid w:val="008A6616"/>
    <w:rsid w:val="008D2E94"/>
    <w:rsid w:val="008D4B2B"/>
    <w:rsid w:val="008E2076"/>
    <w:rsid w:val="008E3EE9"/>
    <w:rsid w:val="008E5CC7"/>
    <w:rsid w:val="008E6D80"/>
    <w:rsid w:val="008E7C05"/>
    <w:rsid w:val="0091503C"/>
    <w:rsid w:val="0091620A"/>
    <w:rsid w:val="00920F7D"/>
    <w:rsid w:val="009377E2"/>
    <w:rsid w:val="00956F9F"/>
    <w:rsid w:val="00973793"/>
    <w:rsid w:val="009763D9"/>
    <w:rsid w:val="009933AC"/>
    <w:rsid w:val="009A178A"/>
    <w:rsid w:val="009A76CE"/>
    <w:rsid w:val="009B4B7F"/>
    <w:rsid w:val="009C3493"/>
    <w:rsid w:val="009C445F"/>
    <w:rsid w:val="009D123B"/>
    <w:rsid w:val="009D5564"/>
    <w:rsid w:val="009D6C5D"/>
    <w:rsid w:val="009D7937"/>
    <w:rsid w:val="009F221B"/>
    <w:rsid w:val="009F2C5C"/>
    <w:rsid w:val="00A135A5"/>
    <w:rsid w:val="00A15378"/>
    <w:rsid w:val="00A234A7"/>
    <w:rsid w:val="00A3279E"/>
    <w:rsid w:val="00A36432"/>
    <w:rsid w:val="00A372FB"/>
    <w:rsid w:val="00A626B4"/>
    <w:rsid w:val="00A80830"/>
    <w:rsid w:val="00AA157E"/>
    <w:rsid w:val="00AA4833"/>
    <w:rsid w:val="00AA7643"/>
    <w:rsid w:val="00AD5CF1"/>
    <w:rsid w:val="00AE1D8C"/>
    <w:rsid w:val="00AF0B75"/>
    <w:rsid w:val="00B07400"/>
    <w:rsid w:val="00B11D5D"/>
    <w:rsid w:val="00B17CA9"/>
    <w:rsid w:val="00B33FDD"/>
    <w:rsid w:val="00B34C48"/>
    <w:rsid w:val="00B45C15"/>
    <w:rsid w:val="00B45D6F"/>
    <w:rsid w:val="00B545E4"/>
    <w:rsid w:val="00B678F5"/>
    <w:rsid w:val="00B823A6"/>
    <w:rsid w:val="00B837B9"/>
    <w:rsid w:val="00BA3663"/>
    <w:rsid w:val="00BB5DC9"/>
    <w:rsid w:val="00BE0613"/>
    <w:rsid w:val="00BE5E30"/>
    <w:rsid w:val="00BF538A"/>
    <w:rsid w:val="00C02DE4"/>
    <w:rsid w:val="00C12902"/>
    <w:rsid w:val="00C1386B"/>
    <w:rsid w:val="00C16D14"/>
    <w:rsid w:val="00C20139"/>
    <w:rsid w:val="00C3186D"/>
    <w:rsid w:val="00C32E77"/>
    <w:rsid w:val="00C33F74"/>
    <w:rsid w:val="00C60C83"/>
    <w:rsid w:val="00C751E9"/>
    <w:rsid w:val="00C80BDE"/>
    <w:rsid w:val="00C8239D"/>
    <w:rsid w:val="00C85DD2"/>
    <w:rsid w:val="00C87F6B"/>
    <w:rsid w:val="00C94506"/>
    <w:rsid w:val="00C9558A"/>
    <w:rsid w:val="00C9706F"/>
    <w:rsid w:val="00D12172"/>
    <w:rsid w:val="00D16E57"/>
    <w:rsid w:val="00D214BB"/>
    <w:rsid w:val="00D25F13"/>
    <w:rsid w:val="00D30741"/>
    <w:rsid w:val="00D46AC0"/>
    <w:rsid w:val="00D636B0"/>
    <w:rsid w:val="00D65F04"/>
    <w:rsid w:val="00D71496"/>
    <w:rsid w:val="00D725E5"/>
    <w:rsid w:val="00D80BCB"/>
    <w:rsid w:val="00DA223B"/>
    <w:rsid w:val="00DD2539"/>
    <w:rsid w:val="00DD2794"/>
    <w:rsid w:val="00DD306C"/>
    <w:rsid w:val="00DE22B8"/>
    <w:rsid w:val="00E03B6E"/>
    <w:rsid w:val="00E06865"/>
    <w:rsid w:val="00E2489B"/>
    <w:rsid w:val="00E26966"/>
    <w:rsid w:val="00E26DB9"/>
    <w:rsid w:val="00E407EA"/>
    <w:rsid w:val="00E42219"/>
    <w:rsid w:val="00E518C3"/>
    <w:rsid w:val="00E53762"/>
    <w:rsid w:val="00E6123B"/>
    <w:rsid w:val="00E64199"/>
    <w:rsid w:val="00E736F0"/>
    <w:rsid w:val="00E75C8A"/>
    <w:rsid w:val="00E84717"/>
    <w:rsid w:val="00EA1EC4"/>
    <w:rsid w:val="00EA7D46"/>
    <w:rsid w:val="00EB0ABC"/>
    <w:rsid w:val="00EB1556"/>
    <w:rsid w:val="00EB425C"/>
    <w:rsid w:val="00EC5B91"/>
    <w:rsid w:val="00ED5FAE"/>
    <w:rsid w:val="00ED65E9"/>
    <w:rsid w:val="00F10F92"/>
    <w:rsid w:val="00F3086D"/>
    <w:rsid w:val="00F3518D"/>
    <w:rsid w:val="00F35791"/>
    <w:rsid w:val="00F52C4D"/>
    <w:rsid w:val="00F644A6"/>
    <w:rsid w:val="00F64644"/>
    <w:rsid w:val="00F6589D"/>
    <w:rsid w:val="00F75CD0"/>
    <w:rsid w:val="00F76B2F"/>
    <w:rsid w:val="00F80EFB"/>
    <w:rsid w:val="00F81AC4"/>
    <w:rsid w:val="00F94E63"/>
    <w:rsid w:val="00FB2270"/>
    <w:rsid w:val="00FC3B12"/>
    <w:rsid w:val="00FD34F4"/>
    <w:rsid w:val="00FE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73CBB2"/>
  <w15:chartTrackingRefBased/>
  <w15:docId w15:val="{3B625EC7-14DB-4F80-8A74-1F779363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A5"/>
  </w:style>
  <w:style w:type="paragraph" w:styleId="Heading1">
    <w:name w:val="heading 1"/>
    <w:basedOn w:val="Normal"/>
    <w:next w:val="Normal"/>
    <w:link w:val="Heading1Char"/>
    <w:uiPriority w:val="99"/>
    <w:qFormat/>
    <w:rsid w:val="009C445F"/>
    <w:pPr>
      <w:keepNext/>
      <w:autoSpaceDE w:val="0"/>
      <w:autoSpaceDN w:val="0"/>
      <w:spacing w:after="0" w:line="240" w:lineRule="auto"/>
      <w:jc w:val="center"/>
      <w:outlineLvl w:val="0"/>
    </w:pPr>
    <w:rPr>
      <w:rFonts w:ascii="Times New Roman" w:eastAsia="Times New Roman" w:hAnsi="Times New Roman" w:cs="Times New Roman"/>
      <w:sz w:val="20"/>
      <w:szCs w:val="20"/>
      <w:lang w:val="x-none" w:eastAsia="x-none"/>
    </w:rPr>
  </w:style>
  <w:style w:type="paragraph" w:styleId="Heading2">
    <w:name w:val="heading 2"/>
    <w:basedOn w:val="Normal"/>
    <w:next w:val="Normal"/>
    <w:link w:val="Heading2Char"/>
    <w:uiPriority w:val="9"/>
    <w:unhideWhenUsed/>
    <w:qFormat/>
    <w:rsid w:val="009C445F"/>
    <w:pPr>
      <w:keepNext/>
      <w:autoSpaceDE w:val="0"/>
      <w:autoSpaceDN w:val="0"/>
      <w:spacing w:before="240" w:after="60" w:line="240" w:lineRule="auto"/>
      <w:outlineLvl w:val="1"/>
    </w:pPr>
    <w:rPr>
      <w:rFonts w:ascii="Calibri Light" w:eastAsia="Times New Roman" w:hAnsi="Calibri Light" w:cs="Times New Roman"/>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445F"/>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9"/>
    <w:rsid w:val="009C445F"/>
    <w:rPr>
      <w:rFonts w:ascii="Calibri Light" w:eastAsia="Times New Roman" w:hAnsi="Calibri Light" w:cs="Times New Roman"/>
      <w:b/>
      <w:bCs/>
      <w:i/>
      <w:iCs/>
      <w:sz w:val="28"/>
      <w:szCs w:val="28"/>
      <w:lang w:val="lv-LV" w:eastAsia="lv-LV"/>
    </w:rPr>
  </w:style>
  <w:style w:type="numbering" w:customStyle="1" w:styleId="NoList1">
    <w:name w:val="No List1"/>
    <w:next w:val="NoList"/>
    <w:uiPriority w:val="99"/>
    <w:semiHidden/>
    <w:unhideWhenUsed/>
    <w:rsid w:val="009C445F"/>
  </w:style>
  <w:style w:type="paragraph" w:styleId="BodyText">
    <w:name w:val="Body Text"/>
    <w:basedOn w:val="Normal"/>
    <w:link w:val="BodyTextChar"/>
    <w:uiPriority w:val="99"/>
    <w:rsid w:val="009C445F"/>
    <w:pPr>
      <w:autoSpaceDE w:val="0"/>
      <w:autoSpaceDN w:val="0"/>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9C445F"/>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9C445F"/>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C445F"/>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9C445F"/>
    <w:pPr>
      <w:autoSpaceDE w:val="0"/>
      <w:autoSpaceDN w:val="0"/>
      <w:spacing w:after="0" w:line="240" w:lineRule="auto"/>
      <w:jc w:val="center"/>
    </w:pPr>
    <w:rPr>
      <w:rFonts w:ascii="Times New Roman" w:eastAsia="Times New Roman" w:hAnsi="Times New Roman" w:cs="Times New Roman"/>
      <w:b/>
      <w:bCs/>
      <w:sz w:val="20"/>
      <w:szCs w:val="20"/>
      <w:lang w:val="x-none" w:eastAsia="x-none"/>
    </w:rPr>
  </w:style>
  <w:style w:type="character" w:customStyle="1" w:styleId="TitleChar">
    <w:name w:val="Title Char"/>
    <w:basedOn w:val="DefaultParagraphFont"/>
    <w:link w:val="Title"/>
    <w:rsid w:val="009C445F"/>
    <w:rPr>
      <w:rFonts w:ascii="Times New Roman" w:eastAsia="Times New Roman" w:hAnsi="Times New Roman" w:cs="Times New Roman"/>
      <w:b/>
      <w:bCs/>
      <w:sz w:val="20"/>
      <w:szCs w:val="20"/>
      <w:lang w:val="x-none" w:eastAsia="x-none"/>
    </w:rPr>
  </w:style>
  <w:style w:type="paragraph" w:customStyle="1" w:styleId="naisnod">
    <w:name w:val="naisnod"/>
    <w:basedOn w:val="Normal"/>
    <w:uiPriority w:val="99"/>
    <w:rsid w:val="009C445F"/>
    <w:pPr>
      <w:autoSpaceDE w:val="0"/>
      <w:autoSpaceDN w:val="0"/>
      <w:spacing w:before="150" w:after="150" w:line="240" w:lineRule="auto"/>
      <w:jc w:val="center"/>
    </w:pPr>
    <w:rPr>
      <w:rFonts w:ascii="Times New Roman" w:eastAsia="Times New Roman" w:hAnsi="Times New Roman" w:cs="Times New Roman"/>
      <w:b/>
      <w:bCs/>
      <w:sz w:val="24"/>
      <w:szCs w:val="24"/>
      <w:lang w:val="lv-LV" w:eastAsia="lv-LV"/>
    </w:rPr>
  </w:style>
  <w:style w:type="character" w:styleId="Hyperlink">
    <w:name w:val="Hyperlink"/>
    <w:uiPriority w:val="99"/>
    <w:rsid w:val="009C445F"/>
    <w:rPr>
      <w:color w:val="0000FF"/>
      <w:u w:val="single"/>
    </w:rPr>
  </w:style>
  <w:style w:type="paragraph" w:customStyle="1" w:styleId="naisf">
    <w:name w:val="naisf"/>
    <w:basedOn w:val="Normal"/>
    <w:rsid w:val="009C445F"/>
    <w:pPr>
      <w:autoSpaceDE w:val="0"/>
      <w:autoSpaceDN w:val="0"/>
      <w:spacing w:before="100" w:after="100" w:line="240" w:lineRule="auto"/>
    </w:pPr>
    <w:rPr>
      <w:rFonts w:ascii="Times New Roman" w:eastAsia="Times New Roman" w:hAnsi="Times New Roman" w:cs="Times New Roman"/>
      <w:sz w:val="24"/>
      <w:szCs w:val="24"/>
      <w:lang w:val="lv-LV" w:eastAsia="lv-LV"/>
    </w:rPr>
  </w:style>
  <w:style w:type="paragraph" w:styleId="ListParagraph">
    <w:name w:val="List Paragraph"/>
    <w:aliases w:val="2,3 Txt tabla,Lista multicolor - Énfasis 11,Saraksta rindkopa1,Task Body,Viñetas (Inicio Parrafo),Zerrenda-paragrafoa"/>
    <w:basedOn w:val="Normal"/>
    <w:link w:val="ListParagraphChar"/>
    <w:uiPriority w:val="34"/>
    <w:qFormat/>
    <w:rsid w:val="009C445F"/>
    <w:pPr>
      <w:autoSpaceDE w:val="0"/>
      <w:autoSpaceDN w:val="0"/>
      <w:spacing w:after="0" w:line="240" w:lineRule="auto"/>
      <w:ind w:left="720"/>
    </w:pPr>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C445F"/>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C445F"/>
    <w:rPr>
      <w:rFonts w:ascii="Times New Roman" w:eastAsia="Times New Roman" w:hAnsi="Times New Roman" w:cs="Times New Roman"/>
      <w:sz w:val="24"/>
      <w:szCs w:val="24"/>
      <w:lang w:val="x-none" w:eastAsia="x-none"/>
    </w:rPr>
  </w:style>
  <w:style w:type="paragraph" w:styleId="BlockText">
    <w:name w:val="Block Text"/>
    <w:basedOn w:val="Normal"/>
    <w:uiPriority w:val="99"/>
    <w:rsid w:val="009C445F"/>
    <w:pPr>
      <w:autoSpaceDE w:val="0"/>
      <w:autoSpaceDN w:val="0"/>
      <w:spacing w:after="120" w:line="240" w:lineRule="auto"/>
      <w:ind w:left="33" w:right="-108" w:firstLine="720"/>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rsid w:val="009C445F"/>
    <w:pPr>
      <w:autoSpaceDE w:val="0"/>
      <w:autoSpaceDN w:val="0"/>
      <w:spacing w:after="120" w:line="240" w:lineRule="auto"/>
      <w:ind w:right="-108"/>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9C445F"/>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C445F"/>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uiPriority w:val="99"/>
    <w:rsid w:val="009C445F"/>
    <w:rPr>
      <w:rFonts w:ascii="Times New Roman" w:eastAsia="Times New Roman" w:hAnsi="Times New Roman" w:cs="Times New Roman"/>
      <w:sz w:val="24"/>
      <w:szCs w:val="24"/>
      <w:lang w:val="x-none"/>
    </w:rPr>
  </w:style>
  <w:style w:type="character" w:styleId="CommentReference">
    <w:name w:val="annotation reference"/>
    <w:uiPriority w:val="99"/>
    <w:semiHidden/>
    <w:unhideWhenUsed/>
    <w:rsid w:val="009C445F"/>
    <w:rPr>
      <w:sz w:val="16"/>
      <w:szCs w:val="16"/>
    </w:rPr>
  </w:style>
  <w:style w:type="paragraph" w:styleId="CommentText">
    <w:name w:val="annotation text"/>
    <w:basedOn w:val="Normal"/>
    <w:link w:val="CommentTextChar"/>
    <w:uiPriority w:val="99"/>
    <w:semiHidden/>
    <w:unhideWhenUsed/>
    <w:rsid w:val="009C445F"/>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9C445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C445F"/>
    <w:rPr>
      <w:b/>
      <w:bCs/>
    </w:rPr>
  </w:style>
  <w:style w:type="character" w:customStyle="1" w:styleId="CommentSubjectChar">
    <w:name w:val="Comment Subject Char"/>
    <w:basedOn w:val="CommentTextChar"/>
    <w:link w:val="CommentSubject"/>
    <w:uiPriority w:val="99"/>
    <w:semiHidden/>
    <w:rsid w:val="009C445F"/>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9C445F"/>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C445F"/>
    <w:rPr>
      <w:rFonts w:ascii="Tahoma" w:eastAsia="Times New Roman" w:hAnsi="Tahoma" w:cs="Times New Roman"/>
      <w:sz w:val="16"/>
      <w:szCs w:val="16"/>
      <w:lang w:val="x-none" w:eastAsia="x-none"/>
    </w:rPr>
  </w:style>
  <w:style w:type="paragraph" w:styleId="NoSpacing">
    <w:name w:val="No Spacing"/>
    <w:uiPriority w:val="1"/>
    <w:qFormat/>
    <w:rsid w:val="009C445F"/>
    <w:pPr>
      <w:autoSpaceDE w:val="0"/>
      <w:autoSpaceDN w:val="0"/>
      <w:spacing w:after="0"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9C445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kr">
    <w:name w:val="naiskr"/>
    <w:basedOn w:val="Normal"/>
    <w:rsid w:val="009C445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C445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style-span">
    <w:name w:val="apple-style-span"/>
    <w:rsid w:val="009C445F"/>
  </w:style>
  <w:style w:type="character" w:customStyle="1" w:styleId="normal1">
    <w:name w:val="normal1"/>
    <w:rsid w:val="009C445F"/>
    <w:rPr>
      <w:rFonts w:ascii="Verdana" w:hAnsi="Verdana" w:hint="default"/>
      <w:b w:val="0"/>
      <w:bCs w:val="0"/>
      <w:sz w:val="18"/>
      <w:szCs w:val="18"/>
    </w:rPr>
  </w:style>
  <w:style w:type="paragraph" w:customStyle="1" w:styleId="naispant">
    <w:name w:val="naispant"/>
    <w:basedOn w:val="Normal"/>
    <w:rsid w:val="009C445F"/>
    <w:pPr>
      <w:spacing w:before="100" w:beforeAutospacing="1" w:after="100" w:afterAutospacing="1" w:line="240" w:lineRule="auto"/>
    </w:pPr>
    <w:rPr>
      <w:rFonts w:ascii="Times New Roman" w:eastAsia="Times New Roman" w:hAnsi="Times New Roman" w:cs="Times New Roman"/>
      <w:color w:val="000000"/>
      <w:sz w:val="24"/>
      <w:szCs w:val="24"/>
      <w:lang w:val="lv-LV" w:eastAsia="lv-LV"/>
    </w:rPr>
  </w:style>
  <w:style w:type="paragraph" w:styleId="FootnoteText">
    <w:name w:val="footnote text"/>
    <w:aliases w:val="Fußnote,-E Fußnotentext,footnote text,Fußnotentext Ursprung,Footnote Text Char Char,single space,FOOTNOTES,fn,Char Char Char,Note de bas de page2,Footnotes Char,Footnotes,Char Char Char Char Char Char,footnotes Char Char Char Char Char"/>
    <w:basedOn w:val="Normal"/>
    <w:link w:val="FootnoteTextChar"/>
    <w:uiPriority w:val="99"/>
    <w:unhideWhenUsed/>
    <w:rsid w:val="009C445F"/>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aliases w:val="Fußnote Char,-E Fußnotentext Char,footnote text Char,Fußnotentext Ursprung Char,Footnote Text Char Char Char,single space Char,FOOTNOTES Char,fn Char,Char Char Char Char,Note de bas de page2 Char,Footnotes Char Char,Footnotes Char1"/>
    <w:basedOn w:val="DefaultParagraphFont"/>
    <w:link w:val="FootnoteText"/>
    <w:uiPriority w:val="99"/>
    <w:rsid w:val="009C445F"/>
    <w:rPr>
      <w:rFonts w:ascii="Times New Roman" w:eastAsia="Times New Roman" w:hAnsi="Times New Roman" w:cs="Times New Roman"/>
      <w:sz w:val="20"/>
      <w:szCs w:val="20"/>
      <w:lang w:val="lv-LV" w:eastAsia="lv-LV"/>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unhideWhenUsed/>
    <w:qFormat/>
    <w:rsid w:val="009C445F"/>
    <w:rPr>
      <w:vertAlign w:val="superscript"/>
    </w:rPr>
  </w:style>
  <w:style w:type="paragraph" w:customStyle="1" w:styleId="astandard3520normal">
    <w:name w:val="a_standard__35__20_normal"/>
    <w:basedOn w:val="Normal"/>
    <w:rsid w:val="009C445F"/>
    <w:pPr>
      <w:spacing w:before="100" w:beforeAutospacing="1" w:after="100" w:afterAutospacing="1" w:line="240" w:lineRule="auto"/>
    </w:pPr>
    <w:rPr>
      <w:rFonts w:ascii="Times New Roman" w:eastAsia="Calibri" w:hAnsi="Times New Roman" w:cs="Times New Roman"/>
      <w:color w:val="000000"/>
      <w:sz w:val="24"/>
      <w:szCs w:val="24"/>
      <w:lang w:val="lv-LV" w:eastAsia="lv-LV"/>
    </w:rPr>
  </w:style>
  <w:style w:type="character" w:customStyle="1" w:styleId="spelle">
    <w:name w:val="spelle"/>
    <w:rsid w:val="009C445F"/>
  </w:style>
  <w:style w:type="paragraph" w:customStyle="1" w:styleId="sti-art2">
    <w:name w:val="sti-art2"/>
    <w:basedOn w:val="Normal"/>
    <w:rsid w:val="009C445F"/>
    <w:pPr>
      <w:spacing w:before="60" w:after="120" w:line="312" w:lineRule="atLeast"/>
      <w:jc w:val="center"/>
    </w:pPr>
    <w:rPr>
      <w:rFonts w:ascii="Times New Roman" w:eastAsia="Times New Roman" w:hAnsi="Times New Roman" w:cs="Times New Roman"/>
      <w:b/>
      <w:bCs/>
      <w:sz w:val="24"/>
      <w:szCs w:val="24"/>
      <w:lang w:val="lv-LV" w:eastAsia="lv-LV"/>
    </w:rPr>
  </w:style>
  <w:style w:type="paragraph" w:customStyle="1" w:styleId="Style4">
    <w:name w:val="Style4"/>
    <w:basedOn w:val="Normal"/>
    <w:uiPriority w:val="99"/>
    <w:rsid w:val="009C445F"/>
    <w:pPr>
      <w:widowControl w:val="0"/>
      <w:autoSpaceDE w:val="0"/>
      <w:autoSpaceDN w:val="0"/>
      <w:adjustRightInd w:val="0"/>
      <w:spacing w:after="0" w:line="230" w:lineRule="exact"/>
      <w:jc w:val="both"/>
    </w:pPr>
    <w:rPr>
      <w:rFonts w:ascii="Arial" w:eastAsia="Times New Roman" w:hAnsi="Arial" w:cs="Arial"/>
      <w:sz w:val="24"/>
      <w:szCs w:val="24"/>
      <w:lang w:val="lv-LV" w:eastAsia="lv-LV"/>
    </w:rPr>
  </w:style>
  <w:style w:type="character" w:customStyle="1" w:styleId="FontStyle14">
    <w:name w:val="Font Style14"/>
    <w:uiPriority w:val="99"/>
    <w:rsid w:val="009C445F"/>
    <w:rPr>
      <w:rFonts w:ascii="Arial" w:hAnsi="Arial" w:cs="Arial"/>
      <w:i/>
      <w:iCs/>
      <w:sz w:val="18"/>
      <w:szCs w:val="18"/>
    </w:rPr>
  </w:style>
  <w:style w:type="character" w:customStyle="1" w:styleId="FontStyle18">
    <w:name w:val="Font Style18"/>
    <w:uiPriority w:val="99"/>
    <w:rsid w:val="009C445F"/>
    <w:rPr>
      <w:rFonts w:ascii="Arial" w:hAnsi="Arial" w:cs="Arial"/>
      <w:sz w:val="18"/>
      <w:szCs w:val="18"/>
    </w:rPr>
  </w:style>
  <w:style w:type="character" w:customStyle="1" w:styleId="FontStyle13">
    <w:name w:val="Font Style13"/>
    <w:uiPriority w:val="99"/>
    <w:rsid w:val="009C445F"/>
    <w:rPr>
      <w:rFonts w:ascii="Franklin Gothic Demi Cond" w:hAnsi="Franklin Gothic Demi Cond" w:cs="Franklin Gothic Demi Cond"/>
      <w:b/>
      <w:bCs/>
      <w:spacing w:val="-20"/>
      <w:sz w:val="36"/>
      <w:szCs w:val="36"/>
    </w:rPr>
  </w:style>
  <w:style w:type="character" w:customStyle="1" w:styleId="ListParagraphChar">
    <w:name w:val="List Paragraph Char"/>
    <w:aliases w:val="2 Char,3 Txt tabla Char,Lista multicolor - Énfasis 11 Char,Saraksta rindkopa1 Char,Task Body Char,Viñetas (Inicio Parrafo) Char,Zerrenda-paragrafoa Char"/>
    <w:link w:val="ListParagraph"/>
    <w:uiPriority w:val="34"/>
    <w:locked/>
    <w:rsid w:val="009C445F"/>
    <w:rPr>
      <w:rFonts w:ascii="Times New Roman" w:eastAsia="Times New Roman" w:hAnsi="Times New Roman" w:cs="Times New Roman"/>
      <w:sz w:val="24"/>
      <w:szCs w:val="24"/>
      <w:lang w:val="lv-LV" w:eastAsia="lv-LV"/>
    </w:rPr>
  </w:style>
  <w:style w:type="paragraph" w:customStyle="1" w:styleId="tv2131">
    <w:name w:val="tv2131"/>
    <w:basedOn w:val="Normal"/>
    <w:rsid w:val="009C445F"/>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Default">
    <w:name w:val="Default"/>
    <w:rsid w:val="009C445F"/>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C445F"/>
    <w:pPr>
      <w:spacing w:line="240" w:lineRule="exact"/>
      <w:jc w:val="both"/>
    </w:pPr>
    <w:rPr>
      <w:vertAlign w:val="superscript"/>
    </w:rPr>
  </w:style>
  <w:style w:type="paragraph" w:customStyle="1" w:styleId="tv213">
    <w:name w:val="tv213"/>
    <w:basedOn w:val="Normal"/>
    <w:rsid w:val="009C445F"/>
    <w:pPr>
      <w:spacing w:before="100" w:beforeAutospacing="1" w:after="100" w:afterAutospacing="1" w:line="252" w:lineRule="auto"/>
    </w:pPr>
    <w:rPr>
      <w:rFonts w:ascii="Calibri" w:eastAsia="Calibri" w:hAnsi="Calibri" w:cs="Calibri"/>
      <w:lang w:val="lv-LV" w:eastAsia="lv-LV"/>
    </w:rPr>
  </w:style>
  <w:style w:type="paragraph" w:styleId="Revision">
    <w:name w:val="Revision"/>
    <w:hidden/>
    <w:uiPriority w:val="99"/>
    <w:semiHidden/>
    <w:rsid w:val="009C445F"/>
    <w:pPr>
      <w:spacing w:after="0" w:line="240" w:lineRule="auto"/>
    </w:pPr>
    <w:rPr>
      <w:rFonts w:ascii="Times New Roman" w:eastAsia="Times New Roman" w:hAnsi="Times New Roman" w:cs="Times New Roman"/>
      <w:sz w:val="24"/>
      <w:szCs w:val="24"/>
      <w:lang w:val="lv-LV" w:eastAsia="lv-LV"/>
    </w:rPr>
  </w:style>
  <w:style w:type="character" w:styleId="UnresolvedMention">
    <w:name w:val="Unresolved Mention"/>
    <w:basedOn w:val="DefaultParagraphFont"/>
    <w:uiPriority w:val="99"/>
    <w:semiHidden/>
    <w:unhideWhenUsed/>
    <w:rsid w:val="007B6B93"/>
    <w:rPr>
      <w:color w:val="605E5C"/>
      <w:shd w:val="clear" w:color="auto" w:fill="E1DFDD"/>
    </w:rPr>
  </w:style>
  <w:style w:type="character" w:styleId="FollowedHyperlink">
    <w:name w:val="FollowedHyperlink"/>
    <w:basedOn w:val="DefaultParagraphFont"/>
    <w:uiPriority w:val="99"/>
    <w:semiHidden/>
    <w:unhideWhenUsed/>
    <w:rsid w:val="00335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4699-38E4-443C-80DD-3A05E1EA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29</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Izziņa par atzinumos sniegtajiem iebildumiem </vt:lpstr>
    </vt:vector>
  </TitlesOfParts>
  <Company>Satiksmes ministrija</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dc:title>
  <dc:subject>Informatīvais ziņojums “Par numerācijas resursu maksājumu un nepieciešamību iedalīt numerācijas resursus lietu internetam un mašīnas-mašīnas sakaru pakalpojumiem”</dc:subject>
  <dc:creator>Emīls Dombrovskis</dc:creator>
  <cp:keywords/>
  <dc:description>emils.dombrovskis@sam.gov.lv_x000d_
67028398</dc:description>
  <cp:lastModifiedBy>Ilze Kivleniece</cp:lastModifiedBy>
  <cp:revision>52</cp:revision>
  <cp:lastPrinted>2019-12-17T11:32:00Z</cp:lastPrinted>
  <dcterms:created xsi:type="dcterms:W3CDTF">2019-11-06T12:06:00Z</dcterms:created>
  <dcterms:modified xsi:type="dcterms:W3CDTF">2019-12-30T09:02:00Z</dcterms:modified>
</cp:coreProperties>
</file>