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22C61" w:rsidR="004F128E" w:rsidP="00FF4815" w:rsidRDefault="004F128E" w14:paraId="485C5E62" w14:textId="06A55A59">
      <w:pPr>
        <w:rPr>
          <w:szCs w:val="24"/>
        </w:rPr>
      </w:pPr>
      <w:bookmarkStart w:name="_GoBack" w:id="0"/>
      <w:bookmarkEnd w:id="0"/>
      <w:r w:rsidRPr="00222C61">
        <w:rPr>
          <w:szCs w:val="24"/>
        </w:rPr>
        <w:t xml:space="preserve">Uz </w:t>
      </w:r>
      <w:r w:rsidR="00EF54BC">
        <w:t>14.05</w:t>
      </w:r>
      <w:r w:rsidRPr="008B7762" w:rsidR="00EF54BC">
        <w:t xml:space="preserve">.2019. </w:t>
      </w:r>
      <w:r w:rsidR="00EF54BC">
        <w:t>MK</w:t>
      </w:r>
      <w:r w:rsidRPr="008B7762" w:rsidR="00EF54BC">
        <w:t xml:space="preserve"> prot. Nr. </w:t>
      </w:r>
      <w:r w:rsidR="00EF54BC">
        <w:t>24</w:t>
      </w:r>
      <w:r w:rsidRPr="008B7762" w:rsidR="00EF54BC">
        <w:t xml:space="preserve"> 1</w:t>
      </w:r>
      <w:r w:rsidR="00EF54BC">
        <w:t>5</w:t>
      </w:r>
      <w:r w:rsidRPr="008B7762" w:rsidR="00EF54BC">
        <w:t>. § (</w:t>
      </w:r>
      <w:r w:rsidRPr="002933B2" w:rsidR="00EF54BC">
        <w:t>TA-660)</w:t>
      </w:r>
    </w:p>
    <w:p w:rsidR="004F128E" w:rsidP="00FF4815" w:rsidRDefault="009515B1" w14:paraId="2DEBB978" w14:textId="04857708">
      <w:pPr>
        <w:jc w:val="right"/>
        <w:rPr>
          <w:b/>
        </w:rPr>
      </w:pPr>
      <w:r>
        <w:rPr>
          <w:b/>
        </w:rPr>
        <w:t>Valsts kancelejai</w:t>
      </w:r>
    </w:p>
    <w:p w:rsidRPr="00935418" w:rsidR="00DD4044" w:rsidP="00FF4815" w:rsidRDefault="00DD4044" w14:paraId="5151721E" w14:textId="77777777">
      <w:pPr>
        <w:jc w:val="right"/>
        <w:rPr>
          <w:b/>
        </w:rPr>
      </w:pPr>
    </w:p>
    <w:bookmarkStart w:name="OLE_LINK12" w:id="1"/>
    <w:bookmarkStart w:name="OLE_LINK11" w:id="2"/>
    <w:bookmarkStart w:name="OLE_LINK1" w:id="3"/>
    <w:bookmarkStart w:name="OLE_LINK2" w:id="4"/>
    <w:bookmarkStart w:name="OLE_LINK3" w:id="5"/>
    <w:bookmarkStart w:name="OLE_LINK4" w:id="6"/>
    <w:bookmarkStart w:name="OLE_LINK5" w:id="7"/>
    <w:bookmarkStart w:name="OLE_LINK6" w:id="8"/>
    <w:bookmarkStart w:name="OLE_LINK7" w:id="9"/>
    <w:bookmarkStart w:name="OLE_LINK8" w:id="10"/>
    <w:bookmarkStart w:name="OLE_LINK9" w:id="11"/>
    <w:bookmarkStart w:name="OLE_LINK10" w:id="12"/>
    <w:bookmarkStart w:name="OLE_LINK13" w:id="13"/>
    <w:bookmarkStart w:name="OLE_LINK14" w:id="14"/>
    <w:bookmarkStart w:name="OLE_LINK15" w:id="15"/>
    <w:bookmarkStart w:name="OLE_LINK16" w:id="16"/>
    <w:bookmarkStart w:name="OLE_LINK17" w:id="17"/>
    <w:bookmarkStart w:name="OLE_LINK18" w:id="18"/>
    <w:bookmarkStart w:name="OLE_LINK29" w:id="19"/>
    <w:bookmarkStart w:name="OLE_LINK19" w:id="20"/>
    <w:bookmarkStart w:name="OLE_LINK20" w:id="21"/>
    <w:bookmarkStart w:name="OLE_LINK21" w:id="22"/>
    <w:bookmarkStart w:name="OLE_LINK22" w:id="23"/>
    <w:bookmarkStart w:name="OLE_LINK23" w:id="24"/>
    <w:bookmarkStart w:name="OLE_LINK24" w:id="25"/>
    <w:bookmarkStart w:name="OLE_LINK25" w:id="26"/>
    <w:bookmarkStart w:name="OLE_LINK26" w:id="27"/>
    <w:bookmarkStart w:name="OLE_LINK27" w:id="28"/>
    <w:bookmarkStart w:name="OLE_LINK28" w:id="29"/>
    <w:bookmarkStart w:name="OLE_LINK32" w:id="3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4F128E" w:rsidP="00FF4815" w:rsidRDefault="00C404A4" w14:paraId="7E3A8923" w14:textId="4B80A2F3">
      <w:pPr>
        <w:pStyle w:val="Paraststmeklis"/>
        <w:spacing w:before="0" w:after="0"/>
        <w:ind w:right="4549"/>
        <w:jc w:val="both"/>
      </w:pPr>
      <w:sdt>
        <w:sdtPr>
          <w:rPr>
            <w:rFonts w:eastAsia="Calibri"/>
            <w:i/>
            <w:szCs w:val="22"/>
            <w:lang w:eastAsia="en-US"/>
          </w:rPr>
          <w:alias w:val="Virsraksts"/>
          <w:tag w:val=""/>
          <w:id w:val="1761718234"/>
          <w:placeholder>
            <w:docPart w:val="2A7A9FEF08E04104BD91437D2D9FF9B5"/>
          </w:placeholder>
          <w:dataBinding w:prefixMappings="xmlns:ns0='http://purl.org/dc/elements/1.1/' xmlns:ns1='http://schemas.openxmlformats.org/package/2006/metadata/core-properties' " w:xpath="/ns1:coreProperties[1]/ns0:title[1]" w:storeItemID="{6C3C8BC8-F283-45AE-878A-BAB7291924A1}"/>
          <w:text/>
        </w:sdtPr>
        <w:sdtEndPr/>
        <w:sdtContent>
          <w:bookmarkStart w:name="_Hlk501362414" w:id="31"/>
          <w:r w:rsidRPr="005D103E" w:rsidR="005D103E">
            <w:rPr>
              <w:rFonts w:eastAsia="Calibri"/>
              <w:i/>
              <w:szCs w:val="22"/>
              <w:lang w:eastAsia="en-US"/>
            </w:rPr>
            <w:t>Par Ministru kabineta sēdes protokollēmuma projekta "</w:t>
          </w:r>
          <w:r w:rsidR="005D103E">
            <w:rPr>
              <w:rFonts w:eastAsia="Calibri"/>
              <w:i/>
              <w:szCs w:val="22"/>
              <w:lang w:eastAsia="en-US"/>
            </w:rPr>
            <w:t xml:space="preserve">Par </w:t>
          </w:r>
          <w:r w:rsidRPr="005D103E" w:rsidR="005D103E">
            <w:rPr>
              <w:rFonts w:eastAsia="Calibri"/>
              <w:i/>
              <w:szCs w:val="22"/>
              <w:lang w:eastAsia="en-US"/>
            </w:rPr>
            <w:t>Ministru kabineta 2019.</w:t>
          </w:r>
          <w:r w:rsidR="00E84F9C">
            <w:rPr>
              <w:rFonts w:eastAsia="Calibri"/>
              <w:i/>
              <w:szCs w:val="22"/>
              <w:lang w:eastAsia="en-US"/>
            </w:rPr>
            <w:t> </w:t>
          </w:r>
          <w:r w:rsidRPr="005D103E" w:rsidR="005D103E">
            <w:rPr>
              <w:rFonts w:eastAsia="Calibri"/>
              <w:i/>
              <w:szCs w:val="22"/>
              <w:lang w:eastAsia="en-US"/>
            </w:rPr>
            <w:t>gada 14.</w:t>
          </w:r>
          <w:r w:rsidR="00E84F9C">
            <w:rPr>
              <w:rFonts w:eastAsia="Calibri"/>
              <w:i/>
              <w:szCs w:val="22"/>
              <w:lang w:eastAsia="en-US"/>
            </w:rPr>
            <w:t> </w:t>
          </w:r>
          <w:r w:rsidRPr="005D103E" w:rsidR="005D103E">
            <w:rPr>
              <w:rFonts w:eastAsia="Calibri"/>
              <w:i/>
              <w:szCs w:val="22"/>
              <w:lang w:eastAsia="en-US"/>
            </w:rPr>
            <w:t>maija sēdes protokol</w:t>
          </w:r>
          <w:r w:rsidR="008B741D">
            <w:rPr>
              <w:rFonts w:eastAsia="Calibri"/>
              <w:i/>
              <w:szCs w:val="22"/>
              <w:lang w:eastAsia="en-US"/>
            </w:rPr>
            <w:t>lēmuma (</w:t>
          </w:r>
          <w:r w:rsidR="00AA15A7">
            <w:rPr>
              <w:rFonts w:eastAsia="Calibri"/>
              <w:i/>
              <w:szCs w:val="22"/>
              <w:lang w:eastAsia="en-US"/>
            </w:rPr>
            <w:t xml:space="preserve">protokols </w:t>
          </w:r>
          <w:r w:rsidRPr="005D103E" w:rsidR="005D103E">
            <w:rPr>
              <w:rFonts w:eastAsia="Calibri"/>
              <w:i/>
              <w:szCs w:val="22"/>
              <w:lang w:eastAsia="en-US"/>
            </w:rPr>
            <w:t>Nr.</w:t>
          </w:r>
          <w:r w:rsidR="00AA15A7">
            <w:rPr>
              <w:rFonts w:eastAsia="Calibri"/>
              <w:i/>
              <w:szCs w:val="22"/>
              <w:lang w:eastAsia="en-US"/>
            </w:rPr>
            <w:t> </w:t>
          </w:r>
          <w:r w:rsidRPr="005D103E" w:rsidR="005D103E">
            <w:rPr>
              <w:rFonts w:eastAsia="Calibri"/>
              <w:i/>
              <w:szCs w:val="22"/>
              <w:lang w:eastAsia="en-US"/>
            </w:rPr>
            <w:t>24 15.</w:t>
          </w:r>
          <w:r w:rsidR="00842B5B">
            <w:rPr>
              <w:rFonts w:eastAsia="Calibri"/>
              <w:i/>
              <w:szCs w:val="22"/>
              <w:lang w:eastAsia="en-US"/>
            </w:rPr>
            <w:t> </w:t>
          </w:r>
          <w:r w:rsidRPr="005D103E" w:rsidR="005D103E">
            <w:rPr>
              <w:rFonts w:eastAsia="Calibri"/>
              <w:i/>
              <w:szCs w:val="22"/>
              <w:lang w:eastAsia="en-US"/>
            </w:rPr>
            <w:t>§</w:t>
          </w:r>
          <w:r w:rsidR="00842B5B">
            <w:rPr>
              <w:rFonts w:eastAsia="Calibri"/>
              <w:i/>
              <w:szCs w:val="22"/>
              <w:lang w:eastAsia="en-US"/>
            </w:rPr>
            <w:t>)</w:t>
          </w:r>
          <w:r w:rsidRPr="005D103E" w:rsidR="005D103E">
            <w:rPr>
              <w:rFonts w:eastAsia="Calibri"/>
              <w:i/>
              <w:szCs w:val="22"/>
              <w:lang w:eastAsia="en-US"/>
            </w:rPr>
            <w:t xml:space="preserve"> "Likumprojekts "Privāto pensiju fondu likums"" 4.</w:t>
          </w:r>
          <w:r w:rsidR="000E17F8">
            <w:rPr>
              <w:rFonts w:eastAsia="Calibri"/>
              <w:i/>
              <w:szCs w:val="22"/>
              <w:lang w:eastAsia="en-US"/>
            </w:rPr>
            <w:t> </w:t>
          </w:r>
          <w:r w:rsidRPr="005D103E" w:rsidR="005D103E">
            <w:rPr>
              <w:rFonts w:eastAsia="Calibri"/>
              <w:i/>
              <w:szCs w:val="22"/>
              <w:lang w:eastAsia="en-US"/>
            </w:rPr>
            <w:t>punktā noteikt</w:t>
          </w:r>
          <w:r w:rsidR="000E17F8">
            <w:rPr>
              <w:rFonts w:eastAsia="Calibri"/>
              <w:i/>
              <w:szCs w:val="22"/>
              <w:lang w:eastAsia="en-US"/>
            </w:rPr>
            <w:t>ā</w:t>
          </w:r>
          <w:r w:rsidRPr="005D103E" w:rsidR="005D103E">
            <w:rPr>
              <w:rFonts w:eastAsia="Calibri"/>
              <w:i/>
              <w:szCs w:val="22"/>
              <w:lang w:eastAsia="en-US"/>
            </w:rPr>
            <w:t xml:space="preserve"> uzdevum</w:t>
          </w:r>
          <w:r w:rsidR="000E17F8">
            <w:rPr>
              <w:rFonts w:eastAsia="Calibri"/>
              <w:i/>
              <w:szCs w:val="22"/>
              <w:lang w:eastAsia="en-US"/>
            </w:rPr>
            <w:t>a izpildi</w:t>
          </w:r>
          <w:r w:rsidRPr="005D103E" w:rsidR="005D103E">
            <w:rPr>
              <w:rFonts w:eastAsia="Calibri"/>
              <w:i/>
              <w:szCs w:val="22"/>
              <w:lang w:eastAsia="en-US"/>
            </w:rPr>
            <w:t>" iesniegšanu</w:t>
          </w:r>
        </w:sdtContent>
      </w:sdt>
      <w:bookmarkEnd w:id="31"/>
    </w:p>
    <w:p w:rsidR="00CC18AD" w:rsidP="00FF4815" w:rsidRDefault="00CC18AD" w14:paraId="0567D3E7" w14:textId="3832F08F">
      <w:pPr>
        <w:pStyle w:val="Paraststmeklis"/>
        <w:spacing w:before="0" w:after="0"/>
        <w:ind w:firstLine="720"/>
        <w:jc w:val="both"/>
      </w:pPr>
    </w:p>
    <w:p w:rsidR="005510D0" w:rsidP="00FF4815" w:rsidRDefault="00933180" w14:paraId="15437BFD" w14:textId="131AFDEC">
      <w:pPr>
        <w:pStyle w:val="Paraststmeklis"/>
        <w:spacing w:before="0" w:after="0"/>
        <w:ind w:firstLine="720"/>
        <w:jc w:val="both"/>
        <w:rPr>
          <w:iCs/>
        </w:rPr>
      </w:pPr>
      <w:r w:rsidRPr="00933180">
        <w:t xml:space="preserve">Pamatojoties uz Ministru kabineta 2009. gada 7. aprīļa noteikumu Nr. 300 "Ministru kabineta kārtības rullis" </w:t>
      </w:r>
      <w:r w:rsidRPr="00FB5CCA">
        <w:t>164.4. apakšpunktu, iesniedzu izskatīšanai Ministru kabineta sēdē</w:t>
      </w:r>
      <w:r w:rsidRPr="00933180">
        <w:t xml:space="preserve"> Ministru kabineta sēdes protokollēmuma projektu</w:t>
      </w:r>
      <w:r>
        <w:t xml:space="preserve"> </w:t>
      </w:r>
      <w:r w:rsidRPr="00933180">
        <w:rPr>
          <w:iCs/>
        </w:rPr>
        <w:t>"Par Ministru kabineta 2019. gada 14. maija sēdes protokollēmuma (protokols Nr. 24 15. §) "Likumprojekts "Privāto pensiju fondu likums"" 4. punktā noteiktā uzdevuma izpildi"</w:t>
      </w:r>
      <w:r w:rsidR="00DD76DA">
        <w:rPr>
          <w:iCs/>
        </w:rPr>
        <w:t xml:space="preserve"> (turpmāk – protokollēmuma projekts):</w:t>
      </w:r>
    </w:p>
    <w:p w:rsidR="00DD76DA" w:rsidP="00A81048" w:rsidRDefault="00DD76DA" w14:paraId="0D8BF1AC" w14:textId="07A7B984">
      <w:pPr>
        <w:pStyle w:val="Paraststmeklis"/>
        <w:spacing w:before="0" w:after="0"/>
        <w:jc w:val="both"/>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1"/>
        <w:gridCol w:w="1842"/>
        <w:gridCol w:w="6946"/>
      </w:tblGrid>
      <w:tr w:rsidRPr="008070F8" w:rsidR="00A81048" w:rsidTr="00F63070" w14:paraId="4DD1ABA3" w14:textId="77777777">
        <w:tc>
          <w:tcPr>
            <w:tcW w:w="421" w:type="dxa"/>
          </w:tcPr>
          <w:p w:rsidRPr="003D65F0" w:rsidR="00A81048" w:rsidP="00F63070" w:rsidRDefault="00A81048" w14:paraId="35F6291B" w14:textId="77777777">
            <w:pPr>
              <w:spacing w:before="60"/>
              <w:rPr>
                <w:rFonts w:eastAsia="Times New Roman"/>
                <w:color w:val="000000"/>
                <w:szCs w:val="28"/>
              </w:rPr>
            </w:pPr>
            <w:r w:rsidRPr="003D65F0">
              <w:rPr>
                <w:rFonts w:eastAsia="Times New Roman"/>
                <w:color w:val="000000"/>
                <w:szCs w:val="28"/>
              </w:rPr>
              <w:t>1.</w:t>
            </w:r>
          </w:p>
        </w:tc>
        <w:tc>
          <w:tcPr>
            <w:tcW w:w="1842" w:type="dxa"/>
          </w:tcPr>
          <w:p w:rsidRPr="003D65F0" w:rsidR="00A81048" w:rsidP="00F63070" w:rsidRDefault="00A81048" w14:paraId="3F93B72B" w14:textId="77777777">
            <w:pPr>
              <w:spacing w:before="60"/>
              <w:rPr>
                <w:rFonts w:eastAsia="Times New Roman"/>
                <w:color w:val="000000"/>
                <w:szCs w:val="28"/>
              </w:rPr>
            </w:pPr>
            <w:r w:rsidRPr="003D65F0">
              <w:rPr>
                <w:rFonts w:eastAsia="Times New Roman"/>
                <w:color w:val="000000"/>
                <w:szCs w:val="28"/>
              </w:rPr>
              <w:t>Iesniegšanas pamatojums</w:t>
            </w:r>
          </w:p>
        </w:tc>
        <w:tc>
          <w:tcPr>
            <w:tcW w:w="6946" w:type="dxa"/>
          </w:tcPr>
          <w:p w:rsidR="005D72A7" w:rsidP="008E4A60" w:rsidRDefault="00074FB4" w14:paraId="614924FF" w14:textId="177A28DD">
            <w:pPr>
              <w:widowControl/>
              <w:rPr>
                <w:rFonts w:eastAsia="Times New Roman"/>
                <w:bCs/>
                <w:szCs w:val="28"/>
              </w:rPr>
            </w:pPr>
            <w:r w:rsidRPr="00074FB4">
              <w:rPr>
                <w:rFonts w:eastAsia="Times New Roman"/>
                <w:bCs/>
                <w:szCs w:val="28"/>
              </w:rPr>
              <w:t>Ministru kabineta 2019. gada 14. maija sēdes</w:t>
            </w:r>
            <w:r>
              <w:rPr>
                <w:rFonts w:eastAsia="Times New Roman"/>
                <w:bCs/>
                <w:szCs w:val="28"/>
              </w:rPr>
              <w:t xml:space="preserve"> protokollēmuma (</w:t>
            </w:r>
            <w:r w:rsidRPr="00074FB4">
              <w:rPr>
                <w:rFonts w:eastAsia="Times New Roman"/>
                <w:bCs/>
                <w:szCs w:val="28"/>
              </w:rPr>
              <w:t>protokol</w:t>
            </w:r>
            <w:r>
              <w:rPr>
                <w:rFonts w:eastAsia="Times New Roman"/>
                <w:bCs/>
                <w:szCs w:val="28"/>
              </w:rPr>
              <w:t>s</w:t>
            </w:r>
            <w:r w:rsidRPr="00074FB4">
              <w:rPr>
                <w:rFonts w:eastAsia="Times New Roman"/>
                <w:bCs/>
                <w:szCs w:val="28"/>
              </w:rPr>
              <w:t xml:space="preserve"> Nr. 24 15. §</w:t>
            </w:r>
            <w:r>
              <w:rPr>
                <w:rFonts w:eastAsia="Times New Roman"/>
                <w:bCs/>
                <w:szCs w:val="28"/>
              </w:rPr>
              <w:t>)</w:t>
            </w:r>
            <w:r w:rsidRPr="00074FB4">
              <w:rPr>
                <w:rFonts w:eastAsia="Times New Roman"/>
                <w:bCs/>
                <w:szCs w:val="28"/>
              </w:rPr>
              <w:t xml:space="preserve"> "Likumprojekts "Privāto pensiju fondu likums"" 4. punktā noteikts uzdevums</w:t>
            </w:r>
            <w:proofErr w:type="gramStart"/>
            <w:r w:rsidRPr="00074FB4">
              <w:rPr>
                <w:rFonts w:eastAsia="Times New Roman"/>
                <w:bCs/>
                <w:szCs w:val="28"/>
              </w:rPr>
              <w:t xml:space="preserve"> līdz 2019. gada 31. decembrim Tieslietu ministrijai savas kompetences ietvaros kā administratīvo tiesību politikas veidotājai un Finanšu ministrijai kā finanšu politikas veidotājai</w:t>
            </w:r>
            <w:proofErr w:type="gramEnd"/>
            <w:r w:rsidRPr="00074FB4">
              <w:rPr>
                <w:rFonts w:eastAsia="Times New Roman"/>
                <w:bCs/>
                <w:szCs w:val="28"/>
              </w:rPr>
              <w:t>, un institūcijām, kurām ir tiesības piemērot administratīvajai atbildībai līdzīgus piespiedu ietekmēšanas līdzekļus (</w:t>
            </w:r>
            <w:r w:rsidR="00C3334C">
              <w:rPr>
                <w:rFonts w:eastAsia="Times New Roman"/>
                <w:bCs/>
                <w:szCs w:val="28"/>
              </w:rPr>
              <w:t xml:space="preserve">turpmāk – </w:t>
            </w:r>
            <w:r w:rsidRPr="00074FB4">
              <w:rPr>
                <w:rFonts w:eastAsia="Times New Roman"/>
                <w:bCs/>
                <w:szCs w:val="28"/>
              </w:rPr>
              <w:t>administratīvās sankcijas), izvērtē</w:t>
            </w:r>
            <w:r w:rsidR="00C02851">
              <w:rPr>
                <w:rFonts w:eastAsia="Times New Roman"/>
                <w:bCs/>
                <w:szCs w:val="28"/>
              </w:rPr>
              <w:t>t</w:t>
            </w:r>
            <w:r w:rsidRPr="00074FB4">
              <w:rPr>
                <w:rFonts w:eastAsia="Times New Roman"/>
                <w:bCs/>
                <w:szCs w:val="28"/>
              </w:rPr>
              <w:t xml:space="preserve"> šādu piespiedu ietekmēšanas līdzekļu nepieciešamību un to piemērošanas procesu.</w:t>
            </w:r>
          </w:p>
          <w:p w:rsidRPr="005D72A7" w:rsidR="005D72A7" w:rsidP="008E4A60" w:rsidRDefault="005D72A7" w14:paraId="20E6B59A" w14:textId="02DFDDB5">
            <w:pPr>
              <w:widowControl/>
              <w:rPr>
                <w:rFonts w:eastAsia="Times New Roman"/>
                <w:bCs/>
                <w:szCs w:val="28"/>
              </w:rPr>
            </w:pPr>
          </w:p>
        </w:tc>
      </w:tr>
      <w:tr w:rsidRPr="008070F8" w:rsidR="00A81048" w:rsidTr="00F63070" w14:paraId="05166A3F" w14:textId="77777777">
        <w:tc>
          <w:tcPr>
            <w:tcW w:w="421" w:type="dxa"/>
          </w:tcPr>
          <w:p w:rsidRPr="003D65F0" w:rsidR="00A81048" w:rsidP="00F63070" w:rsidRDefault="00A81048" w14:paraId="7FB26C1F" w14:textId="77777777">
            <w:pPr>
              <w:rPr>
                <w:rFonts w:eastAsia="Times New Roman"/>
                <w:szCs w:val="28"/>
                <w:lang w:eastAsia="lv-LV"/>
              </w:rPr>
            </w:pPr>
            <w:r w:rsidRPr="003D65F0">
              <w:rPr>
                <w:rFonts w:eastAsia="Times New Roman"/>
                <w:szCs w:val="28"/>
                <w:lang w:eastAsia="lv-LV"/>
              </w:rPr>
              <w:t>2.</w:t>
            </w:r>
          </w:p>
        </w:tc>
        <w:tc>
          <w:tcPr>
            <w:tcW w:w="1842" w:type="dxa"/>
          </w:tcPr>
          <w:p w:rsidRPr="003D65F0" w:rsidR="00A81048" w:rsidP="00F63070" w:rsidRDefault="00A81048" w14:paraId="7AEACE47" w14:textId="77777777">
            <w:pPr>
              <w:rPr>
                <w:rFonts w:eastAsia="Times New Roman"/>
                <w:szCs w:val="28"/>
              </w:rPr>
            </w:pPr>
            <w:r w:rsidRPr="003D65F0">
              <w:rPr>
                <w:rFonts w:eastAsia="Times New Roman"/>
                <w:szCs w:val="28"/>
                <w:lang w:eastAsia="lv-LV"/>
              </w:rPr>
              <w:t>Valsts sekretāru sanāksmes datums un numurs</w:t>
            </w:r>
          </w:p>
        </w:tc>
        <w:tc>
          <w:tcPr>
            <w:tcW w:w="6946" w:type="dxa"/>
          </w:tcPr>
          <w:p w:rsidRPr="003D65F0" w:rsidR="00A81048" w:rsidP="00F63070" w:rsidRDefault="00A81048" w14:paraId="1CF88516" w14:textId="77777777">
            <w:pPr>
              <w:ind w:left="34"/>
              <w:rPr>
                <w:rFonts w:eastAsia="Times New Roman"/>
                <w:szCs w:val="28"/>
              </w:rPr>
            </w:pPr>
            <w:r w:rsidRPr="003D65F0">
              <w:rPr>
                <w:rFonts w:eastAsia="Times New Roman"/>
                <w:szCs w:val="28"/>
              </w:rPr>
              <w:t xml:space="preserve">Saskaņā ar Ministru kabineta 2009. gada 7. aprīļa noteikumu Nr. 300 "Ministru kabineta kārtības rullis" 73.1. apakšpunktu </w:t>
            </w:r>
            <w:r>
              <w:rPr>
                <w:rFonts w:eastAsia="Times New Roman"/>
                <w:szCs w:val="28"/>
              </w:rPr>
              <w:t xml:space="preserve">protokollēmuma </w:t>
            </w:r>
            <w:r w:rsidRPr="003D65F0">
              <w:rPr>
                <w:rFonts w:eastAsia="Times New Roman"/>
                <w:szCs w:val="28"/>
              </w:rPr>
              <w:t>projekts nav izsludināms Valsts sekretāru sanāksmē.</w:t>
            </w:r>
          </w:p>
        </w:tc>
      </w:tr>
      <w:tr w:rsidR="00A81048" w:rsidTr="00B83417" w14:paraId="350DAF9A" w14:textId="77777777">
        <w:tc>
          <w:tcPr>
            <w:tcW w:w="421" w:type="dxa"/>
          </w:tcPr>
          <w:p w:rsidRPr="003D65F0" w:rsidR="00A81048" w:rsidP="00F63070" w:rsidRDefault="00A81048" w14:paraId="47F6B0C7" w14:textId="77777777">
            <w:pPr>
              <w:spacing w:before="60"/>
              <w:rPr>
                <w:rFonts w:eastAsia="Times New Roman"/>
                <w:szCs w:val="28"/>
                <w:lang w:eastAsia="lv-LV"/>
              </w:rPr>
            </w:pPr>
            <w:r w:rsidRPr="003D65F0">
              <w:rPr>
                <w:rFonts w:eastAsia="Times New Roman"/>
                <w:szCs w:val="28"/>
                <w:lang w:eastAsia="lv-LV"/>
              </w:rPr>
              <w:t>3.</w:t>
            </w:r>
          </w:p>
        </w:tc>
        <w:tc>
          <w:tcPr>
            <w:tcW w:w="1842" w:type="dxa"/>
          </w:tcPr>
          <w:p w:rsidRPr="003D65F0" w:rsidR="00A81048" w:rsidP="00F63070" w:rsidRDefault="00A81048" w14:paraId="5DE89D7B" w14:textId="77777777">
            <w:pPr>
              <w:spacing w:before="60"/>
              <w:rPr>
                <w:rFonts w:eastAsia="Times New Roman"/>
                <w:szCs w:val="28"/>
              </w:rPr>
            </w:pPr>
            <w:r w:rsidRPr="003D65F0">
              <w:rPr>
                <w:rFonts w:eastAsia="Times New Roman"/>
                <w:szCs w:val="28"/>
                <w:lang w:eastAsia="lv-LV"/>
              </w:rPr>
              <w:t>Informācija par saskaņojumiem</w:t>
            </w:r>
          </w:p>
        </w:tc>
        <w:tc>
          <w:tcPr>
            <w:tcW w:w="6946" w:type="dxa"/>
            <w:shd w:val="clear" w:color="auto" w:fill="auto"/>
          </w:tcPr>
          <w:p w:rsidRPr="00B83417" w:rsidR="00A81048" w:rsidP="00F63070" w:rsidRDefault="004A6C9B" w14:paraId="3FEE53B2" w14:textId="04097BC5">
            <w:pPr>
              <w:spacing w:before="60"/>
              <w:rPr>
                <w:rFonts w:eastAsia="Times New Roman"/>
                <w:szCs w:val="28"/>
              </w:rPr>
            </w:pPr>
            <w:r w:rsidRPr="00B83417">
              <w:rPr>
                <w:rFonts w:eastAsia="Times New Roman"/>
                <w:szCs w:val="28"/>
              </w:rPr>
              <w:t xml:space="preserve">Protokollēmuma projekts neparedz uzdevumus citām ministrijām un institūcijām, kā arī neskar to kompetenci. </w:t>
            </w:r>
          </w:p>
        </w:tc>
      </w:tr>
      <w:tr w:rsidR="00A81048" w:rsidTr="00F63070" w14:paraId="33856A59" w14:textId="77777777">
        <w:tc>
          <w:tcPr>
            <w:tcW w:w="421" w:type="dxa"/>
          </w:tcPr>
          <w:p w:rsidRPr="003D65F0" w:rsidR="00A81048" w:rsidP="00F63070" w:rsidRDefault="00A81048" w14:paraId="69167BE9" w14:textId="77777777">
            <w:pPr>
              <w:spacing w:before="60"/>
              <w:rPr>
                <w:rFonts w:eastAsia="Times New Roman"/>
                <w:szCs w:val="28"/>
                <w:lang w:eastAsia="lv-LV"/>
              </w:rPr>
            </w:pPr>
            <w:r w:rsidRPr="003D65F0">
              <w:rPr>
                <w:rFonts w:eastAsia="Times New Roman"/>
                <w:szCs w:val="28"/>
                <w:lang w:eastAsia="lv-LV"/>
              </w:rPr>
              <w:t>4.</w:t>
            </w:r>
          </w:p>
        </w:tc>
        <w:tc>
          <w:tcPr>
            <w:tcW w:w="1842" w:type="dxa"/>
          </w:tcPr>
          <w:p w:rsidRPr="003D65F0" w:rsidR="00A81048" w:rsidP="00F63070" w:rsidRDefault="00A81048" w14:paraId="1E9C991A" w14:textId="77777777">
            <w:pPr>
              <w:spacing w:before="60"/>
              <w:rPr>
                <w:rFonts w:eastAsia="Times New Roman"/>
                <w:szCs w:val="28"/>
              </w:rPr>
            </w:pPr>
            <w:r w:rsidRPr="003D65F0">
              <w:rPr>
                <w:rFonts w:eastAsia="Times New Roman"/>
                <w:szCs w:val="28"/>
                <w:lang w:eastAsia="lv-LV"/>
              </w:rPr>
              <w:t>Informācija par saskaņojumu ar Eiropas Savienības institūcijām</w:t>
            </w:r>
          </w:p>
        </w:tc>
        <w:tc>
          <w:tcPr>
            <w:tcW w:w="6946" w:type="dxa"/>
          </w:tcPr>
          <w:p w:rsidRPr="003D65F0" w:rsidR="00A81048" w:rsidP="00F63070" w:rsidRDefault="00A81048" w14:paraId="78AA2CCB" w14:textId="77777777">
            <w:pPr>
              <w:spacing w:before="60"/>
              <w:rPr>
                <w:rFonts w:eastAsia="Times New Roman"/>
                <w:szCs w:val="28"/>
              </w:rPr>
            </w:pPr>
            <w:r w:rsidRPr="003D65F0">
              <w:rPr>
                <w:rFonts w:eastAsia="Times New Roman"/>
                <w:szCs w:val="28"/>
              </w:rPr>
              <w:t>Nav attiecināms.</w:t>
            </w:r>
          </w:p>
        </w:tc>
      </w:tr>
      <w:tr w:rsidR="00A81048" w:rsidTr="00F63070" w14:paraId="74582D18" w14:textId="77777777">
        <w:tc>
          <w:tcPr>
            <w:tcW w:w="421" w:type="dxa"/>
          </w:tcPr>
          <w:p w:rsidRPr="003D65F0" w:rsidR="00A81048" w:rsidP="00F63070" w:rsidRDefault="00A81048" w14:paraId="204DA2E3" w14:textId="77777777">
            <w:pPr>
              <w:spacing w:before="60"/>
              <w:rPr>
                <w:rFonts w:eastAsia="Times New Roman"/>
                <w:szCs w:val="28"/>
                <w:lang w:eastAsia="lv-LV"/>
              </w:rPr>
            </w:pPr>
            <w:r w:rsidRPr="003D65F0">
              <w:rPr>
                <w:rFonts w:eastAsia="Times New Roman"/>
                <w:szCs w:val="28"/>
                <w:lang w:eastAsia="lv-LV"/>
              </w:rPr>
              <w:t>5.</w:t>
            </w:r>
          </w:p>
        </w:tc>
        <w:tc>
          <w:tcPr>
            <w:tcW w:w="1842" w:type="dxa"/>
          </w:tcPr>
          <w:p w:rsidRPr="003D65F0" w:rsidR="00A81048" w:rsidP="00F63070" w:rsidRDefault="00A81048" w14:paraId="5D6EAE0A" w14:textId="77777777">
            <w:pPr>
              <w:spacing w:before="60"/>
              <w:rPr>
                <w:rFonts w:eastAsia="Times New Roman"/>
                <w:szCs w:val="28"/>
                <w:lang w:eastAsia="lv-LV"/>
              </w:rPr>
            </w:pPr>
            <w:r w:rsidRPr="003D65F0">
              <w:rPr>
                <w:rFonts w:eastAsia="Times New Roman"/>
                <w:szCs w:val="28"/>
                <w:lang w:eastAsia="lv-LV"/>
              </w:rPr>
              <w:t>Politikas joma</w:t>
            </w:r>
          </w:p>
        </w:tc>
        <w:tc>
          <w:tcPr>
            <w:tcW w:w="6946" w:type="dxa"/>
          </w:tcPr>
          <w:p w:rsidRPr="003D65F0" w:rsidR="00A81048" w:rsidP="00F63070" w:rsidRDefault="00A81048" w14:paraId="7A178BB9" w14:textId="77777777">
            <w:pPr>
              <w:spacing w:before="60"/>
              <w:ind w:left="34" w:hanging="92"/>
              <w:rPr>
                <w:rFonts w:eastAsia="Times New Roman"/>
                <w:szCs w:val="28"/>
              </w:rPr>
            </w:pPr>
            <w:r w:rsidRPr="003D65F0">
              <w:rPr>
                <w:rFonts w:eastAsia="Times New Roman"/>
                <w:szCs w:val="28"/>
              </w:rPr>
              <w:t>Tieslietu politika</w:t>
            </w:r>
            <w:r>
              <w:rPr>
                <w:rFonts w:eastAsia="Times New Roman"/>
                <w:szCs w:val="28"/>
              </w:rPr>
              <w:t>.</w:t>
            </w:r>
          </w:p>
        </w:tc>
      </w:tr>
      <w:tr w:rsidR="00A81048" w:rsidTr="00F63070" w14:paraId="3A16DC77" w14:textId="77777777">
        <w:tc>
          <w:tcPr>
            <w:tcW w:w="421" w:type="dxa"/>
          </w:tcPr>
          <w:p w:rsidRPr="003D65F0" w:rsidR="00A81048" w:rsidP="00F63070" w:rsidRDefault="00A81048" w14:paraId="75C6D957" w14:textId="77777777">
            <w:pPr>
              <w:spacing w:before="60"/>
              <w:rPr>
                <w:rFonts w:eastAsia="Times New Roman"/>
                <w:szCs w:val="28"/>
                <w:lang w:eastAsia="lv-LV"/>
              </w:rPr>
            </w:pPr>
            <w:r w:rsidRPr="003D65F0">
              <w:rPr>
                <w:rFonts w:eastAsia="Times New Roman"/>
                <w:szCs w:val="28"/>
                <w:lang w:eastAsia="lv-LV"/>
              </w:rPr>
              <w:lastRenderedPageBreak/>
              <w:t>6.</w:t>
            </w:r>
          </w:p>
        </w:tc>
        <w:tc>
          <w:tcPr>
            <w:tcW w:w="1842" w:type="dxa"/>
          </w:tcPr>
          <w:p w:rsidRPr="003D65F0" w:rsidR="00A81048" w:rsidP="00F63070" w:rsidRDefault="00A81048" w14:paraId="688CE6E6" w14:textId="77777777">
            <w:pPr>
              <w:spacing w:before="60"/>
              <w:rPr>
                <w:rFonts w:eastAsia="Times New Roman"/>
                <w:szCs w:val="28"/>
                <w:lang w:eastAsia="lv-LV"/>
              </w:rPr>
            </w:pPr>
            <w:r w:rsidRPr="003D65F0">
              <w:rPr>
                <w:rFonts w:eastAsia="Times New Roman"/>
                <w:szCs w:val="28"/>
                <w:lang w:eastAsia="lv-LV"/>
              </w:rPr>
              <w:t>Atbildīgā amatpersona</w:t>
            </w:r>
          </w:p>
        </w:tc>
        <w:tc>
          <w:tcPr>
            <w:tcW w:w="6946" w:type="dxa"/>
          </w:tcPr>
          <w:p w:rsidRPr="003D65F0" w:rsidR="00A81048" w:rsidP="00F63070" w:rsidRDefault="00A81048" w14:paraId="0082EEFC" w14:textId="2C87F9F0">
            <w:pPr>
              <w:spacing w:before="60"/>
              <w:ind w:left="34"/>
              <w:rPr>
                <w:rFonts w:eastAsia="Times New Roman"/>
                <w:szCs w:val="28"/>
              </w:rPr>
            </w:pPr>
            <w:r w:rsidRPr="003D65F0">
              <w:rPr>
                <w:rFonts w:eastAsia="Times New Roman"/>
                <w:szCs w:val="28"/>
              </w:rPr>
              <w:t xml:space="preserve">Tieslietu ministrijas </w:t>
            </w:r>
            <w:r w:rsidR="004B4674">
              <w:rPr>
                <w:rFonts w:eastAsia="Times New Roman"/>
                <w:szCs w:val="28"/>
              </w:rPr>
              <w:t>Valststiesību departamenta direktora p. i. Sandra Vīgante</w:t>
            </w:r>
          </w:p>
        </w:tc>
      </w:tr>
      <w:tr w:rsidR="00A81048" w:rsidTr="00F63070" w14:paraId="29649752" w14:textId="77777777">
        <w:tc>
          <w:tcPr>
            <w:tcW w:w="421" w:type="dxa"/>
          </w:tcPr>
          <w:p w:rsidRPr="003D65F0" w:rsidR="00A81048" w:rsidP="00F63070" w:rsidRDefault="00A81048" w14:paraId="1A148D70" w14:textId="77777777">
            <w:pPr>
              <w:spacing w:before="60"/>
              <w:rPr>
                <w:rFonts w:eastAsia="Times New Roman"/>
                <w:szCs w:val="28"/>
                <w:lang w:eastAsia="lv-LV"/>
              </w:rPr>
            </w:pPr>
            <w:r w:rsidRPr="003D65F0">
              <w:rPr>
                <w:rFonts w:eastAsia="Times New Roman"/>
                <w:szCs w:val="28"/>
                <w:lang w:eastAsia="lv-LV"/>
              </w:rPr>
              <w:t>7.</w:t>
            </w:r>
          </w:p>
        </w:tc>
        <w:tc>
          <w:tcPr>
            <w:tcW w:w="1842" w:type="dxa"/>
          </w:tcPr>
          <w:p w:rsidRPr="003D65F0" w:rsidR="00A81048" w:rsidP="00F63070" w:rsidRDefault="00A81048" w14:paraId="2182B637" w14:textId="77777777">
            <w:pPr>
              <w:spacing w:before="60"/>
              <w:rPr>
                <w:rFonts w:eastAsia="Times New Roman"/>
                <w:szCs w:val="28"/>
                <w:lang w:eastAsia="lv-LV"/>
              </w:rPr>
            </w:pPr>
            <w:r w:rsidRPr="003D65F0">
              <w:rPr>
                <w:rFonts w:eastAsia="Times New Roman"/>
                <w:szCs w:val="28"/>
                <w:lang w:eastAsia="lv-LV"/>
              </w:rPr>
              <w:t>Uzaicināmās personas</w:t>
            </w:r>
          </w:p>
        </w:tc>
        <w:tc>
          <w:tcPr>
            <w:tcW w:w="6946" w:type="dxa"/>
          </w:tcPr>
          <w:p w:rsidRPr="003D65F0" w:rsidR="00A81048" w:rsidP="00F63070" w:rsidRDefault="00A81048" w14:paraId="2E951C1F" w14:textId="6C32F72F">
            <w:pPr>
              <w:spacing w:before="60"/>
              <w:ind w:left="34"/>
              <w:rPr>
                <w:rFonts w:eastAsia="Times New Roman"/>
                <w:szCs w:val="28"/>
              </w:rPr>
            </w:pPr>
            <w:r>
              <w:rPr>
                <w:rFonts w:eastAsia="Times New Roman"/>
                <w:szCs w:val="28"/>
              </w:rPr>
              <w:t xml:space="preserve">Tieslietu ministrijas </w:t>
            </w:r>
            <w:r w:rsidR="00C02851">
              <w:rPr>
                <w:rFonts w:eastAsia="Times New Roman"/>
                <w:szCs w:val="28"/>
              </w:rPr>
              <w:t>v</w:t>
            </w:r>
            <w:r>
              <w:rPr>
                <w:rFonts w:eastAsia="Times New Roman"/>
                <w:szCs w:val="28"/>
              </w:rPr>
              <w:t xml:space="preserve">alsts sekretāra vietniece tiesību politikas jautājumos Laila </w:t>
            </w:r>
            <w:proofErr w:type="spellStart"/>
            <w:r>
              <w:rPr>
                <w:rFonts w:eastAsia="Times New Roman"/>
                <w:szCs w:val="28"/>
              </w:rPr>
              <w:t>Medina</w:t>
            </w:r>
            <w:proofErr w:type="spellEnd"/>
            <w:r>
              <w:rPr>
                <w:rFonts w:eastAsia="Times New Roman"/>
                <w:szCs w:val="28"/>
              </w:rPr>
              <w:t>.</w:t>
            </w:r>
          </w:p>
        </w:tc>
      </w:tr>
      <w:tr w:rsidR="00A81048" w:rsidTr="00F63070" w14:paraId="76BD5B82" w14:textId="77777777">
        <w:tc>
          <w:tcPr>
            <w:tcW w:w="421" w:type="dxa"/>
          </w:tcPr>
          <w:p w:rsidRPr="003D65F0" w:rsidR="00A81048" w:rsidP="00F63070" w:rsidRDefault="00A81048" w14:paraId="130DF843" w14:textId="77777777">
            <w:pPr>
              <w:spacing w:before="60"/>
              <w:rPr>
                <w:rFonts w:eastAsia="Times New Roman"/>
                <w:szCs w:val="28"/>
                <w:lang w:eastAsia="lv-LV"/>
              </w:rPr>
            </w:pPr>
            <w:r w:rsidRPr="003D65F0">
              <w:rPr>
                <w:rFonts w:eastAsia="Times New Roman"/>
                <w:szCs w:val="28"/>
                <w:lang w:eastAsia="lv-LV"/>
              </w:rPr>
              <w:t>8.</w:t>
            </w:r>
          </w:p>
        </w:tc>
        <w:tc>
          <w:tcPr>
            <w:tcW w:w="1842" w:type="dxa"/>
          </w:tcPr>
          <w:p w:rsidRPr="003D65F0" w:rsidR="00A81048" w:rsidP="00F63070" w:rsidRDefault="00A81048" w14:paraId="19F9E328" w14:textId="77777777">
            <w:pPr>
              <w:spacing w:before="60"/>
              <w:rPr>
                <w:rFonts w:eastAsia="Times New Roman"/>
                <w:szCs w:val="28"/>
                <w:lang w:eastAsia="lv-LV"/>
              </w:rPr>
            </w:pPr>
            <w:r w:rsidRPr="003D65F0">
              <w:rPr>
                <w:rFonts w:eastAsia="Times New Roman"/>
                <w:szCs w:val="28"/>
                <w:lang w:eastAsia="lv-LV"/>
              </w:rPr>
              <w:t>Projekta ierobežotas pieejamības statuss</w:t>
            </w:r>
          </w:p>
        </w:tc>
        <w:tc>
          <w:tcPr>
            <w:tcW w:w="6946" w:type="dxa"/>
          </w:tcPr>
          <w:p w:rsidRPr="003D65F0" w:rsidR="00A81048" w:rsidP="00F63070" w:rsidRDefault="00A81048" w14:paraId="228C2D94" w14:textId="77777777">
            <w:pPr>
              <w:widowControl/>
              <w:shd w:val="clear" w:color="auto" w:fill="FFFFFF"/>
              <w:spacing w:before="60"/>
              <w:rPr>
                <w:rFonts w:eastAsia="Times New Roman"/>
                <w:szCs w:val="28"/>
              </w:rPr>
            </w:pPr>
            <w:r w:rsidRPr="003D65F0">
              <w:rPr>
                <w:rFonts w:eastAsia="Times New Roman"/>
                <w:szCs w:val="28"/>
              </w:rPr>
              <w:t>Nav noteikts ierobežotas informācijas statuss.</w:t>
            </w:r>
          </w:p>
        </w:tc>
      </w:tr>
      <w:tr w:rsidRPr="008070F8" w:rsidR="00A81048" w:rsidTr="00F63070" w14:paraId="43213297" w14:textId="77777777">
        <w:tc>
          <w:tcPr>
            <w:tcW w:w="421" w:type="dxa"/>
          </w:tcPr>
          <w:p w:rsidRPr="003D65F0" w:rsidR="00A81048" w:rsidP="00F63070" w:rsidRDefault="00A81048" w14:paraId="596C74C6" w14:textId="77777777">
            <w:pPr>
              <w:spacing w:before="60"/>
              <w:rPr>
                <w:rFonts w:eastAsia="Times New Roman"/>
                <w:szCs w:val="28"/>
                <w:lang w:eastAsia="lv-LV"/>
              </w:rPr>
            </w:pPr>
            <w:r w:rsidRPr="003D65F0">
              <w:rPr>
                <w:rFonts w:eastAsia="Times New Roman"/>
                <w:szCs w:val="28"/>
                <w:lang w:eastAsia="lv-LV"/>
              </w:rPr>
              <w:t>9.</w:t>
            </w:r>
          </w:p>
        </w:tc>
        <w:tc>
          <w:tcPr>
            <w:tcW w:w="1842" w:type="dxa"/>
          </w:tcPr>
          <w:p w:rsidRPr="003D65F0" w:rsidR="00A81048" w:rsidP="00F63070" w:rsidRDefault="00A81048" w14:paraId="30C8B529" w14:textId="77777777">
            <w:pPr>
              <w:spacing w:before="60"/>
              <w:rPr>
                <w:rFonts w:eastAsia="Times New Roman"/>
                <w:szCs w:val="28"/>
                <w:lang w:eastAsia="lv-LV"/>
              </w:rPr>
            </w:pPr>
            <w:r w:rsidRPr="003D65F0">
              <w:rPr>
                <w:rFonts w:eastAsia="Times New Roman"/>
                <w:szCs w:val="28"/>
                <w:lang w:eastAsia="lv-LV"/>
              </w:rPr>
              <w:t>Cita informācija</w:t>
            </w:r>
          </w:p>
        </w:tc>
        <w:tc>
          <w:tcPr>
            <w:tcW w:w="6946" w:type="dxa"/>
          </w:tcPr>
          <w:p w:rsidR="00D675BB" w:rsidP="00D675BB" w:rsidRDefault="00D675BB" w14:paraId="2BDCF1D0" w14:textId="499F2ADB">
            <w:pPr>
              <w:ind w:right="-2" w:firstLine="720"/>
            </w:pPr>
            <w:r>
              <w:t xml:space="preserve">Lai </w:t>
            </w:r>
            <w:r w:rsidR="00C02851">
              <w:t>izvērtētu</w:t>
            </w:r>
            <w:r>
              <w:t xml:space="preserve"> administratīvo sankciju piemērošanas praksi, Tieslietu ministrija 2019. gada 7. jūnijā lūdza</w:t>
            </w:r>
            <w:r w:rsidRPr="002E7AFC">
              <w:t xml:space="preserve"> </w:t>
            </w:r>
            <w:r>
              <w:t xml:space="preserve">Finanšu un kapitāla tirgus komisijai, Valsts ieņēmumu dienestam un Sabiedrisko pakalpojumu regulēšanas komisijai nosūtīt </w:t>
            </w:r>
            <w:proofErr w:type="spellStart"/>
            <w:r>
              <w:t>pseidonimizētu</w:t>
            </w:r>
            <w:proofErr w:type="spellEnd"/>
            <w:r>
              <w:t xml:space="preserve"> lēmumu kopijas par soda naudas vai cita administratīvajai atbildībai līdzīga piespiedu ietekmēšanas līdzekļa piemērošanu.</w:t>
            </w:r>
          </w:p>
          <w:p w:rsidR="006521EF" w:rsidP="006521EF" w:rsidRDefault="00D675BB" w14:paraId="6FE61965" w14:textId="77777777">
            <w:pPr>
              <w:ind w:right="-2" w:firstLine="720"/>
            </w:pPr>
            <w:r>
              <w:t>2019. gada 12. jūlijā Tieslietu ministrija nosūtīja vēstuli Finanšu un kapitāla tirgus komisijai, Izložu un azartspēļu uzraudzības inspekcijai, Konkurences padomei, Nacionālajai elektronisko plašsaziņas līdzekļu padomei, Patērētāju tiesību aizsardzības centram, Sabiedrisko pakalpojumu regulēšanas komisijai un Valsts ieņēmumu dienestam,</w:t>
            </w:r>
            <w:proofErr w:type="gramStart"/>
            <w:r>
              <w:t xml:space="preserve"> lūdzot atbildēt uz jautājumiem par administratīvo sankciju normatīvo regulējumu attiecīgajā jomā un piemērošanas praksi</w:t>
            </w:r>
            <w:proofErr w:type="gramEnd"/>
            <w:r>
              <w:t>, kā arī iespējamību administratīvās sankcijas piemērot Administratīvās atbildības likumā paredzētajā kārtībā.</w:t>
            </w:r>
          </w:p>
          <w:p w:rsidR="00D675BB" w:rsidP="006521EF" w:rsidRDefault="00D675BB" w14:paraId="5EB19CEF" w14:textId="4B0EA2E5">
            <w:pPr>
              <w:ind w:right="-2" w:firstLine="720"/>
            </w:pPr>
            <w:r w:rsidRPr="00A90CBC">
              <w:t xml:space="preserve">Lai pārrunātu administratīvo sankciju piemērošanas būtiskākos jautājumus, turpmāku tiesību politikas attīstību un pilnvērtīgāk iepazītos ar administratīvo sankciju piemērošanas praksi, Tieslietu ministrija </w:t>
            </w:r>
            <w:r w:rsidRPr="00A2590E">
              <w:t xml:space="preserve">2019. gada 1. novembrī organizēja sanāksmi, kurā piedalījās </w:t>
            </w:r>
            <w:proofErr w:type="gramStart"/>
            <w:r w:rsidRPr="00A2590E">
              <w:t>gan iepriekšminēto institūciju pārstāvji, gan arī</w:t>
            </w:r>
            <w:r>
              <w:t xml:space="preserve"> Administratīvās rajona tiesas,</w:t>
            </w:r>
            <w:r w:rsidR="00C02851">
              <w:t xml:space="preserve"> Augstākās tiesas</w:t>
            </w:r>
            <w:r>
              <w:t xml:space="preserve"> Senāta Administratīvo lietu departamenta</w:t>
            </w:r>
            <w:proofErr w:type="gramEnd"/>
            <w:r>
              <w:t>, Tiesībsarga biroja</w:t>
            </w:r>
            <w:r w:rsidR="00C02851">
              <w:t>, Finanšu ministrijas</w:t>
            </w:r>
            <w:r>
              <w:t xml:space="preserve"> un Latvijas Bankas pārstāvji.</w:t>
            </w:r>
          </w:p>
          <w:p w:rsidR="00DA4369" w:rsidP="006521EF" w:rsidRDefault="007C14DA" w14:paraId="55162559" w14:textId="2E64565E">
            <w:pPr>
              <w:ind w:right="-2" w:firstLine="720"/>
            </w:pPr>
            <w:r>
              <w:t>Izvērtējot saņemto informāciju un uzklausot institūciju viedokļus, Tieslietu ministrija secina</w:t>
            </w:r>
            <w:r w:rsidR="00A85EB8">
              <w:t>, ka praksē administratīvo sankciju piemērošana administratīvajā procesā</w:t>
            </w:r>
            <w:r w:rsidR="00077E9A">
              <w:t xml:space="preserve"> šobrīd</w:t>
            </w:r>
            <w:r w:rsidR="00E41603">
              <w:t xml:space="preserve"> </w:t>
            </w:r>
            <w:r w:rsidR="00287F09">
              <w:t>ir atkarīga no vispārējo tiesību principu piemērošanas</w:t>
            </w:r>
            <w:r w:rsidR="00D53857">
              <w:t xml:space="preserve">, modificējot </w:t>
            </w:r>
            <w:r w:rsidR="00A241C4">
              <w:t xml:space="preserve">rakstītās tiesību normas vai aizpildot </w:t>
            </w:r>
            <w:r w:rsidR="00E4491A">
              <w:t>to robus.</w:t>
            </w:r>
            <w:r w:rsidR="00B7752B">
              <w:t xml:space="preserve"> </w:t>
            </w:r>
            <w:r w:rsidR="000A3C2D">
              <w:t>Vienlaikus a</w:t>
            </w:r>
            <w:r w:rsidR="00D52CC7">
              <w:t>dministratīvo sankciju normatīvais regulējums un tā piemērošana</w:t>
            </w:r>
            <w:r w:rsidR="009D41BA">
              <w:t xml:space="preserve"> </w:t>
            </w:r>
            <w:r w:rsidR="00D52CC7">
              <w:t>ir saistīta ar vairākām konceptuālām problēmām</w:t>
            </w:r>
            <w:r w:rsidR="0033609B">
              <w:t>, piemēram</w:t>
            </w:r>
            <w:r w:rsidR="00276DCB">
              <w:t>:</w:t>
            </w:r>
          </w:p>
          <w:p w:rsidR="006B6EE6" w:rsidP="006521EF" w:rsidRDefault="00276DCB" w14:paraId="3A0468D2" w14:textId="4901CC0A">
            <w:pPr>
              <w:ind w:right="-2" w:firstLine="720"/>
            </w:pPr>
            <w:r>
              <w:t>1. </w:t>
            </w:r>
            <w:r w:rsidR="003A469F">
              <w:t>Nav precīzi skaidrs</w:t>
            </w:r>
            <w:r w:rsidR="00F037D5">
              <w:t>, kādi ietekmēšanas līdzekļi atbilst</w:t>
            </w:r>
            <w:r w:rsidR="003A469F">
              <w:t xml:space="preserve"> administratīvo sankciju jeb </w:t>
            </w:r>
            <w:r w:rsidR="00A166CD">
              <w:t>administratīvajai atbildībai līdzīg</w:t>
            </w:r>
            <w:r w:rsidR="003444DC">
              <w:t>u</w:t>
            </w:r>
            <w:r w:rsidR="00A166CD">
              <w:t xml:space="preserve"> piespiedu ietekmēšanas līdzekļu</w:t>
            </w:r>
            <w:r w:rsidR="00F037D5">
              <w:t xml:space="preserve"> pazīmēm un kādas ir š</w:t>
            </w:r>
            <w:r w:rsidR="00F5521A">
              <w:t>īs pazīmes</w:t>
            </w:r>
            <w:r w:rsidR="00C150DE">
              <w:t>.</w:t>
            </w:r>
            <w:r w:rsidR="00F5521A">
              <w:t xml:space="preserve"> Tam ir būtiska nozīme, lai nodrošinātu </w:t>
            </w:r>
            <w:r w:rsidR="00D43778">
              <w:t xml:space="preserve">personas pamattiesību ievērošanu, tostarp </w:t>
            </w:r>
            <w:r w:rsidR="00DE11BE">
              <w:t xml:space="preserve">ievērotu </w:t>
            </w:r>
            <w:r w:rsidR="006B6EE6">
              <w:t>dubultās sodīšanas nepieļaujamības princip</w:t>
            </w:r>
            <w:r w:rsidR="00DE11BE">
              <w:t>u.</w:t>
            </w:r>
          </w:p>
          <w:p w:rsidR="00393524" w:rsidP="00BD6328" w:rsidRDefault="006B6EE6" w14:paraId="3EF9041A" w14:textId="131F7D9F">
            <w:pPr>
              <w:ind w:right="-2" w:firstLine="720"/>
            </w:pPr>
            <w:r>
              <w:t>2. </w:t>
            </w:r>
            <w:r w:rsidR="002A4540">
              <w:t xml:space="preserve">Administratīvo sankciju regulējuma </w:t>
            </w:r>
            <w:r w:rsidR="00506E42">
              <w:t>neatbilstība</w:t>
            </w:r>
            <w:r w:rsidR="00DE5C46">
              <w:t xml:space="preserve"> </w:t>
            </w:r>
            <w:r w:rsidR="00506E42">
              <w:t>administratīv</w:t>
            </w:r>
            <w:r w:rsidR="00BF72B3">
              <w:t>ās</w:t>
            </w:r>
            <w:r w:rsidR="00311738">
              <w:t xml:space="preserve"> atbildības s</w:t>
            </w:r>
            <w:r w:rsidR="00506E42">
              <w:t>istēmai</w:t>
            </w:r>
            <w:r w:rsidR="002D569D">
              <w:t>. Lai arī</w:t>
            </w:r>
            <w:r w:rsidR="00451FE4">
              <w:t xml:space="preserve"> administratīvos sodus</w:t>
            </w:r>
            <w:r w:rsidR="00017D9A">
              <w:t xml:space="preserve"> un administratīvās sankcijas piemēro valsts pārvaldes i</w:t>
            </w:r>
            <w:r w:rsidR="007E6F40">
              <w:t>nstitūcijas par tiesību normu pārkāpumiem</w:t>
            </w:r>
            <w:r w:rsidR="00E27844">
              <w:t xml:space="preserve"> un ir</w:t>
            </w:r>
            <w:r w:rsidR="00A42C90">
              <w:t xml:space="preserve"> </w:t>
            </w:r>
            <w:r w:rsidR="00C24B47">
              <w:t>nepie</w:t>
            </w:r>
            <w:r w:rsidR="006D0928">
              <w:t>ciešams ievērot līdzvērtīgus krimināltiesiska rakstura lietām ra</w:t>
            </w:r>
            <w:r w:rsidR="00D7590F">
              <w:t xml:space="preserve">ksturīgus principus, </w:t>
            </w:r>
            <w:r w:rsidR="0079644E">
              <w:t>pastāv atšķirīgs materiālais un procesuālais regulējums.</w:t>
            </w:r>
            <w:r w:rsidR="003761D0">
              <w:t xml:space="preserve"> </w:t>
            </w:r>
          </w:p>
          <w:p w:rsidR="00276DCB" w:rsidP="006521EF" w:rsidRDefault="00DB2135" w14:paraId="6A883649" w14:textId="3EDED69F">
            <w:pPr>
              <w:ind w:right="-2" w:firstLine="720"/>
            </w:pPr>
            <w:r>
              <w:t>3. Administratīvā</w:t>
            </w:r>
            <w:r w:rsidR="00FF25D0">
              <w:t xml:space="preserve"> </w:t>
            </w:r>
            <w:r>
              <w:t>procesa piemērotība</w:t>
            </w:r>
            <w:r w:rsidR="0084552D">
              <w:t xml:space="preserve"> valsts pārvaldes sodošās</w:t>
            </w:r>
            <w:r w:rsidR="00FF25D0">
              <w:t xml:space="preserve"> </w:t>
            </w:r>
            <w:r w:rsidR="0084552D">
              <w:t>funkcijas</w:t>
            </w:r>
            <w:r w:rsidR="00FF25D0">
              <w:t xml:space="preserve"> </w:t>
            </w:r>
            <w:r w:rsidR="0084552D">
              <w:t>īstenošanai (piemēram,</w:t>
            </w:r>
            <w:r w:rsidR="00EE2CE8">
              <w:t xml:space="preserve"> </w:t>
            </w:r>
            <w:r w:rsidR="00355586">
              <w:t>sadarbības pienākums,</w:t>
            </w:r>
            <w:r w:rsidR="00B04A5A">
              <w:t xml:space="preserve"> </w:t>
            </w:r>
            <w:r w:rsidR="00355586">
              <w:t xml:space="preserve">objektīvās izmeklēšanas princips, detalizēta procesuālā regulējuma neesība </w:t>
            </w:r>
            <w:r w:rsidR="00355586">
              <w:lastRenderedPageBreak/>
              <w:t>procesam iestādē, tiesību uz aizstāvību īstenošana, izmeklēšanas darbībām līdzīgu pasākumu pieļaujamība).</w:t>
            </w:r>
            <w:r w:rsidR="00C150DE">
              <w:t xml:space="preserve"> </w:t>
            </w:r>
          </w:p>
          <w:p w:rsidR="00EE24BE" w:rsidP="006521EF" w:rsidRDefault="00197F64" w14:paraId="1517F9E0" w14:textId="5ADE3109">
            <w:pPr>
              <w:ind w:right="-2" w:firstLine="720"/>
            </w:pPr>
            <w:r>
              <w:t>4. Pamattiesību ievērošana</w:t>
            </w:r>
            <w:r w:rsidR="00960B8B">
              <w:t>,</w:t>
            </w:r>
            <w:r w:rsidR="00330265">
              <w:t xml:space="preserve"> </w:t>
            </w:r>
            <w:r w:rsidR="00960B8B">
              <w:t>piemērojot</w:t>
            </w:r>
            <w:r w:rsidR="009C4709">
              <w:t xml:space="preserve"> </w:t>
            </w:r>
            <w:r w:rsidR="00960B8B">
              <w:t>administratīvās sankcija</w:t>
            </w:r>
            <w:r w:rsidR="00D51628">
              <w:t>s. P</w:t>
            </w:r>
            <w:r w:rsidR="0047352D">
              <w:t xml:space="preserve">raksē </w:t>
            </w:r>
            <w:r w:rsidR="00F50760">
              <w:t>pastāv</w:t>
            </w:r>
            <w:r w:rsidR="0047352D">
              <w:t xml:space="preserve"> dažādi viedokļi par </w:t>
            </w:r>
            <w:r w:rsidR="00F50760">
              <w:t>juridiskām personām piemītošo pamattiesību apjomu</w:t>
            </w:r>
            <w:r w:rsidR="0047352D">
              <w:t>.</w:t>
            </w:r>
            <w:r w:rsidR="002F7D71">
              <w:t xml:space="preserve"> </w:t>
            </w:r>
            <w:r w:rsidR="00F128CD">
              <w:t xml:space="preserve">Dažkārt administratīvo sankciju </w:t>
            </w:r>
            <w:r w:rsidR="00C109BD">
              <w:t>piemērošana</w:t>
            </w:r>
            <w:r w:rsidR="003501FB">
              <w:t xml:space="preserve"> </w:t>
            </w:r>
            <w:r w:rsidR="004E6124">
              <w:t xml:space="preserve">ir saistīta ar procesuālām darbībām, kas līdzinās </w:t>
            </w:r>
            <w:r w:rsidR="00D51628">
              <w:t>krimināltiesisk</w:t>
            </w:r>
            <w:r w:rsidR="00FF3B2D">
              <w:t xml:space="preserve">a rakstura </w:t>
            </w:r>
            <w:r w:rsidR="004E6124">
              <w:t>izmeklēšanas darbībām (</w:t>
            </w:r>
            <w:r w:rsidR="0036066B">
              <w:t>apskate, kratīšana</w:t>
            </w:r>
            <w:r w:rsidR="001A28D3">
              <w:t xml:space="preserve"> </w:t>
            </w:r>
            <w:r w:rsidR="0036066B">
              <w:t>u.</w:t>
            </w:r>
            <w:r w:rsidR="00FF3B2D">
              <w:t> </w:t>
            </w:r>
            <w:r w:rsidR="0036066B">
              <w:t>tml.)</w:t>
            </w:r>
            <w:r w:rsidR="00403F65">
              <w:t xml:space="preserve"> un </w:t>
            </w:r>
            <w:r w:rsidR="00E23AE5">
              <w:t>būtu nepieciešams nodrošināt līdzvērtīgas procesuālās garantijas.</w:t>
            </w:r>
          </w:p>
          <w:p w:rsidR="0047352D" w:rsidP="006521EF" w:rsidRDefault="0047352D" w14:paraId="521418A4" w14:textId="72C1726F">
            <w:pPr>
              <w:ind w:right="-2" w:firstLine="720"/>
            </w:pPr>
            <w:r>
              <w:t>5. </w:t>
            </w:r>
            <w:r w:rsidR="00F6348E">
              <w:t>Administratīvo sankciju piemērošanas noilgums un sodāmība.</w:t>
            </w:r>
            <w:r w:rsidR="00C3498E">
              <w:t xml:space="preserve"> </w:t>
            </w:r>
            <w:r w:rsidR="002F179E">
              <w:t>Nepastāv vienoti administratīvo sankciju</w:t>
            </w:r>
            <w:r w:rsidR="00C3498E">
              <w:t xml:space="preserve"> </w:t>
            </w:r>
            <w:r w:rsidR="009F37B8">
              <w:t>piemērošanas kritēriji (</w:t>
            </w:r>
            <w:r w:rsidR="0051145F">
              <w:t xml:space="preserve">piemēram, </w:t>
            </w:r>
            <w:r w:rsidR="009F37B8">
              <w:t>atbildību mīks</w:t>
            </w:r>
            <w:r w:rsidR="008669EA">
              <w:t xml:space="preserve">tinoši un pastiprinoši apstākļi, </w:t>
            </w:r>
            <w:r w:rsidR="001302FB">
              <w:t>sankciju piemērošana par vairākiem pārkāpumiem</w:t>
            </w:r>
            <w:r w:rsidR="00D6711C">
              <w:t>, sankciju piemērošanu izslēdzošie apstākļi).</w:t>
            </w:r>
            <w:r w:rsidR="00253DEB">
              <w:t xml:space="preserve"> </w:t>
            </w:r>
            <w:r w:rsidR="00664248">
              <w:t xml:space="preserve">Administratīvā pārkāpuma procesa regulējuma </w:t>
            </w:r>
            <w:r w:rsidR="00F47B59">
              <w:t>izmantošanas iespējamība šajos gadījumos tiek apšaubīta.</w:t>
            </w:r>
          </w:p>
          <w:p w:rsidR="00F6348E" w:rsidP="006521EF" w:rsidRDefault="00F6348E" w14:paraId="798DC5BA" w14:textId="09571AAF">
            <w:pPr>
              <w:ind w:right="-2" w:firstLine="720"/>
            </w:pPr>
            <w:r>
              <w:t>6. </w:t>
            </w:r>
            <w:r w:rsidR="002868D9">
              <w:t>Administratīvās atbildības subjektu un subjektu, kuriem piemēro administratīvās sankcijas, atšķirība</w:t>
            </w:r>
            <w:r w:rsidR="00EB3D47">
              <w:t>s</w:t>
            </w:r>
            <w:r w:rsidR="002868D9">
              <w:t>.</w:t>
            </w:r>
          </w:p>
          <w:p w:rsidR="002868D9" w:rsidP="006521EF" w:rsidRDefault="002868D9" w14:paraId="3B97C522" w14:textId="6CFA71F9">
            <w:pPr>
              <w:ind w:right="-2" w:firstLine="720"/>
            </w:pPr>
            <w:r>
              <w:t>7. </w:t>
            </w:r>
            <w:r w:rsidR="00FF2A48">
              <w:t>Pieļaujamība un lietderība saistītus jautājumus izskatīt dažādos procesos (piemēram, tiesiskā pienākuma uzlikšana administratīvajā procesā un soda piemērošana administratīvā pārkāpuma procesā).</w:t>
            </w:r>
          </w:p>
          <w:p w:rsidR="00FF2A48" w:rsidP="006521EF" w:rsidRDefault="00FF2A48" w14:paraId="5EF3551E" w14:textId="49BEC8E4">
            <w:pPr>
              <w:ind w:right="-2" w:firstLine="720"/>
            </w:pPr>
            <w:r>
              <w:t>8. </w:t>
            </w:r>
            <w:r w:rsidR="00E97813">
              <w:t>Administratīvā pārkāpuma</w:t>
            </w:r>
            <w:r w:rsidR="003934B1">
              <w:t xml:space="preserve"> procesā piemērojamā soda un administratīvajā procesā piemērojamo </w:t>
            </w:r>
            <w:r w:rsidR="00582370">
              <w:t>ietekmēšanas līdzekļu (piemēram, licences atcelšana vai apturēšana)</w:t>
            </w:r>
            <w:r w:rsidR="0030474A">
              <w:t xml:space="preserve"> vienlaicīgas</w:t>
            </w:r>
            <w:r w:rsidR="007D5BB2">
              <w:t xml:space="preserve"> vai secīgas </w:t>
            </w:r>
            <w:r w:rsidR="0030474A">
              <w:t>piemērošanas pieļaujamība.</w:t>
            </w:r>
          </w:p>
          <w:p w:rsidR="00762617" w:rsidP="00762617" w:rsidRDefault="009269E2" w14:paraId="7ABCBDC7" w14:textId="67506D95">
            <w:pPr>
              <w:ind w:right="-2" w:firstLine="720"/>
            </w:pPr>
            <w:r>
              <w:t>9. Administratīvo sankciju</w:t>
            </w:r>
            <w:r w:rsidR="00E81FD4">
              <w:t xml:space="preserve"> nepieciešamība, to mērķis un ietekme uz administratīvā pārkāpuma procesu un kriminālprocesu.</w:t>
            </w:r>
            <w:r w:rsidR="0006759B">
              <w:t xml:space="preserve"> </w:t>
            </w:r>
            <w:r w:rsidR="002B4789">
              <w:t>Līdz šim administratīvo sankciju</w:t>
            </w:r>
            <w:r w:rsidR="00B96A16">
              <w:t xml:space="preserve"> ieviešana pamatā saistīta ar Eiropas Savienības tiesību aktu prasībām vai Latvijas Administratīvo pārkāpumu kodeksā paredzēto sodu</w:t>
            </w:r>
            <w:r w:rsidR="00C02851">
              <w:t>, subjektu</w:t>
            </w:r>
            <w:r w:rsidR="00317373">
              <w:t xml:space="preserve"> un procesuālo termiņu </w:t>
            </w:r>
            <w:r w:rsidR="00B96A16">
              <w:t>neatbilstību</w:t>
            </w:r>
            <w:r w:rsidR="00DE5ACC">
              <w:t xml:space="preserve"> attiecīgās jomas </w:t>
            </w:r>
            <w:r w:rsidR="00A4525D">
              <w:t>specifikai</w:t>
            </w:r>
            <w:r w:rsidR="00345E53">
              <w:t>.</w:t>
            </w:r>
          </w:p>
          <w:p w:rsidR="00BC70D4" w:rsidP="00762617" w:rsidRDefault="00762617" w14:paraId="7C8C7D09" w14:textId="7630C878">
            <w:pPr>
              <w:ind w:right="-2" w:firstLine="720"/>
            </w:pPr>
            <w:r>
              <w:t>1</w:t>
            </w:r>
            <w:r w:rsidR="00363EBC">
              <w:t xml:space="preserve">0. Administratīvo sankciju regulējuma ietekme </w:t>
            </w:r>
            <w:r w:rsidR="00AC4F32">
              <w:t xml:space="preserve">uz </w:t>
            </w:r>
            <w:r w:rsidR="001931CF">
              <w:t>tiesību sistēmu kopumā</w:t>
            </w:r>
            <w:r w:rsidR="00EF539C">
              <w:t>.</w:t>
            </w:r>
            <w:r w:rsidR="00AA6857">
              <w:t xml:space="preserve"> </w:t>
            </w:r>
            <w:r w:rsidR="00243A7F">
              <w:t>Konkrēta</w:t>
            </w:r>
            <w:r w:rsidR="00FE0C8A">
              <w:t xml:space="preserve">m jautājumam veidots </w:t>
            </w:r>
            <w:r w:rsidR="001B0334">
              <w:t>materiālais un procesuālais regulējums</w:t>
            </w:r>
            <w:r w:rsidR="005307A6">
              <w:t xml:space="preserve"> nav sistēmisks</w:t>
            </w:r>
            <w:r w:rsidR="00924760">
              <w:t>. Tā rezultātā</w:t>
            </w:r>
            <w:r w:rsidR="003B4DC9">
              <w:t xml:space="preserve"> </w:t>
            </w:r>
            <w:proofErr w:type="gramStart"/>
            <w:r w:rsidR="003B4DC9">
              <w:t>vairākos normatīvajos aktos</w:t>
            </w:r>
            <w:proofErr w:type="gramEnd"/>
            <w:r w:rsidR="003B4DC9">
              <w:t xml:space="preserve"> </w:t>
            </w:r>
            <w:r w:rsidR="00B406C2">
              <w:t>pilnīg</w:t>
            </w:r>
            <w:r w:rsidR="003B4DC9">
              <w:t>i</w:t>
            </w:r>
            <w:r w:rsidR="00B406C2">
              <w:t xml:space="preserve"> vai daļēj</w:t>
            </w:r>
            <w:r w:rsidR="003B4DC9">
              <w:t xml:space="preserve">i dublēts līdzīgs regulējums, kā arī pastāvošajām atšķirībām ne vienmēr ir saskatāms racionāls pamats. </w:t>
            </w:r>
            <w:r w:rsidR="00CE5B25">
              <w:t>Vienlaikus</w:t>
            </w:r>
            <w:r w:rsidR="00CF5FEF">
              <w:t xml:space="preserve"> </w:t>
            </w:r>
            <w:r w:rsidR="001F5947">
              <w:t>arvien plašāka administratīvo sankciju regulējuma</w:t>
            </w:r>
            <w:r w:rsidR="00ED152F">
              <w:t xml:space="preserve"> </w:t>
            </w:r>
            <w:r w:rsidR="00630604">
              <w:t xml:space="preserve">pieņemšana </w:t>
            </w:r>
            <w:r w:rsidR="0076295A">
              <w:t>rada jautājumu, vai</w:t>
            </w:r>
            <w:r w:rsidR="0034752D">
              <w:t xml:space="preserve"> tas faktiski neradīs jaunu,</w:t>
            </w:r>
            <w:r w:rsidR="00EB0838">
              <w:t xml:space="preserve"> </w:t>
            </w:r>
            <w:r w:rsidR="0034752D">
              <w:t>fragmentāri regulētu procesa veid</w:t>
            </w:r>
            <w:r w:rsidR="00143D12">
              <w:t>u</w:t>
            </w:r>
            <w:r w:rsidR="0034752D">
              <w:t>.</w:t>
            </w:r>
          </w:p>
          <w:p w:rsidR="009937EF" w:rsidP="00762617" w:rsidRDefault="009937EF" w14:paraId="3198B92F" w14:textId="4B04FE57">
            <w:pPr>
              <w:ind w:right="-2" w:firstLine="720"/>
            </w:pPr>
          </w:p>
          <w:p w:rsidR="00495426" w:rsidP="0036460D" w:rsidRDefault="00537743" w14:paraId="427901B8" w14:textId="77777777">
            <w:pPr>
              <w:ind w:right="-2" w:firstLine="720"/>
            </w:pPr>
            <w:r w:rsidRPr="00537743">
              <w:rPr>
                <w:bCs/>
              </w:rPr>
              <w:t>Tieslietu ministrijai savas kompetences ietvaros kā administratīvo tiesību politikas veidotāja</w:t>
            </w:r>
            <w:r w:rsidR="00AC7006">
              <w:rPr>
                <w:bCs/>
              </w:rPr>
              <w:t xml:space="preserve"> </w:t>
            </w:r>
            <w:r w:rsidR="00227DC8">
              <w:t>šobrīd ir</w:t>
            </w:r>
            <w:r w:rsidR="00DC63DF">
              <w:t xml:space="preserve"> </w:t>
            </w:r>
            <w:r w:rsidR="0081517A">
              <w:t xml:space="preserve">vispārīgi </w:t>
            </w:r>
            <w:r w:rsidR="0098761A">
              <w:t xml:space="preserve">izvērtējusi </w:t>
            </w:r>
            <w:r w:rsidR="00297FCC">
              <w:t>administratīvo sankciju nepieciešamību un to piemērošanas procesu.</w:t>
            </w:r>
            <w:r w:rsidR="009A7B49">
              <w:t xml:space="preserve"> Lai arī praksē</w:t>
            </w:r>
            <w:r w:rsidR="008E0D8F">
              <w:t xml:space="preserve"> būtu iespējams nodrošināt minimāli nepieciešamo personu pamattiesību aizsardzības līmeni,</w:t>
            </w:r>
            <w:r w:rsidR="00044729">
              <w:t xml:space="preserve"> piemērojot vispārējos tiesību principus</w:t>
            </w:r>
            <w:r w:rsidR="00AF20A2">
              <w:t xml:space="preserve">, tiesību </w:t>
            </w:r>
            <w:proofErr w:type="spellStart"/>
            <w:r w:rsidR="00AF20A2">
              <w:t>tālākveidošanu</w:t>
            </w:r>
            <w:proofErr w:type="spellEnd"/>
            <w:r w:rsidR="00AF20A2">
              <w:t xml:space="preserve"> u</w:t>
            </w:r>
            <w:r w:rsidR="007C6D3D">
              <w:t xml:space="preserve">n </w:t>
            </w:r>
            <w:proofErr w:type="gramStart"/>
            <w:r w:rsidR="007C6D3D">
              <w:t>cit</w:t>
            </w:r>
            <w:r w:rsidR="009C4C7F">
              <w:t>as juridiskās metod</w:t>
            </w:r>
            <w:r w:rsidR="00484447">
              <w:t>es</w:t>
            </w:r>
            <w:proofErr w:type="gramEnd"/>
            <w:r w:rsidR="00AF20A2">
              <w:t xml:space="preserve">, </w:t>
            </w:r>
            <w:r w:rsidR="00DA71A7">
              <w:t>tomēr nepastāv</w:t>
            </w:r>
            <w:r w:rsidR="005D23F4">
              <w:t xml:space="preserve"> efektīvs </w:t>
            </w:r>
            <w:r w:rsidR="007A3BB1">
              <w:t>administratīvo sankciju piemērošanas procesa normatīvais regulējums</w:t>
            </w:r>
            <w:r w:rsidR="000840FA">
              <w:t xml:space="preserve"> un</w:t>
            </w:r>
            <w:r w:rsidR="00F6684B">
              <w:t xml:space="preserve"> institūciju prakse nav vienota</w:t>
            </w:r>
            <w:r w:rsidR="000D70FA">
              <w:t>.</w:t>
            </w:r>
          </w:p>
          <w:p w:rsidR="00A81048" w:rsidP="0036460D" w:rsidRDefault="00495426" w14:paraId="6A60294A" w14:textId="1388C89F">
            <w:pPr>
              <w:ind w:right="-2" w:firstLine="720"/>
              <w:rPr>
                <w:rFonts w:eastAsia="Times New Roman"/>
                <w:szCs w:val="28"/>
              </w:rPr>
            </w:pPr>
            <w:r>
              <w:t xml:space="preserve">Ievērojot minēto, </w:t>
            </w:r>
            <w:r w:rsidR="00E31771">
              <w:t>nepieciešams izstrādāt kritērijus, kā identificēt administratīvajai atbildībai līdzīgus piespiedu ietekmēšanas līdzekļus</w:t>
            </w:r>
            <w:r w:rsidR="00A916DC">
              <w:t xml:space="preserve">. </w:t>
            </w:r>
            <w:r w:rsidR="00844F2A">
              <w:t xml:space="preserve">Nepieciešams </w:t>
            </w:r>
            <w:r w:rsidR="00D532E3">
              <w:t xml:space="preserve">noskaidrot arī tos </w:t>
            </w:r>
            <w:r w:rsidR="00E31771">
              <w:t>materiāl</w:t>
            </w:r>
            <w:r w:rsidR="00D532E3">
              <w:t>os</w:t>
            </w:r>
            <w:r w:rsidR="00E31771">
              <w:t xml:space="preserve"> un procesuāl</w:t>
            </w:r>
            <w:r w:rsidR="00D532E3">
              <w:t>os</w:t>
            </w:r>
            <w:r w:rsidR="00E31771">
              <w:t xml:space="preserve"> priekšnoteikum</w:t>
            </w:r>
            <w:r w:rsidR="00D532E3">
              <w:t xml:space="preserve">us, kas </w:t>
            </w:r>
            <w:r w:rsidR="0036460D">
              <w:t>jāievēro</w:t>
            </w:r>
            <w:r w:rsidR="00D532E3">
              <w:t xml:space="preserve"> jebkuras </w:t>
            </w:r>
            <w:r w:rsidR="0036460D">
              <w:t xml:space="preserve">administratīvo sankciju </w:t>
            </w:r>
            <w:r w:rsidR="0036460D">
              <w:lastRenderedPageBreak/>
              <w:t>piemērošanas procesā</w:t>
            </w:r>
            <w:r w:rsidR="00ED5CA6">
              <w:t>, kā arī</w:t>
            </w:r>
            <w:r w:rsidR="005E4CAA">
              <w:t xml:space="preserve"> izvērtēt</w:t>
            </w:r>
            <w:r w:rsidR="008A5C3F">
              <w:t xml:space="preserve">, vai un kādā veidā </w:t>
            </w:r>
            <w:r w:rsidR="001E5AFA">
              <w:t>šos priekšnoteikumus būtu iespējams normatīvi nostiprināt</w:t>
            </w:r>
            <w:r w:rsidR="009610BE">
              <w:t>, lai regulējums pilnībā atbilstu administratīvās atbildības sistēmai.</w:t>
            </w:r>
          </w:p>
          <w:p w:rsidRPr="004D157C" w:rsidR="004D157C" w:rsidP="00F63070" w:rsidRDefault="004D157C" w14:paraId="479891E1" w14:textId="720F4136">
            <w:pPr>
              <w:ind w:left="34"/>
              <w:rPr>
                <w:rFonts w:eastAsia="Times New Roman"/>
                <w:i/>
                <w:iCs/>
                <w:szCs w:val="28"/>
              </w:rPr>
            </w:pPr>
          </w:p>
        </w:tc>
      </w:tr>
    </w:tbl>
    <w:p w:rsidR="00A81048" w:rsidP="00A81048" w:rsidRDefault="00A81048" w14:paraId="4884B4A0" w14:textId="1300F420">
      <w:pPr>
        <w:pStyle w:val="Paraststmeklis"/>
        <w:spacing w:before="0" w:after="0"/>
        <w:jc w:val="both"/>
      </w:pPr>
    </w:p>
    <w:p w:rsidR="00A81048" w:rsidP="00737B6C" w:rsidRDefault="00A81048" w14:paraId="26A2365C" w14:textId="758E0002">
      <w:pPr>
        <w:pStyle w:val="Paraststmeklis"/>
        <w:spacing w:before="0" w:after="0"/>
        <w:jc w:val="both"/>
      </w:pPr>
      <w:r>
        <w:t>Pielikumā:</w:t>
      </w:r>
      <w:r w:rsidR="004A6C9B">
        <w:t xml:space="preserve"> </w:t>
      </w:r>
      <w:r w:rsidR="00737B6C">
        <w:t>p</w:t>
      </w:r>
      <w:r w:rsidR="0039792E">
        <w:t>rotokollēmuma projekts (</w:t>
      </w:r>
      <w:r w:rsidR="00BC79DB">
        <w:t>datne</w:t>
      </w:r>
      <w:r w:rsidR="00CB5026">
        <w:t xml:space="preserve"> "</w:t>
      </w:r>
      <w:r w:rsidRPr="00CB5026" w:rsidR="00CB5026">
        <w:t>TMprot_061219_adm_sankcijas</w:t>
      </w:r>
      <w:r w:rsidR="00CB5026">
        <w:t>"</w:t>
      </w:r>
      <w:r w:rsidR="00BC79DB">
        <w:t>) uz 1 l</w:t>
      </w:r>
      <w:r w:rsidR="00F91FEA">
        <w:t>p.</w:t>
      </w:r>
    </w:p>
    <w:p w:rsidR="007753B4" w:rsidP="00FF4815" w:rsidRDefault="007753B4" w14:paraId="05EEB93F" w14:textId="77777777">
      <w:pPr>
        <w:tabs>
          <w:tab w:val="left" w:pos="2610"/>
          <w:tab w:val="left" w:pos="4230"/>
        </w:tabs>
      </w:pPr>
    </w:p>
    <w:p w:rsidR="004F128E" w:rsidP="00FF4815" w:rsidRDefault="008E1DA3" w14:paraId="0783CA10" w14:textId="55324E32">
      <w:pPr>
        <w:tabs>
          <w:tab w:val="left" w:pos="2610"/>
          <w:tab w:val="left" w:pos="4230"/>
        </w:tabs>
      </w:pPr>
      <w:r>
        <w:tab/>
      </w:r>
      <w:r w:rsidR="005A34CE">
        <w:tab/>
      </w:r>
    </w:p>
    <w:p w:rsidRPr="00A77265" w:rsidR="00A77265" w:rsidP="00A77265" w:rsidRDefault="00A77265" w14:paraId="69C36560" w14:textId="77777777">
      <w:pPr>
        <w:rPr>
          <w:szCs w:val="24"/>
        </w:rPr>
      </w:pPr>
      <w:r w:rsidRPr="00A77265">
        <w:rPr>
          <w:szCs w:val="24"/>
        </w:rPr>
        <w:t>Ministru prezidenta biedrs,</w:t>
      </w:r>
    </w:p>
    <w:p w:rsidRPr="00A77265" w:rsidR="00A77265" w:rsidP="00A77265" w:rsidRDefault="00A77265" w14:paraId="08150253" w14:textId="68C4BEEF">
      <w:pPr>
        <w:rPr>
          <w:szCs w:val="24"/>
        </w:rPr>
      </w:pPr>
      <w:r w:rsidRPr="00A77265">
        <w:rPr>
          <w:szCs w:val="24"/>
        </w:rPr>
        <w:t>tieslietu ministrs</w:t>
      </w:r>
      <w:r w:rsidRPr="00A77265">
        <w:rPr>
          <w:szCs w:val="24"/>
        </w:rPr>
        <w:tab/>
      </w:r>
      <w:r w:rsidRPr="00A77265">
        <w:rPr>
          <w:szCs w:val="24"/>
        </w:rPr>
        <w:tab/>
      </w:r>
      <w:r w:rsidRPr="00A77265">
        <w:rPr>
          <w:szCs w:val="24"/>
        </w:rPr>
        <w:tab/>
      </w:r>
      <w:r w:rsidRPr="00A77265">
        <w:rPr>
          <w:szCs w:val="24"/>
        </w:rPr>
        <w:tab/>
      </w:r>
      <w:proofErr w:type="gramStart"/>
      <w:r>
        <w:rPr>
          <w:szCs w:val="24"/>
        </w:rPr>
        <w:t xml:space="preserve">                                                             </w:t>
      </w:r>
      <w:proofErr w:type="gramEnd"/>
      <w:r w:rsidRPr="00A77265">
        <w:rPr>
          <w:szCs w:val="24"/>
        </w:rPr>
        <w:t xml:space="preserve">Jānis </w:t>
      </w:r>
      <w:proofErr w:type="spellStart"/>
      <w:r w:rsidRPr="00A77265">
        <w:rPr>
          <w:szCs w:val="24"/>
        </w:rPr>
        <w:t>Bordāns</w:t>
      </w:r>
      <w:proofErr w:type="spellEnd"/>
    </w:p>
    <w:p w:rsidR="004F128E" w:rsidP="00FF4815" w:rsidRDefault="004F128E" w14:paraId="13F72DCD" w14:textId="2EDD4E68">
      <w:pPr>
        <w:rPr>
          <w:color w:val="000000" w:themeColor="text1"/>
          <w:sz w:val="20"/>
          <w:szCs w:val="24"/>
        </w:rPr>
      </w:pPr>
    </w:p>
    <w:p w:rsidR="00870E6D" w:rsidP="00FF4815" w:rsidRDefault="00870E6D" w14:paraId="7B15C8C4" w14:textId="77777777">
      <w:pPr>
        <w:rPr>
          <w:color w:val="000000" w:themeColor="text1"/>
          <w:sz w:val="20"/>
          <w:szCs w:val="24"/>
        </w:rPr>
      </w:pPr>
    </w:p>
    <w:p w:rsidR="00E6673B" w:rsidP="004F128E" w:rsidRDefault="00E6673B" w14:paraId="56EA7F56" w14:textId="77777777">
      <w:pPr>
        <w:rPr>
          <w:color w:val="000000" w:themeColor="text1"/>
          <w:sz w:val="20"/>
          <w:szCs w:val="24"/>
        </w:rPr>
      </w:pPr>
      <w:r>
        <w:rPr>
          <w:color w:val="000000" w:themeColor="text1"/>
          <w:sz w:val="20"/>
          <w:szCs w:val="24"/>
        </w:rPr>
        <w:t xml:space="preserve">Vilcāns </w:t>
      </w:r>
      <w:r w:rsidRPr="00222C61" w:rsidR="004F128E">
        <w:rPr>
          <w:color w:val="000000" w:themeColor="text1"/>
          <w:sz w:val="20"/>
          <w:szCs w:val="24"/>
        </w:rPr>
        <w:t>67036901</w:t>
      </w:r>
    </w:p>
    <w:p w:rsidRPr="0087450D" w:rsidR="004F128E" w:rsidP="004F128E" w:rsidRDefault="004F128E" w14:paraId="45543221" w14:textId="175299FF">
      <w:r w:rsidRPr="00222C61">
        <w:rPr>
          <w:sz w:val="20"/>
          <w:szCs w:val="24"/>
        </w:rPr>
        <w:t>Sandis.Vilcans@tm.gov.lv</w:t>
      </w:r>
    </w:p>
    <w:p w:rsidRPr="00406559" w:rsidR="00830970" w:rsidP="007B3740" w:rsidRDefault="00830970" w14:paraId="0A5A58F3" w14:textId="4D3538BA">
      <w:pPr>
        <w:rPr>
          <w:color w:val="000000" w:themeColor="text1"/>
          <w:sz w:val="20"/>
          <w:szCs w:val="24"/>
        </w:rPr>
      </w:pPr>
    </w:p>
    <w:sectPr w:rsidRPr="00406559" w:rsidR="00830970" w:rsidSect="00A34ACB">
      <w:headerReference w:type="even" r:id="rId7"/>
      <w:headerReference w:type="default" r:id="rId8"/>
      <w:footerReference w:type="even" r:id="rId9"/>
      <w:footerReference w:type="default" r:id="rId10"/>
      <w:headerReference w:type="first" r:id="rId11"/>
      <w:foot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FCA0F" w14:textId="77777777" w:rsidR="00C404A4" w:rsidRDefault="00C404A4">
      <w:r>
        <w:separator/>
      </w:r>
    </w:p>
  </w:endnote>
  <w:endnote w:type="continuationSeparator" w:id="0">
    <w:p w14:paraId="08DA2CC5" w14:textId="77777777" w:rsidR="00C404A4" w:rsidRDefault="00C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D8A1" w14:textId="77777777" w:rsidR="00F910CE" w:rsidRDefault="00F910C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A4FC" w14:textId="6DF3617F" w:rsidR="004F128E" w:rsidRDefault="005A34CE" w:rsidP="00C94384">
    <w:r w:rsidRPr="00122B60">
      <w:rPr>
        <w:sz w:val="20"/>
        <w:szCs w:val="20"/>
      </w:rPr>
      <w:fldChar w:fldCharType="begin"/>
    </w:r>
    <w:r w:rsidRPr="00122B60">
      <w:rPr>
        <w:sz w:val="20"/>
        <w:szCs w:val="20"/>
      </w:rPr>
      <w:instrText xml:space="preserve"> FILENAME   \* MERGEFORMAT </w:instrText>
    </w:r>
    <w:r w:rsidRPr="00122B60">
      <w:rPr>
        <w:sz w:val="20"/>
        <w:szCs w:val="20"/>
      </w:rPr>
      <w:fldChar w:fldCharType="separate"/>
    </w:r>
    <w:r w:rsidR="00AB6E8E">
      <w:rPr>
        <w:noProof/>
        <w:sz w:val="20"/>
        <w:szCs w:val="20"/>
      </w:rPr>
      <w:t>TMpav_061219_VK_adm_sank</w:t>
    </w:r>
    <w:r w:rsidRPr="00122B6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54A4" w14:textId="14373F41" w:rsidR="004F128E" w:rsidRDefault="004F128E" w:rsidP="00C94384">
    <w:r w:rsidRPr="00122B60">
      <w:rPr>
        <w:sz w:val="20"/>
        <w:szCs w:val="20"/>
      </w:rPr>
      <w:fldChar w:fldCharType="begin"/>
    </w:r>
    <w:r w:rsidRPr="00122B60">
      <w:rPr>
        <w:sz w:val="20"/>
        <w:szCs w:val="20"/>
      </w:rPr>
      <w:instrText xml:space="preserve"> FILENAME   \* MERGEFORMAT </w:instrText>
    </w:r>
    <w:r w:rsidRPr="00122B60">
      <w:rPr>
        <w:sz w:val="20"/>
        <w:szCs w:val="20"/>
      </w:rPr>
      <w:fldChar w:fldCharType="separate"/>
    </w:r>
    <w:r w:rsidR="00AB6E8E">
      <w:rPr>
        <w:noProof/>
        <w:sz w:val="20"/>
        <w:szCs w:val="20"/>
      </w:rPr>
      <w:t>TMpav_061219_VK_adm_sank</w:t>
    </w:r>
    <w:r w:rsidRPr="00122B60">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95B70" w14:textId="77777777" w:rsidR="00C404A4" w:rsidRDefault="00C404A4">
      <w:r>
        <w:separator/>
      </w:r>
    </w:p>
  </w:footnote>
  <w:footnote w:type="continuationSeparator" w:id="0">
    <w:p w14:paraId="538D460E" w14:textId="77777777" w:rsidR="00C404A4" w:rsidRDefault="00C4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8E" w:rsidRDefault="004F128E" w14:paraId="5A365DAC" w14:textId="77777777">
    <w:pPr>
      <w:pStyle w:val="Galvene"/>
    </w:pPr>
  </w:p>
  <w:p w:rsidR="000F2478" w:rsidRDefault="000F2478" w14:paraId="40FFCE90" w14:textId="77777777"/>
  <w:p w:rsidR="000F2478" w:rsidRDefault="000F2478" w14:paraId="1A2AF5A4" w14:textId="77777777"/>
  <w:p w:rsidR="000F2478" w:rsidRDefault="000F2478" w14:paraId="7C6F8C28" w14:textId="77777777"/>
  <w:p w:rsidR="000F2478" w:rsidRDefault="000F2478" w14:paraId="2E4056E4"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47357"/>
      <w:docPartObj>
        <w:docPartGallery w:val="Page Numbers (Top of Page)"/>
        <w:docPartUnique/>
      </w:docPartObj>
    </w:sdtPr>
    <w:sdtEndPr/>
    <w:sdtContent>
      <w:p w:rsidR="007B3740" w:rsidRDefault="007B3740" w14:paraId="0A5A58F8" w14:textId="77777777">
        <w:pPr>
          <w:pStyle w:val="Galvene"/>
          <w:jc w:val="center"/>
        </w:pPr>
        <w:r>
          <w:fldChar w:fldCharType="begin"/>
        </w:r>
        <w:r>
          <w:instrText>PAGE   \* MERGEFORMAT</w:instrText>
        </w:r>
        <w:r>
          <w:fldChar w:fldCharType="separate"/>
        </w:r>
        <w:r w:rsidR="00441F52">
          <w:rPr>
            <w:noProof/>
          </w:rPr>
          <w:t>2</w:t>
        </w:r>
        <w:r>
          <w:fldChar w:fldCharType="end"/>
        </w:r>
      </w:p>
    </w:sdtContent>
  </w:sdt>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CB" w:rsidP="00A34ACB" w:rsidRDefault="00A34ACB" w14:paraId="0A5A58FA" w14:textId="77777777">
    <w:pPr>
      <w:pStyle w:val="Galvene"/>
    </w:pPr>
  </w:p>
  <w:p w:rsidR="00A34ACB" w:rsidP="00A34ACB" w:rsidRDefault="00E40434" w14:paraId="0A5A58FB" w14:textId="77777777">
    <w:pPr>
      <w:pStyle w:val="Galvene"/>
    </w:pPr>
    <w:r>
      <w:rPr>
        <w:noProof/>
        <w:lang w:eastAsia="lv-LV"/>
      </w:rPr>
      <w:drawing>
        <wp:anchor distT="0" distB="0" distL="114300" distR="114300" simplePos="0" relativeHeight="251660800" behindDoc="1" locked="0" layoutInCell="1" allowOverlap="1" wp14:editId="0A5A590D" wp14:anchorId="0A5A590C">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CB" w:rsidP="00A34ACB" w:rsidRDefault="00A34ACB" w14:paraId="0A5A58FC" w14:textId="77777777">
    <w:pPr>
      <w:pStyle w:val="Galvene"/>
    </w:pPr>
  </w:p>
  <w:p w:rsidR="00A34ACB" w:rsidP="00A34ACB" w:rsidRDefault="00A34ACB" w14:paraId="0A5A58FD" w14:textId="77777777">
    <w:pPr>
      <w:pStyle w:val="Galvene"/>
    </w:pPr>
  </w:p>
  <w:p w:rsidR="00A34ACB" w:rsidP="00A34ACB" w:rsidRDefault="00A34ACB" w14:paraId="0A5A58FE" w14:textId="77777777">
    <w:pPr>
      <w:pStyle w:val="Galvene"/>
    </w:pPr>
  </w:p>
  <w:p w:rsidR="00A34ACB" w:rsidP="00A34ACB" w:rsidRDefault="00A34ACB" w14:paraId="0A5A58FF" w14:textId="77777777">
    <w:pPr>
      <w:pStyle w:val="Galvene"/>
    </w:pPr>
  </w:p>
  <w:p w:rsidR="00A34ACB" w:rsidP="00A34ACB" w:rsidRDefault="00A34ACB" w14:paraId="0A5A5900" w14:textId="77777777">
    <w:pPr>
      <w:pStyle w:val="Galvene"/>
    </w:pPr>
  </w:p>
  <w:p w:rsidR="00A34ACB" w:rsidP="00A34ACB" w:rsidRDefault="00A34ACB" w14:paraId="0A5A5901" w14:textId="77777777">
    <w:pPr>
      <w:pStyle w:val="Galvene"/>
    </w:pPr>
  </w:p>
  <w:p w:rsidR="00A34ACB" w:rsidP="00A34ACB" w:rsidRDefault="00A34ACB" w14:paraId="0A5A5902" w14:textId="77777777">
    <w:pPr>
      <w:pStyle w:val="Galvene"/>
    </w:pPr>
  </w:p>
  <w:p w:rsidR="00A34ACB" w:rsidP="00A34ACB" w:rsidRDefault="00A34ACB" w14:paraId="0A5A5903" w14:textId="77777777">
    <w:pPr>
      <w:pStyle w:val="Galvene"/>
    </w:pPr>
  </w:p>
  <w:p w:rsidRPr="00815277" w:rsidR="00A34ACB" w:rsidP="00A34ACB" w:rsidRDefault="00E40434" w14:paraId="0A5A5904" w14:textId="77777777">
    <w:pPr>
      <w:pStyle w:val="Galvene"/>
    </w:pPr>
    <w:r>
      <w:rPr>
        <w:noProof/>
        <w:lang w:eastAsia="lv-LV"/>
      </w:rPr>
      <mc:AlternateContent>
        <mc:Choice Requires="wps">
          <w:drawing>
            <wp:anchor distT="0" distB="0" distL="114300" distR="114300" simplePos="0" relativeHeight="251658752" behindDoc="1" locked="0" layoutInCell="1" allowOverlap="1" wp14:editId="0A5A590F" wp14:anchorId="0A5A590E">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w:t>
                          </w:r>
                          <w:proofErr w:type="spellStart"/>
                          <w:r w:rsidRPr="006C6018">
                            <w:rPr>
                              <w:rFonts w:eastAsia="Times New Roman"/>
                              <w:sz w:val="17"/>
                              <w:szCs w:val="17"/>
                            </w:rPr>
                            <w:t>tm.kanceleja@tm.gov.lv</w:t>
                          </w:r>
                          <w:proofErr w:type="spellEnd"/>
                          <w:r w:rsidRPr="006C6018" w:rsidR="00AB4E8A">
                            <w:rPr>
                              <w:rFonts w:eastAsia="Times New Roman"/>
                              <w:sz w:val="17"/>
                              <w:szCs w:val="17"/>
                            </w:rPr>
                            <w:t>;</w:t>
                          </w:r>
                          <w:r w:rsidRPr="006C6018">
                            <w:rPr>
                              <w:rFonts w:eastAsia="Times New Roman"/>
                              <w:sz w:val="17"/>
                              <w:szCs w:val="17"/>
                            </w:rPr>
                            <w:t xml:space="preserve"> </w:t>
                          </w:r>
                          <w:proofErr w:type="spellStart"/>
                          <w:r w:rsidRPr="006C6018">
                            <w:rPr>
                              <w:rFonts w:eastAsia="Times New Roman"/>
                              <w:sz w:val="17"/>
                              <w:szCs w:val="17"/>
                            </w:rPr>
                            <w:t>www.tm.gov.lv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5A590E">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editId="0A5A5911" wp14:anchorId="0A5A5910">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45.7pt;margin-top:149.85pt;width:346.25pt;height:.1pt;z-index:-251658752;mso-position-horizontal-relative:page;mso-position-vertical-relative:page" coordsize="6926,2" coordorigin="2915,2998" o:spid="_x0000_s1026" w14:anchorId="1C77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HFq1KICAwAA/AYAAA4AAAAAAAAAAAAAAAAALgIAAGRycy9lMm9Eb2MueG1s&#10;UEsBAi0AFAAGAAgAAAAhAD7j23rhAAAACwEAAA8AAAAAAAAAAAAAAAAAXAUAAGRycy9kb3ducmV2&#10;LnhtbFBLBQYAAAAABAAEAPMAAABqBg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rsidRPr="00C836FF" w:rsidR="00AB4E8A" w:rsidP="00AB4E8A" w:rsidRDefault="00AB4E8A" w14:paraId="0A5A5905" w14:textId="77777777">
    <w:pPr>
      <w:jc w:val="center"/>
      <w:rPr>
        <w:szCs w:val="24"/>
      </w:rPr>
    </w:pPr>
    <w:r w:rsidRPr="00C836FF">
      <w:rPr>
        <w:szCs w:val="24"/>
      </w:rPr>
      <w:t>Rīgā</w:t>
    </w:r>
  </w:p>
  <w:p w:rsidRPr="00C836FF" w:rsidR="00AB4E8A" w:rsidP="00AB4E8A" w:rsidRDefault="00AB4E8A" w14:paraId="0A5A5906" w14:textId="77777777">
    <w:pPr>
      <w:jc w:val="center"/>
      <w:rPr>
        <w:szCs w:val="24"/>
      </w:rPr>
    </w:pPr>
  </w:p>
  <w:tbl>
    <w:tblPr>
      <w:tblStyle w:val="Reatabula"/>
      <w:tblW w:w="0" w:type="auto"/>
      <w:tblInd w:w="108" w:type="dxa"/>
      <w:tblBorders>
        <w:top w:val="none" w:color="auto" w:sz="0" w:space="0"/>
        <w:left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810"/>
      <w:gridCol w:w="420"/>
      <w:gridCol w:w="1890"/>
    </w:tblGrid>
    <w:tr w:rsidR="00E11DA3" w:rsidTr="00A6153E" w14:paraId="0A5A590A" w14:textId="77777777">
      <w:tc>
        <w:tcPr>
          <w:tcW w:w="1810" w:type="dxa"/>
        </w:tcPr>
        <w:p w:rsidR="00E11DA3" w:rsidP="00E11DA3" w:rsidRDefault="00E11DA3" w14:paraId="0A5A5907" w14:textId="77777777">
          <w:pPr>
            <w:pStyle w:val="Galvene"/>
            <w:jc w:val="center"/>
            <w:rPr>
              <w:szCs w:val="24"/>
            </w:rPr>
          </w:pPr>
          <w:r>
            <w:t>11.12.2019</w:t>
          </w:r>
          <w:bookmarkEnd w:id="32"/>
        </w:p>
      </w:tc>
      <w:tc>
        <w:tcPr>
          <w:tcW w:w="420" w:type="dxa"/>
          <w:tcBorders>
            <w:bottom w:val="nil"/>
          </w:tcBorders>
        </w:tcPr>
        <w:p w:rsidR="00E11DA3" w:rsidP="00E11DA3" w:rsidRDefault="00E11DA3" w14:paraId="0A5A5908" w14:textId="77777777">
          <w:pPr>
            <w:pStyle w:val="Galvene"/>
            <w:rPr>
              <w:szCs w:val="24"/>
            </w:rPr>
          </w:pPr>
          <w:r>
            <w:rPr>
              <w:szCs w:val="24"/>
            </w:rPr>
            <w:t xml:space="preserve"> Nr.</w:t>
          </w:r>
        </w:p>
      </w:tc>
      <w:tc>
        <w:tcPr>
          <w:tcW w:w="1890" w:type="dxa"/>
        </w:tcPr>
        <w:p w:rsidR="00E11DA3" w:rsidP="00E11DA3" w:rsidRDefault="00E11DA3" w14:paraId="0A5A5909" w14:textId="77777777">
          <w:pPr>
            <w:pStyle w:val="Galvene"/>
            <w:jc w:val="center"/>
            <w:rPr>
              <w:szCs w:val="24"/>
            </w:rPr>
          </w:pPr>
          <w:r>
            <w:t>1-9.2/1307</w:t>
          </w:r>
          <w:bookmarkEnd w:id="33"/>
        </w:p>
      </w:tc>
    </w:tr>
  </w:tbl>
  <w:p w:rsidRPr="00C836FF" w:rsidR="00AB4E8A" w:rsidP="00E11DA3" w:rsidRDefault="00AB4E8A" w14:paraId="0A5A590B" w14:textId="77777777">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1D45"/>
    <w:rsid w:val="00006384"/>
    <w:rsid w:val="00017D9A"/>
    <w:rsid w:val="0002686D"/>
    <w:rsid w:val="00030349"/>
    <w:rsid w:val="000330FB"/>
    <w:rsid w:val="00036EE6"/>
    <w:rsid w:val="00044729"/>
    <w:rsid w:val="00044BB4"/>
    <w:rsid w:val="00052680"/>
    <w:rsid w:val="0005474E"/>
    <w:rsid w:val="00054A18"/>
    <w:rsid w:val="00062E31"/>
    <w:rsid w:val="0006759B"/>
    <w:rsid w:val="00070B22"/>
    <w:rsid w:val="00071984"/>
    <w:rsid w:val="00074FB4"/>
    <w:rsid w:val="00077E9A"/>
    <w:rsid w:val="0008028B"/>
    <w:rsid w:val="000837C7"/>
    <w:rsid w:val="000840FA"/>
    <w:rsid w:val="00085751"/>
    <w:rsid w:val="00090DF3"/>
    <w:rsid w:val="00091ABD"/>
    <w:rsid w:val="000A3C2D"/>
    <w:rsid w:val="000A7B0C"/>
    <w:rsid w:val="000A7BD8"/>
    <w:rsid w:val="000B20D8"/>
    <w:rsid w:val="000C10F7"/>
    <w:rsid w:val="000C5638"/>
    <w:rsid w:val="000C7DD8"/>
    <w:rsid w:val="000D70FA"/>
    <w:rsid w:val="000D760F"/>
    <w:rsid w:val="000E17F8"/>
    <w:rsid w:val="000E7923"/>
    <w:rsid w:val="000E7F03"/>
    <w:rsid w:val="000F2478"/>
    <w:rsid w:val="000F47D8"/>
    <w:rsid w:val="000F64AC"/>
    <w:rsid w:val="00112130"/>
    <w:rsid w:val="00121F81"/>
    <w:rsid w:val="00124173"/>
    <w:rsid w:val="001276A2"/>
    <w:rsid w:val="00127C59"/>
    <w:rsid w:val="001302FB"/>
    <w:rsid w:val="0013141E"/>
    <w:rsid w:val="001432E6"/>
    <w:rsid w:val="00143D12"/>
    <w:rsid w:val="00154520"/>
    <w:rsid w:val="0015627C"/>
    <w:rsid w:val="00161A13"/>
    <w:rsid w:val="00163FDF"/>
    <w:rsid w:val="0016579F"/>
    <w:rsid w:val="001731CB"/>
    <w:rsid w:val="00180449"/>
    <w:rsid w:val="00181C8D"/>
    <w:rsid w:val="001860B6"/>
    <w:rsid w:val="001919CA"/>
    <w:rsid w:val="001931CF"/>
    <w:rsid w:val="00196C91"/>
    <w:rsid w:val="00197F64"/>
    <w:rsid w:val="001A28D3"/>
    <w:rsid w:val="001A3D81"/>
    <w:rsid w:val="001B0334"/>
    <w:rsid w:val="001C02F6"/>
    <w:rsid w:val="001D2E21"/>
    <w:rsid w:val="001E205F"/>
    <w:rsid w:val="001E3EBC"/>
    <w:rsid w:val="001E475A"/>
    <w:rsid w:val="001E5AFA"/>
    <w:rsid w:val="001E5CE9"/>
    <w:rsid w:val="001E733F"/>
    <w:rsid w:val="001F5947"/>
    <w:rsid w:val="001F5B79"/>
    <w:rsid w:val="00227DC8"/>
    <w:rsid w:val="00231558"/>
    <w:rsid w:val="002325BB"/>
    <w:rsid w:val="00237E2A"/>
    <w:rsid w:val="002414A3"/>
    <w:rsid w:val="00242C46"/>
    <w:rsid w:val="00243A7F"/>
    <w:rsid w:val="00244442"/>
    <w:rsid w:val="0024685B"/>
    <w:rsid w:val="00247274"/>
    <w:rsid w:val="00250442"/>
    <w:rsid w:val="00251426"/>
    <w:rsid w:val="00252DE3"/>
    <w:rsid w:val="00253DEB"/>
    <w:rsid w:val="00261523"/>
    <w:rsid w:val="002615A1"/>
    <w:rsid w:val="002618AD"/>
    <w:rsid w:val="00261A49"/>
    <w:rsid w:val="002629CE"/>
    <w:rsid w:val="002632A3"/>
    <w:rsid w:val="00275B9E"/>
    <w:rsid w:val="00276DCB"/>
    <w:rsid w:val="00281B89"/>
    <w:rsid w:val="002868D9"/>
    <w:rsid w:val="00287B26"/>
    <w:rsid w:val="00287F09"/>
    <w:rsid w:val="00290755"/>
    <w:rsid w:val="00291B19"/>
    <w:rsid w:val="0029255A"/>
    <w:rsid w:val="002927FF"/>
    <w:rsid w:val="00296B39"/>
    <w:rsid w:val="00297FCC"/>
    <w:rsid w:val="002A4540"/>
    <w:rsid w:val="002A69E8"/>
    <w:rsid w:val="002B11FB"/>
    <w:rsid w:val="002B3077"/>
    <w:rsid w:val="002B32B1"/>
    <w:rsid w:val="002B3A52"/>
    <w:rsid w:val="002B4789"/>
    <w:rsid w:val="002D3D91"/>
    <w:rsid w:val="002D569D"/>
    <w:rsid w:val="002E1474"/>
    <w:rsid w:val="002E1B88"/>
    <w:rsid w:val="002E2127"/>
    <w:rsid w:val="002E4B2D"/>
    <w:rsid w:val="002E590B"/>
    <w:rsid w:val="002F12A6"/>
    <w:rsid w:val="002F179E"/>
    <w:rsid w:val="002F589B"/>
    <w:rsid w:val="002F795B"/>
    <w:rsid w:val="002F7D71"/>
    <w:rsid w:val="0030016C"/>
    <w:rsid w:val="0030474A"/>
    <w:rsid w:val="00306A39"/>
    <w:rsid w:val="00311738"/>
    <w:rsid w:val="00317373"/>
    <w:rsid w:val="00321756"/>
    <w:rsid w:val="00330265"/>
    <w:rsid w:val="003327CB"/>
    <w:rsid w:val="00334432"/>
    <w:rsid w:val="00334C1E"/>
    <w:rsid w:val="00335032"/>
    <w:rsid w:val="0033609B"/>
    <w:rsid w:val="003402F0"/>
    <w:rsid w:val="0034380A"/>
    <w:rsid w:val="003444DC"/>
    <w:rsid w:val="00345E53"/>
    <w:rsid w:val="00346FF6"/>
    <w:rsid w:val="0034752D"/>
    <w:rsid w:val="003501FB"/>
    <w:rsid w:val="00352A4D"/>
    <w:rsid w:val="0035497A"/>
    <w:rsid w:val="00355586"/>
    <w:rsid w:val="003555B3"/>
    <w:rsid w:val="003566CE"/>
    <w:rsid w:val="0036066B"/>
    <w:rsid w:val="00363794"/>
    <w:rsid w:val="00363EBC"/>
    <w:rsid w:val="0036460D"/>
    <w:rsid w:val="00370781"/>
    <w:rsid w:val="00370F01"/>
    <w:rsid w:val="00371833"/>
    <w:rsid w:val="00372E07"/>
    <w:rsid w:val="003761D0"/>
    <w:rsid w:val="003934B1"/>
    <w:rsid w:val="00393524"/>
    <w:rsid w:val="00395386"/>
    <w:rsid w:val="0039792E"/>
    <w:rsid w:val="003A3488"/>
    <w:rsid w:val="003A4465"/>
    <w:rsid w:val="003A469F"/>
    <w:rsid w:val="003A716B"/>
    <w:rsid w:val="003B0C8A"/>
    <w:rsid w:val="003B4DC9"/>
    <w:rsid w:val="003D003D"/>
    <w:rsid w:val="003D07AC"/>
    <w:rsid w:val="003E2C5C"/>
    <w:rsid w:val="003F5E96"/>
    <w:rsid w:val="00403F65"/>
    <w:rsid w:val="004051C6"/>
    <w:rsid w:val="00406494"/>
    <w:rsid w:val="00406559"/>
    <w:rsid w:val="00416A25"/>
    <w:rsid w:val="0042211D"/>
    <w:rsid w:val="00440B68"/>
    <w:rsid w:val="00441F52"/>
    <w:rsid w:val="00442072"/>
    <w:rsid w:val="004473C0"/>
    <w:rsid w:val="004512D5"/>
    <w:rsid w:val="00451FE4"/>
    <w:rsid w:val="00454263"/>
    <w:rsid w:val="004544A8"/>
    <w:rsid w:val="00454A3F"/>
    <w:rsid w:val="00454AC0"/>
    <w:rsid w:val="00454C42"/>
    <w:rsid w:val="00465175"/>
    <w:rsid w:val="00465497"/>
    <w:rsid w:val="00467EE2"/>
    <w:rsid w:val="00471B7A"/>
    <w:rsid w:val="0047352D"/>
    <w:rsid w:val="00484447"/>
    <w:rsid w:val="00491AA6"/>
    <w:rsid w:val="00492D9E"/>
    <w:rsid w:val="00493308"/>
    <w:rsid w:val="0049444C"/>
    <w:rsid w:val="00495426"/>
    <w:rsid w:val="004A0B5F"/>
    <w:rsid w:val="004A35CF"/>
    <w:rsid w:val="004A6C9B"/>
    <w:rsid w:val="004B2C79"/>
    <w:rsid w:val="004B4321"/>
    <w:rsid w:val="004B4674"/>
    <w:rsid w:val="004B58E1"/>
    <w:rsid w:val="004B7742"/>
    <w:rsid w:val="004C0B99"/>
    <w:rsid w:val="004C7167"/>
    <w:rsid w:val="004C726B"/>
    <w:rsid w:val="004C7548"/>
    <w:rsid w:val="004D0431"/>
    <w:rsid w:val="004D157C"/>
    <w:rsid w:val="004D57B9"/>
    <w:rsid w:val="004E6124"/>
    <w:rsid w:val="004F128E"/>
    <w:rsid w:val="0050131A"/>
    <w:rsid w:val="00506940"/>
    <w:rsid w:val="00506E42"/>
    <w:rsid w:val="0051145F"/>
    <w:rsid w:val="00511F22"/>
    <w:rsid w:val="0051284E"/>
    <w:rsid w:val="005133E2"/>
    <w:rsid w:val="005251BD"/>
    <w:rsid w:val="005307A6"/>
    <w:rsid w:val="00531D5A"/>
    <w:rsid w:val="00535564"/>
    <w:rsid w:val="00537743"/>
    <w:rsid w:val="0054336D"/>
    <w:rsid w:val="00544324"/>
    <w:rsid w:val="005510D0"/>
    <w:rsid w:val="00553BB0"/>
    <w:rsid w:val="00556922"/>
    <w:rsid w:val="00563049"/>
    <w:rsid w:val="00567EA3"/>
    <w:rsid w:val="00580514"/>
    <w:rsid w:val="00582370"/>
    <w:rsid w:val="00586D44"/>
    <w:rsid w:val="00596397"/>
    <w:rsid w:val="00597C78"/>
    <w:rsid w:val="005A327A"/>
    <w:rsid w:val="005A34CE"/>
    <w:rsid w:val="005A5A3A"/>
    <w:rsid w:val="005A5F8F"/>
    <w:rsid w:val="005D0D2F"/>
    <w:rsid w:val="005D103E"/>
    <w:rsid w:val="005D1C36"/>
    <w:rsid w:val="005D23F4"/>
    <w:rsid w:val="005D35C7"/>
    <w:rsid w:val="005D72A7"/>
    <w:rsid w:val="005E4CAA"/>
    <w:rsid w:val="005E672B"/>
    <w:rsid w:val="005F5986"/>
    <w:rsid w:val="0060754E"/>
    <w:rsid w:val="00607C92"/>
    <w:rsid w:val="00616A08"/>
    <w:rsid w:val="00630604"/>
    <w:rsid w:val="00632317"/>
    <w:rsid w:val="00632481"/>
    <w:rsid w:val="00632EF1"/>
    <w:rsid w:val="0064082D"/>
    <w:rsid w:val="00645F42"/>
    <w:rsid w:val="00651197"/>
    <w:rsid w:val="00651630"/>
    <w:rsid w:val="006521EF"/>
    <w:rsid w:val="00656958"/>
    <w:rsid w:val="00663C3A"/>
    <w:rsid w:val="00664248"/>
    <w:rsid w:val="006778B1"/>
    <w:rsid w:val="006865AA"/>
    <w:rsid w:val="00694E50"/>
    <w:rsid w:val="00696731"/>
    <w:rsid w:val="006A092B"/>
    <w:rsid w:val="006A1F1A"/>
    <w:rsid w:val="006B21BB"/>
    <w:rsid w:val="006B2DF5"/>
    <w:rsid w:val="006B6BC6"/>
    <w:rsid w:val="006B6EE6"/>
    <w:rsid w:val="006C1639"/>
    <w:rsid w:val="006C547F"/>
    <w:rsid w:val="006C6018"/>
    <w:rsid w:val="006C6F1D"/>
    <w:rsid w:val="006D0928"/>
    <w:rsid w:val="006E57D4"/>
    <w:rsid w:val="006E7A0D"/>
    <w:rsid w:val="006F1C5A"/>
    <w:rsid w:val="006F2C5A"/>
    <w:rsid w:val="006F65B6"/>
    <w:rsid w:val="00701870"/>
    <w:rsid w:val="00706B2E"/>
    <w:rsid w:val="00706B42"/>
    <w:rsid w:val="00715020"/>
    <w:rsid w:val="00723004"/>
    <w:rsid w:val="00724680"/>
    <w:rsid w:val="0072521F"/>
    <w:rsid w:val="00726E06"/>
    <w:rsid w:val="00732D62"/>
    <w:rsid w:val="0073394C"/>
    <w:rsid w:val="00734AF4"/>
    <w:rsid w:val="00735CC3"/>
    <w:rsid w:val="00735D47"/>
    <w:rsid w:val="00737B6C"/>
    <w:rsid w:val="00737C6F"/>
    <w:rsid w:val="007430F8"/>
    <w:rsid w:val="00747CCB"/>
    <w:rsid w:val="00750B53"/>
    <w:rsid w:val="00761F6F"/>
    <w:rsid w:val="00762617"/>
    <w:rsid w:val="0076295A"/>
    <w:rsid w:val="007635EA"/>
    <w:rsid w:val="00765CE9"/>
    <w:rsid w:val="0076789B"/>
    <w:rsid w:val="007704BD"/>
    <w:rsid w:val="00773C73"/>
    <w:rsid w:val="007753B4"/>
    <w:rsid w:val="00776E83"/>
    <w:rsid w:val="0078329A"/>
    <w:rsid w:val="0078590E"/>
    <w:rsid w:val="00785D3F"/>
    <w:rsid w:val="00794B3C"/>
    <w:rsid w:val="00794DDB"/>
    <w:rsid w:val="00794E73"/>
    <w:rsid w:val="0079644E"/>
    <w:rsid w:val="007A2503"/>
    <w:rsid w:val="007A3BB1"/>
    <w:rsid w:val="007B11A9"/>
    <w:rsid w:val="007B183A"/>
    <w:rsid w:val="007B220A"/>
    <w:rsid w:val="007B3740"/>
    <w:rsid w:val="007B3BA5"/>
    <w:rsid w:val="007B48EC"/>
    <w:rsid w:val="007B6BBA"/>
    <w:rsid w:val="007B70AE"/>
    <w:rsid w:val="007C09D7"/>
    <w:rsid w:val="007C14DA"/>
    <w:rsid w:val="007C31D1"/>
    <w:rsid w:val="007C3A41"/>
    <w:rsid w:val="007C6D3D"/>
    <w:rsid w:val="007D0C48"/>
    <w:rsid w:val="007D5BB2"/>
    <w:rsid w:val="007E0D0E"/>
    <w:rsid w:val="007E16D1"/>
    <w:rsid w:val="007E4D1F"/>
    <w:rsid w:val="007E6F40"/>
    <w:rsid w:val="007F7C86"/>
    <w:rsid w:val="00803D03"/>
    <w:rsid w:val="00811E1D"/>
    <w:rsid w:val="0081517A"/>
    <w:rsid w:val="00815277"/>
    <w:rsid w:val="00815A8A"/>
    <w:rsid w:val="00816499"/>
    <w:rsid w:val="00823F83"/>
    <w:rsid w:val="008245E1"/>
    <w:rsid w:val="00826C29"/>
    <w:rsid w:val="00830970"/>
    <w:rsid w:val="00842B5B"/>
    <w:rsid w:val="00843E8A"/>
    <w:rsid w:val="00844F2A"/>
    <w:rsid w:val="0084552D"/>
    <w:rsid w:val="00845667"/>
    <w:rsid w:val="00845951"/>
    <w:rsid w:val="008503EE"/>
    <w:rsid w:val="0085223F"/>
    <w:rsid w:val="008574CF"/>
    <w:rsid w:val="00857508"/>
    <w:rsid w:val="008669EA"/>
    <w:rsid w:val="00870E6D"/>
    <w:rsid w:val="00872CE0"/>
    <w:rsid w:val="0087450D"/>
    <w:rsid w:val="008752AB"/>
    <w:rsid w:val="008754C1"/>
    <w:rsid w:val="00876C21"/>
    <w:rsid w:val="00882662"/>
    <w:rsid w:val="00882EE8"/>
    <w:rsid w:val="00883533"/>
    <w:rsid w:val="00884690"/>
    <w:rsid w:val="00890B48"/>
    <w:rsid w:val="0089375C"/>
    <w:rsid w:val="008957CB"/>
    <w:rsid w:val="008A359B"/>
    <w:rsid w:val="008A5C3F"/>
    <w:rsid w:val="008A679D"/>
    <w:rsid w:val="008B0522"/>
    <w:rsid w:val="008B741D"/>
    <w:rsid w:val="008C2195"/>
    <w:rsid w:val="008C33DD"/>
    <w:rsid w:val="008C5172"/>
    <w:rsid w:val="008C6364"/>
    <w:rsid w:val="008C64E3"/>
    <w:rsid w:val="008E0D8F"/>
    <w:rsid w:val="008E1DA3"/>
    <w:rsid w:val="008E373B"/>
    <w:rsid w:val="008E3CED"/>
    <w:rsid w:val="008E4A60"/>
    <w:rsid w:val="008E4AB6"/>
    <w:rsid w:val="008F71C4"/>
    <w:rsid w:val="00907E92"/>
    <w:rsid w:val="0091144D"/>
    <w:rsid w:val="009232D3"/>
    <w:rsid w:val="00924760"/>
    <w:rsid w:val="009269E2"/>
    <w:rsid w:val="00933180"/>
    <w:rsid w:val="00943507"/>
    <w:rsid w:val="00944DB4"/>
    <w:rsid w:val="00945BA3"/>
    <w:rsid w:val="009515B1"/>
    <w:rsid w:val="00952654"/>
    <w:rsid w:val="00954D5A"/>
    <w:rsid w:val="00956AFB"/>
    <w:rsid w:val="00960B8B"/>
    <w:rsid w:val="009610BE"/>
    <w:rsid w:val="0096205A"/>
    <w:rsid w:val="0096342D"/>
    <w:rsid w:val="00976646"/>
    <w:rsid w:val="00986DD0"/>
    <w:rsid w:val="0098761A"/>
    <w:rsid w:val="009937EF"/>
    <w:rsid w:val="00993C3F"/>
    <w:rsid w:val="00996FF5"/>
    <w:rsid w:val="009A7B49"/>
    <w:rsid w:val="009B01A4"/>
    <w:rsid w:val="009C4709"/>
    <w:rsid w:val="009C4C7F"/>
    <w:rsid w:val="009D221D"/>
    <w:rsid w:val="009D41BA"/>
    <w:rsid w:val="009D6B6A"/>
    <w:rsid w:val="009D7768"/>
    <w:rsid w:val="009E4250"/>
    <w:rsid w:val="009F1023"/>
    <w:rsid w:val="009F25F3"/>
    <w:rsid w:val="009F37B8"/>
    <w:rsid w:val="009F588B"/>
    <w:rsid w:val="009F71B4"/>
    <w:rsid w:val="00A07CB4"/>
    <w:rsid w:val="00A140B6"/>
    <w:rsid w:val="00A166CD"/>
    <w:rsid w:val="00A241C4"/>
    <w:rsid w:val="00A26669"/>
    <w:rsid w:val="00A27495"/>
    <w:rsid w:val="00A27F8D"/>
    <w:rsid w:val="00A34ACB"/>
    <w:rsid w:val="00A379FB"/>
    <w:rsid w:val="00A42C90"/>
    <w:rsid w:val="00A4525D"/>
    <w:rsid w:val="00A5103F"/>
    <w:rsid w:val="00A510D7"/>
    <w:rsid w:val="00A52421"/>
    <w:rsid w:val="00A613E4"/>
    <w:rsid w:val="00A64BF2"/>
    <w:rsid w:val="00A64CCC"/>
    <w:rsid w:val="00A7018C"/>
    <w:rsid w:val="00A70F40"/>
    <w:rsid w:val="00A736D5"/>
    <w:rsid w:val="00A75019"/>
    <w:rsid w:val="00A76716"/>
    <w:rsid w:val="00A77265"/>
    <w:rsid w:val="00A81048"/>
    <w:rsid w:val="00A83DD5"/>
    <w:rsid w:val="00A85EB8"/>
    <w:rsid w:val="00A916DC"/>
    <w:rsid w:val="00A928E8"/>
    <w:rsid w:val="00A93318"/>
    <w:rsid w:val="00A93F84"/>
    <w:rsid w:val="00A94143"/>
    <w:rsid w:val="00AA15A7"/>
    <w:rsid w:val="00AA1D59"/>
    <w:rsid w:val="00AA5486"/>
    <w:rsid w:val="00AA6857"/>
    <w:rsid w:val="00AB1CBE"/>
    <w:rsid w:val="00AB46BF"/>
    <w:rsid w:val="00AB4E8A"/>
    <w:rsid w:val="00AB6E8E"/>
    <w:rsid w:val="00AC270F"/>
    <w:rsid w:val="00AC4F32"/>
    <w:rsid w:val="00AC6ABA"/>
    <w:rsid w:val="00AC7006"/>
    <w:rsid w:val="00AC7982"/>
    <w:rsid w:val="00AC7E0B"/>
    <w:rsid w:val="00AD0A5C"/>
    <w:rsid w:val="00AD6DAE"/>
    <w:rsid w:val="00AF10A5"/>
    <w:rsid w:val="00AF20A2"/>
    <w:rsid w:val="00AF5B36"/>
    <w:rsid w:val="00B00374"/>
    <w:rsid w:val="00B04A5A"/>
    <w:rsid w:val="00B0797B"/>
    <w:rsid w:val="00B11AAA"/>
    <w:rsid w:val="00B12C0A"/>
    <w:rsid w:val="00B134DC"/>
    <w:rsid w:val="00B145BE"/>
    <w:rsid w:val="00B14684"/>
    <w:rsid w:val="00B20978"/>
    <w:rsid w:val="00B20E24"/>
    <w:rsid w:val="00B21152"/>
    <w:rsid w:val="00B212F6"/>
    <w:rsid w:val="00B222DF"/>
    <w:rsid w:val="00B25E34"/>
    <w:rsid w:val="00B27BDC"/>
    <w:rsid w:val="00B406C2"/>
    <w:rsid w:val="00B41D16"/>
    <w:rsid w:val="00B41E55"/>
    <w:rsid w:val="00B436CD"/>
    <w:rsid w:val="00B461FE"/>
    <w:rsid w:val="00B52E62"/>
    <w:rsid w:val="00B7752B"/>
    <w:rsid w:val="00B80010"/>
    <w:rsid w:val="00B83417"/>
    <w:rsid w:val="00B8498A"/>
    <w:rsid w:val="00B859FA"/>
    <w:rsid w:val="00B86561"/>
    <w:rsid w:val="00B87FF6"/>
    <w:rsid w:val="00B90201"/>
    <w:rsid w:val="00B9390A"/>
    <w:rsid w:val="00B95321"/>
    <w:rsid w:val="00B95911"/>
    <w:rsid w:val="00B96A16"/>
    <w:rsid w:val="00B97693"/>
    <w:rsid w:val="00BB087F"/>
    <w:rsid w:val="00BB55D1"/>
    <w:rsid w:val="00BB7CEA"/>
    <w:rsid w:val="00BC70D4"/>
    <w:rsid w:val="00BC79DB"/>
    <w:rsid w:val="00BD30FE"/>
    <w:rsid w:val="00BD6328"/>
    <w:rsid w:val="00BF4BAD"/>
    <w:rsid w:val="00BF5ADE"/>
    <w:rsid w:val="00BF72B3"/>
    <w:rsid w:val="00BF7A01"/>
    <w:rsid w:val="00C02851"/>
    <w:rsid w:val="00C04896"/>
    <w:rsid w:val="00C073C9"/>
    <w:rsid w:val="00C109BD"/>
    <w:rsid w:val="00C150DE"/>
    <w:rsid w:val="00C177EA"/>
    <w:rsid w:val="00C24B47"/>
    <w:rsid w:val="00C255D9"/>
    <w:rsid w:val="00C32874"/>
    <w:rsid w:val="00C3334C"/>
    <w:rsid w:val="00C338EF"/>
    <w:rsid w:val="00C34754"/>
    <w:rsid w:val="00C3498E"/>
    <w:rsid w:val="00C35E89"/>
    <w:rsid w:val="00C404A4"/>
    <w:rsid w:val="00C4089C"/>
    <w:rsid w:val="00C47F57"/>
    <w:rsid w:val="00C55B8A"/>
    <w:rsid w:val="00C56050"/>
    <w:rsid w:val="00C57CF4"/>
    <w:rsid w:val="00C57F3A"/>
    <w:rsid w:val="00C61731"/>
    <w:rsid w:val="00C64117"/>
    <w:rsid w:val="00C67000"/>
    <w:rsid w:val="00C71A35"/>
    <w:rsid w:val="00C74CBE"/>
    <w:rsid w:val="00C836FF"/>
    <w:rsid w:val="00C850D3"/>
    <w:rsid w:val="00C94384"/>
    <w:rsid w:val="00C94C06"/>
    <w:rsid w:val="00CA0682"/>
    <w:rsid w:val="00CA6A88"/>
    <w:rsid w:val="00CB5026"/>
    <w:rsid w:val="00CB7C62"/>
    <w:rsid w:val="00CC08BA"/>
    <w:rsid w:val="00CC18AD"/>
    <w:rsid w:val="00CC7059"/>
    <w:rsid w:val="00CD38FA"/>
    <w:rsid w:val="00CE13F4"/>
    <w:rsid w:val="00CE3903"/>
    <w:rsid w:val="00CE3ACA"/>
    <w:rsid w:val="00CE5B25"/>
    <w:rsid w:val="00CF0967"/>
    <w:rsid w:val="00CF5FEF"/>
    <w:rsid w:val="00D059B7"/>
    <w:rsid w:val="00D064E8"/>
    <w:rsid w:val="00D13437"/>
    <w:rsid w:val="00D15689"/>
    <w:rsid w:val="00D21FA6"/>
    <w:rsid w:val="00D36AA0"/>
    <w:rsid w:val="00D43778"/>
    <w:rsid w:val="00D453C7"/>
    <w:rsid w:val="00D50338"/>
    <w:rsid w:val="00D51628"/>
    <w:rsid w:val="00D52A6B"/>
    <w:rsid w:val="00D52CC7"/>
    <w:rsid w:val="00D52FD0"/>
    <w:rsid w:val="00D532E3"/>
    <w:rsid w:val="00D53857"/>
    <w:rsid w:val="00D54728"/>
    <w:rsid w:val="00D55B4B"/>
    <w:rsid w:val="00D61939"/>
    <w:rsid w:val="00D62270"/>
    <w:rsid w:val="00D64893"/>
    <w:rsid w:val="00D6711C"/>
    <w:rsid w:val="00D675BB"/>
    <w:rsid w:val="00D67C9E"/>
    <w:rsid w:val="00D718E1"/>
    <w:rsid w:val="00D71A1F"/>
    <w:rsid w:val="00D73912"/>
    <w:rsid w:val="00D7561E"/>
    <w:rsid w:val="00D7590F"/>
    <w:rsid w:val="00D82EDE"/>
    <w:rsid w:val="00D866A9"/>
    <w:rsid w:val="00D87C1C"/>
    <w:rsid w:val="00DA4369"/>
    <w:rsid w:val="00DA4CF9"/>
    <w:rsid w:val="00DA6F16"/>
    <w:rsid w:val="00DA71A7"/>
    <w:rsid w:val="00DA74C2"/>
    <w:rsid w:val="00DA76AF"/>
    <w:rsid w:val="00DB0731"/>
    <w:rsid w:val="00DB2135"/>
    <w:rsid w:val="00DB4D6D"/>
    <w:rsid w:val="00DB4F4A"/>
    <w:rsid w:val="00DB67F6"/>
    <w:rsid w:val="00DC63DF"/>
    <w:rsid w:val="00DD2994"/>
    <w:rsid w:val="00DD4044"/>
    <w:rsid w:val="00DD5327"/>
    <w:rsid w:val="00DD675D"/>
    <w:rsid w:val="00DD76DA"/>
    <w:rsid w:val="00DE11BE"/>
    <w:rsid w:val="00DE5ACC"/>
    <w:rsid w:val="00DE5C46"/>
    <w:rsid w:val="00DF29A7"/>
    <w:rsid w:val="00DF7177"/>
    <w:rsid w:val="00E044D5"/>
    <w:rsid w:val="00E0458C"/>
    <w:rsid w:val="00E11DA3"/>
    <w:rsid w:val="00E12FD4"/>
    <w:rsid w:val="00E139C8"/>
    <w:rsid w:val="00E23AE5"/>
    <w:rsid w:val="00E25C7B"/>
    <w:rsid w:val="00E26EBA"/>
    <w:rsid w:val="00E27844"/>
    <w:rsid w:val="00E31771"/>
    <w:rsid w:val="00E35EDF"/>
    <w:rsid w:val="00E365CE"/>
    <w:rsid w:val="00E40434"/>
    <w:rsid w:val="00E41603"/>
    <w:rsid w:val="00E44743"/>
    <w:rsid w:val="00E4491A"/>
    <w:rsid w:val="00E511AB"/>
    <w:rsid w:val="00E5710B"/>
    <w:rsid w:val="00E61C77"/>
    <w:rsid w:val="00E62A6A"/>
    <w:rsid w:val="00E641C2"/>
    <w:rsid w:val="00E65FF1"/>
    <w:rsid w:val="00E6673B"/>
    <w:rsid w:val="00E70DCC"/>
    <w:rsid w:val="00E72B07"/>
    <w:rsid w:val="00E745B7"/>
    <w:rsid w:val="00E81FD4"/>
    <w:rsid w:val="00E82BCB"/>
    <w:rsid w:val="00E84F9C"/>
    <w:rsid w:val="00E924BE"/>
    <w:rsid w:val="00E97813"/>
    <w:rsid w:val="00EA4D67"/>
    <w:rsid w:val="00EA7C59"/>
    <w:rsid w:val="00EB0838"/>
    <w:rsid w:val="00EB3D47"/>
    <w:rsid w:val="00EB4F5B"/>
    <w:rsid w:val="00EB5103"/>
    <w:rsid w:val="00EB56A6"/>
    <w:rsid w:val="00EC3533"/>
    <w:rsid w:val="00ED152F"/>
    <w:rsid w:val="00ED21D8"/>
    <w:rsid w:val="00ED5CA6"/>
    <w:rsid w:val="00ED6FAD"/>
    <w:rsid w:val="00EE24BE"/>
    <w:rsid w:val="00EE2CE8"/>
    <w:rsid w:val="00EF2533"/>
    <w:rsid w:val="00EF539C"/>
    <w:rsid w:val="00EF54BC"/>
    <w:rsid w:val="00F026FF"/>
    <w:rsid w:val="00F037BA"/>
    <w:rsid w:val="00F037D5"/>
    <w:rsid w:val="00F059F4"/>
    <w:rsid w:val="00F06FE1"/>
    <w:rsid w:val="00F070B2"/>
    <w:rsid w:val="00F07BAE"/>
    <w:rsid w:val="00F11C1A"/>
    <w:rsid w:val="00F128CD"/>
    <w:rsid w:val="00F14E98"/>
    <w:rsid w:val="00F16E34"/>
    <w:rsid w:val="00F2024E"/>
    <w:rsid w:val="00F308DE"/>
    <w:rsid w:val="00F33B7C"/>
    <w:rsid w:val="00F3759C"/>
    <w:rsid w:val="00F414D8"/>
    <w:rsid w:val="00F44337"/>
    <w:rsid w:val="00F4724A"/>
    <w:rsid w:val="00F47B59"/>
    <w:rsid w:val="00F50760"/>
    <w:rsid w:val="00F534B4"/>
    <w:rsid w:val="00F5521A"/>
    <w:rsid w:val="00F60586"/>
    <w:rsid w:val="00F60FB6"/>
    <w:rsid w:val="00F6348E"/>
    <w:rsid w:val="00F64700"/>
    <w:rsid w:val="00F6684B"/>
    <w:rsid w:val="00F67470"/>
    <w:rsid w:val="00F759AB"/>
    <w:rsid w:val="00F7660C"/>
    <w:rsid w:val="00F81D4F"/>
    <w:rsid w:val="00F831F6"/>
    <w:rsid w:val="00F86D14"/>
    <w:rsid w:val="00F87923"/>
    <w:rsid w:val="00F910CE"/>
    <w:rsid w:val="00F917D3"/>
    <w:rsid w:val="00F91FEA"/>
    <w:rsid w:val="00FA3EEC"/>
    <w:rsid w:val="00FA493E"/>
    <w:rsid w:val="00FB5CCA"/>
    <w:rsid w:val="00FC6958"/>
    <w:rsid w:val="00FD1A19"/>
    <w:rsid w:val="00FD3971"/>
    <w:rsid w:val="00FD54AE"/>
    <w:rsid w:val="00FD680E"/>
    <w:rsid w:val="00FE0C8A"/>
    <w:rsid w:val="00FE3869"/>
    <w:rsid w:val="00FE5BB2"/>
    <w:rsid w:val="00FF25D0"/>
    <w:rsid w:val="00FF2A48"/>
    <w:rsid w:val="00FF3B2D"/>
    <w:rsid w:val="00FF4815"/>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A58F1"/>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paragraph" w:styleId="Virsraksts3">
    <w:name w:val="heading 3"/>
    <w:basedOn w:val="Parasts"/>
    <w:next w:val="Parasts"/>
    <w:link w:val="Virsraksts3Rakstz"/>
    <w:uiPriority w:val="9"/>
    <w:semiHidden/>
    <w:unhideWhenUsed/>
    <w:qFormat/>
    <w:rsid w:val="009D221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4F128E"/>
    <w:pPr>
      <w:widowControl/>
      <w:spacing w:before="75" w:after="75"/>
      <w:jc w:val="left"/>
    </w:pPr>
    <w:rPr>
      <w:rFonts w:eastAsia="Times New Roman"/>
      <w:szCs w:val="24"/>
      <w:lang w:eastAsia="lv-LV"/>
    </w:rPr>
  </w:style>
  <w:style w:type="character" w:styleId="Vietturateksts">
    <w:name w:val="Placeholder Text"/>
    <w:basedOn w:val="Noklusjumarindkopasfonts"/>
    <w:uiPriority w:val="99"/>
    <w:semiHidden/>
    <w:rsid w:val="004F128E"/>
    <w:rPr>
      <w:color w:val="808080"/>
    </w:rPr>
  </w:style>
  <w:style w:type="character" w:styleId="Neatrisintapieminana">
    <w:name w:val="Unresolved Mention"/>
    <w:basedOn w:val="Noklusjumarindkopasfonts"/>
    <w:uiPriority w:val="99"/>
    <w:semiHidden/>
    <w:unhideWhenUsed/>
    <w:rsid w:val="00AA1D59"/>
    <w:rPr>
      <w:color w:val="605E5C"/>
      <w:shd w:val="clear" w:color="auto" w:fill="E1DFDD"/>
    </w:rPr>
  </w:style>
  <w:style w:type="character" w:styleId="Lappusesnumurs">
    <w:name w:val="page number"/>
    <w:basedOn w:val="Noklusjumarindkopasfonts"/>
    <w:uiPriority w:val="99"/>
    <w:semiHidden/>
    <w:unhideWhenUsed/>
    <w:rsid w:val="00B52E62"/>
  </w:style>
  <w:style w:type="character" w:customStyle="1" w:styleId="Virsraksts3Rakstz">
    <w:name w:val="Virsraksts 3 Rakstz."/>
    <w:basedOn w:val="Noklusjumarindkopasfonts"/>
    <w:link w:val="Virsraksts3"/>
    <w:uiPriority w:val="9"/>
    <w:semiHidden/>
    <w:rsid w:val="009D221D"/>
    <w:rPr>
      <w:rFonts w:asciiTheme="majorHAnsi" w:eastAsiaTheme="majorEastAsia" w:hAnsiTheme="majorHAnsi" w:cstheme="majorBidi"/>
      <w:color w:val="243F60" w:themeColor="accent1" w:themeShade="7F"/>
      <w:sz w:val="24"/>
      <w:szCs w:val="24"/>
      <w:lang w:eastAsia="en-US"/>
    </w:rPr>
  </w:style>
  <w:style w:type="paragraph" w:styleId="Sarakstarindkopa">
    <w:name w:val="List Paragraph"/>
    <w:basedOn w:val="Parasts"/>
    <w:uiPriority w:val="34"/>
    <w:qFormat/>
    <w:rsid w:val="006B6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66624">
      <w:bodyDiv w:val="1"/>
      <w:marLeft w:val="0"/>
      <w:marRight w:val="0"/>
      <w:marTop w:val="0"/>
      <w:marBottom w:val="0"/>
      <w:divBdr>
        <w:top w:val="none" w:sz="0" w:space="0" w:color="auto"/>
        <w:left w:val="none" w:sz="0" w:space="0" w:color="auto"/>
        <w:bottom w:val="none" w:sz="0" w:space="0" w:color="auto"/>
        <w:right w:val="none" w:sz="0" w:space="0" w:color="auto"/>
      </w:divBdr>
    </w:div>
    <w:div w:id="901142459">
      <w:bodyDiv w:val="1"/>
      <w:marLeft w:val="0"/>
      <w:marRight w:val="0"/>
      <w:marTop w:val="0"/>
      <w:marBottom w:val="0"/>
      <w:divBdr>
        <w:top w:val="none" w:sz="0" w:space="0" w:color="auto"/>
        <w:left w:val="none" w:sz="0" w:space="0" w:color="auto"/>
        <w:bottom w:val="none" w:sz="0" w:space="0" w:color="auto"/>
        <w:right w:val="none" w:sz="0" w:space="0" w:color="auto"/>
      </w:divBdr>
    </w:div>
    <w:div w:id="957955766">
      <w:bodyDiv w:val="1"/>
      <w:marLeft w:val="0"/>
      <w:marRight w:val="0"/>
      <w:marTop w:val="0"/>
      <w:marBottom w:val="0"/>
      <w:divBdr>
        <w:top w:val="none" w:sz="0" w:space="0" w:color="auto"/>
        <w:left w:val="none" w:sz="0" w:space="0" w:color="auto"/>
        <w:bottom w:val="none" w:sz="0" w:space="0" w:color="auto"/>
        <w:right w:val="none" w:sz="0" w:space="0" w:color="auto"/>
      </w:divBdr>
    </w:div>
    <w:div w:id="1454328002">
      <w:bodyDiv w:val="1"/>
      <w:marLeft w:val="0"/>
      <w:marRight w:val="0"/>
      <w:marTop w:val="0"/>
      <w:marBottom w:val="0"/>
      <w:divBdr>
        <w:top w:val="none" w:sz="0" w:space="0" w:color="auto"/>
        <w:left w:val="none" w:sz="0" w:space="0" w:color="auto"/>
        <w:bottom w:val="none" w:sz="0" w:space="0" w:color="auto"/>
        <w:right w:val="none" w:sz="0" w:space="0" w:color="auto"/>
      </w:divBdr>
    </w:div>
    <w:div w:id="1519352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7A9FEF08E04104BD91437D2D9FF9B5"/>
        <w:category>
          <w:name w:val="Vispārīgi"/>
          <w:gallery w:val="placeholder"/>
        </w:category>
        <w:types>
          <w:type w:val="bbPlcHdr"/>
        </w:types>
        <w:behaviors>
          <w:behavior w:val="content"/>
        </w:behaviors>
        <w:guid w:val="{3138D704-1183-463D-9BB5-781E51BFD852}"/>
      </w:docPartPr>
      <w:docPartBody>
        <w:p w:rsidR="00E539EA" w:rsidRDefault="00545517" w:rsidP="00545517">
          <w:pPr>
            <w:pStyle w:val="2A7A9FEF08E04104BD91437D2D9FF9B5"/>
          </w:pPr>
          <w:r w:rsidRPr="0024407D">
            <w:rPr>
              <w:rStyle w:val="Vietturateksts"/>
            </w:rPr>
            <w:t>[Virsraksts]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D7"/>
    <w:rsid w:val="000C3259"/>
    <w:rsid w:val="001861E8"/>
    <w:rsid w:val="00545517"/>
    <w:rsid w:val="005E7B5F"/>
    <w:rsid w:val="008312D7"/>
    <w:rsid w:val="00A57F2D"/>
    <w:rsid w:val="00E539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545517"/>
    <w:rPr>
      <w:color w:val="808080"/>
    </w:rPr>
  </w:style>
  <w:style w:type="paragraph" w:customStyle="1" w:styleId="EE3EEB0C71C8426783F05788C641D5A3">
    <w:name w:val="EE3EEB0C71C8426783F05788C641D5A3"/>
    <w:rsid w:val="008312D7"/>
  </w:style>
  <w:style w:type="paragraph" w:customStyle="1" w:styleId="66C8C1ABA32742ACBA579893D70A0094">
    <w:name w:val="66C8C1ABA32742ACBA579893D70A0094"/>
    <w:rsid w:val="008312D7"/>
  </w:style>
  <w:style w:type="paragraph" w:customStyle="1" w:styleId="6C2DF657BB204C1ABD4A997E5ACF101B">
    <w:name w:val="6C2DF657BB204C1ABD4A997E5ACF101B"/>
    <w:rsid w:val="008312D7"/>
  </w:style>
  <w:style w:type="paragraph" w:customStyle="1" w:styleId="5EB169F74D56460A8ABB1D8D3857293D">
    <w:name w:val="5EB169F74D56460A8ABB1D8D3857293D"/>
    <w:rsid w:val="00545517"/>
  </w:style>
  <w:style w:type="paragraph" w:customStyle="1" w:styleId="0167295A4D0E4A41B5D2140D17B67887">
    <w:name w:val="0167295A4D0E4A41B5D2140D17B67887"/>
    <w:rsid w:val="00545517"/>
  </w:style>
  <w:style w:type="paragraph" w:customStyle="1" w:styleId="2A7A9FEF08E04104BD91437D2D9FF9B5">
    <w:name w:val="2A7A9FEF08E04104BD91437D2D9FF9B5"/>
    <w:rsid w:val="00545517"/>
  </w:style>
  <w:style w:type="paragraph" w:customStyle="1" w:styleId="03E90F5B923C4765A2D6674D7C9F86B9">
    <w:name w:val="03E90F5B923C4765A2D6674D7C9F86B9"/>
    <w:rsid w:val="00545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5326</Words>
  <Characters>3036</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sēdes protokollēmuma projekta "Par Ministru kabineta 2019. gada 14. maija sēdes protokollēmuma (protokols Nr. 24 15. §) "Likumprojekts "Privāto pensiju fondu likums"" 4. punktā noteiktā uzdevuma izpildi" iesniegšanu</vt:lpstr>
      <vt:lpstr/>
    </vt:vector>
  </TitlesOfParts>
  <Company>Tieslietu Sektors</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projekta "Par Ministru kabineta 2019. gada 14. maija sēdes protokollēmuma (protokols Nr. 24 15. §) "Likumprojekts "Privāto pensiju fondu likums"" 4. punktā noteiktā uzdevuma izpildi" iesniegšanu</dc:title>
  <dc:creator>Sandis.Vilcans@tm.gov.lv</dc:creator>
  <cp:lastModifiedBy>Sandis Vilcāns</cp:lastModifiedBy>
  <cp:revision>4</cp:revision>
  <cp:lastPrinted>2019-04-16T04:12:00Z</cp:lastPrinted>
  <dcterms:created xsi:type="dcterms:W3CDTF">2019-12-06T14:40:00Z</dcterms:created>
  <dcterms:modified xsi:type="dcterms:W3CDTF">2019-12-09T08:12:00Z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