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F8C0B" w14:textId="77777777" w:rsidR="00DF135C" w:rsidRDefault="00DA721C" w:rsidP="00DF135C">
      <w:pPr>
        <w:jc w:val="center"/>
        <w:rPr>
          <w:b/>
        </w:rPr>
      </w:pPr>
      <w:r w:rsidRPr="00563D3C">
        <w:rPr>
          <w:b/>
        </w:rPr>
        <w:t>Ministru kabineta noteikumu projekta</w:t>
      </w:r>
    </w:p>
    <w:p w14:paraId="144D7840" w14:textId="440C5B03" w:rsidR="00DA721C" w:rsidRDefault="005C09A4" w:rsidP="00DF135C">
      <w:pPr>
        <w:jc w:val="center"/>
        <w:rPr>
          <w:b/>
        </w:rPr>
      </w:pPr>
      <w:r>
        <w:rPr>
          <w:b/>
        </w:rPr>
        <w:t>“</w:t>
      </w:r>
      <w:r w:rsidR="00DA721C" w:rsidRPr="00563D3C">
        <w:rPr>
          <w:b/>
        </w:rPr>
        <w:t>Grozījumi Ministru kabineta</w:t>
      </w:r>
      <w:r w:rsidR="00DA721C">
        <w:rPr>
          <w:b/>
        </w:rPr>
        <w:t xml:space="preserve"> 2011. gada 21. jūnija noteikumos Nr. 485 “</w:t>
      </w:r>
      <w:r w:rsidR="00DA721C" w:rsidRPr="005A44F7">
        <w:rPr>
          <w:b/>
        </w:rPr>
        <w:t>Atsevišķu veidu bīstamo atkritumu apsaimniekošanas kārtība</w:t>
      </w:r>
      <w:r w:rsidR="00DA721C" w:rsidRPr="00563D3C">
        <w:rPr>
          <w:b/>
        </w:rPr>
        <w:t>””</w:t>
      </w:r>
      <w:r w:rsidR="00DF135C">
        <w:rPr>
          <w:b/>
        </w:rPr>
        <w:t xml:space="preserve"> </w:t>
      </w:r>
      <w:r w:rsidR="00DA721C" w:rsidRPr="00563D3C">
        <w:rPr>
          <w:b/>
        </w:rPr>
        <w:t xml:space="preserve">sākotnējās ietekmes novērtējuma </w:t>
      </w:r>
      <w:smartTag w:uri="schemas-tilde-lv/tildestengine" w:element="veidnes">
        <w:smartTagPr>
          <w:attr w:name="id" w:val="-1"/>
          <w:attr w:name="baseform" w:val="ziņojums"/>
          <w:attr w:name="text" w:val="ziņojums"/>
        </w:smartTagPr>
        <w:r w:rsidR="00DA721C" w:rsidRPr="00563D3C">
          <w:rPr>
            <w:b/>
          </w:rPr>
          <w:t>ziņojums</w:t>
        </w:r>
      </w:smartTag>
      <w:r w:rsidR="00DA721C" w:rsidRPr="00563D3C">
        <w:rPr>
          <w:b/>
        </w:rPr>
        <w:t xml:space="preserve"> (anotācija)</w:t>
      </w:r>
    </w:p>
    <w:p w14:paraId="7B0AEF29" w14:textId="77777777" w:rsidR="00DA721C" w:rsidRDefault="00DA721C" w:rsidP="00DA721C">
      <w:pPr>
        <w:rPr>
          <w:b/>
        </w:rPr>
      </w:pPr>
    </w:p>
    <w:tbl>
      <w:tblPr>
        <w:tblStyle w:val="TableGrid"/>
        <w:tblW w:w="0" w:type="auto"/>
        <w:tblInd w:w="0" w:type="dxa"/>
        <w:tblLook w:val="04A0" w:firstRow="1" w:lastRow="0" w:firstColumn="1" w:lastColumn="0" w:noHBand="0" w:noVBand="1"/>
      </w:tblPr>
      <w:tblGrid>
        <w:gridCol w:w="3256"/>
        <w:gridCol w:w="5805"/>
      </w:tblGrid>
      <w:tr w:rsidR="00DA721C" w14:paraId="47328CC3" w14:textId="77777777" w:rsidTr="009D406B">
        <w:tc>
          <w:tcPr>
            <w:tcW w:w="9061" w:type="dxa"/>
            <w:gridSpan w:val="2"/>
          </w:tcPr>
          <w:p w14:paraId="6D85F5C6" w14:textId="77777777" w:rsidR="00DA721C" w:rsidRPr="00D062F9" w:rsidRDefault="00DA721C" w:rsidP="009D406B">
            <w:pPr>
              <w:jc w:val="center"/>
              <w:rPr>
                <w:b/>
              </w:rPr>
            </w:pPr>
            <w:r w:rsidRPr="00D062F9">
              <w:rPr>
                <w:b/>
              </w:rPr>
              <w:t>Tiesību akta anotācijas kopsavilkums</w:t>
            </w:r>
          </w:p>
        </w:tc>
      </w:tr>
      <w:tr w:rsidR="00DA721C" w14:paraId="79F23FB5" w14:textId="77777777" w:rsidTr="009D406B">
        <w:tc>
          <w:tcPr>
            <w:tcW w:w="3256" w:type="dxa"/>
          </w:tcPr>
          <w:p w14:paraId="794EFAF7" w14:textId="77777777" w:rsidR="00DA721C" w:rsidRPr="00DC48BF" w:rsidRDefault="00DA721C" w:rsidP="009D406B">
            <w:r>
              <w:t>Mērķis, risinājums un projekta spēkā stāšanās laiks (500 zīmes bez atstarpēm)</w:t>
            </w:r>
          </w:p>
        </w:tc>
        <w:tc>
          <w:tcPr>
            <w:tcW w:w="5805" w:type="dxa"/>
          </w:tcPr>
          <w:p w14:paraId="65FEC5AC" w14:textId="77777777" w:rsidR="00DA721C" w:rsidRPr="00DC48BF" w:rsidRDefault="00DA721C" w:rsidP="009D406B">
            <w:r w:rsidRPr="00DC48BF">
              <w:t>Nav attiecināms.</w:t>
            </w:r>
          </w:p>
        </w:tc>
      </w:tr>
    </w:tbl>
    <w:p w14:paraId="5D82F5FE" w14:textId="77777777" w:rsidR="00DA721C" w:rsidRPr="00FB41DC" w:rsidRDefault="00DA721C" w:rsidP="00DA721C">
      <w:pP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66"/>
        <w:gridCol w:w="1743"/>
        <w:gridCol w:w="6724"/>
      </w:tblGrid>
      <w:tr w:rsidR="00DA721C" w:rsidRPr="00FB41DC" w14:paraId="731BF0E4" w14:textId="77777777" w:rsidTr="009D406B">
        <w:tc>
          <w:tcPr>
            <w:tcW w:w="9359" w:type="dxa"/>
            <w:gridSpan w:val="3"/>
          </w:tcPr>
          <w:p w14:paraId="0423F934" w14:textId="77777777" w:rsidR="00DA721C" w:rsidRPr="00FB41DC" w:rsidRDefault="00DA721C" w:rsidP="009D406B">
            <w:pPr>
              <w:jc w:val="center"/>
              <w:rPr>
                <w:b/>
              </w:rPr>
            </w:pPr>
            <w:r w:rsidRPr="00FB41DC">
              <w:rPr>
                <w:b/>
              </w:rPr>
              <w:t>I.</w:t>
            </w:r>
            <w:r>
              <w:rPr>
                <w:b/>
              </w:rPr>
              <w:t> </w:t>
            </w:r>
            <w:r w:rsidRPr="00FB41DC">
              <w:rPr>
                <w:b/>
              </w:rPr>
              <w:t>Tiesību akta projekta izstrādes nepieciešamība</w:t>
            </w:r>
          </w:p>
        </w:tc>
      </w:tr>
      <w:tr w:rsidR="00A12D9B" w:rsidRPr="0062273E" w14:paraId="575B7727" w14:textId="77777777" w:rsidTr="009D406B">
        <w:tc>
          <w:tcPr>
            <w:tcW w:w="720" w:type="dxa"/>
          </w:tcPr>
          <w:p w14:paraId="11F55317" w14:textId="77777777" w:rsidR="00DA721C" w:rsidRPr="0062273E" w:rsidRDefault="00DA721C" w:rsidP="009D406B">
            <w:pPr>
              <w:jc w:val="center"/>
            </w:pPr>
            <w:r w:rsidRPr="0062273E">
              <w:t>1.</w:t>
            </w:r>
          </w:p>
        </w:tc>
        <w:tc>
          <w:tcPr>
            <w:tcW w:w="1445" w:type="dxa"/>
          </w:tcPr>
          <w:p w14:paraId="0B81615D" w14:textId="77777777" w:rsidR="00DA721C" w:rsidRPr="0062273E" w:rsidRDefault="00DA721C" w:rsidP="009D406B">
            <w:r w:rsidRPr="0062273E">
              <w:t>Pamatojums</w:t>
            </w:r>
          </w:p>
        </w:tc>
        <w:tc>
          <w:tcPr>
            <w:tcW w:w="7194" w:type="dxa"/>
          </w:tcPr>
          <w:p w14:paraId="7D80F59D" w14:textId="04F2DF39" w:rsidR="00DA721C" w:rsidRPr="00DA721C" w:rsidRDefault="00DA721C" w:rsidP="009D406B">
            <w:pPr>
              <w:ind w:right="135"/>
              <w:jc w:val="both"/>
              <w:rPr>
                <w:bCs/>
              </w:rPr>
            </w:pPr>
            <w:r w:rsidRPr="00DA721C">
              <w:rPr>
                <w:bCs/>
              </w:rPr>
              <w:t>Noteikumu projekts “</w:t>
            </w:r>
            <w:r w:rsidRPr="00DA721C">
              <w:t>Grozījumi Ministru kabineta 2011. gada 21. jūnija noteikumos Nr. 485 “Atsevišķu veidu bīstamo atkritumu apsaimniekošanas kārtība un prasības titāna dioksīda ražošanas iekārtu radīto emisiju ierobežošanai, kontrolei un monitoringam”</w:t>
            </w:r>
            <w:r>
              <w:t xml:space="preserve"> (turpmāk – noteikumu projekts)</w:t>
            </w:r>
            <w:r w:rsidR="00C27E2D">
              <w:t xml:space="preserve"> </w:t>
            </w:r>
            <w:r>
              <w:t>ir izstrādāts, lai nodrošinātu Eiropas</w:t>
            </w:r>
            <w:r w:rsidR="006E7B26">
              <w:t xml:space="preserve"> Parlamenta un Padomes 2018.</w:t>
            </w:r>
            <w:r w:rsidR="00C27E2D">
              <w:t> </w:t>
            </w:r>
            <w:r w:rsidR="006E7B26">
              <w:t>g</w:t>
            </w:r>
            <w:r w:rsidR="00544424">
              <w:t>ada 30.maija direktīvas 2018/851</w:t>
            </w:r>
            <w:r w:rsidR="006E7B26">
              <w:t xml:space="preserve">/ES, ar ko groza Direktīvu 2008/98 par atkritumiem (turpmāk – Direktīva 2018/851/ES) prasību pārņemšanu attiecībā uz naftas produktu atkritumu apsaimniekošanu. </w:t>
            </w:r>
          </w:p>
        </w:tc>
      </w:tr>
      <w:tr w:rsidR="00A12D9B" w:rsidRPr="00FB41DC" w14:paraId="6AD75C2C" w14:textId="77777777" w:rsidTr="009D406B">
        <w:trPr>
          <w:trHeight w:val="699"/>
        </w:trPr>
        <w:tc>
          <w:tcPr>
            <w:tcW w:w="720" w:type="dxa"/>
          </w:tcPr>
          <w:p w14:paraId="6AF6FB64" w14:textId="77777777" w:rsidR="00DA721C" w:rsidRPr="00FB41DC" w:rsidRDefault="00DA721C" w:rsidP="009D406B">
            <w:pPr>
              <w:jc w:val="center"/>
            </w:pPr>
            <w:r w:rsidRPr="00FB41DC">
              <w:t>2.</w:t>
            </w:r>
          </w:p>
        </w:tc>
        <w:tc>
          <w:tcPr>
            <w:tcW w:w="1445" w:type="dxa"/>
          </w:tcPr>
          <w:p w14:paraId="48A9AFF8" w14:textId="679D4420" w:rsidR="00544424" w:rsidRDefault="00DA721C" w:rsidP="00544424">
            <w:r w:rsidRPr="00FB41DC">
              <w:t>Pašreizējā situācija un problēmas</w:t>
            </w:r>
            <w:r>
              <w:t>, kuru risināšanai tiesību aktu projekts izstrādāts, tiesiskā regulējuma mērķis un būtība</w:t>
            </w:r>
          </w:p>
          <w:p w14:paraId="53F258E3" w14:textId="77777777" w:rsidR="00DA721C" w:rsidRPr="00544424" w:rsidRDefault="00DA721C" w:rsidP="00544424">
            <w:pPr>
              <w:jc w:val="right"/>
            </w:pPr>
          </w:p>
        </w:tc>
        <w:tc>
          <w:tcPr>
            <w:tcW w:w="7194" w:type="dxa"/>
          </w:tcPr>
          <w:p w14:paraId="31FC889A" w14:textId="56A7FAF1" w:rsidR="00A12D9B" w:rsidRDefault="00A12D9B" w:rsidP="00DA721C">
            <w:pPr>
              <w:pStyle w:val="tv2131"/>
              <w:spacing w:line="240" w:lineRule="auto"/>
              <w:ind w:right="135"/>
              <w:jc w:val="both"/>
              <w:rPr>
                <w:color w:val="auto"/>
                <w:sz w:val="24"/>
                <w:szCs w:val="24"/>
                <w:lang w:val="lv-LV"/>
              </w:rPr>
            </w:pPr>
            <w:r>
              <w:rPr>
                <w:color w:val="auto"/>
                <w:sz w:val="24"/>
                <w:szCs w:val="24"/>
                <w:lang w:val="lv-LV"/>
              </w:rPr>
              <w:t>Pašreizējā situācija un problēmas, kuru risināšanai izstrādāts noteikumu projekts:</w:t>
            </w:r>
          </w:p>
          <w:p w14:paraId="40115350" w14:textId="4F1759B4" w:rsidR="00DA721C" w:rsidRPr="00A12D9B" w:rsidRDefault="00ED4C18" w:rsidP="00DA721C">
            <w:pPr>
              <w:pStyle w:val="tv2131"/>
              <w:spacing w:line="240" w:lineRule="auto"/>
              <w:ind w:right="135"/>
              <w:jc w:val="both"/>
              <w:rPr>
                <w:color w:val="auto"/>
                <w:sz w:val="24"/>
                <w:szCs w:val="24"/>
                <w:lang w:val="lv-LV"/>
              </w:rPr>
            </w:pPr>
            <w:r>
              <w:rPr>
                <w:color w:val="auto"/>
                <w:sz w:val="24"/>
                <w:szCs w:val="24"/>
                <w:lang w:val="lv-LV"/>
              </w:rPr>
              <w:t>1. S</w:t>
            </w:r>
            <w:r w:rsidR="006E7B26">
              <w:rPr>
                <w:color w:val="auto"/>
                <w:sz w:val="24"/>
                <w:szCs w:val="24"/>
                <w:lang w:val="lv-LV"/>
              </w:rPr>
              <w:t xml:space="preserve">pēkā esošie Ministru </w:t>
            </w:r>
            <w:r w:rsidR="006E7B26" w:rsidRPr="00544424">
              <w:rPr>
                <w:color w:val="auto"/>
                <w:sz w:val="24"/>
                <w:szCs w:val="24"/>
                <w:lang w:val="lv-LV"/>
              </w:rPr>
              <w:t xml:space="preserve">kabineta 2011. gada 21. jūnija noteikumi Nr. 485 “Atsevišķu veidu bīstamo atkritumu apsaimniekošanas kārtība un prasības titāna dioksīda ražošanas </w:t>
            </w:r>
            <w:r w:rsidR="006E7B26" w:rsidRPr="00A12D9B">
              <w:rPr>
                <w:color w:val="auto"/>
                <w:sz w:val="24"/>
                <w:szCs w:val="24"/>
                <w:lang w:val="lv-LV"/>
              </w:rPr>
              <w:t>iekārtu radīto emisiju ierobežošanai, kontrolei un monitoringam”</w:t>
            </w:r>
            <w:r w:rsidR="00A12D9B" w:rsidRPr="00A12D9B">
              <w:rPr>
                <w:color w:val="auto"/>
                <w:sz w:val="24"/>
                <w:szCs w:val="24"/>
                <w:lang w:val="lv-LV"/>
              </w:rPr>
              <w:t xml:space="preserve"> (turpmāk – MK noteikumi </w:t>
            </w:r>
            <w:r w:rsidR="00A7729E">
              <w:rPr>
                <w:color w:val="auto"/>
                <w:sz w:val="24"/>
                <w:szCs w:val="24"/>
                <w:lang w:val="lv-LV"/>
              </w:rPr>
              <w:t>N</w:t>
            </w:r>
            <w:r w:rsidR="00A12D9B" w:rsidRPr="00A12D9B">
              <w:rPr>
                <w:color w:val="auto"/>
                <w:sz w:val="24"/>
                <w:szCs w:val="24"/>
                <w:lang w:val="lv-LV"/>
              </w:rPr>
              <w:t>r.</w:t>
            </w:r>
            <w:r>
              <w:rPr>
                <w:color w:val="auto"/>
                <w:sz w:val="24"/>
                <w:szCs w:val="24"/>
                <w:lang w:val="lv-LV"/>
              </w:rPr>
              <w:t> </w:t>
            </w:r>
            <w:r w:rsidR="00A12D9B" w:rsidRPr="00A12D9B">
              <w:rPr>
                <w:color w:val="auto"/>
                <w:sz w:val="24"/>
                <w:szCs w:val="24"/>
                <w:lang w:val="lv-LV"/>
              </w:rPr>
              <w:t>485)</w:t>
            </w:r>
            <w:r w:rsidR="006E7B26" w:rsidRPr="00A12D9B">
              <w:rPr>
                <w:color w:val="auto"/>
                <w:sz w:val="24"/>
                <w:szCs w:val="24"/>
                <w:lang w:val="lv-LV"/>
              </w:rPr>
              <w:t xml:space="preserve"> satur prasības naftas produktu atkritumu</w:t>
            </w:r>
            <w:r w:rsidR="00A12D9B" w:rsidRPr="00A12D9B">
              <w:rPr>
                <w:color w:val="auto"/>
                <w:sz w:val="24"/>
                <w:szCs w:val="24"/>
                <w:lang w:val="lv-LV"/>
              </w:rPr>
              <w:t xml:space="preserve"> apsaimniekošanai, tomēr</w:t>
            </w:r>
            <w:r w:rsidR="006E7B26" w:rsidRPr="00A12D9B">
              <w:rPr>
                <w:color w:val="auto"/>
                <w:sz w:val="24"/>
                <w:szCs w:val="24"/>
                <w:lang w:val="lv-LV"/>
              </w:rPr>
              <w:t xml:space="preserve"> tās pilnībā neatbilst </w:t>
            </w:r>
            <w:r w:rsidR="0054352E">
              <w:rPr>
                <w:color w:val="auto"/>
                <w:sz w:val="24"/>
                <w:szCs w:val="24"/>
                <w:lang w:val="lv-LV"/>
              </w:rPr>
              <w:t>D</w:t>
            </w:r>
            <w:r w:rsidR="00A12D9B" w:rsidRPr="00A12D9B">
              <w:rPr>
                <w:color w:val="auto"/>
                <w:sz w:val="24"/>
                <w:szCs w:val="24"/>
                <w:lang w:val="lv-LV"/>
              </w:rPr>
              <w:t>irektīvas 2018/851/ES prasībām. Kā norādīts Direktīvas 2018/851/ES 55.</w:t>
            </w:r>
            <w:r>
              <w:rPr>
                <w:color w:val="auto"/>
                <w:sz w:val="24"/>
                <w:szCs w:val="24"/>
                <w:lang w:val="lv-LV"/>
              </w:rPr>
              <w:t> ievilkumā</w:t>
            </w:r>
            <w:r w:rsidR="00A12D9B" w:rsidRPr="00A12D9B">
              <w:rPr>
                <w:color w:val="auto"/>
                <w:sz w:val="24"/>
                <w:szCs w:val="24"/>
                <w:lang w:val="lv-LV"/>
              </w:rPr>
              <w:t xml:space="preserve"> dalīta atkritumeļļu savākšana un nodrošināšana, ka tās nesajaucas ar citiem atkritumu veidiem vai vielām, ir izšķiroši svarīga, lai panāktu, ka to apstrāde kopumā sniedz vislabākos rezultātus vides jomā. Apstrādājot atkritumeļļas, prioritāte būtu jāpiešķir reģenerācijai vai alternatīvi citām pārstrādes darbībām, kas nodrošina līdzvērtīgus vai labākus vispārējos rezultātus vides jomā salīdzinājumā ar reģenerāciju. </w:t>
            </w:r>
          </w:p>
          <w:p w14:paraId="73B5F5F5" w14:textId="40252B41" w:rsidR="00A12D9B" w:rsidRDefault="00A12D9B" w:rsidP="00DA721C">
            <w:pPr>
              <w:pStyle w:val="tv2131"/>
              <w:spacing w:line="240" w:lineRule="auto"/>
              <w:ind w:right="135"/>
              <w:jc w:val="both"/>
              <w:rPr>
                <w:color w:val="auto"/>
                <w:sz w:val="24"/>
                <w:szCs w:val="24"/>
                <w:lang w:val="lv-LV"/>
              </w:rPr>
            </w:pPr>
            <w:r>
              <w:rPr>
                <w:color w:val="auto"/>
                <w:sz w:val="24"/>
                <w:szCs w:val="24"/>
                <w:lang w:val="lv-LV"/>
              </w:rPr>
              <w:t>2</w:t>
            </w:r>
            <w:r w:rsidR="00ED4C18">
              <w:rPr>
                <w:color w:val="auto"/>
                <w:sz w:val="24"/>
                <w:szCs w:val="24"/>
                <w:lang w:val="lv-LV"/>
              </w:rPr>
              <w:t>. </w:t>
            </w:r>
            <w:r w:rsidRPr="00A12D9B">
              <w:rPr>
                <w:color w:val="auto"/>
                <w:sz w:val="24"/>
                <w:szCs w:val="24"/>
                <w:lang w:val="lv-LV"/>
              </w:rPr>
              <w:t>MK noteikumu Nr.</w:t>
            </w:r>
            <w:r w:rsidR="00ED4C18">
              <w:rPr>
                <w:color w:val="auto"/>
                <w:sz w:val="24"/>
                <w:szCs w:val="24"/>
                <w:lang w:val="lv-LV"/>
              </w:rPr>
              <w:t> </w:t>
            </w:r>
            <w:r>
              <w:rPr>
                <w:color w:val="auto"/>
                <w:sz w:val="24"/>
                <w:szCs w:val="24"/>
                <w:lang w:val="lv-LV"/>
              </w:rPr>
              <w:t xml:space="preserve">485 </w:t>
            </w:r>
            <w:r w:rsidRPr="00A12D9B">
              <w:rPr>
                <w:color w:val="auto"/>
                <w:sz w:val="24"/>
                <w:szCs w:val="24"/>
                <w:lang w:val="lv-LV"/>
              </w:rPr>
              <w:t>V</w:t>
            </w:r>
            <w:r>
              <w:rPr>
                <w:color w:val="auto"/>
                <w:sz w:val="24"/>
                <w:szCs w:val="24"/>
                <w:lang w:val="lv-LV"/>
              </w:rPr>
              <w:t>.</w:t>
            </w:r>
            <w:r w:rsidRPr="00A12D9B">
              <w:rPr>
                <w:color w:val="auto"/>
                <w:sz w:val="24"/>
                <w:szCs w:val="24"/>
                <w:vertAlign w:val="superscript"/>
                <w:lang w:val="lv-LV"/>
              </w:rPr>
              <w:t>1</w:t>
            </w:r>
            <w:r w:rsidR="00ED4C18">
              <w:rPr>
                <w:color w:val="auto"/>
                <w:sz w:val="24"/>
                <w:szCs w:val="24"/>
                <w:lang w:val="lv-LV"/>
              </w:rPr>
              <w:t> </w:t>
            </w:r>
            <w:r w:rsidRPr="00A12D9B">
              <w:rPr>
                <w:color w:val="auto"/>
                <w:sz w:val="24"/>
                <w:szCs w:val="24"/>
                <w:lang w:val="lv-LV"/>
              </w:rPr>
              <w:t>nodaļā noteiktas prasības metāliskā dzīvsudraba pagaidu glabāšanai ilgāk par gadu. Lai nodrošinātu informācijas sniegšanu Eiropas Komisijai atbilstoši Eiropas Parlamenta un Padomes 2017.</w:t>
            </w:r>
            <w:r w:rsidR="00ED4C18">
              <w:rPr>
                <w:color w:val="auto"/>
                <w:sz w:val="24"/>
                <w:szCs w:val="24"/>
                <w:lang w:val="lv-LV"/>
              </w:rPr>
              <w:t> </w:t>
            </w:r>
            <w:r w:rsidRPr="00A12D9B">
              <w:rPr>
                <w:color w:val="auto"/>
                <w:sz w:val="24"/>
                <w:szCs w:val="24"/>
                <w:lang w:val="lv-LV"/>
              </w:rPr>
              <w:t>gada 17.</w:t>
            </w:r>
            <w:r w:rsidR="00ED4C18">
              <w:rPr>
                <w:color w:val="auto"/>
                <w:sz w:val="24"/>
                <w:szCs w:val="24"/>
                <w:lang w:val="lv-LV"/>
              </w:rPr>
              <w:t> </w:t>
            </w:r>
            <w:r w:rsidRPr="00A12D9B">
              <w:rPr>
                <w:color w:val="auto"/>
                <w:sz w:val="24"/>
                <w:szCs w:val="24"/>
                <w:lang w:val="lv-LV"/>
              </w:rPr>
              <w:t>maija Regulas Nr.</w:t>
            </w:r>
            <w:r w:rsidR="00ED4C18">
              <w:rPr>
                <w:color w:val="auto"/>
                <w:sz w:val="24"/>
                <w:szCs w:val="24"/>
                <w:lang w:val="lv-LV"/>
              </w:rPr>
              <w:t> </w:t>
            </w:r>
            <w:r w:rsidRPr="00A12D9B">
              <w:rPr>
                <w:color w:val="auto"/>
                <w:sz w:val="24"/>
                <w:szCs w:val="24"/>
                <w:lang w:val="lv-LV"/>
              </w:rPr>
              <w:t>2017/852/ES par dzīvsudrabu un ar ko atceļ Regulu (EK) Nr.</w:t>
            </w:r>
            <w:r w:rsidR="00ED4C18">
              <w:rPr>
                <w:color w:val="auto"/>
                <w:sz w:val="24"/>
                <w:szCs w:val="24"/>
                <w:lang w:val="lv-LV"/>
              </w:rPr>
              <w:t> </w:t>
            </w:r>
            <w:r w:rsidRPr="00A12D9B">
              <w:rPr>
                <w:color w:val="auto"/>
                <w:sz w:val="24"/>
                <w:szCs w:val="24"/>
                <w:lang w:val="lv-LV"/>
              </w:rPr>
              <w:t>1102/2008 (turpmāk – Regula Nr.</w:t>
            </w:r>
            <w:r w:rsidR="00ED4C18">
              <w:rPr>
                <w:color w:val="auto"/>
                <w:sz w:val="24"/>
                <w:szCs w:val="24"/>
                <w:lang w:val="lv-LV"/>
              </w:rPr>
              <w:t> </w:t>
            </w:r>
            <w:r w:rsidRPr="00A12D9B">
              <w:rPr>
                <w:color w:val="auto"/>
                <w:sz w:val="24"/>
                <w:szCs w:val="24"/>
                <w:lang w:val="lv-LV"/>
              </w:rPr>
              <w:t>2017/852/ES) 14.</w:t>
            </w:r>
            <w:r w:rsidR="00ED4C18">
              <w:rPr>
                <w:color w:val="auto"/>
                <w:sz w:val="24"/>
                <w:szCs w:val="24"/>
                <w:lang w:val="lv-LV"/>
              </w:rPr>
              <w:t> </w:t>
            </w:r>
            <w:r w:rsidRPr="00A12D9B">
              <w:rPr>
                <w:color w:val="auto"/>
                <w:sz w:val="24"/>
                <w:szCs w:val="24"/>
                <w:lang w:val="lv-LV"/>
              </w:rPr>
              <w:t>panta 4.</w:t>
            </w:r>
            <w:r w:rsidR="00ED4C18">
              <w:rPr>
                <w:color w:val="auto"/>
                <w:sz w:val="24"/>
                <w:szCs w:val="24"/>
                <w:lang w:val="lv-LV"/>
              </w:rPr>
              <w:t> </w:t>
            </w:r>
            <w:r w:rsidRPr="00A12D9B">
              <w:rPr>
                <w:color w:val="auto"/>
                <w:sz w:val="24"/>
                <w:szCs w:val="24"/>
                <w:lang w:val="lv-LV"/>
              </w:rPr>
              <w:t>punktam, MK noteikumos Nr.</w:t>
            </w:r>
            <w:r w:rsidR="00ED4C18">
              <w:rPr>
                <w:color w:val="auto"/>
                <w:sz w:val="24"/>
                <w:szCs w:val="24"/>
                <w:lang w:val="lv-LV"/>
              </w:rPr>
              <w:t> </w:t>
            </w:r>
            <w:r w:rsidRPr="00A12D9B">
              <w:rPr>
                <w:color w:val="auto"/>
                <w:sz w:val="24"/>
                <w:szCs w:val="24"/>
                <w:lang w:val="lv-LV"/>
              </w:rPr>
              <w:t>485 ir nepieciešams noteikt, ka dzīvsudrabu saturošu atkritumu uzglabāšanas iekārtu operatori nodrošina Regulas Nr.</w:t>
            </w:r>
            <w:r w:rsidR="00ED4C18">
              <w:rPr>
                <w:color w:val="auto"/>
                <w:sz w:val="24"/>
                <w:szCs w:val="24"/>
                <w:lang w:val="lv-LV"/>
              </w:rPr>
              <w:t> </w:t>
            </w:r>
            <w:r w:rsidR="00ED4C18" w:rsidRPr="00A12D9B">
              <w:rPr>
                <w:color w:val="auto"/>
                <w:sz w:val="24"/>
                <w:szCs w:val="24"/>
                <w:lang w:val="lv-LV"/>
              </w:rPr>
              <w:t xml:space="preserve">2017/852/ES </w:t>
            </w:r>
            <w:r w:rsidRPr="00A12D9B">
              <w:rPr>
                <w:color w:val="auto"/>
                <w:sz w:val="24"/>
                <w:szCs w:val="24"/>
                <w:lang w:val="lv-LV"/>
              </w:rPr>
              <w:t>14.1.</w:t>
            </w:r>
            <w:r w:rsidR="00ED4C18">
              <w:rPr>
                <w:color w:val="auto"/>
                <w:sz w:val="24"/>
                <w:szCs w:val="24"/>
                <w:lang w:val="lv-LV"/>
              </w:rPr>
              <w:t> apakš</w:t>
            </w:r>
            <w:r w:rsidRPr="00A12D9B">
              <w:rPr>
                <w:color w:val="auto"/>
                <w:sz w:val="24"/>
                <w:szCs w:val="24"/>
                <w:lang w:val="lv-LV"/>
              </w:rPr>
              <w:t>punktā vai 14.2.</w:t>
            </w:r>
            <w:r w:rsidR="00ED4C18">
              <w:rPr>
                <w:color w:val="auto"/>
                <w:sz w:val="24"/>
                <w:szCs w:val="24"/>
                <w:lang w:val="lv-LV"/>
              </w:rPr>
              <w:t> apakš</w:t>
            </w:r>
            <w:r w:rsidRPr="00A12D9B">
              <w:rPr>
                <w:color w:val="auto"/>
                <w:sz w:val="24"/>
                <w:szCs w:val="24"/>
                <w:lang w:val="lv-LV"/>
              </w:rPr>
              <w:t>punktā minētā reģistra iesniegšanu Valsts vides dienestā Regulas Nr.</w:t>
            </w:r>
            <w:r w:rsidR="00ED4C18">
              <w:rPr>
                <w:color w:val="auto"/>
                <w:sz w:val="24"/>
                <w:szCs w:val="24"/>
                <w:lang w:val="lv-LV"/>
              </w:rPr>
              <w:t> </w:t>
            </w:r>
            <w:r w:rsidRPr="00A12D9B">
              <w:rPr>
                <w:color w:val="auto"/>
                <w:sz w:val="24"/>
                <w:szCs w:val="24"/>
                <w:lang w:val="lv-LV"/>
              </w:rPr>
              <w:t>2017/852/ES 14.</w:t>
            </w:r>
            <w:r w:rsidR="00ED4C18">
              <w:rPr>
                <w:color w:val="auto"/>
                <w:sz w:val="24"/>
                <w:szCs w:val="24"/>
                <w:lang w:val="lv-LV"/>
              </w:rPr>
              <w:t> </w:t>
            </w:r>
            <w:r w:rsidRPr="00A12D9B">
              <w:rPr>
                <w:color w:val="auto"/>
                <w:sz w:val="24"/>
                <w:szCs w:val="24"/>
                <w:lang w:val="lv-LV"/>
              </w:rPr>
              <w:t>panta 4.</w:t>
            </w:r>
            <w:r w:rsidR="00ED4C18">
              <w:rPr>
                <w:color w:val="auto"/>
                <w:sz w:val="24"/>
                <w:szCs w:val="24"/>
                <w:lang w:val="lv-LV"/>
              </w:rPr>
              <w:t> </w:t>
            </w:r>
            <w:r w:rsidRPr="00A12D9B">
              <w:rPr>
                <w:color w:val="auto"/>
                <w:sz w:val="24"/>
                <w:szCs w:val="24"/>
                <w:lang w:val="lv-LV"/>
              </w:rPr>
              <w:t>punktā noteiktajā termiņā.</w:t>
            </w:r>
          </w:p>
          <w:p w14:paraId="26A9A64D" w14:textId="77777777" w:rsidR="00A12D9B" w:rsidRDefault="00A12D9B" w:rsidP="00DA721C">
            <w:pPr>
              <w:pStyle w:val="tv2131"/>
              <w:spacing w:line="240" w:lineRule="auto"/>
              <w:ind w:right="135"/>
              <w:jc w:val="both"/>
              <w:rPr>
                <w:color w:val="auto"/>
                <w:sz w:val="24"/>
                <w:szCs w:val="24"/>
                <w:lang w:val="lv-LV"/>
              </w:rPr>
            </w:pPr>
            <w:r>
              <w:rPr>
                <w:color w:val="auto"/>
                <w:sz w:val="24"/>
                <w:szCs w:val="24"/>
                <w:lang w:val="lv-LV"/>
              </w:rPr>
              <w:t>Tiesiskā regulējuma mērķis un būtība:</w:t>
            </w:r>
          </w:p>
          <w:p w14:paraId="555D99D5" w14:textId="72DAB5AC" w:rsidR="00A12D9B" w:rsidRDefault="00BD572F" w:rsidP="00A12D9B">
            <w:pPr>
              <w:pStyle w:val="tv2131"/>
              <w:numPr>
                <w:ilvl w:val="0"/>
                <w:numId w:val="3"/>
              </w:numPr>
              <w:spacing w:line="240" w:lineRule="auto"/>
              <w:ind w:right="135"/>
              <w:jc w:val="both"/>
              <w:rPr>
                <w:color w:val="auto"/>
                <w:sz w:val="24"/>
                <w:szCs w:val="24"/>
                <w:lang w:val="lv-LV"/>
              </w:rPr>
            </w:pPr>
            <w:r>
              <w:rPr>
                <w:color w:val="auto"/>
                <w:sz w:val="24"/>
                <w:szCs w:val="24"/>
                <w:lang w:val="lv-LV"/>
              </w:rPr>
              <w:t>tiek precizēts MK note</w:t>
            </w:r>
            <w:r w:rsidR="00C27E2D">
              <w:rPr>
                <w:color w:val="auto"/>
                <w:sz w:val="24"/>
                <w:szCs w:val="24"/>
                <w:lang w:val="lv-LV"/>
              </w:rPr>
              <w:t>ikumu Nr.485 9.2., 9.3. un 9.4. </w:t>
            </w:r>
            <w:r>
              <w:rPr>
                <w:color w:val="auto"/>
                <w:sz w:val="24"/>
                <w:szCs w:val="24"/>
                <w:lang w:val="lv-LV"/>
              </w:rPr>
              <w:t xml:space="preserve">apakšpunkts, precizējot prasības naftas produktu atkritumu dalītai savākšanai un reģenerācijai </w:t>
            </w:r>
            <w:r w:rsidRPr="00BD572F">
              <w:rPr>
                <w:color w:val="auto"/>
                <w:sz w:val="24"/>
                <w:szCs w:val="24"/>
                <w:lang w:val="lv-LV"/>
              </w:rPr>
              <w:t xml:space="preserve">vai </w:t>
            </w:r>
            <w:r w:rsidRPr="00BD572F">
              <w:rPr>
                <w:color w:val="auto"/>
                <w:sz w:val="24"/>
                <w:szCs w:val="24"/>
                <w:lang w:val="lv-LV" w:eastAsia="lv-LV"/>
              </w:rPr>
              <w:t>pārstr</w:t>
            </w:r>
            <w:r w:rsidRPr="00BD572F">
              <w:rPr>
                <w:color w:val="auto"/>
                <w:sz w:val="24"/>
                <w:szCs w:val="24"/>
                <w:lang w:val="lv-LV"/>
              </w:rPr>
              <w:t>āde</w:t>
            </w:r>
            <w:r w:rsidRPr="00BD572F">
              <w:rPr>
                <w:color w:val="auto"/>
                <w:sz w:val="24"/>
                <w:szCs w:val="24"/>
                <w:lang w:val="lv-LV" w:eastAsia="lv-LV"/>
              </w:rPr>
              <w:t xml:space="preserve"> citā </w:t>
            </w:r>
            <w:r w:rsidRPr="00BD572F">
              <w:rPr>
                <w:color w:val="auto"/>
                <w:sz w:val="24"/>
                <w:szCs w:val="24"/>
                <w:lang w:val="lv-LV" w:eastAsia="lv-LV"/>
              </w:rPr>
              <w:lastRenderedPageBreak/>
              <w:t>veidā, kas no vides aizsardzības viedokļa ir l</w:t>
            </w:r>
            <w:r w:rsidRPr="00BD572F">
              <w:rPr>
                <w:color w:val="auto"/>
                <w:sz w:val="24"/>
                <w:szCs w:val="24"/>
                <w:lang w:val="lv-LV"/>
              </w:rPr>
              <w:t xml:space="preserve">īdzvērtīga vai efektīvāka </w:t>
            </w:r>
            <w:r w:rsidRPr="00BD572F">
              <w:rPr>
                <w:color w:val="auto"/>
                <w:sz w:val="24"/>
                <w:szCs w:val="24"/>
                <w:lang w:val="lv-LV" w:eastAsia="lv-LV"/>
              </w:rPr>
              <w:t>nekā reģenerācija</w:t>
            </w:r>
            <w:r>
              <w:rPr>
                <w:color w:val="auto"/>
                <w:sz w:val="24"/>
                <w:szCs w:val="24"/>
                <w:lang w:val="lv-LV" w:eastAsia="lv-LV"/>
              </w:rPr>
              <w:t>;</w:t>
            </w:r>
          </w:p>
          <w:p w14:paraId="02E3739F" w14:textId="6CF93D1E" w:rsidR="00BD572F" w:rsidRPr="00A12D9B" w:rsidRDefault="00BD572F" w:rsidP="00A12D9B">
            <w:pPr>
              <w:pStyle w:val="tv2131"/>
              <w:numPr>
                <w:ilvl w:val="0"/>
                <w:numId w:val="3"/>
              </w:numPr>
              <w:spacing w:line="240" w:lineRule="auto"/>
              <w:ind w:right="135"/>
              <w:jc w:val="both"/>
              <w:rPr>
                <w:color w:val="auto"/>
                <w:sz w:val="24"/>
                <w:szCs w:val="24"/>
                <w:lang w:val="lv-LV"/>
              </w:rPr>
            </w:pPr>
            <w:r>
              <w:rPr>
                <w:color w:val="auto"/>
                <w:sz w:val="24"/>
                <w:szCs w:val="24"/>
                <w:lang w:val="lv-LV"/>
              </w:rPr>
              <w:t>tiek noteikts, ka o</w:t>
            </w:r>
            <w:r w:rsidRPr="00BD572F">
              <w:rPr>
                <w:color w:val="auto"/>
                <w:sz w:val="24"/>
                <w:szCs w:val="24"/>
                <w:lang w:val="lv-LV"/>
              </w:rPr>
              <w:t>peratori nodrošina Eiropas Parlamenta un Padomes 2017.</w:t>
            </w:r>
            <w:r w:rsidR="00436C2E">
              <w:rPr>
                <w:color w:val="auto"/>
                <w:sz w:val="24"/>
                <w:szCs w:val="24"/>
                <w:lang w:val="lv-LV"/>
              </w:rPr>
              <w:t> </w:t>
            </w:r>
            <w:r w:rsidRPr="00BD572F">
              <w:rPr>
                <w:color w:val="auto"/>
                <w:sz w:val="24"/>
                <w:szCs w:val="24"/>
                <w:lang w:val="lv-LV"/>
              </w:rPr>
              <w:t>gada 17.</w:t>
            </w:r>
            <w:r w:rsidR="00436C2E">
              <w:rPr>
                <w:color w:val="auto"/>
                <w:sz w:val="24"/>
                <w:szCs w:val="24"/>
                <w:lang w:val="lv-LV"/>
              </w:rPr>
              <w:t> </w:t>
            </w:r>
            <w:r w:rsidRPr="00BD572F">
              <w:rPr>
                <w:color w:val="auto"/>
                <w:sz w:val="24"/>
                <w:szCs w:val="24"/>
                <w:lang w:val="lv-LV"/>
              </w:rPr>
              <w:t>maija Regulas Nr.</w:t>
            </w:r>
            <w:r w:rsidR="00436C2E">
              <w:rPr>
                <w:color w:val="auto"/>
                <w:sz w:val="24"/>
                <w:szCs w:val="24"/>
                <w:lang w:val="lv-LV"/>
              </w:rPr>
              <w:t> </w:t>
            </w:r>
            <w:r w:rsidRPr="00BD572F">
              <w:rPr>
                <w:color w:val="auto"/>
                <w:sz w:val="24"/>
                <w:szCs w:val="24"/>
                <w:lang w:val="lv-LV"/>
              </w:rPr>
              <w:t>2017/852/ES par dzīvsudrabu un ar ko atceļ Regulu (EK) Nr.</w:t>
            </w:r>
            <w:r w:rsidR="00436C2E">
              <w:rPr>
                <w:color w:val="auto"/>
                <w:sz w:val="24"/>
                <w:szCs w:val="24"/>
                <w:lang w:val="lv-LV"/>
              </w:rPr>
              <w:t> </w:t>
            </w:r>
            <w:r w:rsidRPr="00BD572F">
              <w:rPr>
                <w:color w:val="auto"/>
                <w:sz w:val="24"/>
                <w:szCs w:val="24"/>
                <w:lang w:val="lv-LV"/>
              </w:rPr>
              <w:t>1102/2008 (turpmāk – Regula Nr.</w:t>
            </w:r>
            <w:r w:rsidR="00436C2E">
              <w:rPr>
                <w:color w:val="auto"/>
                <w:sz w:val="24"/>
                <w:szCs w:val="24"/>
                <w:lang w:val="lv-LV"/>
              </w:rPr>
              <w:t> </w:t>
            </w:r>
            <w:r w:rsidRPr="00BD572F">
              <w:rPr>
                <w:color w:val="auto"/>
                <w:sz w:val="24"/>
                <w:szCs w:val="24"/>
                <w:lang w:val="lv-LV"/>
              </w:rPr>
              <w:t>2017/852/ES) 14.1.</w:t>
            </w:r>
            <w:r w:rsidR="00436C2E">
              <w:rPr>
                <w:color w:val="auto"/>
                <w:sz w:val="24"/>
                <w:szCs w:val="24"/>
                <w:lang w:val="lv-LV"/>
              </w:rPr>
              <w:t> apakš</w:t>
            </w:r>
            <w:r w:rsidRPr="00BD572F">
              <w:rPr>
                <w:color w:val="auto"/>
                <w:sz w:val="24"/>
                <w:szCs w:val="24"/>
                <w:lang w:val="lv-LV"/>
              </w:rPr>
              <w:t>punktā vai 14.2.</w:t>
            </w:r>
            <w:r w:rsidR="00436C2E">
              <w:rPr>
                <w:color w:val="auto"/>
                <w:sz w:val="24"/>
                <w:szCs w:val="24"/>
                <w:lang w:val="lv-LV"/>
              </w:rPr>
              <w:t> apakš</w:t>
            </w:r>
            <w:r w:rsidRPr="00BD572F">
              <w:rPr>
                <w:color w:val="auto"/>
                <w:sz w:val="24"/>
                <w:szCs w:val="24"/>
                <w:lang w:val="lv-LV"/>
              </w:rPr>
              <w:t>punktā minētā reģistra iesniegšanu Valsts vides dienestā Regulas Nr.</w:t>
            </w:r>
            <w:r w:rsidR="00436C2E">
              <w:rPr>
                <w:color w:val="auto"/>
                <w:sz w:val="24"/>
                <w:szCs w:val="24"/>
                <w:lang w:val="lv-LV"/>
              </w:rPr>
              <w:t> </w:t>
            </w:r>
            <w:r w:rsidRPr="00BD572F">
              <w:rPr>
                <w:color w:val="auto"/>
                <w:sz w:val="24"/>
                <w:szCs w:val="24"/>
                <w:lang w:val="lv-LV"/>
              </w:rPr>
              <w:t>2017/852/ES 14.</w:t>
            </w:r>
            <w:r w:rsidR="00436C2E">
              <w:rPr>
                <w:color w:val="auto"/>
                <w:sz w:val="24"/>
                <w:szCs w:val="24"/>
                <w:lang w:val="lv-LV"/>
              </w:rPr>
              <w:t> </w:t>
            </w:r>
            <w:r w:rsidRPr="00BD572F">
              <w:rPr>
                <w:color w:val="auto"/>
                <w:sz w:val="24"/>
                <w:szCs w:val="24"/>
                <w:lang w:val="lv-LV"/>
              </w:rPr>
              <w:t>panta 4.</w:t>
            </w:r>
            <w:r w:rsidR="00436C2E">
              <w:rPr>
                <w:color w:val="auto"/>
                <w:sz w:val="24"/>
                <w:szCs w:val="24"/>
                <w:lang w:val="lv-LV"/>
              </w:rPr>
              <w:t> </w:t>
            </w:r>
            <w:r w:rsidRPr="00BD572F">
              <w:rPr>
                <w:color w:val="auto"/>
                <w:sz w:val="24"/>
                <w:szCs w:val="24"/>
                <w:lang w:val="lv-LV"/>
              </w:rPr>
              <w:t>punktā noteiktajā termiņā.</w:t>
            </w:r>
          </w:p>
        </w:tc>
      </w:tr>
      <w:tr w:rsidR="00A12D9B" w:rsidRPr="00FB41DC" w14:paraId="16499A75" w14:textId="77777777" w:rsidTr="009D406B">
        <w:tc>
          <w:tcPr>
            <w:tcW w:w="720" w:type="dxa"/>
          </w:tcPr>
          <w:p w14:paraId="62F7F3C7" w14:textId="77777777" w:rsidR="00DA721C" w:rsidRPr="00FB41DC" w:rsidRDefault="00DA721C" w:rsidP="009D406B">
            <w:pPr>
              <w:jc w:val="center"/>
            </w:pPr>
            <w:r>
              <w:lastRenderedPageBreak/>
              <w:t>3</w:t>
            </w:r>
            <w:r w:rsidRPr="00FB41DC">
              <w:t>.</w:t>
            </w:r>
          </w:p>
        </w:tc>
        <w:tc>
          <w:tcPr>
            <w:tcW w:w="1445" w:type="dxa"/>
          </w:tcPr>
          <w:p w14:paraId="5D500A82" w14:textId="77777777" w:rsidR="00DA721C" w:rsidRPr="00FB41DC" w:rsidRDefault="00DA721C" w:rsidP="009D406B">
            <w:r>
              <w:t>Projekta izstrādē iesaistītās institūcijas un publiskas personas kapitālsabiedrības</w:t>
            </w:r>
          </w:p>
        </w:tc>
        <w:tc>
          <w:tcPr>
            <w:tcW w:w="7194" w:type="dxa"/>
          </w:tcPr>
          <w:p w14:paraId="62B008AC" w14:textId="77777777" w:rsidR="00DA721C" w:rsidRPr="00FB41DC" w:rsidRDefault="00A7729E" w:rsidP="009D406B">
            <w:pPr>
              <w:pStyle w:val="naiskr"/>
              <w:jc w:val="both"/>
            </w:pPr>
            <w:r>
              <w:t>Vides aizsardzības un reģionālās attīstības ministrija (turpmāk –</w:t>
            </w:r>
            <w:r w:rsidR="00DA721C">
              <w:t>VARAM</w:t>
            </w:r>
            <w:r>
              <w:t>)</w:t>
            </w:r>
            <w:r w:rsidR="00DA721C">
              <w:t>.</w:t>
            </w:r>
          </w:p>
        </w:tc>
      </w:tr>
      <w:tr w:rsidR="00A12D9B" w:rsidRPr="00FB41DC" w14:paraId="282196C2" w14:textId="77777777" w:rsidTr="009D406B">
        <w:trPr>
          <w:trHeight w:val="571"/>
        </w:trPr>
        <w:tc>
          <w:tcPr>
            <w:tcW w:w="720" w:type="dxa"/>
          </w:tcPr>
          <w:p w14:paraId="20B74A88" w14:textId="77777777" w:rsidR="00DA721C" w:rsidRPr="00FB41DC" w:rsidRDefault="00DA721C" w:rsidP="009D406B">
            <w:pPr>
              <w:jc w:val="center"/>
            </w:pPr>
            <w:r>
              <w:t>4</w:t>
            </w:r>
            <w:r w:rsidRPr="00FB41DC">
              <w:t>.</w:t>
            </w:r>
          </w:p>
        </w:tc>
        <w:tc>
          <w:tcPr>
            <w:tcW w:w="1445" w:type="dxa"/>
          </w:tcPr>
          <w:p w14:paraId="32B2F695" w14:textId="77777777" w:rsidR="00DA721C" w:rsidRPr="00FB41DC" w:rsidRDefault="00DA721C" w:rsidP="009D406B">
            <w:r w:rsidRPr="00FB41DC">
              <w:t>Cita informācija</w:t>
            </w:r>
          </w:p>
        </w:tc>
        <w:tc>
          <w:tcPr>
            <w:tcW w:w="7194" w:type="dxa"/>
          </w:tcPr>
          <w:p w14:paraId="16AA8E4B" w14:textId="30AAA64E" w:rsidR="00DA721C" w:rsidRPr="00FB41DC" w:rsidRDefault="00DA721C" w:rsidP="009D406B">
            <w:pPr>
              <w:jc w:val="both"/>
            </w:pPr>
            <w:r>
              <w:t>Nav</w:t>
            </w:r>
          </w:p>
        </w:tc>
      </w:tr>
    </w:tbl>
    <w:p w14:paraId="2BA15D34" w14:textId="77777777" w:rsidR="00DA721C" w:rsidRPr="00FB41DC" w:rsidRDefault="00DA721C" w:rsidP="00DA721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657"/>
        <w:gridCol w:w="5767"/>
      </w:tblGrid>
      <w:tr w:rsidR="00DA721C" w:rsidRPr="00FB41DC" w14:paraId="485B709B" w14:textId="77777777" w:rsidTr="009D406B">
        <w:tc>
          <w:tcPr>
            <w:tcW w:w="9287" w:type="dxa"/>
            <w:gridSpan w:val="3"/>
          </w:tcPr>
          <w:p w14:paraId="68816DBA" w14:textId="77777777" w:rsidR="00DA721C" w:rsidRPr="00FB41DC" w:rsidRDefault="00DA721C" w:rsidP="009D406B">
            <w:pPr>
              <w:jc w:val="center"/>
              <w:rPr>
                <w:b/>
              </w:rPr>
            </w:pPr>
            <w:r w:rsidRPr="00FB41DC">
              <w:rPr>
                <w:b/>
              </w:rPr>
              <w:t>II.</w:t>
            </w:r>
            <w:r>
              <w:rPr>
                <w:b/>
              </w:rPr>
              <w:t> </w:t>
            </w:r>
            <w:r w:rsidRPr="00FB41DC">
              <w:rPr>
                <w:b/>
              </w:rPr>
              <w:t>Tiesību akta projekta ietekme uz sabiedrību</w:t>
            </w:r>
          </w:p>
        </w:tc>
      </w:tr>
      <w:tr w:rsidR="00DA721C" w:rsidRPr="00FB41DC" w14:paraId="0FC5AF83" w14:textId="77777777" w:rsidTr="009D406B">
        <w:tc>
          <w:tcPr>
            <w:tcW w:w="648" w:type="dxa"/>
          </w:tcPr>
          <w:p w14:paraId="76FBC3B2" w14:textId="77777777" w:rsidR="00DA721C" w:rsidRPr="00FB41DC" w:rsidRDefault="00DA721C" w:rsidP="009D406B">
            <w:pPr>
              <w:jc w:val="center"/>
            </w:pPr>
            <w:r w:rsidRPr="00FB41DC">
              <w:t>1.</w:t>
            </w:r>
          </w:p>
        </w:tc>
        <w:tc>
          <w:tcPr>
            <w:tcW w:w="2700" w:type="dxa"/>
          </w:tcPr>
          <w:p w14:paraId="338F7841" w14:textId="77777777" w:rsidR="00DA721C" w:rsidRPr="00FB41DC" w:rsidRDefault="00DA721C" w:rsidP="009D406B">
            <w:r w:rsidRPr="00FB41DC">
              <w:t>Sabiedrības mērķgrupa</w:t>
            </w:r>
            <w:r>
              <w:t>s, kuras tiesiskais regulējums ietekmē vai varētu ietekmēt</w:t>
            </w:r>
          </w:p>
        </w:tc>
        <w:tc>
          <w:tcPr>
            <w:tcW w:w="5939" w:type="dxa"/>
          </w:tcPr>
          <w:p w14:paraId="2205215E" w14:textId="1DBAC24C" w:rsidR="00DA721C" w:rsidRDefault="00436C2E" w:rsidP="00CD1661">
            <w:pPr>
              <w:tabs>
                <w:tab w:val="left" w:pos="720"/>
              </w:tabs>
              <w:suppressAutoHyphens/>
              <w:spacing w:line="100" w:lineRule="atLeast"/>
              <w:jc w:val="both"/>
            </w:pPr>
            <w:r>
              <w:t>1. S</w:t>
            </w:r>
            <w:r w:rsidR="00BD572F">
              <w:t>eši</w:t>
            </w:r>
            <w:r w:rsidR="00DA721C">
              <w:t xml:space="preserve"> videi kaitīgo preču atkritumu apsaimniekotāji, kam ir tiesības saviem līgumpartneriem piešķirt atbrīvojumu no dabas resursu nodokļa samaksas par videi kaitīgām precēm;</w:t>
            </w:r>
          </w:p>
          <w:p w14:paraId="39DDDF20" w14:textId="20BCADC9" w:rsidR="00DA721C" w:rsidRPr="00FB41DC" w:rsidRDefault="00436C2E" w:rsidP="00CD1661">
            <w:pPr>
              <w:tabs>
                <w:tab w:val="left" w:pos="720"/>
              </w:tabs>
              <w:suppressAutoHyphens/>
              <w:spacing w:line="100" w:lineRule="atLeast"/>
              <w:jc w:val="both"/>
            </w:pPr>
            <w:r>
              <w:t>2. </w:t>
            </w:r>
            <w:r w:rsidR="00BD572F">
              <w:t>25 operatori, kuri nodrošina dzīvsudrabu saturošo atkritumu pagaidu uzglabāšanu</w:t>
            </w:r>
            <w:r w:rsidR="00DA721C">
              <w:t>.</w:t>
            </w:r>
          </w:p>
        </w:tc>
      </w:tr>
      <w:tr w:rsidR="00DA721C" w:rsidRPr="00CC4F9A" w14:paraId="214C98AD" w14:textId="77777777" w:rsidTr="009D406B">
        <w:tc>
          <w:tcPr>
            <w:tcW w:w="648" w:type="dxa"/>
            <w:shd w:val="clear" w:color="auto" w:fill="auto"/>
          </w:tcPr>
          <w:p w14:paraId="2DEAE2BF" w14:textId="77777777" w:rsidR="00DA721C" w:rsidRPr="00CC4F9A" w:rsidRDefault="00DA721C" w:rsidP="009D406B">
            <w:pPr>
              <w:jc w:val="center"/>
              <w:rPr>
                <w:highlight w:val="yellow"/>
              </w:rPr>
            </w:pPr>
            <w:r>
              <w:t>2</w:t>
            </w:r>
            <w:r w:rsidRPr="00331BA5">
              <w:t>.</w:t>
            </w:r>
          </w:p>
        </w:tc>
        <w:tc>
          <w:tcPr>
            <w:tcW w:w="2700" w:type="dxa"/>
            <w:shd w:val="clear" w:color="auto" w:fill="FFFFFF"/>
          </w:tcPr>
          <w:p w14:paraId="27098F08" w14:textId="77777777" w:rsidR="00DA721C" w:rsidRPr="00CC4F9A" w:rsidRDefault="00DA721C" w:rsidP="009D406B">
            <w:pPr>
              <w:rPr>
                <w:highlight w:val="yellow"/>
              </w:rPr>
            </w:pPr>
            <w:r w:rsidRPr="00331BA5">
              <w:t xml:space="preserve">Tiesiskā regulējuma </w:t>
            </w:r>
            <w:r>
              <w:t>ietekme uz tautsaimniecību un administratīvo slogu</w:t>
            </w:r>
          </w:p>
        </w:tc>
        <w:tc>
          <w:tcPr>
            <w:tcW w:w="5939" w:type="dxa"/>
            <w:shd w:val="clear" w:color="auto" w:fill="auto"/>
          </w:tcPr>
          <w:p w14:paraId="34C0F0FC" w14:textId="77777777" w:rsidR="00DA721C" w:rsidRDefault="00DA721C" w:rsidP="009D406B">
            <w:pPr>
              <w:pStyle w:val="tv213"/>
              <w:jc w:val="both"/>
            </w:pPr>
            <w:r>
              <w:t>Noteikumu projekta tiesiskā regulējuma ietekme uz tautsaimniecību un sabiedrības mērķgrupām, īpaši norādot, kāda būs ietekme:</w:t>
            </w:r>
          </w:p>
          <w:p w14:paraId="68E9CD89" w14:textId="77777777" w:rsidR="00DA721C" w:rsidRDefault="00DA721C" w:rsidP="009D406B">
            <w:pPr>
              <w:pStyle w:val="tv213"/>
              <w:jc w:val="both"/>
            </w:pPr>
            <w:r>
              <w:t>Nav paredzams, ka noteikumu projekta prasības radīs būtisku ietekmi uz uzņēmējdarbības vidi un maziem, vidējiem uzņēmumiem, mikrouzņēmumiem un jaunuzņēmumiem.</w:t>
            </w:r>
          </w:p>
          <w:p w14:paraId="6C7EE060" w14:textId="77777777" w:rsidR="00DA721C" w:rsidRDefault="00DA721C" w:rsidP="009D406B">
            <w:pPr>
              <w:pStyle w:val="tv213"/>
              <w:jc w:val="both"/>
            </w:pPr>
            <w:r>
              <w:t>Noteikumu projekta prasības neattiecas uz Nacionālā attīstības plāna 2014. – 2020. gadam rādītājiem mikrolīmenī vai makrolīmenī.</w:t>
            </w:r>
          </w:p>
          <w:p w14:paraId="5A72BA62" w14:textId="77777777" w:rsidR="00DA721C" w:rsidRDefault="00DA721C" w:rsidP="009D406B">
            <w:pPr>
              <w:pStyle w:val="tv213"/>
              <w:jc w:val="both"/>
            </w:pPr>
            <w:r>
              <w:t>Noteikumu projekta prasības neattiecas uz konkurenci.</w:t>
            </w:r>
          </w:p>
          <w:p w14:paraId="7E653703" w14:textId="77777777" w:rsidR="00DA721C" w:rsidRDefault="00DA721C" w:rsidP="009D406B">
            <w:pPr>
              <w:pStyle w:val="tv213"/>
              <w:jc w:val="both"/>
            </w:pPr>
            <w:r>
              <w:t>Noteikumu projekta ietekme uz vidi ir vērtējama</w:t>
            </w:r>
            <w:r w:rsidR="00A37EFA">
              <w:t xml:space="preserve"> pozitīvi, tā kā tiek noteiktas stingrākas prasības naftas produktu atkritumu un dzīvsudraba atkritumu apsaimniekošanai</w:t>
            </w:r>
            <w:r>
              <w:t xml:space="preserve">. </w:t>
            </w:r>
          </w:p>
          <w:p w14:paraId="0BFC6022" w14:textId="77777777" w:rsidR="00DA721C" w:rsidRDefault="00DA721C" w:rsidP="009D406B">
            <w:pPr>
              <w:pStyle w:val="tv213"/>
              <w:jc w:val="both"/>
            </w:pPr>
            <w:r>
              <w:t>Noteikumu projekta prasībām nav ietekmes uz veselību.</w:t>
            </w:r>
          </w:p>
          <w:p w14:paraId="6C00BD82" w14:textId="77777777" w:rsidR="00DA721C" w:rsidRDefault="00DA721C" w:rsidP="009D406B">
            <w:pPr>
              <w:pStyle w:val="tv213"/>
              <w:jc w:val="both"/>
            </w:pPr>
            <w:r>
              <w:t xml:space="preserve">Noteikumu projekta prasības neskar nevalstiskās organizācijas. </w:t>
            </w:r>
          </w:p>
          <w:p w14:paraId="7373172A" w14:textId="77777777" w:rsidR="00DA721C" w:rsidRPr="00DB4477" w:rsidRDefault="00DA721C" w:rsidP="009D406B">
            <w:pPr>
              <w:pStyle w:val="tv213"/>
              <w:jc w:val="both"/>
            </w:pPr>
            <w:r>
              <w:t xml:space="preserve">Sabiedrības grupām un institūcijām projekta tiesiskais regulējums nemaina tiesības un pienākumus, kā arī veicamās darbības. </w:t>
            </w:r>
          </w:p>
        </w:tc>
      </w:tr>
      <w:tr w:rsidR="00DA721C" w:rsidRPr="00FB41DC" w14:paraId="00533358" w14:textId="77777777" w:rsidTr="009D406B">
        <w:tc>
          <w:tcPr>
            <w:tcW w:w="648" w:type="dxa"/>
          </w:tcPr>
          <w:p w14:paraId="1289E66A" w14:textId="77777777" w:rsidR="00DA721C" w:rsidRPr="00FB41DC" w:rsidRDefault="00DA721C" w:rsidP="009D406B">
            <w:pPr>
              <w:jc w:val="center"/>
            </w:pPr>
            <w:r>
              <w:lastRenderedPageBreak/>
              <w:t>3</w:t>
            </w:r>
            <w:r w:rsidRPr="00FB41DC">
              <w:t>.</w:t>
            </w:r>
          </w:p>
        </w:tc>
        <w:tc>
          <w:tcPr>
            <w:tcW w:w="2700" w:type="dxa"/>
          </w:tcPr>
          <w:p w14:paraId="4F592183" w14:textId="77777777" w:rsidR="00DA721C" w:rsidRPr="00FB41DC" w:rsidRDefault="00DA721C" w:rsidP="009D406B">
            <w:r w:rsidRPr="00FB41DC">
              <w:t>Administratīvo izmaksu monetārs novērtējums</w:t>
            </w:r>
          </w:p>
        </w:tc>
        <w:tc>
          <w:tcPr>
            <w:tcW w:w="5939" w:type="dxa"/>
          </w:tcPr>
          <w:p w14:paraId="2967707D" w14:textId="77777777" w:rsidR="00DA721C" w:rsidRPr="00FB41DC" w:rsidRDefault="00DA721C" w:rsidP="009D406B">
            <w:r>
              <w:t xml:space="preserve">Projekts šo jomu neskar. </w:t>
            </w:r>
          </w:p>
        </w:tc>
      </w:tr>
      <w:tr w:rsidR="00DA721C" w:rsidRPr="00FB41DC" w14:paraId="7F2AB5F5" w14:textId="77777777" w:rsidTr="009D406B">
        <w:tc>
          <w:tcPr>
            <w:tcW w:w="648" w:type="dxa"/>
          </w:tcPr>
          <w:p w14:paraId="12E578D5" w14:textId="77777777" w:rsidR="00DA721C" w:rsidRDefault="00DA721C" w:rsidP="009D406B">
            <w:pPr>
              <w:jc w:val="center"/>
            </w:pPr>
            <w:r>
              <w:t>4.</w:t>
            </w:r>
          </w:p>
        </w:tc>
        <w:tc>
          <w:tcPr>
            <w:tcW w:w="2700" w:type="dxa"/>
          </w:tcPr>
          <w:p w14:paraId="08595043" w14:textId="77777777" w:rsidR="00DA721C" w:rsidRPr="00FB41DC" w:rsidRDefault="00DA721C" w:rsidP="009D406B">
            <w:r>
              <w:t>Atbilstības izmaksu monetārs novērtējums</w:t>
            </w:r>
          </w:p>
        </w:tc>
        <w:tc>
          <w:tcPr>
            <w:tcW w:w="5939" w:type="dxa"/>
          </w:tcPr>
          <w:p w14:paraId="6568C3C1" w14:textId="77777777" w:rsidR="00DA721C" w:rsidRDefault="00DA721C" w:rsidP="009D406B">
            <w:r>
              <w:t>Projekts šo jomu neskar.</w:t>
            </w:r>
          </w:p>
        </w:tc>
      </w:tr>
      <w:tr w:rsidR="00DA721C" w:rsidRPr="00FB41DC" w14:paraId="030EE340" w14:textId="77777777" w:rsidTr="009D406B">
        <w:tc>
          <w:tcPr>
            <w:tcW w:w="648" w:type="dxa"/>
          </w:tcPr>
          <w:p w14:paraId="24936B2C" w14:textId="77777777" w:rsidR="00DA721C" w:rsidRPr="00FB41DC" w:rsidRDefault="00DA721C" w:rsidP="009D406B">
            <w:pPr>
              <w:jc w:val="center"/>
            </w:pPr>
            <w:r>
              <w:t>5</w:t>
            </w:r>
            <w:r w:rsidRPr="00FB41DC">
              <w:t>.</w:t>
            </w:r>
          </w:p>
        </w:tc>
        <w:tc>
          <w:tcPr>
            <w:tcW w:w="2700" w:type="dxa"/>
          </w:tcPr>
          <w:p w14:paraId="46833181" w14:textId="77777777" w:rsidR="00DA721C" w:rsidRPr="00FB41DC" w:rsidRDefault="00DA721C" w:rsidP="009D406B">
            <w:r w:rsidRPr="00FB41DC">
              <w:t>Cita informācija</w:t>
            </w:r>
          </w:p>
        </w:tc>
        <w:tc>
          <w:tcPr>
            <w:tcW w:w="5939" w:type="dxa"/>
          </w:tcPr>
          <w:p w14:paraId="320EF662" w14:textId="0163B923" w:rsidR="00DA721C" w:rsidRPr="00FB41DC" w:rsidRDefault="00DA721C" w:rsidP="009D406B">
            <w:pPr>
              <w:jc w:val="both"/>
            </w:pPr>
            <w:r>
              <w:t>Nav</w:t>
            </w:r>
          </w:p>
        </w:tc>
      </w:tr>
    </w:tbl>
    <w:p w14:paraId="6D30B2F6" w14:textId="77777777" w:rsidR="00DA721C" w:rsidRDefault="00DA721C" w:rsidP="00DA721C"/>
    <w:tbl>
      <w:tblPr>
        <w:tblStyle w:val="TableGrid"/>
        <w:tblW w:w="9101" w:type="dxa"/>
        <w:tblInd w:w="-34" w:type="dxa"/>
        <w:tblLook w:val="04A0" w:firstRow="1" w:lastRow="0" w:firstColumn="1" w:lastColumn="0" w:noHBand="0" w:noVBand="1"/>
      </w:tblPr>
      <w:tblGrid>
        <w:gridCol w:w="9101"/>
      </w:tblGrid>
      <w:tr w:rsidR="00DA721C" w14:paraId="5FB99474" w14:textId="77777777" w:rsidTr="009D406B">
        <w:tc>
          <w:tcPr>
            <w:tcW w:w="9101" w:type="dxa"/>
            <w:tcBorders>
              <w:top w:val="single" w:sz="4" w:space="0" w:color="auto"/>
              <w:left w:val="single" w:sz="4" w:space="0" w:color="auto"/>
              <w:bottom w:val="single" w:sz="4" w:space="0" w:color="auto"/>
              <w:right w:val="single" w:sz="4" w:space="0" w:color="auto"/>
            </w:tcBorders>
            <w:hideMark/>
          </w:tcPr>
          <w:p w14:paraId="004E87BA" w14:textId="77777777" w:rsidR="00DA721C" w:rsidRDefault="00DA721C" w:rsidP="009D406B">
            <w:pPr>
              <w:jc w:val="center"/>
              <w:rPr>
                <w:b/>
              </w:rPr>
            </w:pPr>
            <w:r>
              <w:rPr>
                <w:b/>
              </w:rPr>
              <w:t>III. Tiesību akta projekta ietekme uz valsts budžetu un pašvaldību budžetiem</w:t>
            </w:r>
          </w:p>
        </w:tc>
      </w:tr>
      <w:tr w:rsidR="00DA721C" w14:paraId="0BFF9CAE" w14:textId="77777777" w:rsidTr="009D406B">
        <w:tc>
          <w:tcPr>
            <w:tcW w:w="9101" w:type="dxa"/>
            <w:tcBorders>
              <w:top w:val="single" w:sz="4" w:space="0" w:color="auto"/>
              <w:left w:val="single" w:sz="4" w:space="0" w:color="auto"/>
              <w:bottom w:val="single" w:sz="4" w:space="0" w:color="auto"/>
              <w:right w:val="single" w:sz="4" w:space="0" w:color="auto"/>
            </w:tcBorders>
            <w:hideMark/>
          </w:tcPr>
          <w:p w14:paraId="6D811495" w14:textId="77777777" w:rsidR="00DA721C" w:rsidRDefault="00DA721C" w:rsidP="009D406B">
            <w:pPr>
              <w:jc w:val="center"/>
            </w:pPr>
            <w:r>
              <w:t>Projekts šo jomu neskar.</w:t>
            </w:r>
          </w:p>
        </w:tc>
      </w:tr>
    </w:tbl>
    <w:p w14:paraId="682A7F1F" w14:textId="77777777" w:rsidR="00DA721C" w:rsidRDefault="00DA721C" w:rsidP="00DA721C"/>
    <w:tbl>
      <w:tblPr>
        <w:tblStyle w:val="TableGrid"/>
        <w:tblW w:w="9101" w:type="dxa"/>
        <w:tblInd w:w="-34" w:type="dxa"/>
        <w:tblLook w:val="04A0" w:firstRow="1" w:lastRow="0" w:firstColumn="1" w:lastColumn="0" w:noHBand="0" w:noVBand="1"/>
      </w:tblPr>
      <w:tblGrid>
        <w:gridCol w:w="9101"/>
      </w:tblGrid>
      <w:tr w:rsidR="00DA721C" w14:paraId="78CD32E9" w14:textId="77777777" w:rsidTr="009D406B">
        <w:tc>
          <w:tcPr>
            <w:tcW w:w="9101" w:type="dxa"/>
            <w:tcBorders>
              <w:top w:val="single" w:sz="4" w:space="0" w:color="auto"/>
              <w:left w:val="single" w:sz="4" w:space="0" w:color="auto"/>
              <w:bottom w:val="single" w:sz="4" w:space="0" w:color="auto"/>
              <w:right w:val="single" w:sz="4" w:space="0" w:color="auto"/>
            </w:tcBorders>
            <w:hideMark/>
          </w:tcPr>
          <w:p w14:paraId="415BC624" w14:textId="77777777" w:rsidR="00DA721C" w:rsidRDefault="00DA721C" w:rsidP="009D406B">
            <w:pPr>
              <w:jc w:val="center"/>
              <w:rPr>
                <w:b/>
              </w:rPr>
            </w:pPr>
            <w:r>
              <w:rPr>
                <w:b/>
              </w:rPr>
              <w:t>IV. Tiesību akta projekta ietekme uz spēkā esošo tiesību normu sistēmu</w:t>
            </w:r>
          </w:p>
        </w:tc>
      </w:tr>
      <w:tr w:rsidR="00DA721C" w14:paraId="396C67CA" w14:textId="77777777" w:rsidTr="009D406B">
        <w:tc>
          <w:tcPr>
            <w:tcW w:w="9101" w:type="dxa"/>
            <w:tcBorders>
              <w:top w:val="single" w:sz="4" w:space="0" w:color="auto"/>
              <w:left w:val="single" w:sz="4" w:space="0" w:color="auto"/>
              <w:bottom w:val="single" w:sz="4" w:space="0" w:color="auto"/>
              <w:right w:val="single" w:sz="4" w:space="0" w:color="auto"/>
            </w:tcBorders>
            <w:hideMark/>
          </w:tcPr>
          <w:p w14:paraId="7326FAB2" w14:textId="77777777" w:rsidR="00DA721C" w:rsidRDefault="00DA721C" w:rsidP="009D406B">
            <w:pPr>
              <w:jc w:val="center"/>
            </w:pPr>
            <w:r>
              <w:t>Projekts šo jomu neskar.</w:t>
            </w:r>
          </w:p>
        </w:tc>
      </w:tr>
    </w:tbl>
    <w:p w14:paraId="0ED6843B" w14:textId="77777777" w:rsidR="00DA721C" w:rsidRDefault="00DA721C" w:rsidP="00DA721C"/>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2901"/>
        <w:gridCol w:w="5785"/>
      </w:tblGrid>
      <w:tr w:rsidR="00DA721C" w:rsidRPr="00FB41DC" w14:paraId="27D91160" w14:textId="77777777" w:rsidTr="00DE3C09">
        <w:trPr>
          <w:jc w:val="center"/>
        </w:trPr>
        <w:tc>
          <w:tcPr>
            <w:tcW w:w="9209" w:type="dxa"/>
            <w:gridSpan w:val="3"/>
          </w:tcPr>
          <w:p w14:paraId="569B88B9" w14:textId="77777777" w:rsidR="00DA721C" w:rsidRPr="00FB41DC" w:rsidRDefault="00DA721C" w:rsidP="009D406B">
            <w:pPr>
              <w:pStyle w:val="naisnod"/>
              <w:spacing w:before="0" w:after="0"/>
            </w:pPr>
            <w:r w:rsidRPr="00FB41DC">
              <w:t>V.</w:t>
            </w:r>
            <w:r>
              <w:t> </w:t>
            </w:r>
            <w:r w:rsidRPr="00FB41DC">
              <w:t>Tiesību akta projekta atbilstība Latvijas Republikas starptautiskajām saistībām</w:t>
            </w:r>
          </w:p>
        </w:tc>
      </w:tr>
      <w:tr w:rsidR="00DA721C" w:rsidRPr="0062273E" w14:paraId="3435CB75" w14:textId="77777777" w:rsidTr="00DE3C09">
        <w:trPr>
          <w:jc w:val="center"/>
        </w:trPr>
        <w:tc>
          <w:tcPr>
            <w:tcW w:w="523" w:type="dxa"/>
          </w:tcPr>
          <w:p w14:paraId="4D7C667E" w14:textId="77777777" w:rsidR="00DA721C" w:rsidRPr="0062273E" w:rsidRDefault="00DA721C" w:rsidP="009D406B">
            <w:pPr>
              <w:pStyle w:val="naiskr"/>
              <w:tabs>
                <w:tab w:val="left" w:pos="2628"/>
              </w:tabs>
              <w:spacing w:before="0" w:after="0"/>
              <w:jc w:val="both"/>
            </w:pPr>
            <w:r w:rsidRPr="0062273E">
              <w:t>1.</w:t>
            </w:r>
          </w:p>
        </w:tc>
        <w:tc>
          <w:tcPr>
            <w:tcW w:w="2901" w:type="dxa"/>
          </w:tcPr>
          <w:p w14:paraId="3874C8B7" w14:textId="77777777" w:rsidR="00DA721C" w:rsidRPr="004B69A2" w:rsidRDefault="00DA721C" w:rsidP="009D406B">
            <w:pPr>
              <w:pStyle w:val="naiskr"/>
              <w:tabs>
                <w:tab w:val="left" w:pos="2628"/>
              </w:tabs>
              <w:spacing w:before="0" w:after="0"/>
              <w:jc w:val="both"/>
            </w:pPr>
            <w:r w:rsidRPr="004B69A2">
              <w:t>Saistības pret Eiropas Savienību</w:t>
            </w:r>
          </w:p>
        </w:tc>
        <w:tc>
          <w:tcPr>
            <w:tcW w:w="5785" w:type="dxa"/>
          </w:tcPr>
          <w:p w14:paraId="381DF641" w14:textId="044CE41F" w:rsidR="00DA721C" w:rsidRDefault="00AA0D62" w:rsidP="009D406B">
            <w:pPr>
              <w:pStyle w:val="naisc"/>
              <w:spacing w:before="0" w:after="0"/>
              <w:ind w:left="7" w:hanging="7"/>
              <w:jc w:val="both"/>
            </w:pPr>
            <w:r>
              <w:t>1. </w:t>
            </w:r>
            <w:r w:rsidR="00122D68">
              <w:t>Direktīva 2018/851/ES (OV L 150, 14.6.2018., 109</w:t>
            </w:r>
            <w:r w:rsidR="00DA721C">
              <w:t>.lpp.)</w:t>
            </w:r>
          </w:p>
          <w:p w14:paraId="7344DF42" w14:textId="14D81C2E" w:rsidR="005F64F4" w:rsidRPr="00483F49" w:rsidRDefault="00AA0D62" w:rsidP="009D406B">
            <w:pPr>
              <w:pStyle w:val="naisc"/>
              <w:spacing w:before="0" w:after="0"/>
              <w:ind w:left="7"/>
              <w:jc w:val="both"/>
            </w:pPr>
            <w:r>
              <w:t>2. </w:t>
            </w:r>
            <w:r w:rsidR="005F64F4" w:rsidRPr="00A12D9B">
              <w:t>Regula Nr.2017/852/ES</w:t>
            </w:r>
            <w:r w:rsidR="005F64F4">
              <w:t xml:space="preserve"> (</w:t>
            </w:r>
            <w:r w:rsidR="00F73BCE">
              <w:rPr>
                <w:rStyle w:val="Emphasis"/>
                <w:i w:val="0"/>
              </w:rPr>
              <w:t>OV L 137, 24.5.2017., 1.-</w:t>
            </w:r>
            <w:r w:rsidR="005F64F4" w:rsidRPr="005F64F4">
              <w:rPr>
                <w:rStyle w:val="Emphasis"/>
                <w:i w:val="0"/>
              </w:rPr>
              <w:t>21. lpp.</w:t>
            </w:r>
            <w:r w:rsidR="005F64F4">
              <w:rPr>
                <w:rStyle w:val="Emphasis"/>
                <w:i w:val="0"/>
              </w:rPr>
              <w:t>)</w:t>
            </w:r>
          </w:p>
        </w:tc>
      </w:tr>
      <w:tr w:rsidR="00DA721C" w:rsidRPr="00FB41DC" w14:paraId="2BEE96EE" w14:textId="77777777" w:rsidTr="00DE3C09">
        <w:trPr>
          <w:jc w:val="center"/>
        </w:trPr>
        <w:tc>
          <w:tcPr>
            <w:tcW w:w="523" w:type="dxa"/>
          </w:tcPr>
          <w:p w14:paraId="0ECB1150" w14:textId="77777777" w:rsidR="00DA721C" w:rsidRPr="00FB41DC" w:rsidRDefault="00DA721C" w:rsidP="009D406B">
            <w:pPr>
              <w:pStyle w:val="naiskr"/>
              <w:tabs>
                <w:tab w:val="left" w:pos="2628"/>
              </w:tabs>
              <w:spacing w:before="0" w:after="0"/>
              <w:jc w:val="both"/>
            </w:pPr>
            <w:r w:rsidRPr="00FB41DC">
              <w:t>2.</w:t>
            </w:r>
          </w:p>
        </w:tc>
        <w:tc>
          <w:tcPr>
            <w:tcW w:w="2901" w:type="dxa"/>
          </w:tcPr>
          <w:p w14:paraId="1F63DA52" w14:textId="77777777" w:rsidR="00DA721C" w:rsidRPr="00FB41DC" w:rsidRDefault="00DA721C" w:rsidP="009D406B">
            <w:pPr>
              <w:pStyle w:val="naiskr"/>
              <w:tabs>
                <w:tab w:val="left" w:pos="2628"/>
              </w:tabs>
              <w:spacing w:before="0" w:after="0"/>
              <w:jc w:val="both"/>
            </w:pPr>
            <w:r w:rsidRPr="00FB41DC">
              <w:t>Citas starptautiskās saistības</w:t>
            </w:r>
          </w:p>
        </w:tc>
        <w:tc>
          <w:tcPr>
            <w:tcW w:w="5785" w:type="dxa"/>
          </w:tcPr>
          <w:p w14:paraId="54BB2E5D" w14:textId="77777777" w:rsidR="00DA721C" w:rsidRPr="00FB41DC" w:rsidRDefault="00DA721C" w:rsidP="009D406B">
            <w:pPr>
              <w:pStyle w:val="naiskr"/>
              <w:tabs>
                <w:tab w:val="left" w:pos="2628"/>
              </w:tabs>
              <w:spacing w:before="0" w:after="0"/>
              <w:jc w:val="both"/>
            </w:pPr>
            <w:r>
              <w:t>Projekts šo jomu neskar.</w:t>
            </w:r>
          </w:p>
        </w:tc>
      </w:tr>
      <w:tr w:rsidR="00DA721C" w:rsidRPr="00FB41DC" w14:paraId="44C98415" w14:textId="77777777" w:rsidTr="00DE3C09">
        <w:trPr>
          <w:jc w:val="center"/>
        </w:trPr>
        <w:tc>
          <w:tcPr>
            <w:tcW w:w="523" w:type="dxa"/>
          </w:tcPr>
          <w:p w14:paraId="7B20E693" w14:textId="77777777" w:rsidR="00DA721C" w:rsidRPr="00FB41DC" w:rsidRDefault="00DA721C" w:rsidP="009D406B">
            <w:pPr>
              <w:pStyle w:val="naiskr"/>
              <w:tabs>
                <w:tab w:val="left" w:pos="2628"/>
              </w:tabs>
              <w:spacing w:before="0" w:after="0"/>
              <w:jc w:val="both"/>
            </w:pPr>
            <w:r w:rsidRPr="00FB41DC">
              <w:t>3.</w:t>
            </w:r>
          </w:p>
        </w:tc>
        <w:tc>
          <w:tcPr>
            <w:tcW w:w="2901" w:type="dxa"/>
          </w:tcPr>
          <w:p w14:paraId="383A857F" w14:textId="77777777" w:rsidR="00DA721C" w:rsidRPr="00FB41DC" w:rsidRDefault="00DA721C" w:rsidP="009D406B">
            <w:pPr>
              <w:pStyle w:val="naiskr"/>
              <w:tabs>
                <w:tab w:val="left" w:pos="2628"/>
              </w:tabs>
              <w:spacing w:before="0" w:after="0"/>
              <w:jc w:val="both"/>
            </w:pPr>
            <w:r w:rsidRPr="00FB41DC">
              <w:t>Cita informācija</w:t>
            </w:r>
          </w:p>
        </w:tc>
        <w:tc>
          <w:tcPr>
            <w:tcW w:w="5785" w:type="dxa"/>
          </w:tcPr>
          <w:p w14:paraId="382028C9" w14:textId="77777777" w:rsidR="00DA721C" w:rsidRPr="00FB41DC" w:rsidRDefault="00DA721C" w:rsidP="009D406B">
            <w:pPr>
              <w:pStyle w:val="naiskr"/>
              <w:tabs>
                <w:tab w:val="left" w:pos="2628"/>
              </w:tabs>
              <w:spacing w:before="0" w:after="0"/>
              <w:jc w:val="both"/>
            </w:pPr>
            <w:r>
              <w:t>Nav</w:t>
            </w:r>
          </w:p>
        </w:tc>
      </w:tr>
    </w:tbl>
    <w:p w14:paraId="01DCE409" w14:textId="77777777" w:rsidR="00DA721C" w:rsidRPr="00FB41DC" w:rsidRDefault="00DA721C" w:rsidP="00DA721C">
      <w:pPr>
        <w:pStyle w:val="naisf"/>
        <w:spacing w:before="0" w:after="0"/>
        <w:ind w:firstLine="0"/>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5"/>
        <w:gridCol w:w="1788"/>
        <w:gridCol w:w="1701"/>
        <w:gridCol w:w="3827"/>
      </w:tblGrid>
      <w:tr w:rsidR="00DA721C" w14:paraId="22334A2E" w14:textId="77777777" w:rsidTr="00DE3C09">
        <w:trPr>
          <w:trHeight w:val="313"/>
          <w:jc w:val="center"/>
        </w:trPr>
        <w:tc>
          <w:tcPr>
            <w:tcW w:w="2035" w:type="dxa"/>
          </w:tcPr>
          <w:p w14:paraId="1224EEE9" w14:textId="77777777" w:rsidR="00DA721C" w:rsidRPr="00D062F9" w:rsidRDefault="00DA721C" w:rsidP="009D406B">
            <w:pPr>
              <w:pStyle w:val="naiskr"/>
              <w:spacing w:before="0" w:after="0"/>
              <w:rPr>
                <w:b/>
              </w:rPr>
            </w:pPr>
            <w:r w:rsidRPr="00D062F9">
              <w:rPr>
                <w:b/>
              </w:rPr>
              <w:t>Attiecīgā ES tiesību akta datums, numurs un nosaukums</w:t>
            </w:r>
          </w:p>
        </w:tc>
        <w:tc>
          <w:tcPr>
            <w:tcW w:w="7316" w:type="dxa"/>
            <w:gridSpan w:val="3"/>
            <w:vAlign w:val="center"/>
          </w:tcPr>
          <w:p w14:paraId="2DEE189F" w14:textId="77777777" w:rsidR="00DA721C" w:rsidRPr="00D062F9" w:rsidRDefault="00DA721C" w:rsidP="009D406B">
            <w:pPr>
              <w:pStyle w:val="naiskr"/>
              <w:spacing w:before="0" w:after="0"/>
              <w:rPr>
                <w:b/>
              </w:rPr>
            </w:pPr>
            <w:r w:rsidRPr="00D062F9">
              <w:rPr>
                <w:rStyle w:val="Strong"/>
              </w:rPr>
              <w:t>Direktīva</w:t>
            </w:r>
            <w:r w:rsidR="002659D4">
              <w:rPr>
                <w:b/>
              </w:rPr>
              <w:t xml:space="preserve"> 2018/851</w:t>
            </w:r>
            <w:r w:rsidRPr="00D062F9">
              <w:rPr>
                <w:b/>
              </w:rPr>
              <w:t>/ES</w:t>
            </w:r>
          </w:p>
        </w:tc>
      </w:tr>
      <w:tr w:rsidR="00DA721C" w14:paraId="6C0674D1" w14:textId="77777777" w:rsidTr="00DE3C09">
        <w:trPr>
          <w:trHeight w:val="313"/>
          <w:jc w:val="center"/>
        </w:trPr>
        <w:tc>
          <w:tcPr>
            <w:tcW w:w="2035" w:type="dxa"/>
            <w:vAlign w:val="center"/>
          </w:tcPr>
          <w:p w14:paraId="24B185F4" w14:textId="77777777" w:rsidR="00DA721C" w:rsidRDefault="00DA721C" w:rsidP="009D406B">
            <w:pPr>
              <w:pStyle w:val="naiskr"/>
              <w:spacing w:before="0" w:after="0"/>
              <w:jc w:val="center"/>
            </w:pPr>
            <w:r>
              <w:t>A</w:t>
            </w:r>
          </w:p>
        </w:tc>
        <w:tc>
          <w:tcPr>
            <w:tcW w:w="1788" w:type="dxa"/>
            <w:vAlign w:val="center"/>
          </w:tcPr>
          <w:p w14:paraId="496CA0CE" w14:textId="77777777" w:rsidR="00DA721C" w:rsidRDefault="00DA721C" w:rsidP="009D406B">
            <w:pPr>
              <w:pStyle w:val="naiskr"/>
              <w:spacing w:before="0" w:after="0"/>
              <w:jc w:val="center"/>
            </w:pPr>
            <w:r>
              <w:t>B</w:t>
            </w:r>
          </w:p>
        </w:tc>
        <w:tc>
          <w:tcPr>
            <w:tcW w:w="1701" w:type="dxa"/>
            <w:vAlign w:val="center"/>
          </w:tcPr>
          <w:p w14:paraId="6761DD65" w14:textId="77777777" w:rsidR="00DA721C" w:rsidRDefault="00DA721C" w:rsidP="009D406B">
            <w:pPr>
              <w:pStyle w:val="naiskr"/>
              <w:spacing w:before="0" w:after="0"/>
              <w:jc w:val="center"/>
            </w:pPr>
            <w:r>
              <w:t>C</w:t>
            </w:r>
          </w:p>
        </w:tc>
        <w:tc>
          <w:tcPr>
            <w:tcW w:w="3827" w:type="dxa"/>
            <w:vAlign w:val="center"/>
          </w:tcPr>
          <w:p w14:paraId="30774E60" w14:textId="77777777" w:rsidR="00DA721C" w:rsidRDefault="00DA721C" w:rsidP="009D406B">
            <w:pPr>
              <w:pStyle w:val="naiskr"/>
              <w:spacing w:before="0" w:after="0"/>
              <w:jc w:val="center"/>
            </w:pPr>
            <w:r>
              <w:t>D</w:t>
            </w:r>
          </w:p>
        </w:tc>
      </w:tr>
      <w:tr w:rsidR="00DA721C" w14:paraId="0E7C3509" w14:textId="77777777" w:rsidTr="00DE3C09">
        <w:trPr>
          <w:trHeight w:val="313"/>
          <w:jc w:val="center"/>
        </w:trPr>
        <w:tc>
          <w:tcPr>
            <w:tcW w:w="2035" w:type="dxa"/>
          </w:tcPr>
          <w:p w14:paraId="4EBC5BC1" w14:textId="77777777" w:rsidR="00DA721C" w:rsidRDefault="00DA721C" w:rsidP="009D406B">
            <w:pPr>
              <w:pStyle w:val="naiskr"/>
              <w:spacing w:before="0" w:after="0"/>
              <w:jc w:val="both"/>
            </w:pPr>
            <w:r w:rsidRPr="00C76D9A">
              <w:rPr>
                <w:sz w:val="18"/>
              </w:rPr>
              <w:t>Attiecīgā ES tiesību akta panta numurs (uzskaitot katru tiesību akta vienību – pantu, daļu, punktu, apakšpunktu)</w:t>
            </w:r>
          </w:p>
        </w:tc>
        <w:tc>
          <w:tcPr>
            <w:tcW w:w="1788" w:type="dxa"/>
          </w:tcPr>
          <w:p w14:paraId="2B18CF42" w14:textId="77777777" w:rsidR="00DA721C" w:rsidRDefault="00DA721C" w:rsidP="009D406B">
            <w:pPr>
              <w:pStyle w:val="naiskr"/>
              <w:spacing w:before="0" w:after="0"/>
              <w:jc w:val="both"/>
            </w:pPr>
            <w:r w:rsidRPr="00C76D9A">
              <w:rPr>
                <w:sz w:val="18"/>
              </w:rPr>
              <w:t>Projekta vienība, kas pārņem vai ievieš katru šīs tabulas A ailē minēto ES tiesību akta vienību, vai tiesību akts, kur attiecīgā ES tiesību akta vienība pārņemta vai ieviesta</w:t>
            </w:r>
          </w:p>
        </w:tc>
        <w:tc>
          <w:tcPr>
            <w:tcW w:w="1701" w:type="dxa"/>
          </w:tcPr>
          <w:p w14:paraId="71D3F023" w14:textId="77777777" w:rsidR="00DA721C" w:rsidRDefault="00DA721C" w:rsidP="009D406B">
            <w:pPr>
              <w:pStyle w:val="naiskr"/>
              <w:spacing w:before="0" w:after="0"/>
              <w:jc w:val="both"/>
            </w:pPr>
            <w:r w:rsidRPr="00C76D9A">
              <w:rPr>
                <w:sz w:val="18"/>
              </w:rPr>
              <w:t>Informācija par to, vai šīs tabulas A ailē 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3827" w:type="dxa"/>
          </w:tcPr>
          <w:p w14:paraId="6AB074C2" w14:textId="77777777" w:rsidR="00DA721C" w:rsidRDefault="00DA721C" w:rsidP="009D406B">
            <w:pPr>
              <w:pStyle w:val="naiskr"/>
              <w:spacing w:before="0" w:after="0"/>
              <w:jc w:val="both"/>
            </w:pPr>
            <w:r w:rsidRPr="00C76D9A">
              <w:rPr>
                <w:sz w:val="18"/>
              </w:rPr>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5950F0" w14:paraId="1DFC9C27" w14:textId="77777777" w:rsidTr="00DE3C09">
        <w:trPr>
          <w:trHeight w:val="313"/>
          <w:jc w:val="center"/>
        </w:trPr>
        <w:tc>
          <w:tcPr>
            <w:tcW w:w="2035" w:type="dxa"/>
          </w:tcPr>
          <w:p w14:paraId="4E0B45BA" w14:textId="6C09BDA9" w:rsidR="005950F0" w:rsidRPr="00651A51" w:rsidRDefault="005950F0" w:rsidP="005950F0">
            <w:pPr>
              <w:pStyle w:val="naiskr"/>
              <w:spacing w:before="0" w:after="0"/>
              <w:rPr>
                <w:sz w:val="22"/>
                <w:szCs w:val="22"/>
              </w:rPr>
            </w:pPr>
            <w:r w:rsidRPr="00651A51">
              <w:rPr>
                <w:sz w:val="22"/>
                <w:szCs w:val="22"/>
              </w:rPr>
              <w:t xml:space="preserve">1.panta 18.punkta a) punkts (Direktīvas 2008/98/ES 21.panta 1.punkta </w:t>
            </w:r>
            <w:r w:rsidR="005F64F4">
              <w:rPr>
                <w:sz w:val="22"/>
                <w:szCs w:val="22"/>
              </w:rPr>
              <w:t>a) apakšpunkts</w:t>
            </w:r>
            <w:r w:rsidRPr="00651A51">
              <w:rPr>
                <w:sz w:val="22"/>
                <w:szCs w:val="22"/>
              </w:rPr>
              <w:t>)</w:t>
            </w:r>
          </w:p>
        </w:tc>
        <w:tc>
          <w:tcPr>
            <w:tcW w:w="1788" w:type="dxa"/>
          </w:tcPr>
          <w:p w14:paraId="217ED7E6" w14:textId="77777777" w:rsidR="005950F0" w:rsidRPr="00651A51" w:rsidRDefault="00BE5AFA" w:rsidP="005950F0">
            <w:pPr>
              <w:pStyle w:val="naiskr"/>
              <w:spacing w:before="0" w:after="0"/>
              <w:rPr>
                <w:sz w:val="22"/>
                <w:szCs w:val="22"/>
              </w:rPr>
            </w:pPr>
            <w:r>
              <w:rPr>
                <w:sz w:val="22"/>
                <w:szCs w:val="22"/>
              </w:rPr>
              <w:t>MK noteikumu Nr.485 8.punkts</w:t>
            </w:r>
          </w:p>
        </w:tc>
        <w:tc>
          <w:tcPr>
            <w:tcW w:w="1701" w:type="dxa"/>
          </w:tcPr>
          <w:p w14:paraId="1A2D588A" w14:textId="77777777" w:rsidR="005950F0" w:rsidRPr="00651A51" w:rsidRDefault="00BE5AFA" w:rsidP="005950F0">
            <w:pPr>
              <w:pStyle w:val="naiskr"/>
              <w:spacing w:before="0" w:after="0"/>
              <w:rPr>
                <w:sz w:val="22"/>
                <w:szCs w:val="22"/>
              </w:rPr>
            </w:pPr>
            <w:r>
              <w:rPr>
                <w:sz w:val="22"/>
                <w:szCs w:val="22"/>
              </w:rPr>
              <w:t>Pārņemts pilnībā</w:t>
            </w:r>
          </w:p>
        </w:tc>
        <w:tc>
          <w:tcPr>
            <w:tcW w:w="3827" w:type="dxa"/>
          </w:tcPr>
          <w:p w14:paraId="58AA72A2" w14:textId="77777777" w:rsidR="005950F0" w:rsidRPr="00651A51" w:rsidRDefault="005950F0" w:rsidP="005950F0">
            <w:pPr>
              <w:pStyle w:val="naiskr"/>
              <w:spacing w:before="0" w:after="0"/>
              <w:rPr>
                <w:sz w:val="22"/>
                <w:szCs w:val="22"/>
              </w:rPr>
            </w:pPr>
            <w:r>
              <w:rPr>
                <w:sz w:val="22"/>
                <w:szCs w:val="22"/>
              </w:rPr>
              <w:t xml:space="preserve">Netiek noteiktas stingrākas prasības. </w:t>
            </w:r>
          </w:p>
        </w:tc>
      </w:tr>
      <w:tr w:rsidR="00BE5AFA" w14:paraId="709CE7EC" w14:textId="77777777" w:rsidTr="00DE3C09">
        <w:trPr>
          <w:trHeight w:val="313"/>
          <w:jc w:val="center"/>
        </w:trPr>
        <w:tc>
          <w:tcPr>
            <w:tcW w:w="2035" w:type="dxa"/>
          </w:tcPr>
          <w:p w14:paraId="7EFF3BD6" w14:textId="77777777" w:rsidR="00BE5AFA" w:rsidRDefault="00BE5AFA" w:rsidP="00BE5AFA">
            <w:pPr>
              <w:pStyle w:val="naiskr"/>
              <w:spacing w:before="0" w:after="0"/>
              <w:jc w:val="both"/>
              <w:rPr>
                <w:sz w:val="22"/>
                <w:szCs w:val="22"/>
              </w:rPr>
            </w:pPr>
            <w:r w:rsidRPr="00651A51">
              <w:rPr>
                <w:sz w:val="22"/>
                <w:szCs w:val="22"/>
              </w:rPr>
              <w:t xml:space="preserve">1.panta 18.punkta a) punkts (Direktīvas 2008/98/ES 21.panta 1.punkta </w:t>
            </w:r>
          </w:p>
          <w:p w14:paraId="20A77F60" w14:textId="77777777" w:rsidR="00BE5AFA" w:rsidRDefault="00BE5AFA" w:rsidP="00BE5AFA">
            <w:pPr>
              <w:pStyle w:val="naiskr"/>
              <w:spacing w:before="0" w:after="0"/>
              <w:jc w:val="both"/>
            </w:pPr>
            <w:r>
              <w:rPr>
                <w:sz w:val="22"/>
                <w:szCs w:val="22"/>
              </w:rPr>
              <w:t>b)</w:t>
            </w:r>
            <w:r w:rsidRPr="00651A51">
              <w:rPr>
                <w:sz w:val="22"/>
                <w:szCs w:val="22"/>
              </w:rPr>
              <w:t xml:space="preserve"> apakšpunkts)</w:t>
            </w:r>
          </w:p>
        </w:tc>
        <w:tc>
          <w:tcPr>
            <w:tcW w:w="1788" w:type="dxa"/>
          </w:tcPr>
          <w:p w14:paraId="54CE3873" w14:textId="0F5C8629" w:rsidR="00BE5AFA" w:rsidRDefault="005F64F4" w:rsidP="00BE5AFA">
            <w:pPr>
              <w:pStyle w:val="naiskr"/>
              <w:spacing w:before="0" w:after="0"/>
              <w:jc w:val="both"/>
            </w:pPr>
            <w:r>
              <w:t>1.</w:t>
            </w:r>
            <w:r w:rsidR="00BE5AFA">
              <w:t>punkts</w:t>
            </w:r>
            <w:r>
              <w:t xml:space="preserve"> (9.1.apakšpunktaa precizētā redakcija)</w:t>
            </w:r>
          </w:p>
        </w:tc>
        <w:tc>
          <w:tcPr>
            <w:tcW w:w="1701" w:type="dxa"/>
          </w:tcPr>
          <w:p w14:paraId="065884EC" w14:textId="77777777" w:rsidR="00BE5AFA" w:rsidRPr="00651A51" w:rsidRDefault="00BE5AFA" w:rsidP="00BE5AFA">
            <w:pPr>
              <w:pStyle w:val="naiskr"/>
              <w:spacing w:before="0" w:after="0"/>
              <w:rPr>
                <w:sz w:val="22"/>
                <w:szCs w:val="22"/>
              </w:rPr>
            </w:pPr>
            <w:r>
              <w:rPr>
                <w:sz w:val="22"/>
                <w:szCs w:val="22"/>
              </w:rPr>
              <w:t>Pārņemts pilnībā</w:t>
            </w:r>
          </w:p>
        </w:tc>
        <w:tc>
          <w:tcPr>
            <w:tcW w:w="3827" w:type="dxa"/>
          </w:tcPr>
          <w:p w14:paraId="0CF00FDA" w14:textId="77777777" w:rsidR="00BE5AFA" w:rsidRPr="00651A51" w:rsidRDefault="00BE5AFA" w:rsidP="00BE5AFA">
            <w:pPr>
              <w:pStyle w:val="naiskr"/>
              <w:spacing w:before="0" w:after="0"/>
              <w:rPr>
                <w:sz w:val="22"/>
                <w:szCs w:val="22"/>
              </w:rPr>
            </w:pPr>
            <w:r>
              <w:rPr>
                <w:sz w:val="22"/>
                <w:szCs w:val="22"/>
              </w:rPr>
              <w:t xml:space="preserve">Netiek noteiktas stingrākas prasības. </w:t>
            </w:r>
          </w:p>
        </w:tc>
      </w:tr>
      <w:tr w:rsidR="00BE5AFA" w14:paraId="795C50A7" w14:textId="77777777" w:rsidTr="00DE3C09">
        <w:trPr>
          <w:trHeight w:val="313"/>
          <w:jc w:val="center"/>
        </w:trPr>
        <w:tc>
          <w:tcPr>
            <w:tcW w:w="2035" w:type="dxa"/>
          </w:tcPr>
          <w:p w14:paraId="4E7A3EBF" w14:textId="77777777" w:rsidR="00BE5AFA" w:rsidRDefault="00BE5AFA" w:rsidP="00BE5AFA">
            <w:pPr>
              <w:pStyle w:val="naiskr"/>
              <w:spacing w:before="0" w:after="0"/>
              <w:jc w:val="both"/>
            </w:pPr>
            <w:r w:rsidRPr="00651A51">
              <w:rPr>
                <w:sz w:val="22"/>
                <w:szCs w:val="22"/>
              </w:rPr>
              <w:lastRenderedPageBreak/>
              <w:t>1.panta 18.punkta a) punkts (Direktīvas 2008/98/ES 21.panta 1.punkta c) apakšpunkts)</w:t>
            </w:r>
          </w:p>
        </w:tc>
        <w:tc>
          <w:tcPr>
            <w:tcW w:w="1788" w:type="dxa"/>
          </w:tcPr>
          <w:p w14:paraId="42C60286" w14:textId="1533F198" w:rsidR="00BE5AFA" w:rsidRDefault="00BE5AFA" w:rsidP="00BE5AFA">
            <w:pPr>
              <w:pStyle w:val="naiskr"/>
              <w:spacing w:before="0" w:after="0"/>
              <w:jc w:val="both"/>
            </w:pPr>
            <w:r>
              <w:t>MK noteikumu Nr.485 9.1.apakšpunkts un 1.punkts</w:t>
            </w:r>
            <w:r w:rsidR="00DF135C">
              <w:t xml:space="preserve"> (9.2.apakšpunkta precizētā redakcija)</w:t>
            </w:r>
          </w:p>
        </w:tc>
        <w:tc>
          <w:tcPr>
            <w:tcW w:w="1701" w:type="dxa"/>
          </w:tcPr>
          <w:p w14:paraId="415BA00D" w14:textId="77777777" w:rsidR="00BE5AFA" w:rsidRPr="00651A51" w:rsidRDefault="00BE5AFA" w:rsidP="00BE5AFA">
            <w:pPr>
              <w:pStyle w:val="naiskr"/>
              <w:spacing w:before="0" w:after="0"/>
              <w:rPr>
                <w:sz w:val="22"/>
                <w:szCs w:val="22"/>
              </w:rPr>
            </w:pPr>
            <w:r>
              <w:rPr>
                <w:sz w:val="22"/>
                <w:szCs w:val="22"/>
              </w:rPr>
              <w:t>Pārņemts pilnībā</w:t>
            </w:r>
          </w:p>
        </w:tc>
        <w:tc>
          <w:tcPr>
            <w:tcW w:w="3827" w:type="dxa"/>
          </w:tcPr>
          <w:p w14:paraId="7317F699" w14:textId="77777777" w:rsidR="00BE5AFA" w:rsidRPr="00651A51" w:rsidRDefault="00BE5AFA" w:rsidP="00BE5AFA">
            <w:pPr>
              <w:pStyle w:val="naiskr"/>
              <w:spacing w:before="0" w:after="0"/>
              <w:rPr>
                <w:sz w:val="22"/>
                <w:szCs w:val="22"/>
              </w:rPr>
            </w:pPr>
            <w:r>
              <w:rPr>
                <w:sz w:val="22"/>
                <w:szCs w:val="22"/>
              </w:rPr>
              <w:t xml:space="preserve">Netiek noteiktas stingrākas prasības. </w:t>
            </w:r>
          </w:p>
        </w:tc>
      </w:tr>
      <w:tr w:rsidR="00F73BCE" w14:paraId="1DEA449B" w14:textId="77777777" w:rsidTr="009D406B">
        <w:trPr>
          <w:trHeight w:val="313"/>
          <w:jc w:val="center"/>
        </w:trPr>
        <w:tc>
          <w:tcPr>
            <w:tcW w:w="2035" w:type="dxa"/>
          </w:tcPr>
          <w:p w14:paraId="0F5BE6EB" w14:textId="77777777" w:rsidR="00F73BCE" w:rsidRPr="00D062F9" w:rsidRDefault="00F73BCE" w:rsidP="009D406B">
            <w:pPr>
              <w:pStyle w:val="naiskr"/>
              <w:spacing w:before="0" w:after="0"/>
              <w:rPr>
                <w:b/>
              </w:rPr>
            </w:pPr>
            <w:r w:rsidRPr="00D062F9">
              <w:rPr>
                <w:b/>
              </w:rPr>
              <w:t>Attiecīgā ES tiesību akta datums, numurs un nosaukums</w:t>
            </w:r>
          </w:p>
        </w:tc>
        <w:tc>
          <w:tcPr>
            <w:tcW w:w="7316" w:type="dxa"/>
            <w:gridSpan w:val="3"/>
            <w:vAlign w:val="center"/>
          </w:tcPr>
          <w:p w14:paraId="53B6911F" w14:textId="2E36B866" w:rsidR="00F73BCE" w:rsidRPr="00D062F9" w:rsidRDefault="00F73BCE" w:rsidP="009D406B">
            <w:pPr>
              <w:pStyle w:val="naiskr"/>
              <w:spacing w:before="0" w:after="0"/>
              <w:rPr>
                <w:b/>
              </w:rPr>
            </w:pPr>
            <w:r w:rsidRPr="00A12D9B">
              <w:t>Regula Nr.</w:t>
            </w:r>
            <w:r w:rsidR="00AA0D62">
              <w:t> </w:t>
            </w:r>
            <w:r w:rsidRPr="00A12D9B">
              <w:t>2017/852/ES</w:t>
            </w:r>
          </w:p>
        </w:tc>
      </w:tr>
      <w:tr w:rsidR="00F73BCE" w14:paraId="15D8375B" w14:textId="77777777" w:rsidTr="009D406B">
        <w:trPr>
          <w:trHeight w:val="313"/>
          <w:jc w:val="center"/>
        </w:trPr>
        <w:tc>
          <w:tcPr>
            <w:tcW w:w="2035" w:type="dxa"/>
            <w:vAlign w:val="center"/>
          </w:tcPr>
          <w:p w14:paraId="3F56A8D4" w14:textId="77777777" w:rsidR="00F73BCE" w:rsidRDefault="00F73BCE" w:rsidP="009D406B">
            <w:pPr>
              <w:pStyle w:val="naiskr"/>
              <w:spacing w:before="0" w:after="0"/>
              <w:jc w:val="center"/>
            </w:pPr>
            <w:r>
              <w:t>A</w:t>
            </w:r>
          </w:p>
        </w:tc>
        <w:tc>
          <w:tcPr>
            <w:tcW w:w="1788" w:type="dxa"/>
            <w:vAlign w:val="center"/>
          </w:tcPr>
          <w:p w14:paraId="7A97A188" w14:textId="77777777" w:rsidR="00F73BCE" w:rsidRDefault="00F73BCE" w:rsidP="009D406B">
            <w:pPr>
              <w:pStyle w:val="naiskr"/>
              <w:spacing w:before="0" w:after="0"/>
              <w:jc w:val="center"/>
            </w:pPr>
            <w:r>
              <w:t>B</w:t>
            </w:r>
          </w:p>
        </w:tc>
        <w:tc>
          <w:tcPr>
            <w:tcW w:w="1701" w:type="dxa"/>
            <w:vAlign w:val="center"/>
          </w:tcPr>
          <w:p w14:paraId="261CDA6A" w14:textId="77777777" w:rsidR="00F73BCE" w:rsidRDefault="00F73BCE" w:rsidP="009D406B">
            <w:pPr>
              <w:pStyle w:val="naiskr"/>
              <w:spacing w:before="0" w:after="0"/>
              <w:jc w:val="center"/>
            </w:pPr>
            <w:r>
              <w:t>C</w:t>
            </w:r>
          </w:p>
        </w:tc>
        <w:tc>
          <w:tcPr>
            <w:tcW w:w="3827" w:type="dxa"/>
            <w:vAlign w:val="center"/>
          </w:tcPr>
          <w:p w14:paraId="3BF3DFA9" w14:textId="77777777" w:rsidR="00F73BCE" w:rsidRDefault="00F73BCE" w:rsidP="009D406B">
            <w:pPr>
              <w:pStyle w:val="naiskr"/>
              <w:spacing w:before="0" w:after="0"/>
              <w:jc w:val="center"/>
            </w:pPr>
            <w:r>
              <w:t>D</w:t>
            </w:r>
          </w:p>
        </w:tc>
      </w:tr>
      <w:tr w:rsidR="00F73BCE" w14:paraId="3CA780D0" w14:textId="77777777" w:rsidTr="009D406B">
        <w:trPr>
          <w:trHeight w:val="313"/>
          <w:jc w:val="center"/>
        </w:trPr>
        <w:tc>
          <w:tcPr>
            <w:tcW w:w="2035" w:type="dxa"/>
          </w:tcPr>
          <w:p w14:paraId="22D0532F" w14:textId="77777777" w:rsidR="00F73BCE" w:rsidRDefault="00F73BCE" w:rsidP="009D406B">
            <w:pPr>
              <w:pStyle w:val="naiskr"/>
              <w:spacing w:before="0" w:after="0"/>
              <w:jc w:val="both"/>
            </w:pPr>
            <w:r w:rsidRPr="00C76D9A">
              <w:rPr>
                <w:sz w:val="18"/>
              </w:rPr>
              <w:t>Attiecīgā ES tiesību akta panta numurs (uzskaitot katru tiesību akta vienību – pantu, daļu, punktu, apakšpunktu)</w:t>
            </w:r>
          </w:p>
        </w:tc>
        <w:tc>
          <w:tcPr>
            <w:tcW w:w="1788" w:type="dxa"/>
          </w:tcPr>
          <w:p w14:paraId="2D140399" w14:textId="77777777" w:rsidR="00F73BCE" w:rsidRDefault="00F73BCE" w:rsidP="009D406B">
            <w:pPr>
              <w:pStyle w:val="naiskr"/>
              <w:spacing w:before="0" w:after="0"/>
              <w:jc w:val="both"/>
            </w:pPr>
            <w:r w:rsidRPr="00C76D9A">
              <w:rPr>
                <w:sz w:val="18"/>
              </w:rPr>
              <w:t>Projekta vienība, kas pārņem vai ievieš katru šīs tabulas A ailē minēto ES tiesību akta vienību, vai tiesību akts, kur attiecīgā ES tiesību akta vienība pārņemta vai ieviesta</w:t>
            </w:r>
          </w:p>
        </w:tc>
        <w:tc>
          <w:tcPr>
            <w:tcW w:w="1701" w:type="dxa"/>
          </w:tcPr>
          <w:p w14:paraId="73DAD008" w14:textId="77777777" w:rsidR="00F73BCE" w:rsidRDefault="00F73BCE" w:rsidP="009D406B">
            <w:pPr>
              <w:pStyle w:val="naiskr"/>
              <w:spacing w:before="0" w:after="0"/>
              <w:jc w:val="both"/>
            </w:pPr>
            <w:r w:rsidRPr="00C76D9A">
              <w:rPr>
                <w:sz w:val="18"/>
              </w:rPr>
              <w:t>Informācija par to, vai šīs tabulas A ailē 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3827" w:type="dxa"/>
          </w:tcPr>
          <w:p w14:paraId="2C6BBFBD" w14:textId="77777777" w:rsidR="00F73BCE" w:rsidRDefault="00F73BCE" w:rsidP="009D406B">
            <w:pPr>
              <w:pStyle w:val="naiskr"/>
              <w:spacing w:before="0" w:after="0"/>
              <w:jc w:val="both"/>
            </w:pPr>
            <w:r w:rsidRPr="00C76D9A">
              <w:rPr>
                <w:sz w:val="18"/>
              </w:rPr>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F73BCE" w14:paraId="2E4A610F" w14:textId="77777777" w:rsidTr="009D406B">
        <w:trPr>
          <w:trHeight w:val="313"/>
          <w:jc w:val="center"/>
        </w:trPr>
        <w:tc>
          <w:tcPr>
            <w:tcW w:w="2035" w:type="dxa"/>
          </w:tcPr>
          <w:p w14:paraId="01058C86" w14:textId="77777777" w:rsidR="00F73BCE" w:rsidRPr="00C76D9A" w:rsidRDefault="00F73BCE" w:rsidP="009D406B">
            <w:pPr>
              <w:pStyle w:val="naiskr"/>
              <w:spacing w:before="0" w:after="0"/>
              <w:jc w:val="both"/>
              <w:rPr>
                <w:sz w:val="18"/>
              </w:rPr>
            </w:pPr>
            <w:r>
              <w:rPr>
                <w:sz w:val="18"/>
              </w:rPr>
              <w:t>14.panta 4.punkts</w:t>
            </w:r>
          </w:p>
        </w:tc>
        <w:tc>
          <w:tcPr>
            <w:tcW w:w="1788" w:type="dxa"/>
          </w:tcPr>
          <w:p w14:paraId="4CECA5CE" w14:textId="77777777" w:rsidR="00F73BCE" w:rsidRPr="00C76D9A" w:rsidRDefault="00F73BCE" w:rsidP="009D406B">
            <w:pPr>
              <w:pStyle w:val="naiskr"/>
              <w:spacing w:before="0" w:after="0"/>
              <w:jc w:val="both"/>
              <w:rPr>
                <w:sz w:val="18"/>
              </w:rPr>
            </w:pPr>
            <w:r>
              <w:rPr>
                <w:sz w:val="18"/>
              </w:rPr>
              <w:t>3.punkts</w:t>
            </w:r>
          </w:p>
        </w:tc>
        <w:tc>
          <w:tcPr>
            <w:tcW w:w="1701" w:type="dxa"/>
          </w:tcPr>
          <w:p w14:paraId="2DA1A15C" w14:textId="77777777" w:rsidR="00F73BCE" w:rsidRPr="00C76D9A" w:rsidRDefault="00F73BCE" w:rsidP="009D406B">
            <w:pPr>
              <w:pStyle w:val="naiskr"/>
              <w:spacing w:before="0" w:after="0"/>
              <w:jc w:val="both"/>
              <w:rPr>
                <w:sz w:val="18"/>
              </w:rPr>
            </w:pPr>
            <w:r>
              <w:rPr>
                <w:sz w:val="18"/>
              </w:rPr>
              <w:t>Atbilst pilnībā</w:t>
            </w:r>
          </w:p>
        </w:tc>
        <w:tc>
          <w:tcPr>
            <w:tcW w:w="3827" w:type="dxa"/>
          </w:tcPr>
          <w:p w14:paraId="2CB81D57" w14:textId="77777777" w:rsidR="00F73BCE" w:rsidRPr="00C76D9A" w:rsidRDefault="00F73BCE" w:rsidP="009D406B">
            <w:pPr>
              <w:pStyle w:val="naiskr"/>
              <w:spacing w:before="0" w:after="0"/>
              <w:jc w:val="both"/>
              <w:rPr>
                <w:sz w:val="18"/>
              </w:rPr>
            </w:pPr>
            <w:r>
              <w:rPr>
                <w:sz w:val="18"/>
              </w:rPr>
              <w:t>Netiek noteiktas stingrākas prasības.</w:t>
            </w:r>
          </w:p>
        </w:tc>
      </w:tr>
    </w:tbl>
    <w:p w14:paraId="2D898FB9" w14:textId="77777777" w:rsidR="00F73BCE" w:rsidRDefault="00F73BCE"/>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3"/>
        <w:gridCol w:w="5528"/>
      </w:tblGrid>
      <w:tr w:rsidR="00BE5AFA" w14:paraId="29E925AC" w14:textId="77777777" w:rsidTr="00DE3C09">
        <w:trPr>
          <w:trHeight w:val="313"/>
          <w:jc w:val="center"/>
        </w:trPr>
        <w:tc>
          <w:tcPr>
            <w:tcW w:w="3823" w:type="dxa"/>
          </w:tcPr>
          <w:p w14:paraId="658F0749" w14:textId="77777777" w:rsidR="00BE5AFA" w:rsidRPr="006C4B9F" w:rsidRDefault="00BE5AFA" w:rsidP="00BE5AFA">
            <w:pPr>
              <w:pStyle w:val="naiskr"/>
              <w:spacing w:before="0" w:after="0"/>
              <w:jc w:val="both"/>
            </w:pPr>
            <w:r w:rsidRPr="006C4B9F">
              <w:t>Kā ir izmantota ES tiesību aktā paredzētā rīcības brīvība dalībvalstij pārņemt vai ieviest noteiktas ES tiesību akta normas.</w:t>
            </w:r>
          </w:p>
          <w:p w14:paraId="3B1755A9" w14:textId="77777777" w:rsidR="00BE5AFA" w:rsidRDefault="00BE5AFA" w:rsidP="00BE5AFA">
            <w:pPr>
              <w:pStyle w:val="naiskr"/>
              <w:spacing w:before="0" w:after="0"/>
              <w:jc w:val="both"/>
            </w:pPr>
            <w:r w:rsidRPr="006C4B9F">
              <w:t>Kādēļ?</w:t>
            </w:r>
          </w:p>
        </w:tc>
        <w:tc>
          <w:tcPr>
            <w:tcW w:w="5528" w:type="dxa"/>
          </w:tcPr>
          <w:p w14:paraId="093DFB95" w14:textId="41BDDCEA" w:rsidR="00BE5AFA" w:rsidRDefault="002659D4" w:rsidP="00BE5AFA">
            <w:pPr>
              <w:pStyle w:val="naiskr"/>
              <w:spacing w:before="0" w:after="0"/>
              <w:jc w:val="both"/>
            </w:pPr>
            <w:r>
              <w:t>Direktīvas 2018/851</w:t>
            </w:r>
            <w:r w:rsidR="00BE5AFA">
              <w:t xml:space="preserve">/ES </w:t>
            </w:r>
            <w:r w:rsidR="00F73BCE">
              <w:t xml:space="preserve">un </w:t>
            </w:r>
            <w:r w:rsidR="00F73BCE" w:rsidRPr="00A12D9B">
              <w:t>Regula</w:t>
            </w:r>
            <w:r w:rsidR="00F73BCE">
              <w:t>s</w:t>
            </w:r>
            <w:r w:rsidR="00F73BCE" w:rsidRPr="00A12D9B">
              <w:t xml:space="preserve"> Nr.</w:t>
            </w:r>
            <w:r w:rsidR="00AA0D62">
              <w:t> </w:t>
            </w:r>
            <w:r w:rsidR="00F73BCE" w:rsidRPr="00A12D9B">
              <w:t>2017/852/ES</w:t>
            </w:r>
            <w:r w:rsidR="00F73BCE">
              <w:t xml:space="preserve"> </w:t>
            </w:r>
            <w:r w:rsidR="00BE5AFA">
              <w:t xml:space="preserve">transponējamās normas neparedz rīcības brīvību ES dalībvalstij </w:t>
            </w:r>
            <w:r w:rsidR="00BE5AFA" w:rsidRPr="006C4B9F">
              <w:t>pārņemt vai ieviest noteiktas ES tiesību akta normas</w:t>
            </w:r>
            <w:r w:rsidR="00BE5AFA">
              <w:t>.</w:t>
            </w:r>
          </w:p>
        </w:tc>
      </w:tr>
      <w:tr w:rsidR="00BE5AFA" w14:paraId="36C696E1" w14:textId="77777777" w:rsidTr="00DE3C09">
        <w:trPr>
          <w:trHeight w:val="313"/>
          <w:jc w:val="center"/>
        </w:trPr>
        <w:tc>
          <w:tcPr>
            <w:tcW w:w="3823" w:type="dxa"/>
          </w:tcPr>
          <w:p w14:paraId="70570735" w14:textId="77777777" w:rsidR="00BE5AFA" w:rsidRDefault="00BE5AFA" w:rsidP="00BE5AFA">
            <w:pPr>
              <w:pStyle w:val="naiskr"/>
              <w:spacing w:before="0" w:after="0"/>
              <w:jc w:val="both"/>
            </w:pPr>
            <w:r w:rsidRPr="006C4B9F">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528" w:type="dxa"/>
          </w:tcPr>
          <w:p w14:paraId="55BC6048" w14:textId="77777777" w:rsidR="00BE5AFA" w:rsidRDefault="00BE5AFA" w:rsidP="00BE5AFA">
            <w:pPr>
              <w:pStyle w:val="naiskr"/>
              <w:spacing w:before="0" w:after="0"/>
              <w:jc w:val="both"/>
            </w:pPr>
            <w:r>
              <w:t>Projekts šo jomu neskar.</w:t>
            </w:r>
          </w:p>
        </w:tc>
      </w:tr>
      <w:tr w:rsidR="00BE5AFA" w14:paraId="7D78FAC0" w14:textId="77777777" w:rsidTr="00DE3C09">
        <w:trPr>
          <w:trHeight w:val="313"/>
          <w:jc w:val="center"/>
        </w:trPr>
        <w:tc>
          <w:tcPr>
            <w:tcW w:w="3823" w:type="dxa"/>
          </w:tcPr>
          <w:p w14:paraId="7B96FEB7" w14:textId="77777777" w:rsidR="00BE5AFA" w:rsidRDefault="00BE5AFA" w:rsidP="00BE5AFA">
            <w:pPr>
              <w:pStyle w:val="naiskr"/>
              <w:spacing w:before="0" w:after="0"/>
              <w:jc w:val="both"/>
            </w:pPr>
            <w:r w:rsidRPr="006C4B9F">
              <w:t>Cita informācija</w:t>
            </w:r>
          </w:p>
        </w:tc>
        <w:tc>
          <w:tcPr>
            <w:tcW w:w="5528" w:type="dxa"/>
          </w:tcPr>
          <w:p w14:paraId="6AB6AF89" w14:textId="77777777" w:rsidR="00BE5AFA" w:rsidRDefault="00BE5AFA" w:rsidP="00BE5AFA">
            <w:pPr>
              <w:pStyle w:val="naiskr"/>
              <w:spacing w:before="0" w:after="0"/>
              <w:jc w:val="both"/>
            </w:pPr>
            <w:r>
              <w:t>Informācija par pārējo Direktīvas 20</w:t>
            </w:r>
            <w:r w:rsidR="009D49B8">
              <w:t xml:space="preserve">18/851/ES normu transponēšanu ir sniegta likumprojekta “Grozījumi Atkritumu apsaimniekošanas likumā”. </w:t>
            </w:r>
            <w:r w:rsidR="009D49B8">
              <w:rPr>
                <w:rStyle w:val="FootnoteReference"/>
              </w:rPr>
              <w:footnoteReference w:id="2"/>
            </w:r>
          </w:p>
        </w:tc>
      </w:tr>
    </w:tbl>
    <w:p w14:paraId="25388BBE" w14:textId="77777777" w:rsidR="00DA721C" w:rsidRDefault="00DA721C" w:rsidP="00DA721C">
      <w:pPr>
        <w:pStyle w:val="naisf"/>
        <w:spacing w:before="0" w:after="0"/>
        <w:ind w:firstLine="0"/>
      </w:pPr>
    </w:p>
    <w:p w14:paraId="16F448F4" w14:textId="77777777" w:rsidR="00F73BCE" w:rsidRDefault="00F73BCE" w:rsidP="00DA721C">
      <w:pPr>
        <w:pStyle w:val="naisf"/>
        <w:spacing w:before="0" w:after="0"/>
        <w:ind w:firstLine="0"/>
      </w:pPr>
    </w:p>
    <w:p w14:paraId="3DC7A3CB" w14:textId="77777777" w:rsidR="00F73BCE" w:rsidRDefault="00F73BCE" w:rsidP="00DA721C">
      <w:pPr>
        <w:pStyle w:val="naisf"/>
        <w:spacing w:before="0" w:after="0"/>
        <w:ind w:firstLine="0"/>
      </w:pPr>
    </w:p>
    <w:p w14:paraId="2EE380C8" w14:textId="77777777" w:rsidR="00F73BCE" w:rsidRDefault="00F73BCE" w:rsidP="00DA721C">
      <w:pPr>
        <w:pStyle w:val="naisf"/>
        <w:spacing w:before="0" w:after="0"/>
        <w:ind w:firstLine="0"/>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DA721C" w14:paraId="5B83C250" w14:textId="77777777" w:rsidTr="00DE3C09">
        <w:tc>
          <w:tcPr>
            <w:tcW w:w="9356" w:type="dxa"/>
            <w:tcBorders>
              <w:top w:val="single" w:sz="4" w:space="0" w:color="auto"/>
              <w:left w:val="single" w:sz="4" w:space="0" w:color="auto"/>
              <w:bottom w:val="single" w:sz="4" w:space="0" w:color="auto"/>
              <w:right w:val="single" w:sz="4" w:space="0" w:color="auto"/>
            </w:tcBorders>
            <w:hideMark/>
          </w:tcPr>
          <w:p w14:paraId="0555B266" w14:textId="77777777" w:rsidR="00DA721C" w:rsidRDefault="00DA721C" w:rsidP="009D406B">
            <w:pPr>
              <w:spacing w:line="256" w:lineRule="auto"/>
              <w:jc w:val="center"/>
              <w:rPr>
                <w:b/>
                <w:lang w:eastAsia="en-US"/>
              </w:rPr>
            </w:pPr>
            <w:r>
              <w:rPr>
                <w:b/>
                <w:lang w:eastAsia="en-US"/>
              </w:rPr>
              <w:t>2. tabula. Ar tiesību akta projektu uzņemtās saistības, kas izriet no starptautiskajiem tiesību aktiem vai starptautiskas institūcijas vai organizācijas dokumentiem</w:t>
            </w:r>
          </w:p>
          <w:p w14:paraId="43A99346" w14:textId="77777777" w:rsidR="00DA721C" w:rsidRDefault="00DA721C" w:rsidP="009D406B">
            <w:pPr>
              <w:spacing w:line="256" w:lineRule="auto"/>
              <w:jc w:val="center"/>
              <w:rPr>
                <w:lang w:eastAsia="en-US"/>
              </w:rPr>
            </w:pPr>
            <w:r>
              <w:rPr>
                <w:b/>
                <w:lang w:eastAsia="en-US"/>
              </w:rPr>
              <w:t>Pasākumi šo saistību izpildei</w:t>
            </w:r>
          </w:p>
        </w:tc>
      </w:tr>
      <w:tr w:rsidR="00DA721C" w14:paraId="05133826" w14:textId="77777777" w:rsidTr="00DE3C09">
        <w:tc>
          <w:tcPr>
            <w:tcW w:w="9356" w:type="dxa"/>
            <w:tcBorders>
              <w:top w:val="single" w:sz="4" w:space="0" w:color="auto"/>
              <w:left w:val="single" w:sz="4" w:space="0" w:color="auto"/>
              <w:bottom w:val="single" w:sz="4" w:space="0" w:color="auto"/>
              <w:right w:val="single" w:sz="4" w:space="0" w:color="auto"/>
            </w:tcBorders>
          </w:tcPr>
          <w:p w14:paraId="68C267C1" w14:textId="77777777" w:rsidR="00DA721C" w:rsidRPr="00FF72C6" w:rsidRDefault="00DA721C" w:rsidP="009D406B">
            <w:pPr>
              <w:spacing w:line="256" w:lineRule="auto"/>
              <w:jc w:val="center"/>
              <w:rPr>
                <w:lang w:eastAsia="en-US"/>
              </w:rPr>
            </w:pPr>
            <w:r>
              <w:rPr>
                <w:lang w:eastAsia="en-US"/>
              </w:rPr>
              <w:t>P</w:t>
            </w:r>
            <w:r w:rsidRPr="00FF72C6">
              <w:rPr>
                <w:lang w:eastAsia="en-US"/>
              </w:rPr>
              <w:t>rojekts šo jomu neskar.</w:t>
            </w:r>
          </w:p>
        </w:tc>
      </w:tr>
    </w:tbl>
    <w:p w14:paraId="4D5DC5E6" w14:textId="77777777" w:rsidR="00DA721C" w:rsidRPr="00FB41DC" w:rsidRDefault="00DA721C" w:rsidP="00DA721C"/>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
        <w:gridCol w:w="3118"/>
        <w:gridCol w:w="5869"/>
      </w:tblGrid>
      <w:tr w:rsidR="00DA721C" w:rsidRPr="00FB41DC" w14:paraId="7385E3D4" w14:textId="77777777" w:rsidTr="009D406B">
        <w:trPr>
          <w:jc w:val="center"/>
        </w:trPr>
        <w:tc>
          <w:tcPr>
            <w:tcW w:w="9472" w:type="dxa"/>
            <w:gridSpan w:val="3"/>
            <w:tcMar>
              <w:top w:w="57" w:type="dxa"/>
              <w:left w:w="57" w:type="dxa"/>
              <w:bottom w:w="57" w:type="dxa"/>
              <w:right w:w="57" w:type="dxa"/>
            </w:tcMar>
          </w:tcPr>
          <w:p w14:paraId="217DD5F5" w14:textId="77777777" w:rsidR="00DA721C" w:rsidRPr="00FB41DC" w:rsidRDefault="00DA721C" w:rsidP="009D406B">
            <w:pPr>
              <w:pStyle w:val="naisnod"/>
              <w:spacing w:before="0" w:after="0"/>
              <w:ind w:left="57" w:right="57"/>
            </w:pPr>
            <w:r w:rsidRPr="00FB41DC">
              <w:t>VI.</w:t>
            </w:r>
            <w:r>
              <w:t> </w:t>
            </w:r>
            <w:r w:rsidRPr="00FB41DC">
              <w:t xml:space="preserve">Sabiedrības līdzdalība un </w:t>
            </w:r>
            <w:r>
              <w:t>komunikācijas aktivitātes</w:t>
            </w:r>
          </w:p>
        </w:tc>
      </w:tr>
      <w:tr w:rsidR="00DA721C" w:rsidRPr="00FB41DC" w14:paraId="52C89FCD" w14:textId="77777777" w:rsidTr="009D406B">
        <w:trPr>
          <w:trHeight w:val="1702"/>
          <w:jc w:val="center"/>
        </w:trPr>
        <w:tc>
          <w:tcPr>
            <w:tcW w:w="485" w:type="dxa"/>
            <w:tcMar>
              <w:top w:w="57" w:type="dxa"/>
              <w:left w:w="57" w:type="dxa"/>
              <w:bottom w:w="57" w:type="dxa"/>
              <w:right w:w="57" w:type="dxa"/>
            </w:tcMar>
          </w:tcPr>
          <w:p w14:paraId="72823552" w14:textId="77777777" w:rsidR="00DA721C" w:rsidRPr="00FB41DC" w:rsidRDefault="00DA721C" w:rsidP="009D406B">
            <w:pPr>
              <w:pStyle w:val="naiskr"/>
              <w:spacing w:before="0" w:after="0"/>
              <w:ind w:left="57" w:right="57"/>
              <w:rPr>
                <w:bCs/>
              </w:rPr>
            </w:pPr>
            <w:r w:rsidRPr="00FB41DC">
              <w:rPr>
                <w:bCs/>
              </w:rPr>
              <w:t>1.</w:t>
            </w:r>
          </w:p>
        </w:tc>
        <w:tc>
          <w:tcPr>
            <w:tcW w:w="3118" w:type="dxa"/>
            <w:tcMar>
              <w:top w:w="57" w:type="dxa"/>
              <w:left w:w="57" w:type="dxa"/>
              <w:bottom w:w="57" w:type="dxa"/>
              <w:right w:w="57" w:type="dxa"/>
            </w:tcMar>
          </w:tcPr>
          <w:p w14:paraId="08448DFE" w14:textId="77777777" w:rsidR="00DA721C" w:rsidRPr="00FB41DC" w:rsidRDefault="00DA721C" w:rsidP="009D406B">
            <w:pPr>
              <w:pStyle w:val="naiskr"/>
              <w:tabs>
                <w:tab w:val="left" w:pos="170"/>
              </w:tabs>
              <w:spacing w:before="0" w:after="0"/>
              <w:ind w:left="57" w:right="57"/>
            </w:pPr>
            <w:r>
              <w:t>Plānotās s</w:t>
            </w:r>
            <w:r w:rsidRPr="00FB41DC">
              <w:t xml:space="preserve">abiedrības </w:t>
            </w:r>
            <w:r>
              <w:t xml:space="preserve">līdzdalības un komunikācijas aktivitātes saistībā ar projektu </w:t>
            </w:r>
          </w:p>
        </w:tc>
        <w:tc>
          <w:tcPr>
            <w:tcW w:w="5869" w:type="dxa"/>
            <w:tcMar>
              <w:top w:w="57" w:type="dxa"/>
              <w:left w:w="57" w:type="dxa"/>
              <w:bottom w:w="57" w:type="dxa"/>
              <w:right w:w="57" w:type="dxa"/>
            </w:tcMar>
          </w:tcPr>
          <w:p w14:paraId="4907FED9" w14:textId="06B916E7" w:rsidR="00DA721C" w:rsidRPr="00FB41DC" w:rsidRDefault="00DA721C" w:rsidP="009D406B">
            <w:pPr>
              <w:pStyle w:val="naisf"/>
              <w:spacing w:before="0" w:after="240"/>
              <w:ind w:left="57" w:right="57" w:firstLine="0"/>
            </w:pPr>
            <w:r w:rsidRPr="00CD00B5">
              <w:t>Saskaņā ar Ministru kabineta 2009.</w:t>
            </w:r>
            <w:r>
              <w:t> </w:t>
            </w:r>
            <w:r w:rsidRPr="00CD00B5">
              <w:t>gada 25.</w:t>
            </w:r>
            <w:r>
              <w:t> </w:t>
            </w:r>
            <w:r w:rsidRPr="00CD00B5">
              <w:t>augusta noteikumu Nr.</w:t>
            </w:r>
            <w:r>
              <w:t> </w:t>
            </w:r>
            <w:r w:rsidR="0054352E">
              <w:t>970 “</w:t>
            </w:r>
            <w:r w:rsidRPr="00CD00B5">
              <w:t>Sabiedrības līdzdalības kārtība attīstības plānošanas procesā” 7.4.</w:t>
            </w:r>
            <w:r w:rsidRPr="007923A6">
              <w:rPr>
                <w:vertAlign w:val="superscript"/>
              </w:rPr>
              <w:t>1</w:t>
            </w:r>
            <w:r>
              <w:t> </w:t>
            </w:r>
            <w:r w:rsidRPr="00CD00B5">
              <w:t>apakš</w:t>
            </w:r>
            <w:r>
              <w:t xml:space="preserve">punktu sabiedrības pārstāvji ir </w:t>
            </w:r>
            <w:r w:rsidRPr="00CD00B5">
              <w:t>aicināti līdzdarboties, rakstiski sniedzot viedokli par noteikumu projektu tā izstrādes stadijā.</w:t>
            </w:r>
          </w:p>
        </w:tc>
      </w:tr>
      <w:tr w:rsidR="00DA721C" w:rsidRPr="00FB41DC" w14:paraId="10FBBB53" w14:textId="77777777" w:rsidTr="009D406B">
        <w:trPr>
          <w:trHeight w:val="339"/>
          <w:jc w:val="center"/>
        </w:trPr>
        <w:tc>
          <w:tcPr>
            <w:tcW w:w="485" w:type="dxa"/>
            <w:tcMar>
              <w:top w:w="57" w:type="dxa"/>
              <w:left w:w="57" w:type="dxa"/>
              <w:bottom w:w="57" w:type="dxa"/>
              <w:right w:w="57" w:type="dxa"/>
            </w:tcMar>
          </w:tcPr>
          <w:p w14:paraId="75A7548F" w14:textId="77777777" w:rsidR="00DA721C" w:rsidRPr="00FB41DC" w:rsidRDefault="00DA721C" w:rsidP="009D406B">
            <w:pPr>
              <w:pStyle w:val="naiskr"/>
              <w:spacing w:before="0" w:after="0"/>
              <w:ind w:left="57" w:right="57"/>
              <w:rPr>
                <w:bCs/>
              </w:rPr>
            </w:pPr>
            <w:r w:rsidRPr="00FB41DC">
              <w:rPr>
                <w:bCs/>
              </w:rPr>
              <w:t>2.</w:t>
            </w:r>
          </w:p>
        </w:tc>
        <w:tc>
          <w:tcPr>
            <w:tcW w:w="3118" w:type="dxa"/>
            <w:tcMar>
              <w:top w:w="57" w:type="dxa"/>
              <w:left w:w="57" w:type="dxa"/>
              <w:bottom w:w="57" w:type="dxa"/>
              <w:right w:w="57" w:type="dxa"/>
            </w:tcMar>
          </w:tcPr>
          <w:p w14:paraId="2F63F107" w14:textId="77777777" w:rsidR="00DA721C" w:rsidRPr="00FB41DC" w:rsidRDefault="00DA721C" w:rsidP="009D406B">
            <w:pPr>
              <w:pStyle w:val="naiskr"/>
              <w:spacing w:before="0" w:after="0"/>
              <w:ind w:left="57" w:right="57"/>
            </w:pPr>
            <w:r w:rsidRPr="00FB41DC">
              <w:t xml:space="preserve">Sabiedrības līdzdalība projekta izstrādē </w:t>
            </w:r>
          </w:p>
        </w:tc>
        <w:tc>
          <w:tcPr>
            <w:tcW w:w="5869" w:type="dxa"/>
            <w:tcMar>
              <w:top w:w="57" w:type="dxa"/>
              <w:left w:w="57" w:type="dxa"/>
              <w:bottom w:w="57" w:type="dxa"/>
              <w:right w:w="57" w:type="dxa"/>
            </w:tcMar>
          </w:tcPr>
          <w:p w14:paraId="4D0D4422" w14:textId="27C0B730" w:rsidR="00DA721C" w:rsidRPr="00FB41DC" w:rsidRDefault="004D26D3" w:rsidP="007A6685">
            <w:pPr>
              <w:pStyle w:val="naiskr"/>
              <w:spacing w:before="0" w:after="0"/>
              <w:ind w:right="57"/>
              <w:jc w:val="both"/>
            </w:pPr>
            <w:r>
              <w:t xml:space="preserve">Noteikumu projekts un sākotnējās ietekmes novērtējuma ziņojums </w:t>
            </w:r>
            <w:r w:rsidRPr="005E38A8">
              <w:t xml:space="preserve">2019. gada </w:t>
            </w:r>
            <w:r w:rsidR="00B92213" w:rsidRPr="00B92213">
              <w:t>4</w:t>
            </w:r>
            <w:r w:rsidRPr="00B92213">
              <w:t>.</w:t>
            </w:r>
            <w:r w:rsidR="00963E7A">
              <w:t> </w:t>
            </w:r>
            <w:r w:rsidRPr="00B92213">
              <w:t>septembrī</w:t>
            </w:r>
            <w:r w:rsidRPr="005E38A8">
              <w:t xml:space="preserve"> tika publicēts</w:t>
            </w:r>
            <w:r w:rsidR="00BB3627">
              <w:t xml:space="preserve"> VARAM tīmekļvietnē</w:t>
            </w:r>
            <w:r w:rsidR="00963E7A">
              <w:t>:</w:t>
            </w:r>
            <w:r>
              <w:t> </w:t>
            </w:r>
            <w:hyperlink r:id="rId8" w:history="1">
              <w:r w:rsidRPr="00EB4802">
                <w:rPr>
                  <w:rStyle w:val="Hyperlink"/>
                </w:rPr>
                <w:t>www.varam.gov.lv</w:t>
              </w:r>
            </w:hyperlink>
            <w:r>
              <w:t xml:space="preserve"> un Valsts kancelejas </w:t>
            </w:r>
            <w:r w:rsidR="007A6685">
              <w:t>tīmekļvietnē</w:t>
            </w:r>
            <w:r>
              <w:t xml:space="preserve"> </w:t>
            </w:r>
            <w:hyperlink r:id="rId9" w:history="1">
              <w:r w:rsidR="00487F95" w:rsidRPr="00B32A7D">
                <w:rPr>
                  <w:rStyle w:val="Hyperlink"/>
                </w:rPr>
                <w:t>https://www.mk.gov.lv</w:t>
              </w:r>
            </w:hyperlink>
            <w:r w:rsidR="00487F95">
              <w:t xml:space="preserve"> </w:t>
            </w:r>
            <w:bookmarkStart w:id="0" w:name="_GoBack"/>
            <w:bookmarkEnd w:id="0"/>
            <w:r>
              <w:t xml:space="preserve">atbilstoši </w:t>
            </w:r>
            <w:r w:rsidRPr="00CD00B5">
              <w:t>Ministru kabineta 2009.</w:t>
            </w:r>
            <w:r>
              <w:t> </w:t>
            </w:r>
            <w:r w:rsidRPr="00CD00B5">
              <w:t>gada 25.</w:t>
            </w:r>
            <w:r>
              <w:t> </w:t>
            </w:r>
            <w:r w:rsidRPr="00CD00B5">
              <w:t>augusta noteikumu Nr.</w:t>
            </w:r>
            <w:r>
              <w:t> 970 “</w:t>
            </w:r>
            <w:r w:rsidRPr="00CD00B5">
              <w:t>Sabiedrības līdzdalības kārtība attīstības plānošanas procesā”</w:t>
            </w:r>
            <w:r>
              <w:t xml:space="preserve"> 13. un 14.</w:t>
            </w:r>
            <w:r w:rsidR="00963E7A">
              <w:t> </w:t>
            </w:r>
            <w:r>
              <w:t>punktam.</w:t>
            </w:r>
          </w:p>
        </w:tc>
      </w:tr>
      <w:tr w:rsidR="00DA721C" w:rsidRPr="00FB41DC" w14:paraId="0171F1C3" w14:textId="77777777" w:rsidTr="009D406B">
        <w:trPr>
          <w:trHeight w:val="375"/>
          <w:jc w:val="center"/>
        </w:trPr>
        <w:tc>
          <w:tcPr>
            <w:tcW w:w="485" w:type="dxa"/>
            <w:tcMar>
              <w:top w:w="57" w:type="dxa"/>
              <w:left w:w="57" w:type="dxa"/>
              <w:bottom w:w="57" w:type="dxa"/>
              <w:right w:w="57" w:type="dxa"/>
            </w:tcMar>
          </w:tcPr>
          <w:p w14:paraId="244E1301" w14:textId="77777777" w:rsidR="00DA721C" w:rsidRPr="00FB41DC" w:rsidRDefault="00DA721C" w:rsidP="009D406B">
            <w:pPr>
              <w:pStyle w:val="naiskr"/>
              <w:spacing w:before="0" w:after="0"/>
              <w:ind w:left="57" w:right="57"/>
              <w:rPr>
                <w:bCs/>
              </w:rPr>
            </w:pPr>
            <w:r w:rsidRPr="00FB41DC">
              <w:rPr>
                <w:bCs/>
              </w:rPr>
              <w:t>3.</w:t>
            </w:r>
          </w:p>
        </w:tc>
        <w:tc>
          <w:tcPr>
            <w:tcW w:w="3118" w:type="dxa"/>
            <w:tcMar>
              <w:top w:w="57" w:type="dxa"/>
              <w:left w:w="57" w:type="dxa"/>
              <w:bottom w:w="57" w:type="dxa"/>
              <w:right w:w="57" w:type="dxa"/>
            </w:tcMar>
          </w:tcPr>
          <w:p w14:paraId="623BDB83" w14:textId="77777777" w:rsidR="00DA721C" w:rsidRPr="00FB41DC" w:rsidRDefault="00DA721C" w:rsidP="009D406B">
            <w:pPr>
              <w:pStyle w:val="naiskr"/>
              <w:spacing w:before="0" w:after="0"/>
              <w:ind w:left="57" w:right="57"/>
            </w:pPr>
            <w:r w:rsidRPr="00FB41DC">
              <w:t xml:space="preserve">Sabiedrības līdzdalības rezultāti </w:t>
            </w:r>
          </w:p>
        </w:tc>
        <w:tc>
          <w:tcPr>
            <w:tcW w:w="5869" w:type="dxa"/>
            <w:tcMar>
              <w:top w:w="57" w:type="dxa"/>
              <w:left w:w="57" w:type="dxa"/>
              <w:bottom w:w="57" w:type="dxa"/>
              <w:right w:w="57" w:type="dxa"/>
            </w:tcMar>
          </w:tcPr>
          <w:p w14:paraId="2D611BBD" w14:textId="641DBBBF" w:rsidR="00DA721C" w:rsidRPr="00FB41DC" w:rsidRDefault="008167F0" w:rsidP="009D406B">
            <w:pPr>
              <w:pStyle w:val="naiskr"/>
              <w:spacing w:before="0" w:after="0"/>
              <w:ind w:right="57"/>
              <w:jc w:val="both"/>
            </w:pPr>
            <w:r>
              <w:t>Sabiedriskās apspriešanas ietvaros par noteikumu projektu  un tā anotāciju netika saņemti sabiedrības viedokļi.</w:t>
            </w:r>
          </w:p>
        </w:tc>
      </w:tr>
      <w:tr w:rsidR="00DA721C" w:rsidRPr="00FB41DC" w14:paraId="7E9F0056" w14:textId="77777777" w:rsidTr="009D406B">
        <w:trPr>
          <w:trHeight w:val="476"/>
          <w:jc w:val="center"/>
        </w:trPr>
        <w:tc>
          <w:tcPr>
            <w:tcW w:w="485" w:type="dxa"/>
            <w:tcMar>
              <w:top w:w="57" w:type="dxa"/>
              <w:left w:w="57" w:type="dxa"/>
              <w:bottom w:w="57" w:type="dxa"/>
              <w:right w:w="57" w:type="dxa"/>
            </w:tcMar>
          </w:tcPr>
          <w:p w14:paraId="0B547FFD" w14:textId="77777777" w:rsidR="00DA721C" w:rsidRPr="00FB41DC" w:rsidRDefault="00DA721C" w:rsidP="009D406B">
            <w:pPr>
              <w:pStyle w:val="naiskr"/>
              <w:spacing w:before="0" w:after="0"/>
              <w:ind w:left="57" w:right="57"/>
              <w:rPr>
                <w:bCs/>
              </w:rPr>
            </w:pPr>
            <w:r>
              <w:rPr>
                <w:bCs/>
              </w:rPr>
              <w:t>4</w:t>
            </w:r>
            <w:r w:rsidRPr="00FB41DC">
              <w:rPr>
                <w:bCs/>
              </w:rPr>
              <w:t>.</w:t>
            </w:r>
          </w:p>
        </w:tc>
        <w:tc>
          <w:tcPr>
            <w:tcW w:w="3118" w:type="dxa"/>
            <w:tcMar>
              <w:top w:w="57" w:type="dxa"/>
              <w:left w:w="57" w:type="dxa"/>
              <w:bottom w:w="57" w:type="dxa"/>
              <w:right w:w="57" w:type="dxa"/>
            </w:tcMar>
          </w:tcPr>
          <w:p w14:paraId="43BEBE97" w14:textId="77777777" w:rsidR="00DA721C" w:rsidRPr="00FB41DC" w:rsidRDefault="00DA721C" w:rsidP="009D406B">
            <w:pPr>
              <w:pStyle w:val="naiskr"/>
              <w:spacing w:before="0" w:after="0"/>
              <w:ind w:left="57" w:right="57"/>
            </w:pPr>
            <w:r w:rsidRPr="00FB41DC">
              <w:t>Cita informācija</w:t>
            </w:r>
          </w:p>
        </w:tc>
        <w:tc>
          <w:tcPr>
            <w:tcW w:w="5869" w:type="dxa"/>
            <w:tcMar>
              <w:top w:w="57" w:type="dxa"/>
              <w:left w:w="57" w:type="dxa"/>
              <w:bottom w:w="57" w:type="dxa"/>
              <w:right w:w="57" w:type="dxa"/>
            </w:tcMar>
          </w:tcPr>
          <w:p w14:paraId="07A2763F" w14:textId="4FC66A4E" w:rsidR="00DA721C" w:rsidRPr="00FB41DC" w:rsidRDefault="00DA721C" w:rsidP="009D406B">
            <w:pPr>
              <w:pStyle w:val="naiskr"/>
              <w:spacing w:before="0" w:after="0"/>
              <w:ind w:right="57"/>
              <w:jc w:val="both"/>
            </w:pPr>
            <w:r>
              <w:t>Nav</w:t>
            </w:r>
          </w:p>
        </w:tc>
      </w:tr>
    </w:tbl>
    <w:p w14:paraId="34DCDEF3" w14:textId="77777777" w:rsidR="00DA721C" w:rsidRPr="00FB41DC" w:rsidRDefault="00DA721C" w:rsidP="00DA721C"/>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6"/>
        <w:gridCol w:w="3118"/>
        <w:gridCol w:w="5870"/>
      </w:tblGrid>
      <w:tr w:rsidR="00DA721C" w:rsidRPr="00FB41DC" w14:paraId="7EBE59CF" w14:textId="77777777" w:rsidTr="009D406B">
        <w:trPr>
          <w:jc w:val="center"/>
        </w:trPr>
        <w:tc>
          <w:tcPr>
            <w:tcW w:w="9474" w:type="dxa"/>
            <w:gridSpan w:val="3"/>
            <w:tcBorders>
              <w:top w:val="single" w:sz="4" w:space="0" w:color="auto"/>
            </w:tcBorders>
            <w:tcMar>
              <w:top w:w="57" w:type="dxa"/>
              <w:left w:w="57" w:type="dxa"/>
              <w:bottom w:w="57" w:type="dxa"/>
              <w:right w:w="57" w:type="dxa"/>
            </w:tcMar>
          </w:tcPr>
          <w:p w14:paraId="1861E5EC" w14:textId="77777777" w:rsidR="00DA721C" w:rsidRPr="00FB41DC" w:rsidRDefault="00DA721C" w:rsidP="009D406B">
            <w:pPr>
              <w:pStyle w:val="naisnod"/>
              <w:spacing w:before="0" w:after="0"/>
              <w:ind w:left="57" w:right="57"/>
            </w:pPr>
            <w:r w:rsidRPr="00FB41DC">
              <w:t>VII.</w:t>
            </w:r>
            <w:r>
              <w:t> </w:t>
            </w:r>
            <w:r w:rsidRPr="00FB41DC">
              <w:t>Tiesību akta projekta izpildes nodrošināšana un tās ietekme uz institūcijām</w:t>
            </w:r>
          </w:p>
        </w:tc>
      </w:tr>
      <w:tr w:rsidR="00DA721C" w:rsidRPr="00FB41DC" w14:paraId="2E3B81E9" w14:textId="77777777" w:rsidTr="009D406B">
        <w:trPr>
          <w:trHeight w:val="427"/>
          <w:jc w:val="center"/>
        </w:trPr>
        <w:tc>
          <w:tcPr>
            <w:tcW w:w="486" w:type="dxa"/>
            <w:tcMar>
              <w:top w:w="57" w:type="dxa"/>
              <w:left w:w="57" w:type="dxa"/>
              <w:bottom w:w="57" w:type="dxa"/>
              <w:right w:w="57" w:type="dxa"/>
            </w:tcMar>
          </w:tcPr>
          <w:p w14:paraId="67885A8D" w14:textId="77777777" w:rsidR="00DA721C" w:rsidRPr="00FB41DC" w:rsidRDefault="00DA721C" w:rsidP="009D406B">
            <w:pPr>
              <w:pStyle w:val="naisnod"/>
              <w:spacing w:before="0" w:after="0"/>
              <w:ind w:left="57" w:right="57"/>
              <w:jc w:val="left"/>
              <w:rPr>
                <w:b w:val="0"/>
              </w:rPr>
            </w:pPr>
            <w:r w:rsidRPr="00FB41DC">
              <w:rPr>
                <w:b w:val="0"/>
              </w:rPr>
              <w:t>1.</w:t>
            </w:r>
          </w:p>
        </w:tc>
        <w:tc>
          <w:tcPr>
            <w:tcW w:w="3118" w:type="dxa"/>
            <w:tcMar>
              <w:top w:w="57" w:type="dxa"/>
              <w:left w:w="57" w:type="dxa"/>
              <w:bottom w:w="57" w:type="dxa"/>
              <w:right w:w="57" w:type="dxa"/>
            </w:tcMar>
          </w:tcPr>
          <w:p w14:paraId="7506B2E7" w14:textId="77777777" w:rsidR="00DA721C" w:rsidRPr="00FB41DC" w:rsidRDefault="00DA721C" w:rsidP="009D406B">
            <w:pPr>
              <w:pStyle w:val="naisf"/>
              <w:spacing w:before="0" w:after="0"/>
              <w:ind w:left="57" w:right="57" w:firstLine="0"/>
              <w:jc w:val="left"/>
            </w:pPr>
            <w:r w:rsidRPr="00FB41DC">
              <w:t xml:space="preserve">Projekta izpildē iesaistītās institūcijas </w:t>
            </w:r>
          </w:p>
        </w:tc>
        <w:tc>
          <w:tcPr>
            <w:tcW w:w="5870" w:type="dxa"/>
            <w:tcMar>
              <w:top w:w="57" w:type="dxa"/>
              <w:left w:w="57" w:type="dxa"/>
              <w:bottom w:w="57" w:type="dxa"/>
              <w:right w:w="57" w:type="dxa"/>
            </w:tcMar>
          </w:tcPr>
          <w:p w14:paraId="1D0A4666" w14:textId="77777777" w:rsidR="00DA721C" w:rsidRPr="00563D3C" w:rsidRDefault="00DA721C" w:rsidP="009D406B">
            <w:pPr>
              <w:pStyle w:val="naisc"/>
              <w:spacing w:before="0" w:after="0"/>
              <w:jc w:val="both"/>
            </w:pPr>
            <w:r>
              <w:t>VARAM</w:t>
            </w:r>
            <w:r w:rsidRPr="00563D3C">
              <w:t>,</w:t>
            </w:r>
            <w:r>
              <w:t xml:space="preserve"> Valsts vides dienests</w:t>
            </w:r>
            <w:r w:rsidRPr="00563D3C">
              <w:t>.</w:t>
            </w:r>
          </w:p>
        </w:tc>
      </w:tr>
      <w:tr w:rsidR="00DA721C" w:rsidRPr="00FB41DC" w14:paraId="79AAFFB8" w14:textId="77777777" w:rsidTr="009D406B">
        <w:trPr>
          <w:trHeight w:val="463"/>
          <w:jc w:val="center"/>
        </w:trPr>
        <w:tc>
          <w:tcPr>
            <w:tcW w:w="486" w:type="dxa"/>
            <w:tcMar>
              <w:top w:w="57" w:type="dxa"/>
              <w:left w:w="57" w:type="dxa"/>
              <w:bottom w:w="57" w:type="dxa"/>
              <w:right w:w="57" w:type="dxa"/>
            </w:tcMar>
          </w:tcPr>
          <w:p w14:paraId="3BF38CBB" w14:textId="77777777" w:rsidR="00DA721C" w:rsidRPr="00FB41DC" w:rsidRDefault="00DA721C" w:rsidP="009D406B">
            <w:pPr>
              <w:pStyle w:val="naisnod"/>
              <w:spacing w:before="0" w:after="0"/>
              <w:ind w:left="57" w:right="57"/>
              <w:jc w:val="left"/>
              <w:rPr>
                <w:b w:val="0"/>
              </w:rPr>
            </w:pPr>
            <w:r w:rsidRPr="00FB41DC">
              <w:rPr>
                <w:b w:val="0"/>
              </w:rPr>
              <w:t>2.</w:t>
            </w:r>
          </w:p>
        </w:tc>
        <w:tc>
          <w:tcPr>
            <w:tcW w:w="3118" w:type="dxa"/>
            <w:tcMar>
              <w:top w:w="57" w:type="dxa"/>
              <w:left w:w="57" w:type="dxa"/>
              <w:bottom w:w="57" w:type="dxa"/>
              <w:right w:w="57" w:type="dxa"/>
            </w:tcMar>
          </w:tcPr>
          <w:p w14:paraId="096AA78C" w14:textId="77777777" w:rsidR="00DA721C" w:rsidRPr="00FB41DC" w:rsidRDefault="00DA721C" w:rsidP="009D406B">
            <w:pPr>
              <w:pStyle w:val="naisf"/>
              <w:spacing w:before="0" w:after="0"/>
              <w:ind w:left="57" w:right="57" w:firstLine="0"/>
              <w:jc w:val="left"/>
            </w:pPr>
            <w:r w:rsidRPr="00FB41DC">
              <w:t xml:space="preserve">Projekta izpildes ietekme uz pārvaldes funkcijām </w:t>
            </w:r>
            <w:r>
              <w:t xml:space="preserve">un </w:t>
            </w:r>
            <w:r w:rsidRPr="00FB41DC">
              <w:t>institucionālo struktūru</w:t>
            </w:r>
          </w:p>
        </w:tc>
        <w:tc>
          <w:tcPr>
            <w:tcW w:w="5870" w:type="dxa"/>
            <w:tcMar>
              <w:top w:w="57" w:type="dxa"/>
              <w:left w:w="57" w:type="dxa"/>
              <w:bottom w:w="57" w:type="dxa"/>
              <w:right w:w="57" w:type="dxa"/>
            </w:tcMar>
          </w:tcPr>
          <w:p w14:paraId="5BAA4F85" w14:textId="77777777" w:rsidR="00DA721C" w:rsidRDefault="00DA721C" w:rsidP="009D406B">
            <w:pPr>
              <w:pStyle w:val="naisnod"/>
              <w:spacing w:before="0" w:after="0"/>
              <w:ind w:right="57"/>
              <w:jc w:val="both"/>
              <w:rPr>
                <w:b w:val="0"/>
              </w:rPr>
            </w:pPr>
            <w:r>
              <w:rPr>
                <w:b w:val="0"/>
              </w:rPr>
              <w:t>Noteikumu projekts neietekmē iesaistīto institūciju funkcijas un uzdevumus.</w:t>
            </w:r>
          </w:p>
          <w:p w14:paraId="2FB97ADB" w14:textId="77777777" w:rsidR="00DA721C" w:rsidRPr="00F862E3" w:rsidRDefault="00DA721C" w:rsidP="009D406B">
            <w:pPr>
              <w:pStyle w:val="naisnod"/>
              <w:spacing w:before="0" w:after="0"/>
              <w:ind w:right="57"/>
              <w:jc w:val="both"/>
              <w:rPr>
                <w:b w:val="0"/>
              </w:rPr>
            </w:pPr>
            <w:r w:rsidRPr="002F2520">
              <w:rPr>
                <w:b w:val="0"/>
                <w:bCs w:val="0"/>
              </w:rPr>
              <w:t>Jaunas institūcijas nav jāveido. Esošās institūcijas nav jāreorganizē.</w:t>
            </w:r>
          </w:p>
        </w:tc>
      </w:tr>
      <w:tr w:rsidR="00DA721C" w:rsidRPr="00FB41DC" w14:paraId="6C61B74D" w14:textId="77777777" w:rsidTr="009D406B">
        <w:trPr>
          <w:trHeight w:val="476"/>
          <w:jc w:val="center"/>
        </w:trPr>
        <w:tc>
          <w:tcPr>
            <w:tcW w:w="486" w:type="dxa"/>
            <w:tcMar>
              <w:top w:w="57" w:type="dxa"/>
              <w:left w:w="57" w:type="dxa"/>
              <w:bottom w:w="57" w:type="dxa"/>
              <w:right w:w="57" w:type="dxa"/>
            </w:tcMar>
          </w:tcPr>
          <w:p w14:paraId="30211FB8" w14:textId="77777777" w:rsidR="00DA721C" w:rsidRPr="00FB41DC" w:rsidRDefault="00DA721C" w:rsidP="009D406B">
            <w:pPr>
              <w:pStyle w:val="naiskr"/>
              <w:spacing w:before="0" w:after="0"/>
              <w:ind w:left="57" w:right="57"/>
            </w:pPr>
            <w:r>
              <w:t>3</w:t>
            </w:r>
            <w:r w:rsidRPr="00FB41DC">
              <w:t>.</w:t>
            </w:r>
          </w:p>
        </w:tc>
        <w:tc>
          <w:tcPr>
            <w:tcW w:w="3118" w:type="dxa"/>
            <w:tcMar>
              <w:top w:w="57" w:type="dxa"/>
              <w:left w:w="57" w:type="dxa"/>
              <w:bottom w:w="57" w:type="dxa"/>
              <w:right w:w="57" w:type="dxa"/>
            </w:tcMar>
          </w:tcPr>
          <w:p w14:paraId="01CAA2A6" w14:textId="77777777" w:rsidR="00DA721C" w:rsidRPr="00FB41DC" w:rsidRDefault="00DA721C" w:rsidP="009D406B">
            <w:pPr>
              <w:pStyle w:val="naiskr"/>
              <w:spacing w:before="0" w:after="0"/>
              <w:ind w:left="57" w:right="57"/>
            </w:pPr>
            <w:r w:rsidRPr="00FB41DC">
              <w:t>Cita informācija</w:t>
            </w:r>
          </w:p>
        </w:tc>
        <w:tc>
          <w:tcPr>
            <w:tcW w:w="5870" w:type="dxa"/>
            <w:tcMar>
              <w:top w:w="57" w:type="dxa"/>
              <w:left w:w="57" w:type="dxa"/>
              <w:bottom w:w="57" w:type="dxa"/>
              <w:right w:w="57" w:type="dxa"/>
            </w:tcMar>
          </w:tcPr>
          <w:p w14:paraId="55CE74BF" w14:textId="09E91FA9" w:rsidR="00DA721C" w:rsidRPr="00FB41DC" w:rsidRDefault="00DA721C" w:rsidP="009D406B">
            <w:pPr>
              <w:pStyle w:val="naiskr"/>
              <w:spacing w:before="0" w:after="0"/>
              <w:ind w:left="57" w:right="57"/>
            </w:pPr>
            <w:r>
              <w:t>Nav</w:t>
            </w:r>
          </w:p>
        </w:tc>
      </w:tr>
    </w:tbl>
    <w:p w14:paraId="7BC1F5BD" w14:textId="77777777" w:rsidR="00DA721C" w:rsidRDefault="00DA721C" w:rsidP="00DA721C">
      <w:pPr>
        <w:pStyle w:val="naisf"/>
        <w:spacing w:before="0" w:after="0"/>
        <w:ind w:firstLine="374"/>
        <w:rPr>
          <w:b/>
        </w:rPr>
      </w:pPr>
    </w:p>
    <w:p w14:paraId="5AFD3BBC" w14:textId="77777777" w:rsidR="00DA721C" w:rsidRPr="00ED433D" w:rsidRDefault="00DA721C" w:rsidP="00DA721C">
      <w:pPr>
        <w:pStyle w:val="tv2161"/>
        <w:spacing w:before="0" w:line="240" w:lineRule="auto"/>
        <w:ind w:firstLine="0"/>
        <w:jc w:val="both"/>
        <w:rPr>
          <w:rFonts w:ascii="Times New Roman" w:hAnsi="Times New Roman"/>
          <w:sz w:val="24"/>
          <w:szCs w:val="24"/>
        </w:rPr>
      </w:pPr>
      <w:r w:rsidRPr="00ED433D">
        <w:rPr>
          <w:rFonts w:ascii="Times New Roman" w:hAnsi="Times New Roman"/>
          <w:sz w:val="24"/>
          <w:szCs w:val="24"/>
        </w:rPr>
        <w:t xml:space="preserve">Vides aizsardzības un </w:t>
      </w:r>
    </w:p>
    <w:p w14:paraId="3FE980AD" w14:textId="4F704A65" w:rsidR="00DA721C" w:rsidRDefault="00DA721C" w:rsidP="00DA721C">
      <w:r>
        <w:t>reģionālās attīstības ministrs</w:t>
      </w:r>
      <w:r>
        <w:tab/>
      </w:r>
      <w:r>
        <w:tab/>
      </w:r>
      <w:r>
        <w:tab/>
      </w:r>
      <w:r>
        <w:tab/>
      </w:r>
      <w:r>
        <w:tab/>
        <w:t>Juris</w:t>
      </w:r>
      <w:r w:rsidR="00436C2E">
        <w:t> </w:t>
      </w:r>
      <w:r>
        <w:t>Pūce</w:t>
      </w:r>
    </w:p>
    <w:p w14:paraId="7BFA3D78" w14:textId="77777777" w:rsidR="00DA721C" w:rsidRDefault="00DA721C" w:rsidP="00DA721C"/>
    <w:p w14:paraId="4A150F84" w14:textId="77777777" w:rsidR="00DA721C" w:rsidRPr="00ED433D" w:rsidRDefault="00DA721C" w:rsidP="00DA721C"/>
    <w:p w14:paraId="25011C96" w14:textId="77777777" w:rsidR="00DA721C" w:rsidRDefault="00DA721C" w:rsidP="00DA721C">
      <w:pPr>
        <w:rPr>
          <w:sz w:val="20"/>
          <w:szCs w:val="20"/>
        </w:rPr>
      </w:pPr>
      <w:r w:rsidRPr="00055928">
        <w:rPr>
          <w:sz w:val="20"/>
          <w:szCs w:val="20"/>
        </w:rPr>
        <w:t>Doniņa</w:t>
      </w:r>
      <w:r>
        <w:rPr>
          <w:sz w:val="20"/>
          <w:szCs w:val="20"/>
        </w:rPr>
        <w:t xml:space="preserve"> </w:t>
      </w:r>
      <w:r w:rsidRPr="00055928">
        <w:rPr>
          <w:sz w:val="20"/>
          <w:szCs w:val="20"/>
        </w:rPr>
        <w:t>6</w:t>
      </w:r>
      <w:smartTag w:uri="schemas-tilde-lv/tildestengine" w:element="phone">
        <w:smartTagPr>
          <w:attr w:name="phone_number" w:val="7026515"/>
        </w:smartTagPr>
        <w:r w:rsidRPr="00055928">
          <w:rPr>
            <w:sz w:val="20"/>
            <w:szCs w:val="20"/>
          </w:rPr>
          <w:t>7026515</w:t>
        </w:r>
      </w:smartTag>
    </w:p>
    <w:p w14:paraId="65C2D0A7" w14:textId="6A7F3A56" w:rsidR="0059243D" w:rsidRDefault="00487F95">
      <w:hyperlink r:id="rId10" w:history="1">
        <w:r w:rsidR="00436C2E" w:rsidRPr="00436C2E">
          <w:rPr>
            <w:rStyle w:val="Hyperlink"/>
            <w:sz w:val="20"/>
            <w:szCs w:val="20"/>
          </w:rPr>
          <w:t>Ilze.Donina@varam.gov.lv</w:t>
        </w:r>
      </w:hyperlink>
    </w:p>
    <w:sectPr w:rsidR="0059243D" w:rsidSect="009D406B">
      <w:headerReference w:type="default" r:id="rId11"/>
      <w:footerReference w:type="default" r:id="rId12"/>
      <w:foot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4DF06" w14:textId="77777777" w:rsidR="00487F95" w:rsidRDefault="00487F95" w:rsidP="00DA721C">
      <w:r>
        <w:separator/>
      </w:r>
    </w:p>
  </w:endnote>
  <w:endnote w:type="continuationSeparator" w:id="0">
    <w:p w14:paraId="25258A93" w14:textId="77777777" w:rsidR="00487F95" w:rsidRDefault="00487F95" w:rsidP="00DA721C">
      <w:r>
        <w:continuationSeparator/>
      </w:r>
    </w:p>
  </w:endnote>
  <w:endnote w:type="continuationNotice" w:id="1">
    <w:p w14:paraId="7AD3DB15" w14:textId="77777777" w:rsidR="00487F95" w:rsidRDefault="00487F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F8CA5" w14:textId="0BF1017E" w:rsidR="00487F95" w:rsidRPr="00974EEA" w:rsidRDefault="00487F95" w:rsidP="00974EEA">
    <w:pPr>
      <w:jc w:val="both"/>
    </w:pPr>
    <w:r w:rsidRPr="00544424">
      <w:rPr>
        <w:sz w:val="20"/>
        <w:szCs w:val="20"/>
      </w:rPr>
      <w:t>VARAMAnot_</w:t>
    </w:r>
    <w:r>
      <w:rPr>
        <w:sz w:val="20"/>
        <w:szCs w:val="20"/>
      </w:rPr>
      <w:t>0312</w:t>
    </w:r>
    <w:r w:rsidRPr="00544424">
      <w:rPr>
        <w:sz w:val="20"/>
        <w:szCs w:val="20"/>
      </w:rPr>
      <w:t>19_groz485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1BF8E" w14:textId="08AC6C45" w:rsidR="00487F95" w:rsidRPr="00974EEA" w:rsidRDefault="00487F95" w:rsidP="00974EEA">
    <w:pPr>
      <w:jc w:val="both"/>
    </w:pPr>
    <w:r w:rsidRPr="00544424">
      <w:rPr>
        <w:sz w:val="20"/>
        <w:szCs w:val="20"/>
      </w:rPr>
      <w:t>VARAMAno</w:t>
    </w:r>
    <w:r>
      <w:rPr>
        <w:sz w:val="20"/>
        <w:szCs w:val="20"/>
      </w:rPr>
      <w:t>t_031219</w:t>
    </w:r>
    <w:r w:rsidRPr="00544424">
      <w:rPr>
        <w:sz w:val="20"/>
        <w:szCs w:val="20"/>
      </w:rPr>
      <w:t>_groz485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318CB" w14:textId="77777777" w:rsidR="00487F95" w:rsidRDefault="00487F95" w:rsidP="00DA721C">
      <w:r>
        <w:separator/>
      </w:r>
    </w:p>
  </w:footnote>
  <w:footnote w:type="continuationSeparator" w:id="0">
    <w:p w14:paraId="378E4902" w14:textId="77777777" w:rsidR="00487F95" w:rsidRDefault="00487F95" w:rsidP="00DA721C">
      <w:r>
        <w:continuationSeparator/>
      </w:r>
    </w:p>
  </w:footnote>
  <w:footnote w:type="continuationNotice" w:id="1">
    <w:p w14:paraId="027A7EC0" w14:textId="77777777" w:rsidR="00487F95" w:rsidRDefault="00487F95"/>
  </w:footnote>
  <w:footnote w:id="2">
    <w:p w14:paraId="6482EA6F" w14:textId="2DEDF0CD" w:rsidR="00487F95" w:rsidRDefault="00487F95" w:rsidP="00CD1661">
      <w:pPr>
        <w:pStyle w:val="FootnoteText"/>
        <w:jc w:val="both"/>
      </w:pPr>
      <w:r>
        <w:rPr>
          <w:rStyle w:val="FootnoteReference"/>
        </w:rPr>
        <w:footnoteRef/>
      </w:r>
      <w:r>
        <w:t xml:space="preserve"> VARAM tīmekļvietnes sadaļa “Sabiedrības līdzdalība”: </w:t>
      </w:r>
      <w:hyperlink r:id="rId1" w:history="1">
        <w:r>
          <w:rPr>
            <w:rStyle w:val="Hyperlink"/>
          </w:rPr>
          <w:t>http://www.varam.gov.lv/lat/likumdosana/normativo_aktu_projekti/normativo_aktu_projekti_vides_aizsardzibas_joma/?doc=27666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78851" w14:textId="77777777" w:rsidR="00487F95" w:rsidRDefault="00487F95">
    <w:pPr>
      <w:pStyle w:val="Header"/>
    </w:pPr>
    <w:r w:rsidRPr="00013525">
      <w:rPr>
        <w:rStyle w:val="PageNumber"/>
      </w:rPr>
      <w:tab/>
      <w:t xml:space="preserve"> </w:t>
    </w:r>
    <w:r w:rsidRPr="00013525">
      <w:rPr>
        <w:rStyle w:val="PageNumber"/>
      </w:rPr>
      <w:fldChar w:fldCharType="begin"/>
    </w:r>
    <w:r w:rsidRPr="00013525">
      <w:rPr>
        <w:rStyle w:val="PageNumber"/>
      </w:rPr>
      <w:instrText xml:space="preserve"> PAGE </w:instrText>
    </w:r>
    <w:r w:rsidRPr="00013525">
      <w:rPr>
        <w:rStyle w:val="PageNumber"/>
      </w:rPr>
      <w:fldChar w:fldCharType="separate"/>
    </w:r>
    <w:r w:rsidR="00A603D0">
      <w:rPr>
        <w:rStyle w:val="PageNumber"/>
        <w:noProof/>
      </w:rPr>
      <w:t>5</w:t>
    </w:r>
    <w:r w:rsidRPr="00013525">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D2C06"/>
    <w:multiLevelType w:val="hybridMultilevel"/>
    <w:tmpl w:val="C7B850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98D5A9C"/>
    <w:multiLevelType w:val="hybridMultilevel"/>
    <w:tmpl w:val="AAD409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3190E6C"/>
    <w:multiLevelType w:val="hybridMultilevel"/>
    <w:tmpl w:val="314C9062"/>
    <w:lvl w:ilvl="0" w:tplc="D278D32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7EA5625B"/>
    <w:multiLevelType w:val="multilevel"/>
    <w:tmpl w:val="355C7320"/>
    <w:lvl w:ilvl="0">
      <w:start w:val="2"/>
      <w:numFmt w:val="decimal"/>
      <w:lvlText w:val="%1."/>
      <w:lvlJc w:val="left"/>
      <w:pPr>
        <w:ind w:left="540" w:hanging="540"/>
      </w:pPr>
      <w:rPr>
        <w:rFonts w:hint="default"/>
        <w:color w:val="auto"/>
        <w:sz w:val="24"/>
      </w:rPr>
    </w:lvl>
    <w:lvl w:ilvl="1">
      <w:start w:val="1"/>
      <w:numFmt w:val="decimal"/>
      <w:lvlText w:val="%1.%2."/>
      <w:lvlJc w:val="left"/>
      <w:pPr>
        <w:ind w:left="870" w:hanging="720"/>
      </w:pPr>
      <w:rPr>
        <w:rFonts w:hint="default"/>
        <w:color w:val="auto"/>
        <w:sz w:val="24"/>
      </w:rPr>
    </w:lvl>
    <w:lvl w:ilvl="2">
      <w:start w:val="1"/>
      <w:numFmt w:val="decimal"/>
      <w:lvlText w:val="%1.%2.%3."/>
      <w:lvlJc w:val="left"/>
      <w:pPr>
        <w:ind w:left="1712" w:hanging="720"/>
      </w:pPr>
      <w:rPr>
        <w:rFonts w:hint="default"/>
        <w:color w:val="auto"/>
        <w:sz w:val="24"/>
      </w:rPr>
    </w:lvl>
    <w:lvl w:ilvl="3">
      <w:start w:val="1"/>
      <w:numFmt w:val="decimal"/>
      <w:lvlText w:val="%1.%2.%3.%4."/>
      <w:lvlJc w:val="left"/>
      <w:pPr>
        <w:ind w:left="1530" w:hanging="1080"/>
      </w:pPr>
      <w:rPr>
        <w:rFonts w:hint="default"/>
        <w:color w:val="auto"/>
        <w:sz w:val="24"/>
      </w:rPr>
    </w:lvl>
    <w:lvl w:ilvl="4">
      <w:start w:val="1"/>
      <w:numFmt w:val="decimal"/>
      <w:lvlText w:val="%1.%2.%3.%4.%5."/>
      <w:lvlJc w:val="left"/>
      <w:pPr>
        <w:ind w:left="1680" w:hanging="1080"/>
      </w:pPr>
      <w:rPr>
        <w:rFonts w:hint="default"/>
        <w:color w:val="auto"/>
        <w:sz w:val="24"/>
      </w:rPr>
    </w:lvl>
    <w:lvl w:ilvl="5">
      <w:start w:val="1"/>
      <w:numFmt w:val="decimal"/>
      <w:lvlText w:val="%1.%2.%3.%4.%5.%6."/>
      <w:lvlJc w:val="left"/>
      <w:pPr>
        <w:ind w:left="2190" w:hanging="1440"/>
      </w:pPr>
      <w:rPr>
        <w:rFonts w:hint="default"/>
        <w:color w:val="auto"/>
        <w:sz w:val="24"/>
      </w:rPr>
    </w:lvl>
    <w:lvl w:ilvl="6">
      <w:start w:val="1"/>
      <w:numFmt w:val="decimal"/>
      <w:lvlText w:val="%1.%2.%3.%4.%5.%6.%7."/>
      <w:lvlJc w:val="left"/>
      <w:pPr>
        <w:ind w:left="2700" w:hanging="1800"/>
      </w:pPr>
      <w:rPr>
        <w:rFonts w:hint="default"/>
        <w:color w:val="auto"/>
        <w:sz w:val="24"/>
      </w:rPr>
    </w:lvl>
    <w:lvl w:ilvl="7">
      <w:start w:val="1"/>
      <w:numFmt w:val="decimal"/>
      <w:lvlText w:val="%1.%2.%3.%4.%5.%6.%7.%8."/>
      <w:lvlJc w:val="left"/>
      <w:pPr>
        <w:ind w:left="2850" w:hanging="1800"/>
      </w:pPr>
      <w:rPr>
        <w:rFonts w:hint="default"/>
        <w:color w:val="auto"/>
        <w:sz w:val="24"/>
      </w:rPr>
    </w:lvl>
    <w:lvl w:ilvl="8">
      <w:start w:val="1"/>
      <w:numFmt w:val="decimal"/>
      <w:lvlText w:val="%1.%2.%3.%4.%5.%6.%7.%8.%9."/>
      <w:lvlJc w:val="left"/>
      <w:pPr>
        <w:ind w:left="3360" w:hanging="2160"/>
      </w:pPr>
      <w:rPr>
        <w:rFonts w:hint="default"/>
        <w:color w:val="auto"/>
        <w:sz w:val="24"/>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1C"/>
    <w:rsid w:val="00021DC7"/>
    <w:rsid w:val="00034516"/>
    <w:rsid w:val="00122D68"/>
    <w:rsid w:val="00154FD6"/>
    <w:rsid w:val="00155D8C"/>
    <w:rsid w:val="00196CA5"/>
    <w:rsid w:val="001F543E"/>
    <w:rsid w:val="002449F5"/>
    <w:rsid w:val="002659D4"/>
    <w:rsid w:val="00292501"/>
    <w:rsid w:val="003037D0"/>
    <w:rsid w:val="00380259"/>
    <w:rsid w:val="0040258A"/>
    <w:rsid w:val="0042033F"/>
    <w:rsid w:val="00436C2E"/>
    <w:rsid w:val="00451E8D"/>
    <w:rsid w:val="0048264A"/>
    <w:rsid w:val="00487F95"/>
    <w:rsid w:val="004D26D3"/>
    <w:rsid w:val="004D4FEE"/>
    <w:rsid w:val="005408A8"/>
    <w:rsid w:val="0054352E"/>
    <w:rsid w:val="00544424"/>
    <w:rsid w:val="0058633B"/>
    <w:rsid w:val="0059243D"/>
    <w:rsid w:val="005950F0"/>
    <w:rsid w:val="005C09A4"/>
    <w:rsid w:val="005F64F4"/>
    <w:rsid w:val="006719C4"/>
    <w:rsid w:val="006E7B26"/>
    <w:rsid w:val="00711D1A"/>
    <w:rsid w:val="007527D6"/>
    <w:rsid w:val="007A6685"/>
    <w:rsid w:val="007A7A72"/>
    <w:rsid w:val="00802FEA"/>
    <w:rsid w:val="008167F0"/>
    <w:rsid w:val="00867C3E"/>
    <w:rsid w:val="00886965"/>
    <w:rsid w:val="008F1C71"/>
    <w:rsid w:val="0093335B"/>
    <w:rsid w:val="00946ECA"/>
    <w:rsid w:val="00963E7A"/>
    <w:rsid w:val="00974EEA"/>
    <w:rsid w:val="0097696B"/>
    <w:rsid w:val="009D406B"/>
    <w:rsid w:val="009D49B8"/>
    <w:rsid w:val="00A12D9B"/>
    <w:rsid w:val="00A37EFA"/>
    <w:rsid w:val="00A603D0"/>
    <w:rsid w:val="00A64838"/>
    <w:rsid w:val="00A7729E"/>
    <w:rsid w:val="00A8030F"/>
    <w:rsid w:val="00A83185"/>
    <w:rsid w:val="00AA0D62"/>
    <w:rsid w:val="00AA47DE"/>
    <w:rsid w:val="00B92213"/>
    <w:rsid w:val="00BB3627"/>
    <w:rsid w:val="00BD572F"/>
    <w:rsid w:val="00BE5AFA"/>
    <w:rsid w:val="00BF4976"/>
    <w:rsid w:val="00C25855"/>
    <w:rsid w:val="00C27E2D"/>
    <w:rsid w:val="00CD1661"/>
    <w:rsid w:val="00CE114E"/>
    <w:rsid w:val="00DA721C"/>
    <w:rsid w:val="00DE3C09"/>
    <w:rsid w:val="00DF135C"/>
    <w:rsid w:val="00E70B75"/>
    <w:rsid w:val="00ED4C18"/>
    <w:rsid w:val="00F065F3"/>
    <w:rsid w:val="00F4274D"/>
    <w:rsid w:val="00F73BCE"/>
    <w:rsid w:val="00F802C5"/>
    <w:rsid w:val="00FA7FD5"/>
    <w:rsid w:val="00FB40BC"/>
    <w:rsid w:val="00FB628B"/>
    <w:rsid w:val="00FD39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06F096D9"/>
  <w15:chartTrackingRefBased/>
  <w15:docId w15:val="{34664A9A-03CB-4D2D-A9A0-57B38F59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21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721C"/>
    <w:pPr>
      <w:tabs>
        <w:tab w:val="center" w:pos="4153"/>
        <w:tab w:val="right" w:pos="8306"/>
      </w:tabs>
    </w:pPr>
  </w:style>
  <w:style w:type="character" w:customStyle="1" w:styleId="HeaderChar">
    <w:name w:val="Header Char"/>
    <w:basedOn w:val="DefaultParagraphFont"/>
    <w:link w:val="Header"/>
    <w:rsid w:val="00DA721C"/>
    <w:rPr>
      <w:rFonts w:ascii="Times New Roman" w:eastAsia="Times New Roman" w:hAnsi="Times New Roman" w:cs="Times New Roman"/>
      <w:sz w:val="24"/>
      <w:szCs w:val="24"/>
      <w:lang w:eastAsia="lv-LV"/>
    </w:rPr>
  </w:style>
  <w:style w:type="paragraph" w:customStyle="1" w:styleId="naisf">
    <w:name w:val="naisf"/>
    <w:basedOn w:val="Normal"/>
    <w:rsid w:val="00DA721C"/>
    <w:pPr>
      <w:spacing w:before="75" w:after="75"/>
      <w:ind w:firstLine="375"/>
      <w:jc w:val="both"/>
    </w:pPr>
  </w:style>
  <w:style w:type="character" w:styleId="PageNumber">
    <w:name w:val="page number"/>
    <w:basedOn w:val="DefaultParagraphFont"/>
    <w:rsid w:val="00DA721C"/>
  </w:style>
  <w:style w:type="character" w:styleId="Hyperlink">
    <w:name w:val="Hyperlink"/>
    <w:rsid w:val="00DA721C"/>
    <w:rPr>
      <w:rFonts w:cs="Times New Roman"/>
      <w:color w:val="0000FF"/>
      <w:u w:val="single"/>
    </w:rPr>
  </w:style>
  <w:style w:type="paragraph" w:customStyle="1" w:styleId="naisnod">
    <w:name w:val="naisnod"/>
    <w:basedOn w:val="Normal"/>
    <w:rsid w:val="00DA721C"/>
    <w:pPr>
      <w:spacing w:before="150" w:after="150"/>
      <w:jc w:val="center"/>
    </w:pPr>
    <w:rPr>
      <w:b/>
      <w:bCs/>
    </w:rPr>
  </w:style>
  <w:style w:type="paragraph" w:customStyle="1" w:styleId="naiskr">
    <w:name w:val="naiskr"/>
    <w:basedOn w:val="Normal"/>
    <w:rsid w:val="00DA721C"/>
    <w:pPr>
      <w:spacing w:before="75" w:after="75"/>
    </w:pPr>
  </w:style>
  <w:style w:type="paragraph" w:styleId="Title">
    <w:name w:val="Title"/>
    <w:basedOn w:val="Normal"/>
    <w:link w:val="TitleChar"/>
    <w:qFormat/>
    <w:rsid w:val="00DA721C"/>
    <w:pPr>
      <w:jc w:val="center"/>
    </w:pPr>
    <w:rPr>
      <w:b/>
      <w:bCs/>
      <w:lang w:eastAsia="en-US"/>
    </w:rPr>
  </w:style>
  <w:style w:type="character" w:customStyle="1" w:styleId="TitleChar">
    <w:name w:val="Title Char"/>
    <w:basedOn w:val="DefaultParagraphFont"/>
    <w:link w:val="Title"/>
    <w:rsid w:val="00DA721C"/>
    <w:rPr>
      <w:rFonts w:ascii="Times New Roman" w:eastAsia="Times New Roman" w:hAnsi="Times New Roman" w:cs="Times New Roman"/>
      <w:b/>
      <w:bCs/>
      <w:sz w:val="24"/>
      <w:szCs w:val="24"/>
    </w:rPr>
  </w:style>
  <w:style w:type="paragraph" w:customStyle="1" w:styleId="naisc">
    <w:name w:val="naisc"/>
    <w:basedOn w:val="Normal"/>
    <w:rsid w:val="00DA721C"/>
    <w:pPr>
      <w:spacing w:before="75" w:after="75"/>
      <w:jc w:val="center"/>
    </w:pPr>
  </w:style>
  <w:style w:type="character" w:styleId="Strong">
    <w:name w:val="Strong"/>
    <w:uiPriority w:val="22"/>
    <w:qFormat/>
    <w:rsid w:val="00DA721C"/>
    <w:rPr>
      <w:b/>
      <w:bCs/>
    </w:rPr>
  </w:style>
  <w:style w:type="paragraph" w:customStyle="1" w:styleId="tv2161">
    <w:name w:val="tv2161"/>
    <w:basedOn w:val="Normal"/>
    <w:rsid w:val="00DA721C"/>
    <w:pPr>
      <w:spacing w:before="240" w:line="360" w:lineRule="auto"/>
      <w:ind w:firstLine="259"/>
      <w:jc w:val="right"/>
    </w:pPr>
    <w:rPr>
      <w:rFonts w:ascii="Verdana" w:hAnsi="Verdana"/>
      <w:sz w:val="16"/>
      <w:szCs w:val="16"/>
      <w:lang w:eastAsia="en-US"/>
    </w:rPr>
  </w:style>
  <w:style w:type="paragraph" w:customStyle="1" w:styleId="tv2131">
    <w:name w:val="tv2131"/>
    <w:basedOn w:val="Normal"/>
    <w:rsid w:val="00DA721C"/>
    <w:pPr>
      <w:spacing w:line="360" w:lineRule="auto"/>
      <w:ind w:firstLine="300"/>
    </w:pPr>
    <w:rPr>
      <w:color w:val="414142"/>
      <w:sz w:val="20"/>
      <w:szCs w:val="20"/>
      <w:lang w:val="en-US" w:eastAsia="en-US"/>
    </w:rPr>
  </w:style>
  <w:style w:type="table" w:styleId="TableGrid">
    <w:name w:val="Table Grid"/>
    <w:basedOn w:val="TableNormal"/>
    <w:uiPriority w:val="39"/>
    <w:rsid w:val="00DA721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A721C"/>
    <w:rPr>
      <w:sz w:val="20"/>
      <w:szCs w:val="20"/>
    </w:rPr>
  </w:style>
  <w:style w:type="character" w:customStyle="1" w:styleId="FootnoteTextChar">
    <w:name w:val="Footnote Text Char"/>
    <w:basedOn w:val="DefaultParagraphFont"/>
    <w:link w:val="FootnoteText"/>
    <w:uiPriority w:val="99"/>
    <w:semiHidden/>
    <w:rsid w:val="00DA721C"/>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DA721C"/>
    <w:rPr>
      <w:vertAlign w:val="superscript"/>
    </w:rPr>
  </w:style>
  <w:style w:type="paragraph" w:styleId="ListParagraph">
    <w:name w:val="List Paragraph"/>
    <w:basedOn w:val="Normal"/>
    <w:qFormat/>
    <w:rsid w:val="00DA721C"/>
    <w:pPr>
      <w:ind w:left="720"/>
      <w:contextualSpacing/>
    </w:pPr>
  </w:style>
  <w:style w:type="paragraph" w:customStyle="1" w:styleId="tv213">
    <w:name w:val="tv213"/>
    <w:basedOn w:val="Normal"/>
    <w:rsid w:val="00DA721C"/>
    <w:pPr>
      <w:spacing w:before="100" w:beforeAutospacing="1" w:after="100" w:afterAutospacing="1"/>
    </w:pPr>
  </w:style>
  <w:style w:type="paragraph" w:styleId="Footer">
    <w:name w:val="footer"/>
    <w:basedOn w:val="Normal"/>
    <w:link w:val="FooterChar"/>
    <w:uiPriority w:val="99"/>
    <w:unhideWhenUsed/>
    <w:rsid w:val="00A7729E"/>
    <w:pPr>
      <w:tabs>
        <w:tab w:val="center" w:pos="4153"/>
        <w:tab w:val="right" w:pos="8306"/>
      </w:tabs>
    </w:pPr>
  </w:style>
  <w:style w:type="character" w:customStyle="1" w:styleId="FooterChar">
    <w:name w:val="Footer Char"/>
    <w:basedOn w:val="DefaultParagraphFont"/>
    <w:link w:val="Footer"/>
    <w:uiPriority w:val="99"/>
    <w:rsid w:val="00A772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77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29E"/>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A7729E"/>
    <w:rPr>
      <w:sz w:val="16"/>
      <w:szCs w:val="16"/>
    </w:rPr>
  </w:style>
  <w:style w:type="paragraph" w:styleId="CommentText">
    <w:name w:val="annotation text"/>
    <w:basedOn w:val="Normal"/>
    <w:link w:val="CommentTextChar"/>
    <w:uiPriority w:val="99"/>
    <w:semiHidden/>
    <w:unhideWhenUsed/>
    <w:rsid w:val="00A7729E"/>
    <w:rPr>
      <w:sz w:val="20"/>
      <w:szCs w:val="20"/>
    </w:rPr>
  </w:style>
  <w:style w:type="character" w:customStyle="1" w:styleId="CommentTextChar">
    <w:name w:val="Comment Text Char"/>
    <w:basedOn w:val="DefaultParagraphFont"/>
    <w:link w:val="CommentText"/>
    <w:uiPriority w:val="99"/>
    <w:semiHidden/>
    <w:rsid w:val="00A7729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7729E"/>
    <w:rPr>
      <w:b/>
      <w:bCs/>
    </w:rPr>
  </w:style>
  <w:style w:type="character" w:customStyle="1" w:styleId="CommentSubjectChar">
    <w:name w:val="Comment Subject Char"/>
    <w:basedOn w:val="CommentTextChar"/>
    <w:link w:val="CommentSubject"/>
    <w:uiPriority w:val="99"/>
    <w:semiHidden/>
    <w:rsid w:val="00A7729E"/>
    <w:rPr>
      <w:rFonts w:ascii="Times New Roman" w:eastAsia="Times New Roman" w:hAnsi="Times New Roman" w:cs="Times New Roman"/>
      <w:b/>
      <w:bCs/>
      <w:sz w:val="20"/>
      <w:szCs w:val="20"/>
      <w:lang w:eastAsia="lv-LV"/>
    </w:rPr>
  </w:style>
  <w:style w:type="character" w:styleId="Emphasis">
    <w:name w:val="Emphasis"/>
    <w:basedOn w:val="DefaultParagraphFont"/>
    <w:uiPriority w:val="20"/>
    <w:qFormat/>
    <w:rsid w:val="005F64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lze.Donina@varam.gov.lv" TargetMode="External"/><Relationship Id="rId4" Type="http://schemas.openxmlformats.org/officeDocument/2006/relationships/settings" Target="settings.xml"/><Relationship Id="rId9" Type="http://schemas.openxmlformats.org/officeDocument/2006/relationships/hyperlink" Target="https://www.mk.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varam.gov.lv/lat/likumdosana/normativo_aktu_projekti/normativo_aktu_projekti_vides_aizsardzibas_joma/?doc=276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04543-3A4A-4F18-89D1-93C7D10E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7243</Words>
  <Characters>4129</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Ministru kabineta noteikumu projekta“Grozījumi Ministru kabineta 2011. gada 21. jūnija noteikumos Nr. 485 “Atsevišķu veidu bīstamo atkritumu apsaimniekošanas kārtība””sākotnējās ietekmes novērtējuma ziņojums (anotācija)</vt:lpstr>
    </vt:vector>
  </TitlesOfParts>
  <Company>VARAM</Company>
  <LinksUpToDate>false</LinksUpToDate>
  <CharactersWithSpaces>11350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projekta“Grozījumi Ministru kabineta 2011. gada 21. jūnija noteikumos Nr. 485 “Atsevišķu veidu bīstamo atkritumu apsaimniekošanas kārtība””sākotnējās ietekmes novērtējuma ziņojums (anotācija)</dc:title>
  <dc:subject>Anotācija</dc:subject>
  <dc:creator>Ilze Doniņa</dc:creator>
  <cp:keywords/>
  <dc:description>Doniņa 67026515
Ilze.Donina@varam.gov.lv</dc:description>
  <cp:lastModifiedBy>Madara Gaile</cp:lastModifiedBy>
  <cp:revision>5</cp:revision>
  <dcterms:created xsi:type="dcterms:W3CDTF">2019-12-12T07:21:00Z</dcterms:created>
  <dcterms:modified xsi:type="dcterms:W3CDTF">2019-12-17T09:18:00Z</dcterms:modified>
  <cp:category>Vides politika</cp:category>
</cp:coreProperties>
</file>