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C3FA" w14:textId="66BB686B" w:rsidR="00B559D5" w:rsidRPr="003338DA" w:rsidRDefault="002A525E" w:rsidP="00B559D5">
      <w:pPr>
        <w:spacing w:after="120"/>
        <w:jc w:val="center"/>
        <w:rPr>
          <w:b/>
          <w:bCs/>
          <w:sz w:val="28"/>
          <w:szCs w:val="28"/>
          <w:lang w:eastAsia="en-US"/>
        </w:rPr>
      </w:pPr>
      <w:r w:rsidRPr="003338DA">
        <w:rPr>
          <w:b/>
          <w:bCs/>
          <w:sz w:val="28"/>
          <w:szCs w:val="28"/>
        </w:rPr>
        <w:t xml:space="preserve">Ministru kabineta rīkojuma projekta </w:t>
      </w:r>
      <w:r w:rsidR="003338DA" w:rsidRPr="003338DA">
        <w:rPr>
          <w:b/>
          <w:bCs/>
          <w:sz w:val="28"/>
          <w:szCs w:val="28"/>
        </w:rPr>
        <w:t>„Par informācijas sabiedrības attīstības pamatnostādņu ieviešanu publiskās pārvaldes informācijas sistēmu jomā (</w:t>
      </w:r>
      <w:proofErr w:type="spellStart"/>
      <w:r w:rsidR="003338DA" w:rsidRPr="003338DA">
        <w:rPr>
          <w:b/>
          <w:bCs/>
          <w:sz w:val="28"/>
          <w:szCs w:val="28"/>
        </w:rPr>
        <w:t>mērķarhitektūras</w:t>
      </w:r>
      <w:proofErr w:type="spellEnd"/>
      <w:r w:rsidR="003338DA" w:rsidRPr="003338DA">
        <w:rPr>
          <w:b/>
          <w:bCs/>
          <w:sz w:val="28"/>
          <w:szCs w:val="28"/>
        </w:rPr>
        <w:t xml:space="preserve"> </w:t>
      </w:r>
      <w:r w:rsidR="00E6736C">
        <w:rPr>
          <w:b/>
          <w:bCs/>
          <w:sz w:val="28"/>
          <w:szCs w:val="28"/>
        </w:rPr>
        <w:t>52</w:t>
      </w:r>
      <w:r w:rsidR="003338DA" w:rsidRPr="003338DA">
        <w:rPr>
          <w:b/>
          <w:bCs/>
          <w:sz w:val="28"/>
          <w:szCs w:val="28"/>
        </w:rPr>
        <w:t>.0.versija)”</w:t>
      </w:r>
      <w:r w:rsidRPr="003338DA">
        <w:rPr>
          <w:b/>
          <w:bCs/>
          <w:sz w:val="28"/>
          <w:szCs w:val="28"/>
        </w:rPr>
        <w:t>sākotnējās</w:t>
      </w:r>
      <w:r w:rsidRPr="003338DA">
        <w:rPr>
          <w:b/>
          <w:bCs/>
          <w:sz w:val="28"/>
          <w:szCs w:val="28"/>
          <w:lang w:eastAsia="en-US"/>
        </w:rPr>
        <w:t xml:space="preserve"> ietekmes novērtējuma ziņojums (anotācija) </w:t>
      </w: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0"/>
        <w:gridCol w:w="6146"/>
      </w:tblGrid>
      <w:tr w:rsidR="00CC6F38" w14:paraId="6CF07878" w14:textId="77777777" w:rsidTr="00B559D5">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3A9122CA" w14:textId="77777777" w:rsidR="00B559D5" w:rsidRPr="00836FE4" w:rsidRDefault="002A525E" w:rsidP="00262DE5">
            <w:pPr>
              <w:jc w:val="center"/>
              <w:rPr>
                <w:b/>
                <w:bCs/>
                <w:iCs/>
                <w:color w:val="000000" w:themeColor="text1"/>
                <w:lang w:eastAsia="lv-LV"/>
              </w:rPr>
            </w:pPr>
            <w:r w:rsidRPr="00836FE4">
              <w:rPr>
                <w:b/>
                <w:bCs/>
                <w:iCs/>
                <w:color w:val="000000" w:themeColor="text1"/>
                <w:lang w:eastAsia="lv-LV"/>
              </w:rPr>
              <w:t>Tiesību akta projekta anotācijas kopsavilkums</w:t>
            </w:r>
          </w:p>
        </w:tc>
      </w:tr>
      <w:tr w:rsidR="00CC6F38" w14:paraId="2AC4CB8B" w14:textId="77777777" w:rsidTr="00B559D5">
        <w:trPr>
          <w:tblCellSpacing w:w="15" w:type="dxa"/>
        </w:trPr>
        <w:tc>
          <w:tcPr>
            <w:tcW w:w="1807" w:type="pct"/>
            <w:tcBorders>
              <w:top w:val="outset" w:sz="6" w:space="0" w:color="auto"/>
              <w:left w:val="outset" w:sz="6" w:space="0" w:color="auto"/>
              <w:bottom w:val="outset" w:sz="6" w:space="0" w:color="auto"/>
              <w:right w:val="outset" w:sz="6" w:space="0" w:color="auto"/>
            </w:tcBorders>
            <w:hideMark/>
          </w:tcPr>
          <w:p w14:paraId="604A92AC" w14:textId="77777777" w:rsidR="00B559D5" w:rsidRPr="00836FE4" w:rsidRDefault="002A525E" w:rsidP="00262DE5">
            <w:pPr>
              <w:rPr>
                <w:iCs/>
                <w:color w:val="000000" w:themeColor="text1"/>
                <w:lang w:eastAsia="lv-LV"/>
              </w:rPr>
            </w:pPr>
            <w:r w:rsidRPr="00836FE4">
              <w:rPr>
                <w:iCs/>
                <w:color w:val="000000" w:themeColor="text1"/>
                <w:lang w:eastAsia="lv-LV"/>
              </w:rPr>
              <w:t>Mērķis, risinājums un projekta spēkā stāšanās laiks (500 zīmes bez atstarpēm)</w:t>
            </w:r>
          </w:p>
        </w:tc>
        <w:tc>
          <w:tcPr>
            <w:tcW w:w="3148" w:type="pct"/>
            <w:tcBorders>
              <w:top w:val="outset" w:sz="6" w:space="0" w:color="auto"/>
              <w:left w:val="outset" w:sz="6" w:space="0" w:color="auto"/>
              <w:bottom w:val="outset" w:sz="6" w:space="0" w:color="auto"/>
              <w:right w:val="outset" w:sz="6" w:space="0" w:color="auto"/>
            </w:tcBorders>
            <w:hideMark/>
          </w:tcPr>
          <w:p w14:paraId="27E9ACB9" w14:textId="5DE5526D" w:rsidR="00B559D5" w:rsidRPr="0035455A" w:rsidRDefault="002A525E" w:rsidP="00262DE5">
            <w:pPr>
              <w:pStyle w:val="VPTitle"/>
              <w:spacing w:before="0" w:after="120" w:line="240" w:lineRule="auto"/>
              <w:jc w:val="both"/>
              <w:rPr>
                <w:b w:val="0"/>
                <w:sz w:val="24"/>
                <w:szCs w:val="24"/>
              </w:rPr>
            </w:pPr>
            <w:r w:rsidRPr="0035455A">
              <w:rPr>
                <w:rFonts w:ascii="Times New Roman" w:hAnsi="Times New Roman" w:cs="Times New Roman"/>
                <w:b w:val="0"/>
                <w:bCs w:val="0"/>
                <w:spacing w:val="0"/>
                <w:kern w:val="0"/>
                <w:sz w:val="24"/>
                <w:szCs w:val="24"/>
                <w:lang w:eastAsia="en-US"/>
              </w:rPr>
              <w:t xml:space="preserve">Ar </w:t>
            </w:r>
            <w:r w:rsidRPr="00233C8F">
              <w:rPr>
                <w:rFonts w:ascii="Times New Roman" w:hAnsi="Times New Roman" w:cs="Times New Roman"/>
                <w:b w:val="0"/>
                <w:bCs w:val="0"/>
                <w:spacing w:val="0"/>
                <w:kern w:val="0"/>
                <w:sz w:val="24"/>
                <w:szCs w:val="24"/>
                <w:lang w:eastAsia="en-US"/>
              </w:rPr>
              <w:t xml:space="preserve">rīkojuma projektu tiek apstiprināts un iekļauts IKT </w:t>
            </w:r>
            <w:proofErr w:type="spellStart"/>
            <w:r w:rsidRPr="00233C8F">
              <w:rPr>
                <w:rFonts w:ascii="Times New Roman" w:hAnsi="Times New Roman" w:cs="Times New Roman"/>
                <w:b w:val="0"/>
                <w:bCs w:val="0"/>
                <w:spacing w:val="0"/>
                <w:kern w:val="0"/>
                <w:sz w:val="24"/>
                <w:szCs w:val="24"/>
                <w:lang w:eastAsia="en-US"/>
              </w:rPr>
              <w:t>mērķarhitektūrā</w:t>
            </w:r>
            <w:proofErr w:type="spellEnd"/>
            <w:r w:rsidRPr="00233C8F">
              <w:rPr>
                <w:rFonts w:ascii="Times New Roman" w:hAnsi="Times New Roman" w:cs="Times New Roman"/>
                <w:b w:val="0"/>
                <w:bCs w:val="0"/>
                <w:spacing w:val="0"/>
                <w:kern w:val="0"/>
                <w:sz w:val="24"/>
                <w:szCs w:val="24"/>
                <w:lang w:eastAsia="en-US"/>
              </w:rPr>
              <w:t xml:space="preserve"> </w:t>
            </w:r>
            <w:r w:rsidR="008A7A63" w:rsidRPr="00233C8F">
              <w:rPr>
                <w:rFonts w:ascii="Times New Roman" w:hAnsi="Times New Roman" w:cs="Times New Roman"/>
                <w:b w:val="0"/>
                <w:bCs w:val="0"/>
                <w:spacing w:val="0"/>
                <w:kern w:val="0"/>
                <w:sz w:val="24"/>
                <w:szCs w:val="24"/>
                <w:lang w:eastAsia="en-US"/>
              </w:rPr>
              <w:t>Neatliekamās medicīniskās palīdzības dienesta projekts</w:t>
            </w:r>
            <w:r w:rsidR="00233C8F">
              <w:rPr>
                <w:rFonts w:ascii="Times New Roman" w:hAnsi="Times New Roman" w:cs="Times New Roman"/>
                <w:b w:val="0"/>
                <w:bCs w:val="0"/>
                <w:spacing w:val="0"/>
                <w:kern w:val="0"/>
                <w:sz w:val="24"/>
                <w:szCs w:val="24"/>
                <w:lang w:eastAsia="en-US"/>
              </w:rPr>
              <w:t xml:space="preserve"> “Vienotās neatliekamās </w:t>
            </w:r>
            <w:r w:rsidR="00BD2D95">
              <w:rPr>
                <w:rFonts w:ascii="Times New Roman" w:hAnsi="Times New Roman" w:cs="Times New Roman"/>
                <w:b w:val="0"/>
                <w:bCs w:val="0"/>
                <w:spacing w:val="0"/>
                <w:kern w:val="0"/>
                <w:sz w:val="24"/>
                <w:szCs w:val="24"/>
                <w:lang w:eastAsia="en-US"/>
              </w:rPr>
              <w:t>medicīniskās palīdzības un katastrofu medicīnas vadības informācijas sistēmas attīstība (2.kārta)”,</w:t>
            </w:r>
            <w:r w:rsidRPr="00233C8F">
              <w:rPr>
                <w:rFonts w:ascii="Times New Roman" w:hAnsi="Times New Roman" w:cs="Times New Roman"/>
                <w:b w:val="0"/>
                <w:bCs w:val="0"/>
                <w:spacing w:val="0"/>
                <w:kern w:val="0"/>
                <w:sz w:val="24"/>
                <w:szCs w:val="24"/>
                <w:lang w:eastAsia="en-US"/>
              </w:rPr>
              <w:t xml:space="preserve"> kura</w:t>
            </w:r>
            <w:r w:rsidR="0035455A" w:rsidRPr="00233C8F">
              <w:rPr>
                <w:rFonts w:ascii="Times New Roman" w:hAnsi="Times New Roman" w:cs="Times New Roman"/>
                <w:b w:val="0"/>
                <w:bCs w:val="0"/>
                <w:spacing w:val="0"/>
                <w:kern w:val="0"/>
                <w:sz w:val="24"/>
                <w:szCs w:val="24"/>
                <w:lang w:eastAsia="en-US"/>
              </w:rPr>
              <w:t xml:space="preserve"> </w:t>
            </w:r>
            <w:proofErr w:type="spellStart"/>
            <w:r w:rsidR="0035455A" w:rsidRPr="00233C8F">
              <w:rPr>
                <w:rFonts w:ascii="Times New Roman" w:hAnsi="Times New Roman" w:cs="Times New Roman"/>
                <w:b w:val="0"/>
                <w:bCs w:val="0"/>
                <w:spacing w:val="0"/>
                <w:kern w:val="0"/>
                <w:sz w:val="24"/>
                <w:szCs w:val="24"/>
                <w:lang w:eastAsia="en-US"/>
              </w:rPr>
              <w:t>virsmērķis</w:t>
            </w:r>
            <w:proofErr w:type="spellEnd"/>
            <w:r w:rsidR="0035455A" w:rsidRPr="00233C8F">
              <w:rPr>
                <w:rFonts w:ascii="Times New Roman" w:hAnsi="Times New Roman" w:cs="Times New Roman"/>
                <w:b w:val="0"/>
                <w:bCs w:val="0"/>
                <w:spacing w:val="0"/>
                <w:kern w:val="0"/>
                <w:sz w:val="24"/>
                <w:szCs w:val="24"/>
                <w:lang w:eastAsia="en-US"/>
              </w:rPr>
              <w:t xml:space="preserve"> ir att</w:t>
            </w:r>
            <w:r w:rsidR="009C069F" w:rsidRPr="00233C8F">
              <w:rPr>
                <w:rFonts w:ascii="Times New Roman" w:hAnsi="Times New Roman" w:cs="Times New Roman"/>
                <w:b w:val="0"/>
                <w:bCs w:val="0"/>
                <w:spacing w:val="0"/>
                <w:kern w:val="0"/>
                <w:sz w:val="24"/>
                <w:szCs w:val="24"/>
                <w:lang w:eastAsia="en-US"/>
              </w:rPr>
              <w:t xml:space="preserve">īstīt IKT risinājumus </w:t>
            </w:r>
            <w:r w:rsidR="00034467">
              <w:rPr>
                <w:rFonts w:ascii="Times New Roman" w:hAnsi="Times New Roman" w:cs="Times New Roman"/>
                <w:b w:val="0"/>
                <w:bCs w:val="0"/>
                <w:spacing w:val="0"/>
                <w:kern w:val="0"/>
                <w:sz w:val="24"/>
                <w:szCs w:val="24"/>
                <w:lang w:eastAsia="en-US"/>
              </w:rPr>
              <w:t>n</w:t>
            </w:r>
            <w:r w:rsidR="009C069F" w:rsidRPr="00233C8F">
              <w:rPr>
                <w:rFonts w:ascii="Times New Roman" w:hAnsi="Times New Roman" w:cs="Times New Roman"/>
                <w:b w:val="0"/>
                <w:bCs w:val="0"/>
                <w:spacing w:val="0"/>
                <w:kern w:val="0"/>
                <w:sz w:val="24"/>
                <w:szCs w:val="24"/>
                <w:lang w:eastAsia="en-US"/>
              </w:rPr>
              <w:t xml:space="preserve">eatliekamās medicīniskās palīdzības </w:t>
            </w:r>
            <w:r w:rsidR="003A38E2">
              <w:rPr>
                <w:rFonts w:ascii="Times New Roman" w:hAnsi="Times New Roman" w:cs="Times New Roman"/>
                <w:b w:val="0"/>
                <w:bCs w:val="0"/>
                <w:spacing w:val="0"/>
                <w:kern w:val="0"/>
                <w:sz w:val="24"/>
                <w:szCs w:val="24"/>
                <w:lang w:eastAsia="en-US"/>
              </w:rPr>
              <w:t xml:space="preserve">(turpmāk – NMP) </w:t>
            </w:r>
            <w:r w:rsidR="009C069F" w:rsidRPr="00233C8F">
              <w:rPr>
                <w:rFonts w:ascii="Times New Roman" w:hAnsi="Times New Roman" w:cs="Times New Roman"/>
                <w:b w:val="0"/>
                <w:bCs w:val="0"/>
                <w:spacing w:val="0"/>
                <w:kern w:val="0"/>
                <w:sz w:val="24"/>
                <w:szCs w:val="24"/>
                <w:lang w:eastAsia="en-US"/>
              </w:rPr>
              <w:t xml:space="preserve">uzlabošanai </w:t>
            </w:r>
            <w:r w:rsidR="006B3BE4" w:rsidRPr="00233C8F">
              <w:rPr>
                <w:rFonts w:ascii="Times New Roman" w:hAnsi="Times New Roman" w:cs="Times New Roman"/>
                <w:b w:val="0"/>
                <w:bCs w:val="0"/>
                <w:spacing w:val="0"/>
                <w:kern w:val="0"/>
                <w:sz w:val="24"/>
                <w:szCs w:val="24"/>
                <w:lang w:eastAsia="en-US"/>
              </w:rPr>
              <w:t>Latvijas iedzīvotājiem dzīvībai un veselībai kritiskās situācijās</w:t>
            </w:r>
            <w:r w:rsidR="006B3BE4">
              <w:rPr>
                <w:rFonts w:ascii="Times New Roman" w:hAnsi="Times New Roman" w:cs="Times New Roman"/>
                <w:b w:val="0"/>
                <w:bCs w:val="0"/>
                <w:spacing w:val="0"/>
                <w:kern w:val="0"/>
                <w:sz w:val="24"/>
                <w:szCs w:val="24"/>
                <w:lang w:eastAsia="en-US"/>
              </w:rPr>
              <w:t xml:space="preserve"> ciešā sadarbībā ar 112 platformas attīstību.</w:t>
            </w:r>
          </w:p>
          <w:p w14:paraId="4A93FFAF" w14:textId="77777777" w:rsidR="00B559D5" w:rsidRPr="00836FE4" w:rsidRDefault="002A525E" w:rsidP="00262DE5">
            <w:pPr>
              <w:rPr>
                <w:iCs/>
                <w:color w:val="000000" w:themeColor="text1"/>
                <w:lang w:eastAsia="lv-LV"/>
              </w:rPr>
            </w:pPr>
            <w:r w:rsidRPr="00836FE4">
              <w:rPr>
                <w:lang w:eastAsia="en-US"/>
              </w:rPr>
              <w:t>Rīkojuma projekts stāsies spēkā pēc tā pieņemšanas M</w:t>
            </w:r>
            <w:r w:rsidR="00836FE4" w:rsidRPr="00836FE4">
              <w:rPr>
                <w:lang w:eastAsia="en-US"/>
              </w:rPr>
              <w:t>inistru kabinetā</w:t>
            </w:r>
            <w:r w:rsidRPr="00836FE4">
              <w:rPr>
                <w:lang w:eastAsia="en-US"/>
              </w:rPr>
              <w:t>.</w:t>
            </w:r>
          </w:p>
        </w:tc>
      </w:tr>
    </w:tbl>
    <w:p w14:paraId="5AC16DB5" w14:textId="77777777" w:rsidR="00B559D5" w:rsidRPr="00836FE4" w:rsidRDefault="00B559D5" w:rsidP="00B559D5">
      <w:pPr>
        <w:jc w:val="center"/>
        <w:rPr>
          <w:b/>
          <w:bCs/>
          <w:lang w:eastAsia="en-US"/>
        </w:rPr>
      </w:pPr>
    </w:p>
    <w:tbl>
      <w:tblPr>
        <w:tblW w:w="0" w:type="auto"/>
        <w:tblInd w:w="-55" w:type="dxa"/>
        <w:tblLayout w:type="fixed"/>
        <w:tblCellMar>
          <w:left w:w="57" w:type="dxa"/>
          <w:right w:w="57" w:type="dxa"/>
        </w:tblCellMar>
        <w:tblLook w:val="0000" w:firstRow="0" w:lastRow="0" w:firstColumn="0" w:lastColumn="0" w:noHBand="0" w:noVBand="0"/>
      </w:tblPr>
      <w:tblGrid>
        <w:gridCol w:w="762"/>
        <w:gridCol w:w="1986"/>
        <w:gridCol w:w="7107"/>
      </w:tblGrid>
      <w:tr w:rsidR="00CC6F38" w14:paraId="4DF5F4DA" w14:textId="77777777" w:rsidTr="00262DE5">
        <w:trPr>
          <w:trHeight w:val="557"/>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499AAD44" w14:textId="77777777" w:rsidR="00B559D5" w:rsidRPr="00836FE4" w:rsidRDefault="002A525E" w:rsidP="00262DE5">
            <w:pPr>
              <w:jc w:val="center"/>
            </w:pPr>
            <w:r w:rsidRPr="00836FE4">
              <w:rPr>
                <w:b/>
                <w:bCs/>
                <w:lang w:eastAsia="en-US"/>
              </w:rPr>
              <w:t> I. Tiesību akta izstrādes nepieciešamība</w:t>
            </w:r>
          </w:p>
        </w:tc>
      </w:tr>
      <w:tr w:rsidR="00CC6F38" w14:paraId="4EB18C70" w14:textId="77777777" w:rsidTr="00262DE5">
        <w:trPr>
          <w:trHeight w:val="271"/>
        </w:trPr>
        <w:tc>
          <w:tcPr>
            <w:tcW w:w="762" w:type="dxa"/>
            <w:tcBorders>
              <w:top w:val="thickThinLargeGap" w:sz="6" w:space="0" w:color="C0C0C0"/>
              <w:left w:val="thickThinLargeGap" w:sz="6" w:space="0" w:color="C0C0C0"/>
              <w:bottom w:val="thickThinLargeGap" w:sz="6" w:space="0" w:color="C0C0C0"/>
            </w:tcBorders>
          </w:tcPr>
          <w:p w14:paraId="6FBF1F4B" w14:textId="77777777" w:rsidR="00B559D5" w:rsidRPr="00836FE4" w:rsidRDefault="002A525E" w:rsidP="00262DE5">
            <w:r w:rsidRPr="00836FE4">
              <w:rPr>
                <w:lang w:eastAsia="en-US"/>
              </w:rPr>
              <w:t> 1.</w:t>
            </w:r>
          </w:p>
        </w:tc>
        <w:tc>
          <w:tcPr>
            <w:tcW w:w="1986" w:type="dxa"/>
            <w:tcBorders>
              <w:top w:val="thickThinLargeGap" w:sz="6" w:space="0" w:color="C0C0C0"/>
              <w:left w:val="thickThinLargeGap" w:sz="6" w:space="0" w:color="C0C0C0"/>
              <w:bottom w:val="thickThinLargeGap" w:sz="6" w:space="0" w:color="C0C0C0"/>
            </w:tcBorders>
          </w:tcPr>
          <w:p w14:paraId="122060C2" w14:textId="77777777" w:rsidR="00B559D5" w:rsidRPr="00836FE4" w:rsidRDefault="002A525E" w:rsidP="00262DE5">
            <w:r w:rsidRPr="00836FE4">
              <w:rPr>
                <w:lang w:eastAsia="en-US"/>
              </w:rPr>
              <w:t>Pamatojums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6EA2566A" w14:textId="77777777" w:rsidR="00B559D5" w:rsidRPr="005664A0" w:rsidRDefault="002A525E" w:rsidP="00B559D5">
            <w:pPr>
              <w:numPr>
                <w:ilvl w:val="0"/>
                <w:numId w:val="1"/>
              </w:numPr>
              <w:ind w:right="210"/>
              <w:jc w:val="both"/>
            </w:pPr>
            <w:r w:rsidRPr="005664A0">
              <w:t xml:space="preserve">Ministru kabineta 2015. gada 17. novembra noteikumu Nr. 653 “Darbības programmas “Izaugsme un nodarbinātība” 2.2.1. specifiskā atbalsta mērķa “Nodrošināt publisko datu </w:t>
            </w:r>
            <w:proofErr w:type="spellStart"/>
            <w:r w:rsidRPr="005664A0">
              <w:t>atkalizmantošanas</w:t>
            </w:r>
            <w:proofErr w:type="spellEnd"/>
            <w:r w:rsidRPr="005664A0">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14:paraId="64DA1039" w14:textId="4D0739B2" w:rsidR="001D603F" w:rsidRPr="005664A0" w:rsidRDefault="002A525E" w:rsidP="001D603F">
            <w:pPr>
              <w:numPr>
                <w:ilvl w:val="0"/>
                <w:numId w:val="1"/>
              </w:numPr>
              <w:ind w:right="210"/>
              <w:jc w:val="both"/>
            </w:pPr>
            <w:r w:rsidRPr="005664A0">
              <w:t xml:space="preserve">Ministru kabineta 2017.gada 10.augusta rīkojuma Nr.422 “Par darbības programmas "Izaugsme un nodarbinātība" 2.2.1. specifiskā atbalsta mērķa "Nodrošināt publisko datu </w:t>
            </w:r>
            <w:proofErr w:type="spellStart"/>
            <w:r w:rsidRPr="005664A0">
              <w:t>atkalizmantošanas</w:t>
            </w:r>
            <w:proofErr w:type="spellEnd"/>
            <w:r w:rsidRPr="005664A0">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Pr="005664A0">
              <w:t>digitalizācija</w:t>
            </w:r>
            <w:proofErr w:type="spellEnd"/>
            <w:r w:rsidRPr="005664A0">
              <w:t>" projektu iesniegumu atlases 2. kārtas projektu sarakstu Eiropas Savienības fondu 2014.–2020. gada plānošanas periodam” 1. punkts</w:t>
            </w:r>
            <w:r w:rsidR="00AD3A6F" w:rsidRPr="005664A0">
              <w:t>.</w:t>
            </w:r>
          </w:p>
          <w:p w14:paraId="1CAD5451" w14:textId="77777777" w:rsidR="00B559D5" w:rsidRPr="005664A0" w:rsidRDefault="002A525E" w:rsidP="00B559D5">
            <w:pPr>
              <w:numPr>
                <w:ilvl w:val="0"/>
                <w:numId w:val="1"/>
              </w:numPr>
              <w:ind w:left="357" w:right="210" w:hanging="357"/>
              <w:jc w:val="both"/>
            </w:pPr>
            <w:r w:rsidRPr="005664A0">
              <w:t>Ministru kabineta 2016.gada 10. februāra rīkojuma Nr.136 “Par informācijas sabiedrības attīstības pamatnostādņu ieviešanu publiskās pārvaldes informācijas sistēmu jomā” 4.</w:t>
            </w:r>
            <w:r w:rsidRPr="005664A0">
              <w:rPr>
                <w:vertAlign w:val="superscript"/>
              </w:rPr>
              <w:t>1</w:t>
            </w:r>
            <w:r w:rsidRPr="005664A0">
              <w:t xml:space="preserve"> punkts</w:t>
            </w:r>
            <w:r w:rsidRPr="005664A0">
              <w:rPr>
                <w:i/>
              </w:rPr>
              <w:t>.</w:t>
            </w:r>
            <w:r w:rsidRPr="005664A0">
              <w:t xml:space="preserve"> </w:t>
            </w:r>
          </w:p>
          <w:p w14:paraId="408879B3" w14:textId="77777777" w:rsidR="001D603F" w:rsidRPr="00FD4789" w:rsidRDefault="001D603F" w:rsidP="001D603F">
            <w:pPr>
              <w:ind w:left="357" w:right="210"/>
              <w:jc w:val="both"/>
              <w:rPr>
                <w:highlight w:val="yellow"/>
              </w:rPr>
            </w:pPr>
          </w:p>
        </w:tc>
      </w:tr>
      <w:tr w:rsidR="00CC6F38" w14:paraId="5C885513" w14:textId="77777777" w:rsidTr="00262DE5">
        <w:trPr>
          <w:trHeight w:val="1545"/>
        </w:trPr>
        <w:tc>
          <w:tcPr>
            <w:tcW w:w="762" w:type="dxa"/>
            <w:tcBorders>
              <w:top w:val="thickThinLargeGap" w:sz="6" w:space="0" w:color="C0C0C0"/>
              <w:left w:val="thickThinLargeGap" w:sz="6" w:space="0" w:color="C0C0C0"/>
              <w:bottom w:val="thickThinLargeGap" w:sz="6" w:space="0" w:color="C0C0C0"/>
            </w:tcBorders>
          </w:tcPr>
          <w:p w14:paraId="0C657850" w14:textId="77777777" w:rsidR="00B559D5" w:rsidRPr="00836FE4" w:rsidRDefault="002A525E" w:rsidP="00262DE5">
            <w:r w:rsidRPr="00836FE4">
              <w:rPr>
                <w:lang w:eastAsia="en-US"/>
              </w:rPr>
              <w:t> 2.</w:t>
            </w:r>
          </w:p>
        </w:tc>
        <w:tc>
          <w:tcPr>
            <w:tcW w:w="1986" w:type="dxa"/>
            <w:tcBorders>
              <w:top w:val="thickThinLargeGap" w:sz="6" w:space="0" w:color="C0C0C0"/>
              <w:left w:val="thickThinLargeGap" w:sz="6" w:space="0" w:color="C0C0C0"/>
              <w:bottom w:val="thickThinLargeGap" w:sz="6" w:space="0" w:color="C0C0C0"/>
            </w:tcBorders>
          </w:tcPr>
          <w:p w14:paraId="24EA020A" w14:textId="5B865952" w:rsidR="00B559D5" w:rsidRDefault="002A525E" w:rsidP="00262DE5">
            <w:pPr>
              <w:rPr>
                <w:lang w:eastAsia="en-US"/>
              </w:rPr>
            </w:pPr>
            <w:r w:rsidRPr="00836FE4">
              <w:rPr>
                <w:lang w:eastAsia="en-US"/>
              </w:rPr>
              <w:t>Pašreizējā situācija un problēmas, kuru risināšanai tiesību akta projekts izstrādāts, tiesiskā regulējuma mērķis un būtība</w:t>
            </w:r>
          </w:p>
          <w:p w14:paraId="4C1D8212" w14:textId="2313B9DE" w:rsidR="008A6CEB" w:rsidRPr="008A6CEB" w:rsidRDefault="008A6CEB" w:rsidP="008A6CEB">
            <w:pPr>
              <w:rPr>
                <w:lang w:eastAsia="en-US"/>
              </w:rPr>
            </w:pPr>
          </w:p>
          <w:p w14:paraId="46CE3E82" w14:textId="77777777" w:rsidR="008A6CEB" w:rsidRPr="008A6CEB" w:rsidRDefault="008A6CEB">
            <w:pPr>
              <w:rPr>
                <w:lang w:eastAsia="en-US"/>
              </w:rPr>
            </w:pPr>
          </w:p>
          <w:p w14:paraId="4AEF5B17" w14:textId="77777777" w:rsidR="008A6CEB" w:rsidRPr="00093C12" w:rsidRDefault="008A6CEB" w:rsidP="008A6CEB">
            <w:pPr>
              <w:rPr>
                <w:lang w:eastAsia="en-US"/>
              </w:rPr>
            </w:pPr>
          </w:p>
          <w:p w14:paraId="2BC53D73" w14:textId="405D00AA" w:rsidR="008A6CEB" w:rsidRPr="008A6CEB" w:rsidRDefault="008A6CEB"/>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54A8C2D3" w14:textId="293D3A62" w:rsidR="002D1708" w:rsidRDefault="002D1708" w:rsidP="002D1708">
            <w:pPr>
              <w:pStyle w:val="VPTitle"/>
              <w:spacing w:before="0" w:after="120" w:line="240" w:lineRule="auto"/>
              <w:jc w:val="both"/>
              <w:rPr>
                <w:rFonts w:ascii="Times New Roman" w:hAnsi="Times New Roman" w:cs="Times New Roman"/>
                <w:b w:val="0"/>
                <w:bCs w:val="0"/>
                <w:spacing w:val="0"/>
                <w:kern w:val="0"/>
                <w:sz w:val="24"/>
                <w:szCs w:val="24"/>
                <w:lang w:eastAsia="en-US"/>
              </w:rPr>
            </w:pPr>
            <w:r>
              <w:rPr>
                <w:rFonts w:ascii="Times New Roman" w:hAnsi="Times New Roman" w:cs="Times New Roman"/>
                <w:b w:val="0"/>
                <w:bCs w:val="0"/>
                <w:spacing w:val="0"/>
                <w:kern w:val="0"/>
                <w:sz w:val="24"/>
                <w:szCs w:val="24"/>
                <w:lang w:eastAsia="en-US"/>
              </w:rPr>
              <w:lastRenderedPageBreak/>
              <w:t xml:space="preserve">Ar Ministru kabineta rīkojuma projektu tiek apstiprināts un iekļauts informācijas un komunikācijas tehnoloģiju (turpmāk – IKT) </w:t>
            </w:r>
            <w:proofErr w:type="spellStart"/>
            <w:r>
              <w:rPr>
                <w:rFonts w:ascii="Times New Roman" w:hAnsi="Times New Roman" w:cs="Times New Roman"/>
                <w:b w:val="0"/>
                <w:bCs w:val="0"/>
                <w:spacing w:val="0"/>
                <w:kern w:val="0"/>
                <w:sz w:val="24"/>
                <w:szCs w:val="24"/>
                <w:lang w:eastAsia="en-US"/>
              </w:rPr>
              <w:t>mērķarhitektūras</w:t>
            </w:r>
            <w:proofErr w:type="spellEnd"/>
            <w:r>
              <w:rPr>
                <w:rFonts w:ascii="Times New Roman" w:hAnsi="Times New Roman" w:cs="Times New Roman"/>
                <w:b w:val="0"/>
                <w:bCs w:val="0"/>
                <w:spacing w:val="0"/>
                <w:kern w:val="0"/>
                <w:sz w:val="24"/>
                <w:szCs w:val="24"/>
                <w:lang w:eastAsia="en-US"/>
              </w:rPr>
              <w:t xml:space="preserve"> </w:t>
            </w:r>
            <w:r w:rsidR="00E6736C">
              <w:rPr>
                <w:rFonts w:ascii="Times New Roman" w:hAnsi="Times New Roman" w:cs="Times New Roman"/>
                <w:b w:val="0"/>
                <w:bCs w:val="0"/>
                <w:spacing w:val="0"/>
                <w:kern w:val="0"/>
                <w:sz w:val="24"/>
                <w:szCs w:val="24"/>
                <w:lang w:eastAsia="en-US"/>
              </w:rPr>
              <w:t>52</w:t>
            </w:r>
            <w:r>
              <w:rPr>
                <w:rFonts w:ascii="Times New Roman" w:hAnsi="Times New Roman" w:cs="Times New Roman"/>
                <w:b w:val="0"/>
                <w:bCs w:val="0"/>
                <w:spacing w:val="0"/>
                <w:kern w:val="0"/>
                <w:sz w:val="24"/>
                <w:szCs w:val="24"/>
                <w:lang w:eastAsia="en-US"/>
              </w:rPr>
              <w:t>.0 versijā projekta apraksts “</w:t>
            </w:r>
            <w:r w:rsidR="005C2B97">
              <w:rPr>
                <w:rFonts w:ascii="Times New Roman" w:hAnsi="Times New Roman" w:cs="Times New Roman"/>
                <w:b w:val="0"/>
                <w:bCs w:val="0"/>
                <w:spacing w:val="0"/>
                <w:kern w:val="0"/>
                <w:sz w:val="24"/>
                <w:szCs w:val="24"/>
                <w:lang w:eastAsia="en-US"/>
              </w:rPr>
              <w:t>Vienotās neatliekamās medicīniskās palīdzības un katastrofu medicīnas vadības informācijas sistēmas attīstība (2.kārta)</w:t>
            </w:r>
            <w:r>
              <w:rPr>
                <w:rFonts w:ascii="Times New Roman" w:hAnsi="Times New Roman" w:cs="Times New Roman"/>
                <w:b w:val="0"/>
                <w:bCs w:val="0"/>
                <w:spacing w:val="0"/>
                <w:kern w:val="0"/>
                <w:sz w:val="24"/>
                <w:szCs w:val="24"/>
                <w:lang w:eastAsia="en-US"/>
              </w:rPr>
              <w:t xml:space="preserve">” (turpmāk – projekts), kas tika izvērtēts atbilstoši Vides aizsardzības un reģionālās attīstības ministrijas (turpmāk – VARAM) izstrādātajai un apstiprinātajai metodikai par projektu </w:t>
            </w:r>
            <w:r>
              <w:rPr>
                <w:rFonts w:ascii="Times New Roman" w:hAnsi="Times New Roman" w:cs="Times New Roman"/>
                <w:b w:val="0"/>
                <w:bCs w:val="0"/>
                <w:spacing w:val="0"/>
                <w:kern w:val="0"/>
                <w:sz w:val="24"/>
                <w:szCs w:val="24"/>
                <w:lang w:eastAsia="en-US"/>
              </w:rPr>
              <w:lastRenderedPageBreak/>
              <w:t xml:space="preserve">iekļaušanu IKT </w:t>
            </w:r>
            <w:proofErr w:type="spellStart"/>
            <w:r>
              <w:rPr>
                <w:rFonts w:ascii="Times New Roman" w:hAnsi="Times New Roman" w:cs="Times New Roman"/>
                <w:b w:val="0"/>
                <w:bCs w:val="0"/>
                <w:spacing w:val="0"/>
                <w:kern w:val="0"/>
                <w:sz w:val="24"/>
                <w:szCs w:val="24"/>
                <w:lang w:eastAsia="en-US"/>
              </w:rPr>
              <w:t>mērķarhitektūrā</w:t>
            </w:r>
            <w:proofErr w:type="spellEnd"/>
            <w:r>
              <w:rPr>
                <w:rFonts w:ascii="Times New Roman" w:hAnsi="Times New Roman" w:cs="Times New Roman"/>
                <w:b w:val="0"/>
                <w:bCs w:val="0"/>
                <w:spacing w:val="0"/>
                <w:kern w:val="0"/>
                <w:sz w:val="24"/>
                <w:szCs w:val="24"/>
                <w:lang w:eastAsia="en-US"/>
              </w:rPr>
              <w:t xml:space="preserve">. VARAM ir atbalstījis projekta iekļaušanu IKT </w:t>
            </w:r>
            <w:proofErr w:type="spellStart"/>
            <w:r>
              <w:rPr>
                <w:rFonts w:ascii="Times New Roman" w:hAnsi="Times New Roman" w:cs="Times New Roman"/>
                <w:b w:val="0"/>
                <w:bCs w:val="0"/>
                <w:spacing w:val="0"/>
                <w:kern w:val="0"/>
                <w:sz w:val="24"/>
                <w:szCs w:val="24"/>
                <w:lang w:eastAsia="en-US"/>
              </w:rPr>
              <w:t>mērķarhitektūras</w:t>
            </w:r>
            <w:proofErr w:type="spellEnd"/>
            <w:r>
              <w:rPr>
                <w:rFonts w:ascii="Times New Roman" w:hAnsi="Times New Roman" w:cs="Times New Roman"/>
                <w:b w:val="0"/>
                <w:bCs w:val="0"/>
                <w:spacing w:val="0"/>
                <w:kern w:val="0"/>
                <w:sz w:val="24"/>
                <w:szCs w:val="24"/>
                <w:lang w:eastAsia="en-US"/>
              </w:rPr>
              <w:t xml:space="preserve"> kārtējā versijā. Projekts veicina darbības programmas “Izaugsme un nodarbinātība” specifiskā atbalsta mērķa “Nodrošināt publisko datu </w:t>
            </w:r>
            <w:proofErr w:type="spellStart"/>
            <w:r>
              <w:rPr>
                <w:rFonts w:ascii="Times New Roman" w:hAnsi="Times New Roman" w:cs="Times New Roman"/>
                <w:b w:val="0"/>
                <w:bCs w:val="0"/>
                <w:spacing w:val="0"/>
                <w:kern w:val="0"/>
                <w:sz w:val="24"/>
                <w:szCs w:val="24"/>
                <w:lang w:eastAsia="en-US"/>
              </w:rPr>
              <w:t>atkalizmantošanas</w:t>
            </w:r>
            <w:proofErr w:type="spellEnd"/>
            <w:r>
              <w:rPr>
                <w:rFonts w:ascii="Times New Roman" w:hAnsi="Times New Roman" w:cs="Times New Roman"/>
                <w:b w:val="0"/>
                <w:bCs w:val="0"/>
                <w:spacing w:val="0"/>
                <w:kern w:val="0"/>
                <w:sz w:val="24"/>
                <w:szCs w:val="24"/>
                <w:lang w:eastAsia="en-US"/>
              </w:rPr>
              <w:t xml:space="preserve"> pieaugumu un efektīvu publiskās pārvaldes un privātā sektora mijiedarbību” (turpmāk –2.2.1. SAM) 2.2.1.1. pasākumam “Centralizētu publiskās pārvaldes IKT platformu izveide, publiskās pārvaldes procesu optimizēšana un attīstība” (turpmāk – 2.2.1.1. pasākums) izvirzīto rādītāju sasniegšanu pilnveidojot </w:t>
            </w:r>
            <w:r w:rsidR="003B316D">
              <w:rPr>
                <w:rFonts w:ascii="Times New Roman" w:hAnsi="Times New Roman" w:cs="Times New Roman"/>
                <w:b w:val="0"/>
                <w:bCs w:val="0"/>
                <w:spacing w:val="0"/>
                <w:kern w:val="0"/>
                <w:sz w:val="24"/>
                <w:szCs w:val="24"/>
                <w:lang w:eastAsia="en-US"/>
              </w:rPr>
              <w:t>12</w:t>
            </w:r>
            <w:r>
              <w:rPr>
                <w:rFonts w:ascii="Times New Roman" w:hAnsi="Times New Roman" w:cs="Times New Roman"/>
                <w:b w:val="0"/>
                <w:bCs w:val="0"/>
                <w:spacing w:val="0"/>
                <w:kern w:val="0"/>
                <w:sz w:val="24"/>
                <w:szCs w:val="24"/>
                <w:lang w:eastAsia="en-US"/>
              </w:rPr>
              <w:t xml:space="preserve"> darbības procesus </w:t>
            </w:r>
            <w:r w:rsidR="003B2BD8">
              <w:rPr>
                <w:rFonts w:ascii="Times New Roman" w:hAnsi="Times New Roman" w:cs="Times New Roman"/>
                <w:b w:val="0"/>
                <w:bCs w:val="0"/>
                <w:spacing w:val="0"/>
                <w:kern w:val="0"/>
                <w:sz w:val="24"/>
                <w:szCs w:val="24"/>
                <w:lang w:eastAsia="en-US"/>
              </w:rPr>
              <w:t>NMP</w:t>
            </w:r>
            <w:r w:rsidR="003B316D">
              <w:rPr>
                <w:rFonts w:ascii="Times New Roman" w:hAnsi="Times New Roman" w:cs="Times New Roman"/>
                <w:b w:val="0"/>
                <w:bCs w:val="0"/>
                <w:spacing w:val="0"/>
                <w:kern w:val="0"/>
                <w:sz w:val="24"/>
                <w:szCs w:val="24"/>
                <w:lang w:eastAsia="en-US"/>
              </w:rPr>
              <w:t xml:space="preserve"> </w:t>
            </w:r>
            <w:r>
              <w:rPr>
                <w:rFonts w:ascii="Times New Roman" w:hAnsi="Times New Roman" w:cs="Times New Roman"/>
                <w:b w:val="0"/>
                <w:bCs w:val="0"/>
                <w:spacing w:val="0"/>
                <w:kern w:val="0"/>
                <w:sz w:val="24"/>
                <w:szCs w:val="24"/>
                <w:lang w:eastAsia="en-US"/>
              </w:rPr>
              <w:t>jomā.</w:t>
            </w:r>
          </w:p>
          <w:p w14:paraId="6946FF87" w14:textId="662B7E23" w:rsidR="002D1708" w:rsidRPr="00C60528" w:rsidRDefault="002D1708" w:rsidP="005B35A5">
            <w:pPr>
              <w:spacing w:after="120"/>
              <w:jc w:val="both"/>
            </w:pPr>
            <w:r>
              <w:rPr>
                <w:b/>
              </w:rPr>
              <w:t xml:space="preserve">Projekta </w:t>
            </w:r>
            <w:proofErr w:type="spellStart"/>
            <w:r>
              <w:rPr>
                <w:b/>
              </w:rPr>
              <w:t>virsmērķis</w:t>
            </w:r>
            <w:proofErr w:type="spellEnd"/>
            <w:r>
              <w:rPr>
                <w:b/>
              </w:rPr>
              <w:t xml:space="preserve"> </w:t>
            </w:r>
            <w:r w:rsidR="00FB431E">
              <w:t xml:space="preserve">ir </w:t>
            </w:r>
            <w:r w:rsidR="00FB431E">
              <w:rPr>
                <w:color w:val="000000" w:themeColor="text1"/>
                <w:lang w:eastAsia="lv-LV"/>
              </w:rPr>
              <w:t xml:space="preserve">attīstīt IKT </w:t>
            </w:r>
            <w:r w:rsidR="00FB431E" w:rsidRPr="00F26181">
              <w:rPr>
                <w:color w:val="000000" w:themeColor="text1"/>
                <w:lang w:eastAsia="lv-LV"/>
              </w:rPr>
              <w:t xml:space="preserve">risinājumus </w:t>
            </w:r>
            <w:r w:rsidR="00FB431E">
              <w:rPr>
                <w:color w:val="000000" w:themeColor="text1"/>
                <w:lang w:eastAsia="lv-LV"/>
              </w:rPr>
              <w:t>NMP</w:t>
            </w:r>
            <w:r w:rsidR="00FB431E" w:rsidRPr="00F26181">
              <w:rPr>
                <w:color w:val="000000" w:themeColor="text1"/>
              </w:rPr>
              <w:t xml:space="preserve"> </w:t>
            </w:r>
            <w:r w:rsidR="00FB431E" w:rsidRPr="00F26181">
              <w:rPr>
                <w:color w:val="000000" w:themeColor="text1"/>
                <w:lang w:eastAsia="lv-LV"/>
              </w:rPr>
              <w:t>uzlabošanai Latvijas iedzīvotājiem dzīvībai un</w:t>
            </w:r>
            <w:r w:rsidR="00FB431E">
              <w:rPr>
                <w:color w:val="000000" w:themeColor="text1"/>
                <w:lang w:eastAsia="lv-LV"/>
              </w:rPr>
              <w:t xml:space="preserve"> veselībai kritiskās situācijās ciešā </w:t>
            </w:r>
            <w:proofErr w:type="spellStart"/>
            <w:r w:rsidR="00FB431E" w:rsidRPr="00C60528">
              <w:rPr>
                <w:color w:val="000000" w:themeColor="text1"/>
                <w:lang w:eastAsia="lv-LV"/>
              </w:rPr>
              <w:t>kopsadarbībā</w:t>
            </w:r>
            <w:proofErr w:type="spellEnd"/>
            <w:r w:rsidR="00FB431E" w:rsidRPr="00C60528">
              <w:rPr>
                <w:color w:val="000000" w:themeColor="text1"/>
                <w:lang w:eastAsia="lv-LV"/>
              </w:rPr>
              <w:t xml:space="preserve"> ar 112 platformas attīstību</w:t>
            </w:r>
            <w:r w:rsidR="00F45E85">
              <w:rPr>
                <w:color w:val="000000" w:themeColor="text1"/>
                <w:lang w:eastAsia="lv-LV"/>
              </w:rPr>
              <w:t>.</w:t>
            </w:r>
          </w:p>
          <w:p w14:paraId="31491B39" w14:textId="77777777" w:rsidR="00C60528" w:rsidRDefault="00C60528" w:rsidP="00750ECA">
            <w:pPr>
              <w:pStyle w:val="VPBody"/>
              <w:spacing w:after="120" w:line="240" w:lineRule="auto"/>
              <w:rPr>
                <w:sz w:val="24"/>
                <w:szCs w:val="24"/>
              </w:rPr>
            </w:pPr>
            <w:r w:rsidRPr="002E2B19">
              <w:rPr>
                <w:b/>
                <w:sz w:val="24"/>
                <w:szCs w:val="24"/>
              </w:rPr>
              <w:t>Projektam ir šādi mērķi</w:t>
            </w:r>
            <w:r>
              <w:rPr>
                <w:sz w:val="24"/>
                <w:szCs w:val="24"/>
              </w:rPr>
              <w:t>:</w:t>
            </w:r>
          </w:p>
          <w:p w14:paraId="63D4341D" w14:textId="7B788655" w:rsidR="00C60528" w:rsidRPr="00750ECA" w:rsidRDefault="00C60528" w:rsidP="00750ECA">
            <w:pPr>
              <w:pStyle w:val="VPBody"/>
              <w:spacing w:after="120" w:line="240" w:lineRule="auto"/>
              <w:ind w:left="197"/>
              <w:jc w:val="both"/>
              <w:rPr>
                <w:sz w:val="24"/>
                <w:szCs w:val="24"/>
              </w:rPr>
            </w:pPr>
            <w:r>
              <w:rPr>
                <w:sz w:val="24"/>
                <w:szCs w:val="24"/>
              </w:rPr>
              <w:t xml:space="preserve">1. </w:t>
            </w:r>
            <w:r w:rsidRPr="00750ECA">
              <w:rPr>
                <w:sz w:val="24"/>
                <w:szCs w:val="24"/>
              </w:rPr>
              <w:t>Sadarbības ar citiem Operatīvajiem dienestiem pilnveidošana</w:t>
            </w:r>
            <w:r w:rsidR="00735F5B">
              <w:rPr>
                <w:sz w:val="24"/>
                <w:szCs w:val="24"/>
              </w:rPr>
              <w:t xml:space="preserve">. Operatīvie dienesti šī projekta kontekstā ir </w:t>
            </w:r>
            <w:r w:rsidR="00735F5B" w:rsidRPr="00474E40">
              <w:rPr>
                <w:sz w:val="24"/>
                <w:szCs w:val="24"/>
                <w:shd w:val="clear" w:color="auto" w:fill="FFFFFF"/>
              </w:rPr>
              <w:t>112 (</w:t>
            </w:r>
            <w:proofErr w:type="spellStart"/>
            <w:r w:rsidR="00735F5B" w:rsidRPr="00474E40">
              <w:rPr>
                <w:sz w:val="24"/>
                <w:szCs w:val="24"/>
                <w:shd w:val="clear" w:color="auto" w:fill="FFFFFF"/>
              </w:rPr>
              <w:t>Iekšlietu</w:t>
            </w:r>
            <w:proofErr w:type="spellEnd"/>
            <w:r w:rsidR="00735F5B" w:rsidRPr="00474E40">
              <w:rPr>
                <w:sz w:val="24"/>
                <w:szCs w:val="24"/>
                <w:shd w:val="clear" w:color="auto" w:fill="FFFFFF"/>
              </w:rPr>
              <w:t xml:space="preserve"> ministrija Informācijas centrs), Valsts policija, VUGD, NMP dienests u.c. operatīvie dienesti, kas izmanto vai potenciāli izmantos 112 platformu</w:t>
            </w:r>
            <w:r w:rsidR="00750ECA">
              <w:rPr>
                <w:sz w:val="24"/>
                <w:szCs w:val="24"/>
                <w:shd w:val="clear" w:color="auto" w:fill="FFFFFF"/>
              </w:rPr>
              <w:t>.</w:t>
            </w:r>
          </w:p>
          <w:p w14:paraId="5EE02E6D" w14:textId="77777777" w:rsidR="00C60528" w:rsidRPr="00750ECA" w:rsidRDefault="00C60528" w:rsidP="00750ECA">
            <w:pPr>
              <w:pStyle w:val="VPBody"/>
              <w:spacing w:after="120" w:line="240" w:lineRule="auto"/>
              <w:ind w:left="197"/>
              <w:jc w:val="both"/>
              <w:rPr>
                <w:sz w:val="24"/>
                <w:szCs w:val="24"/>
              </w:rPr>
            </w:pPr>
            <w:r w:rsidRPr="00750ECA">
              <w:rPr>
                <w:sz w:val="24"/>
                <w:szCs w:val="24"/>
              </w:rPr>
              <w:t>2. NMP sniegšanas operativitātes uzlabošana un NMP sniegšanas kvalitātes pilnveidošana sadarbībā ar</w:t>
            </w:r>
            <w:r w:rsidRPr="00750ECA">
              <w:rPr>
                <w:color w:val="000000" w:themeColor="text1"/>
                <w:sz w:val="24"/>
                <w:szCs w:val="24"/>
              </w:rPr>
              <w:t xml:space="preserve"> citām veselības nozares institūcijām.</w:t>
            </w:r>
          </w:p>
          <w:p w14:paraId="56AEFD68" w14:textId="38286EB4" w:rsidR="00290A04" w:rsidRPr="00FE3185" w:rsidRDefault="00290A04" w:rsidP="002E2B19">
            <w:pPr>
              <w:jc w:val="both"/>
              <w:rPr>
                <w:b/>
                <w:color w:val="000000" w:themeColor="text1"/>
              </w:rPr>
            </w:pPr>
            <w:r w:rsidRPr="005718F4">
              <w:rPr>
                <w:b/>
                <w:color w:val="000000" w:themeColor="text1"/>
              </w:rPr>
              <w:t>Projekta ietvaros</w:t>
            </w:r>
            <w:r w:rsidR="005718F4">
              <w:rPr>
                <w:b/>
                <w:color w:val="000000" w:themeColor="text1"/>
              </w:rPr>
              <w:t>, lai</w:t>
            </w:r>
            <w:r w:rsidR="005718F4" w:rsidRPr="00343AC9">
              <w:rPr>
                <w:b/>
                <w:iCs/>
                <w:color w:val="000000"/>
              </w:rPr>
              <w:t xml:space="preserve"> sasniegtu noteiktos projekta mērķus</w:t>
            </w:r>
            <w:r w:rsidRPr="00FE3185">
              <w:rPr>
                <w:b/>
                <w:color w:val="000000" w:themeColor="text1"/>
              </w:rPr>
              <w:t xml:space="preserve"> ir plānots risināt šādas ar NMP dienesta darbību saistītas problēmas:</w:t>
            </w:r>
          </w:p>
          <w:p w14:paraId="123C6EA7" w14:textId="77777777" w:rsidR="00290A04" w:rsidRPr="001C09F0" w:rsidRDefault="00290A04" w:rsidP="00E5481C">
            <w:pPr>
              <w:numPr>
                <w:ilvl w:val="0"/>
                <w:numId w:val="6"/>
              </w:numPr>
              <w:tabs>
                <w:tab w:val="num" w:pos="709"/>
              </w:tabs>
              <w:suppressAutoHyphens w:val="0"/>
              <w:ind w:left="481"/>
              <w:jc w:val="both"/>
              <w:rPr>
                <w:rFonts w:eastAsia="PMingLiU"/>
                <w:color w:val="000000" w:themeColor="text1"/>
              </w:rPr>
            </w:pPr>
            <w:r w:rsidRPr="0070468A">
              <w:rPr>
                <w:rFonts w:eastAsia="PMingLiU"/>
                <w:color w:val="000000" w:themeColor="text1"/>
              </w:rPr>
              <w:t>Sadarbība starp Operatīvajiem</w:t>
            </w:r>
            <w:r w:rsidRPr="00B45704">
              <w:rPr>
                <w:rFonts w:eastAsia="PMingLiU"/>
                <w:color w:val="000000" w:themeColor="text1"/>
              </w:rPr>
              <w:t xml:space="preserve"> dienestiem pamatā notiek izmantojot telefonus un rācijas, kā arī iedzīvotāju zvani uz Operatīvajiem dienestiem (112, 110, 113) tiek apstrādāti katrā Operatīvajā dienestā pēc saviem algoritmiem. Šāda situācija nenodrošina efektīvāko veidu informācijas apritei starp Operatīvajiem dienestiem, kas rezultātā neļauj nodrošināt palīdzības sniegšanu iedzīvotājiem maksimāli efektīvā </w:t>
            </w:r>
            <w:r w:rsidRPr="001C09F0">
              <w:rPr>
                <w:rFonts w:eastAsia="PMingLiU"/>
                <w:color w:val="000000" w:themeColor="text1"/>
              </w:rPr>
              <w:t>veidā;</w:t>
            </w:r>
          </w:p>
          <w:p w14:paraId="336DB76A" w14:textId="35BD6396" w:rsidR="00290A04" w:rsidRPr="001C09F0" w:rsidRDefault="00290A04" w:rsidP="00E5481C">
            <w:pPr>
              <w:pStyle w:val="ListParagraph"/>
              <w:numPr>
                <w:ilvl w:val="0"/>
                <w:numId w:val="6"/>
              </w:numPr>
              <w:tabs>
                <w:tab w:val="num" w:pos="709"/>
              </w:tabs>
              <w:spacing w:after="160"/>
              <w:ind w:left="481"/>
              <w:jc w:val="both"/>
              <w:rPr>
                <w:color w:val="000000" w:themeColor="text1"/>
                <w:szCs w:val="24"/>
              </w:rPr>
            </w:pPr>
            <w:r w:rsidRPr="00290A04">
              <w:rPr>
                <w:bCs/>
                <w:szCs w:val="24"/>
              </w:rPr>
              <w:t xml:space="preserve">Vienotajā neatliekamās medicīniskās palīdzības un katastrofu medicīnas vadības informācijas sistēmā (turpmāk – </w:t>
            </w:r>
            <w:r w:rsidRPr="00290A04">
              <w:rPr>
                <w:color w:val="000000" w:themeColor="text1"/>
                <w:szCs w:val="24"/>
              </w:rPr>
              <w:t xml:space="preserve">Sistēma) iestrādātie algoritmi, kas tiek izmantoti </w:t>
            </w:r>
            <w:r w:rsidRPr="00290A04">
              <w:t>brigāžu pārvaldībā, ievadāmo datu kvalitātes nodrošināšanā un sniegtā NMP pakalpojuma kvalitātes kontrolē, tiek</w:t>
            </w:r>
            <w:r w:rsidRPr="00290A04">
              <w:rPr>
                <w:szCs w:val="24"/>
              </w:rPr>
              <w:t xml:space="preserve"> noteikti</w:t>
            </w:r>
            <w:r w:rsidRPr="001C09F0">
              <w:rPr>
                <w:szCs w:val="24"/>
              </w:rPr>
              <w:t xml:space="preserve"> balstoties uz iepriekšējās pieredzes analīzi pakāpeniski, izmantojot NMP dienesta cilvēkresursus, manuāli konfigurējot šos algoritmus tālākas pieredzes analīzes rezultātā, kas prasa ievērojamu resursu ieguldījumu. </w:t>
            </w:r>
            <w:r>
              <w:rPr>
                <w:szCs w:val="24"/>
              </w:rPr>
              <w:t xml:space="preserve">Apstākļos, kad veselības aprūpes sistēmā, t.sk. NMP dienestā vienlaikus notiek vairākas nozīmīgas reformas, </w:t>
            </w:r>
            <w:r w:rsidRPr="001C09F0">
              <w:rPr>
                <w:szCs w:val="24"/>
              </w:rPr>
              <w:t xml:space="preserve">cilvēkresursu </w:t>
            </w:r>
            <w:r>
              <w:rPr>
                <w:szCs w:val="24"/>
              </w:rPr>
              <w:t>kapacitāte</w:t>
            </w:r>
            <w:r w:rsidRPr="001C09F0">
              <w:rPr>
                <w:szCs w:val="24"/>
              </w:rPr>
              <w:t xml:space="preserve"> neļauj pietiekami operatīvā laikā nodrošināt iz</w:t>
            </w:r>
            <w:r>
              <w:rPr>
                <w:szCs w:val="24"/>
              </w:rPr>
              <w:t>mantoto algoritmu pilnveidošanu</w:t>
            </w:r>
            <w:r w:rsidRPr="001C09F0">
              <w:rPr>
                <w:szCs w:val="24"/>
              </w:rPr>
              <w:t xml:space="preserve">; </w:t>
            </w:r>
          </w:p>
          <w:p w14:paraId="13222092" w14:textId="1630CD8E" w:rsidR="00290A04" w:rsidRDefault="00290A04" w:rsidP="00E5481C">
            <w:pPr>
              <w:pStyle w:val="ListParagraph"/>
              <w:numPr>
                <w:ilvl w:val="0"/>
                <w:numId w:val="6"/>
              </w:numPr>
              <w:tabs>
                <w:tab w:val="num" w:pos="709"/>
              </w:tabs>
              <w:spacing w:after="160"/>
              <w:ind w:left="481"/>
              <w:jc w:val="both"/>
              <w:rPr>
                <w:color w:val="000000" w:themeColor="text1"/>
                <w:szCs w:val="24"/>
              </w:rPr>
            </w:pPr>
            <w:r>
              <w:rPr>
                <w:color w:val="000000" w:themeColor="text1"/>
                <w:szCs w:val="24"/>
              </w:rPr>
              <w:t>N</w:t>
            </w:r>
            <w:r w:rsidRPr="001C09F0">
              <w:rPr>
                <w:color w:val="000000" w:themeColor="text1"/>
                <w:szCs w:val="24"/>
              </w:rPr>
              <w:t xml:space="preserve">av pilnībā (sadarbībā ar visām slimnīcām) ieviesta elektroniskā dokumentācija pacienta nodošanai no NMP brigādes un uzņemšanai slimnīcā. Pacienta hospitalizācijas un uzņemšanas slimnīcā dokumentācija papīra formā apgrūtina brigādes darbu un ievērojami kavē dokumentu aprites ātrumu gan NMP dienestā ( kavējot pamata informācijas par pacientu nodošanu slimnīcas uzņemšanas nodaļai) </w:t>
            </w:r>
            <w:r w:rsidRPr="001C09F0">
              <w:rPr>
                <w:color w:val="000000" w:themeColor="text1"/>
                <w:szCs w:val="24"/>
              </w:rPr>
              <w:lastRenderedPageBreak/>
              <w:t>gan slimnīcās (tiek kavēta pacienta operatīva uzņe</w:t>
            </w:r>
            <w:r>
              <w:rPr>
                <w:color w:val="000000" w:themeColor="text1"/>
                <w:szCs w:val="24"/>
              </w:rPr>
              <w:t>mšana un ārstēšanas uzsākšana);</w:t>
            </w:r>
          </w:p>
          <w:p w14:paraId="1F484A52" w14:textId="33910459" w:rsidR="00290A04" w:rsidRPr="00BF1B88" w:rsidRDefault="00290A04" w:rsidP="00BF1B88">
            <w:pPr>
              <w:pStyle w:val="ListParagraph"/>
              <w:numPr>
                <w:ilvl w:val="0"/>
                <w:numId w:val="6"/>
              </w:numPr>
              <w:ind w:left="486"/>
              <w:jc w:val="both"/>
            </w:pPr>
            <w:r>
              <w:rPr>
                <w:color w:val="000000" w:themeColor="text1"/>
                <w:szCs w:val="24"/>
              </w:rPr>
              <w:t xml:space="preserve">NMP pakalpojuma nodrošināšanā izmantotās mobilās un portatīvās iekārtas ar to darbības nodrošināšanai nepieciešamo lietojumprogrammatūru ir iegādātas </w:t>
            </w:r>
            <w:r w:rsidR="007B09FF" w:rsidRPr="0065549A">
              <w:rPr>
                <w:szCs w:val="24"/>
              </w:rPr>
              <w:t>Eiropas Savienības struktūrfondu un Kohēzijas fonda 2007.–2013.gada plānošanas perioda darbības programmas “Infrastruktūra un pakalpojumi” papildinājuma 3.1.5.2. aktivitātes “Neatliekamas medicīniskās palīdzības attīstība” ietvaros īstenot</w:t>
            </w:r>
            <w:r w:rsidR="007B09FF">
              <w:rPr>
                <w:szCs w:val="24"/>
              </w:rPr>
              <w:t>ā</w:t>
            </w:r>
            <w:r w:rsidR="007B09FF" w:rsidRPr="0065549A">
              <w:rPr>
                <w:szCs w:val="24"/>
              </w:rPr>
              <w:t xml:space="preserve"> projekt</w:t>
            </w:r>
            <w:r w:rsidR="007B09FF">
              <w:rPr>
                <w:szCs w:val="24"/>
              </w:rPr>
              <w:t>a</w:t>
            </w:r>
            <w:r w:rsidR="007B09FF" w:rsidRPr="0065549A">
              <w:rPr>
                <w:szCs w:val="24"/>
              </w:rPr>
              <w:t xml:space="preserve"> Nr.3DP/3.1.5.2.0/09/IPIA/VSMTVA/001</w:t>
            </w:r>
            <w:r w:rsidR="007B09FF">
              <w:rPr>
                <w:szCs w:val="24"/>
              </w:rPr>
              <w:t xml:space="preserve"> </w:t>
            </w:r>
            <w:r w:rsidRPr="00310DF4">
              <w:rPr>
                <w:color w:val="000000" w:themeColor="text1"/>
                <w:szCs w:val="24"/>
              </w:rPr>
              <w:t>“Vienotās neatliekamās medicīniskās</w:t>
            </w:r>
            <w:r>
              <w:rPr>
                <w:color w:val="000000" w:themeColor="text1"/>
                <w:szCs w:val="24"/>
              </w:rPr>
              <w:t xml:space="preserve"> palīdzības un katastrofu medicī</w:t>
            </w:r>
            <w:r w:rsidRPr="00310DF4">
              <w:rPr>
                <w:color w:val="000000" w:themeColor="text1"/>
                <w:szCs w:val="24"/>
              </w:rPr>
              <w:t xml:space="preserve">nas vadības informācijas sistēmas un dispečeru centru izveide” </w:t>
            </w:r>
            <w:r>
              <w:rPr>
                <w:color w:val="000000" w:themeColor="text1"/>
                <w:szCs w:val="24"/>
              </w:rPr>
              <w:t>ietvaros</w:t>
            </w:r>
            <w:r w:rsidRPr="00310DF4">
              <w:rPr>
                <w:color w:val="000000" w:themeColor="text1"/>
                <w:szCs w:val="24"/>
              </w:rPr>
              <w:t xml:space="preserve"> </w:t>
            </w:r>
            <w:r w:rsidRPr="00F26181">
              <w:rPr>
                <w:color w:val="000000" w:themeColor="text1"/>
                <w:szCs w:val="24"/>
              </w:rPr>
              <w:t xml:space="preserve">periodā no 01.04.2009.- 30.06.2015. </w:t>
            </w:r>
            <w:r>
              <w:rPr>
                <w:color w:val="000000" w:themeColor="text1"/>
                <w:szCs w:val="24"/>
              </w:rPr>
              <w:t xml:space="preserve">Tā rezultātā gan iekārtas, gan uz tām esošā programmatūra ir novecojusi un </w:t>
            </w:r>
            <w:r w:rsidR="00540A81">
              <w:rPr>
                <w:color w:val="000000" w:themeColor="text1"/>
                <w:szCs w:val="24"/>
              </w:rPr>
              <w:t xml:space="preserve">tehnisku iemeslu dēļ </w:t>
            </w:r>
            <w:r w:rsidRPr="00310DF4">
              <w:rPr>
                <w:color w:val="000000" w:themeColor="text1"/>
                <w:szCs w:val="24"/>
              </w:rPr>
              <w:t xml:space="preserve">pilnībā </w:t>
            </w:r>
            <w:r>
              <w:rPr>
                <w:color w:val="000000" w:themeColor="text1"/>
                <w:szCs w:val="24"/>
              </w:rPr>
              <w:t>neintegrējas</w:t>
            </w:r>
            <w:r w:rsidRPr="00310DF4">
              <w:rPr>
                <w:color w:val="000000" w:themeColor="text1"/>
                <w:szCs w:val="24"/>
              </w:rPr>
              <w:t xml:space="preserve"> ar Sistēmas NMP dispečerizācijas funkcionalitāti</w:t>
            </w:r>
            <w:r w:rsidR="00540A81">
              <w:rPr>
                <w:color w:val="000000" w:themeColor="text1"/>
                <w:szCs w:val="24"/>
              </w:rPr>
              <w:t xml:space="preserve"> (li</w:t>
            </w:r>
            <w:r w:rsidR="00804219">
              <w:rPr>
                <w:color w:val="000000" w:themeColor="text1"/>
                <w:szCs w:val="24"/>
              </w:rPr>
              <w:t>e</w:t>
            </w:r>
            <w:r w:rsidR="00540A81">
              <w:rPr>
                <w:color w:val="000000" w:themeColor="text1"/>
                <w:szCs w:val="24"/>
              </w:rPr>
              <w:t>tojumprogrammatūra darbojas uz operētājsistēmas</w:t>
            </w:r>
            <w:r w:rsidR="00804219">
              <w:rPr>
                <w:color w:val="000000" w:themeColor="text1"/>
                <w:szCs w:val="24"/>
              </w:rPr>
              <w:t xml:space="preserve"> Windows 7</w:t>
            </w:r>
            <w:r w:rsidR="00540A81">
              <w:rPr>
                <w:color w:val="000000" w:themeColor="text1"/>
                <w:szCs w:val="24"/>
              </w:rPr>
              <w:t>, k</w:t>
            </w:r>
            <w:r w:rsidR="006249EE">
              <w:rPr>
                <w:color w:val="000000" w:themeColor="text1"/>
                <w:szCs w:val="24"/>
              </w:rPr>
              <w:t xml:space="preserve">uras </w:t>
            </w:r>
            <w:r w:rsidR="00E37EC4">
              <w:rPr>
                <w:color w:val="000000" w:themeColor="text1"/>
                <w:szCs w:val="24"/>
              </w:rPr>
              <w:t xml:space="preserve">uzturēšanu ražotājs beidz 2020.gada </w:t>
            </w:r>
            <w:r w:rsidR="00754894">
              <w:rPr>
                <w:color w:val="000000" w:themeColor="text1"/>
                <w:szCs w:val="24"/>
              </w:rPr>
              <w:t xml:space="preserve">janvārī - </w:t>
            </w:r>
            <w:hyperlink r:id="rId8" w:history="1">
              <w:r w:rsidR="00754894">
                <w:rPr>
                  <w:rStyle w:val="Hyperlink"/>
                </w:rPr>
                <w:t>https://support.microsoft.com/en-us/help/13853/windows-lifecycle-fact-sheet</w:t>
              </w:r>
            </w:hyperlink>
            <w:r w:rsidR="00754894">
              <w:t>)</w:t>
            </w:r>
            <w:r>
              <w:rPr>
                <w:color w:val="000000" w:themeColor="text1"/>
                <w:szCs w:val="24"/>
              </w:rPr>
              <w:t xml:space="preserve">. </w:t>
            </w:r>
            <w:r w:rsidR="00EA79B3">
              <w:rPr>
                <w:color w:val="000000" w:themeColor="text1"/>
                <w:szCs w:val="24"/>
              </w:rPr>
              <w:t>Iekārtu nolietojums ir radies dēļ tā, ka kopš to iegādes 201</w:t>
            </w:r>
            <w:r w:rsidR="009C0C73">
              <w:rPr>
                <w:color w:val="000000" w:themeColor="text1"/>
                <w:szCs w:val="24"/>
              </w:rPr>
              <w:t>1.-201</w:t>
            </w:r>
            <w:r w:rsidR="00974A59">
              <w:rPr>
                <w:color w:val="000000" w:themeColor="text1"/>
                <w:szCs w:val="24"/>
              </w:rPr>
              <w:t>5</w:t>
            </w:r>
            <w:r w:rsidR="009C0C73">
              <w:rPr>
                <w:color w:val="000000" w:themeColor="text1"/>
                <w:szCs w:val="24"/>
              </w:rPr>
              <w:t>.gados</w:t>
            </w:r>
            <w:r w:rsidR="00BD6271">
              <w:rPr>
                <w:color w:val="000000" w:themeColor="text1"/>
                <w:szCs w:val="24"/>
              </w:rPr>
              <w:t xml:space="preserve">, to </w:t>
            </w:r>
            <w:r w:rsidR="0040004C">
              <w:rPr>
                <w:color w:val="000000" w:themeColor="text1"/>
                <w:szCs w:val="24"/>
              </w:rPr>
              <w:t xml:space="preserve">izmantošana ir notikusi iekārtu darbību neveicinošā vidē (automašīnā), tādēļ </w:t>
            </w:r>
            <w:r w:rsidR="00281BB8">
              <w:rPr>
                <w:color w:val="000000" w:themeColor="text1"/>
                <w:szCs w:val="24"/>
              </w:rPr>
              <w:t xml:space="preserve">nolietojums </w:t>
            </w:r>
            <w:r w:rsidR="0040004C">
              <w:rPr>
                <w:color w:val="000000" w:themeColor="text1"/>
                <w:szCs w:val="24"/>
              </w:rPr>
              <w:t xml:space="preserve">ilgtermiņā ir </w:t>
            </w:r>
            <w:r w:rsidR="00281BB8">
              <w:rPr>
                <w:color w:val="000000" w:themeColor="text1"/>
                <w:szCs w:val="24"/>
              </w:rPr>
              <w:t xml:space="preserve">radies fizisku ārēju apstākļu dēļ. Turklāt </w:t>
            </w:r>
            <w:r w:rsidR="00794EF7">
              <w:rPr>
                <w:color w:val="000000" w:themeColor="text1"/>
                <w:szCs w:val="24"/>
              </w:rPr>
              <w:t>iekārtas, kuras atbilda to iegādes laika prasībām</w:t>
            </w:r>
            <w:r w:rsidR="00AA7B59">
              <w:rPr>
                <w:color w:val="000000" w:themeColor="text1"/>
                <w:szCs w:val="24"/>
              </w:rPr>
              <w:t>,</w:t>
            </w:r>
            <w:r w:rsidR="00794EF7">
              <w:rPr>
                <w:color w:val="000000" w:themeColor="text1"/>
                <w:szCs w:val="24"/>
              </w:rPr>
              <w:t xml:space="preserve"> vairs nenodrošina </w:t>
            </w:r>
            <w:r w:rsidR="00754DAC">
              <w:rPr>
                <w:color w:val="000000" w:themeColor="text1"/>
                <w:szCs w:val="24"/>
              </w:rPr>
              <w:t xml:space="preserve">atbilstību pašreizējam tehnoloģiskās attīstības </w:t>
            </w:r>
            <w:r w:rsidR="00AA7B59">
              <w:rPr>
                <w:color w:val="000000" w:themeColor="text1"/>
                <w:szCs w:val="24"/>
              </w:rPr>
              <w:t xml:space="preserve">un iespēju </w:t>
            </w:r>
            <w:r w:rsidR="00754DAC">
              <w:rPr>
                <w:color w:val="000000" w:themeColor="text1"/>
                <w:szCs w:val="24"/>
              </w:rPr>
              <w:t>līmenim</w:t>
            </w:r>
            <w:r w:rsidR="00AA7B59">
              <w:rPr>
                <w:color w:val="000000" w:themeColor="text1"/>
                <w:szCs w:val="24"/>
              </w:rPr>
              <w:t xml:space="preserve">, t.i., ierobežo integrēto </w:t>
            </w:r>
            <w:r w:rsidR="009C416A">
              <w:rPr>
                <w:color w:val="000000" w:themeColor="text1"/>
                <w:szCs w:val="24"/>
              </w:rPr>
              <w:t>IKT risinājumu iespēju realizāciju.</w:t>
            </w:r>
            <w:r w:rsidR="00281BB8">
              <w:rPr>
                <w:color w:val="000000" w:themeColor="text1"/>
                <w:szCs w:val="24"/>
              </w:rPr>
              <w:t xml:space="preserve"> </w:t>
            </w:r>
            <w:r>
              <w:rPr>
                <w:color w:val="000000" w:themeColor="text1"/>
                <w:szCs w:val="24"/>
              </w:rPr>
              <w:t xml:space="preserve">Situācija ir risināma tikai pilnībā aizvietojot šīs iekārtas un lietojumprogrammatūru ar </w:t>
            </w:r>
            <w:r w:rsidRPr="00475046">
              <w:rPr>
                <w:color w:val="000000" w:themeColor="text1"/>
                <w:szCs w:val="24"/>
              </w:rPr>
              <w:t>mūsdienu prasībām atbilstoš</w:t>
            </w:r>
            <w:r w:rsidR="00374319">
              <w:rPr>
                <w:color w:val="000000" w:themeColor="text1"/>
                <w:szCs w:val="24"/>
              </w:rPr>
              <w:t>ām</w:t>
            </w:r>
            <w:r w:rsidRPr="00475046">
              <w:rPr>
                <w:color w:val="000000" w:themeColor="text1"/>
                <w:szCs w:val="24"/>
              </w:rPr>
              <w:t>, jo tehnisku iemeslu</w:t>
            </w:r>
            <w:r>
              <w:rPr>
                <w:color w:val="000000" w:themeColor="text1"/>
                <w:szCs w:val="24"/>
              </w:rPr>
              <w:t xml:space="preserve"> dēļ</w:t>
            </w:r>
            <w:r w:rsidRPr="00475046">
              <w:rPr>
                <w:color w:val="000000" w:themeColor="text1"/>
                <w:szCs w:val="24"/>
              </w:rPr>
              <w:t xml:space="preserve"> nav racionāla esošo modernizācija</w:t>
            </w:r>
            <w:r w:rsidR="002B51F8">
              <w:rPr>
                <w:color w:val="000000" w:themeColor="text1"/>
                <w:szCs w:val="24"/>
              </w:rPr>
              <w:t>.</w:t>
            </w:r>
            <w:r w:rsidR="002B51F8">
              <w:t xml:space="preserve"> </w:t>
            </w:r>
            <w:r w:rsidR="002B51F8">
              <w:rPr>
                <w:szCs w:val="24"/>
              </w:rPr>
              <w:t>Ņemot vērā iekārtu iegādes komplicētību, tiek plānots, ka jaunu iekārtu iegāde notiks ne ātrāk kā 2020.gada beigās</w:t>
            </w:r>
            <w:r w:rsidRPr="002B51F8">
              <w:rPr>
                <w:color w:val="000000" w:themeColor="text1"/>
              </w:rPr>
              <w:t>;</w:t>
            </w:r>
          </w:p>
          <w:p w14:paraId="3357F7FE" w14:textId="77777777" w:rsidR="00290A04" w:rsidRDefault="00290A04" w:rsidP="00E5481C">
            <w:pPr>
              <w:pStyle w:val="ListParagraph"/>
              <w:numPr>
                <w:ilvl w:val="0"/>
                <w:numId w:val="6"/>
              </w:numPr>
              <w:tabs>
                <w:tab w:val="num" w:pos="709"/>
              </w:tabs>
              <w:spacing w:after="160"/>
              <w:ind w:left="481"/>
              <w:jc w:val="both"/>
              <w:rPr>
                <w:color w:val="000000" w:themeColor="text1"/>
                <w:szCs w:val="24"/>
              </w:rPr>
            </w:pPr>
            <w:r w:rsidRPr="00475046">
              <w:rPr>
                <w:color w:val="000000" w:themeColor="text1"/>
                <w:szCs w:val="24"/>
              </w:rPr>
              <w:t xml:space="preserve">Saskaņā ar Oficiālās elektroniskās adreses likuma 12.pantu NMP dienestam ar iedzīvotājiem ir jāsazinās izmantojot oficiālo elektronisko adresi (ja vien iedzīvotājam ir reģistrēts oficiālās elektroniskās adreses konts). Nav efektīva dokumentu (piemēram, ar </w:t>
            </w:r>
            <w:r>
              <w:rPr>
                <w:color w:val="000000" w:themeColor="text1"/>
                <w:szCs w:val="24"/>
              </w:rPr>
              <w:t>iesniegumiem</w:t>
            </w:r>
            <w:r w:rsidRPr="00475046">
              <w:rPr>
                <w:color w:val="000000" w:themeColor="text1"/>
                <w:szCs w:val="24"/>
              </w:rPr>
              <w:t xml:space="preserve"> saistīto dokumentu) aprite izmantojot NMP dienesta dokumentu vadības sistēmu, jo šāds process ietver sevī liela manuālā darba nepieciešamību. Šī iemesla dēļ ir nepieciešams šo procesu realizēt efektīvāk risinot Sistēmas un Drošas elektroniskās piegādes platformas integrācij</w:t>
            </w:r>
            <w:r>
              <w:rPr>
                <w:color w:val="000000" w:themeColor="text1"/>
                <w:szCs w:val="24"/>
              </w:rPr>
              <w:t>u</w:t>
            </w:r>
            <w:r w:rsidRPr="00475046">
              <w:rPr>
                <w:color w:val="000000" w:themeColor="text1"/>
                <w:szCs w:val="24"/>
              </w:rPr>
              <w:t>;</w:t>
            </w:r>
          </w:p>
          <w:p w14:paraId="50D19AB2" w14:textId="77777777" w:rsidR="00290A04" w:rsidRDefault="00290A04" w:rsidP="00E5481C">
            <w:pPr>
              <w:pStyle w:val="ListParagraph"/>
              <w:numPr>
                <w:ilvl w:val="0"/>
                <w:numId w:val="6"/>
              </w:numPr>
              <w:tabs>
                <w:tab w:val="num" w:pos="709"/>
              </w:tabs>
              <w:spacing w:after="160"/>
              <w:ind w:left="481"/>
              <w:jc w:val="both"/>
              <w:rPr>
                <w:color w:val="000000" w:themeColor="text1"/>
                <w:szCs w:val="24"/>
              </w:rPr>
            </w:pPr>
            <w:r>
              <w:rPr>
                <w:color w:val="000000" w:themeColor="text1"/>
                <w:szCs w:val="24"/>
              </w:rPr>
              <w:t>NMP dienesta struktūrvienības (kopumā vairāk nekā 100) ir izvietotas visā Latvijas teritorijā, kas apgrūtina darbinieku apmācību organizēšanu, jo nodrošināt fizisku NMP dienesta darbinieku klātbūtni apmācībās vai instruktāžā ir sarežģīti un dārgi. Apmācību organizāciju apgrūtina arī mūsdienu prasībām atbilstošu apmācību rīku neesamība, kas nozīmē, ka apmācības tiek organizētas atbilstoši tradicionālai pieejai, kas ne vienmēr ir efektīvi;</w:t>
            </w:r>
          </w:p>
          <w:p w14:paraId="2ABD0E44" w14:textId="77777777" w:rsidR="005718F4" w:rsidRDefault="00290A04" w:rsidP="005718F4">
            <w:pPr>
              <w:pStyle w:val="ListParagraph"/>
              <w:numPr>
                <w:ilvl w:val="0"/>
                <w:numId w:val="6"/>
              </w:numPr>
              <w:tabs>
                <w:tab w:val="num" w:pos="709"/>
              </w:tabs>
              <w:spacing w:after="160"/>
              <w:ind w:left="481"/>
              <w:jc w:val="both"/>
              <w:rPr>
                <w:color w:val="000000" w:themeColor="text1"/>
                <w:szCs w:val="24"/>
              </w:rPr>
            </w:pPr>
            <w:r w:rsidRPr="00A6421F">
              <w:rPr>
                <w:color w:val="000000" w:themeColor="text1"/>
                <w:szCs w:val="24"/>
              </w:rPr>
              <w:t xml:space="preserve">Sistēmā nav nodrošināta funkcionalitāte Sistēmā, kas sniedz efektīvu IKT atbalstu NMP </w:t>
            </w:r>
            <w:r w:rsidRPr="00B14CEB">
              <w:rPr>
                <w:color w:val="000000" w:themeColor="text1"/>
                <w:szCs w:val="24"/>
              </w:rPr>
              <w:t xml:space="preserve">dienesta personālam attālinātas (piemēram, telefoniskas) pirmās palīdzības sniegšanas laikā. Šādas atbalsta funkcionalitātes esamība ievērojami palīdzētu NMP dienesta personālam orientēties sarežģītās un kritiskās situācijās, </w:t>
            </w:r>
            <w:r>
              <w:rPr>
                <w:color w:val="000000" w:themeColor="text1"/>
                <w:szCs w:val="24"/>
              </w:rPr>
              <w:lastRenderedPageBreak/>
              <w:t>rīkoties konstruktīvi, ievērojot vienotus principus,</w:t>
            </w:r>
            <w:r w:rsidRPr="00B14CEB">
              <w:rPr>
                <w:color w:val="000000" w:themeColor="text1"/>
                <w:szCs w:val="24"/>
              </w:rPr>
              <w:t xml:space="preserve"> tādējādi ļaujot uzlabot NMP pakalpojuma kvalitāti un glābt pacientu dzīvību;</w:t>
            </w:r>
          </w:p>
          <w:p w14:paraId="598EF636" w14:textId="7D66FC35" w:rsidR="00343AC9" w:rsidRPr="005718F4" w:rsidRDefault="00290A04" w:rsidP="00343AC9">
            <w:pPr>
              <w:pStyle w:val="ListParagraph"/>
              <w:numPr>
                <w:ilvl w:val="0"/>
                <w:numId w:val="6"/>
              </w:numPr>
              <w:tabs>
                <w:tab w:val="num" w:pos="709"/>
              </w:tabs>
              <w:spacing w:after="160"/>
              <w:ind w:left="481"/>
              <w:jc w:val="both"/>
              <w:rPr>
                <w:color w:val="000000" w:themeColor="text1"/>
                <w:szCs w:val="24"/>
              </w:rPr>
            </w:pPr>
            <w:r w:rsidRPr="005718F4">
              <w:rPr>
                <w:color w:val="000000" w:themeColor="text1"/>
              </w:rPr>
              <w:t xml:space="preserve">NMP dienesta ietvaros nav pilnībā elektronizēta medicīnisko resursu (gan medicīnas iekārtu, gan medicīnas aprīkojuma, gan </w:t>
            </w:r>
            <w:r w:rsidRPr="005718F4">
              <w:t>medikamentu un medicīnisko materiālu)</w:t>
            </w:r>
            <w:r w:rsidRPr="005718F4">
              <w:rPr>
                <w:color w:val="000000" w:themeColor="text1"/>
              </w:rPr>
              <w:t xml:space="preserve"> operatīva uzskaite un pārvaldība, kas ievērojami apgrūtina to izsekojamību, kā arī liels darba apjoms tiek veikts, lai nodrošinātu to korektu uzskaiti.</w:t>
            </w:r>
          </w:p>
        </w:tc>
      </w:tr>
      <w:tr w:rsidR="00CC6F38" w14:paraId="0E65EA2E" w14:textId="77777777" w:rsidTr="00262DE5">
        <w:trPr>
          <w:trHeight w:val="476"/>
        </w:trPr>
        <w:tc>
          <w:tcPr>
            <w:tcW w:w="762" w:type="dxa"/>
            <w:tcBorders>
              <w:top w:val="thickThinLargeGap" w:sz="6" w:space="0" w:color="C0C0C0"/>
              <w:left w:val="thickThinLargeGap" w:sz="6" w:space="0" w:color="C0C0C0"/>
              <w:bottom w:val="thickThinLargeGap" w:sz="6" w:space="0" w:color="C0C0C0"/>
            </w:tcBorders>
          </w:tcPr>
          <w:p w14:paraId="7534A379" w14:textId="77777777" w:rsidR="00B559D5" w:rsidRPr="00836FE4" w:rsidRDefault="002A525E" w:rsidP="00262DE5">
            <w:r w:rsidRPr="00836FE4">
              <w:rPr>
                <w:lang w:eastAsia="en-US"/>
              </w:rPr>
              <w:lastRenderedPageBreak/>
              <w:t> 3.</w:t>
            </w:r>
          </w:p>
        </w:tc>
        <w:tc>
          <w:tcPr>
            <w:tcW w:w="1986" w:type="dxa"/>
            <w:tcBorders>
              <w:top w:val="thickThinLargeGap" w:sz="6" w:space="0" w:color="C0C0C0"/>
              <w:left w:val="thickThinLargeGap" w:sz="6" w:space="0" w:color="C0C0C0"/>
              <w:bottom w:val="thickThinLargeGap" w:sz="6" w:space="0" w:color="C0C0C0"/>
            </w:tcBorders>
          </w:tcPr>
          <w:p w14:paraId="7F705689" w14:textId="77777777" w:rsidR="00B559D5" w:rsidRPr="00836FE4" w:rsidRDefault="002A525E" w:rsidP="00262DE5">
            <w:r w:rsidRPr="00836FE4">
              <w:rPr>
                <w:lang w:eastAsia="en-US"/>
              </w:rPr>
              <w:t>Projekta izstrādē iesaistītās institūcijas un publiskas personas kapitālsabiedrības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13B4B019" w14:textId="51191A70" w:rsidR="00B559D5" w:rsidRPr="00836FE4" w:rsidRDefault="00E75483" w:rsidP="00262DE5">
            <w:pPr>
              <w:jc w:val="both"/>
              <w:rPr>
                <w:lang w:eastAsia="lv-LV"/>
              </w:rPr>
            </w:pPr>
            <w:r>
              <w:rPr>
                <w:lang w:eastAsia="lv-LV"/>
              </w:rPr>
              <w:t>NMP dienests</w:t>
            </w:r>
          </w:p>
          <w:p w14:paraId="15D458F8" w14:textId="77777777" w:rsidR="00B559D5" w:rsidRPr="00836FE4" w:rsidRDefault="00B559D5" w:rsidP="00262DE5">
            <w:pPr>
              <w:pStyle w:val="VPBody"/>
              <w:spacing w:after="120" w:line="276" w:lineRule="auto"/>
              <w:rPr>
                <w:sz w:val="24"/>
                <w:szCs w:val="24"/>
              </w:rPr>
            </w:pPr>
          </w:p>
        </w:tc>
      </w:tr>
      <w:tr w:rsidR="00CC6F38" w14:paraId="246CC372" w14:textId="77777777" w:rsidTr="00262DE5">
        <w:tc>
          <w:tcPr>
            <w:tcW w:w="762" w:type="dxa"/>
            <w:tcBorders>
              <w:top w:val="thickThinLargeGap" w:sz="6" w:space="0" w:color="C0C0C0"/>
              <w:left w:val="thickThinLargeGap" w:sz="6" w:space="0" w:color="C0C0C0"/>
              <w:bottom w:val="thickThinLargeGap" w:sz="6" w:space="0" w:color="C0C0C0"/>
            </w:tcBorders>
          </w:tcPr>
          <w:p w14:paraId="76D59025" w14:textId="77777777" w:rsidR="00B559D5" w:rsidRPr="00836FE4" w:rsidRDefault="002A525E" w:rsidP="00262DE5">
            <w:r w:rsidRPr="00836FE4">
              <w:rPr>
                <w:lang w:eastAsia="en-US"/>
              </w:rPr>
              <w:t> 4.</w:t>
            </w:r>
          </w:p>
        </w:tc>
        <w:tc>
          <w:tcPr>
            <w:tcW w:w="1986" w:type="dxa"/>
            <w:tcBorders>
              <w:top w:val="thickThinLargeGap" w:sz="6" w:space="0" w:color="C0C0C0"/>
              <w:left w:val="thickThinLargeGap" w:sz="6" w:space="0" w:color="C0C0C0"/>
              <w:bottom w:val="thickThinLargeGap" w:sz="6" w:space="0" w:color="C0C0C0"/>
            </w:tcBorders>
          </w:tcPr>
          <w:p w14:paraId="7A07C670" w14:textId="77777777" w:rsidR="00B559D5" w:rsidRPr="00836FE4" w:rsidRDefault="002A525E" w:rsidP="00262DE5">
            <w:r w:rsidRPr="00836FE4">
              <w:rPr>
                <w:lang w:eastAsia="en-US"/>
              </w:rPr>
              <w:t> Cita informācija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17549F37" w14:textId="77777777" w:rsidR="00B559D5" w:rsidRPr="00836FE4" w:rsidRDefault="002A525E" w:rsidP="00262DE5">
            <w:pPr>
              <w:jc w:val="both"/>
            </w:pPr>
            <w:r w:rsidRPr="00836FE4">
              <w:rPr>
                <w:lang w:eastAsia="en-US"/>
              </w:rPr>
              <w:t>Nav.</w:t>
            </w:r>
          </w:p>
        </w:tc>
      </w:tr>
    </w:tbl>
    <w:p w14:paraId="7B92A44F" w14:textId="77777777" w:rsidR="00B559D5" w:rsidRPr="00836FE4" w:rsidRDefault="002A525E" w:rsidP="00B559D5">
      <w:pPr>
        <w:jc w:val="both"/>
      </w:pPr>
      <w:r w:rsidRPr="00836FE4">
        <w:t> </w:t>
      </w:r>
    </w:p>
    <w:tbl>
      <w:tblPr>
        <w:tblW w:w="9855" w:type="dxa"/>
        <w:tblInd w:w="2" w:type="dxa"/>
        <w:tblLayout w:type="fixed"/>
        <w:tblCellMar>
          <w:left w:w="0" w:type="dxa"/>
          <w:right w:w="0" w:type="dxa"/>
        </w:tblCellMar>
        <w:tblLook w:val="0000" w:firstRow="0" w:lastRow="0" w:firstColumn="0" w:lastColumn="0" w:noHBand="0" w:noVBand="0"/>
      </w:tblPr>
      <w:tblGrid>
        <w:gridCol w:w="763"/>
        <w:gridCol w:w="2694"/>
        <w:gridCol w:w="6398"/>
      </w:tblGrid>
      <w:tr w:rsidR="00CC6F38" w:rsidRPr="00A37C87" w14:paraId="4555D283" w14:textId="77777777" w:rsidTr="00262DE5">
        <w:trPr>
          <w:trHeight w:val="585"/>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43B657DF" w14:textId="77777777" w:rsidR="00B559D5" w:rsidRPr="00694372" w:rsidRDefault="002A525E" w:rsidP="00262DE5">
            <w:pPr>
              <w:jc w:val="center"/>
            </w:pPr>
            <w:r w:rsidRPr="00694372">
              <w:rPr>
                <w:b/>
                <w:bCs/>
              </w:rPr>
              <w:t> II. Tiesību akta projekta ietekme uz sabiedrību, tautsaimniecības attīstību un administratīvo slogu</w:t>
            </w:r>
          </w:p>
        </w:tc>
      </w:tr>
      <w:tr w:rsidR="00CC6F38" w:rsidRPr="00A37C87" w14:paraId="26EB690B" w14:textId="77777777" w:rsidTr="00262DE5">
        <w:tblPrEx>
          <w:tblCellMar>
            <w:left w:w="57" w:type="dxa"/>
            <w:right w:w="57" w:type="dxa"/>
          </w:tblCellMar>
        </w:tblPrEx>
        <w:trPr>
          <w:trHeight w:val="905"/>
        </w:trPr>
        <w:tc>
          <w:tcPr>
            <w:tcW w:w="763" w:type="dxa"/>
            <w:tcBorders>
              <w:top w:val="thickThinLargeGap" w:sz="6" w:space="0" w:color="C0C0C0"/>
              <w:left w:val="thickThinLargeGap" w:sz="6" w:space="0" w:color="C0C0C0"/>
              <w:bottom w:val="thickThinLargeGap" w:sz="6" w:space="0" w:color="C0C0C0"/>
            </w:tcBorders>
          </w:tcPr>
          <w:p w14:paraId="0879D6E4" w14:textId="77777777" w:rsidR="00B559D5" w:rsidRPr="00694372" w:rsidRDefault="002A525E" w:rsidP="00262DE5">
            <w:r w:rsidRPr="00694372">
              <w:rPr>
                <w:lang w:eastAsia="en-US"/>
              </w:rPr>
              <w:t>1.</w:t>
            </w:r>
          </w:p>
        </w:tc>
        <w:tc>
          <w:tcPr>
            <w:tcW w:w="2694" w:type="dxa"/>
            <w:tcBorders>
              <w:top w:val="thickThinLargeGap" w:sz="6" w:space="0" w:color="C0C0C0"/>
              <w:left w:val="thickThinLargeGap" w:sz="6" w:space="0" w:color="C0C0C0"/>
              <w:bottom w:val="thickThinLargeGap" w:sz="6" w:space="0" w:color="C0C0C0"/>
            </w:tcBorders>
          </w:tcPr>
          <w:p w14:paraId="4535A080" w14:textId="77777777" w:rsidR="00B559D5" w:rsidRPr="00694372" w:rsidRDefault="002A525E" w:rsidP="00262DE5">
            <w:r w:rsidRPr="00694372">
              <w:rPr>
                <w:lang w:eastAsia="en-US"/>
              </w:rPr>
              <w:t xml:space="preserve">Sabiedrības </w:t>
            </w:r>
            <w:proofErr w:type="spellStart"/>
            <w:r w:rsidRPr="00694372">
              <w:rPr>
                <w:lang w:eastAsia="en-US"/>
              </w:rPr>
              <w:t>mērķgrupas</w:t>
            </w:r>
            <w:proofErr w:type="spellEnd"/>
            <w:r w:rsidRPr="00694372">
              <w:rPr>
                <w:lang w:eastAsia="en-US"/>
              </w:rPr>
              <w:t>, kuras tiesiskais regulējums ietekmē vai varētu ietekmēt</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2133A60E" w14:textId="60B67A14" w:rsidR="000C4531" w:rsidRPr="00694372" w:rsidRDefault="00B955B1" w:rsidP="00262DE5">
            <w:pPr>
              <w:pStyle w:val="naiskr"/>
              <w:ind w:left="71"/>
              <w:jc w:val="both"/>
              <w:rPr>
                <w:lang w:eastAsia="en-US"/>
              </w:rPr>
            </w:pPr>
            <w:r>
              <w:rPr>
                <w:lang w:eastAsia="en-US"/>
              </w:rPr>
              <w:t xml:space="preserve">Visi </w:t>
            </w:r>
            <w:r w:rsidR="004E3250" w:rsidRPr="00694372">
              <w:rPr>
                <w:lang w:eastAsia="en-US"/>
              </w:rPr>
              <w:t>Latvijas iedzīvotāji</w:t>
            </w:r>
          </w:p>
          <w:p w14:paraId="6B6A2F4D" w14:textId="77C453EF" w:rsidR="00B559D5" w:rsidRPr="00694372" w:rsidRDefault="00694372" w:rsidP="00262DE5">
            <w:pPr>
              <w:pStyle w:val="naiskr"/>
              <w:ind w:left="71"/>
              <w:jc w:val="both"/>
              <w:rPr>
                <w:lang w:eastAsia="en-US"/>
              </w:rPr>
            </w:pPr>
            <w:r w:rsidRPr="00694372">
              <w:rPr>
                <w:lang w:eastAsia="en-US"/>
              </w:rPr>
              <w:t>Cit</w:t>
            </w:r>
            <w:r w:rsidR="008C754F">
              <w:rPr>
                <w:lang w:eastAsia="en-US"/>
              </w:rPr>
              <w:t xml:space="preserve">as tiešās valsts pārvaldes iestādes </w:t>
            </w:r>
            <w:r w:rsidRPr="00694372">
              <w:rPr>
                <w:lang w:eastAsia="en-US"/>
              </w:rPr>
              <w:t>.</w:t>
            </w:r>
          </w:p>
          <w:p w14:paraId="4751C47A" w14:textId="35A25743" w:rsidR="00694372" w:rsidRPr="00694372" w:rsidRDefault="00694372" w:rsidP="009D32D7">
            <w:pPr>
              <w:pStyle w:val="naiskr"/>
              <w:ind w:left="71"/>
              <w:jc w:val="both"/>
            </w:pPr>
            <w:r w:rsidRPr="00694372">
              <w:t>Latvijas ār</w:t>
            </w:r>
            <w:r w:rsidR="009D32D7">
              <w:t>s</w:t>
            </w:r>
            <w:r w:rsidRPr="00694372">
              <w:t>tniecības iestādes</w:t>
            </w:r>
            <w:r w:rsidR="009D32D7">
              <w:t>,</w:t>
            </w:r>
            <w:r w:rsidRPr="00694372">
              <w:t xml:space="preserve"> uz kurām tiek transportēti NMP pacienti.</w:t>
            </w:r>
          </w:p>
        </w:tc>
      </w:tr>
      <w:tr w:rsidR="00CC6F38" w:rsidRPr="00A37C87" w14:paraId="7608B162" w14:textId="77777777" w:rsidTr="00262DE5">
        <w:tblPrEx>
          <w:tblCellMar>
            <w:left w:w="57" w:type="dxa"/>
            <w:right w:w="57" w:type="dxa"/>
          </w:tblCellMar>
        </w:tblPrEx>
        <w:trPr>
          <w:trHeight w:val="628"/>
        </w:trPr>
        <w:tc>
          <w:tcPr>
            <w:tcW w:w="763" w:type="dxa"/>
            <w:tcBorders>
              <w:top w:val="thickThinLargeGap" w:sz="6" w:space="0" w:color="C0C0C0"/>
              <w:left w:val="thickThinLargeGap" w:sz="6" w:space="0" w:color="C0C0C0"/>
              <w:bottom w:val="thickThinLargeGap" w:sz="6" w:space="0" w:color="C0C0C0"/>
            </w:tcBorders>
          </w:tcPr>
          <w:p w14:paraId="302993FA" w14:textId="77777777" w:rsidR="00B559D5" w:rsidRPr="00DE6F2C" w:rsidRDefault="002A525E" w:rsidP="00262DE5">
            <w:r w:rsidRPr="00DE6F2C">
              <w:rPr>
                <w:lang w:eastAsia="en-US"/>
              </w:rPr>
              <w:t>2.</w:t>
            </w:r>
          </w:p>
        </w:tc>
        <w:tc>
          <w:tcPr>
            <w:tcW w:w="2694" w:type="dxa"/>
            <w:tcBorders>
              <w:top w:val="thickThinLargeGap" w:sz="6" w:space="0" w:color="C0C0C0"/>
              <w:left w:val="thickThinLargeGap" w:sz="6" w:space="0" w:color="C0C0C0"/>
              <w:bottom w:val="thickThinLargeGap" w:sz="6" w:space="0" w:color="C0C0C0"/>
            </w:tcBorders>
          </w:tcPr>
          <w:p w14:paraId="461EB483" w14:textId="77777777" w:rsidR="00B559D5" w:rsidRPr="00DE6F2C" w:rsidRDefault="002A525E" w:rsidP="00262DE5">
            <w:r w:rsidRPr="00DE6F2C">
              <w:rPr>
                <w:lang w:eastAsia="en-US"/>
              </w:rPr>
              <w:t>Tiesiskā regulējuma ietekme uz tautsaimniecību un administratīvo slogu</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3A87EF67" w14:textId="4E491EF0" w:rsidR="00A61D82" w:rsidRDefault="00A61D82" w:rsidP="00A61D82">
            <w:pPr>
              <w:spacing w:after="120"/>
              <w:jc w:val="both"/>
              <w:rPr>
                <w:lang w:eastAsia="lv-LV"/>
              </w:rPr>
            </w:pPr>
            <w:r>
              <w:t>Fiziskajām un juridiskajām personām</w:t>
            </w:r>
            <w:r w:rsidR="00DE6F2C">
              <w:t xml:space="preserve"> </w:t>
            </w:r>
            <w:r>
              <w:t>administratīvais slogs nemainās un projekta tiesiskais regulējums nemaina to pienākumus un veicamās darbības.</w:t>
            </w:r>
          </w:p>
          <w:p w14:paraId="4E142628" w14:textId="06852676" w:rsidR="00B559D5" w:rsidRPr="00A37C87" w:rsidRDefault="00A61D82" w:rsidP="009F1706">
            <w:pPr>
              <w:pStyle w:val="naiskr"/>
              <w:spacing w:before="0" w:after="0"/>
              <w:jc w:val="both"/>
              <w:rPr>
                <w:highlight w:val="yellow"/>
              </w:rPr>
            </w:pPr>
            <w:r>
              <w:t xml:space="preserve">Projekta īstenošanas rezultātā tiks veicināta </w:t>
            </w:r>
            <w:r w:rsidR="009F1706">
              <w:t xml:space="preserve">NMP dienesta darba </w:t>
            </w:r>
            <w:r>
              <w:t xml:space="preserve"> efektivitāte, pilnveidojot </w:t>
            </w:r>
            <w:r w:rsidR="00DE6F2C">
              <w:t>tā</w:t>
            </w:r>
            <w:r>
              <w:t xml:space="preserve"> darba procesus </w:t>
            </w:r>
            <w:r w:rsidR="00DE6F2C">
              <w:t>un sadarbību ar cit</w:t>
            </w:r>
            <w:r w:rsidR="008C754F">
              <w:t>ā</w:t>
            </w:r>
            <w:r w:rsidR="00DE6F2C">
              <w:t xml:space="preserve">m </w:t>
            </w:r>
            <w:r w:rsidR="008C754F">
              <w:t>iestādēm</w:t>
            </w:r>
            <w:r>
              <w:t>, tā samazinot arī administratīvo slogu.</w:t>
            </w:r>
          </w:p>
        </w:tc>
      </w:tr>
      <w:tr w:rsidR="00CC6F38" w:rsidRPr="00A37C87" w14:paraId="18567064" w14:textId="77777777" w:rsidTr="00262DE5">
        <w:tblPrEx>
          <w:tblCellMar>
            <w:left w:w="57" w:type="dxa"/>
            <w:right w:w="57" w:type="dxa"/>
          </w:tblCellMar>
        </w:tblPrEx>
        <w:tc>
          <w:tcPr>
            <w:tcW w:w="763" w:type="dxa"/>
            <w:tcBorders>
              <w:top w:val="thickThinLargeGap" w:sz="6" w:space="0" w:color="C0C0C0"/>
              <w:left w:val="thickThinLargeGap" w:sz="6" w:space="0" w:color="C0C0C0"/>
              <w:bottom w:val="thickThinLargeGap" w:sz="6" w:space="0" w:color="C0C0C0"/>
            </w:tcBorders>
          </w:tcPr>
          <w:p w14:paraId="4689E92C" w14:textId="77777777" w:rsidR="00B559D5" w:rsidRPr="008427AA" w:rsidRDefault="002A525E" w:rsidP="00262DE5">
            <w:r w:rsidRPr="008427AA">
              <w:rPr>
                <w:lang w:eastAsia="en-US"/>
              </w:rPr>
              <w:t>3.</w:t>
            </w:r>
          </w:p>
        </w:tc>
        <w:tc>
          <w:tcPr>
            <w:tcW w:w="2694" w:type="dxa"/>
            <w:tcBorders>
              <w:top w:val="thickThinLargeGap" w:sz="6" w:space="0" w:color="C0C0C0"/>
              <w:left w:val="thickThinLargeGap" w:sz="6" w:space="0" w:color="C0C0C0"/>
              <w:bottom w:val="thickThinLargeGap" w:sz="6" w:space="0" w:color="C0C0C0"/>
            </w:tcBorders>
          </w:tcPr>
          <w:p w14:paraId="33C31E78" w14:textId="77777777" w:rsidR="00B559D5" w:rsidRPr="008427AA" w:rsidRDefault="002A525E" w:rsidP="00262DE5">
            <w:r w:rsidRPr="008427AA">
              <w:rPr>
                <w:lang w:eastAsia="en-US"/>
              </w:rPr>
              <w:t>Administratīvo izmaksu monetārais novērtējums</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5F74A122" w14:textId="77777777" w:rsidR="00B559D5" w:rsidRPr="008427AA" w:rsidRDefault="002A525E" w:rsidP="00262DE5">
            <w:pPr>
              <w:jc w:val="both"/>
            </w:pPr>
            <w:r w:rsidRPr="008427AA">
              <w:t>Nav attiecināms</w:t>
            </w:r>
          </w:p>
        </w:tc>
      </w:tr>
      <w:tr w:rsidR="00CC6F38" w:rsidRPr="00A37C87" w14:paraId="464F429B" w14:textId="77777777" w:rsidTr="00262DE5">
        <w:tblPrEx>
          <w:tblCellMar>
            <w:left w:w="57" w:type="dxa"/>
            <w:right w:w="57" w:type="dxa"/>
          </w:tblCellMar>
        </w:tblPrEx>
        <w:tc>
          <w:tcPr>
            <w:tcW w:w="763" w:type="dxa"/>
            <w:tcBorders>
              <w:top w:val="thickThinLargeGap" w:sz="6" w:space="0" w:color="C0C0C0"/>
              <w:left w:val="thickThinLargeGap" w:sz="6" w:space="0" w:color="C0C0C0"/>
              <w:bottom w:val="thickThinLargeGap" w:sz="6" w:space="0" w:color="C0C0C0"/>
            </w:tcBorders>
          </w:tcPr>
          <w:p w14:paraId="47227A67" w14:textId="77777777" w:rsidR="00B559D5" w:rsidRPr="008427AA" w:rsidRDefault="002A525E" w:rsidP="00262DE5">
            <w:r w:rsidRPr="008427AA">
              <w:rPr>
                <w:lang w:eastAsia="en-US"/>
              </w:rPr>
              <w:t>4.</w:t>
            </w:r>
          </w:p>
        </w:tc>
        <w:tc>
          <w:tcPr>
            <w:tcW w:w="2694" w:type="dxa"/>
            <w:tcBorders>
              <w:top w:val="thickThinLargeGap" w:sz="6" w:space="0" w:color="C0C0C0"/>
              <w:left w:val="thickThinLargeGap" w:sz="6" w:space="0" w:color="C0C0C0"/>
              <w:bottom w:val="thickThinLargeGap" w:sz="6" w:space="0" w:color="C0C0C0"/>
            </w:tcBorders>
          </w:tcPr>
          <w:p w14:paraId="10BEA59A" w14:textId="77777777" w:rsidR="00B559D5" w:rsidRPr="008427AA" w:rsidRDefault="002A525E" w:rsidP="00262DE5">
            <w:r w:rsidRPr="008427AA">
              <w:rPr>
                <w:lang w:eastAsia="en-US"/>
              </w:rPr>
              <w:t>Cita informācija</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7CE3B2CC" w14:textId="77777777" w:rsidR="00B559D5" w:rsidRPr="008427AA" w:rsidRDefault="002A525E" w:rsidP="00262DE5">
            <w:pPr>
              <w:jc w:val="both"/>
            </w:pPr>
            <w:r w:rsidRPr="008427AA">
              <w:rPr>
                <w:lang w:eastAsia="en-US"/>
              </w:rPr>
              <w:t xml:space="preserve">Nav </w:t>
            </w:r>
          </w:p>
        </w:tc>
      </w:tr>
    </w:tbl>
    <w:p w14:paraId="69BB0FF2" w14:textId="77777777" w:rsidR="00B559D5" w:rsidRPr="00A37C87" w:rsidRDefault="00B559D5" w:rsidP="00B559D5">
      <w:pPr>
        <w:jc w:val="both"/>
        <w:rPr>
          <w:highlight w:val="yellow"/>
        </w:rPr>
      </w:pPr>
    </w:p>
    <w:tbl>
      <w:tblPr>
        <w:tblW w:w="524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94"/>
        <w:gridCol w:w="700"/>
        <w:gridCol w:w="1114"/>
        <w:gridCol w:w="785"/>
        <w:gridCol w:w="1355"/>
        <w:gridCol w:w="653"/>
        <w:gridCol w:w="1490"/>
        <w:gridCol w:w="1857"/>
      </w:tblGrid>
      <w:tr w:rsidR="00CC6F38" w:rsidRPr="00A37C87" w14:paraId="1618A417" w14:textId="77777777" w:rsidTr="00417018">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485F965F" w14:textId="77777777" w:rsidR="00145D81" w:rsidRPr="00950B4F" w:rsidRDefault="002A525E" w:rsidP="00145D81">
            <w:pPr>
              <w:rPr>
                <w:b/>
                <w:bCs/>
                <w:iCs/>
                <w:color w:val="414142"/>
                <w:lang w:eastAsia="lv-LV"/>
              </w:rPr>
            </w:pPr>
            <w:r w:rsidRPr="00950B4F">
              <w:rPr>
                <w:b/>
                <w:bCs/>
                <w:iCs/>
                <w:color w:val="414142"/>
                <w:lang w:eastAsia="lv-LV"/>
              </w:rPr>
              <w:t>III. Tiesību akta projekta ietekme uz valsts budžetu un pašvaldību budžetiem</w:t>
            </w:r>
          </w:p>
        </w:tc>
      </w:tr>
      <w:tr w:rsidR="00417018" w:rsidRPr="00A37C87" w14:paraId="26464DAA" w14:textId="77777777" w:rsidTr="00417018">
        <w:trPr>
          <w:tblCellSpacing w:w="15" w:type="dxa"/>
        </w:trPr>
        <w:tc>
          <w:tcPr>
            <w:tcW w:w="738" w:type="pct"/>
            <w:vMerge w:val="restart"/>
            <w:tcBorders>
              <w:top w:val="outset" w:sz="6" w:space="0" w:color="auto"/>
              <w:left w:val="outset" w:sz="6" w:space="0" w:color="auto"/>
              <w:bottom w:val="outset" w:sz="6" w:space="0" w:color="auto"/>
              <w:right w:val="outset" w:sz="6" w:space="0" w:color="auto"/>
            </w:tcBorders>
            <w:vAlign w:val="center"/>
            <w:hideMark/>
          </w:tcPr>
          <w:p w14:paraId="4A5BB735" w14:textId="77777777" w:rsidR="00145D81" w:rsidRPr="00A37C87" w:rsidRDefault="002A525E" w:rsidP="00145D81">
            <w:pPr>
              <w:rPr>
                <w:iCs/>
                <w:color w:val="414142"/>
                <w:highlight w:val="yellow"/>
                <w:lang w:eastAsia="lv-LV"/>
              </w:rPr>
            </w:pPr>
            <w:r w:rsidRPr="00A559C4">
              <w:rPr>
                <w:iCs/>
                <w:color w:val="414142"/>
                <w:lang w:eastAsia="lv-LV"/>
              </w:rPr>
              <w:t>Rādītāji</w:t>
            </w:r>
          </w:p>
        </w:tc>
        <w:tc>
          <w:tcPr>
            <w:tcW w:w="96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B905694" w14:textId="0035023E" w:rsidR="00145D81" w:rsidRPr="00950B4F" w:rsidRDefault="002A525E" w:rsidP="00145D81">
            <w:pPr>
              <w:rPr>
                <w:iCs/>
                <w:color w:val="414142"/>
                <w:lang w:eastAsia="lv-LV"/>
              </w:rPr>
            </w:pPr>
            <w:r w:rsidRPr="00950B4F">
              <w:rPr>
                <w:iCs/>
                <w:color w:val="414142"/>
                <w:lang w:eastAsia="lv-LV"/>
              </w:rPr>
              <w:t>201</w:t>
            </w:r>
            <w:r w:rsidR="00950B4F">
              <w:rPr>
                <w:iCs/>
                <w:color w:val="414142"/>
                <w:lang w:eastAsia="lv-LV"/>
              </w:rPr>
              <w:t>9</w:t>
            </w:r>
          </w:p>
        </w:tc>
        <w:tc>
          <w:tcPr>
            <w:tcW w:w="3239" w:type="pct"/>
            <w:gridSpan w:val="5"/>
            <w:tcBorders>
              <w:top w:val="outset" w:sz="6" w:space="0" w:color="auto"/>
              <w:left w:val="outset" w:sz="6" w:space="0" w:color="auto"/>
              <w:bottom w:val="outset" w:sz="6" w:space="0" w:color="auto"/>
              <w:right w:val="outset" w:sz="6" w:space="0" w:color="auto"/>
            </w:tcBorders>
            <w:vAlign w:val="center"/>
            <w:hideMark/>
          </w:tcPr>
          <w:p w14:paraId="2B563BF1" w14:textId="77777777" w:rsidR="00145D81" w:rsidRPr="00950B4F" w:rsidRDefault="002A525E" w:rsidP="00145D81">
            <w:pPr>
              <w:rPr>
                <w:iCs/>
                <w:color w:val="414142"/>
                <w:lang w:eastAsia="lv-LV"/>
              </w:rPr>
            </w:pPr>
            <w:r w:rsidRPr="00950B4F">
              <w:rPr>
                <w:iCs/>
                <w:color w:val="414142"/>
                <w:lang w:eastAsia="lv-LV"/>
              </w:rPr>
              <w:t>Turpmākie trīs gadi (</w:t>
            </w:r>
            <w:proofErr w:type="spellStart"/>
            <w:r w:rsidRPr="00950B4F">
              <w:rPr>
                <w:i/>
                <w:iCs/>
                <w:color w:val="414142"/>
                <w:lang w:eastAsia="lv-LV"/>
              </w:rPr>
              <w:t>euro</w:t>
            </w:r>
            <w:proofErr w:type="spellEnd"/>
            <w:r w:rsidRPr="00950B4F">
              <w:rPr>
                <w:iCs/>
                <w:color w:val="414142"/>
                <w:lang w:eastAsia="lv-LV"/>
              </w:rPr>
              <w:t>)</w:t>
            </w:r>
          </w:p>
        </w:tc>
      </w:tr>
      <w:tr w:rsidR="00B552B7" w:rsidRPr="00A37C87" w14:paraId="5864E53E" w14:textId="77777777" w:rsidTr="00417018">
        <w:trPr>
          <w:tblCellSpacing w:w="15" w:type="dxa"/>
        </w:trPr>
        <w:tc>
          <w:tcPr>
            <w:tcW w:w="738" w:type="pct"/>
            <w:vMerge/>
            <w:tcBorders>
              <w:top w:val="outset" w:sz="6" w:space="0" w:color="auto"/>
              <w:left w:val="outset" w:sz="6" w:space="0" w:color="auto"/>
              <w:bottom w:val="outset" w:sz="6" w:space="0" w:color="auto"/>
              <w:right w:val="outset" w:sz="6" w:space="0" w:color="auto"/>
            </w:tcBorders>
            <w:vAlign w:val="center"/>
            <w:hideMark/>
          </w:tcPr>
          <w:p w14:paraId="721E46AD" w14:textId="77777777" w:rsidR="00145D81" w:rsidRPr="00A37C87" w:rsidRDefault="00145D81" w:rsidP="00145D81">
            <w:pPr>
              <w:rPr>
                <w:iCs/>
                <w:color w:val="414142"/>
                <w:highlight w:val="yellow"/>
                <w:lang w:eastAsia="lv-LV"/>
              </w:rPr>
            </w:pPr>
          </w:p>
        </w:tc>
        <w:tc>
          <w:tcPr>
            <w:tcW w:w="960" w:type="pct"/>
            <w:gridSpan w:val="2"/>
            <w:vMerge/>
            <w:tcBorders>
              <w:top w:val="outset" w:sz="6" w:space="0" w:color="auto"/>
              <w:left w:val="outset" w:sz="6" w:space="0" w:color="auto"/>
              <w:bottom w:val="outset" w:sz="6" w:space="0" w:color="auto"/>
              <w:right w:val="outset" w:sz="6" w:space="0" w:color="auto"/>
            </w:tcBorders>
            <w:vAlign w:val="center"/>
            <w:hideMark/>
          </w:tcPr>
          <w:p w14:paraId="0E8A4579" w14:textId="77777777" w:rsidR="00145D81" w:rsidRPr="00950B4F" w:rsidRDefault="00145D81" w:rsidP="00145D81">
            <w:pPr>
              <w:rPr>
                <w:iCs/>
                <w:color w:val="414142"/>
                <w:lang w:eastAsia="lv-LV"/>
              </w:rPr>
            </w:pP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14:paraId="6997F8B7" w14:textId="33AD2F07" w:rsidR="00145D81" w:rsidRPr="00950B4F" w:rsidRDefault="002A525E" w:rsidP="00145D81">
            <w:pPr>
              <w:rPr>
                <w:iCs/>
                <w:color w:val="414142"/>
                <w:lang w:eastAsia="lv-LV"/>
              </w:rPr>
            </w:pPr>
            <w:r w:rsidRPr="00950B4F">
              <w:rPr>
                <w:iCs/>
                <w:color w:val="414142"/>
                <w:lang w:eastAsia="lv-LV"/>
              </w:rPr>
              <w:t>20</w:t>
            </w:r>
            <w:r w:rsidR="00950B4F">
              <w:rPr>
                <w:iCs/>
                <w:color w:val="414142"/>
                <w:lang w:eastAsia="lv-LV"/>
              </w:rPr>
              <w:t>20</w:t>
            </w: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14:paraId="062D6272" w14:textId="7E1BA03A" w:rsidR="00145D81" w:rsidRPr="00950B4F" w:rsidRDefault="002A525E" w:rsidP="00145D81">
            <w:pPr>
              <w:rPr>
                <w:iCs/>
                <w:color w:val="414142"/>
                <w:lang w:eastAsia="lv-LV"/>
              </w:rPr>
            </w:pPr>
            <w:r w:rsidRPr="00950B4F">
              <w:rPr>
                <w:iCs/>
                <w:color w:val="414142"/>
                <w:lang w:eastAsia="lv-LV"/>
              </w:rPr>
              <w:t>202</w:t>
            </w:r>
            <w:r w:rsidR="00950B4F">
              <w:rPr>
                <w:iCs/>
                <w:color w:val="414142"/>
                <w:lang w:eastAsia="lv-LV"/>
              </w:rPr>
              <w:t>1</w:t>
            </w:r>
          </w:p>
        </w:tc>
        <w:tc>
          <w:tcPr>
            <w:tcW w:w="929" w:type="pct"/>
            <w:tcBorders>
              <w:top w:val="outset" w:sz="6" w:space="0" w:color="auto"/>
              <w:left w:val="outset" w:sz="6" w:space="0" w:color="auto"/>
              <w:bottom w:val="outset" w:sz="6" w:space="0" w:color="auto"/>
              <w:right w:val="outset" w:sz="6" w:space="0" w:color="auto"/>
            </w:tcBorders>
            <w:vAlign w:val="center"/>
            <w:hideMark/>
          </w:tcPr>
          <w:p w14:paraId="16265A5A" w14:textId="748D8AE6" w:rsidR="00145D81" w:rsidRPr="00950B4F" w:rsidRDefault="002A525E" w:rsidP="00145D81">
            <w:pPr>
              <w:rPr>
                <w:iCs/>
                <w:color w:val="414142"/>
                <w:lang w:eastAsia="lv-LV"/>
              </w:rPr>
            </w:pPr>
            <w:r w:rsidRPr="00950B4F">
              <w:rPr>
                <w:iCs/>
                <w:color w:val="414142"/>
                <w:lang w:eastAsia="lv-LV"/>
              </w:rPr>
              <w:t>202</w:t>
            </w:r>
            <w:r w:rsidR="00950B4F">
              <w:rPr>
                <w:iCs/>
                <w:color w:val="414142"/>
                <w:lang w:eastAsia="lv-LV"/>
              </w:rPr>
              <w:t>2</w:t>
            </w:r>
          </w:p>
        </w:tc>
      </w:tr>
      <w:tr w:rsidR="00417018" w:rsidRPr="00A37C87" w14:paraId="692EA64C" w14:textId="77777777" w:rsidTr="00417018">
        <w:trPr>
          <w:tblCellSpacing w:w="15" w:type="dxa"/>
        </w:trPr>
        <w:tc>
          <w:tcPr>
            <w:tcW w:w="738" w:type="pct"/>
            <w:vMerge/>
            <w:tcBorders>
              <w:top w:val="outset" w:sz="6" w:space="0" w:color="auto"/>
              <w:left w:val="outset" w:sz="6" w:space="0" w:color="auto"/>
              <w:bottom w:val="outset" w:sz="6" w:space="0" w:color="auto"/>
              <w:right w:val="outset" w:sz="6" w:space="0" w:color="auto"/>
            </w:tcBorders>
            <w:vAlign w:val="center"/>
            <w:hideMark/>
          </w:tcPr>
          <w:p w14:paraId="31BB5E5B" w14:textId="77777777" w:rsidR="00145D81" w:rsidRPr="00A37C87" w:rsidRDefault="00145D81" w:rsidP="00145D81">
            <w:pPr>
              <w:rPr>
                <w:iCs/>
                <w:color w:val="414142"/>
                <w:highlight w:val="yellow"/>
                <w:lang w:eastAsia="lv-LV"/>
              </w:rPr>
            </w:pPr>
          </w:p>
        </w:tc>
        <w:tc>
          <w:tcPr>
            <w:tcW w:w="367" w:type="pct"/>
            <w:tcBorders>
              <w:top w:val="outset" w:sz="6" w:space="0" w:color="auto"/>
              <w:left w:val="outset" w:sz="6" w:space="0" w:color="auto"/>
              <w:bottom w:val="outset" w:sz="6" w:space="0" w:color="auto"/>
              <w:right w:val="outset" w:sz="6" w:space="0" w:color="auto"/>
            </w:tcBorders>
            <w:vAlign w:val="center"/>
            <w:hideMark/>
          </w:tcPr>
          <w:p w14:paraId="7C1F92EF" w14:textId="77777777" w:rsidR="00145D81" w:rsidRPr="00950B4F" w:rsidRDefault="002A525E" w:rsidP="00145D81">
            <w:pPr>
              <w:rPr>
                <w:iCs/>
                <w:color w:val="414142"/>
                <w:lang w:eastAsia="lv-LV"/>
              </w:rPr>
            </w:pPr>
            <w:r w:rsidRPr="00950B4F">
              <w:rPr>
                <w:iCs/>
                <w:color w:val="414142"/>
                <w:lang w:eastAsia="lv-LV"/>
              </w:rPr>
              <w:t>saskaņā ar valsts budžetu kārtējam gadam</w:t>
            </w:r>
          </w:p>
        </w:tc>
        <w:tc>
          <w:tcPr>
            <w:tcW w:w="576" w:type="pct"/>
            <w:tcBorders>
              <w:top w:val="outset" w:sz="6" w:space="0" w:color="auto"/>
              <w:left w:val="outset" w:sz="6" w:space="0" w:color="auto"/>
              <w:bottom w:val="outset" w:sz="6" w:space="0" w:color="auto"/>
              <w:right w:val="outset" w:sz="6" w:space="0" w:color="auto"/>
            </w:tcBorders>
            <w:vAlign w:val="center"/>
            <w:hideMark/>
          </w:tcPr>
          <w:p w14:paraId="6254DEC5" w14:textId="77777777" w:rsidR="00145D81" w:rsidRPr="00950B4F" w:rsidRDefault="002A525E" w:rsidP="00145D81">
            <w:pPr>
              <w:rPr>
                <w:iCs/>
                <w:color w:val="414142"/>
                <w:lang w:eastAsia="lv-LV"/>
              </w:rPr>
            </w:pPr>
            <w:r w:rsidRPr="00950B4F">
              <w:rPr>
                <w:iCs/>
                <w:color w:val="414142"/>
                <w:lang w:eastAsia="lv-LV"/>
              </w:rPr>
              <w:t>izmaiņas kārtējā gadā, salīdzinot ar valsts budžetu kārtējam gadam</w:t>
            </w:r>
          </w:p>
        </w:tc>
        <w:tc>
          <w:tcPr>
            <w:tcW w:w="413" w:type="pct"/>
            <w:tcBorders>
              <w:top w:val="outset" w:sz="6" w:space="0" w:color="auto"/>
              <w:left w:val="outset" w:sz="6" w:space="0" w:color="auto"/>
              <w:bottom w:val="outset" w:sz="6" w:space="0" w:color="auto"/>
              <w:right w:val="outset" w:sz="6" w:space="0" w:color="auto"/>
            </w:tcBorders>
            <w:vAlign w:val="center"/>
            <w:hideMark/>
          </w:tcPr>
          <w:p w14:paraId="6CF326D2" w14:textId="77777777" w:rsidR="00145D81" w:rsidRPr="00950B4F" w:rsidRDefault="002A525E" w:rsidP="00145D81">
            <w:pPr>
              <w:rPr>
                <w:iCs/>
                <w:color w:val="414142"/>
                <w:lang w:eastAsia="lv-LV"/>
              </w:rPr>
            </w:pPr>
            <w:r w:rsidRPr="00950B4F">
              <w:rPr>
                <w:iCs/>
                <w:color w:val="414142"/>
                <w:lang w:eastAsia="lv-LV"/>
              </w:rPr>
              <w:t>saskaņā ar vidēja termiņa budžeta ietvaru</w:t>
            </w:r>
          </w:p>
        </w:tc>
        <w:tc>
          <w:tcPr>
            <w:tcW w:w="709" w:type="pct"/>
            <w:tcBorders>
              <w:top w:val="outset" w:sz="6" w:space="0" w:color="auto"/>
              <w:left w:val="outset" w:sz="6" w:space="0" w:color="auto"/>
              <w:bottom w:val="outset" w:sz="6" w:space="0" w:color="auto"/>
              <w:right w:val="outset" w:sz="6" w:space="0" w:color="auto"/>
            </w:tcBorders>
            <w:vAlign w:val="center"/>
            <w:hideMark/>
          </w:tcPr>
          <w:p w14:paraId="47253EC6" w14:textId="77777777" w:rsidR="00145D81" w:rsidRPr="00950B4F" w:rsidRDefault="002A525E" w:rsidP="00145D81">
            <w:pPr>
              <w:rPr>
                <w:iCs/>
                <w:color w:val="414142"/>
                <w:lang w:eastAsia="lv-LV"/>
              </w:rPr>
            </w:pPr>
            <w:r w:rsidRPr="00950B4F">
              <w:rPr>
                <w:iCs/>
                <w:color w:val="414142"/>
                <w:lang w:eastAsia="lv-LV"/>
              </w:rPr>
              <w:t>izmaiņas, salīdzinot ar vidēja termiņa budžeta ietvaru 2019 gadam</w:t>
            </w:r>
          </w:p>
        </w:tc>
        <w:tc>
          <w:tcPr>
            <w:tcW w:w="341" w:type="pct"/>
            <w:tcBorders>
              <w:top w:val="outset" w:sz="6" w:space="0" w:color="auto"/>
              <w:left w:val="outset" w:sz="6" w:space="0" w:color="auto"/>
              <w:bottom w:val="outset" w:sz="6" w:space="0" w:color="auto"/>
              <w:right w:val="outset" w:sz="6" w:space="0" w:color="auto"/>
            </w:tcBorders>
            <w:vAlign w:val="center"/>
            <w:hideMark/>
          </w:tcPr>
          <w:p w14:paraId="7AE60EC3" w14:textId="77777777" w:rsidR="00145D81" w:rsidRPr="00950B4F" w:rsidRDefault="002A525E" w:rsidP="00145D81">
            <w:pPr>
              <w:rPr>
                <w:iCs/>
                <w:color w:val="414142"/>
                <w:lang w:eastAsia="lv-LV"/>
              </w:rPr>
            </w:pPr>
            <w:r w:rsidRPr="00950B4F">
              <w:rPr>
                <w:iCs/>
                <w:color w:val="414142"/>
                <w:lang w:eastAsia="lv-LV"/>
              </w:rPr>
              <w:t>saskaņā ar vidēja termiņa budžeta ietvaru</w:t>
            </w:r>
          </w:p>
        </w:tc>
        <w:tc>
          <w:tcPr>
            <w:tcW w:w="783" w:type="pct"/>
            <w:tcBorders>
              <w:top w:val="outset" w:sz="6" w:space="0" w:color="auto"/>
              <w:left w:val="outset" w:sz="6" w:space="0" w:color="auto"/>
              <w:bottom w:val="outset" w:sz="6" w:space="0" w:color="auto"/>
              <w:right w:val="outset" w:sz="6" w:space="0" w:color="auto"/>
            </w:tcBorders>
            <w:vAlign w:val="center"/>
            <w:hideMark/>
          </w:tcPr>
          <w:p w14:paraId="66D15110" w14:textId="77777777" w:rsidR="00145D81" w:rsidRPr="00950B4F" w:rsidRDefault="002A525E" w:rsidP="00145D81">
            <w:pPr>
              <w:rPr>
                <w:iCs/>
                <w:color w:val="414142"/>
                <w:lang w:eastAsia="lv-LV"/>
              </w:rPr>
            </w:pPr>
            <w:r w:rsidRPr="00950B4F">
              <w:rPr>
                <w:iCs/>
                <w:color w:val="414142"/>
                <w:lang w:eastAsia="lv-LV"/>
              </w:rPr>
              <w:t>izmaiņas, salīdzinot ar vidēja termiņa budžeta ietvaru 2020 gadam</w:t>
            </w:r>
          </w:p>
        </w:tc>
        <w:tc>
          <w:tcPr>
            <w:tcW w:w="929" w:type="pct"/>
            <w:tcBorders>
              <w:top w:val="outset" w:sz="6" w:space="0" w:color="auto"/>
              <w:left w:val="outset" w:sz="6" w:space="0" w:color="auto"/>
              <w:bottom w:val="outset" w:sz="6" w:space="0" w:color="auto"/>
              <w:right w:val="outset" w:sz="6" w:space="0" w:color="auto"/>
            </w:tcBorders>
            <w:vAlign w:val="center"/>
            <w:hideMark/>
          </w:tcPr>
          <w:p w14:paraId="071FC754" w14:textId="77777777" w:rsidR="00145D81" w:rsidRPr="00950B4F" w:rsidRDefault="002A525E" w:rsidP="00145D81">
            <w:pPr>
              <w:rPr>
                <w:iCs/>
                <w:color w:val="414142"/>
                <w:lang w:eastAsia="lv-LV"/>
              </w:rPr>
            </w:pPr>
            <w:r w:rsidRPr="00950B4F">
              <w:rPr>
                <w:iCs/>
                <w:color w:val="414142"/>
                <w:lang w:eastAsia="lv-LV"/>
              </w:rPr>
              <w:t>izmaiņas, salīdzinot ar vidēja termiņa budžeta ietvaru 2020 gadam</w:t>
            </w:r>
          </w:p>
        </w:tc>
      </w:tr>
      <w:tr w:rsidR="00417018" w:rsidRPr="00A37C87" w14:paraId="101A80CC"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vAlign w:val="center"/>
            <w:hideMark/>
          </w:tcPr>
          <w:p w14:paraId="3DAEA812" w14:textId="77777777" w:rsidR="00145D81" w:rsidRPr="00950B4F" w:rsidRDefault="002A525E" w:rsidP="00145D81">
            <w:pPr>
              <w:rPr>
                <w:iCs/>
                <w:color w:val="414142"/>
                <w:lang w:eastAsia="lv-LV"/>
              </w:rPr>
            </w:pPr>
            <w:r w:rsidRPr="00950B4F">
              <w:rPr>
                <w:iCs/>
                <w:color w:val="414142"/>
                <w:lang w:eastAsia="lv-LV"/>
              </w:rPr>
              <w:t>1</w:t>
            </w:r>
          </w:p>
        </w:tc>
        <w:tc>
          <w:tcPr>
            <w:tcW w:w="367" w:type="pct"/>
            <w:tcBorders>
              <w:top w:val="outset" w:sz="6" w:space="0" w:color="auto"/>
              <w:left w:val="outset" w:sz="6" w:space="0" w:color="auto"/>
              <w:bottom w:val="outset" w:sz="6" w:space="0" w:color="auto"/>
              <w:right w:val="outset" w:sz="6" w:space="0" w:color="auto"/>
            </w:tcBorders>
            <w:vAlign w:val="center"/>
            <w:hideMark/>
          </w:tcPr>
          <w:p w14:paraId="70729B0B" w14:textId="77777777" w:rsidR="00145D81" w:rsidRPr="00950B4F" w:rsidRDefault="002A525E" w:rsidP="00145D81">
            <w:pPr>
              <w:rPr>
                <w:iCs/>
                <w:color w:val="414142"/>
                <w:lang w:eastAsia="lv-LV"/>
              </w:rPr>
            </w:pPr>
            <w:r w:rsidRPr="00950B4F">
              <w:rPr>
                <w:iCs/>
                <w:color w:val="414142"/>
                <w:lang w:eastAsia="lv-LV"/>
              </w:rPr>
              <w:t>2</w:t>
            </w:r>
          </w:p>
        </w:tc>
        <w:tc>
          <w:tcPr>
            <w:tcW w:w="576" w:type="pct"/>
            <w:tcBorders>
              <w:top w:val="outset" w:sz="6" w:space="0" w:color="auto"/>
              <w:left w:val="outset" w:sz="6" w:space="0" w:color="auto"/>
              <w:bottom w:val="outset" w:sz="6" w:space="0" w:color="auto"/>
              <w:right w:val="outset" w:sz="6" w:space="0" w:color="auto"/>
            </w:tcBorders>
            <w:vAlign w:val="center"/>
            <w:hideMark/>
          </w:tcPr>
          <w:p w14:paraId="77B2F366" w14:textId="77777777" w:rsidR="00145D81" w:rsidRPr="00950B4F" w:rsidRDefault="002A525E" w:rsidP="00145D81">
            <w:pPr>
              <w:rPr>
                <w:iCs/>
                <w:color w:val="414142"/>
                <w:lang w:eastAsia="lv-LV"/>
              </w:rPr>
            </w:pPr>
            <w:r w:rsidRPr="00950B4F">
              <w:rPr>
                <w:iCs/>
                <w:color w:val="414142"/>
                <w:lang w:eastAsia="lv-LV"/>
              </w:rPr>
              <w:t>3</w:t>
            </w:r>
          </w:p>
        </w:tc>
        <w:tc>
          <w:tcPr>
            <w:tcW w:w="413" w:type="pct"/>
            <w:tcBorders>
              <w:top w:val="outset" w:sz="6" w:space="0" w:color="auto"/>
              <w:left w:val="outset" w:sz="6" w:space="0" w:color="auto"/>
              <w:bottom w:val="outset" w:sz="6" w:space="0" w:color="auto"/>
              <w:right w:val="outset" w:sz="6" w:space="0" w:color="auto"/>
            </w:tcBorders>
            <w:vAlign w:val="center"/>
            <w:hideMark/>
          </w:tcPr>
          <w:p w14:paraId="27307A61" w14:textId="77777777" w:rsidR="00145D81" w:rsidRPr="00950B4F" w:rsidRDefault="002A525E" w:rsidP="00145D81">
            <w:pPr>
              <w:rPr>
                <w:iCs/>
                <w:color w:val="414142"/>
                <w:lang w:eastAsia="lv-LV"/>
              </w:rPr>
            </w:pPr>
            <w:r w:rsidRPr="00950B4F">
              <w:rPr>
                <w:iCs/>
                <w:color w:val="414142"/>
                <w:lang w:eastAsia="lv-LV"/>
              </w:rPr>
              <w:t>4</w:t>
            </w:r>
          </w:p>
        </w:tc>
        <w:tc>
          <w:tcPr>
            <w:tcW w:w="709" w:type="pct"/>
            <w:tcBorders>
              <w:top w:val="outset" w:sz="6" w:space="0" w:color="auto"/>
              <w:left w:val="outset" w:sz="6" w:space="0" w:color="auto"/>
              <w:bottom w:val="outset" w:sz="6" w:space="0" w:color="auto"/>
              <w:right w:val="outset" w:sz="6" w:space="0" w:color="auto"/>
            </w:tcBorders>
            <w:vAlign w:val="center"/>
            <w:hideMark/>
          </w:tcPr>
          <w:p w14:paraId="09D3AB7D" w14:textId="77777777" w:rsidR="00145D81" w:rsidRPr="00950B4F" w:rsidRDefault="002A525E" w:rsidP="00145D81">
            <w:pPr>
              <w:rPr>
                <w:iCs/>
                <w:color w:val="414142"/>
                <w:lang w:eastAsia="lv-LV"/>
              </w:rPr>
            </w:pPr>
            <w:r w:rsidRPr="00950B4F">
              <w:rPr>
                <w:iCs/>
                <w:color w:val="414142"/>
                <w:lang w:eastAsia="lv-LV"/>
              </w:rPr>
              <w:t>5</w:t>
            </w:r>
          </w:p>
        </w:tc>
        <w:tc>
          <w:tcPr>
            <w:tcW w:w="341" w:type="pct"/>
            <w:tcBorders>
              <w:top w:val="outset" w:sz="6" w:space="0" w:color="auto"/>
              <w:left w:val="outset" w:sz="6" w:space="0" w:color="auto"/>
              <w:bottom w:val="outset" w:sz="6" w:space="0" w:color="auto"/>
              <w:right w:val="outset" w:sz="6" w:space="0" w:color="auto"/>
            </w:tcBorders>
            <w:vAlign w:val="center"/>
            <w:hideMark/>
          </w:tcPr>
          <w:p w14:paraId="1866A27E" w14:textId="77777777" w:rsidR="00145D81" w:rsidRPr="00950B4F" w:rsidRDefault="002A525E" w:rsidP="00145D81">
            <w:pPr>
              <w:rPr>
                <w:iCs/>
                <w:color w:val="414142"/>
                <w:lang w:eastAsia="lv-LV"/>
              </w:rPr>
            </w:pPr>
            <w:r w:rsidRPr="00950B4F">
              <w:rPr>
                <w:iCs/>
                <w:color w:val="414142"/>
                <w:lang w:eastAsia="lv-LV"/>
              </w:rPr>
              <w:t>6</w:t>
            </w:r>
          </w:p>
        </w:tc>
        <w:tc>
          <w:tcPr>
            <w:tcW w:w="783" w:type="pct"/>
            <w:tcBorders>
              <w:top w:val="outset" w:sz="6" w:space="0" w:color="auto"/>
              <w:left w:val="outset" w:sz="6" w:space="0" w:color="auto"/>
              <w:bottom w:val="outset" w:sz="6" w:space="0" w:color="auto"/>
              <w:right w:val="outset" w:sz="6" w:space="0" w:color="auto"/>
            </w:tcBorders>
            <w:vAlign w:val="center"/>
            <w:hideMark/>
          </w:tcPr>
          <w:p w14:paraId="34748B93" w14:textId="77777777" w:rsidR="00145D81" w:rsidRPr="00950B4F" w:rsidRDefault="002A525E" w:rsidP="00145D81">
            <w:pPr>
              <w:rPr>
                <w:iCs/>
                <w:color w:val="414142"/>
                <w:lang w:eastAsia="lv-LV"/>
              </w:rPr>
            </w:pPr>
            <w:r w:rsidRPr="00950B4F">
              <w:rPr>
                <w:iCs/>
                <w:color w:val="414142"/>
                <w:lang w:eastAsia="lv-LV"/>
              </w:rPr>
              <w:t>7</w:t>
            </w:r>
          </w:p>
        </w:tc>
        <w:tc>
          <w:tcPr>
            <w:tcW w:w="929" w:type="pct"/>
            <w:tcBorders>
              <w:top w:val="outset" w:sz="6" w:space="0" w:color="auto"/>
              <w:left w:val="outset" w:sz="6" w:space="0" w:color="auto"/>
              <w:bottom w:val="outset" w:sz="6" w:space="0" w:color="auto"/>
              <w:right w:val="outset" w:sz="6" w:space="0" w:color="auto"/>
            </w:tcBorders>
            <w:vAlign w:val="center"/>
            <w:hideMark/>
          </w:tcPr>
          <w:p w14:paraId="761B4B09" w14:textId="77777777" w:rsidR="00145D81" w:rsidRPr="00950B4F" w:rsidRDefault="002A525E" w:rsidP="00145D81">
            <w:pPr>
              <w:rPr>
                <w:iCs/>
                <w:color w:val="414142"/>
                <w:lang w:eastAsia="lv-LV"/>
              </w:rPr>
            </w:pPr>
            <w:r w:rsidRPr="00950B4F">
              <w:rPr>
                <w:iCs/>
                <w:color w:val="414142"/>
                <w:lang w:eastAsia="lv-LV"/>
              </w:rPr>
              <w:t>8</w:t>
            </w:r>
          </w:p>
        </w:tc>
      </w:tr>
      <w:tr w:rsidR="00417018" w:rsidRPr="00A37C87" w14:paraId="06EE6F88"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63CBD492" w14:textId="77777777" w:rsidR="00145D81" w:rsidRPr="00950B4F" w:rsidRDefault="002A525E" w:rsidP="00145D81">
            <w:pPr>
              <w:rPr>
                <w:iCs/>
                <w:color w:val="414142"/>
                <w:lang w:eastAsia="lv-LV"/>
              </w:rPr>
            </w:pPr>
            <w:r w:rsidRPr="00950B4F">
              <w:rPr>
                <w:iCs/>
                <w:color w:val="414142"/>
                <w:lang w:eastAsia="lv-LV"/>
              </w:rPr>
              <w:lastRenderedPageBreak/>
              <w:t>1. Budžeta ieņēmumi</w:t>
            </w:r>
          </w:p>
        </w:tc>
        <w:tc>
          <w:tcPr>
            <w:tcW w:w="367" w:type="pct"/>
            <w:tcBorders>
              <w:top w:val="outset" w:sz="6" w:space="0" w:color="auto"/>
              <w:left w:val="outset" w:sz="6" w:space="0" w:color="auto"/>
              <w:bottom w:val="outset" w:sz="6" w:space="0" w:color="auto"/>
              <w:right w:val="outset" w:sz="6" w:space="0" w:color="auto"/>
            </w:tcBorders>
            <w:vAlign w:val="center"/>
            <w:hideMark/>
          </w:tcPr>
          <w:p w14:paraId="1DA6C34D" w14:textId="77777777" w:rsidR="00145D81" w:rsidRPr="00950B4F" w:rsidRDefault="002A525E" w:rsidP="00145D81">
            <w:pPr>
              <w:rPr>
                <w:iCs/>
                <w:color w:val="414142"/>
                <w:lang w:eastAsia="lv-LV"/>
              </w:rPr>
            </w:pPr>
            <w:r w:rsidRPr="00950B4F">
              <w:rPr>
                <w:iCs/>
                <w:color w:val="414142"/>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219F27C8"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tcPr>
          <w:p w14:paraId="71C5F015"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tcPr>
          <w:p w14:paraId="519839F5" w14:textId="53762B7A" w:rsidR="00145D81" w:rsidRPr="00950B4F" w:rsidRDefault="00C535FC" w:rsidP="00145D81">
            <w:pPr>
              <w:rPr>
                <w:iCs/>
                <w:color w:val="414142"/>
                <w:lang w:eastAsia="lv-LV"/>
              </w:rPr>
            </w:pPr>
            <w:r>
              <w:t>593 17</w:t>
            </w:r>
            <w:r w:rsidR="00796E79">
              <w:t>3</w:t>
            </w:r>
          </w:p>
        </w:tc>
        <w:tc>
          <w:tcPr>
            <w:tcW w:w="341" w:type="pct"/>
            <w:tcBorders>
              <w:top w:val="outset" w:sz="6" w:space="0" w:color="auto"/>
              <w:left w:val="outset" w:sz="6" w:space="0" w:color="auto"/>
              <w:bottom w:val="outset" w:sz="6" w:space="0" w:color="auto"/>
              <w:right w:val="outset" w:sz="6" w:space="0" w:color="auto"/>
            </w:tcBorders>
            <w:vAlign w:val="center"/>
            <w:hideMark/>
          </w:tcPr>
          <w:p w14:paraId="57F44E3C"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526A32A8" w14:textId="60239804" w:rsidR="00145D81" w:rsidRPr="00950B4F" w:rsidRDefault="00B37558" w:rsidP="00145D81">
            <w:pPr>
              <w:rPr>
                <w:iCs/>
                <w:color w:val="414142"/>
                <w:lang w:eastAsia="lv-LV"/>
              </w:rPr>
            </w:pPr>
            <w:r>
              <w:t>2 782 34</w:t>
            </w:r>
            <w:r w:rsidR="005830D0">
              <w:t>7</w:t>
            </w:r>
          </w:p>
        </w:tc>
        <w:tc>
          <w:tcPr>
            <w:tcW w:w="929" w:type="pct"/>
            <w:tcBorders>
              <w:top w:val="outset" w:sz="6" w:space="0" w:color="auto"/>
              <w:left w:val="outset" w:sz="6" w:space="0" w:color="auto"/>
              <w:bottom w:val="outset" w:sz="6" w:space="0" w:color="auto"/>
              <w:right w:val="outset" w:sz="6" w:space="0" w:color="auto"/>
            </w:tcBorders>
            <w:vAlign w:val="center"/>
          </w:tcPr>
          <w:p w14:paraId="4F262F39" w14:textId="347286A4" w:rsidR="00145D81" w:rsidRPr="00950B4F" w:rsidRDefault="00704B91" w:rsidP="00145D81">
            <w:pPr>
              <w:rPr>
                <w:iCs/>
                <w:color w:val="414142"/>
                <w:lang w:eastAsia="lv-LV"/>
              </w:rPr>
            </w:pPr>
            <w:r>
              <w:t>678 980</w:t>
            </w:r>
          </w:p>
        </w:tc>
      </w:tr>
      <w:tr w:rsidR="00417018" w:rsidRPr="00A37C87" w14:paraId="7F3C30F2"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04397560" w14:textId="77777777" w:rsidR="00145D81" w:rsidRPr="00950B4F" w:rsidRDefault="002A525E" w:rsidP="00145D81">
            <w:pPr>
              <w:rPr>
                <w:iCs/>
                <w:color w:val="414142"/>
                <w:lang w:eastAsia="lv-LV"/>
              </w:rPr>
            </w:pPr>
            <w:r w:rsidRPr="00950B4F">
              <w:rPr>
                <w:iCs/>
                <w:color w:val="414142"/>
                <w:lang w:eastAsia="lv-LV"/>
              </w:rPr>
              <w:t>1.1. valsts pamatbudžets, tai skaitā ieņēmumi no maksas pakalpojumiem un citi pašu ieņēmumi</w:t>
            </w:r>
          </w:p>
        </w:tc>
        <w:tc>
          <w:tcPr>
            <w:tcW w:w="367" w:type="pct"/>
            <w:tcBorders>
              <w:top w:val="outset" w:sz="6" w:space="0" w:color="auto"/>
              <w:left w:val="outset" w:sz="6" w:space="0" w:color="auto"/>
              <w:bottom w:val="outset" w:sz="6" w:space="0" w:color="auto"/>
              <w:right w:val="outset" w:sz="6" w:space="0" w:color="auto"/>
            </w:tcBorders>
            <w:vAlign w:val="center"/>
            <w:hideMark/>
          </w:tcPr>
          <w:p w14:paraId="2B58837F" w14:textId="77777777" w:rsidR="00145D81" w:rsidRPr="00950B4F" w:rsidRDefault="002A525E" w:rsidP="00145D81">
            <w:pPr>
              <w:rPr>
                <w:iCs/>
                <w:color w:val="414142"/>
                <w:lang w:eastAsia="lv-LV"/>
              </w:rPr>
            </w:pPr>
            <w:r w:rsidRPr="00950B4F">
              <w:rPr>
                <w:iCs/>
                <w:color w:val="414142"/>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DB96BA3"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4D633783"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tcPr>
          <w:p w14:paraId="72557A9F" w14:textId="72F46586" w:rsidR="00145D81" w:rsidRPr="00950B4F" w:rsidRDefault="00C535FC" w:rsidP="00145D81">
            <w:pPr>
              <w:rPr>
                <w:iCs/>
                <w:color w:val="414142"/>
                <w:lang w:eastAsia="lv-LV"/>
              </w:rPr>
            </w:pPr>
            <w:r>
              <w:t>593 17</w:t>
            </w:r>
            <w:r w:rsidR="00796E79">
              <w:t>3</w:t>
            </w:r>
          </w:p>
        </w:tc>
        <w:tc>
          <w:tcPr>
            <w:tcW w:w="341" w:type="pct"/>
            <w:tcBorders>
              <w:top w:val="outset" w:sz="6" w:space="0" w:color="auto"/>
              <w:left w:val="outset" w:sz="6" w:space="0" w:color="auto"/>
              <w:bottom w:val="outset" w:sz="6" w:space="0" w:color="auto"/>
              <w:right w:val="outset" w:sz="6" w:space="0" w:color="auto"/>
            </w:tcBorders>
            <w:vAlign w:val="center"/>
            <w:hideMark/>
          </w:tcPr>
          <w:p w14:paraId="544E2464"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54D6E944" w14:textId="508BCC1C" w:rsidR="00145D81" w:rsidRPr="00950B4F" w:rsidRDefault="00B37558" w:rsidP="00145D81">
            <w:pPr>
              <w:rPr>
                <w:iCs/>
                <w:color w:val="414142"/>
                <w:lang w:eastAsia="lv-LV"/>
              </w:rPr>
            </w:pPr>
            <w:r>
              <w:t>2 782 34</w:t>
            </w:r>
            <w:r w:rsidR="000F5F69">
              <w:t>7</w:t>
            </w:r>
          </w:p>
        </w:tc>
        <w:tc>
          <w:tcPr>
            <w:tcW w:w="929" w:type="pct"/>
            <w:tcBorders>
              <w:top w:val="outset" w:sz="6" w:space="0" w:color="auto"/>
              <w:left w:val="outset" w:sz="6" w:space="0" w:color="auto"/>
              <w:bottom w:val="outset" w:sz="6" w:space="0" w:color="auto"/>
              <w:right w:val="outset" w:sz="6" w:space="0" w:color="auto"/>
            </w:tcBorders>
            <w:vAlign w:val="center"/>
          </w:tcPr>
          <w:p w14:paraId="53BFC6D8" w14:textId="28A3FF8C" w:rsidR="00145D81" w:rsidRPr="00950B4F" w:rsidRDefault="00704B91" w:rsidP="00145D81">
            <w:pPr>
              <w:rPr>
                <w:iCs/>
                <w:color w:val="414142"/>
                <w:lang w:eastAsia="lv-LV"/>
              </w:rPr>
            </w:pPr>
            <w:r>
              <w:t>678 980</w:t>
            </w:r>
          </w:p>
        </w:tc>
      </w:tr>
      <w:tr w:rsidR="00417018" w:rsidRPr="00A37C87" w14:paraId="783C99CF"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432EA402" w14:textId="77777777" w:rsidR="00145D81" w:rsidRPr="00950B4F" w:rsidRDefault="002A525E" w:rsidP="00145D81">
            <w:pPr>
              <w:rPr>
                <w:iCs/>
                <w:color w:val="414142"/>
                <w:lang w:eastAsia="lv-LV"/>
              </w:rPr>
            </w:pPr>
            <w:r w:rsidRPr="00950B4F">
              <w:rPr>
                <w:iCs/>
                <w:color w:val="414142"/>
                <w:lang w:eastAsia="lv-LV"/>
              </w:rPr>
              <w:t>1.2. valsts speciālais budžets</w:t>
            </w:r>
          </w:p>
        </w:tc>
        <w:tc>
          <w:tcPr>
            <w:tcW w:w="367" w:type="pct"/>
            <w:tcBorders>
              <w:top w:val="outset" w:sz="6" w:space="0" w:color="auto"/>
              <w:left w:val="outset" w:sz="6" w:space="0" w:color="auto"/>
              <w:bottom w:val="outset" w:sz="6" w:space="0" w:color="auto"/>
              <w:right w:val="outset" w:sz="6" w:space="0" w:color="auto"/>
            </w:tcBorders>
            <w:vAlign w:val="center"/>
            <w:hideMark/>
          </w:tcPr>
          <w:p w14:paraId="6F56B05F" w14:textId="77777777" w:rsidR="00145D81" w:rsidRPr="00950B4F" w:rsidRDefault="002A525E" w:rsidP="00145D81">
            <w:pPr>
              <w:rPr>
                <w:iCs/>
                <w:color w:val="414142"/>
                <w:lang w:eastAsia="lv-LV"/>
              </w:rPr>
            </w:pPr>
            <w:r w:rsidRPr="00950B4F">
              <w:rPr>
                <w:iCs/>
                <w:color w:val="414142"/>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BB92FEF"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3A70D4BE"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159E4CAD" w14:textId="77777777" w:rsidR="00145D81" w:rsidRPr="00950B4F" w:rsidRDefault="002A525E" w:rsidP="00145D81">
            <w:pPr>
              <w:rPr>
                <w:iCs/>
                <w:color w:val="414142"/>
                <w:lang w:eastAsia="lv-LV"/>
              </w:rPr>
            </w:pPr>
            <w:r w:rsidRPr="00950B4F">
              <w:rPr>
                <w:iCs/>
                <w:color w:val="414142"/>
                <w:lang w:eastAsia="lv-LV"/>
              </w:rPr>
              <w:t>0</w:t>
            </w:r>
          </w:p>
        </w:tc>
        <w:tc>
          <w:tcPr>
            <w:tcW w:w="341" w:type="pct"/>
            <w:tcBorders>
              <w:top w:val="outset" w:sz="6" w:space="0" w:color="auto"/>
              <w:left w:val="outset" w:sz="6" w:space="0" w:color="auto"/>
              <w:bottom w:val="outset" w:sz="6" w:space="0" w:color="auto"/>
              <w:right w:val="outset" w:sz="6" w:space="0" w:color="auto"/>
            </w:tcBorders>
            <w:vAlign w:val="center"/>
            <w:hideMark/>
          </w:tcPr>
          <w:p w14:paraId="74F03F8B"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hideMark/>
          </w:tcPr>
          <w:p w14:paraId="3FC2A843"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29BDFA6B" w14:textId="77777777" w:rsidR="00145D81" w:rsidRPr="00950B4F" w:rsidRDefault="002A525E" w:rsidP="00145D81">
            <w:pPr>
              <w:rPr>
                <w:iCs/>
                <w:color w:val="414142"/>
                <w:lang w:eastAsia="lv-LV"/>
              </w:rPr>
            </w:pPr>
            <w:r w:rsidRPr="00950B4F">
              <w:rPr>
                <w:iCs/>
                <w:color w:val="414142"/>
                <w:lang w:eastAsia="lv-LV"/>
              </w:rPr>
              <w:t>0</w:t>
            </w:r>
          </w:p>
        </w:tc>
      </w:tr>
      <w:tr w:rsidR="00417018" w:rsidRPr="00A37C87" w14:paraId="49D5672A"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47E58A38" w14:textId="77777777" w:rsidR="00145D81" w:rsidRPr="00950B4F" w:rsidRDefault="002A525E" w:rsidP="00145D81">
            <w:pPr>
              <w:rPr>
                <w:iCs/>
                <w:color w:val="414142"/>
                <w:lang w:eastAsia="lv-LV"/>
              </w:rPr>
            </w:pPr>
            <w:r w:rsidRPr="00950B4F">
              <w:rPr>
                <w:iCs/>
                <w:color w:val="414142"/>
                <w:lang w:eastAsia="lv-LV"/>
              </w:rPr>
              <w:t>1.3. pašvaldību budžets</w:t>
            </w:r>
          </w:p>
        </w:tc>
        <w:tc>
          <w:tcPr>
            <w:tcW w:w="367" w:type="pct"/>
            <w:tcBorders>
              <w:top w:val="outset" w:sz="6" w:space="0" w:color="auto"/>
              <w:left w:val="outset" w:sz="6" w:space="0" w:color="auto"/>
              <w:bottom w:val="outset" w:sz="6" w:space="0" w:color="auto"/>
              <w:right w:val="outset" w:sz="6" w:space="0" w:color="auto"/>
            </w:tcBorders>
            <w:vAlign w:val="center"/>
            <w:hideMark/>
          </w:tcPr>
          <w:p w14:paraId="4BF44F19" w14:textId="77777777" w:rsidR="00145D81" w:rsidRPr="00950B4F" w:rsidRDefault="002A525E" w:rsidP="00145D81">
            <w:pPr>
              <w:rPr>
                <w:iCs/>
                <w:color w:val="414142"/>
                <w:lang w:eastAsia="lv-LV"/>
              </w:rPr>
            </w:pPr>
            <w:r w:rsidRPr="00950B4F">
              <w:rPr>
                <w:iCs/>
                <w:color w:val="414142"/>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68B5A3B"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5B1175B4"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47DD665D" w14:textId="77777777" w:rsidR="00145D81" w:rsidRPr="00950B4F" w:rsidRDefault="002A525E" w:rsidP="00145D81">
            <w:pPr>
              <w:rPr>
                <w:iCs/>
                <w:color w:val="414142"/>
                <w:lang w:eastAsia="lv-LV"/>
              </w:rPr>
            </w:pPr>
            <w:r w:rsidRPr="00950B4F">
              <w:rPr>
                <w:iCs/>
                <w:color w:val="414142"/>
                <w:lang w:eastAsia="lv-LV"/>
              </w:rPr>
              <w:t>0</w:t>
            </w:r>
          </w:p>
        </w:tc>
        <w:tc>
          <w:tcPr>
            <w:tcW w:w="341" w:type="pct"/>
            <w:tcBorders>
              <w:top w:val="outset" w:sz="6" w:space="0" w:color="auto"/>
              <w:left w:val="outset" w:sz="6" w:space="0" w:color="auto"/>
              <w:bottom w:val="outset" w:sz="6" w:space="0" w:color="auto"/>
              <w:right w:val="outset" w:sz="6" w:space="0" w:color="auto"/>
            </w:tcBorders>
            <w:vAlign w:val="center"/>
            <w:hideMark/>
          </w:tcPr>
          <w:p w14:paraId="13ACCDD0"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hideMark/>
          </w:tcPr>
          <w:p w14:paraId="676057BD"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7612C9D2" w14:textId="77777777" w:rsidR="00145D81" w:rsidRPr="00950B4F" w:rsidRDefault="002A525E" w:rsidP="00145D81">
            <w:pPr>
              <w:rPr>
                <w:iCs/>
                <w:color w:val="414142"/>
                <w:lang w:eastAsia="lv-LV"/>
              </w:rPr>
            </w:pPr>
            <w:r w:rsidRPr="00950B4F">
              <w:rPr>
                <w:iCs/>
                <w:color w:val="414142"/>
                <w:lang w:eastAsia="lv-LV"/>
              </w:rPr>
              <w:t>0</w:t>
            </w:r>
          </w:p>
        </w:tc>
      </w:tr>
      <w:tr w:rsidR="00417018" w:rsidRPr="00A37C87" w14:paraId="768ED9EE"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1AE38310" w14:textId="77777777" w:rsidR="00145D81" w:rsidRPr="00950B4F" w:rsidRDefault="002A525E" w:rsidP="00145D81">
            <w:pPr>
              <w:rPr>
                <w:iCs/>
                <w:color w:val="414142"/>
                <w:lang w:eastAsia="lv-LV"/>
              </w:rPr>
            </w:pPr>
            <w:r w:rsidRPr="00950B4F">
              <w:rPr>
                <w:iCs/>
                <w:color w:val="414142"/>
                <w:lang w:eastAsia="lv-LV"/>
              </w:rPr>
              <w:t>2. Budžeta izdevumi</w:t>
            </w:r>
          </w:p>
        </w:tc>
        <w:tc>
          <w:tcPr>
            <w:tcW w:w="367" w:type="pct"/>
            <w:tcBorders>
              <w:top w:val="outset" w:sz="6" w:space="0" w:color="auto"/>
              <w:left w:val="outset" w:sz="6" w:space="0" w:color="auto"/>
              <w:bottom w:val="outset" w:sz="6" w:space="0" w:color="auto"/>
              <w:right w:val="outset" w:sz="6" w:space="0" w:color="auto"/>
            </w:tcBorders>
            <w:vAlign w:val="center"/>
            <w:hideMark/>
          </w:tcPr>
          <w:p w14:paraId="2527B742" w14:textId="77777777" w:rsidR="00145D81" w:rsidRPr="00950B4F" w:rsidRDefault="002A525E" w:rsidP="00145D81">
            <w:pPr>
              <w:rPr>
                <w:iCs/>
                <w:color w:val="414142"/>
                <w:lang w:eastAsia="lv-LV"/>
              </w:rPr>
            </w:pPr>
            <w:r w:rsidRPr="00950B4F">
              <w:rPr>
                <w:iCs/>
                <w:color w:val="414142"/>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FAE2C86"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57EF10CE" w14:textId="77777777" w:rsidR="00145D81" w:rsidRPr="00950B4F" w:rsidRDefault="002A525E" w:rsidP="00145D81">
            <w:pPr>
              <w:rPr>
                <w:iCs/>
                <w:color w:val="414142"/>
                <w:lang w:eastAsia="lv-LV"/>
              </w:rPr>
            </w:pPr>
            <w:r w:rsidRPr="00950B4F">
              <w:rPr>
                <w:iCs/>
                <w:color w:val="414142"/>
                <w:lang w:eastAsia="lv-LV"/>
              </w:rPr>
              <w:t> 0</w:t>
            </w:r>
          </w:p>
        </w:tc>
        <w:tc>
          <w:tcPr>
            <w:tcW w:w="709" w:type="pct"/>
            <w:tcBorders>
              <w:top w:val="outset" w:sz="6" w:space="0" w:color="auto"/>
              <w:left w:val="outset" w:sz="6" w:space="0" w:color="auto"/>
              <w:bottom w:val="outset" w:sz="6" w:space="0" w:color="auto"/>
              <w:right w:val="outset" w:sz="6" w:space="0" w:color="auto"/>
            </w:tcBorders>
            <w:vAlign w:val="center"/>
          </w:tcPr>
          <w:p w14:paraId="0964A00E" w14:textId="08EE156B" w:rsidR="00145D81" w:rsidRPr="00950B4F" w:rsidRDefault="00B552B7" w:rsidP="00145D81">
            <w:pPr>
              <w:rPr>
                <w:iCs/>
                <w:color w:val="414142"/>
                <w:lang w:eastAsia="lv-LV"/>
              </w:rPr>
            </w:pPr>
            <w:r w:rsidRPr="000F2552">
              <w:t>697</w:t>
            </w:r>
            <w:r>
              <w:t xml:space="preserve"> </w:t>
            </w:r>
            <w:r w:rsidRPr="000F2552">
              <w:t>850</w:t>
            </w:r>
          </w:p>
        </w:tc>
        <w:tc>
          <w:tcPr>
            <w:tcW w:w="341" w:type="pct"/>
            <w:tcBorders>
              <w:top w:val="outset" w:sz="6" w:space="0" w:color="auto"/>
              <w:left w:val="outset" w:sz="6" w:space="0" w:color="auto"/>
              <w:bottom w:val="outset" w:sz="6" w:space="0" w:color="auto"/>
              <w:right w:val="outset" w:sz="6" w:space="0" w:color="auto"/>
            </w:tcBorders>
            <w:vAlign w:val="center"/>
            <w:hideMark/>
          </w:tcPr>
          <w:p w14:paraId="745CFE2B"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tcPr>
          <w:p w14:paraId="2E8FA398" w14:textId="62FEC898" w:rsidR="00145D81" w:rsidRPr="00950B4F" w:rsidRDefault="00A958DB" w:rsidP="00145D81">
            <w:pPr>
              <w:rPr>
                <w:iCs/>
                <w:color w:val="414142"/>
                <w:lang w:eastAsia="lv-LV"/>
              </w:rPr>
            </w:pPr>
            <w:r w:rsidRPr="000F2552">
              <w:t>3</w:t>
            </w:r>
            <w:r>
              <w:t xml:space="preserve"> </w:t>
            </w:r>
            <w:r w:rsidRPr="000F2552">
              <w:t>273</w:t>
            </w:r>
            <w:r>
              <w:t xml:space="preserve"> </w:t>
            </w:r>
            <w:r w:rsidRPr="000F2552">
              <w:t>350</w:t>
            </w:r>
          </w:p>
        </w:tc>
        <w:tc>
          <w:tcPr>
            <w:tcW w:w="929" w:type="pct"/>
            <w:tcBorders>
              <w:top w:val="outset" w:sz="6" w:space="0" w:color="auto"/>
              <w:left w:val="outset" w:sz="6" w:space="0" w:color="auto"/>
              <w:bottom w:val="outset" w:sz="6" w:space="0" w:color="auto"/>
              <w:right w:val="outset" w:sz="6" w:space="0" w:color="auto"/>
            </w:tcBorders>
            <w:vAlign w:val="center"/>
            <w:hideMark/>
          </w:tcPr>
          <w:p w14:paraId="5783CE51" w14:textId="7B67450C" w:rsidR="00145D81" w:rsidRPr="00950B4F" w:rsidRDefault="00195810" w:rsidP="00145D81">
            <w:pPr>
              <w:rPr>
                <w:iCs/>
                <w:color w:val="414142"/>
                <w:lang w:eastAsia="lv-LV"/>
              </w:rPr>
            </w:pPr>
            <w:r w:rsidRPr="000F2552">
              <w:t>798</w:t>
            </w:r>
            <w:r>
              <w:t xml:space="preserve"> </w:t>
            </w:r>
            <w:r w:rsidRPr="000F2552">
              <w:t>800</w:t>
            </w:r>
          </w:p>
        </w:tc>
      </w:tr>
      <w:tr w:rsidR="00417018" w:rsidRPr="00A37C87" w14:paraId="4CB1A01D"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614B7DDD" w14:textId="77777777" w:rsidR="00145D81" w:rsidRPr="00950B4F" w:rsidRDefault="002A525E" w:rsidP="00145D81">
            <w:pPr>
              <w:rPr>
                <w:iCs/>
                <w:color w:val="414142"/>
                <w:lang w:eastAsia="lv-LV"/>
              </w:rPr>
            </w:pPr>
            <w:r w:rsidRPr="00950B4F">
              <w:rPr>
                <w:iCs/>
                <w:color w:val="414142"/>
                <w:lang w:eastAsia="lv-LV"/>
              </w:rPr>
              <w:t>2.1. valsts pamatbudžets</w:t>
            </w:r>
          </w:p>
        </w:tc>
        <w:tc>
          <w:tcPr>
            <w:tcW w:w="367" w:type="pct"/>
            <w:tcBorders>
              <w:top w:val="outset" w:sz="6" w:space="0" w:color="auto"/>
              <w:left w:val="outset" w:sz="6" w:space="0" w:color="auto"/>
              <w:bottom w:val="outset" w:sz="6" w:space="0" w:color="auto"/>
              <w:right w:val="outset" w:sz="6" w:space="0" w:color="auto"/>
            </w:tcBorders>
            <w:vAlign w:val="center"/>
            <w:hideMark/>
          </w:tcPr>
          <w:p w14:paraId="2828719C" w14:textId="77777777" w:rsidR="00145D81" w:rsidRPr="00950B4F" w:rsidRDefault="002A525E" w:rsidP="00145D81">
            <w:pPr>
              <w:rPr>
                <w:iCs/>
                <w:color w:val="414142"/>
                <w:lang w:eastAsia="lv-LV"/>
              </w:rPr>
            </w:pPr>
            <w:r w:rsidRPr="00950B4F">
              <w:rPr>
                <w:iCs/>
                <w:color w:val="414142"/>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329B3DD9"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08A06EF3"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tcPr>
          <w:p w14:paraId="0DCD0DD6" w14:textId="2B24398A" w:rsidR="00145D81" w:rsidRPr="00950B4F" w:rsidRDefault="00B552B7" w:rsidP="00145D81">
            <w:pPr>
              <w:rPr>
                <w:iCs/>
                <w:color w:val="414142"/>
                <w:lang w:eastAsia="lv-LV"/>
              </w:rPr>
            </w:pPr>
            <w:r w:rsidRPr="000F2552">
              <w:t>697</w:t>
            </w:r>
            <w:r>
              <w:t xml:space="preserve"> </w:t>
            </w:r>
            <w:r w:rsidRPr="000F2552">
              <w:t>850</w:t>
            </w:r>
          </w:p>
        </w:tc>
        <w:tc>
          <w:tcPr>
            <w:tcW w:w="341" w:type="pct"/>
            <w:tcBorders>
              <w:top w:val="outset" w:sz="6" w:space="0" w:color="auto"/>
              <w:left w:val="outset" w:sz="6" w:space="0" w:color="auto"/>
              <w:bottom w:val="outset" w:sz="6" w:space="0" w:color="auto"/>
              <w:right w:val="outset" w:sz="6" w:space="0" w:color="auto"/>
            </w:tcBorders>
            <w:vAlign w:val="center"/>
            <w:hideMark/>
          </w:tcPr>
          <w:p w14:paraId="0E988F01"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hideMark/>
          </w:tcPr>
          <w:p w14:paraId="0DB2DF0D" w14:textId="532A2DE3" w:rsidR="00145D81" w:rsidRPr="00950B4F" w:rsidRDefault="00A958DB" w:rsidP="00145D81">
            <w:pPr>
              <w:rPr>
                <w:iCs/>
                <w:color w:val="414142"/>
                <w:lang w:eastAsia="lv-LV"/>
              </w:rPr>
            </w:pPr>
            <w:r w:rsidRPr="000F2552">
              <w:t>3</w:t>
            </w:r>
            <w:r>
              <w:t xml:space="preserve"> </w:t>
            </w:r>
            <w:r w:rsidRPr="000F2552">
              <w:t>273</w:t>
            </w:r>
            <w:r>
              <w:t xml:space="preserve"> </w:t>
            </w:r>
            <w:r w:rsidRPr="000F2552">
              <w:t>350</w:t>
            </w:r>
          </w:p>
        </w:tc>
        <w:tc>
          <w:tcPr>
            <w:tcW w:w="929" w:type="pct"/>
            <w:tcBorders>
              <w:top w:val="outset" w:sz="6" w:space="0" w:color="auto"/>
              <w:left w:val="outset" w:sz="6" w:space="0" w:color="auto"/>
              <w:bottom w:val="outset" w:sz="6" w:space="0" w:color="auto"/>
              <w:right w:val="outset" w:sz="6" w:space="0" w:color="auto"/>
            </w:tcBorders>
            <w:vAlign w:val="center"/>
            <w:hideMark/>
          </w:tcPr>
          <w:p w14:paraId="2223A65A" w14:textId="3D07A38C" w:rsidR="00145D81" w:rsidRPr="00950B4F" w:rsidRDefault="00195810" w:rsidP="00145D81">
            <w:pPr>
              <w:rPr>
                <w:iCs/>
                <w:color w:val="414142"/>
                <w:lang w:eastAsia="lv-LV"/>
              </w:rPr>
            </w:pPr>
            <w:r w:rsidRPr="000F2552">
              <w:t>798</w:t>
            </w:r>
            <w:r>
              <w:t xml:space="preserve"> </w:t>
            </w:r>
            <w:r w:rsidRPr="000F2552">
              <w:t>800</w:t>
            </w:r>
          </w:p>
        </w:tc>
      </w:tr>
      <w:tr w:rsidR="00417018" w:rsidRPr="00A37C87" w14:paraId="5087E385"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55585512" w14:textId="77777777" w:rsidR="00145D81" w:rsidRPr="00950B4F" w:rsidRDefault="002A525E" w:rsidP="00145D81">
            <w:pPr>
              <w:rPr>
                <w:iCs/>
                <w:color w:val="414142"/>
                <w:lang w:eastAsia="lv-LV"/>
              </w:rPr>
            </w:pPr>
            <w:r w:rsidRPr="00950B4F">
              <w:rPr>
                <w:iCs/>
                <w:color w:val="414142"/>
                <w:lang w:eastAsia="lv-LV"/>
              </w:rPr>
              <w:t>2.2. valsts speciālais budžets</w:t>
            </w:r>
          </w:p>
        </w:tc>
        <w:tc>
          <w:tcPr>
            <w:tcW w:w="367" w:type="pct"/>
            <w:tcBorders>
              <w:top w:val="outset" w:sz="6" w:space="0" w:color="auto"/>
              <w:left w:val="outset" w:sz="6" w:space="0" w:color="auto"/>
              <w:bottom w:val="outset" w:sz="6" w:space="0" w:color="auto"/>
              <w:right w:val="outset" w:sz="6" w:space="0" w:color="auto"/>
            </w:tcBorders>
            <w:vAlign w:val="center"/>
            <w:hideMark/>
          </w:tcPr>
          <w:p w14:paraId="38C479E4" w14:textId="77777777" w:rsidR="00145D81" w:rsidRPr="00950B4F" w:rsidRDefault="002A525E" w:rsidP="00145D81">
            <w:pPr>
              <w:rPr>
                <w:iCs/>
                <w:color w:val="414142"/>
                <w:lang w:eastAsia="lv-LV"/>
              </w:rPr>
            </w:pPr>
            <w:r w:rsidRPr="00950B4F">
              <w:rPr>
                <w:iCs/>
                <w:color w:val="414142"/>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6484FE50"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5D1D1EC6"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4132785B" w14:textId="77777777" w:rsidR="00145D81" w:rsidRPr="00950B4F" w:rsidRDefault="002A525E" w:rsidP="00145D81">
            <w:pPr>
              <w:rPr>
                <w:iCs/>
                <w:color w:val="414142"/>
                <w:lang w:eastAsia="lv-LV"/>
              </w:rPr>
            </w:pPr>
            <w:r w:rsidRPr="00950B4F">
              <w:rPr>
                <w:iCs/>
                <w:color w:val="414142"/>
                <w:lang w:eastAsia="lv-LV"/>
              </w:rPr>
              <w:t>0</w:t>
            </w:r>
          </w:p>
        </w:tc>
        <w:tc>
          <w:tcPr>
            <w:tcW w:w="341" w:type="pct"/>
            <w:tcBorders>
              <w:top w:val="outset" w:sz="6" w:space="0" w:color="auto"/>
              <w:left w:val="outset" w:sz="6" w:space="0" w:color="auto"/>
              <w:bottom w:val="outset" w:sz="6" w:space="0" w:color="auto"/>
              <w:right w:val="outset" w:sz="6" w:space="0" w:color="auto"/>
            </w:tcBorders>
            <w:vAlign w:val="center"/>
            <w:hideMark/>
          </w:tcPr>
          <w:p w14:paraId="48402083"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hideMark/>
          </w:tcPr>
          <w:p w14:paraId="5F2C192E"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39CEE083" w14:textId="77777777" w:rsidR="00145D81" w:rsidRPr="00950B4F" w:rsidRDefault="002A525E" w:rsidP="00145D81">
            <w:pPr>
              <w:rPr>
                <w:iCs/>
                <w:color w:val="414142"/>
                <w:lang w:eastAsia="lv-LV"/>
              </w:rPr>
            </w:pPr>
            <w:r w:rsidRPr="00950B4F">
              <w:rPr>
                <w:iCs/>
                <w:color w:val="414142"/>
                <w:lang w:eastAsia="lv-LV"/>
              </w:rPr>
              <w:t>0</w:t>
            </w:r>
          </w:p>
        </w:tc>
      </w:tr>
      <w:tr w:rsidR="00417018" w:rsidRPr="00A37C87" w14:paraId="5052F27C"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08304EAB" w14:textId="77777777" w:rsidR="00145D81" w:rsidRPr="00950B4F" w:rsidRDefault="002A525E" w:rsidP="00145D81">
            <w:pPr>
              <w:rPr>
                <w:iCs/>
                <w:color w:val="414142"/>
                <w:lang w:eastAsia="lv-LV"/>
              </w:rPr>
            </w:pPr>
            <w:r w:rsidRPr="00950B4F">
              <w:rPr>
                <w:iCs/>
                <w:color w:val="414142"/>
                <w:lang w:eastAsia="lv-LV"/>
              </w:rPr>
              <w:t>2.3. pašvaldību budžets</w:t>
            </w:r>
          </w:p>
        </w:tc>
        <w:tc>
          <w:tcPr>
            <w:tcW w:w="367" w:type="pct"/>
            <w:tcBorders>
              <w:top w:val="outset" w:sz="6" w:space="0" w:color="auto"/>
              <w:left w:val="outset" w:sz="6" w:space="0" w:color="auto"/>
              <w:bottom w:val="outset" w:sz="6" w:space="0" w:color="auto"/>
              <w:right w:val="outset" w:sz="6" w:space="0" w:color="auto"/>
            </w:tcBorders>
            <w:vAlign w:val="center"/>
            <w:hideMark/>
          </w:tcPr>
          <w:p w14:paraId="4046B86F" w14:textId="77777777" w:rsidR="00145D81" w:rsidRPr="00950B4F" w:rsidRDefault="002A525E" w:rsidP="00145D81">
            <w:pPr>
              <w:rPr>
                <w:iCs/>
                <w:color w:val="414142"/>
                <w:lang w:eastAsia="lv-LV"/>
              </w:rPr>
            </w:pPr>
            <w:r w:rsidRPr="00950B4F">
              <w:rPr>
                <w:iCs/>
                <w:color w:val="414142"/>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41E4AA5"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4922915B"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4E2F1BD0" w14:textId="77777777" w:rsidR="00145D81" w:rsidRPr="00950B4F" w:rsidRDefault="002A525E" w:rsidP="00145D81">
            <w:pPr>
              <w:rPr>
                <w:iCs/>
                <w:color w:val="414142"/>
                <w:lang w:eastAsia="lv-LV"/>
              </w:rPr>
            </w:pPr>
            <w:r w:rsidRPr="00950B4F">
              <w:rPr>
                <w:iCs/>
                <w:color w:val="414142"/>
                <w:lang w:eastAsia="lv-LV"/>
              </w:rPr>
              <w:t>0</w:t>
            </w:r>
          </w:p>
        </w:tc>
        <w:tc>
          <w:tcPr>
            <w:tcW w:w="341" w:type="pct"/>
            <w:tcBorders>
              <w:top w:val="outset" w:sz="6" w:space="0" w:color="auto"/>
              <w:left w:val="outset" w:sz="6" w:space="0" w:color="auto"/>
              <w:bottom w:val="outset" w:sz="6" w:space="0" w:color="auto"/>
              <w:right w:val="outset" w:sz="6" w:space="0" w:color="auto"/>
            </w:tcBorders>
            <w:vAlign w:val="center"/>
            <w:hideMark/>
          </w:tcPr>
          <w:p w14:paraId="004AC68B"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hideMark/>
          </w:tcPr>
          <w:p w14:paraId="4FAF7D04"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1A5BD6FA" w14:textId="77777777" w:rsidR="00145D81" w:rsidRPr="00950B4F" w:rsidRDefault="002A525E" w:rsidP="00145D81">
            <w:pPr>
              <w:rPr>
                <w:iCs/>
                <w:color w:val="414142"/>
                <w:lang w:eastAsia="lv-LV"/>
              </w:rPr>
            </w:pPr>
            <w:r w:rsidRPr="00950B4F">
              <w:rPr>
                <w:iCs/>
                <w:color w:val="414142"/>
                <w:lang w:eastAsia="lv-LV"/>
              </w:rPr>
              <w:t>0</w:t>
            </w:r>
          </w:p>
        </w:tc>
      </w:tr>
      <w:tr w:rsidR="00417018" w:rsidRPr="00A37C87" w14:paraId="543070D0"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192D6BB2" w14:textId="77777777" w:rsidR="00A434F4" w:rsidRPr="00950B4F" w:rsidRDefault="00A434F4" w:rsidP="00A434F4">
            <w:pPr>
              <w:rPr>
                <w:iCs/>
                <w:color w:val="414142"/>
                <w:lang w:eastAsia="lv-LV"/>
              </w:rPr>
            </w:pPr>
            <w:r w:rsidRPr="00950B4F">
              <w:rPr>
                <w:iCs/>
                <w:color w:val="414142"/>
                <w:lang w:eastAsia="lv-LV"/>
              </w:rPr>
              <w:t>3. Finansiālā ietekme</w:t>
            </w:r>
          </w:p>
        </w:tc>
        <w:tc>
          <w:tcPr>
            <w:tcW w:w="367" w:type="pct"/>
            <w:tcBorders>
              <w:top w:val="outset" w:sz="6" w:space="0" w:color="auto"/>
              <w:left w:val="outset" w:sz="6" w:space="0" w:color="auto"/>
              <w:bottom w:val="outset" w:sz="6" w:space="0" w:color="auto"/>
              <w:right w:val="outset" w:sz="6" w:space="0" w:color="auto"/>
            </w:tcBorders>
            <w:vAlign w:val="center"/>
            <w:hideMark/>
          </w:tcPr>
          <w:p w14:paraId="7E894DAC" w14:textId="77777777" w:rsidR="00A434F4" w:rsidRPr="00950B4F" w:rsidRDefault="00A434F4" w:rsidP="00A434F4">
            <w:pPr>
              <w:rPr>
                <w:iCs/>
                <w:color w:val="414142"/>
                <w:lang w:eastAsia="lv-LV"/>
              </w:rPr>
            </w:pPr>
            <w:r w:rsidRPr="00950B4F">
              <w:rPr>
                <w:iCs/>
                <w:color w:val="414142"/>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7475C0A8" w14:textId="77777777" w:rsidR="00A434F4" w:rsidRPr="00950B4F" w:rsidRDefault="00A434F4" w:rsidP="00A434F4">
            <w:pPr>
              <w:rPr>
                <w:iCs/>
                <w:color w:val="414142"/>
                <w:lang w:eastAsia="lv-LV"/>
              </w:rPr>
            </w:pPr>
            <w:r w:rsidRPr="00950B4F">
              <w:rPr>
                <w:iCs/>
                <w:color w:val="414142"/>
                <w:lang w:eastAsia="lv-LV"/>
              </w:rPr>
              <w:t>0 </w:t>
            </w:r>
          </w:p>
        </w:tc>
        <w:tc>
          <w:tcPr>
            <w:tcW w:w="413" w:type="pct"/>
            <w:tcBorders>
              <w:top w:val="outset" w:sz="6" w:space="0" w:color="auto"/>
              <w:left w:val="outset" w:sz="6" w:space="0" w:color="auto"/>
              <w:bottom w:val="outset" w:sz="6" w:space="0" w:color="auto"/>
              <w:right w:val="outset" w:sz="6" w:space="0" w:color="auto"/>
            </w:tcBorders>
            <w:vAlign w:val="center"/>
            <w:hideMark/>
          </w:tcPr>
          <w:p w14:paraId="646CF2ED" w14:textId="77777777" w:rsidR="00A434F4" w:rsidRPr="00950B4F" w:rsidRDefault="00A434F4" w:rsidP="00A434F4">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42B05EB7" w14:textId="692F5166" w:rsidR="00A434F4" w:rsidRPr="00950B4F" w:rsidRDefault="00507EE3" w:rsidP="00A434F4">
            <w:pPr>
              <w:rPr>
                <w:iCs/>
                <w:color w:val="414142"/>
                <w:lang w:eastAsia="lv-LV"/>
              </w:rPr>
            </w:pPr>
            <w:r>
              <w:rPr>
                <w:iCs/>
                <w:color w:val="414142"/>
                <w:lang w:eastAsia="lv-LV"/>
              </w:rPr>
              <w:t>-</w:t>
            </w:r>
            <w:r>
              <w:t>104 677</w:t>
            </w:r>
          </w:p>
        </w:tc>
        <w:tc>
          <w:tcPr>
            <w:tcW w:w="341" w:type="pct"/>
            <w:tcBorders>
              <w:top w:val="outset" w:sz="6" w:space="0" w:color="auto"/>
              <w:left w:val="outset" w:sz="6" w:space="0" w:color="auto"/>
              <w:bottom w:val="outset" w:sz="6" w:space="0" w:color="auto"/>
              <w:right w:val="outset" w:sz="6" w:space="0" w:color="auto"/>
            </w:tcBorders>
            <w:vAlign w:val="center"/>
            <w:hideMark/>
          </w:tcPr>
          <w:p w14:paraId="032E6C8C" w14:textId="77777777" w:rsidR="00A434F4" w:rsidRPr="00950B4F" w:rsidRDefault="00A434F4" w:rsidP="00A434F4">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hideMark/>
          </w:tcPr>
          <w:p w14:paraId="2706F713" w14:textId="1E223547" w:rsidR="00A434F4" w:rsidRPr="00950B4F" w:rsidRDefault="00A434F4" w:rsidP="00A434F4">
            <w:pPr>
              <w:rPr>
                <w:iCs/>
                <w:color w:val="414142"/>
                <w:lang w:eastAsia="lv-LV"/>
              </w:rPr>
            </w:pPr>
            <w:r>
              <w:rPr>
                <w:iCs/>
                <w:color w:val="414142"/>
                <w:lang w:eastAsia="lv-LV"/>
              </w:rPr>
              <w:t>-</w:t>
            </w:r>
            <w:r>
              <w:t>491 00</w:t>
            </w:r>
            <w:r w:rsidR="00DC360A">
              <w:t>3</w:t>
            </w:r>
          </w:p>
        </w:tc>
        <w:tc>
          <w:tcPr>
            <w:tcW w:w="929" w:type="pct"/>
            <w:tcBorders>
              <w:top w:val="outset" w:sz="6" w:space="0" w:color="auto"/>
              <w:left w:val="outset" w:sz="6" w:space="0" w:color="auto"/>
              <w:bottom w:val="outset" w:sz="6" w:space="0" w:color="auto"/>
              <w:right w:val="outset" w:sz="6" w:space="0" w:color="auto"/>
            </w:tcBorders>
            <w:vAlign w:val="center"/>
            <w:hideMark/>
          </w:tcPr>
          <w:p w14:paraId="514160EE" w14:textId="5051CDE4" w:rsidR="00A434F4" w:rsidRPr="00950B4F" w:rsidRDefault="00A434F4" w:rsidP="00A434F4">
            <w:pPr>
              <w:rPr>
                <w:iCs/>
                <w:color w:val="414142"/>
                <w:lang w:eastAsia="lv-LV"/>
              </w:rPr>
            </w:pPr>
            <w:r>
              <w:rPr>
                <w:iCs/>
                <w:color w:val="414142"/>
                <w:lang w:eastAsia="lv-LV"/>
              </w:rPr>
              <w:t>-</w:t>
            </w:r>
            <w:r>
              <w:t>119 820</w:t>
            </w:r>
          </w:p>
        </w:tc>
      </w:tr>
      <w:tr w:rsidR="00417018" w:rsidRPr="00A37C87" w14:paraId="6024AC92"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6164BA0C" w14:textId="77777777" w:rsidR="00145D81" w:rsidRPr="00950B4F" w:rsidRDefault="002A525E" w:rsidP="00145D81">
            <w:pPr>
              <w:rPr>
                <w:iCs/>
                <w:color w:val="414142"/>
                <w:lang w:eastAsia="lv-LV"/>
              </w:rPr>
            </w:pPr>
            <w:r w:rsidRPr="00950B4F">
              <w:rPr>
                <w:iCs/>
                <w:color w:val="414142"/>
                <w:lang w:eastAsia="lv-LV"/>
              </w:rPr>
              <w:t>3.1. valsts pamatbudžets</w:t>
            </w:r>
          </w:p>
        </w:tc>
        <w:tc>
          <w:tcPr>
            <w:tcW w:w="367" w:type="pct"/>
            <w:tcBorders>
              <w:top w:val="outset" w:sz="6" w:space="0" w:color="auto"/>
              <w:left w:val="outset" w:sz="6" w:space="0" w:color="auto"/>
              <w:bottom w:val="outset" w:sz="6" w:space="0" w:color="auto"/>
              <w:right w:val="outset" w:sz="6" w:space="0" w:color="auto"/>
            </w:tcBorders>
            <w:vAlign w:val="center"/>
            <w:hideMark/>
          </w:tcPr>
          <w:p w14:paraId="70423A12" w14:textId="77777777" w:rsidR="00145D81" w:rsidRPr="00950B4F" w:rsidRDefault="002A525E" w:rsidP="00145D81">
            <w:pPr>
              <w:rPr>
                <w:iCs/>
                <w:color w:val="414142"/>
                <w:lang w:eastAsia="lv-LV"/>
              </w:rPr>
            </w:pPr>
            <w:r w:rsidRPr="00950B4F">
              <w:rPr>
                <w:iCs/>
                <w:color w:val="414142"/>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37BAAAF8"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0F3DAB43"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4BDFE189" w14:textId="1AB0F8F4" w:rsidR="00145D81" w:rsidRPr="00950B4F" w:rsidRDefault="00507EE3" w:rsidP="00145D81">
            <w:pPr>
              <w:rPr>
                <w:iCs/>
                <w:color w:val="414142"/>
                <w:lang w:eastAsia="lv-LV"/>
              </w:rPr>
            </w:pPr>
            <w:r>
              <w:rPr>
                <w:iCs/>
                <w:color w:val="414142"/>
                <w:lang w:eastAsia="lv-LV"/>
              </w:rPr>
              <w:t>-</w:t>
            </w:r>
            <w:r>
              <w:t>104 677</w:t>
            </w:r>
          </w:p>
        </w:tc>
        <w:tc>
          <w:tcPr>
            <w:tcW w:w="341" w:type="pct"/>
            <w:tcBorders>
              <w:top w:val="outset" w:sz="6" w:space="0" w:color="auto"/>
              <w:left w:val="outset" w:sz="6" w:space="0" w:color="auto"/>
              <w:bottom w:val="outset" w:sz="6" w:space="0" w:color="auto"/>
              <w:right w:val="outset" w:sz="6" w:space="0" w:color="auto"/>
            </w:tcBorders>
            <w:vAlign w:val="center"/>
            <w:hideMark/>
          </w:tcPr>
          <w:p w14:paraId="66DC2773"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hideMark/>
          </w:tcPr>
          <w:p w14:paraId="26E24916" w14:textId="216295E0" w:rsidR="00145D81" w:rsidRPr="00950B4F" w:rsidRDefault="00A434F4" w:rsidP="00145D81">
            <w:pPr>
              <w:rPr>
                <w:iCs/>
                <w:color w:val="414142"/>
                <w:lang w:eastAsia="lv-LV"/>
              </w:rPr>
            </w:pPr>
            <w:r>
              <w:rPr>
                <w:iCs/>
                <w:color w:val="414142"/>
                <w:lang w:eastAsia="lv-LV"/>
              </w:rPr>
              <w:t>-</w:t>
            </w:r>
            <w:r>
              <w:t>491 00</w:t>
            </w:r>
            <w:r w:rsidR="00DC360A">
              <w:t>3</w:t>
            </w:r>
          </w:p>
        </w:tc>
        <w:tc>
          <w:tcPr>
            <w:tcW w:w="929" w:type="pct"/>
            <w:tcBorders>
              <w:top w:val="outset" w:sz="6" w:space="0" w:color="auto"/>
              <w:left w:val="outset" w:sz="6" w:space="0" w:color="auto"/>
              <w:bottom w:val="outset" w:sz="6" w:space="0" w:color="auto"/>
              <w:right w:val="outset" w:sz="6" w:space="0" w:color="auto"/>
            </w:tcBorders>
            <w:vAlign w:val="center"/>
            <w:hideMark/>
          </w:tcPr>
          <w:p w14:paraId="521A9075" w14:textId="7F2B42D4" w:rsidR="00145D81" w:rsidRPr="00950B4F" w:rsidRDefault="00FF60C6" w:rsidP="00145D81">
            <w:pPr>
              <w:rPr>
                <w:iCs/>
                <w:color w:val="414142"/>
                <w:lang w:eastAsia="lv-LV"/>
              </w:rPr>
            </w:pPr>
            <w:r>
              <w:rPr>
                <w:iCs/>
                <w:color w:val="414142"/>
                <w:lang w:eastAsia="lv-LV"/>
              </w:rPr>
              <w:t>-</w:t>
            </w:r>
            <w:r>
              <w:t>119 820</w:t>
            </w:r>
          </w:p>
        </w:tc>
      </w:tr>
      <w:tr w:rsidR="00417018" w:rsidRPr="00A37C87" w14:paraId="191D574A"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79FD5598" w14:textId="77777777" w:rsidR="00145D81" w:rsidRPr="00950B4F" w:rsidRDefault="002A525E" w:rsidP="00145D81">
            <w:pPr>
              <w:rPr>
                <w:iCs/>
                <w:color w:val="414142"/>
                <w:lang w:eastAsia="lv-LV"/>
              </w:rPr>
            </w:pPr>
            <w:r w:rsidRPr="00950B4F">
              <w:rPr>
                <w:iCs/>
                <w:color w:val="414142"/>
                <w:lang w:eastAsia="lv-LV"/>
              </w:rPr>
              <w:t>3.2. speciālais budžets</w:t>
            </w:r>
          </w:p>
        </w:tc>
        <w:tc>
          <w:tcPr>
            <w:tcW w:w="367" w:type="pct"/>
            <w:tcBorders>
              <w:top w:val="outset" w:sz="6" w:space="0" w:color="auto"/>
              <w:left w:val="outset" w:sz="6" w:space="0" w:color="auto"/>
              <w:bottom w:val="outset" w:sz="6" w:space="0" w:color="auto"/>
              <w:right w:val="outset" w:sz="6" w:space="0" w:color="auto"/>
            </w:tcBorders>
            <w:vAlign w:val="center"/>
            <w:hideMark/>
          </w:tcPr>
          <w:p w14:paraId="06C9B264" w14:textId="77777777" w:rsidR="00145D81" w:rsidRPr="00950B4F" w:rsidRDefault="002A525E" w:rsidP="00145D81">
            <w:pPr>
              <w:rPr>
                <w:iCs/>
                <w:color w:val="414142"/>
                <w:lang w:eastAsia="lv-LV"/>
              </w:rPr>
            </w:pPr>
            <w:r w:rsidRPr="00950B4F">
              <w:rPr>
                <w:iCs/>
                <w:color w:val="414142"/>
                <w:lang w:eastAsia="lv-LV"/>
              </w:rPr>
              <w:t> 0</w:t>
            </w:r>
          </w:p>
        </w:tc>
        <w:tc>
          <w:tcPr>
            <w:tcW w:w="576" w:type="pct"/>
            <w:tcBorders>
              <w:top w:val="outset" w:sz="6" w:space="0" w:color="auto"/>
              <w:left w:val="outset" w:sz="6" w:space="0" w:color="auto"/>
              <w:bottom w:val="outset" w:sz="6" w:space="0" w:color="auto"/>
              <w:right w:val="outset" w:sz="6" w:space="0" w:color="auto"/>
            </w:tcBorders>
            <w:vAlign w:val="center"/>
            <w:hideMark/>
          </w:tcPr>
          <w:p w14:paraId="02CD57B6"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1AAA8922"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1B5B90AF" w14:textId="77777777" w:rsidR="00145D81" w:rsidRPr="00950B4F" w:rsidRDefault="002A525E" w:rsidP="00145D81">
            <w:pPr>
              <w:rPr>
                <w:iCs/>
                <w:color w:val="414142"/>
                <w:lang w:eastAsia="lv-LV"/>
              </w:rPr>
            </w:pPr>
            <w:r w:rsidRPr="00950B4F">
              <w:rPr>
                <w:iCs/>
                <w:color w:val="414142"/>
                <w:lang w:eastAsia="lv-LV"/>
              </w:rPr>
              <w:t>0</w:t>
            </w:r>
          </w:p>
        </w:tc>
        <w:tc>
          <w:tcPr>
            <w:tcW w:w="341" w:type="pct"/>
            <w:tcBorders>
              <w:top w:val="outset" w:sz="6" w:space="0" w:color="auto"/>
              <w:left w:val="outset" w:sz="6" w:space="0" w:color="auto"/>
              <w:bottom w:val="outset" w:sz="6" w:space="0" w:color="auto"/>
              <w:right w:val="outset" w:sz="6" w:space="0" w:color="auto"/>
            </w:tcBorders>
            <w:vAlign w:val="center"/>
            <w:hideMark/>
          </w:tcPr>
          <w:p w14:paraId="22CA3DF4"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hideMark/>
          </w:tcPr>
          <w:p w14:paraId="43B76BD8"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6EB10BC4" w14:textId="77777777" w:rsidR="00145D81" w:rsidRPr="00950B4F" w:rsidRDefault="002A525E" w:rsidP="00145D81">
            <w:pPr>
              <w:rPr>
                <w:iCs/>
                <w:color w:val="414142"/>
                <w:lang w:eastAsia="lv-LV"/>
              </w:rPr>
            </w:pPr>
            <w:r w:rsidRPr="00950B4F">
              <w:rPr>
                <w:iCs/>
                <w:color w:val="414142"/>
                <w:lang w:eastAsia="lv-LV"/>
              </w:rPr>
              <w:t>0</w:t>
            </w:r>
          </w:p>
        </w:tc>
      </w:tr>
      <w:tr w:rsidR="00417018" w:rsidRPr="00A37C87" w14:paraId="176A4C4C"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15AA79BE" w14:textId="77777777" w:rsidR="00145D81" w:rsidRPr="00950B4F" w:rsidRDefault="002A525E" w:rsidP="00145D81">
            <w:pPr>
              <w:rPr>
                <w:iCs/>
                <w:color w:val="414142"/>
                <w:lang w:eastAsia="lv-LV"/>
              </w:rPr>
            </w:pPr>
            <w:r w:rsidRPr="00950B4F">
              <w:rPr>
                <w:iCs/>
                <w:color w:val="414142"/>
                <w:lang w:eastAsia="lv-LV"/>
              </w:rPr>
              <w:t>3.3. pašvaldību budžets</w:t>
            </w:r>
          </w:p>
        </w:tc>
        <w:tc>
          <w:tcPr>
            <w:tcW w:w="367" w:type="pct"/>
            <w:tcBorders>
              <w:top w:val="outset" w:sz="6" w:space="0" w:color="auto"/>
              <w:left w:val="outset" w:sz="6" w:space="0" w:color="auto"/>
              <w:bottom w:val="outset" w:sz="6" w:space="0" w:color="auto"/>
              <w:right w:val="outset" w:sz="6" w:space="0" w:color="auto"/>
            </w:tcBorders>
            <w:vAlign w:val="center"/>
            <w:hideMark/>
          </w:tcPr>
          <w:p w14:paraId="480D28EB" w14:textId="77777777" w:rsidR="00145D81" w:rsidRPr="00950B4F" w:rsidRDefault="002A525E" w:rsidP="00145D81">
            <w:pPr>
              <w:rPr>
                <w:iCs/>
                <w:color w:val="414142"/>
                <w:lang w:eastAsia="lv-LV"/>
              </w:rPr>
            </w:pPr>
            <w:r w:rsidRPr="00950B4F">
              <w:rPr>
                <w:iCs/>
                <w:color w:val="414142"/>
                <w:lang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14:paraId="3BE7905F" w14:textId="77777777" w:rsidR="00145D81" w:rsidRPr="00950B4F" w:rsidRDefault="002A525E" w:rsidP="00145D81">
            <w:pP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3D9A4D8D" w14:textId="77777777" w:rsidR="00145D81" w:rsidRPr="00950B4F" w:rsidRDefault="002A525E" w:rsidP="00145D81">
            <w:pPr>
              <w:rPr>
                <w:iCs/>
                <w:color w:val="414142"/>
                <w:lang w:eastAsia="lv-LV"/>
              </w:rPr>
            </w:pPr>
            <w:r w:rsidRPr="00950B4F">
              <w:rPr>
                <w:iCs/>
                <w:color w:val="414142"/>
                <w:lang w:eastAsia="lv-LV"/>
              </w:rPr>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639DE72C" w14:textId="77777777" w:rsidR="00145D81" w:rsidRPr="00950B4F" w:rsidRDefault="002A525E" w:rsidP="00145D81">
            <w:pPr>
              <w:rPr>
                <w:iCs/>
                <w:color w:val="414142"/>
                <w:lang w:eastAsia="lv-LV"/>
              </w:rPr>
            </w:pPr>
            <w:r w:rsidRPr="00950B4F">
              <w:rPr>
                <w:iCs/>
                <w:color w:val="414142"/>
                <w:lang w:eastAsia="lv-LV"/>
              </w:rPr>
              <w:t>0</w:t>
            </w:r>
          </w:p>
        </w:tc>
        <w:tc>
          <w:tcPr>
            <w:tcW w:w="341" w:type="pct"/>
            <w:tcBorders>
              <w:top w:val="outset" w:sz="6" w:space="0" w:color="auto"/>
              <w:left w:val="outset" w:sz="6" w:space="0" w:color="auto"/>
              <w:bottom w:val="outset" w:sz="6" w:space="0" w:color="auto"/>
              <w:right w:val="outset" w:sz="6" w:space="0" w:color="auto"/>
            </w:tcBorders>
            <w:vAlign w:val="center"/>
            <w:hideMark/>
          </w:tcPr>
          <w:p w14:paraId="3BBA71BB" w14:textId="77777777" w:rsidR="00145D81" w:rsidRPr="00950B4F" w:rsidRDefault="002A525E" w:rsidP="00145D81">
            <w:pPr>
              <w:rPr>
                <w:iCs/>
                <w:color w:val="414142"/>
                <w:lang w:eastAsia="lv-LV"/>
              </w:rPr>
            </w:pPr>
            <w:r w:rsidRPr="00950B4F">
              <w:rPr>
                <w:iCs/>
                <w:color w:val="414142"/>
                <w:lang w:eastAsia="lv-LV"/>
              </w:rPr>
              <w:t>0</w:t>
            </w:r>
          </w:p>
        </w:tc>
        <w:tc>
          <w:tcPr>
            <w:tcW w:w="783" w:type="pct"/>
            <w:tcBorders>
              <w:top w:val="outset" w:sz="6" w:space="0" w:color="auto"/>
              <w:left w:val="outset" w:sz="6" w:space="0" w:color="auto"/>
              <w:bottom w:val="outset" w:sz="6" w:space="0" w:color="auto"/>
              <w:right w:val="outset" w:sz="6" w:space="0" w:color="auto"/>
            </w:tcBorders>
            <w:vAlign w:val="center"/>
            <w:hideMark/>
          </w:tcPr>
          <w:p w14:paraId="7AA9D83D"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60D99D09" w14:textId="77777777" w:rsidR="00145D81" w:rsidRPr="00950B4F" w:rsidRDefault="002A525E" w:rsidP="00145D81">
            <w:pPr>
              <w:rPr>
                <w:iCs/>
                <w:color w:val="414142"/>
                <w:lang w:eastAsia="lv-LV"/>
              </w:rPr>
            </w:pPr>
            <w:r w:rsidRPr="00950B4F">
              <w:rPr>
                <w:iCs/>
                <w:color w:val="414142"/>
                <w:lang w:eastAsia="lv-LV"/>
              </w:rPr>
              <w:t>0</w:t>
            </w:r>
          </w:p>
        </w:tc>
      </w:tr>
      <w:tr w:rsidR="00417018" w:rsidRPr="00A37C87" w14:paraId="5EF7AC67"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63FDB3E8" w14:textId="77777777" w:rsidR="00145D81" w:rsidRPr="00950B4F" w:rsidRDefault="002A525E" w:rsidP="00145D81">
            <w:pPr>
              <w:rPr>
                <w:iCs/>
                <w:color w:val="414142"/>
                <w:lang w:eastAsia="lv-LV"/>
              </w:rPr>
            </w:pPr>
            <w:r w:rsidRPr="00950B4F">
              <w:rPr>
                <w:iCs/>
                <w:color w:val="414142"/>
                <w:lang w:eastAsia="lv-LV"/>
              </w:rPr>
              <w:t>4. Finanšu līdzekļi papildu izdevumu finansēšanai (kompensējo</w:t>
            </w:r>
            <w:r w:rsidRPr="00950B4F">
              <w:rPr>
                <w:iCs/>
                <w:color w:val="414142"/>
                <w:lang w:eastAsia="lv-LV"/>
              </w:rPr>
              <w:lastRenderedPageBreak/>
              <w:t>šu izdevumu samazinājumu norāda ar "+" zīmi)</w:t>
            </w:r>
          </w:p>
        </w:tc>
        <w:tc>
          <w:tcPr>
            <w:tcW w:w="367" w:type="pct"/>
            <w:tcBorders>
              <w:top w:val="outset" w:sz="6" w:space="0" w:color="auto"/>
              <w:left w:val="outset" w:sz="6" w:space="0" w:color="auto"/>
              <w:bottom w:val="outset" w:sz="6" w:space="0" w:color="auto"/>
              <w:right w:val="outset" w:sz="6" w:space="0" w:color="auto"/>
            </w:tcBorders>
            <w:vAlign w:val="center"/>
            <w:hideMark/>
          </w:tcPr>
          <w:p w14:paraId="16EBC33F" w14:textId="77777777" w:rsidR="00145D81" w:rsidRPr="00950B4F" w:rsidRDefault="002A525E" w:rsidP="00145D81">
            <w:pPr>
              <w:jc w:val="center"/>
              <w:rPr>
                <w:iCs/>
                <w:color w:val="414142"/>
                <w:lang w:eastAsia="lv-LV"/>
              </w:rPr>
            </w:pPr>
            <w:r w:rsidRPr="00950B4F">
              <w:rPr>
                <w:iCs/>
                <w:color w:val="414142"/>
                <w:lang w:eastAsia="lv-LV"/>
              </w:rPr>
              <w:lastRenderedPageBreak/>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6DADF3F1" w14:textId="77777777" w:rsidR="00145D81" w:rsidRPr="00950B4F" w:rsidRDefault="002A525E" w:rsidP="00145D81">
            <w:pPr>
              <w:jc w:val="center"/>
              <w:rPr>
                <w:iCs/>
                <w:color w:val="414142"/>
                <w:lang w:eastAsia="lv-LV"/>
              </w:rPr>
            </w:pPr>
            <w:r w:rsidRPr="00950B4F">
              <w:rPr>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45745D43" w14:textId="77777777" w:rsidR="00145D81" w:rsidRPr="00950B4F" w:rsidRDefault="002A525E" w:rsidP="00145D81">
            <w:pPr>
              <w:jc w:val="center"/>
              <w:rPr>
                <w:iCs/>
                <w:color w:val="414142"/>
                <w:lang w:eastAsia="lv-LV"/>
              </w:rPr>
            </w:pPr>
            <w:r w:rsidRPr="00950B4F">
              <w:rPr>
                <w:iCs/>
                <w:color w:val="414142"/>
                <w:lang w:eastAsia="lv-LV"/>
              </w:rPr>
              <w:t>X</w:t>
            </w:r>
          </w:p>
        </w:tc>
        <w:tc>
          <w:tcPr>
            <w:tcW w:w="709" w:type="pct"/>
            <w:tcBorders>
              <w:top w:val="outset" w:sz="6" w:space="0" w:color="auto"/>
              <w:left w:val="outset" w:sz="6" w:space="0" w:color="auto"/>
              <w:bottom w:val="outset" w:sz="6" w:space="0" w:color="auto"/>
              <w:right w:val="outset" w:sz="6" w:space="0" w:color="auto"/>
            </w:tcBorders>
            <w:vAlign w:val="center"/>
            <w:hideMark/>
          </w:tcPr>
          <w:p w14:paraId="1C2A9ECC" w14:textId="77777777" w:rsidR="00145D81" w:rsidRPr="00950B4F" w:rsidRDefault="002A525E" w:rsidP="00145D81">
            <w:pPr>
              <w:jc w:val="center"/>
              <w:rPr>
                <w:iCs/>
                <w:color w:val="414142"/>
                <w:lang w:eastAsia="lv-LV"/>
              </w:rPr>
            </w:pPr>
            <w:r w:rsidRPr="00950B4F">
              <w:rPr>
                <w:iCs/>
                <w:color w:val="414142"/>
                <w:lang w:eastAsia="lv-LV"/>
              </w:rPr>
              <w:t>0</w:t>
            </w:r>
          </w:p>
        </w:tc>
        <w:tc>
          <w:tcPr>
            <w:tcW w:w="341" w:type="pct"/>
            <w:tcBorders>
              <w:top w:val="outset" w:sz="6" w:space="0" w:color="auto"/>
              <w:left w:val="outset" w:sz="6" w:space="0" w:color="auto"/>
              <w:bottom w:val="outset" w:sz="6" w:space="0" w:color="auto"/>
              <w:right w:val="outset" w:sz="6" w:space="0" w:color="auto"/>
            </w:tcBorders>
            <w:vAlign w:val="center"/>
            <w:hideMark/>
          </w:tcPr>
          <w:p w14:paraId="2A1AA837" w14:textId="77777777" w:rsidR="00145D81" w:rsidRPr="00950B4F" w:rsidRDefault="002A525E" w:rsidP="00145D81">
            <w:pPr>
              <w:jc w:val="center"/>
              <w:rPr>
                <w:iCs/>
                <w:color w:val="414142"/>
                <w:lang w:eastAsia="lv-LV"/>
              </w:rPr>
            </w:pPr>
            <w:r w:rsidRPr="00950B4F">
              <w:rPr>
                <w:iCs/>
                <w:color w:val="414142"/>
                <w:lang w:eastAsia="lv-LV"/>
              </w:rPr>
              <w:t>X</w:t>
            </w:r>
          </w:p>
        </w:tc>
        <w:tc>
          <w:tcPr>
            <w:tcW w:w="783" w:type="pct"/>
            <w:tcBorders>
              <w:top w:val="outset" w:sz="6" w:space="0" w:color="auto"/>
              <w:left w:val="outset" w:sz="6" w:space="0" w:color="auto"/>
              <w:bottom w:val="outset" w:sz="6" w:space="0" w:color="auto"/>
              <w:right w:val="outset" w:sz="6" w:space="0" w:color="auto"/>
            </w:tcBorders>
            <w:vAlign w:val="center"/>
            <w:hideMark/>
          </w:tcPr>
          <w:p w14:paraId="5BB410FB"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25FC6692" w14:textId="77777777" w:rsidR="00145D81" w:rsidRPr="00950B4F" w:rsidRDefault="002A525E" w:rsidP="00145D81">
            <w:pPr>
              <w:rPr>
                <w:iCs/>
                <w:color w:val="414142"/>
                <w:lang w:eastAsia="lv-LV"/>
              </w:rPr>
            </w:pPr>
            <w:r w:rsidRPr="00950B4F">
              <w:rPr>
                <w:iCs/>
                <w:color w:val="414142"/>
                <w:lang w:eastAsia="lv-LV"/>
              </w:rPr>
              <w:t>0</w:t>
            </w:r>
          </w:p>
        </w:tc>
      </w:tr>
      <w:tr w:rsidR="00417018" w:rsidRPr="00A37C87" w14:paraId="1C37AFFE"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5E9DE28D" w14:textId="77777777" w:rsidR="00145D81" w:rsidRPr="00950B4F" w:rsidRDefault="002A525E" w:rsidP="00145D81">
            <w:pPr>
              <w:rPr>
                <w:iCs/>
                <w:color w:val="414142"/>
                <w:lang w:eastAsia="lv-LV"/>
              </w:rPr>
            </w:pPr>
            <w:r w:rsidRPr="00950B4F">
              <w:rPr>
                <w:iCs/>
                <w:color w:val="414142"/>
                <w:lang w:eastAsia="lv-LV"/>
              </w:rPr>
              <w:t>5. Precizēta finansiālā ietekme</w:t>
            </w:r>
          </w:p>
        </w:tc>
        <w:tc>
          <w:tcPr>
            <w:tcW w:w="367" w:type="pct"/>
            <w:vMerge w:val="restart"/>
            <w:tcBorders>
              <w:top w:val="outset" w:sz="6" w:space="0" w:color="auto"/>
              <w:left w:val="outset" w:sz="6" w:space="0" w:color="auto"/>
              <w:bottom w:val="outset" w:sz="6" w:space="0" w:color="auto"/>
              <w:right w:val="outset" w:sz="6" w:space="0" w:color="auto"/>
            </w:tcBorders>
            <w:vAlign w:val="center"/>
            <w:hideMark/>
          </w:tcPr>
          <w:p w14:paraId="6A093414" w14:textId="77777777" w:rsidR="00145D81" w:rsidRPr="00950B4F" w:rsidRDefault="00145D81" w:rsidP="00145D81">
            <w:pPr>
              <w:jc w:val="center"/>
              <w:rPr>
                <w:iCs/>
                <w:color w:val="414142"/>
                <w:lang w:eastAsia="lv-LV"/>
              </w:rPr>
            </w:pPr>
          </w:p>
          <w:p w14:paraId="7E1FE2F1" w14:textId="77777777" w:rsidR="00145D81" w:rsidRPr="00950B4F" w:rsidRDefault="00145D81" w:rsidP="00145D81">
            <w:pPr>
              <w:jc w:val="center"/>
              <w:rPr>
                <w:iCs/>
                <w:color w:val="414142"/>
                <w:lang w:eastAsia="lv-LV"/>
              </w:rPr>
            </w:pPr>
          </w:p>
          <w:p w14:paraId="2852252C" w14:textId="77777777" w:rsidR="00145D81" w:rsidRPr="00950B4F" w:rsidRDefault="00145D81" w:rsidP="00145D81">
            <w:pPr>
              <w:jc w:val="center"/>
              <w:rPr>
                <w:iCs/>
                <w:color w:val="414142"/>
                <w:lang w:eastAsia="lv-LV"/>
              </w:rPr>
            </w:pPr>
          </w:p>
          <w:p w14:paraId="7268D8EE" w14:textId="77777777" w:rsidR="00145D81" w:rsidRPr="00950B4F" w:rsidRDefault="00145D81" w:rsidP="00145D81">
            <w:pPr>
              <w:jc w:val="center"/>
              <w:rPr>
                <w:iCs/>
                <w:color w:val="414142"/>
                <w:lang w:eastAsia="lv-LV"/>
              </w:rPr>
            </w:pPr>
          </w:p>
          <w:p w14:paraId="3B571B65" w14:textId="77777777" w:rsidR="00145D81" w:rsidRPr="00950B4F" w:rsidRDefault="00145D81" w:rsidP="00145D81">
            <w:pPr>
              <w:jc w:val="center"/>
              <w:rPr>
                <w:iCs/>
                <w:color w:val="414142"/>
                <w:lang w:eastAsia="lv-LV"/>
              </w:rPr>
            </w:pPr>
          </w:p>
          <w:p w14:paraId="17C2D220" w14:textId="77777777" w:rsidR="00145D81" w:rsidRPr="00950B4F" w:rsidRDefault="002A525E" w:rsidP="00145D81">
            <w:pPr>
              <w:jc w:val="center"/>
              <w:rPr>
                <w:iCs/>
                <w:color w:val="414142"/>
                <w:lang w:eastAsia="lv-LV"/>
              </w:rPr>
            </w:pPr>
            <w:r w:rsidRPr="00950B4F">
              <w:rPr>
                <w:iCs/>
                <w:color w:val="414142"/>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2803E6B3" w14:textId="77777777" w:rsidR="00145D81" w:rsidRPr="00950B4F" w:rsidRDefault="002A525E" w:rsidP="00145D81">
            <w:pPr>
              <w:jc w:val="center"/>
              <w:rPr>
                <w:iCs/>
                <w:color w:val="414142"/>
                <w:lang w:eastAsia="lv-LV"/>
              </w:rPr>
            </w:pPr>
            <w:r w:rsidRPr="00950B4F">
              <w:rPr>
                <w:iCs/>
                <w:color w:val="414142"/>
                <w:lang w:eastAsia="lv-LV"/>
              </w:rPr>
              <w:t>0</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14:paraId="38B62909" w14:textId="77777777" w:rsidR="00145D81" w:rsidRPr="00950B4F" w:rsidRDefault="00145D81" w:rsidP="00145D81">
            <w:pPr>
              <w:jc w:val="center"/>
              <w:rPr>
                <w:iCs/>
                <w:color w:val="414142"/>
                <w:lang w:eastAsia="lv-LV"/>
              </w:rPr>
            </w:pPr>
          </w:p>
          <w:p w14:paraId="3F51071A" w14:textId="77777777" w:rsidR="00145D81" w:rsidRPr="00950B4F" w:rsidRDefault="00145D81" w:rsidP="00145D81">
            <w:pPr>
              <w:jc w:val="center"/>
              <w:rPr>
                <w:iCs/>
                <w:color w:val="414142"/>
                <w:lang w:eastAsia="lv-LV"/>
              </w:rPr>
            </w:pPr>
          </w:p>
          <w:p w14:paraId="228A3934" w14:textId="77777777" w:rsidR="00145D81" w:rsidRPr="00950B4F" w:rsidRDefault="00145D81" w:rsidP="00145D81">
            <w:pPr>
              <w:jc w:val="center"/>
              <w:rPr>
                <w:iCs/>
                <w:color w:val="414142"/>
                <w:lang w:eastAsia="lv-LV"/>
              </w:rPr>
            </w:pPr>
          </w:p>
          <w:p w14:paraId="2BC141AE" w14:textId="77777777" w:rsidR="00145D81" w:rsidRPr="00950B4F" w:rsidRDefault="00145D81" w:rsidP="00145D81">
            <w:pPr>
              <w:jc w:val="center"/>
              <w:rPr>
                <w:iCs/>
                <w:color w:val="414142"/>
                <w:lang w:eastAsia="lv-LV"/>
              </w:rPr>
            </w:pPr>
          </w:p>
          <w:p w14:paraId="3001761F" w14:textId="77777777" w:rsidR="00145D81" w:rsidRPr="00950B4F" w:rsidRDefault="00145D81" w:rsidP="00145D81">
            <w:pPr>
              <w:jc w:val="center"/>
              <w:rPr>
                <w:iCs/>
                <w:color w:val="414142"/>
                <w:lang w:eastAsia="lv-LV"/>
              </w:rPr>
            </w:pPr>
          </w:p>
          <w:p w14:paraId="431D48CC" w14:textId="77777777" w:rsidR="00145D81" w:rsidRPr="00950B4F" w:rsidRDefault="002A525E" w:rsidP="00145D81">
            <w:pPr>
              <w:jc w:val="center"/>
              <w:rPr>
                <w:iCs/>
                <w:color w:val="414142"/>
                <w:lang w:eastAsia="lv-LV"/>
              </w:rPr>
            </w:pPr>
            <w:r w:rsidRPr="00950B4F">
              <w:rPr>
                <w:iCs/>
                <w:color w:val="414142"/>
                <w:lang w:eastAsia="lv-LV"/>
              </w:rPr>
              <w:t>X</w:t>
            </w:r>
          </w:p>
        </w:tc>
        <w:tc>
          <w:tcPr>
            <w:tcW w:w="709" w:type="pct"/>
            <w:tcBorders>
              <w:top w:val="outset" w:sz="6" w:space="0" w:color="auto"/>
              <w:left w:val="outset" w:sz="6" w:space="0" w:color="auto"/>
              <w:bottom w:val="outset" w:sz="6" w:space="0" w:color="auto"/>
              <w:right w:val="outset" w:sz="6" w:space="0" w:color="auto"/>
            </w:tcBorders>
            <w:vAlign w:val="center"/>
            <w:hideMark/>
          </w:tcPr>
          <w:p w14:paraId="557E832A" w14:textId="77777777" w:rsidR="00145D81" w:rsidRPr="00950B4F" w:rsidRDefault="002A525E" w:rsidP="00145D81">
            <w:pPr>
              <w:jc w:val="center"/>
              <w:rPr>
                <w:iCs/>
                <w:color w:val="414142"/>
                <w:lang w:eastAsia="lv-LV"/>
              </w:rPr>
            </w:pPr>
            <w:r w:rsidRPr="00950B4F">
              <w:rPr>
                <w:iCs/>
                <w:color w:val="414142"/>
                <w:lang w:eastAsia="lv-LV"/>
              </w:rPr>
              <w:t>0</w:t>
            </w:r>
          </w:p>
        </w:tc>
        <w:tc>
          <w:tcPr>
            <w:tcW w:w="341" w:type="pct"/>
            <w:vMerge w:val="restart"/>
            <w:tcBorders>
              <w:top w:val="outset" w:sz="6" w:space="0" w:color="auto"/>
              <w:left w:val="outset" w:sz="6" w:space="0" w:color="auto"/>
              <w:bottom w:val="outset" w:sz="6" w:space="0" w:color="auto"/>
              <w:right w:val="outset" w:sz="6" w:space="0" w:color="auto"/>
            </w:tcBorders>
            <w:vAlign w:val="center"/>
            <w:hideMark/>
          </w:tcPr>
          <w:p w14:paraId="717ABFEA" w14:textId="77777777" w:rsidR="00145D81" w:rsidRPr="00950B4F" w:rsidRDefault="00145D81" w:rsidP="00145D81">
            <w:pPr>
              <w:jc w:val="center"/>
              <w:rPr>
                <w:iCs/>
                <w:color w:val="414142"/>
                <w:lang w:eastAsia="lv-LV"/>
              </w:rPr>
            </w:pPr>
          </w:p>
          <w:p w14:paraId="0D217629" w14:textId="77777777" w:rsidR="00145D81" w:rsidRPr="00950B4F" w:rsidRDefault="00145D81" w:rsidP="00145D81">
            <w:pPr>
              <w:jc w:val="center"/>
              <w:rPr>
                <w:iCs/>
                <w:color w:val="414142"/>
                <w:lang w:eastAsia="lv-LV"/>
              </w:rPr>
            </w:pPr>
          </w:p>
          <w:p w14:paraId="57BECA00" w14:textId="77777777" w:rsidR="00145D81" w:rsidRPr="00950B4F" w:rsidRDefault="00145D81" w:rsidP="00145D81">
            <w:pPr>
              <w:jc w:val="center"/>
              <w:rPr>
                <w:iCs/>
                <w:color w:val="414142"/>
                <w:lang w:eastAsia="lv-LV"/>
              </w:rPr>
            </w:pPr>
          </w:p>
          <w:p w14:paraId="4D584A4D" w14:textId="77777777" w:rsidR="00145D81" w:rsidRPr="00950B4F" w:rsidRDefault="00145D81" w:rsidP="00145D81">
            <w:pPr>
              <w:jc w:val="center"/>
              <w:rPr>
                <w:iCs/>
                <w:color w:val="414142"/>
                <w:lang w:eastAsia="lv-LV"/>
              </w:rPr>
            </w:pPr>
          </w:p>
          <w:p w14:paraId="4F273FD1" w14:textId="77777777" w:rsidR="00145D81" w:rsidRPr="00950B4F" w:rsidRDefault="00145D81" w:rsidP="00145D81">
            <w:pPr>
              <w:jc w:val="center"/>
              <w:rPr>
                <w:iCs/>
                <w:color w:val="414142"/>
                <w:lang w:eastAsia="lv-LV"/>
              </w:rPr>
            </w:pPr>
          </w:p>
          <w:p w14:paraId="2FC81895" w14:textId="77777777" w:rsidR="00145D81" w:rsidRPr="00950B4F" w:rsidRDefault="002A525E" w:rsidP="00145D81">
            <w:pPr>
              <w:jc w:val="center"/>
              <w:rPr>
                <w:iCs/>
                <w:color w:val="414142"/>
                <w:lang w:eastAsia="lv-LV"/>
              </w:rPr>
            </w:pPr>
            <w:r w:rsidRPr="00950B4F">
              <w:rPr>
                <w:iCs/>
                <w:color w:val="414142"/>
                <w:lang w:eastAsia="lv-LV"/>
              </w:rPr>
              <w:t>X</w:t>
            </w:r>
          </w:p>
        </w:tc>
        <w:tc>
          <w:tcPr>
            <w:tcW w:w="783" w:type="pct"/>
            <w:tcBorders>
              <w:top w:val="outset" w:sz="6" w:space="0" w:color="auto"/>
              <w:left w:val="outset" w:sz="6" w:space="0" w:color="auto"/>
              <w:bottom w:val="outset" w:sz="6" w:space="0" w:color="auto"/>
              <w:right w:val="outset" w:sz="6" w:space="0" w:color="auto"/>
            </w:tcBorders>
            <w:vAlign w:val="center"/>
            <w:hideMark/>
          </w:tcPr>
          <w:p w14:paraId="2A63D5EF"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53130871" w14:textId="77777777" w:rsidR="00145D81" w:rsidRPr="00950B4F" w:rsidRDefault="002A525E" w:rsidP="00145D81">
            <w:pPr>
              <w:rPr>
                <w:iCs/>
                <w:color w:val="414142"/>
                <w:lang w:eastAsia="lv-LV"/>
              </w:rPr>
            </w:pPr>
            <w:r w:rsidRPr="00950B4F">
              <w:rPr>
                <w:iCs/>
                <w:color w:val="414142"/>
                <w:lang w:eastAsia="lv-LV"/>
              </w:rPr>
              <w:t>0</w:t>
            </w:r>
          </w:p>
        </w:tc>
      </w:tr>
      <w:tr w:rsidR="00417018" w:rsidRPr="00A37C87" w14:paraId="60D57E4C"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1F676E0E" w14:textId="77777777" w:rsidR="00145D81" w:rsidRPr="00950B4F" w:rsidRDefault="002A525E" w:rsidP="00145D81">
            <w:pPr>
              <w:rPr>
                <w:iCs/>
                <w:color w:val="414142"/>
                <w:lang w:eastAsia="lv-LV"/>
              </w:rPr>
            </w:pPr>
            <w:r w:rsidRPr="00950B4F">
              <w:rPr>
                <w:iCs/>
                <w:color w:val="414142"/>
                <w:lang w:eastAsia="lv-LV"/>
              </w:rPr>
              <w:t>5.1. valsts pamatbudžets</w:t>
            </w:r>
          </w:p>
        </w:tc>
        <w:tc>
          <w:tcPr>
            <w:tcW w:w="367" w:type="pct"/>
            <w:vMerge/>
            <w:tcBorders>
              <w:top w:val="outset" w:sz="6" w:space="0" w:color="auto"/>
              <w:left w:val="outset" w:sz="6" w:space="0" w:color="auto"/>
              <w:bottom w:val="outset" w:sz="6" w:space="0" w:color="auto"/>
              <w:right w:val="outset" w:sz="6" w:space="0" w:color="auto"/>
            </w:tcBorders>
            <w:vAlign w:val="center"/>
            <w:hideMark/>
          </w:tcPr>
          <w:p w14:paraId="5DF5CD33" w14:textId="77777777" w:rsidR="00145D81" w:rsidRPr="00950B4F" w:rsidRDefault="00145D81" w:rsidP="00145D81">
            <w:pPr>
              <w:rPr>
                <w:iCs/>
                <w:color w:val="414142"/>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39CE0D9F" w14:textId="77777777" w:rsidR="00145D81" w:rsidRPr="00950B4F" w:rsidRDefault="002A525E" w:rsidP="00145D81">
            <w:pPr>
              <w:rPr>
                <w:iCs/>
                <w:color w:val="414142"/>
                <w:lang w:eastAsia="lv-LV"/>
              </w:rPr>
            </w:pPr>
            <w:r w:rsidRPr="00950B4F">
              <w:rPr>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30ED5C69" w14:textId="77777777" w:rsidR="00145D81" w:rsidRPr="00950B4F" w:rsidRDefault="00145D81" w:rsidP="00145D81">
            <w:pPr>
              <w:rPr>
                <w:iCs/>
                <w:color w:val="414142"/>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1CFF0535" w14:textId="77777777" w:rsidR="00145D81" w:rsidRPr="00950B4F" w:rsidRDefault="002A525E" w:rsidP="00145D81">
            <w:pPr>
              <w:rPr>
                <w:iCs/>
                <w:color w:val="414142"/>
                <w:lang w:eastAsia="lv-LV"/>
              </w:rPr>
            </w:pPr>
            <w:r w:rsidRPr="00950B4F">
              <w:rPr>
                <w:iCs/>
                <w:color w:val="414142"/>
                <w:lang w:eastAsia="lv-LV"/>
              </w:rPr>
              <w:t>0</w:t>
            </w:r>
          </w:p>
        </w:tc>
        <w:tc>
          <w:tcPr>
            <w:tcW w:w="341" w:type="pct"/>
            <w:vMerge/>
            <w:tcBorders>
              <w:top w:val="outset" w:sz="6" w:space="0" w:color="auto"/>
              <w:left w:val="outset" w:sz="6" w:space="0" w:color="auto"/>
              <w:bottom w:val="outset" w:sz="6" w:space="0" w:color="auto"/>
              <w:right w:val="outset" w:sz="6" w:space="0" w:color="auto"/>
            </w:tcBorders>
            <w:vAlign w:val="center"/>
            <w:hideMark/>
          </w:tcPr>
          <w:p w14:paraId="7E778CA7" w14:textId="77777777" w:rsidR="00145D81" w:rsidRPr="00950B4F" w:rsidRDefault="00145D81" w:rsidP="00145D81">
            <w:pPr>
              <w:rPr>
                <w:iCs/>
                <w:color w:val="414142"/>
                <w:lang w:eastAsia="lv-LV"/>
              </w:rPr>
            </w:pPr>
          </w:p>
        </w:tc>
        <w:tc>
          <w:tcPr>
            <w:tcW w:w="783" w:type="pct"/>
            <w:tcBorders>
              <w:top w:val="outset" w:sz="6" w:space="0" w:color="auto"/>
              <w:left w:val="outset" w:sz="6" w:space="0" w:color="auto"/>
              <w:bottom w:val="outset" w:sz="6" w:space="0" w:color="auto"/>
              <w:right w:val="outset" w:sz="6" w:space="0" w:color="auto"/>
            </w:tcBorders>
            <w:vAlign w:val="center"/>
            <w:hideMark/>
          </w:tcPr>
          <w:p w14:paraId="4B5BF108"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213A9E3E" w14:textId="77777777" w:rsidR="00145D81" w:rsidRPr="00950B4F" w:rsidRDefault="002A525E" w:rsidP="00145D81">
            <w:pPr>
              <w:rPr>
                <w:iCs/>
                <w:color w:val="414142"/>
                <w:lang w:eastAsia="lv-LV"/>
              </w:rPr>
            </w:pPr>
            <w:r w:rsidRPr="00950B4F">
              <w:rPr>
                <w:iCs/>
                <w:color w:val="414142"/>
                <w:lang w:eastAsia="lv-LV"/>
              </w:rPr>
              <w:t>0</w:t>
            </w:r>
          </w:p>
        </w:tc>
      </w:tr>
      <w:tr w:rsidR="00417018" w:rsidRPr="00A37C87" w14:paraId="200D838C"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795B1846" w14:textId="77777777" w:rsidR="00145D81" w:rsidRPr="00950B4F" w:rsidRDefault="002A525E" w:rsidP="00145D81">
            <w:pPr>
              <w:rPr>
                <w:iCs/>
                <w:color w:val="414142"/>
                <w:lang w:eastAsia="lv-LV"/>
              </w:rPr>
            </w:pPr>
            <w:r w:rsidRPr="00950B4F">
              <w:rPr>
                <w:iCs/>
                <w:color w:val="414142"/>
                <w:lang w:eastAsia="lv-LV"/>
              </w:rPr>
              <w:t>5.2. speciālais budžets</w:t>
            </w:r>
          </w:p>
        </w:tc>
        <w:tc>
          <w:tcPr>
            <w:tcW w:w="367" w:type="pct"/>
            <w:vMerge/>
            <w:tcBorders>
              <w:top w:val="outset" w:sz="6" w:space="0" w:color="auto"/>
              <w:left w:val="outset" w:sz="6" w:space="0" w:color="auto"/>
              <w:bottom w:val="outset" w:sz="6" w:space="0" w:color="auto"/>
              <w:right w:val="outset" w:sz="6" w:space="0" w:color="auto"/>
            </w:tcBorders>
            <w:vAlign w:val="center"/>
            <w:hideMark/>
          </w:tcPr>
          <w:p w14:paraId="36BF407F" w14:textId="77777777" w:rsidR="00145D81" w:rsidRPr="00950B4F" w:rsidRDefault="00145D81" w:rsidP="00145D81">
            <w:pPr>
              <w:rPr>
                <w:iCs/>
                <w:color w:val="414142"/>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621A26C5" w14:textId="77777777" w:rsidR="00145D81" w:rsidRPr="00950B4F" w:rsidRDefault="002A525E" w:rsidP="00145D81">
            <w:pPr>
              <w:rPr>
                <w:iCs/>
                <w:color w:val="414142"/>
                <w:lang w:eastAsia="lv-LV"/>
              </w:rPr>
            </w:pPr>
            <w:r w:rsidRPr="00950B4F">
              <w:rPr>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204E3D38" w14:textId="77777777" w:rsidR="00145D81" w:rsidRPr="00950B4F" w:rsidRDefault="00145D81" w:rsidP="00145D81">
            <w:pPr>
              <w:rPr>
                <w:iCs/>
                <w:color w:val="414142"/>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748F452A" w14:textId="77777777" w:rsidR="00145D81" w:rsidRPr="00950B4F" w:rsidRDefault="002A525E" w:rsidP="00145D81">
            <w:pPr>
              <w:rPr>
                <w:iCs/>
                <w:color w:val="414142"/>
                <w:lang w:eastAsia="lv-LV"/>
              </w:rPr>
            </w:pPr>
            <w:r w:rsidRPr="00950B4F">
              <w:rPr>
                <w:iCs/>
                <w:color w:val="414142"/>
                <w:lang w:eastAsia="lv-LV"/>
              </w:rPr>
              <w:t>0</w:t>
            </w:r>
          </w:p>
        </w:tc>
        <w:tc>
          <w:tcPr>
            <w:tcW w:w="341" w:type="pct"/>
            <w:vMerge/>
            <w:tcBorders>
              <w:top w:val="outset" w:sz="6" w:space="0" w:color="auto"/>
              <w:left w:val="outset" w:sz="6" w:space="0" w:color="auto"/>
              <w:bottom w:val="outset" w:sz="6" w:space="0" w:color="auto"/>
              <w:right w:val="outset" w:sz="6" w:space="0" w:color="auto"/>
            </w:tcBorders>
            <w:vAlign w:val="center"/>
            <w:hideMark/>
          </w:tcPr>
          <w:p w14:paraId="375D4276" w14:textId="77777777" w:rsidR="00145D81" w:rsidRPr="00950B4F" w:rsidRDefault="00145D81" w:rsidP="00145D81">
            <w:pPr>
              <w:rPr>
                <w:iCs/>
                <w:color w:val="414142"/>
                <w:lang w:eastAsia="lv-LV"/>
              </w:rPr>
            </w:pPr>
          </w:p>
        </w:tc>
        <w:tc>
          <w:tcPr>
            <w:tcW w:w="783" w:type="pct"/>
            <w:tcBorders>
              <w:top w:val="outset" w:sz="6" w:space="0" w:color="auto"/>
              <w:left w:val="outset" w:sz="6" w:space="0" w:color="auto"/>
              <w:bottom w:val="outset" w:sz="6" w:space="0" w:color="auto"/>
              <w:right w:val="outset" w:sz="6" w:space="0" w:color="auto"/>
            </w:tcBorders>
            <w:vAlign w:val="center"/>
            <w:hideMark/>
          </w:tcPr>
          <w:p w14:paraId="0FCB796B"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0BFDBB77" w14:textId="77777777" w:rsidR="00145D81" w:rsidRPr="00950B4F" w:rsidRDefault="002A525E" w:rsidP="00145D81">
            <w:pPr>
              <w:rPr>
                <w:iCs/>
                <w:color w:val="414142"/>
                <w:lang w:eastAsia="lv-LV"/>
              </w:rPr>
            </w:pPr>
            <w:r w:rsidRPr="00950B4F">
              <w:rPr>
                <w:iCs/>
                <w:color w:val="414142"/>
                <w:lang w:eastAsia="lv-LV"/>
              </w:rPr>
              <w:t>0</w:t>
            </w:r>
          </w:p>
        </w:tc>
      </w:tr>
      <w:tr w:rsidR="00417018" w14:paraId="1D3ADD10"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417C57FE" w14:textId="77777777" w:rsidR="00145D81" w:rsidRPr="00950B4F" w:rsidRDefault="002A525E" w:rsidP="00145D81">
            <w:pPr>
              <w:rPr>
                <w:iCs/>
                <w:color w:val="414142"/>
                <w:lang w:eastAsia="lv-LV"/>
              </w:rPr>
            </w:pPr>
            <w:r w:rsidRPr="00950B4F">
              <w:rPr>
                <w:iCs/>
                <w:color w:val="414142"/>
                <w:lang w:eastAsia="lv-LV"/>
              </w:rPr>
              <w:t>5.3. pašvaldību budžets</w:t>
            </w:r>
          </w:p>
        </w:tc>
        <w:tc>
          <w:tcPr>
            <w:tcW w:w="367" w:type="pct"/>
            <w:vMerge/>
            <w:tcBorders>
              <w:top w:val="outset" w:sz="6" w:space="0" w:color="auto"/>
              <w:left w:val="outset" w:sz="6" w:space="0" w:color="auto"/>
              <w:bottom w:val="outset" w:sz="6" w:space="0" w:color="auto"/>
              <w:right w:val="outset" w:sz="6" w:space="0" w:color="auto"/>
            </w:tcBorders>
            <w:vAlign w:val="center"/>
            <w:hideMark/>
          </w:tcPr>
          <w:p w14:paraId="5A4885B6" w14:textId="77777777" w:rsidR="00145D81" w:rsidRPr="00950B4F" w:rsidRDefault="00145D81" w:rsidP="00145D81">
            <w:pPr>
              <w:rPr>
                <w:iCs/>
                <w:color w:val="414142"/>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2B3E7A2D" w14:textId="77777777" w:rsidR="00145D81" w:rsidRPr="00950B4F" w:rsidRDefault="002A525E" w:rsidP="00145D81">
            <w:pPr>
              <w:rPr>
                <w:iCs/>
                <w:color w:val="414142"/>
                <w:lang w:eastAsia="lv-LV"/>
              </w:rPr>
            </w:pPr>
            <w:r w:rsidRPr="00950B4F">
              <w:rPr>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16E1C8C6" w14:textId="77777777" w:rsidR="00145D81" w:rsidRPr="00950B4F" w:rsidRDefault="00145D81" w:rsidP="00145D81">
            <w:pPr>
              <w:rPr>
                <w:iCs/>
                <w:color w:val="414142"/>
                <w:lang w:eastAsia="lv-LV"/>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6EDFFEC9" w14:textId="77777777" w:rsidR="00145D81" w:rsidRPr="00950B4F" w:rsidRDefault="002A525E" w:rsidP="00145D81">
            <w:pPr>
              <w:rPr>
                <w:iCs/>
                <w:color w:val="414142"/>
                <w:lang w:eastAsia="lv-LV"/>
              </w:rPr>
            </w:pPr>
            <w:r w:rsidRPr="00950B4F">
              <w:rPr>
                <w:iCs/>
                <w:color w:val="414142"/>
                <w:lang w:eastAsia="lv-LV"/>
              </w:rPr>
              <w:t>0</w:t>
            </w:r>
          </w:p>
        </w:tc>
        <w:tc>
          <w:tcPr>
            <w:tcW w:w="341" w:type="pct"/>
            <w:vMerge/>
            <w:tcBorders>
              <w:top w:val="outset" w:sz="6" w:space="0" w:color="auto"/>
              <w:left w:val="outset" w:sz="6" w:space="0" w:color="auto"/>
              <w:bottom w:val="outset" w:sz="6" w:space="0" w:color="auto"/>
              <w:right w:val="outset" w:sz="6" w:space="0" w:color="auto"/>
            </w:tcBorders>
            <w:vAlign w:val="center"/>
            <w:hideMark/>
          </w:tcPr>
          <w:p w14:paraId="223E6154" w14:textId="77777777" w:rsidR="00145D81" w:rsidRPr="00950B4F" w:rsidRDefault="00145D81" w:rsidP="00145D81">
            <w:pPr>
              <w:rPr>
                <w:iCs/>
                <w:color w:val="414142"/>
                <w:lang w:eastAsia="lv-LV"/>
              </w:rPr>
            </w:pPr>
          </w:p>
        </w:tc>
        <w:tc>
          <w:tcPr>
            <w:tcW w:w="783" w:type="pct"/>
            <w:tcBorders>
              <w:top w:val="outset" w:sz="6" w:space="0" w:color="auto"/>
              <w:left w:val="outset" w:sz="6" w:space="0" w:color="auto"/>
              <w:bottom w:val="outset" w:sz="6" w:space="0" w:color="auto"/>
              <w:right w:val="outset" w:sz="6" w:space="0" w:color="auto"/>
            </w:tcBorders>
            <w:vAlign w:val="center"/>
            <w:hideMark/>
          </w:tcPr>
          <w:p w14:paraId="4E28942E" w14:textId="77777777" w:rsidR="00145D81" w:rsidRPr="00950B4F" w:rsidRDefault="002A525E" w:rsidP="00145D81">
            <w:pPr>
              <w:rPr>
                <w:iCs/>
                <w:color w:val="414142"/>
                <w:lang w:eastAsia="lv-LV"/>
              </w:rPr>
            </w:pPr>
            <w:r w:rsidRPr="00950B4F">
              <w:rPr>
                <w:iCs/>
                <w:color w:val="414142"/>
                <w:lang w:eastAsia="lv-LV"/>
              </w:rPr>
              <w:t>0</w:t>
            </w:r>
          </w:p>
        </w:tc>
        <w:tc>
          <w:tcPr>
            <w:tcW w:w="929" w:type="pct"/>
            <w:tcBorders>
              <w:top w:val="outset" w:sz="6" w:space="0" w:color="auto"/>
              <w:left w:val="outset" w:sz="6" w:space="0" w:color="auto"/>
              <w:bottom w:val="outset" w:sz="6" w:space="0" w:color="auto"/>
              <w:right w:val="outset" w:sz="6" w:space="0" w:color="auto"/>
            </w:tcBorders>
            <w:vAlign w:val="center"/>
            <w:hideMark/>
          </w:tcPr>
          <w:p w14:paraId="05C97930" w14:textId="77777777" w:rsidR="00145D81" w:rsidRPr="00950B4F" w:rsidRDefault="002A525E" w:rsidP="00145D81">
            <w:pPr>
              <w:rPr>
                <w:iCs/>
                <w:color w:val="414142"/>
                <w:lang w:eastAsia="lv-LV"/>
              </w:rPr>
            </w:pPr>
            <w:r w:rsidRPr="00950B4F">
              <w:rPr>
                <w:iCs/>
                <w:color w:val="414142"/>
                <w:lang w:eastAsia="lv-LV"/>
              </w:rPr>
              <w:t>0</w:t>
            </w:r>
          </w:p>
        </w:tc>
      </w:tr>
      <w:tr w:rsidR="00CC6F38" w14:paraId="63B3922E"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763F723F" w14:textId="77777777" w:rsidR="00145D81" w:rsidRPr="00836FE4" w:rsidRDefault="002A525E" w:rsidP="00145D81">
            <w:pPr>
              <w:rPr>
                <w:iCs/>
                <w:color w:val="414142"/>
                <w:lang w:eastAsia="lv-LV"/>
              </w:rPr>
            </w:pPr>
            <w:r w:rsidRPr="00836FE4">
              <w:rPr>
                <w:iCs/>
                <w:color w:val="414142"/>
                <w:lang w:eastAsia="lv-LV"/>
              </w:rPr>
              <w:t>6. Detalizēts ieņēmumu un izdevumu aprēķins (ja nepieciešams, detalizētu ieņēmumu un izdevumu aprēķinu var pievienot anotācijas pielikumā)</w:t>
            </w:r>
          </w:p>
        </w:tc>
        <w:tc>
          <w:tcPr>
            <w:tcW w:w="421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B0EC701" w14:textId="5B31D0BA" w:rsidR="00145D81" w:rsidRPr="00CF1DED" w:rsidRDefault="00926E5C" w:rsidP="00145D81">
            <w:pPr>
              <w:shd w:val="clear" w:color="auto" w:fill="FFFFFF"/>
              <w:spacing w:line="293" w:lineRule="atLeast"/>
              <w:jc w:val="both"/>
            </w:pPr>
            <w:r w:rsidRPr="00E75BCD">
              <w:rPr>
                <w:bCs/>
                <w:lang w:eastAsia="en-US"/>
              </w:rPr>
              <w:t>Neatliekamās medicīniskās palīdzības dienesta projekts “Vienotās neatliekamās medicīniskās palīdzības un katastrofu medicīnas vadības informācijas sistēmas attīstība (2.kārta)”</w:t>
            </w:r>
            <w:r w:rsidRPr="00CF1DED">
              <w:rPr>
                <w:b/>
                <w:bCs/>
                <w:lang w:eastAsia="en-US"/>
              </w:rPr>
              <w:t xml:space="preserve"> </w:t>
            </w:r>
            <w:r w:rsidR="002A525E" w:rsidRPr="00CF1DED">
              <w:t xml:space="preserve">tiks finansēts no Eiropas reģionālās attīstības fonda (turpmāk – ERAF) līdzekļiem, un tā kopējais finansējuma apjoms ir </w:t>
            </w:r>
            <w:r w:rsidRPr="00CF1DED">
              <w:t>4 770</w:t>
            </w:r>
            <w:r w:rsidR="002A525E" w:rsidRPr="00CF1DED">
              <w:t xml:space="preserve"> </w:t>
            </w:r>
            <w:r w:rsidR="00333611" w:rsidRPr="00CF1DED">
              <w:t>000</w:t>
            </w:r>
            <w:r w:rsidR="002A525E" w:rsidRPr="00CF1DED">
              <w:t xml:space="preserve"> </w:t>
            </w:r>
            <w:proofErr w:type="spellStart"/>
            <w:r w:rsidR="002A525E" w:rsidRPr="00CF1DED">
              <w:rPr>
                <w:i/>
              </w:rPr>
              <w:t>euro</w:t>
            </w:r>
            <w:proofErr w:type="spellEnd"/>
            <w:r w:rsidR="002A525E" w:rsidRPr="00CF1DED">
              <w:t xml:space="preserve">, no tā ERAF finansējums sastāda </w:t>
            </w:r>
            <w:r w:rsidR="000201CB" w:rsidRPr="00CF1DED">
              <w:rPr>
                <w:color w:val="222222"/>
                <w:shd w:val="clear" w:color="auto" w:fill="FFFFFF"/>
              </w:rPr>
              <w:t xml:space="preserve">4 054 500 </w:t>
            </w:r>
            <w:proofErr w:type="spellStart"/>
            <w:r w:rsidR="002A525E" w:rsidRPr="00CF1DED">
              <w:rPr>
                <w:i/>
              </w:rPr>
              <w:t>euro</w:t>
            </w:r>
            <w:proofErr w:type="spellEnd"/>
            <w:r w:rsidR="002A525E" w:rsidRPr="00CF1DED">
              <w:t xml:space="preserve"> un valsts budžeta finansējums </w:t>
            </w:r>
            <w:r w:rsidR="00AB7F4B" w:rsidRPr="00CF1DED">
              <w:rPr>
                <w:color w:val="222222"/>
                <w:shd w:val="clear" w:color="auto" w:fill="FFFFFF"/>
              </w:rPr>
              <w:t xml:space="preserve">715 500 </w:t>
            </w:r>
            <w:proofErr w:type="spellStart"/>
            <w:r w:rsidR="002A525E" w:rsidRPr="00CF1DED">
              <w:rPr>
                <w:i/>
              </w:rPr>
              <w:t>euro</w:t>
            </w:r>
            <w:proofErr w:type="spellEnd"/>
            <w:r w:rsidR="002A525E" w:rsidRPr="00CF1DED">
              <w:t xml:space="preserve">. </w:t>
            </w:r>
          </w:p>
          <w:p w14:paraId="765FE608" w14:textId="0CE61B7D" w:rsidR="00E75BCD" w:rsidRPr="00CF1DED" w:rsidRDefault="002A525E" w:rsidP="00E75BCD">
            <w:pPr>
              <w:ind w:left="57" w:firstLine="567"/>
              <w:contextualSpacing/>
              <w:jc w:val="both"/>
              <w:rPr>
                <w:lang w:eastAsia="en-US"/>
              </w:rPr>
            </w:pPr>
            <w:r w:rsidRPr="00CF1DED">
              <w:rPr>
                <w:lang w:eastAsia="en-US"/>
              </w:rPr>
              <w:t xml:space="preserve">Lai nodrošinātu ilgtspējīgu </w:t>
            </w:r>
            <w:r w:rsidRPr="00CF1DED">
              <w:t>“</w:t>
            </w:r>
            <w:r w:rsidR="00AB7F4B" w:rsidRPr="00CF1DED">
              <w:rPr>
                <w:bCs/>
                <w:lang w:eastAsia="en-US"/>
              </w:rPr>
              <w:t>Vienotās neatliekamās medicīniskās palīdzības un katastrofu medicīnas vadības informācijas sistēmas attīstība (2.kārta)</w:t>
            </w:r>
            <w:r w:rsidRPr="00CF1DED">
              <w:rPr>
                <w:lang w:eastAsia="en-US"/>
              </w:rPr>
              <w:t>” projekta rezultātā izstrādāto IKT risinājumu darbību, pēc projekta termiņa beigām katru gadu, sākot ar 202</w:t>
            </w:r>
            <w:r w:rsidR="00AB7F4B" w:rsidRPr="00CF1DED">
              <w:rPr>
                <w:lang w:eastAsia="en-US"/>
              </w:rPr>
              <w:t>3</w:t>
            </w:r>
            <w:r w:rsidRPr="00CF1DED">
              <w:rPr>
                <w:lang w:eastAsia="en-US"/>
              </w:rPr>
              <w:t xml:space="preserve">. gadu ir plānojamas ikgadējās IKT risinājumu uzturēšanas izmaksas, kas </w:t>
            </w:r>
            <w:r w:rsidR="00110F32" w:rsidRPr="00CF1DED">
              <w:rPr>
                <w:lang w:eastAsia="en-US"/>
              </w:rPr>
              <w:t xml:space="preserve">katrā gadā </w:t>
            </w:r>
            <w:r w:rsidRPr="00CF1DED">
              <w:rPr>
                <w:lang w:eastAsia="en-US"/>
              </w:rPr>
              <w:t xml:space="preserve">veidos </w:t>
            </w:r>
            <w:r w:rsidR="00AB7F4B" w:rsidRPr="00CF1DED">
              <w:rPr>
                <w:lang w:eastAsia="en-US"/>
              </w:rPr>
              <w:t>7</w:t>
            </w:r>
            <w:r w:rsidRPr="00CF1DED">
              <w:rPr>
                <w:lang w:eastAsia="en-US"/>
              </w:rPr>
              <w:t xml:space="preserve">15 </w:t>
            </w:r>
            <w:r w:rsidR="00AB7F4B" w:rsidRPr="00CF1DED">
              <w:rPr>
                <w:lang w:eastAsia="en-US"/>
              </w:rPr>
              <w:t>5</w:t>
            </w:r>
            <w:r w:rsidRPr="00CF1DED">
              <w:rPr>
                <w:lang w:eastAsia="en-US"/>
              </w:rPr>
              <w:t xml:space="preserve">00 </w:t>
            </w:r>
            <w:proofErr w:type="spellStart"/>
            <w:r w:rsidRPr="00CF1DED">
              <w:rPr>
                <w:i/>
                <w:lang w:eastAsia="en-US"/>
              </w:rPr>
              <w:t>euro</w:t>
            </w:r>
            <w:proofErr w:type="spellEnd"/>
            <w:r w:rsidRPr="00CF1DED">
              <w:rPr>
                <w:lang w:eastAsia="en-US"/>
              </w:rPr>
              <w:t>.</w:t>
            </w:r>
            <w:r w:rsidR="00E75BCD" w:rsidRPr="00CF1DED">
              <w:rPr>
                <w:bCs/>
              </w:rPr>
              <w:t xml:space="preserve"> </w:t>
            </w:r>
            <w:r w:rsidR="00E75BCD" w:rsidRPr="00CF1DED">
              <w:t>Izmaksu sadalījums:</w:t>
            </w:r>
          </w:p>
          <w:p w14:paraId="43E4263A" w14:textId="5E1C64E0" w:rsidR="00356D03" w:rsidRPr="00746CED" w:rsidRDefault="00356D03" w:rsidP="00746CED">
            <w:pPr>
              <w:pStyle w:val="VPBullet1"/>
              <w:numPr>
                <w:ilvl w:val="0"/>
                <w:numId w:val="9"/>
              </w:numPr>
              <w:tabs>
                <w:tab w:val="left" w:pos="973"/>
              </w:tabs>
              <w:spacing w:before="0" w:after="0"/>
              <w:rPr>
                <w:szCs w:val="24"/>
              </w:rPr>
            </w:pPr>
            <w:r w:rsidRPr="00C372A8">
              <w:rPr>
                <w:szCs w:val="24"/>
              </w:rPr>
              <w:t xml:space="preserve">projekta ietvaros iegādāto Operatīvo dienestu mobilās pārvaldības iekārtu uzturēšanai </w:t>
            </w:r>
            <w:r w:rsidR="002C0D7C">
              <w:rPr>
                <w:szCs w:val="24"/>
              </w:rPr>
              <w:t xml:space="preserve">(ražotāju garantijas pagarinājumi, </w:t>
            </w:r>
            <w:r w:rsidR="007B1D56">
              <w:rPr>
                <w:szCs w:val="24"/>
              </w:rPr>
              <w:t xml:space="preserve">standarta </w:t>
            </w:r>
            <w:r w:rsidR="002E73C0">
              <w:rPr>
                <w:szCs w:val="24"/>
              </w:rPr>
              <w:t xml:space="preserve">programmatūras </w:t>
            </w:r>
            <w:r w:rsidR="002C0D7C">
              <w:rPr>
                <w:szCs w:val="24"/>
              </w:rPr>
              <w:t xml:space="preserve">licenču </w:t>
            </w:r>
            <w:r w:rsidR="002E73C0">
              <w:rPr>
                <w:szCs w:val="24"/>
              </w:rPr>
              <w:t>uzturēšanas pagarināšana</w:t>
            </w:r>
            <w:r w:rsidR="007B1D56">
              <w:rPr>
                <w:szCs w:val="24"/>
              </w:rPr>
              <w:t xml:space="preserve">) </w:t>
            </w:r>
            <w:r w:rsidR="00D0464C" w:rsidRPr="00C372A8">
              <w:rPr>
                <w:szCs w:val="24"/>
              </w:rPr>
              <w:t xml:space="preserve">nepieciešami </w:t>
            </w:r>
            <w:r w:rsidRPr="00C372A8">
              <w:rPr>
                <w:szCs w:val="24"/>
              </w:rPr>
              <w:t>378</w:t>
            </w:r>
            <w:r w:rsidR="00F333BF" w:rsidRPr="00C372A8">
              <w:rPr>
                <w:szCs w:val="24"/>
              </w:rPr>
              <w:t xml:space="preserve"> </w:t>
            </w:r>
            <w:r w:rsidR="00D0464C" w:rsidRPr="00C372A8">
              <w:rPr>
                <w:szCs w:val="24"/>
              </w:rPr>
              <w:t xml:space="preserve">000 </w:t>
            </w:r>
            <w:proofErr w:type="spellStart"/>
            <w:r w:rsidR="00D0464C" w:rsidRPr="00C372A8">
              <w:rPr>
                <w:szCs w:val="24"/>
              </w:rPr>
              <w:t>euro</w:t>
            </w:r>
            <w:proofErr w:type="spellEnd"/>
            <w:r w:rsidR="00415080">
              <w:rPr>
                <w:szCs w:val="24"/>
              </w:rPr>
              <w:t>.</w:t>
            </w:r>
            <w:r w:rsidR="00E8706B">
              <w:rPr>
                <w:szCs w:val="24"/>
              </w:rPr>
              <w:t xml:space="preserve"> </w:t>
            </w:r>
            <w:r w:rsidR="00415080">
              <w:rPr>
                <w:szCs w:val="24"/>
              </w:rPr>
              <w:t>T</w:t>
            </w:r>
            <w:r w:rsidR="00E8706B">
              <w:rPr>
                <w:szCs w:val="24"/>
              </w:rPr>
              <w:t xml:space="preserve">o veido </w:t>
            </w:r>
            <w:r w:rsidR="00912360">
              <w:rPr>
                <w:szCs w:val="24"/>
              </w:rPr>
              <w:t xml:space="preserve">projekta ietvaros </w:t>
            </w:r>
            <w:r w:rsidR="00400720">
              <w:rPr>
                <w:szCs w:val="24"/>
              </w:rPr>
              <w:t xml:space="preserve">iegādāto </w:t>
            </w:r>
            <w:r w:rsidR="001F209D">
              <w:rPr>
                <w:szCs w:val="24"/>
              </w:rPr>
              <w:t xml:space="preserve">189 </w:t>
            </w:r>
            <w:r w:rsidR="00912360" w:rsidRPr="00765D5F">
              <w:t>Operatīvās darbības atbalsta iekārtu komplekt</w:t>
            </w:r>
            <w:r w:rsidR="000C7E69">
              <w:t xml:space="preserve">u ražotāja paplašinātās garantijas </w:t>
            </w:r>
            <w:r w:rsidR="009910D0">
              <w:t>ikgadēja pagarināšana, kas vidēji tirgū ir 20% vērtībā no</w:t>
            </w:r>
            <w:r w:rsidR="00415080">
              <w:t xml:space="preserve"> iekārtu</w:t>
            </w:r>
            <w:r w:rsidR="00F145B3">
              <w:t xml:space="preserve"> iegādes cenas</w:t>
            </w:r>
            <w:r w:rsidR="00AC1A68">
              <w:t xml:space="preserve"> (iegādes cena</w:t>
            </w:r>
            <w:r w:rsidR="001F209D">
              <w:t xml:space="preserve"> plānota 10</w:t>
            </w:r>
            <w:r w:rsidR="00390F1E">
              <w:t xml:space="preserve"> </w:t>
            </w:r>
            <w:r w:rsidR="001F209D">
              <w:t>000</w:t>
            </w:r>
            <w:r w:rsidR="00390F1E">
              <w:t xml:space="preserve"> </w:t>
            </w:r>
            <w:proofErr w:type="spellStart"/>
            <w:r w:rsidR="00390F1E">
              <w:t>euro</w:t>
            </w:r>
            <w:proofErr w:type="spellEnd"/>
            <w:r w:rsidR="00AC1A68">
              <w:t>)</w:t>
            </w:r>
            <w:r w:rsidR="001F209D">
              <w:t xml:space="preserve">. </w:t>
            </w:r>
            <w:r w:rsidR="00746CED">
              <w:t xml:space="preserve">Tam ir nepieciešams finansējums </w:t>
            </w:r>
            <w:r w:rsidR="00DB4DEA">
              <w:t xml:space="preserve">vismaz </w:t>
            </w:r>
            <w:r w:rsidR="00390F1E">
              <w:t>189 * 2</w:t>
            </w:r>
            <w:r w:rsidR="00954D75">
              <w:t xml:space="preserve"> </w:t>
            </w:r>
            <w:r w:rsidR="00390F1E">
              <w:t xml:space="preserve">000 </w:t>
            </w:r>
            <w:proofErr w:type="spellStart"/>
            <w:r w:rsidR="00390F1E">
              <w:t>euro</w:t>
            </w:r>
            <w:proofErr w:type="spellEnd"/>
            <w:r w:rsidR="00415080">
              <w:t xml:space="preserve"> = 378 000 </w:t>
            </w:r>
            <w:proofErr w:type="spellStart"/>
            <w:r w:rsidR="00415080">
              <w:t>euro</w:t>
            </w:r>
            <w:proofErr w:type="spellEnd"/>
            <w:r w:rsidR="00DB4DEA">
              <w:t xml:space="preserve"> apmērā</w:t>
            </w:r>
            <w:r w:rsidR="00415080">
              <w:t>.</w:t>
            </w:r>
          </w:p>
          <w:p w14:paraId="5B82B459" w14:textId="2109AC8F" w:rsidR="00D0464C" w:rsidRPr="00C372A8" w:rsidRDefault="00F333BF" w:rsidP="00C372A8">
            <w:pPr>
              <w:pStyle w:val="VPBullet1"/>
              <w:numPr>
                <w:ilvl w:val="0"/>
                <w:numId w:val="9"/>
              </w:numPr>
              <w:tabs>
                <w:tab w:val="left" w:pos="973"/>
              </w:tabs>
              <w:spacing w:before="0" w:after="0"/>
              <w:rPr>
                <w:szCs w:val="24"/>
              </w:rPr>
            </w:pPr>
            <w:r w:rsidRPr="00C372A8">
              <w:rPr>
                <w:szCs w:val="24"/>
              </w:rPr>
              <w:t>3</w:t>
            </w:r>
            <w:r w:rsidR="00C372A8">
              <w:rPr>
                <w:szCs w:val="24"/>
              </w:rPr>
              <w:t>2</w:t>
            </w:r>
            <w:r w:rsidR="00833287">
              <w:rPr>
                <w:szCs w:val="24"/>
              </w:rPr>
              <w:t>5</w:t>
            </w:r>
            <w:r w:rsidRPr="00C372A8">
              <w:rPr>
                <w:szCs w:val="24"/>
              </w:rPr>
              <w:t xml:space="preserve"> 000</w:t>
            </w:r>
            <w:r w:rsidR="005B1C1F" w:rsidRPr="00C372A8">
              <w:rPr>
                <w:szCs w:val="24"/>
              </w:rPr>
              <w:t xml:space="preserve"> </w:t>
            </w:r>
            <w:proofErr w:type="spellStart"/>
            <w:r w:rsidR="005B1C1F" w:rsidRPr="00C372A8">
              <w:rPr>
                <w:i/>
                <w:szCs w:val="24"/>
              </w:rPr>
              <w:t>euro</w:t>
            </w:r>
            <w:proofErr w:type="spellEnd"/>
            <w:r w:rsidR="005B1C1F" w:rsidRPr="00C372A8">
              <w:rPr>
                <w:szCs w:val="24"/>
              </w:rPr>
              <w:t xml:space="preserve"> plānoti </w:t>
            </w:r>
            <w:r w:rsidRPr="00C372A8">
              <w:rPr>
                <w:szCs w:val="24"/>
              </w:rPr>
              <w:t>projektā ieviesto risinājumu</w:t>
            </w:r>
            <w:r w:rsidR="00833287">
              <w:rPr>
                <w:szCs w:val="24"/>
              </w:rPr>
              <w:t xml:space="preserve">, </w:t>
            </w:r>
            <w:r w:rsidR="00833287" w:rsidRPr="00C165D2">
              <w:rPr>
                <w:szCs w:val="24"/>
              </w:rPr>
              <w:t xml:space="preserve">tai skaitā ārējo integrāciju </w:t>
            </w:r>
            <w:r w:rsidR="005B1C1F" w:rsidRPr="00C165D2">
              <w:rPr>
                <w:szCs w:val="24"/>
              </w:rPr>
              <w:t xml:space="preserve">problēmu novēršanas </w:t>
            </w:r>
            <w:r w:rsidR="00833287" w:rsidRPr="00C165D2">
              <w:rPr>
                <w:szCs w:val="24"/>
              </w:rPr>
              <w:t>nodrošināšanai,</w:t>
            </w:r>
            <w:r w:rsidR="005B1C1F" w:rsidRPr="00C165D2">
              <w:rPr>
                <w:szCs w:val="24"/>
              </w:rPr>
              <w:t xml:space="preserve"> profilaktisk</w:t>
            </w:r>
            <w:r w:rsidR="00833287" w:rsidRPr="00C165D2">
              <w:rPr>
                <w:szCs w:val="24"/>
              </w:rPr>
              <w:t>ajai</w:t>
            </w:r>
            <w:r w:rsidR="005B1C1F" w:rsidRPr="00C165D2">
              <w:rPr>
                <w:szCs w:val="24"/>
              </w:rPr>
              <w:t xml:space="preserve"> uzturēšanai</w:t>
            </w:r>
            <w:r w:rsidRPr="00C165D2">
              <w:rPr>
                <w:szCs w:val="24"/>
              </w:rPr>
              <w:t>, kā arī ārējo</w:t>
            </w:r>
            <w:r w:rsidR="00F11123" w:rsidRPr="00C165D2">
              <w:rPr>
                <w:szCs w:val="24"/>
              </w:rPr>
              <w:t xml:space="preserve"> </w:t>
            </w:r>
            <w:r w:rsidR="005B1C1F" w:rsidRPr="00C165D2">
              <w:rPr>
                <w:szCs w:val="24"/>
              </w:rPr>
              <w:t>integrācijas</w:t>
            </w:r>
            <w:r w:rsidR="00F11123" w:rsidRPr="00C165D2">
              <w:rPr>
                <w:szCs w:val="24"/>
              </w:rPr>
              <w:t xml:space="preserve"> risinājumu</w:t>
            </w:r>
            <w:r w:rsidR="005B1C1F" w:rsidRPr="00C165D2">
              <w:rPr>
                <w:szCs w:val="24"/>
              </w:rPr>
              <w:t xml:space="preserve"> uzturēšanai</w:t>
            </w:r>
            <w:r w:rsidR="003B3921">
              <w:rPr>
                <w:szCs w:val="24"/>
              </w:rPr>
              <w:t xml:space="preserve">. </w:t>
            </w:r>
            <w:r w:rsidR="00724728">
              <w:rPr>
                <w:szCs w:val="24"/>
              </w:rPr>
              <w:t xml:space="preserve">Šo darbu nodrošināšanai </w:t>
            </w:r>
            <w:r w:rsidR="003B3921">
              <w:rPr>
                <w:szCs w:val="24"/>
              </w:rPr>
              <w:t xml:space="preserve">ir plānots </w:t>
            </w:r>
            <w:r w:rsidR="005F7CBF">
              <w:rPr>
                <w:szCs w:val="24"/>
              </w:rPr>
              <w:t>piesaistīt ārpakalpojumu</w:t>
            </w:r>
            <w:r w:rsidR="00724728">
              <w:rPr>
                <w:szCs w:val="24"/>
              </w:rPr>
              <w:t xml:space="preserve">. Ņemot vērā šāda apjoma </w:t>
            </w:r>
            <w:r w:rsidR="006A2FA3">
              <w:rPr>
                <w:szCs w:val="24"/>
              </w:rPr>
              <w:t xml:space="preserve">un kritiskuma </w:t>
            </w:r>
            <w:r w:rsidR="00C55EFD">
              <w:rPr>
                <w:szCs w:val="24"/>
              </w:rPr>
              <w:t xml:space="preserve">informācijas </w:t>
            </w:r>
            <w:r w:rsidR="006A2FA3">
              <w:rPr>
                <w:szCs w:val="24"/>
              </w:rPr>
              <w:t>sistēmas</w:t>
            </w:r>
            <w:r w:rsidR="00C55EFD">
              <w:rPr>
                <w:szCs w:val="24"/>
              </w:rPr>
              <w:t xml:space="preserve"> uzturēšanai nepieciešamo piesaistāmā ārpakalpojuma apmēru</w:t>
            </w:r>
            <w:r w:rsidR="003B3921">
              <w:rPr>
                <w:szCs w:val="24"/>
              </w:rPr>
              <w:t xml:space="preserve"> </w:t>
            </w:r>
            <w:r w:rsidR="00C55EFD">
              <w:rPr>
                <w:szCs w:val="24"/>
              </w:rPr>
              <w:t xml:space="preserve">(vismaz </w:t>
            </w:r>
            <w:r w:rsidR="00F32FF0">
              <w:rPr>
                <w:szCs w:val="24"/>
              </w:rPr>
              <w:t>650</w:t>
            </w:r>
            <w:r w:rsidR="00C55EFD">
              <w:rPr>
                <w:szCs w:val="24"/>
              </w:rPr>
              <w:t xml:space="preserve"> cilvēkdienas), </w:t>
            </w:r>
            <w:r w:rsidR="00954D75">
              <w:rPr>
                <w:szCs w:val="24"/>
              </w:rPr>
              <w:t xml:space="preserve">kā arī atbilstoša </w:t>
            </w:r>
            <w:r w:rsidR="003B3921">
              <w:rPr>
                <w:szCs w:val="24"/>
              </w:rPr>
              <w:t xml:space="preserve">pakalpojuma cilvēkdienas tirgus cenu (vismaz </w:t>
            </w:r>
            <w:r w:rsidR="00F32FF0">
              <w:rPr>
                <w:szCs w:val="24"/>
              </w:rPr>
              <w:t>500</w:t>
            </w:r>
            <w:r w:rsidR="003B3921">
              <w:rPr>
                <w:szCs w:val="24"/>
              </w:rPr>
              <w:t xml:space="preserve"> </w:t>
            </w:r>
            <w:proofErr w:type="spellStart"/>
            <w:r w:rsidR="003B3921">
              <w:rPr>
                <w:szCs w:val="24"/>
              </w:rPr>
              <w:t>euro</w:t>
            </w:r>
            <w:proofErr w:type="spellEnd"/>
            <w:r w:rsidR="003B3921">
              <w:rPr>
                <w:szCs w:val="24"/>
              </w:rPr>
              <w:t xml:space="preserve">), </w:t>
            </w:r>
            <w:r w:rsidR="00AC1A68">
              <w:rPr>
                <w:szCs w:val="24"/>
              </w:rPr>
              <w:t xml:space="preserve">tam ir nepieciešams </w:t>
            </w:r>
            <w:r w:rsidR="00746CED">
              <w:rPr>
                <w:szCs w:val="24"/>
              </w:rPr>
              <w:t>fin</w:t>
            </w:r>
            <w:r w:rsidR="00903C68">
              <w:rPr>
                <w:szCs w:val="24"/>
              </w:rPr>
              <w:t>a</w:t>
            </w:r>
            <w:r w:rsidR="00746CED">
              <w:rPr>
                <w:szCs w:val="24"/>
              </w:rPr>
              <w:t xml:space="preserve">nsējums </w:t>
            </w:r>
            <w:r w:rsidR="00903C68">
              <w:rPr>
                <w:szCs w:val="24"/>
              </w:rPr>
              <w:t xml:space="preserve">vismaz </w:t>
            </w:r>
            <w:r w:rsidR="00F32FF0">
              <w:rPr>
                <w:szCs w:val="24"/>
              </w:rPr>
              <w:t>650</w:t>
            </w:r>
            <w:r w:rsidR="003B3921">
              <w:rPr>
                <w:szCs w:val="24"/>
              </w:rPr>
              <w:t>*</w:t>
            </w:r>
            <w:r w:rsidR="00F32FF0">
              <w:rPr>
                <w:szCs w:val="24"/>
              </w:rPr>
              <w:t>50</w:t>
            </w:r>
            <w:r w:rsidR="003B3921">
              <w:rPr>
                <w:szCs w:val="24"/>
              </w:rPr>
              <w:t>0=</w:t>
            </w:r>
            <w:r w:rsidR="00954D75">
              <w:rPr>
                <w:szCs w:val="24"/>
              </w:rPr>
              <w:t>325 000</w:t>
            </w:r>
            <w:r w:rsidR="003B3921">
              <w:rPr>
                <w:szCs w:val="24"/>
              </w:rPr>
              <w:t xml:space="preserve"> </w:t>
            </w:r>
            <w:proofErr w:type="spellStart"/>
            <w:r w:rsidR="003B3921">
              <w:rPr>
                <w:szCs w:val="24"/>
              </w:rPr>
              <w:t>euro</w:t>
            </w:r>
            <w:proofErr w:type="spellEnd"/>
            <w:r w:rsidR="00746CED">
              <w:rPr>
                <w:szCs w:val="24"/>
              </w:rPr>
              <w:t xml:space="preserve"> apmērā</w:t>
            </w:r>
            <w:r w:rsidR="00C372A8" w:rsidRPr="00C165D2">
              <w:rPr>
                <w:szCs w:val="24"/>
              </w:rPr>
              <w:t>;</w:t>
            </w:r>
          </w:p>
          <w:p w14:paraId="00F575C4" w14:textId="5875E11D" w:rsidR="00145D81" w:rsidRPr="007B1D56" w:rsidRDefault="00C372A8" w:rsidP="00BF1B88">
            <w:pPr>
              <w:pStyle w:val="VPBullet1"/>
              <w:numPr>
                <w:ilvl w:val="0"/>
                <w:numId w:val="9"/>
              </w:numPr>
              <w:tabs>
                <w:tab w:val="left" w:pos="973"/>
              </w:tabs>
              <w:spacing w:before="0" w:after="0"/>
              <w:rPr>
                <w:szCs w:val="24"/>
              </w:rPr>
            </w:pPr>
            <w:r>
              <w:rPr>
                <w:szCs w:val="24"/>
              </w:rPr>
              <w:t>1</w:t>
            </w:r>
            <w:r w:rsidR="00833287">
              <w:rPr>
                <w:szCs w:val="24"/>
              </w:rPr>
              <w:t>2</w:t>
            </w:r>
            <w:r w:rsidRPr="00C372A8">
              <w:rPr>
                <w:szCs w:val="24"/>
              </w:rPr>
              <w:t xml:space="preserve"> 000 </w:t>
            </w:r>
            <w:proofErr w:type="spellStart"/>
            <w:r w:rsidRPr="00C372A8">
              <w:rPr>
                <w:i/>
                <w:szCs w:val="24"/>
              </w:rPr>
              <w:t>euro</w:t>
            </w:r>
            <w:proofErr w:type="spellEnd"/>
            <w:r w:rsidRPr="00C372A8">
              <w:rPr>
                <w:szCs w:val="24"/>
              </w:rPr>
              <w:t xml:space="preserve"> projektā ieviesto </w:t>
            </w:r>
            <w:r>
              <w:rPr>
                <w:szCs w:val="24"/>
              </w:rPr>
              <w:t>risinājumu</w:t>
            </w:r>
            <w:r w:rsidRPr="00C372A8">
              <w:rPr>
                <w:szCs w:val="24"/>
              </w:rPr>
              <w:t xml:space="preserve"> drošības testu veikšanai – atbilstība likuma prasībām, personu datu apstrāde, ievainojamību pārbaude, slodzes testi, nepārtrauktības pārbaudes, datu integritātes pārbaudes. Konkrēto auditu cenas atkarīgas no </w:t>
            </w:r>
            <w:r w:rsidR="00633A3C">
              <w:rPr>
                <w:szCs w:val="24"/>
              </w:rPr>
              <w:t>risinājumu</w:t>
            </w:r>
            <w:r w:rsidRPr="00C372A8">
              <w:rPr>
                <w:szCs w:val="24"/>
              </w:rPr>
              <w:t xml:space="preserve"> sarežģītības un </w:t>
            </w:r>
            <w:r w:rsidRPr="00C372A8">
              <w:rPr>
                <w:szCs w:val="24"/>
              </w:rPr>
              <w:lastRenderedPageBreak/>
              <w:t xml:space="preserve">pārbaudes apjoma. Drošības testi tiks veikti atbilstoši prioritātēm un izmaiņām, kas veiktas </w:t>
            </w:r>
            <w:r w:rsidR="00384D96">
              <w:rPr>
                <w:szCs w:val="24"/>
              </w:rPr>
              <w:t>risinājumo</w:t>
            </w:r>
            <w:r w:rsidR="003C0AD7">
              <w:rPr>
                <w:szCs w:val="24"/>
              </w:rPr>
              <w:t>s</w:t>
            </w:r>
            <w:r w:rsidRPr="00C372A8">
              <w:rPr>
                <w:szCs w:val="24"/>
              </w:rPr>
              <w:t>, plānveidīgi un secīgi, katrā no gadiem plānojot daļu no nepieciešamajām pārbaudēm, tādejādi vienmērīgi pārdalot izmaksas pa gadiem, vienlaikus ievērojot noteiktu drošības testu veikšanas regularitāti</w:t>
            </w:r>
            <w:r w:rsidR="003C0AD7">
              <w:rPr>
                <w:szCs w:val="24"/>
              </w:rPr>
              <w:t xml:space="preserve">, tai skaitā regularitātes atbilstību </w:t>
            </w:r>
            <w:r w:rsidR="00847D6F">
              <w:rPr>
                <w:szCs w:val="24"/>
              </w:rPr>
              <w:t>normatīvajos aktos noteiktajam</w:t>
            </w:r>
            <w:r w:rsidRPr="00C372A8">
              <w:rPr>
                <w:szCs w:val="24"/>
              </w:rPr>
              <w:t>.</w:t>
            </w:r>
            <w:r w:rsidR="005C3B27">
              <w:rPr>
                <w:szCs w:val="24"/>
              </w:rPr>
              <w:t xml:space="preserve"> Vidēji uzturēšanas gadā ir plānots </w:t>
            </w:r>
            <w:r w:rsidR="000B7DE8">
              <w:rPr>
                <w:szCs w:val="24"/>
              </w:rPr>
              <w:t>minētos testus piesaistot ārpakalpojumu 48 cilvēkdienu apjomā. Ņemo</w:t>
            </w:r>
            <w:r w:rsidR="009E4E06">
              <w:rPr>
                <w:szCs w:val="24"/>
              </w:rPr>
              <w:t xml:space="preserve">t vērā </w:t>
            </w:r>
            <w:r w:rsidR="00695873">
              <w:rPr>
                <w:szCs w:val="24"/>
              </w:rPr>
              <w:t xml:space="preserve">atbilstoša pakalpojuma </w:t>
            </w:r>
            <w:r w:rsidR="009E4E06">
              <w:rPr>
                <w:szCs w:val="24"/>
              </w:rPr>
              <w:t xml:space="preserve">cilvēkdienas </w:t>
            </w:r>
            <w:r w:rsidR="00695873">
              <w:rPr>
                <w:szCs w:val="24"/>
              </w:rPr>
              <w:t xml:space="preserve">tirgus </w:t>
            </w:r>
            <w:r w:rsidR="009E4E06">
              <w:rPr>
                <w:szCs w:val="24"/>
              </w:rPr>
              <w:t xml:space="preserve">cenu (vismaz 250 </w:t>
            </w:r>
            <w:proofErr w:type="spellStart"/>
            <w:r w:rsidR="009E4E06">
              <w:rPr>
                <w:szCs w:val="24"/>
              </w:rPr>
              <w:t>euro</w:t>
            </w:r>
            <w:proofErr w:type="spellEnd"/>
            <w:r w:rsidR="009E4E06">
              <w:rPr>
                <w:szCs w:val="24"/>
              </w:rPr>
              <w:t xml:space="preserve">), </w:t>
            </w:r>
            <w:r w:rsidR="00353DFF">
              <w:rPr>
                <w:szCs w:val="24"/>
              </w:rPr>
              <w:t xml:space="preserve">drošības testu veikšanu ir </w:t>
            </w:r>
            <w:r w:rsidR="00903C68">
              <w:rPr>
                <w:szCs w:val="24"/>
              </w:rPr>
              <w:t>nepieciešams finansējums vismaz</w:t>
            </w:r>
            <w:r w:rsidR="00353DFF">
              <w:rPr>
                <w:szCs w:val="24"/>
              </w:rPr>
              <w:t xml:space="preserve"> 48*250=12</w:t>
            </w:r>
            <w:r w:rsidR="00954D75">
              <w:rPr>
                <w:szCs w:val="24"/>
              </w:rPr>
              <w:t xml:space="preserve"> </w:t>
            </w:r>
            <w:r w:rsidR="00353DFF">
              <w:rPr>
                <w:szCs w:val="24"/>
              </w:rPr>
              <w:t xml:space="preserve">000 </w:t>
            </w:r>
            <w:proofErr w:type="spellStart"/>
            <w:r w:rsidR="00353DFF">
              <w:rPr>
                <w:szCs w:val="24"/>
              </w:rPr>
              <w:t>euro</w:t>
            </w:r>
            <w:proofErr w:type="spellEnd"/>
            <w:r w:rsidR="00353DFF">
              <w:rPr>
                <w:szCs w:val="24"/>
              </w:rPr>
              <w:t xml:space="preserve"> apmērā.</w:t>
            </w:r>
          </w:p>
        </w:tc>
      </w:tr>
      <w:tr w:rsidR="00CC6F38" w14:paraId="343A964F"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7AFBCE78" w14:textId="77777777" w:rsidR="00145D81" w:rsidRPr="00836FE4" w:rsidRDefault="002A525E" w:rsidP="00145D81">
            <w:pPr>
              <w:rPr>
                <w:iCs/>
                <w:color w:val="414142"/>
                <w:lang w:eastAsia="lv-LV"/>
              </w:rPr>
            </w:pPr>
            <w:r w:rsidRPr="00836FE4">
              <w:rPr>
                <w:iCs/>
                <w:color w:val="414142"/>
                <w:lang w:eastAsia="lv-LV"/>
              </w:rPr>
              <w:t>6.1. detalizēts ieņēmumu aprēķins</w:t>
            </w:r>
          </w:p>
        </w:tc>
        <w:tc>
          <w:tcPr>
            <w:tcW w:w="4214" w:type="pct"/>
            <w:gridSpan w:val="7"/>
            <w:vMerge/>
            <w:tcBorders>
              <w:top w:val="outset" w:sz="6" w:space="0" w:color="auto"/>
              <w:left w:val="outset" w:sz="6" w:space="0" w:color="auto"/>
              <w:bottom w:val="outset" w:sz="6" w:space="0" w:color="auto"/>
              <w:right w:val="outset" w:sz="6" w:space="0" w:color="auto"/>
            </w:tcBorders>
            <w:vAlign w:val="center"/>
            <w:hideMark/>
          </w:tcPr>
          <w:p w14:paraId="292CBC25" w14:textId="77777777" w:rsidR="00145D81" w:rsidRPr="00836FE4" w:rsidRDefault="00145D81" w:rsidP="00145D81">
            <w:pPr>
              <w:rPr>
                <w:iCs/>
                <w:color w:val="414142"/>
                <w:lang w:eastAsia="lv-LV"/>
              </w:rPr>
            </w:pPr>
          </w:p>
        </w:tc>
      </w:tr>
      <w:tr w:rsidR="00CC6F38" w14:paraId="10DA2904"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46A51763" w14:textId="77777777" w:rsidR="00145D81" w:rsidRPr="00836FE4" w:rsidRDefault="002A525E" w:rsidP="00145D81">
            <w:pPr>
              <w:rPr>
                <w:iCs/>
                <w:color w:val="414142"/>
                <w:lang w:eastAsia="lv-LV"/>
              </w:rPr>
            </w:pPr>
            <w:r w:rsidRPr="00836FE4">
              <w:rPr>
                <w:iCs/>
                <w:color w:val="414142"/>
                <w:lang w:eastAsia="lv-LV"/>
              </w:rPr>
              <w:t>6.2. detalizēts izdevumu aprēķins</w:t>
            </w:r>
          </w:p>
        </w:tc>
        <w:tc>
          <w:tcPr>
            <w:tcW w:w="4214" w:type="pct"/>
            <w:gridSpan w:val="7"/>
            <w:vMerge/>
            <w:tcBorders>
              <w:top w:val="outset" w:sz="6" w:space="0" w:color="auto"/>
              <w:left w:val="outset" w:sz="6" w:space="0" w:color="auto"/>
              <w:bottom w:val="outset" w:sz="6" w:space="0" w:color="auto"/>
              <w:right w:val="outset" w:sz="6" w:space="0" w:color="auto"/>
            </w:tcBorders>
            <w:vAlign w:val="center"/>
            <w:hideMark/>
          </w:tcPr>
          <w:p w14:paraId="467EFDC4" w14:textId="77777777" w:rsidR="00145D81" w:rsidRPr="00836FE4" w:rsidRDefault="00145D81" w:rsidP="00145D81">
            <w:pPr>
              <w:rPr>
                <w:iCs/>
                <w:color w:val="414142"/>
                <w:lang w:eastAsia="lv-LV"/>
              </w:rPr>
            </w:pPr>
          </w:p>
        </w:tc>
      </w:tr>
      <w:tr w:rsidR="00CC6F38" w14:paraId="5AD2A0AC"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1C6425A5" w14:textId="77777777" w:rsidR="00145D81" w:rsidRPr="00836FE4" w:rsidRDefault="002A525E" w:rsidP="00145D81">
            <w:pPr>
              <w:rPr>
                <w:iCs/>
                <w:color w:val="414142"/>
                <w:lang w:eastAsia="lv-LV"/>
              </w:rPr>
            </w:pPr>
            <w:r w:rsidRPr="00836FE4">
              <w:rPr>
                <w:iCs/>
                <w:color w:val="414142"/>
                <w:lang w:eastAsia="lv-LV"/>
              </w:rPr>
              <w:t>7. Amata vietu skaita izmaiņas</w:t>
            </w:r>
          </w:p>
        </w:tc>
        <w:tc>
          <w:tcPr>
            <w:tcW w:w="4214" w:type="pct"/>
            <w:gridSpan w:val="7"/>
            <w:tcBorders>
              <w:top w:val="outset" w:sz="6" w:space="0" w:color="auto"/>
              <w:left w:val="outset" w:sz="6" w:space="0" w:color="auto"/>
              <w:bottom w:val="outset" w:sz="6" w:space="0" w:color="auto"/>
              <w:right w:val="outset" w:sz="6" w:space="0" w:color="auto"/>
            </w:tcBorders>
            <w:hideMark/>
          </w:tcPr>
          <w:p w14:paraId="61237C9F" w14:textId="4623BA69" w:rsidR="00CE0983" w:rsidRDefault="006D2241" w:rsidP="006D2241">
            <w:pPr>
              <w:spacing w:line="276" w:lineRule="auto"/>
              <w:jc w:val="both"/>
            </w:pPr>
            <w:r>
              <w:rPr>
                <w:color w:val="000000" w:themeColor="text1"/>
              </w:rPr>
              <w:t xml:space="preserve">Projekta rezultātā NMP dienestā veidosies cilvēkresursu darba stundu ietaupījums, kas tiks novirzīts citu funkciju veikšanai: izsaukumu apstrāde integrējoties ar 112 platformu ļaus optimizēt </w:t>
            </w:r>
            <w:r>
              <w:rPr>
                <w:color w:val="000000"/>
              </w:rPr>
              <w:t>Izsaukumu pieņemšanas dispečeru amata vietas (</w:t>
            </w:r>
            <w:r>
              <w:rPr>
                <w:color w:val="000000" w:themeColor="text1"/>
              </w:rPr>
              <w:t>4,5 slodzes</w:t>
            </w:r>
            <w:r w:rsidR="00BF1B88">
              <w:rPr>
                <w:color w:val="000000" w:themeColor="text1"/>
              </w:rPr>
              <w:t xml:space="preserve">, </w:t>
            </w:r>
            <w:r>
              <w:rPr>
                <w:color w:val="000000"/>
              </w:rPr>
              <w:t xml:space="preserve">atbilstoši MK 2018.gada 18.decembra noteikumiem Nr.851 noteikta 3.kategorija ar mēnešalgu 1 025 </w:t>
            </w:r>
            <w:proofErr w:type="spellStart"/>
            <w:r>
              <w:rPr>
                <w:i/>
                <w:color w:val="000000"/>
              </w:rPr>
              <w:t>euro</w:t>
            </w:r>
            <w:proofErr w:type="spellEnd"/>
            <w:r>
              <w:rPr>
                <w:color w:val="000000"/>
              </w:rPr>
              <w:t>),</w:t>
            </w:r>
            <w:r>
              <w:rPr>
                <w:color w:val="000000" w:themeColor="text1"/>
              </w:rPr>
              <w:t xml:space="preserve"> un </w:t>
            </w:r>
            <w:r>
              <w:t>ietaupītos resursus novirzīt padziļinātai izsaukumu izpildes kontroles, brigāžu pārvaldes un pārraudzības, kā arī pacientu drošības jautājumu nodrošināšanai</w:t>
            </w:r>
            <w:r w:rsidR="0058529D">
              <w:t>,</w:t>
            </w:r>
            <w:r>
              <w:t xml:space="preserve"> pārveidojot Izsaukumu pieņemšanas dispečeru amata vietas </w:t>
            </w:r>
            <w:r w:rsidRPr="00603186">
              <w:t xml:space="preserve">par </w:t>
            </w:r>
            <w:r w:rsidRPr="00603186">
              <w:rPr>
                <w:color w:val="000000"/>
              </w:rPr>
              <w:t>3</w:t>
            </w:r>
            <w:r w:rsidR="00974A59" w:rsidRPr="00603186">
              <w:rPr>
                <w:color w:val="000000"/>
              </w:rPr>
              <w:t>,5</w:t>
            </w:r>
            <w:r w:rsidRPr="00603186">
              <w:rPr>
                <w:color w:val="000000"/>
              </w:rPr>
              <w:t xml:space="preserve"> ārstu</w:t>
            </w:r>
            <w:r>
              <w:rPr>
                <w:color w:val="000000"/>
              </w:rPr>
              <w:t xml:space="preserve"> ekspertu amata vietām (atbilstoši MK 2018.gada 18.decembra noteikumiem Nr.851 noteikta 3.kategorija ar mēnešalgu 1 647 </w:t>
            </w:r>
            <w:proofErr w:type="spellStart"/>
            <w:r>
              <w:rPr>
                <w:i/>
                <w:color w:val="000000"/>
              </w:rPr>
              <w:t>euro</w:t>
            </w:r>
            <w:proofErr w:type="spellEnd"/>
            <w:r>
              <w:t>).</w:t>
            </w:r>
          </w:p>
          <w:p w14:paraId="670E1DC7" w14:textId="77777777" w:rsidR="008D72B7" w:rsidRDefault="008D72B7" w:rsidP="006D2241">
            <w:pPr>
              <w:spacing w:line="276" w:lineRule="auto"/>
              <w:jc w:val="both"/>
            </w:pPr>
          </w:p>
          <w:p w14:paraId="71ABE031" w14:textId="77777777" w:rsidR="008D72B7" w:rsidRDefault="008D72B7" w:rsidP="00603186">
            <w:pPr>
              <w:spacing w:line="276" w:lineRule="auto"/>
              <w:jc w:val="both"/>
            </w:pPr>
            <w:r>
              <w:t>Detalizētais aprēķins:</w:t>
            </w:r>
            <w:r w:rsidR="00603186" w:rsidDel="00603186">
              <w:t xml:space="preserve"> </w:t>
            </w:r>
          </w:p>
          <w:tbl>
            <w:tblPr>
              <w:tblW w:w="6495" w:type="dxa"/>
              <w:tblLayout w:type="fixed"/>
              <w:tblLook w:val="04A0" w:firstRow="1" w:lastRow="0" w:firstColumn="1" w:lastColumn="0" w:noHBand="0" w:noVBand="1"/>
            </w:tblPr>
            <w:tblGrid>
              <w:gridCol w:w="4197"/>
              <w:gridCol w:w="1139"/>
              <w:gridCol w:w="1159"/>
            </w:tblGrid>
            <w:tr w:rsidR="00603186" w14:paraId="2C973DF5" w14:textId="77777777" w:rsidTr="00603186">
              <w:trPr>
                <w:trHeight w:val="250"/>
              </w:trPr>
              <w:tc>
                <w:tcPr>
                  <w:tcW w:w="419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967535C" w14:textId="77777777" w:rsidR="00603186" w:rsidRDefault="00603186" w:rsidP="00603186">
                  <w:pPr>
                    <w:suppressAutoHyphens w:val="0"/>
                    <w:spacing w:line="276" w:lineRule="auto"/>
                    <w:jc w:val="center"/>
                    <w:rPr>
                      <w:b/>
                      <w:bCs/>
                      <w:sz w:val="16"/>
                      <w:szCs w:val="16"/>
                      <w:lang w:val="en-GB" w:eastAsia="en-GB"/>
                    </w:rPr>
                  </w:pPr>
                  <w:r>
                    <w:rPr>
                      <w:b/>
                      <w:bCs/>
                      <w:sz w:val="16"/>
                      <w:szCs w:val="16"/>
                      <w:lang w:val="en-GB" w:eastAsia="en-GB"/>
                    </w:rPr>
                    <w:t> </w:t>
                  </w:r>
                </w:p>
              </w:tc>
              <w:tc>
                <w:tcPr>
                  <w:tcW w:w="2298"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4BF5B7C1" w14:textId="77777777" w:rsidR="00603186" w:rsidRDefault="00603186" w:rsidP="00603186">
                  <w:pPr>
                    <w:suppressAutoHyphens w:val="0"/>
                    <w:spacing w:line="276" w:lineRule="auto"/>
                    <w:jc w:val="center"/>
                    <w:rPr>
                      <w:b/>
                      <w:bCs/>
                      <w:sz w:val="16"/>
                      <w:szCs w:val="16"/>
                      <w:lang w:val="en-GB" w:eastAsia="en-GB"/>
                    </w:rPr>
                  </w:pPr>
                  <w:proofErr w:type="spellStart"/>
                  <w:r>
                    <w:rPr>
                      <w:b/>
                      <w:bCs/>
                      <w:sz w:val="16"/>
                      <w:szCs w:val="16"/>
                      <w:lang w:val="en-GB" w:eastAsia="en-GB"/>
                    </w:rPr>
                    <w:t>Amats</w:t>
                  </w:r>
                  <w:proofErr w:type="spellEnd"/>
                </w:p>
              </w:tc>
            </w:tr>
            <w:tr w:rsidR="00603186" w14:paraId="5250DB25" w14:textId="77777777" w:rsidTr="00603186">
              <w:trPr>
                <w:trHeight w:val="840"/>
              </w:trPr>
              <w:tc>
                <w:tcPr>
                  <w:tcW w:w="4197" w:type="dxa"/>
                  <w:vMerge/>
                  <w:tcBorders>
                    <w:top w:val="single" w:sz="4" w:space="0" w:color="auto"/>
                    <w:left w:val="single" w:sz="4" w:space="0" w:color="auto"/>
                    <w:bottom w:val="single" w:sz="4" w:space="0" w:color="auto"/>
                    <w:right w:val="single" w:sz="4" w:space="0" w:color="auto"/>
                  </w:tcBorders>
                  <w:vAlign w:val="center"/>
                  <w:hideMark/>
                </w:tcPr>
                <w:p w14:paraId="4130A77C" w14:textId="77777777" w:rsidR="00603186" w:rsidRDefault="00603186" w:rsidP="00603186">
                  <w:pPr>
                    <w:suppressAutoHyphens w:val="0"/>
                    <w:spacing w:line="276" w:lineRule="auto"/>
                    <w:rPr>
                      <w:b/>
                      <w:bCs/>
                      <w:sz w:val="16"/>
                      <w:szCs w:val="16"/>
                      <w:lang w:val="en-GB" w:eastAsia="en-GB"/>
                    </w:rPr>
                  </w:pPr>
                </w:p>
              </w:tc>
              <w:tc>
                <w:tcPr>
                  <w:tcW w:w="1139" w:type="dxa"/>
                  <w:tcBorders>
                    <w:top w:val="nil"/>
                    <w:left w:val="nil"/>
                    <w:bottom w:val="single" w:sz="4" w:space="0" w:color="auto"/>
                    <w:right w:val="single" w:sz="4" w:space="0" w:color="auto"/>
                  </w:tcBorders>
                  <w:shd w:val="clear" w:color="auto" w:fill="D9D9D9"/>
                  <w:vAlign w:val="center"/>
                  <w:hideMark/>
                </w:tcPr>
                <w:p w14:paraId="029624D4" w14:textId="77777777" w:rsidR="00603186" w:rsidRDefault="00603186" w:rsidP="00603186">
                  <w:pPr>
                    <w:suppressAutoHyphens w:val="0"/>
                    <w:spacing w:line="276" w:lineRule="auto"/>
                    <w:jc w:val="center"/>
                    <w:rPr>
                      <w:b/>
                      <w:bCs/>
                      <w:color w:val="000000"/>
                      <w:sz w:val="16"/>
                      <w:szCs w:val="16"/>
                      <w:lang w:val="en-GB" w:eastAsia="en-GB"/>
                    </w:rPr>
                  </w:pPr>
                  <w:proofErr w:type="spellStart"/>
                  <w:r>
                    <w:rPr>
                      <w:b/>
                      <w:bCs/>
                      <w:color w:val="000000"/>
                      <w:sz w:val="16"/>
                      <w:szCs w:val="16"/>
                      <w:lang w:val="en-GB" w:eastAsia="en-GB"/>
                    </w:rPr>
                    <w:t>Ārsts</w:t>
                  </w:r>
                  <w:proofErr w:type="spellEnd"/>
                  <w:r>
                    <w:rPr>
                      <w:b/>
                      <w:bCs/>
                      <w:color w:val="000000"/>
                      <w:sz w:val="16"/>
                      <w:szCs w:val="16"/>
                      <w:lang w:val="en-GB" w:eastAsia="en-GB"/>
                    </w:rPr>
                    <w:t xml:space="preserve"> </w:t>
                  </w:r>
                  <w:proofErr w:type="spellStart"/>
                  <w:r>
                    <w:rPr>
                      <w:b/>
                      <w:bCs/>
                      <w:color w:val="000000"/>
                      <w:sz w:val="16"/>
                      <w:szCs w:val="16"/>
                      <w:lang w:val="en-GB" w:eastAsia="en-GB"/>
                    </w:rPr>
                    <w:t>eksperts</w:t>
                  </w:r>
                  <w:proofErr w:type="spellEnd"/>
                </w:p>
              </w:tc>
              <w:tc>
                <w:tcPr>
                  <w:tcW w:w="1159" w:type="dxa"/>
                  <w:tcBorders>
                    <w:top w:val="nil"/>
                    <w:left w:val="nil"/>
                    <w:bottom w:val="single" w:sz="4" w:space="0" w:color="auto"/>
                    <w:right w:val="single" w:sz="4" w:space="0" w:color="auto"/>
                  </w:tcBorders>
                  <w:shd w:val="clear" w:color="auto" w:fill="D9D9D9"/>
                  <w:vAlign w:val="center"/>
                  <w:hideMark/>
                </w:tcPr>
                <w:p w14:paraId="550F9841" w14:textId="77777777" w:rsidR="00603186" w:rsidRDefault="00603186" w:rsidP="00603186">
                  <w:pPr>
                    <w:suppressAutoHyphens w:val="0"/>
                    <w:spacing w:line="276" w:lineRule="auto"/>
                    <w:jc w:val="center"/>
                    <w:rPr>
                      <w:b/>
                      <w:bCs/>
                      <w:color w:val="000000"/>
                      <w:sz w:val="16"/>
                      <w:szCs w:val="16"/>
                      <w:lang w:val="en-GB" w:eastAsia="en-GB"/>
                    </w:rPr>
                  </w:pPr>
                  <w:proofErr w:type="spellStart"/>
                  <w:r>
                    <w:rPr>
                      <w:b/>
                      <w:bCs/>
                      <w:color w:val="000000"/>
                      <w:sz w:val="16"/>
                      <w:szCs w:val="16"/>
                      <w:lang w:val="en-GB" w:eastAsia="en-GB"/>
                    </w:rPr>
                    <w:t>Izsaukumu</w:t>
                  </w:r>
                  <w:proofErr w:type="spellEnd"/>
                  <w:r>
                    <w:rPr>
                      <w:b/>
                      <w:bCs/>
                      <w:color w:val="000000"/>
                      <w:sz w:val="16"/>
                      <w:szCs w:val="16"/>
                      <w:lang w:val="en-GB" w:eastAsia="en-GB"/>
                    </w:rPr>
                    <w:t xml:space="preserve"> </w:t>
                  </w:r>
                  <w:proofErr w:type="spellStart"/>
                  <w:r>
                    <w:rPr>
                      <w:b/>
                      <w:bCs/>
                      <w:color w:val="000000"/>
                      <w:sz w:val="16"/>
                      <w:szCs w:val="16"/>
                      <w:lang w:val="en-GB" w:eastAsia="en-GB"/>
                    </w:rPr>
                    <w:t>pieņemšanas</w:t>
                  </w:r>
                  <w:proofErr w:type="spellEnd"/>
                  <w:r>
                    <w:rPr>
                      <w:b/>
                      <w:bCs/>
                      <w:color w:val="000000"/>
                      <w:sz w:val="16"/>
                      <w:szCs w:val="16"/>
                      <w:lang w:val="en-GB" w:eastAsia="en-GB"/>
                    </w:rPr>
                    <w:t xml:space="preserve"> </w:t>
                  </w:r>
                  <w:proofErr w:type="spellStart"/>
                  <w:r>
                    <w:rPr>
                      <w:b/>
                      <w:bCs/>
                      <w:color w:val="000000"/>
                      <w:sz w:val="16"/>
                      <w:szCs w:val="16"/>
                      <w:lang w:val="en-GB" w:eastAsia="en-GB"/>
                    </w:rPr>
                    <w:t>dispečers</w:t>
                  </w:r>
                  <w:proofErr w:type="spellEnd"/>
                  <w:r>
                    <w:rPr>
                      <w:b/>
                      <w:bCs/>
                      <w:color w:val="000000"/>
                      <w:sz w:val="16"/>
                      <w:szCs w:val="16"/>
                      <w:lang w:val="en-GB" w:eastAsia="en-GB"/>
                    </w:rPr>
                    <w:t xml:space="preserve"> NM </w:t>
                  </w:r>
                  <w:proofErr w:type="spellStart"/>
                  <w:r>
                    <w:rPr>
                      <w:b/>
                      <w:bCs/>
                      <w:color w:val="000000"/>
                      <w:sz w:val="16"/>
                      <w:szCs w:val="16"/>
                      <w:lang w:val="en-GB" w:eastAsia="en-GB"/>
                    </w:rPr>
                    <w:t>ārsta</w:t>
                  </w:r>
                  <w:proofErr w:type="spellEnd"/>
                  <w:r>
                    <w:rPr>
                      <w:b/>
                      <w:bCs/>
                      <w:color w:val="000000"/>
                      <w:sz w:val="16"/>
                      <w:szCs w:val="16"/>
                      <w:lang w:val="en-GB" w:eastAsia="en-GB"/>
                    </w:rPr>
                    <w:t xml:space="preserve"> </w:t>
                  </w:r>
                  <w:proofErr w:type="spellStart"/>
                  <w:r>
                    <w:rPr>
                      <w:b/>
                      <w:bCs/>
                      <w:color w:val="000000"/>
                      <w:sz w:val="16"/>
                      <w:szCs w:val="16"/>
                      <w:lang w:val="en-GB" w:eastAsia="en-GB"/>
                    </w:rPr>
                    <w:t>palīgs</w:t>
                  </w:r>
                  <w:proofErr w:type="spellEnd"/>
                </w:p>
              </w:tc>
            </w:tr>
            <w:tr w:rsidR="00603186" w14:paraId="5ECCDB37"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02F3E9A5" w14:textId="77777777" w:rsidR="00603186" w:rsidRDefault="00603186" w:rsidP="00603186">
                  <w:pPr>
                    <w:suppressAutoHyphens w:val="0"/>
                    <w:spacing w:line="276" w:lineRule="auto"/>
                    <w:rPr>
                      <w:sz w:val="16"/>
                      <w:szCs w:val="16"/>
                      <w:lang w:val="en-GB" w:eastAsia="en-GB"/>
                    </w:rPr>
                  </w:pPr>
                  <w:proofErr w:type="spellStart"/>
                  <w:r>
                    <w:rPr>
                      <w:sz w:val="16"/>
                      <w:szCs w:val="16"/>
                      <w:lang w:val="en-GB" w:eastAsia="en-GB"/>
                    </w:rPr>
                    <w:t>Kategorija</w:t>
                  </w:r>
                  <w:proofErr w:type="spellEnd"/>
                  <w:r>
                    <w:rPr>
                      <w:sz w:val="16"/>
                      <w:szCs w:val="16"/>
                      <w:lang w:val="en-GB" w:eastAsia="en-GB"/>
                    </w:rPr>
                    <w:t xml:space="preserve"> </w:t>
                  </w:r>
                  <w:proofErr w:type="spellStart"/>
                  <w:r>
                    <w:rPr>
                      <w:sz w:val="16"/>
                      <w:szCs w:val="16"/>
                      <w:lang w:val="en-GB" w:eastAsia="en-GB"/>
                    </w:rPr>
                    <w:t>atbilstoši</w:t>
                  </w:r>
                  <w:proofErr w:type="spellEnd"/>
                  <w:r>
                    <w:rPr>
                      <w:sz w:val="16"/>
                      <w:szCs w:val="16"/>
                      <w:lang w:val="en-GB" w:eastAsia="en-GB"/>
                    </w:rPr>
                    <w:t xml:space="preserve"> MK </w:t>
                  </w:r>
                  <w:proofErr w:type="spellStart"/>
                  <w:r>
                    <w:rPr>
                      <w:sz w:val="16"/>
                      <w:szCs w:val="16"/>
                      <w:lang w:val="en-GB" w:eastAsia="en-GB"/>
                    </w:rPr>
                    <w:t>noteikumiem</w:t>
                  </w:r>
                  <w:proofErr w:type="spellEnd"/>
                  <w:r>
                    <w:rPr>
                      <w:sz w:val="16"/>
                      <w:szCs w:val="16"/>
                      <w:lang w:val="en-GB" w:eastAsia="en-GB"/>
                    </w:rPr>
                    <w:t xml:space="preserve"> Nr.851</w:t>
                  </w:r>
                </w:p>
              </w:tc>
              <w:tc>
                <w:tcPr>
                  <w:tcW w:w="1139" w:type="dxa"/>
                  <w:tcBorders>
                    <w:top w:val="nil"/>
                    <w:left w:val="nil"/>
                    <w:bottom w:val="single" w:sz="4" w:space="0" w:color="auto"/>
                    <w:right w:val="single" w:sz="4" w:space="0" w:color="auto"/>
                  </w:tcBorders>
                  <w:shd w:val="clear" w:color="auto" w:fill="FFFFFF"/>
                  <w:noWrap/>
                  <w:vAlign w:val="center"/>
                  <w:hideMark/>
                </w:tcPr>
                <w:p w14:paraId="62571231"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1</w:t>
                  </w:r>
                </w:p>
              </w:tc>
              <w:tc>
                <w:tcPr>
                  <w:tcW w:w="1159" w:type="dxa"/>
                  <w:tcBorders>
                    <w:top w:val="nil"/>
                    <w:left w:val="nil"/>
                    <w:bottom w:val="single" w:sz="4" w:space="0" w:color="auto"/>
                    <w:right w:val="single" w:sz="4" w:space="0" w:color="auto"/>
                  </w:tcBorders>
                  <w:shd w:val="clear" w:color="auto" w:fill="FFFFFF"/>
                  <w:noWrap/>
                  <w:vAlign w:val="center"/>
                  <w:hideMark/>
                </w:tcPr>
                <w:p w14:paraId="4161C4EF"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3</w:t>
                  </w:r>
                </w:p>
              </w:tc>
            </w:tr>
            <w:tr w:rsidR="00603186" w14:paraId="5C88AA62"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7402B760" w14:textId="77777777" w:rsidR="00603186" w:rsidRDefault="00603186" w:rsidP="00603186">
                  <w:pPr>
                    <w:suppressAutoHyphens w:val="0"/>
                    <w:spacing w:line="276" w:lineRule="auto"/>
                    <w:rPr>
                      <w:sz w:val="16"/>
                      <w:szCs w:val="16"/>
                      <w:lang w:val="en-GB" w:eastAsia="en-GB"/>
                    </w:rPr>
                  </w:pPr>
                  <w:proofErr w:type="spellStart"/>
                  <w:r>
                    <w:rPr>
                      <w:sz w:val="16"/>
                      <w:szCs w:val="16"/>
                      <w:lang w:val="en-GB" w:eastAsia="en-GB"/>
                    </w:rPr>
                    <w:t>Stundas</w:t>
                  </w:r>
                  <w:proofErr w:type="spellEnd"/>
                  <w:r>
                    <w:rPr>
                      <w:sz w:val="16"/>
                      <w:szCs w:val="16"/>
                      <w:lang w:val="en-GB" w:eastAsia="en-GB"/>
                    </w:rPr>
                    <w:t xml:space="preserve"> </w:t>
                  </w:r>
                  <w:proofErr w:type="spellStart"/>
                  <w:r>
                    <w:rPr>
                      <w:sz w:val="16"/>
                      <w:szCs w:val="16"/>
                      <w:lang w:val="en-GB" w:eastAsia="en-GB"/>
                    </w:rPr>
                    <w:t>likme</w:t>
                  </w:r>
                  <w:proofErr w:type="spellEnd"/>
                </w:p>
              </w:tc>
              <w:tc>
                <w:tcPr>
                  <w:tcW w:w="1139" w:type="dxa"/>
                  <w:tcBorders>
                    <w:top w:val="nil"/>
                    <w:left w:val="nil"/>
                    <w:bottom w:val="single" w:sz="4" w:space="0" w:color="auto"/>
                    <w:right w:val="single" w:sz="4" w:space="0" w:color="auto"/>
                  </w:tcBorders>
                  <w:shd w:val="clear" w:color="auto" w:fill="FFFFFF"/>
                  <w:noWrap/>
                  <w:vAlign w:val="center"/>
                  <w:hideMark/>
                </w:tcPr>
                <w:p w14:paraId="2741DB62"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9.91</w:t>
                  </w:r>
                </w:p>
              </w:tc>
              <w:tc>
                <w:tcPr>
                  <w:tcW w:w="1159" w:type="dxa"/>
                  <w:tcBorders>
                    <w:top w:val="nil"/>
                    <w:left w:val="nil"/>
                    <w:bottom w:val="single" w:sz="4" w:space="0" w:color="auto"/>
                    <w:right w:val="single" w:sz="4" w:space="0" w:color="auto"/>
                  </w:tcBorders>
                  <w:shd w:val="clear" w:color="auto" w:fill="FFFFFF"/>
                  <w:noWrap/>
                  <w:vAlign w:val="center"/>
                  <w:hideMark/>
                </w:tcPr>
                <w:p w14:paraId="2489FBAC"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6.17</w:t>
                  </w:r>
                </w:p>
              </w:tc>
            </w:tr>
            <w:tr w:rsidR="00603186" w14:paraId="4F914C8C"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01FD5496" w14:textId="77777777" w:rsidR="00603186" w:rsidRPr="00603186" w:rsidRDefault="00603186" w:rsidP="00603186">
                  <w:pPr>
                    <w:suppressAutoHyphens w:val="0"/>
                    <w:spacing w:line="276" w:lineRule="auto"/>
                    <w:rPr>
                      <w:sz w:val="16"/>
                      <w:szCs w:val="16"/>
                      <w:lang w:val="en-GB" w:eastAsia="en-GB"/>
                    </w:rPr>
                  </w:pPr>
                  <w:proofErr w:type="spellStart"/>
                  <w:r w:rsidRPr="00603186">
                    <w:rPr>
                      <w:sz w:val="16"/>
                      <w:szCs w:val="16"/>
                      <w:lang w:val="en-GB" w:eastAsia="en-GB"/>
                    </w:rPr>
                    <w:t>Mēnešalga</w:t>
                  </w:r>
                  <w:proofErr w:type="spellEnd"/>
                </w:p>
              </w:tc>
              <w:tc>
                <w:tcPr>
                  <w:tcW w:w="1139" w:type="dxa"/>
                  <w:tcBorders>
                    <w:top w:val="nil"/>
                    <w:left w:val="nil"/>
                    <w:bottom w:val="single" w:sz="4" w:space="0" w:color="auto"/>
                    <w:right w:val="single" w:sz="4" w:space="0" w:color="auto"/>
                  </w:tcBorders>
                  <w:shd w:val="clear" w:color="auto" w:fill="FFFFFF"/>
                  <w:noWrap/>
                  <w:vAlign w:val="center"/>
                  <w:hideMark/>
                </w:tcPr>
                <w:p w14:paraId="6EA2AFF1" w14:textId="77777777" w:rsidR="00603186" w:rsidRPr="00603186" w:rsidRDefault="00603186" w:rsidP="00603186">
                  <w:pPr>
                    <w:suppressAutoHyphens w:val="0"/>
                    <w:spacing w:line="276" w:lineRule="auto"/>
                    <w:jc w:val="center"/>
                    <w:rPr>
                      <w:color w:val="000000"/>
                      <w:sz w:val="16"/>
                      <w:szCs w:val="16"/>
                      <w:lang w:val="en-GB" w:eastAsia="en-GB"/>
                    </w:rPr>
                  </w:pPr>
                  <w:r w:rsidRPr="00603186">
                    <w:rPr>
                      <w:color w:val="000000"/>
                      <w:sz w:val="16"/>
                      <w:szCs w:val="16"/>
                      <w:lang w:val="en-GB" w:eastAsia="en-GB"/>
                    </w:rPr>
                    <w:t>1,647</w:t>
                  </w:r>
                </w:p>
              </w:tc>
              <w:tc>
                <w:tcPr>
                  <w:tcW w:w="1159" w:type="dxa"/>
                  <w:tcBorders>
                    <w:top w:val="nil"/>
                    <w:left w:val="nil"/>
                    <w:bottom w:val="single" w:sz="4" w:space="0" w:color="auto"/>
                    <w:right w:val="single" w:sz="4" w:space="0" w:color="auto"/>
                  </w:tcBorders>
                  <w:shd w:val="clear" w:color="auto" w:fill="FFFFFF"/>
                  <w:noWrap/>
                  <w:vAlign w:val="center"/>
                  <w:hideMark/>
                </w:tcPr>
                <w:p w14:paraId="7244AC42"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1,025</w:t>
                  </w:r>
                </w:p>
              </w:tc>
            </w:tr>
            <w:tr w:rsidR="00603186" w14:paraId="3B263BDB"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14327858" w14:textId="77777777" w:rsidR="00603186" w:rsidRPr="00603186" w:rsidRDefault="00603186" w:rsidP="00603186">
                  <w:pPr>
                    <w:suppressAutoHyphens w:val="0"/>
                    <w:spacing w:line="276" w:lineRule="auto"/>
                    <w:rPr>
                      <w:sz w:val="16"/>
                      <w:szCs w:val="16"/>
                      <w:lang w:val="en-GB" w:eastAsia="en-GB"/>
                    </w:rPr>
                  </w:pPr>
                  <w:r w:rsidRPr="00603186">
                    <w:rPr>
                      <w:sz w:val="16"/>
                      <w:szCs w:val="16"/>
                      <w:lang w:val="en-GB" w:eastAsia="en-GB"/>
                    </w:rPr>
                    <w:t xml:space="preserve">Amata </w:t>
                  </w:r>
                  <w:proofErr w:type="spellStart"/>
                  <w:r w:rsidRPr="00603186">
                    <w:rPr>
                      <w:sz w:val="16"/>
                      <w:szCs w:val="16"/>
                      <w:lang w:val="en-GB" w:eastAsia="en-GB"/>
                    </w:rPr>
                    <w:t>slodzes</w:t>
                  </w:r>
                  <w:proofErr w:type="spellEnd"/>
                </w:p>
              </w:tc>
              <w:tc>
                <w:tcPr>
                  <w:tcW w:w="1139" w:type="dxa"/>
                  <w:tcBorders>
                    <w:top w:val="nil"/>
                    <w:left w:val="nil"/>
                    <w:bottom w:val="single" w:sz="4" w:space="0" w:color="auto"/>
                    <w:right w:val="single" w:sz="4" w:space="0" w:color="auto"/>
                  </w:tcBorders>
                  <w:shd w:val="clear" w:color="auto" w:fill="FFFFFF"/>
                  <w:noWrap/>
                  <w:vAlign w:val="center"/>
                  <w:hideMark/>
                </w:tcPr>
                <w:p w14:paraId="6F3F8781" w14:textId="77777777" w:rsidR="00603186" w:rsidRPr="00603186" w:rsidRDefault="00603186" w:rsidP="00603186">
                  <w:pPr>
                    <w:suppressAutoHyphens w:val="0"/>
                    <w:spacing w:line="276" w:lineRule="auto"/>
                    <w:jc w:val="center"/>
                    <w:rPr>
                      <w:color w:val="000000"/>
                      <w:sz w:val="16"/>
                      <w:szCs w:val="16"/>
                      <w:lang w:val="en-GB" w:eastAsia="en-GB"/>
                    </w:rPr>
                  </w:pPr>
                  <w:r w:rsidRPr="00603186">
                    <w:rPr>
                      <w:color w:val="000000"/>
                      <w:sz w:val="16"/>
                      <w:szCs w:val="16"/>
                      <w:lang w:val="en-GB" w:eastAsia="en-GB"/>
                    </w:rPr>
                    <w:t>3,5</w:t>
                  </w:r>
                </w:p>
              </w:tc>
              <w:tc>
                <w:tcPr>
                  <w:tcW w:w="1159" w:type="dxa"/>
                  <w:tcBorders>
                    <w:top w:val="nil"/>
                    <w:left w:val="nil"/>
                    <w:bottom w:val="single" w:sz="4" w:space="0" w:color="auto"/>
                    <w:right w:val="single" w:sz="4" w:space="0" w:color="auto"/>
                  </w:tcBorders>
                  <w:shd w:val="clear" w:color="auto" w:fill="FFFFFF"/>
                  <w:noWrap/>
                  <w:vAlign w:val="center"/>
                  <w:hideMark/>
                </w:tcPr>
                <w:p w14:paraId="733E6143"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4.5</w:t>
                  </w:r>
                </w:p>
              </w:tc>
            </w:tr>
            <w:tr w:rsidR="00603186" w14:paraId="0986B6E5"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44D3056B" w14:textId="77777777" w:rsidR="00603186" w:rsidRPr="00603186" w:rsidRDefault="00603186" w:rsidP="00603186">
                  <w:pPr>
                    <w:suppressAutoHyphens w:val="0"/>
                    <w:spacing w:line="276" w:lineRule="auto"/>
                    <w:rPr>
                      <w:sz w:val="16"/>
                      <w:szCs w:val="16"/>
                      <w:lang w:val="en-GB" w:eastAsia="en-GB"/>
                    </w:rPr>
                  </w:pPr>
                  <w:proofErr w:type="spellStart"/>
                  <w:r w:rsidRPr="00603186">
                    <w:rPr>
                      <w:sz w:val="16"/>
                      <w:szCs w:val="16"/>
                      <w:lang w:val="en-GB" w:eastAsia="en-GB"/>
                    </w:rPr>
                    <w:t>Mēnešalga</w:t>
                  </w:r>
                  <w:proofErr w:type="spellEnd"/>
                  <w:r w:rsidRPr="00603186">
                    <w:rPr>
                      <w:sz w:val="16"/>
                      <w:szCs w:val="16"/>
                      <w:lang w:val="en-GB" w:eastAsia="en-GB"/>
                    </w:rPr>
                    <w:t xml:space="preserve"> </w:t>
                  </w:r>
                  <w:proofErr w:type="spellStart"/>
                  <w:r w:rsidRPr="00603186">
                    <w:rPr>
                      <w:sz w:val="16"/>
                      <w:szCs w:val="16"/>
                      <w:lang w:val="en-GB" w:eastAsia="en-GB"/>
                    </w:rPr>
                    <w:t>visām</w:t>
                  </w:r>
                  <w:proofErr w:type="spellEnd"/>
                  <w:r w:rsidRPr="00603186">
                    <w:rPr>
                      <w:sz w:val="16"/>
                      <w:szCs w:val="16"/>
                      <w:lang w:val="en-GB" w:eastAsia="en-GB"/>
                    </w:rPr>
                    <w:t xml:space="preserve"> </w:t>
                  </w:r>
                  <w:proofErr w:type="spellStart"/>
                  <w:r w:rsidRPr="00603186">
                    <w:rPr>
                      <w:sz w:val="16"/>
                      <w:szCs w:val="16"/>
                      <w:lang w:val="en-GB" w:eastAsia="en-GB"/>
                    </w:rPr>
                    <w:t>slodzēm</w:t>
                  </w:r>
                  <w:proofErr w:type="spellEnd"/>
                </w:p>
              </w:tc>
              <w:tc>
                <w:tcPr>
                  <w:tcW w:w="1139" w:type="dxa"/>
                  <w:tcBorders>
                    <w:top w:val="nil"/>
                    <w:left w:val="nil"/>
                    <w:bottom w:val="single" w:sz="4" w:space="0" w:color="auto"/>
                    <w:right w:val="single" w:sz="4" w:space="0" w:color="auto"/>
                  </w:tcBorders>
                  <w:shd w:val="clear" w:color="auto" w:fill="FFFFFF"/>
                  <w:noWrap/>
                  <w:vAlign w:val="center"/>
                  <w:hideMark/>
                </w:tcPr>
                <w:p w14:paraId="6E83B0EF" w14:textId="77777777" w:rsidR="00603186" w:rsidRPr="00603186" w:rsidRDefault="00603186" w:rsidP="00603186">
                  <w:pPr>
                    <w:suppressAutoHyphens w:val="0"/>
                    <w:spacing w:line="276" w:lineRule="auto"/>
                    <w:jc w:val="center"/>
                    <w:rPr>
                      <w:color w:val="000000"/>
                      <w:sz w:val="16"/>
                      <w:szCs w:val="16"/>
                      <w:lang w:val="en-GB" w:eastAsia="en-GB"/>
                    </w:rPr>
                  </w:pPr>
                  <w:r w:rsidRPr="00603186">
                    <w:rPr>
                      <w:color w:val="000000"/>
                      <w:sz w:val="16"/>
                      <w:szCs w:val="16"/>
                      <w:lang w:val="en-GB" w:eastAsia="en-GB"/>
                    </w:rPr>
                    <w:t>5,765</w:t>
                  </w:r>
                </w:p>
              </w:tc>
              <w:tc>
                <w:tcPr>
                  <w:tcW w:w="1159" w:type="dxa"/>
                  <w:tcBorders>
                    <w:top w:val="nil"/>
                    <w:left w:val="nil"/>
                    <w:bottom w:val="single" w:sz="4" w:space="0" w:color="auto"/>
                    <w:right w:val="single" w:sz="4" w:space="0" w:color="auto"/>
                  </w:tcBorders>
                  <w:shd w:val="clear" w:color="auto" w:fill="FFFFFF"/>
                  <w:noWrap/>
                  <w:vAlign w:val="center"/>
                  <w:hideMark/>
                </w:tcPr>
                <w:p w14:paraId="4D27C393"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4,613</w:t>
                  </w:r>
                </w:p>
              </w:tc>
            </w:tr>
            <w:tr w:rsidR="00603186" w14:paraId="1AE286AD"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10233687" w14:textId="77777777" w:rsidR="00603186" w:rsidRPr="00603186" w:rsidRDefault="00603186" w:rsidP="00603186">
                  <w:pPr>
                    <w:suppressAutoHyphens w:val="0"/>
                    <w:spacing w:line="276" w:lineRule="auto"/>
                    <w:rPr>
                      <w:sz w:val="16"/>
                      <w:szCs w:val="16"/>
                      <w:lang w:val="en-GB" w:eastAsia="en-GB"/>
                    </w:rPr>
                  </w:pPr>
                  <w:proofErr w:type="spellStart"/>
                  <w:r w:rsidRPr="00603186">
                    <w:rPr>
                      <w:sz w:val="16"/>
                      <w:szCs w:val="16"/>
                      <w:lang w:val="en-GB" w:eastAsia="en-GB"/>
                    </w:rPr>
                    <w:t>Piemaksa</w:t>
                  </w:r>
                  <w:proofErr w:type="spellEnd"/>
                  <w:r w:rsidRPr="00603186">
                    <w:rPr>
                      <w:sz w:val="16"/>
                      <w:szCs w:val="16"/>
                      <w:lang w:val="en-GB" w:eastAsia="en-GB"/>
                    </w:rPr>
                    <w:t xml:space="preserve"> par </w:t>
                  </w:r>
                  <w:proofErr w:type="spellStart"/>
                  <w:r w:rsidRPr="00603186">
                    <w:rPr>
                      <w:sz w:val="16"/>
                      <w:szCs w:val="16"/>
                      <w:lang w:val="en-GB" w:eastAsia="en-GB"/>
                    </w:rPr>
                    <w:t>nakts</w:t>
                  </w:r>
                  <w:proofErr w:type="spellEnd"/>
                  <w:r w:rsidRPr="00603186">
                    <w:rPr>
                      <w:sz w:val="16"/>
                      <w:szCs w:val="16"/>
                      <w:lang w:val="en-GB" w:eastAsia="en-GB"/>
                    </w:rPr>
                    <w:t xml:space="preserve"> </w:t>
                  </w:r>
                  <w:proofErr w:type="spellStart"/>
                  <w:r w:rsidRPr="00603186">
                    <w:rPr>
                      <w:sz w:val="16"/>
                      <w:szCs w:val="16"/>
                      <w:lang w:val="en-GB" w:eastAsia="en-GB"/>
                    </w:rPr>
                    <w:t>darbu</w:t>
                  </w:r>
                  <w:proofErr w:type="spellEnd"/>
                  <w:r w:rsidRPr="00603186">
                    <w:rPr>
                      <w:sz w:val="16"/>
                      <w:szCs w:val="16"/>
                      <w:lang w:val="en-GB" w:eastAsia="en-GB"/>
                    </w:rPr>
                    <w:t xml:space="preserve"> </w:t>
                  </w:r>
                </w:p>
              </w:tc>
              <w:tc>
                <w:tcPr>
                  <w:tcW w:w="1139" w:type="dxa"/>
                  <w:tcBorders>
                    <w:top w:val="nil"/>
                    <w:left w:val="nil"/>
                    <w:bottom w:val="single" w:sz="4" w:space="0" w:color="auto"/>
                    <w:right w:val="single" w:sz="4" w:space="0" w:color="auto"/>
                  </w:tcBorders>
                  <w:noWrap/>
                  <w:vAlign w:val="center"/>
                  <w:hideMark/>
                </w:tcPr>
                <w:p w14:paraId="31EF8986" w14:textId="77777777" w:rsidR="00603186" w:rsidRPr="00603186" w:rsidRDefault="00603186" w:rsidP="00603186">
                  <w:pPr>
                    <w:suppressAutoHyphens w:val="0"/>
                    <w:spacing w:line="276" w:lineRule="auto"/>
                    <w:jc w:val="center"/>
                    <w:rPr>
                      <w:sz w:val="16"/>
                      <w:szCs w:val="16"/>
                      <w:lang w:val="en-GB" w:eastAsia="en-GB"/>
                    </w:rPr>
                  </w:pPr>
                  <w:r w:rsidRPr="00603186">
                    <w:rPr>
                      <w:sz w:val="16"/>
                      <w:szCs w:val="16"/>
                      <w:lang w:val="en-GB" w:eastAsia="en-GB"/>
                    </w:rPr>
                    <w:t> </w:t>
                  </w:r>
                </w:p>
              </w:tc>
              <w:tc>
                <w:tcPr>
                  <w:tcW w:w="1159" w:type="dxa"/>
                  <w:tcBorders>
                    <w:top w:val="nil"/>
                    <w:left w:val="nil"/>
                    <w:bottom w:val="single" w:sz="4" w:space="0" w:color="auto"/>
                    <w:right w:val="single" w:sz="4" w:space="0" w:color="auto"/>
                  </w:tcBorders>
                  <w:shd w:val="clear" w:color="auto" w:fill="FFFFFF"/>
                  <w:noWrap/>
                  <w:vAlign w:val="center"/>
                  <w:hideMark/>
                </w:tcPr>
                <w:p w14:paraId="4D7BA129"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1,142</w:t>
                  </w:r>
                </w:p>
              </w:tc>
            </w:tr>
            <w:tr w:rsidR="00603186" w14:paraId="7041AAEC"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7F555A15" w14:textId="77777777" w:rsidR="00603186" w:rsidRPr="00603186" w:rsidRDefault="00603186" w:rsidP="00603186">
                  <w:pPr>
                    <w:suppressAutoHyphens w:val="0"/>
                    <w:spacing w:line="276" w:lineRule="auto"/>
                    <w:rPr>
                      <w:sz w:val="16"/>
                      <w:szCs w:val="16"/>
                      <w:lang w:val="en-GB" w:eastAsia="en-GB"/>
                    </w:rPr>
                  </w:pPr>
                  <w:proofErr w:type="spellStart"/>
                  <w:r w:rsidRPr="00603186">
                    <w:rPr>
                      <w:sz w:val="16"/>
                      <w:szCs w:val="16"/>
                      <w:lang w:val="en-GB" w:eastAsia="en-GB"/>
                    </w:rPr>
                    <w:t>Piemaksa</w:t>
                  </w:r>
                  <w:proofErr w:type="spellEnd"/>
                  <w:r w:rsidRPr="00603186">
                    <w:rPr>
                      <w:sz w:val="16"/>
                      <w:szCs w:val="16"/>
                      <w:lang w:val="en-GB" w:eastAsia="en-GB"/>
                    </w:rPr>
                    <w:t xml:space="preserve"> par </w:t>
                  </w:r>
                  <w:proofErr w:type="spellStart"/>
                  <w:r w:rsidRPr="00603186">
                    <w:rPr>
                      <w:sz w:val="16"/>
                      <w:szCs w:val="16"/>
                      <w:lang w:val="en-GB" w:eastAsia="en-GB"/>
                    </w:rPr>
                    <w:t>stāžu</w:t>
                  </w:r>
                  <w:proofErr w:type="spellEnd"/>
                  <w:r w:rsidRPr="00603186">
                    <w:rPr>
                      <w:sz w:val="16"/>
                      <w:szCs w:val="16"/>
                      <w:lang w:val="en-GB" w:eastAsia="en-GB"/>
                    </w:rPr>
                    <w:t xml:space="preserve"> 3%</w:t>
                  </w:r>
                </w:p>
              </w:tc>
              <w:tc>
                <w:tcPr>
                  <w:tcW w:w="1139" w:type="dxa"/>
                  <w:tcBorders>
                    <w:top w:val="nil"/>
                    <w:left w:val="nil"/>
                    <w:bottom w:val="single" w:sz="4" w:space="0" w:color="auto"/>
                    <w:right w:val="single" w:sz="4" w:space="0" w:color="auto"/>
                  </w:tcBorders>
                  <w:shd w:val="clear" w:color="auto" w:fill="FFFFFF"/>
                  <w:noWrap/>
                  <w:vAlign w:val="center"/>
                  <w:hideMark/>
                </w:tcPr>
                <w:p w14:paraId="086DE386" w14:textId="77777777" w:rsidR="00603186" w:rsidRPr="00603186" w:rsidRDefault="00603186" w:rsidP="00603186">
                  <w:pPr>
                    <w:suppressAutoHyphens w:val="0"/>
                    <w:spacing w:line="276" w:lineRule="auto"/>
                    <w:jc w:val="center"/>
                    <w:rPr>
                      <w:color w:val="000000"/>
                      <w:sz w:val="16"/>
                      <w:szCs w:val="16"/>
                      <w:lang w:val="en-GB" w:eastAsia="en-GB"/>
                    </w:rPr>
                  </w:pPr>
                  <w:r w:rsidRPr="00603186">
                    <w:rPr>
                      <w:color w:val="000000"/>
                      <w:sz w:val="16"/>
                      <w:szCs w:val="16"/>
                      <w:lang w:val="en-GB" w:eastAsia="en-GB"/>
                    </w:rPr>
                    <w:t>173</w:t>
                  </w:r>
                </w:p>
              </w:tc>
              <w:tc>
                <w:tcPr>
                  <w:tcW w:w="1159" w:type="dxa"/>
                  <w:tcBorders>
                    <w:top w:val="nil"/>
                    <w:left w:val="nil"/>
                    <w:bottom w:val="single" w:sz="4" w:space="0" w:color="auto"/>
                    <w:right w:val="single" w:sz="4" w:space="0" w:color="auto"/>
                  </w:tcBorders>
                  <w:shd w:val="clear" w:color="auto" w:fill="FFFFFF"/>
                  <w:noWrap/>
                  <w:vAlign w:val="center"/>
                  <w:hideMark/>
                </w:tcPr>
                <w:p w14:paraId="7ABE43F3"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138</w:t>
                  </w:r>
                </w:p>
              </w:tc>
            </w:tr>
            <w:tr w:rsidR="00603186" w14:paraId="597D9158"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2247246F" w14:textId="77777777" w:rsidR="00603186" w:rsidRPr="00603186" w:rsidRDefault="00603186" w:rsidP="00603186">
                  <w:pPr>
                    <w:suppressAutoHyphens w:val="0"/>
                    <w:spacing w:line="276" w:lineRule="auto"/>
                    <w:rPr>
                      <w:b/>
                      <w:bCs/>
                      <w:sz w:val="16"/>
                      <w:szCs w:val="16"/>
                      <w:lang w:val="en-GB" w:eastAsia="en-GB"/>
                    </w:rPr>
                  </w:pPr>
                  <w:proofErr w:type="spellStart"/>
                  <w:r w:rsidRPr="00603186">
                    <w:rPr>
                      <w:b/>
                      <w:bCs/>
                      <w:sz w:val="16"/>
                      <w:szCs w:val="16"/>
                      <w:lang w:val="en-GB" w:eastAsia="en-GB"/>
                    </w:rPr>
                    <w:t>Atalgojums</w:t>
                  </w:r>
                  <w:proofErr w:type="spellEnd"/>
                  <w:r w:rsidRPr="00603186">
                    <w:rPr>
                      <w:b/>
                      <w:bCs/>
                      <w:sz w:val="16"/>
                      <w:szCs w:val="16"/>
                      <w:lang w:val="en-GB" w:eastAsia="en-GB"/>
                    </w:rPr>
                    <w:t xml:space="preserve"> </w:t>
                  </w:r>
                  <w:proofErr w:type="spellStart"/>
                  <w:r w:rsidRPr="00603186">
                    <w:rPr>
                      <w:b/>
                      <w:bCs/>
                      <w:sz w:val="16"/>
                      <w:szCs w:val="16"/>
                      <w:lang w:val="en-GB" w:eastAsia="en-GB"/>
                    </w:rPr>
                    <w:t>mēn</w:t>
                  </w:r>
                  <w:proofErr w:type="spellEnd"/>
                  <w:r w:rsidRPr="00603186">
                    <w:rPr>
                      <w:b/>
                      <w:bCs/>
                      <w:sz w:val="16"/>
                      <w:szCs w:val="16"/>
                      <w:lang w:val="en-GB" w:eastAsia="en-GB"/>
                    </w:rPr>
                    <w:t>.</w:t>
                  </w:r>
                </w:p>
              </w:tc>
              <w:tc>
                <w:tcPr>
                  <w:tcW w:w="1139" w:type="dxa"/>
                  <w:tcBorders>
                    <w:top w:val="nil"/>
                    <w:left w:val="nil"/>
                    <w:bottom w:val="single" w:sz="4" w:space="0" w:color="auto"/>
                    <w:right w:val="single" w:sz="4" w:space="0" w:color="auto"/>
                  </w:tcBorders>
                  <w:shd w:val="clear" w:color="auto" w:fill="FFFFFF"/>
                  <w:noWrap/>
                  <w:vAlign w:val="center"/>
                  <w:hideMark/>
                </w:tcPr>
                <w:p w14:paraId="1E4D842D" w14:textId="77777777" w:rsidR="00603186" w:rsidRPr="00603186" w:rsidRDefault="00603186" w:rsidP="00603186">
                  <w:pPr>
                    <w:suppressAutoHyphens w:val="0"/>
                    <w:spacing w:line="276" w:lineRule="auto"/>
                    <w:jc w:val="center"/>
                    <w:rPr>
                      <w:b/>
                      <w:bCs/>
                      <w:color w:val="000000"/>
                      <w:sz w:val="16"/>
                      <w:szCs w:val="16"/>
                      <w:lang w:val="en-GB" w:eastAsia="en-GB"/>
                    </w:rPr>
                  </w:pPr>
                  <w:r w:rsidRPr="00603186">
                    <w:rPr>
                      <w:b/>
                      <w:bCs/>
                      <w:color w:val="000000"/>
                      <w:sz w:val="16"/>
                      <w:szCs w:val="16"/>
                      <w:lang w:val="en-GB" w:eastAsia="en-GB"/>
                    </w:rPr>
                    <w:t>5,937</w:t>
                  </w:r>
                </w:p>
              </w:tc>
              <w:tc>
                <w:tcPr>
                  <w:tcW w:w="1159" w:type="dxa"/>
                  <w:tcBorders>
                    <w:top w:val="nil"/>
                    <w:left w:val="nil"/>
                    <w:bottom w:val="single" w:sz="4" w:space="0" w:color="auto"/>
                    <w:right w:val="single" w:sz="4" w:space="0" w:color="auto"/>
                  </w:tcBorders>
                  <w:shd w:val="clear" w:color="auto" w:fill="FFFFFF"/>
                  <w:noWrap/>
                  <w:vAlign w:val="center"/>
                  <w:hideMark/>
                </w:tcPr>
                <w:p w14:paraId="1ED481A0" w14:textId="0256CF8D" w:rsidR="00603186" w:rsidRDefault="00603186" w:rsidP="00603186">
                  <w:pPr>
                    <w:suppressAutoHyphens w:val="0"/>
                    <w:spacing w:line="276" w:lineRule="auto"/>
                    <w:jc w:val="center"/>
                    <w:rPr>
                      <w:b/>
                      <w:bCs/>
                      <w:color w:val="000000"/>
                      <w:sz w:val="16"/>
                      <w:szCs w:val="16"/>
                      <w:lang w:val="en-GB" w:eastAsia="en-GB"/>
                    </w:rPr>
                  </w:pPr>
                  <w:r>
                    <w:rPr>
                      <w:b/>
                      <w:bCs/>
                      <w:color w:val="000000"/>
                      <w:sz w:val="16"/>
                      <w:szCs w:val="16"/>
                      <w:lang w:val="en-GB" w:eastAsia="en-GB"/>
                    </w:rPr>
                    <w:t>5,89</w:t>
                  </w:r>
                  <w:r w:rsidR="00661930">
                    <w:rPr>
                      <w:b/>
                      <w:bCs/>
                      <w:color w:val="000000"/>
                      <w:sz w:val="16"/>
                      <w:szCs w:val="16"/>
                      <w:lang w:val="en-GB" w:eastAsia="en-GB"/>
                    </w:rPr>
                    <w:t>3</w:t>
                  </w:r>
                </w:p>
              </w:tc>
            </w:tr>
            <w:tr w:rsidR="00603186" w14:paraId="176223C9"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413DBBFA" w14:textId="77777777" w:rsidR="00603186" w:rsidRPr="00603186" w:rsidRDefault="00603186" w:rsidP="00603186">
                  <w:pPr>
                    <w:suppressAutoHyphens w:val="0"/>
                    <w:spacing w:line="276" w:lineRule="auto"/>
                    <w:rPr>
                      <w:sz w:val="16"/>
                      <w:szCs w:val="16"/>
                      <w:lang w:val="en-GB" w:eastAsia="en-GB"/>
                    </w:rPr>
                  </w:pPr>
                  <w:proofErr w:type="spellStart"/>
                  <w:r w:rsidRPr="00603186">
                    <w:rPr>
                      <w:sz w:val="16"/>
                      <w:szCs w:val="16"/>
                      <w:lang w:val="en-GB" w:eastAsia="en-GB"/>
                    </w:rPr>
                    <w:t>Atvaļinājuma</w:t>
                  </w:r>
                  <w:proofErr w:type="spellEnd"/>
                  <w:r w:rsidRPr="00603186">
                    <w:rPr>
                      <w:sz w:val="16"/>
                      <w:szCs w:val="16"/>
                      <w:lang w:val="en-GB" w:eastAsia="en-GB"/>
                    </w:rPr>
                    <w:t xml:space="preserve"> </w:t>
                  </w:r>
                  <w:proofErr w:type="spellStart"/>
                  <w:r w:rsidRPr="00603186">
                    <w:rPr>
                      <w:sz w:val="16"/>
                      <w:szCs w:val="16"/>
                      <w:lang w:val="en-GB" w:eastAsia="en-GB"/>
                    </w:rPr>
                    <w:t>pabalsts</w:t>
                  </w:r>
                  <w:proofErr w:type="spellEnd"/>
                  <w:r w:rsidRPr="00603186">
                    <w:rPr>
                      <w:sz w:val="16"/>
                      <w:szCs w:val="16"/>
                      <w:lang w:val="en-GB" w:eastAsia="en-GB"/>
                    </w:rPr>
                    <w:t xml:space="preserve"> 50 % no </w:t>
                  </w:r>
                  <w:proofErr w:type="spellStart"/>
                  <w:r w:rsidRPr="00603186">
                    <w:rPr>
                      <w:sz w:val="16"/>
                      <w:szCs w:val="16"/>
                      <w:lang w:val="en-GB" w:eastAsia="en-GB"/>
                    </w:rPr>
                    <w:t>mēneša</w:t>
                  </w:r>
                  <w:proofErr w:type="spellEnd"/>
                  <w:r w:rsidRPr="00603186">
                    <w:rPr>
                      <w:sz w:val="16"/>
                      <w:szCs w:val="16"/>
                      <w:lang w:val="en-GB" w:eastAsia="en-GB"/>
                    </w:rPr>
                    <w:t xml:space="preserve"> </w:t>
                  </w:r>
                  <w:proofErr w:type="spellStart"/>
                  <w:r w:rsidRPr="00603186">
                    <w:rPr>
                      <w:sz w:val="16"/>
                      <w:szCs w:val="16"/>
                      <w:lang w:val="en-GB" w:eastAsia="en-GB"/>
                    </w:rPr>
                    <w:t>algas</w:t>
                  </w:r>
                  <w:proofErr w:type="spellEnd"/>
                  <w:r w:rsidRPr="00603186">
                    <w:rPr>
                      <w:sz w:val="16"/>
                      <w:szCs w:val="16"/>
                      <w:lang w:val="en-GB" w:eastAsia="en-GB"/>
                    </w:rPr>
                    <w:t xml:space="preserve"> </w:t>
                  </w:r>
                </w:p>
              </w:tc>
              <w:tc>
                <w:tcPr>
                  <w:tcW w:w="1139" w:type="dxa"/>
                  <w:tcBorders>
                    <w:top w:val="nil"/>
                    <w:left w:val="nil"/>
                    <w:bottom w:val="single" w:sz="4" w:space="0" w:color="auto"/>
                    <w:right w:val="single" w:sz="4" w:space="0" w:color="auto"/>
                  </w:tcBorders>
                  <w:shd w:val="clear" w:color="auto" w:fill="FFFFFF"/>
                  <w:noWrap/>
                  <w:vAlign w:val="center"/>
                  <w:hideMark/>
                </w:tcPr>
                <w:p w14:paraId="78614BF2" w14:textId="77777777" w:rsidR="00603186" w:rsidRPr="00603186" w:rsidRDefault="00603186" w:rsidP="00603186">
                  <w:pPr>
                    <w:suppressAutoHyphens w:val="0"/>
                    <w:spacing w:line="276" w:lineRule="auto"/>
                    <w:jc w:val="center"/>
                    <w:rPr>
                      <w:color w:val="000000"/>
                      <w:sz w:val="16"/>
                      <w:szCs w:val="16"/>
                      <w:lang w:val="en-GB" w:eastAsia="en-GB"/>
                    </w:rPr>
                  </w:pPr>
                  <w:r w:rsidRPr="00603186">
                    <w:rPr>
                      <w:color w:val="000000"/>
                      <w:sz w:val="16"/>
                      <w:szCs w:val="16"/>
                      <w:lang w:val="en-GB" w:eastAsia="en-GB"/>
                    </w:rPr>
                    <w:t> </w:t>
                  </w:r>
                </w:p>
              </w:tc>
              <w:tc>
                <w:tcPr>
                  <w:tcW w:w="1159" w:type="dxa"/>
                  <w:tcBorders>
                    <w:top w:val="nil"/>
                    <w:left w:val="nil"/>
                    <w:bottom w:val="single" w:sz="4" w:space="0" w:color="auto"/>
                    <w:right w:val="single" w:sz="4" w:space="0" w:color="auto"/>
                  </w:tcBorders>
                  <w:shd w:val="clear" w:color="auto" w:fill="FFFFFF"/>
                  <w:noWrap/>
                  <w:vAlign w:val="center"/>
                  <w:hideMark/>
                </w:tcPr>
                <w:p w14:paraId="47AB72DB" w14:textId="77777777" w:rsidR="00603186" w:rsidRDefault="00603186" w:rsidP="00603186">
                  <w:pPr>
                    <w:suppressAutoHyphens w:val="0"/>
                    <w:spacing w:line="276" w:lineRule="auto"/>
                    <w:jc w:val="center"/>
                    <w:rPr>
                      <w:color w:val="000000"/>
                      <w:sz w:val="16"/>
                      <w:szCs w:val="16"/>
                      <w:lang w:val="en-GB" w:eastAsia="en-GB"/>
                    </w:rPr>
                  </w:pPr>
                  <w:r>
                    <w:rPr>
                      <w:color w:val="000000"/>
                      <w:sz w:val="16"/>
                      <w:szCs w:val="16"/>
                      <w:lang w:val="en-GB" w:eastAsia="en-GB"/>
                    </w:rPr>
                    <w:t> </w:t>
                  </w:r>
                </w:p>
              </w:tc>
            </w:tr>
            <w:tr w:rsidR="00603186" w14:paraId="166557D2" w14:textId="77777777" w:rsidTr="00603186">
              <w:trPr>
                <w:trHeight w:val="370"/>
              </w:trPr>
              <w:tc>
                <w:tcPr>
                  <w:tcW w:w="4197" w:type="dxa"/>
                  <w:tcBorders>
                    <w:top w:val="single" w:sz="4" w:space="0" w:color="auto"/>
                    <w:left w:val="single" w:sz="4" w:space="0" w:color="auto"/>
                    <w:bottom w:val="single" w:sz="4" w:space="0" w:color="auto"/>
                    <w:right w:val="single" w:sz="4" w:space="0" w:color="auto"/>
                  </w:tcBorders>
                  <w:vAlign w:val="center"/>
                  <w:hideMark/>
                </w:tcPr>
                <w:p w14:paraId="2B03A2E6" w14:textId="77777777" w:rsidR="00603186" w:rsidRPr="00603186" w:rsidRDefault="00603186" w:rsidP="00603186">
                  <w:pPr>
                    <w:suppressAutoHyphens w:val="0"/>
                    <w:spacing w:line="276" w:lineRule="auto"/>
                    <w:rPr>
                      <w:sz w:val="16"/>
                      <w:szCs w:val="16"/>
                      <w:lang w:eastAsia="en-GB"/>
                    </w:rPr>
                  </w:pPr>
                  <w:r w:rsidRPr="00603186">
                    <w:rPr>
                      <w:sz w:val="16"/>
                      <w:szCs w:val="16"/>
                      <w:lang w:eastAsia="en-GB"/>
                    </w:rPr>
                    <w:t>Darba devēja valsts sociālās apdrošināšanas obligātās iemaksas 24,09%</w:t>
                  </w:r>
                </w:p>
              </w:tc>
              <w:tc>
                <w:tcPr>
                  <w:tcW w:w="1139" w:type="dxa"/>
                  <w:tcBorders>
                    <w:top w:val="nil"/>
                    <w:left w:val="nil"/>
                    <w:bottom w:val="single" w:sz="4" w:space="0" w:color="auto"/>
                    <w:right w:val="single" w:sz="4" w:space="0" w:color="auto"/>
                  </w:tcBorders>
                  <w:shd w:val="clear" w:color="auto" w:fill="FFFFFF"/>
                  <w:noWrap/>
                  <w:vAlign w:val="center"/>
                  <w:hideMark/>
                </w:tcPr>
                <w:p w14:paraId="458D12F8" w14:textId="77777777" w:rsidR="00603186" w:rsidRPr="00603186" w:rsidRDefault="00603186" w:rsidP="00603186">
                  <w:pPr>
                    <w:suppressAutoHyphens w:val="0"/>
                    <w:spacing w:line="276" w:lineRule="auto"/>
                    <w:jc w:val="center"/>
                    <w:rPr>
                      <w:sz w:val="16"/>
                      <w:szCs w:val="16"/>
                      <w:lang w:val="en-GB" w:eastAsia="en-GB"/>
                    </w:rPr>
                  </w:pPr>
                  <w:r w:rsidRPr="00603186">
                    <w:rPr>
                      <w:sz w:val="16"/>
                      <w:szCs w:val="16"/>
                      <w:lang w:val="en-GB" w:eastAsia="en-GB"/>
                    </w:rPr>
                    <w:t>1,430</w:t>
                  </w:r>
                </w:p>
              </w:tc>
              <w:tc>
                <w:tcPr>
                  <w:tcW w:w="1159" w:type="dxa"/>
                  <w:tcBorders>
                    <w:top w:val="nil"/>
                    <w:left w:val="nil"/>
                    <w:bottom w:val="single" w:sz="4" w:space="0" w:color="auto"/>
                    <w:right w:val="single" w:sz="4" w:space="0" w:color="auto"/>
                  </w:tcBorders>
                  <w:shd w:val="clear" w:color="auto" w:fill="FFFFFF"/>
                  <w:noWrap/>
                  <w:vAlign w:val="center"/>
                  <w:hideMark/>
                </w:tcPr>
                <w:p w14:paraId="501D7D86" w14:textId="77777777" w:rsidR="00603186" w:rsidRDefault="00603186" w:rsidP="00603186">
                  <w:pPr>
                    <w:suppressAutoHyphens w:val="0"/>
                    <w:spacing w:line="276" w:lineRule="auto"/>
                    <w:jc w:val="center"/>
                    <w:rPr>
                      <w:sz w:val="16"/>
                      <w:szCs w:val="16"/>
                      <w:lang w:val="en-GB" w:eastAsia="en-GB"/>
                    </w:rPr>
                  </w:pPr>
                  <w:r>
                    <w:rPr>
                      <w:sz w:val="16"/>
                      <w:szCs w:val="16"/>
                      <w:lang w:val="en-GB" w:eastAsia="en-GB"/>
                    </w:rPr>
                    <w:t>1,419</w:t>
                  </w:r>
                </w:p>
              </w:tc>
            </w:tr>
            <w:tr w:rsidR="00603186" w14:paraId="74EAA2C1" w14:textId="77777777" w:rsidTr="00603186">
              <w:trPr>
                <w:trHeight w:val="250"/>
              </w:trPr>
              <w:tc>
                <w:tcPr>
                  <w:tcW w:w="4197" w:type="dxa"/>
                  <w:tcBorders>
                    <w:top w:val="single" w:sz="4" w:space="0" w:color="auto"/>
                    <w:left w:val="single" w:sz="4" w:space="0" w:color="auto"/>
                    <w:bottom w:val="single" w:sz="4" w:space="0" w:color="auto"/>
                    <w:right w:val="single" w:sz="4" w:space="0" w:color="auto"/>
                  </w:tcBorders>
                  <w:vAlign w:val="center"/>
                  <w:hideMark/>
                </w:tcPr>
                <w:p w14:paraId="48E6DA79" w14:textId="77777777" w:rsidR="00603186" w:rsidRPr="00603186" w:rsidRDefault="00603186" w:rsidP="00603186">
                  <w:pPr>
                    <w:suppressAutoHyphens w:val="0"/>
                    <w:spacing w:line="276" w:lineRule="auto"/>
                    <w:rPr>
                      <w:b/>
                      <w:bCs/>
                      <w:sz w:val="16"/>
                      <w:szCs w:val="16"/>
                      <w:lang w:val="en-GB" w:eastAsia="en-GB"/>
                    </w:rPr>
                  </w:pPr>
                  <w:proofErr w:type="spellStart"/>
                  <w:r w:rsidRPr="00603186">
                    <w:rPr>
                      <w:b/>
                      <w:bCs/>
                      <w:sz w:val="16"/>
                      <w:szCs w:val="16"/>
                      <w:lang w:val="en-GB" w:eastAsia="en-GB"/>
                    </w:rPr>
                    <w:t>Atlīdzība</w:t>
                  </w:r>
                  <w:proofErr w:type="spellEnd"/>
                  <w:r w:rsidRPr="00603186">
                    <w:rPr>
                      <w:b/>
                      <w:bCs/>
                      <w:sz w:val="16"/>
                      <w:szCs w:val="16"/>
                      <w:lang w:val="en-GB" w:eastAsia="en-GB"/>
                    </w:rPr>
                    <w:t xml:space="preserve"> </w:t>
                  </w:r>
                  <w:proofErr w:type="spellStart"/>
                  <w:r w:rsidRPr="00603186">
                    <w:rPr>
                      <w:b/>
                      <w:bCs/>
                      <w:sz w:val="16"/>
                      <w:szCs w:val="16"/>
                      <w:lang w:val="en-GB" w:eastAsia="en-GB"/>
                    </w:rPr>
                    <w:t>mēn</w:t>
                  </w:r>
                  <w:proofErr w:type="spellEnd"/>
                  <w:r w:rsidRPr="00603186">
                    <w:rPr>
                      <w:b/>
                      <w:bCs/>
                      <w:sz w:val="16"/>
                      <w:szCs w:val="16"/>
                      <w:lang w:val="en-GB" w:eastAsia="en-GB"/>
                    </w:rPr>
                    <w:t>. EKK 1000</w:t>
                  </w:r>
                </w:p>
              </w:tc>
              <w:tc>
                <w:tcPr>
                  <w:tcW w:w="1139" w:type="dxa"/>
                  <w:tcBorders>
                    <w:top w:val="nil"/>
                    <w:left w:val="nil"/>
                    <w:bottom w:val="single" w:sz="4" w:space="0" w:color="auto"/>
                    <w:right w:val="single" w:sz="4" w:space="0" w:color="auto"/>
                  </w:tcBorders>
                  <w:shd w:val="clear" w:color="auto" w:fill="FFFFFF"/>
                  <w:noWrap/>
                  <w:vAlign w:val="center"/>
                  <w:hideMark/>
                </w:tcPr>
                <w:p w14:paraId="5B581CDC" w14:textId="5A279499" w:rsidR="00603186" w:rsidRPr="00603186" w:rsidRDefault="00603186" w:rsidP="00603186">
                  <w:pPr>
                    <w:suppressAutoHyphens w:val="0"/>
                    <w:spacing w:line="276" w:lineRule="auto"/>
                    <w:jc w:val="center"/>
                    <w:rPr>
                      <w:b/>
                      <w:bCs/>
                      <w:sz w:val="16"/>
                      <w:szCs w:val="16"/>
                      <w:lang w:val="en-GB" w:eastAsia="en-GB"/>
                    </w:rPr>
                  </w:pPr>
                  <w:r w:rsidRPr="00603186">
                    <w:rPr>
                      <w:b/>
                      <w:bCs/>
                      <w:sz w:val="16"/>
                      <w:szCs w:val="16"/>
                      <w:lang w:val="en-GB" w:eastAsia="en-GB"/>
                    </w:rPr>
                    <w:t>7,36</w:t>
                  </w:r>
                  <w:r w:rsidR="00B826C1">
                    <w:rPr>
                      <w:b/>
                      <w:bCs/>
                      <w:sz w:val="16"/>
                      <w:szCs w:val="16"/>
                      <w:lang w:val="en-GB" w:eastAsia="en-GB"/>
                    </w:rPr>
                    <w:t>8</w:t>
                  </w:r>
                </w:p>
              </w:tc>
              <w:tc>
                <w:tcPr>
                  <w:tcW w:w="1159" w:type="dxa"/>
                  <w:tcBorders>
                    <w:top w:val="nil"/>
                    <w:left w:val="nil"/>
                    <w:bottom w:val="single" w:sz="4" w:space="0" w:color="auto"/>
                    <w:right w:val="single" w:sz="4" w:space="0" w:color="auto"/>
                  </w:tcBorders>
                  <w:shd w:val="clear" w:color="auto" w:fill="FFFFFF"/>
                  <w:noWrap/>
                  <w:vAlign w:val="center"/>
                  <w:hideMark/>
                </w:tcPr>
                <w:p w14:paraId="5E581A02" w14:textId="57651675" w:rsidR="00603186" w:rsidRDefault="00603186" w:rsidP="00603186">
                  <w:pPr>
                    <w:suppressAutoHyphens w:val="0"/>
                    <w:spacing w:line="276" w:lineRule="auto"/>
                    <w:jc w:val="center"/>
                    <w:rPr>
                      <w:b/>
                      <w:bCs/>
                      <w:sz w:val="16"/>
                      <w:szCs w:val="16"/>
                      <w:lang w:val="en-GB" w:eastAsia="en-GB"/>
                    </w:rPr>
                  </w:pPr>
                  <w:r>
                    <w:rPr>
                      <w:b/>
                      <w:bCs/>
                      <w:sz w:val="16"/>
                      <w:szCs w:val="16"/>
                      <w:lang w:val="en-GB" w:eastAsia="en-GB"/>
                    </w:rPr>
                    <w:t>7,31</w:t>
                  </w:r>
                  <w:r w:rsidR="00661930">
                    <w:rPr>
                      <w:b/>
                      <w:bCs/>
                      <w:sz w:val="16"/>
                      <w:szCs w:val="16"/>
                      <w:lang w:val="en-GB" w:eastAsia="en-GB"/>
                    </w:rPr>
                    <w:t>2</w:t>
                  </w:r>
                </w:p>
              </w:tc>
            </w:tr>
          </w:tbl>
          <w:p w14:paraId="4904DE58" w14:textId="58027769" w:rsidR="00603186" w:rsidRPr="00BF1B88" w:rsidRDefault="00603186" w:rsidP="00BF1B88">
            <w:pPr>
              <w:spacing w:line="276" w:lineRule="auto"/>
              <w:jc w:val="both"/>
            </w:pPr>
          </w:p>
        </w:tc>
      </w:tr>
      <w:tr w:rsidR="00CC6F38" w14:paraId="1885F08B" w14:textId="77777777" w:rsidTr="00417018">
        <w:trPr>
          <w:tblCellSpacing w:w="15" w:type="dxa"/>
        </w:trPr>
        <w:tc>
          <w:tcPr>
            <w:tcW w:w="738" w:type="pct"/>
            <w:tcBorders>
              <w:top w:val="outset" w:sz="6" w:space="0" w:color="auto"/>
              <w:left w:val="outset" w:sz="6" w:space="0" w:color="auto"/>
              <w:bottom w:val="outset" w:sz="6" w:space="0" w:color="auto"/>
              <w:right w:val="outset" w:sz="6" w:space="0" w:color="auto"/>
            </w:tcBorders>
            <w:hideMark/>
          </w:tcPr>
          <w:p w14:paraId="5D6AC3FE" w14:textId="77777777" w:rsidR="00145D81" w:rsidRPr="00836FE4" w:rsidRDefault="002A525E" w:rsidP="00145D81">
            <w:pPr>
              <w:rPr>
                <w:iCs/>
                <w:color w:val="414142"/>
                <w:lang w:eastAsia="lv-LV"/>
              </w:rPr>
            </w:pPr>
            <w:r w:rsidRPr="00836FE4">
              <w:rPr>
                <w:iCs/>
                <w:color w:val="414142"/>
                <w:lang w:eastAsia="lv-LV"/>
              </w:rPr>
              <w:t>8. Cita informācija</w:t>
            </w:r>
          </w:p>
        </w:tc>
        <w:tc>
          <w:tcPr>
            <w:tcW w:w="4214" w:type="pct"/>
            <w:gridSpan w:val="7"/>
            <w:tcBorders>
              <w:top w:val="outset" w:sz="6" w:space="0" w:color="auto"/>
              <w:left w:val="outset" w:sz="6" w:space="0" w:color="auto"/>
              <w:bottom w:val="outset" w:sz="6" w:space="0" w:color="auto"/>
              <w:right w:val="outset" w:sz="6" w:space="0" w:color="auto"/>
            </w:tcBorders>
            <w:hideMark/>
          </w:tcPr>
          <w:p w14:paraId="63EDDB7C" w14:textId="77777777" w:rsidR="00145D81" w:rsidRPr="00836FE4" w:rsidRDefault="002A525E" w:rsidP="00145D81">
            <w:pPr>
              <w:jc w:val="both"/>
            </w:pPr>
            <w:r w:rsidRPr="00836FE4">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51AC9D8" w14:textId="77777777" w:rsidR="00B00A3B" w:rsidRDefault="00B00A3B" w:rsidP="008968CE">
            <w:pPr>
              <w:jc w:val="both"/>
              <w:rPr>
                <w:color w:val="000000"/>
                <w:shd w:val="clear" w:color="auto" w:fill="FFFFFF"/>
              </w:rPr>
            </w:pPr>
          </w:p>
          <w:p w14:paraId="19882F29" w14:textId="425E421A" w:rsidR="00B00A3B" w:rsidRPr="00836FE4" w:rsidRDefault="00B00A3B" w:rsidP="008968CE">
            <w:pPr>
              <w:jc w:val="both"/>
              <w:rPr>
                <w:iCs/>
                <w:color w:val="A6A6A6" w:themeColor="background1" w:themeShade="A6"/>
                <w:lang w:eastAsia="lv-LV"/>
              </w:rPr>
            </w:pPr>
            <w:r>
              <w:rPr>
                <w:color w:val="000000"/>
                <w:shd w:val="clear" w:color="auto" w:fill="FFFFFF"/>
              </w:rPr>
              <w:t>Projekta rezultātu uzturēšanai papildus nepieciešamais finansējums ne vairāk kā 715 500 </w:t>
            </w:r>
            <w:proofErr w:type="spellStart"/>
            <w:r>
              <w:rPr>
                <w:i/>
                <w:iCs/>
                <w:color w:val="000000"/>
                <w:shd w:val="clear" w:color="auto" w:fill="FFFFFF"/>
              </w:rPr>
              <w:t>euro</w:t>
            </w:r>
            <w:proofErr w:type="spellEnd"/>
            <w:r>
              <w:rPr>
                <w:color w:val="000000"/>
                <w:shd w:val="clear" w:color="auto" w:fill="FFFFFF"/>
              </w:rPr>
              <w:t> gadā  tiks pieprasīts  normatīvajos aktos noteiktajā kārtībā.</w:t>
            </w:r>
          </w:p>
        </w:tc>
      </w:tr>
    </w:tbl>
    <w:p w14:paraId="6569C442" w14:textId="77777777" w:rsidR="00145D81" w:rsidRPr="00836FE4" w:rsidRDefault="00145D81" w:rsidP="00B559D5">
      <w:pPr>
        <w:jc w:val="both"/>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9"/>
      </w:tblGrid>
      <w:tr w:rsidR="00CC6F38" w14:paraId="478BAA72"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59B07EC" w14:textId="77777777" w:rsidR="00B559D5" w:rsidRPr="00836FE4" w:rsidRDefault="002A525E" w:rsidP="00262DE5">
            <w:pPr>
              <w:pStyle w:val="tvhtml"/>
              <w:spacing w:before="0" w:after="0"/>
              <w:jc w:val="center"/>
              <w:rPr>
                <w:b/>
                <w:bCs/>
              </w:rPr>
            </w:pPr>
            <w:r w:rsidRPr="00836FE4">
              <w:rPr>
                <w:b/>
                <w:bCs/>
              </w:rPr>
              <w:t>IV. Tiesību akta projekta ietekme uz spēkā esošo tiesību normu sistēmu</w:t>
            </w:r>
          </w:p>
        </w:tc>
      </w:tr>
      <w:tr w:rsidR="00CC6F38" w14:paraId="0752A881"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416BCB7" w14:textId="77777777" w:rsidR="00B559D5" w:rsidRPr="00836FE4" w:rsidRDefault="002A525E" w:rsidP="00262DE5">
            <w:pPr>
              <w:pStyle w:val="tvhtml"/>
              <w:spacing w:before="0" w:after="0"/>
              <w:jc w:val="center"/>
            </w:pPr>
            <w:r w:rsidRPr="00836FE4">
              <w:lastRenderedPageBreak/>
              <w:t>Projekts šo jomu neskar</w:t>
            </w:r>
          </w:p>
        </w:tc>
      </w:tr>
    </w:tbl>
    <w:p w14:paraId="0916FF2F" w14:textId="77777777" w:rsidR="00B559D5" w:rsidRPr="00836FE4" w:rsidRDefault="00B559D5" w:rsidP="00B559D5">
      <w:pPr>
        <w:rPr>
          <w:iCs/>
          <w:lang w:eastAsia="en-US"/>
        </w:rPr>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9"/>
      </w:tblGrid>
      <w:tr w:rsidR="00CC6F38" w14:paraId="3EECE339"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24868E4" w14:textId="77777777" w:rsidR="00B559D5" w:rsidRPr="00836FE4" w:rsidRDefault="002A525E" w:rsidP="00262DE5">
            <w:pPr>
              <w:pStyle w:val="tvhtml"/>
              <w:spacing w:before="0" w:after="0"/>
              <w:jc w:val="center"/>
              <w:rPr>
                <w:b/>
                <w:bCs/>
              </w:rPr>
            </w:pPr>
            <w:r w:rsidRPr="00836FE4">
              <w:rPr>
                <w:b/>
                <w:bCs/>
              </w:rPr>
              <w:t>V. Tiesību akta projekta atbilstība Latvijas Republikas starptautiskajām saistībām</w:t>
            </w:r>
          </w:p>
        </w:tc>
      </w:tr>
      <w:tr w:rsidR="00CC6F38" w14:paraId="443AFF3A"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0D5C6DE" w14:textId="77777777" w:rsidR="00B559D5" w:rsidRPr="00836FE4" w:rsidRDefault="002A525E" w:rsidP="00262DE5">
            <w:pPr>
              <w:pStyle w:val="tvhtml"/>
              <w:spacing w:before="0" w:after="0"/>
              <w:jc w:val="center"/>
              <w:rPr>
                <w:bCs/>
              </w:rPr>
            </w:pPr>
            <w:r w:rsidRPr="00836FE4">
              <w:rPr>
                <w:bCs/>
              </w:rPr>
              <w:t>Projekts šo jomu neskar</w:t>
            </w:r>
          </w:p>
        </w:tc>
      </w:tr>
    </w:tbl>
    <w:p w14:paraId="265E1FF9" w14:textId="77777777" w:rsidR="00B559D5" w:rsidRPr="00836FE4" w:rsidRDefault="00B559D5" w:rsidP="00B559D5">
      <w:pPr>
        <w:rPr>
          <w:sz w:val="20"/>
          <w:szCs w:val="20"/>
        </w:rPr>
      </w:pP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0"/>
        <w:gridCol w:w="6105"/>
      </w:tblGrid>
      <w:tr w:rsidR="00CC6F38" w14:paraId="2C59AE27" w14:textId="77777777" w:rsidTr="00836FE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3FD6D60" w14:textId="77777777" w:rsidR="00836FE4" w:rsidRPr="00836FE4" w:rsidRDefault="002A525E" w:rsidP="007830FC">
            <w:pPr>
              <w:rPr>
                <w:b/>
                <w:bCs/>
                <w:iCs/>
                <w:color w:val="414142"/>
                <w:lang w:eastAsia="lv-LV"/>
              </w:rPr>
            </w:pPr>
            <w:r w:rsidRPr="00836FE4">
              <w:rPr>
                <w:b/>
                <w:bCs/>
                <w:iCs/>
                <w:color w:val="414142"/>
                <w:lang w:eastAsia="lv-LV"/>
              </w:rPr>
              <w:t>VI. Sabiedrības līdzdalība un komunikācijas aktivitātes</w:t>
            </w:r>
          </w:p>
        </w:tc>
      </w:tr>
      <w:tr w:rsidR="00CC6F38" w14:paraId="094C3746"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077AE371" w14:textId="77777777" w:rsidR="00836FE4" w:rsidRPr="00836FE4" w:rsidRDefault="002A525E" w:rsidP="007830FC">
            <w:pPr>
              <w:rPr>
                <w:iCs/>
                <w:color w:val="414142"/>
                <w:lang w:eastAsia="lv-LV"/>
              </w:rPr>
            </w:pPr>
            <w:r w:rsidRPr="00836FE4">
              <w:rPr>
                <w:iCs/>
                <w:color w:val="414142"/>
                <w:lang w:eastAsia="lv-LV"/>
              </w:rPr>
              <w:t>1.</w:t>
            </w:r>
          </w:p>
        </w:tc>
        <w:tc>
          <w:tcPr>
            <w:tcW w:w="1545" w:type="pct"/>
            <w:tcBorders>
              <w:top w:val="outset" w:sz="6" w:space="0" w:color="auto"/>
              <w:left w:val="outset" w:sz="6" w:space="0" w:color="auto"/>
              <w:bottom w:val="outset" w:sz="6" w:space="0" w:color="auto"/>
              <w:right w:val="outset" w:sz="6" w:space="0" w:color="auto"/>
            </w:tcBorders>
            <w:hideMark/>
          </w:tcPr>
          <w:p w14:paraId="10740E4A" w14:textId="77777777" w:rsidR="00836FE4" w:rsidRPr="00836FE4" w:rsidRDefault="002A525E" w:rsidP="007830FC">
            <w:pPr>
              <w:rPr>
                <w:iCs/>
                <w:color w:val="414142"/>
                <w:lang w:eastAsia="lv-LV"/>
              </w:rPr>
            </w:pPr>
            <w:r w:rsidRPr="00836FE4">
              <w:rPr>
                <w:iCs/>
                <w:color w:val="414142"/>
                <w:lang w:eastAsia="lv-LV"/>
              </w:rPr>
              <w:t>Plānotās sabiedrības līdzdalības un komunikācijas aktivitātes saistībā ar projektu</w:t>
            </w:r>
          </w:p>
        </w:tc>
        <w:tc>
          <w:tcPr>
            <w:tcW w:w="3121" w:type="pct"/>
            <w:tcBorders>
              <w:top w:val="outset" w:sz="6" w:space="0" w:color="auto"/>
              <w:left w:val="outset" w:sz="6" w:space="0" w:color="auto"/>
              <w:bottom w:val="outset" w:sz="6" w:space="0" w:color="auto"/>
              <w:right w:val="outset" w:sz="6" w:space="0" w:color="auto"/>
            </w:tcBorders>
            <w:hideMark/>
          </w:tcPr>
          <w:p w14:paraId="4F54F51D" w14:textId="587116EE" w:rsidR="00836FE4" w:rsidRPr="0037721B" w:rsidRDefault="002A525E" w:rsidP="007830FC">
            <w:pPr>
              <w:rPr>
                <w:iCs/>
                <w:lang w:eastAsia="lv-LV"/>
              </w:rPr>
            </w:pPr>
            <w:r w:rsidRPr="0037721B">
              <w:rPr>
                <w:iCs/>
                <w:lang w:eastAsia="lv-LV"/>
              </w:rPr>
              <w:t>Sabiedrības līdzdalības</w:t>
            </w:r>
            <w:r w:rsidR="00E77BD1" w:rsidRPr="0037721B">
              <w:rPr>
                <w:iCs/>
                <w:lang w:eastAsia="lv-LV"/>
              </w:rPr>
              <w:t xml:space="preserve"> pasākumu organizēt nav nepieciešams, jo </w:t>
            </w:r>
            <w:r w:rsidR="0037721B">
              <w:rPr>
                <w:iCs/>
                <w:lang w:eastAsia="lv-LV"/>
              </w:rPr>
              <w:t xml:space="preserve">projekts neietekmē sabiedrību tiešā veidā. </w:t>
            </w:r>
          </w:p>
        </w:tc>
      </w:tr>
      <w:tr w:rsidR="00CC6F38" w14:paraId="54E19F42"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4BF134D2" w14:textId="77777777" w:rsidR="00836FE4" w:rsidRPr="00836FE4" w:rsidRDefault="002A525E" w:rsidP="007830FC">
            <w:pPr>
              <w:rPr>
                <w:iCs/>
                <w:color w:val="414142"/>
                <w:lang w:eastAsia="lv-LV"/>
              </w:rPr>
            </w:pPr>
            <w:r w:rsidRPr="00836FE4">
              <w:rPr>
                <w:iCs/>
                <w:color w:val="414142"/>
                <w:lang w:eastAsia="lv-LV"/>
              </w:rPr>
              <w:t>2.</w:t>
            </w:r>
          </w:p>
        </w:tc>
        <w:tc>
          <w:tcPr>
            <w:tcW w:w="1545" w:type="pct"/>
            <w:tcBorders>
              <w:top w:val="outset" w:sz="6" w:space="0" w:color="auto"/>
              <w:left w:val="outset" w:sz="6" w:space="0" w:color="auto"/>
              <w:bottom w:val="outset" w:sz="6" w:space="0" w:color="auto"/>
              <w:right w:val="outset" w:sz="6" w:space="0" w:color="auto"/>
            </w:tcBorders>
            <w:hideMark/>
          </w:tcPr>
          <w:p w14:paraId="7F84458F" w14:textId="77777777" w:rsidR="00836FE4" w:rsidRPr="00836FE4" w:rsidRDefault="002A525E" w:rsidP="007830FC">
            <w:pPr>
              <w:rPr>
                <w:iCs/>
                <w:color w:val="414142"/>
                <w:lang w:eastAsia="lv-LV"/>
              </w:rPr>
            </w:pPr>
            <w:r w:rsidRPr="00836FE4">
              <w:rPr>
                <w:iCs/>
                <w:color w:val="414142"/>
                <w:lang w:eastAsia="lv-LV"/>
              </w:rPr>
              <w:t>Sabiedrības līdzdalība projekta izstrādē</w:t>
            </w:r>
          </w:p>
        </w:tc>
        <w:tc>
          <w:tcPr>
            <w:tcW w:w="3121" w:type="pct"/>
            <w:tcBorders>
              <w:top w:val="outset" w:sz="6" w:space="0" w:color="auto"/>
              <w:left w:val="outset" w:sz="6" w:space="0" w:color="auto"/>
              <w:bottom w:val="outset" w:sz="6" w:space="0" w:color="auto"/>
              <w:right w:val="outset" w:sz="6" w:space="0" w:color="auto"/>
            </w:tcBorders>
            <w:hideMark/>
          </w:tcPr>
          <w:p w14:paraId="106D8706" w14:textId="77777777" w:rsidR="00836FE4" w:rsidRPr="00836FE4" w:rsidRDefault="002A525E" w:rsidP="007830FC">
            <w:pPr>
              <w:rPr>
                <w:iCs/>
                <w:lang w:eastAsia="lv-LV"/>
              </w:rPr>
            </w:pPr>
            <w:r w:rsidRPr="00836FE4">
              <w:rPr>
                <w:iCs/>
                <w:lang w:eastAsia="lv-LV"/>
              </w:rPr>
              <w:t>Nav</w:t>
            </w:r>
          </w:p>
        </w:tc>
      </w:tr>
      <w:tr w:rsidR="00CC6F38" w14:paraId="0191A129"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6EA79C03" w14:textId="77777777" w:rsidR="00836FE4" w:rsidRPr="00836FE4" w:rsidRDefault="002A525E" w:rsidP="007830FC">
            <w:pPr>
              <w:rPr>
                <w:iCs/>
                <w:color w:val="414142"/>
                <w:lang w:eastAsia="lv-LV"/>
              </w:rPr>
            </w:pPr>
            <w:r w:rsidRPr="00836FE4">
              <w:rPr>
                <w:iCs/>
                <w:color w:val="414142"/>
                <w:lang w:eastAsia="lv-LV"/>
              </w:rPr>
              <w:t>3.</w:t>
            </w:r>
          </w:p>
        </w:tc>
        <w:tc>
          <w:tcPr>
            <w:tcW w:w="1545" w:type="pct"/>
            <w:tcBorders>
              <w:top w:val="outset" w:sz="6" w:space="0" w:color="auto"/>
              <w:left w:val="outset" w:sz="6" w:space="0" w:color="auto"/>
              <w:bottom w:val="outset" w:sz="6" w:space="0" w:color="auto"/>
              <w:right w:val="outset" w:sz="6" w:space="0" w:color="auto"/>
            </w:tcBorders>
            <w:hideMark/>
          </w:tcPr>
          <w:p w14:paraId="2F1914A7" w14:textId="77777777" w:rsidR="00836FE4" w:rsidRPr="00836FE4" w:rsidRDefault="002A525E" w:rsidP="007830FC">
            <w:pPr>
              <w:rPr>
                <w:iCs/>
                <w:color w:val="414142"/>
                <w:lang w:eastAsia="lv-LV"/>
              </w:rPr>
            </w:pPr>
            <w:r w:rsidRPr="00836FE4">
              <w:rPr>
                <w:iCs/>
                <w:color w:val="414142"/>
                <w:lang w:eastAsia="lv-LV"/>
              </w:rPr>
              <w:t>Sabiedrības līdzdalības rezultāti</w:t>
            </w:r>
          </w:p>
        </w:tc>
        <w:tc>
          <w:tcPr>
            <w:tcW w:w="3121" w:type="pct"/>
            <w:tcBorders>
              <w:top w:val="outset" w:sz="6" w:space="0" w:color="auto"/>
              <w:left w:val="outset" w:sz="6" w:space="0" w:color="auto"/>
              <w:bottom w:val="outset" w:sz="6" w:space="0" w:color="auto"/>
              <w:right w:val="outset" w:sz="6" w:space="0" w:color="auto"/>
            </w:tcBorders>
            <w:hideMark/>
          </w:tcPr>
          <w:p w14:paraId="703A245B" w14:textId="77777777" w:rsidR="00836FE4" w:rsidRPr="00836FE4" w:rsidRDefault="002A525E" w:rsidP="007830FC">
            <w:pPr>
              <w:rPr>
                <w:iCs/>
                <w:lang w:eastAsia="lv-LV"/>
              </w:rPr>
            </w:pPr>
            <w:r w:rsidRPr="00836FE4">
              <w:rPr>
                <w:iCs/>
                <w:lang w:eastAsia="lv-LV"/>
              </w:rPr>
              <w:t>Nav</w:t>
            </w:r>
          </w:p>
        </w:tc>
      </w:tr>
      <w:tr w:rsidR="00CC6F38" w14:paraId="39467FC2"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4AE05D2A" w14:textId="77777777" w:rsidR="00836FE4" w:rsidRPr="00836FE4" w:rsidRDefault="002A525E" w:rsidP="007830FC">
            <w:pPr>
              <w:rPr>
                <w:iCs/>
                <w:color w:val="414142"/>
                <w:lang w:eastAsia="lv-LV"/>
              </w:rPr>
            </w:pPr>
            <w:r w:rsidRPr="00836FE4">
              <w:rPr>
                <w:iCs/>
                <w:color w:val="414142"/>
                <w:lang w:eastAsia="lv-LV"/>
              </w:rPr>
              <w:t>4.</w:t>
            </w:r>
          </w:p>
        </w:tc>
        <w:tc>
          <w:tcPr>
            <w:tcW w:w="1545" w:type="pct"/>
            <w:tcBorders>
              <w:top w:val="outset" w:sz="6" w:space="0" w:color="auto"/>
              <w:left w:val="outset" w:sz="6" w:space="0" w:color="auto"/>
              <w:bottom w:val="outset" w:sz="6" w:space="0" w:color="auto"/>
              <w:right w:val="outset" w:sz="6" w:space="0" w:color="auto"/>
            </w:tcBorders>
            <w:hideMark/>
          </w:tcPr>
          <w:p w14:paraId="1C62E1BD" w14:textId="77777777" w:rsidR="00836FE4" w:rsidRPr="00836FE4" w:rsidRDefault="002A525E" w:rsidP="007830FC">
            <w:pPr>
              <w:rPr>
                <w:iCs/>
                <w:color w:val="414142"/>
                <w:lang w:eastAsia="lv-LV"/>
              </w:rPr>
            </w:pPr>
            <w:r w:rsidRPr="00836FE4">
              <w:rPr>
                <w:iCs/>
                <w:color w:val="414142"/>
                <w:lang w:eastAsia="lv-LV"/>
              </w:rPr>
              <w:t>Cita informācija</w:t>
            </w:r>
          </w:p>
        </w:tc>
        <w:tc>
          <w:tcPr>
            <w:tcW w:w="3121" w:type="pct"/>
            <w:tcBorders>
              <w:top w:val="outset" w:sz="6" w:space="0" w:color="auto"/>
              <w:left w:val="outset" w:sz="6" w:space="0" w:color="auto"/>
              <w:bottom w:val="outset" w:sz="6" w:space="0" w:color="auto"/>
              <w:right w:val="outset" w:sz="6" w:space="0" w:color="auto"/>
            </w:tcBorders>
            <w:hideMark/>
          </w:tcPr>
          <w:p w14:paraId="187AC78F" w14:textId="77777777" w:rsidR="00836FE4" w:rsidRPr="00836FE4" w:rsidRDefault="002A525E" w:rsidP="007830FC">
            <w:pPr>
              <w:rPr>
                <w:iCs/>
                <w:color w:val="A6A6A6" w:themeColor="background1" w:themeShade="A6"/>
                <w:lang w:eastAsia="lv-LV"/>
              </w:rPr>
            </w:pPr>
            <w:r w:rsidRPr="00836FE4">
              <w:rPr>
                <w:iCs/>
                <w:lang w:eastAsia="lv-LV"/>
              </w:rPr>
              <w:t>Nav</w:t>
            </w:r>
          </w:p>
        </w:tc>
      </w:tr>
    </w:tbl>
    <w:p w14:paraId="60A001E7" w14:textId="77777777" w:rsidR="00836FE4" w:rsidRPr="00836FE4" w:rsidRDefault="00836FE4" w:rsidP="00B559D5">
      <w:pPr>
        <w:rPr>
          <w:iCs/>
          <w:lang w:eastAsia="en-US"/>
        </w:rPr>
      </w:pPr>
    </w:p>
    <w:tbl>
      <w:tblPr>
        <w:tblW w:w="9642" w:type="dxa"/>
        <w:tblInd w:w="-33" w:type="dxa"/>
        <w:tblBorders>
          <w:top w:val="thickThinSmallGap" w:sz="12" w:space="0" w:color="D9D9D9" w:themeColor="background1" w:themeShade="D9"/>
          <w:left w:val="thickThinSmallGap" w:sz="12" w:space="0" w:color="D9D9D9" w:themeColor="background1" w:themeShade="D9"/>
          <w:bottom w:val="thickThinSmallGap" w:sz="12" w:space="0" w:color="D9D9D9" w:themeColor="background1" w:themeShade="D9"/>
          <w:right w:val="thickThinSmallGap" w:sz="12" w:space="0" w:color="D9D9D9" w:themeColor="background1" w:themeShade="D9"/>
          <w:insideH w:val="thickThinSmallGap" w:sz="12" w:space="0" w:color="D9D9D9" w:themeColor="background1" w:themeShade="D9"/>
          <w:insideV w:val="thickThinSmallGap" w:sz="12" w:space="0" w:color="D9D9D9" w:themeColor="background1" w:themeShade="D9"/>
        </w:tblBorders>
        <w:tblLayout w:type="fixed"/>
        <w:tblCellMar>
          <w:top w:w="57" w:type="dxa"/>
          <w:left w:w="57" w:type="dxa"/>
          <w:bottom w:w="57" w:type="dxa"/>
          <w:right w:w="57" w:type="dxa"/>
        </w:tblCellMar>
        <w:tblLook w:val="0000" w:firstRow="0" w:lastRow="0" w:firstColumn="0" w:lastColumn="0" w:noHBand="0" w:noVBand="0"/>
      </w:tblPr>
      <w:tblGrid>
        <w:gridCol w:w="658"/>
        <w:gridCol w:w="4376"/>
        <w:gridCol w:w="4608"/>
      </w:tblGrid>
      <w:tr w:rsidR="00CC6F38" w14:paraId="4602560B" w14:textId="77777777" w:rsidTr="00862572">
        <w:tc>
          <w:tcPr>
            <w:tcW w:w="9642" w:type="dxa"/>
            <w:gridSpan w:val="3"/>
          </w:tcPr>
          <w:p w14:paraId="7575DF3E" w14:textId="77777777" w:rsidR="00B559D5" w:rsidRPr="00836FE4" w:rsidRDefault="002A525E" w:rsidP="00262DE5">
            <w:pPr>
              <w:pStyle w:val="naisnod"/>
              <w:spacing w:before="0" w:after="0"/>
              <w:ind w:left="57" w:right="57"/>
            </w:pPr>
            <w:r w:rsidRPr="00836FE4">
              <w:t>VII. Tiesību akta projekta izpildes nodrošināšana un tās ietekme uz institūcijām</w:t>
            </w:r>
          </w:p>
        </w:tc>
      </w:tr>
      <w:tr w:rsidR="00CC6F38" w14:paraId="5E9A136C" w14:textId="77777777" w:rsidTr="00862572">
        <w:tblPrEx>
          <w:tblCellMar>
            <w:top w:w="28" w:type="dxa"/>
            <w:left w:w="28" w:type="dxa"/>
            <w:bottom w:w="28" w:type="dxa"/>
            <w:right w:w="28" w:type="dxa"/>
          </w:tblCellMar>
        </w:tblPrEx>
        <w:trPr>
          <w:trHeight w:val="427"/>
        </w:trPr>
        <w:tc>
          <w:tcPr>
            <w:tcW w:w="658" w:type="dxa"/>
          </w:tcPr>
          <w:p w14:paraId="62ABBC09" w14:textId="77777777" w:rsidR="00B559D5" w:rsidRPr="00836FE4" w:rsidRDefault="002A525E" w:rsidP="00262DE5">
            <w:pPr>
              <w:pStyle w:val="naisnod"/>
              <w:spacing w:before="0" w:after="0"/>
              <w:ind w:left="57" w:right="57"/>
              <w:jc w:val="left"/>
            </w:pPr>
            <w:r w:rsidRPr="00836FE4">
              <w:rPr>
                <w:b w:val="0"/>
                <w:bCs w:val="0"/>
              </w:rPr>
              <w:t>1.</w:t>
            </w:r>
          </w:p>
        </w:tc>
        <w:tc>
          <w:tcPr>
            <w:tcW w:w="4376" w:type="dxa"/>
          </w:tcPr>
          <w:p w14:paraId="71598F84" w14:textId="77777777" w:rsidR="00B559D5" w:rsidRPr="00836FE4" w:rsidRDefault="002A525E" w:rsidP="00262DE5">
            <w:pPr>
              <w:pStyle w:val="naisf"/>
              <w:spacing w:before="0" w:after="0"/>
              <w:ind w:left="57" w:right="57" w:firstLine="0"/>
              <w:jc w:val="left"/>
            </w:pPr>
            <w:r w:rsidRPr="00836FE4">
              <w:t xml:space="preserve">Projekta izpildē iesaistītās institūcijas </w:t>
            </w:r>
          </w:p>
        </w:tc>
        <w:tc>
          <w:tcPr>
            <w:tcW w:w="4608" w:type="dxa"/>
          </w:tcPr>
          <w:p w14:paraId="20119BFE" w14:textId="47BB420C" w:rsidR="00B559D5" w:rsidRPr="00836FE4" w:rsidRDefault="009F07A8" w:rsidP="001C28A9">
            <w:pPr>
              <w:jc w:val="both"/>
              <w:rPr>
                <w:lang w:eastAsia="lv-LV"/>
              </w:rPr>
            </w:pPr>
            <w:r>
              <w:rPr>
                <w:lang w:eastAsia="lv-LV"/>
              </w:rPr>
              <w:t xml:space="preserve">NMP dienests, </w:t>
            </w:r>
            <w:proofErr w:type="spellStart"/>
            <w:r w:rsidR="004A0479">
              <w:t>Iekšlietu</w:t>
            </w:r>
            <w:proofErr w:type="spellEnd"/>
            <w:r w:rsidR="004A0479">
              <w:t xml:space="preserve"> ministrijas Informācijas centrs</w:t>
            </w:r>
            <w:r w:rsidR="001C28A9">
              <w:t>, Nacionālais veselības dienests</w:t>
            </w:r>
          </w:p>
        </w:tc>
      </w:tr>
      <w:tr w:rsidR="00CC6F38" w14:paraId="17DC0847" w14:textId="77777777" w:rsidTr="00862572">
        <w:tblPrEx>
          <w:tblCellMar>
            <w:top w:w="28" w:type="dxa"/>
            <w:left w:w="28" w:type="dxa"/>
            <w:bottom w:w="28" w:type="dxa"/>
            <w:right w:w="28" w:type="dxa"/>
          </w:tblCellMar>
        </w:tblPrEx>
        <w:trPr>
          <w:trHeight w:val="463"/>
        </w:trPr>
        <w:tc>
          <w:tcPr>
            <w:tcW w:w="658" w:type="dxa"/>
          </w:tcPr>
          <w:p w14:paraId="57E80042" w14:textId="77777777" w:rsidR="00B559D5" w:rsidRPr="00836FE4" w:rsidRDefault="002A525E" w:rsidP="00262DE5">
            <w:pPr>
              <w:pStyle w:val="naisnod"/>
              <w:spacing w:before="0" w:after="0"/>
              <w:ind w:left="57" w:right="57"/>
              <w:jc w:val="left"/>
            </w:pPr>
            <w:r w:rsidRPr="00836FE4">
              <w:rPr>
                <w:b w:val="0"/>
                <w:bCs w:val="0"/>
              </w:rPr>
              <w:t>2.</w:t>
            </w:r>
          </w:p>
        </w:tc>
        <w:tc>
          <w:tcPr>
            <w:tcW w:w="4376" w:type="dxa"/>
          </w:tcPr>
          <w:p w14:paraId="7A5EBEA3" w14:textId="77777777" w:rsidR="00B559D5" w:rsidRPr="00836FE4" w:rsidRDefault="002A525E" w:rsidP="00262DE5">
            <w:pPr>
              <w:pStyle w:val="naisf"/>
              <w:spacing w:before="0" w:after="0"/>
              <w:ind w:left="57" w:right="57" w:firstLine="0"/>
              <w:jc w:val="left"/>
            </w:pPr>
            <w:r w:rsidRPr="00836FE4">
              <w:t>Projekta izpildes ietekme uz pārvaldes funkcijām un institucionālo struktūru</w:t>
            </w:r>
          </w:p>
        </w:tc>
        <w:tc>
          <w:tcPr>
            <w:tcW w:w="4608" w:type="dxa"/>
          </w:tcPr>
          <w:p w14:paraId="1FC46B2D" w14:textId="280AB375" w:rsidR="00B559D5" w:rsidRPr="00836FE4" w:rsidRDefault="002A525E" w:rsidP="001C28A9">
            <w:pPr>
              <w:jc w:val="both"/>
              <w:rPr>
                <w:color w:val="000000" w:themeColor="text1"/>
                <w:lang w:eastAsia="lv-LV"/>
              </w:rPr>
            </w:pPr>
            <w:r>
              <w:rPr>
                <w:color w:val="000000" w:themeColor="text1"/>
                <w:lang w:eastAsia="lv-LV"/>
              </w:rPr>
              <w:t>Rīkojuma</w:t>
            </w:r>
            <w:r w:rsidRPr="00836FE4">
              <w:rPr>
                <w:color w:val="000000" w:themeColor="text1"/>
                <w:lang w:eastAsia="lv-LV"/>
              </w:rPr>
              <w:t xml:space="preserve"> projekts neradīs</w:t>
            </w:r>
            <w:r w:rsidR="001C28A9">
              <w:rPr>
                <w:color w:val="000000" w:themeColor="text1"/>
                <w:lang w:eastAsia="lv-LV"/>
              </w:rPr>
              <w:t xml:space="preserve"> NMP dienestam</w:t>
            </w:r>
            <w:r w:rsidRPr="00836FE4">
              <w:rPr>
                <w:color w:val="000000" w:themeColor="text1"/>
                <w:lang w:eastAsia="lv-LV"/>
              </w:rPr>
              <w:t xml:space="preserve"> jaunas funkcijas. </w:t>
            </w:r>
          </w:p>
          <w:p w14:paraId="4D506FD8" w14:textId="77777777" w:rsidR="00B559D5" w:rsidRPr="00836FE4" w:rsidRDefault="00B559D5" w:rsidP="001C28A9">
            <w:pPr>
              <w:jc w:val="both"/>
              <w:rPr>
                <w:color w:val="000000" w:themeColor="text1"/>
                <w:lang w:eastAsia="lv-LV"/>
              </w:rPr>
            </w:pPr>
          </w:p>
          <w:p w14:paraId="21DF8AC9" w14:textId="77777777" w:rsidR="00B559D5" w:rsidRPr="00836FE4" w:rsidRDefault="002A525E" w:rsidP="001C28A9">
            <w:pPr>
              <w:pStyle w:val="naisnod"/>
              <w:spacing w:before="0" w:after="0"/>
              <w:ind w:right="57"/>
              <w:jc w:val="both"/>
            </w:pPr>
            <w:r w:rsidRPr="00836FE4">
              <w:rPr>
                <w:b w:val="0"/>
                <w:color w:val="000000" w:themeColor="text1"/>
                <w:lang w:eastAsia="lv-LV"/>
              </w:rPr>
              <w:t xml:space="preserve">Saistībā ar </w:t>
            </w:r>
            <w:r w:rsidR="006D2AE7">
              <w:rPr>
                <w:b w:val="0"/>
                <w:color w:val="000000" w:themeColor="text1"/>
                <w:lang w:eastAsia="lv-LV"/>
              </w:rPr>
              <w:t>rīkojuma</w:t>
            </w:r>
            <w:r w:rsidRPr="00836FE4">
              <w:rPr>
                <w:b w:val="0"/>
                <w:color w:val="000000" w:themeColor="text1"/>
                <w:lang w:eastAsia="lv-LV"/>
              </w:rPr>
              <w:t xml:space="preserve"> projekta izpildi nav nepieciešams veidot jaunas, likvidēt vai reorganizēt esošas institūcijas.</w:t>
            </w:r>
          </w:p>
        </w:tc>
      </w:tr>
      <w:tr w:rsidR="00CC6F38" w14:paraId="2786FCAB" w14:textId="77777777" w:rsidTr="00862572">
        <w:tblPrEx>
          <w:tblCellMar>
            <w:top w:w="28" w:type="dxa"/>
            <w:left w:w="28" w:type="dxa"/>
            <w:bottom w:w="28" w:type="dxa"/>
            <w:right w:w="28" w:type="dxa"/>
          </w:tblCellMar>
        </w:tblPrEx>
        <w:trPr>
          <w:trHeight w:val="476"/>
        </w:trPr>
        <w:tc>
          <w:tcPr>
            <w:tcW w:w="658" w:type="dxa"/>
          </w:tcPr>
          <w:p w14:paraId="6F365BAA" w14:textId="77777777" w:rsidR="00B559D5" w:rsidRPr="00836FE4" w:rsidRDefault="002A525E" w:rsidP="00262DE5">
            <w:pPr>
              <w:pStyle w:val="naiskr"/>
              <w:spacing w:before="0" w:after="0"/>
              <w:ind w:left="57" w:right="57"/>
            </w:pPr>
            <w:r w:rsidRPr="00836FE4">
              <w:t>3.</w:t>
            </w:r>
          </w:p>
        </w:tc>
        <w:tc>
          <w:tcPr>
            <w:tcW w:w="4376" w:type="dxa"/>
          </w:tcPr>
          <w:p w14:paraId="13677ABA" w14:textId="77777777" w:rsidR="00B559D5" w:rsidRPr="00836FE4" w:rsidRDefault="002A525E" w:rsidP="00262DE5">
            <w:pPr>
              <w:pStyle w:val="naiskr"/>
              <w:spacing w:before="0" w:after="0"/>
              <w:ind w:left="57" w:right="57"/>
            </w:pPr>
            <w:r w:rsidRPr="00836FE4">
              <w:t>Cita informācija</w:t>
            </w:r>
          </w:p>
        </w:tc>
        <w:tc>
          <w:tcPr>
            <w:tcW w:w="4608" w:type="dxa"/>
          </w:tcPr>
          <w:p w14:paraId="03DBEFB1" w14:textId="77777777" w:rsidR="00B559D5" w:rsidRPr="00836FE4" w:rsidRDefault="002A525E" w:rsidP="00262DE5">
            <w:pPr>
              <w:pStyle w:val="naiskr"/>
              <w:spacing w:before="0" w:after="0"/>
              <w:ind w:left="57" w:right="57"/>
            </w:pPr>
            <w:r w:rsidRPr="00836FE4">
              <w:t>Nav.</w:t>
            </w:r>
          </w:p>
        </w:tc>
      </w:tr>
    </w:tbl>
    <w:p w14:paraId="2BB26171" w14:textId="77777777" w:rsidR="00993DB8" w:rsidRPr="00BF1B88" w:rsidRDefault="00993DB8" w:rsidP="00BF1B88">
      <w:pPr>
        <w:numPr>
          <w:ilvl w:val="0"/>
          <w:numId w:val="3"/>
        </w:numPr>
        <w:suppressAutoHyphens w:val="0"/>
        <w:rPr>
          <w:sz w:val="28"/>
        </w:rPr>
      </w:pPr>
    </w:p>
    <w:p w14:paraId="3D3F9153" w14:textId="77777777" w:rsidR="00993DB8" w:rsidRDefault="00993DB8" w:rsidP="00993DB8">
      <w:pPr>
        <w:numPr>
          <w:ilvl w:val="0"/>
          <w:numId w:val="3"/>
        </w:numPr>
        <w:suppressAutoHyphens w:val="0"/>
        <w:rPr>
          <w:bCs/>
          <w:sz w:val="28"/>
          <w:szCs w:val="28"/>
        </w:rPr>
      </w:pPr>
    </w:p>
    <w:p w14:paraId="7AD47E58" w14:textId="7550F122" w:rsidR="00993DB8" w:rsidRPr="00D5095A" w:rsidRDefault="00993DB8" w:rsidP="00993DB8">
      <w:pPr>
        <w:numPr>
          <w:ilvl w:val="0"/>
          <w:numId w:val="3"/>
        </w:numPr>
        <w:suppressAutoHyphens w:val="0"/>
        <w:rPr>
          <w:bCs/>
          <w:sz w:val="28"/>
          <w:szCs w:val="28"/>
        </w:rPr>
      </w:pPr>
      <w:r>
        <w:rPr>
          <w:bCs/>
          <w:sz w:val="28"/>
          <w:szCs w:val="28"/>
        </w:rPr>
        <w:t>Veselības ministre</w:t>
      </w:r>
      <w:r w:rsidRPr="00D5095A">
        <w:rPr>
          <w:bCs/>
          <w:sz w:val="28"/>
          <w:szCs w:val="28"/>
        </w:rPr>
        <w:tab/>
      </w:r>
      <w:r w:rsidRPr="00D5095A">
        <w:rPr>
          <w:bCs/>
          <w:sz w:val="28"/>
          <w:szCs w:val="28"/>
        </w:rPr>
        <w:tab/>
      </w:r>
      <w:r w:rsidRPr="00D5095A">
        <w:rPr>
          <w:bCs/>
          <w:sz w:val="28"/>
          <w:szCs w:val="28"/>
        </w:rPr>
        <w:tab/>
      </w:r>
      <w:r w:rsidRPr="00D5095A">
        <w:rPr>
          <w:bCs/>
          <w:sz w:val="28"/>
          <w:szCs w:val="28"/>
        </w:rPr>
        <w:tab/>
        <w:t xml:space="preserve">           </w:t>
      </w:r>
      <w:r>
        <w:rPr>
          <w:bCs/>
          <w:sz w:val="28"/>
          <w:szCs w:val="28"/>
        </w:rPr>
        <w:tab/>
      </w:r>
      <w:r w:rsidRPr="00D5095A">
        <w:rPr>
          <w:bCs/>
          <w:sz w:val="28"/>
          <w:szCs w:val="28"/>
        </w:rPr>
        <w:t xml:space="preserve"> </w:t>
      </w:r>
      <w:r>
        <w:rPr>
          <w:bCs/>
          <w:sz w:val="28"/>
          <w:szCs w:val="28"/>
        </w:rPr>
        <w:t xml:space="preserve"> </w:t>
      </w:r>
      <w:r w:rsidRPr="00D5095A">
        <w:rPr>
          <w:bCs/>
          <w:sz w:val="28"/>
          <w:szCs w:val="28"/>
        </w:rPr>
        <w:t xml:space="preserve"> </w:t>
      </w:r>
      <w:r>
        <w:rPr>
          <w:rStyle w:val="name"/>
          <w:rFonts w:eastAsia="PMingLiU"/>
          <w:bCs/>
          <w:color w:val="000000"/>
          <w:sz w:val="28"/>
          <w:szCs w:val="28"/>
        </w:rPr>
        <w:t>I. Viņķele</w:t>
      </w:r>
    </w:p>
    <w:p w14:paraId="44FFE024" w14:textId="7BDA72AE" w:rsidR="00993DB8" w:rsidRDefault="00993DB8" w:rsidP="00993DB8">
      <w:pPr>
        <w:rPr>
          <w:sz w:val="28"/>
          <w:szCs w:val="28"/>
        </w:rPr>
      </w:pPr>
    </w:p>
    <w:p w14:paraId="066E8309" w14:textId="77777777" w:rsidR="007A2D6B" w:rsidRPr="00033E31" w:rsidRDefault="007A2D6B" w:rsidP="00993DB8">
      <w:pPr>
        <w:rPr>
          <w:sz w:val="28"/>
          <w:szCs w:val="28"/>
        </w:rPr>
      </w:pPr>
    </w:p>
    <w:p w14:paraId="01112AFC" w14:textId="26D6A077" w:rsidR="00162EC9" w:rsidRDefault="00162EC9" w:rsidP="00162EC9">
      <w:pPr>
        <w:tabs>
          <w:tab w:val="left" w:pos="5529"/>
          <w:tab w:val="right" w:pos="8929"/>
        </w:tabs>
        <w:jc w:val="both"/>
        <w:rPr>
          <w:sz w:val="28"/>
          <w:szCs w:val="28"/>
        </w:rPr>
      </w:pPr>
      <w:r>
        <w:rPr>
          <w:sz w:val="28"/>
          <w:szCs w:val="28"/>
        </w:rPr>
        <w:t xml:space="preserve">Vīza: valsts sekretāre </w:t>
      </w:r>
      <w:r>
        <w:rPr>
          <w:sz w:val="28"/>
          <w:szCs w:val="28"/>
        </w:rPr>
        <w:tab/>
      </w:r>
      <w:r>
        <w:rPr>
          <w:sz w:val="28"/>
          <w:szCs w:val="28"/>
        </w:rPr>
        <w:t xml:space="preserve">      </w:t>
      </w:r>
      <w:bookmarkStart w:id="0" w:name="_GoBack"/>
      <w:bookmarkEnd w:id="0"/>
      <w:r>
        <w:rPr>
          <w:sz w:val="28"/>
          <w:szCs w:val="28"/>
        </w:rPr>
        <w:t>D. </w:t>
      </w:r>
      <w:proofErr w:type="spellStart"/>
      <w:r>
        <w:rPr>
          <w:sz w:val="28"/>
          <w:szCs w:val="28"/>
        </w:rPr>
        <w:t>Mūrmane-Umbraško</w:t>
      </w:r>
      <w:proofErr w:type="spellEnd"/>
    </w:p>
    <w:p w14:paraId="536CF656" w14:textId="77777777" w:rsidR="00993DB8" w:rsidRDefault="00993DB8" w:rsidP="00993DB8">
      <w:pPr>
        <w:jc w:val="both"/>
        <w:rPr>
          <w:sz w:val="20"/>
          <w:szCs w:val="20"/>
        </w:rPr>
      </w:pPr>
    </w:p>
    <w:p w14:paraId="16332C9E" w14:textId="77777777" w:rsidR="00993DB8" w:rsidRDefault="00993DB8" w:rsidP="00993DB8">
      <w:pPr>
        <w:jc w:val="both"/>
        <w:rPr>
          <w:sz w:val="20"/>
          <w:szCs w:val="20"/>
        </w:rPr>
      </w:pPr>
    </w:p>
    <w:p w14:paraId="4443680A" w14:textId="68E71820" w:rsidR="00993DB8" w:rsidRDefault="00993DB8" w:rsidP="00993DB8">
      <w:pPr>
        <w:jc w:val="both"/>
        <w:rPr>
          <w:sz w:val="20"/>
          <w:szCs w:val="20"/>
        </w:rPr>
      </w:pPr>
    </w:p>
    <w:p w14:paraId="68FB1BC6" w14:textId="77777777" w:rsidR="00993DB8" w:rsidRDefault="00993DB8" w:rsidP="00993DB8">
      <w:pPr>
        <w:jc w:val="both"/>
        <w:rPr>
          <w:sz w:val="20"/>
          <w:szCs w:val="20"/>
        </w:rPr>
      </w:pPr>
    </w:p>
    <w:p w14:paraId="581B293A" w14:textId="4CCC5A38" w:rsidR="00FD753D" w:rsidRPr="007A2D6B" w:rsidRDefault="00603B7F" w:rsidP="00FD753D">
      <w:pPr>
        <w:pStyle w:val="pamattekststabul"/>
        <w:tabs>
          <w:tab w:val="left" w:pos="3119"/>
          <w:tab w:val="left" w:pos="5812"/>
        </w:tabs>
        <w:spacing w:before="0" w:beforeAutospacing="0" w:after="0" w:afterAutospacing="0"/>
        <w:jc w:val="both"/>
        <w:rPr>
          <w:lang w:val="lv-LV"/>
        </w:rPr>
      </w:pPr>
      <w:r>
        <w:t>I</w:t>
      </w:r>
      <w:r w:rsidR="0031214E">
        <w:t xml:space="preserve">veta </w:t>
      </w:r>
      <w:r>
        <w:t>Bērtulsone</w:t>
      </w:r>
      <w:r w:rsidR="00FD753D" w:rsidRPr="007A2D6B">
        <w:t xml:space="preserve"> 6</w:t>
      </w:r>
      <w:r>
        <w:t>0008321</w:t>
      </w:r>
    </w:p>
    <w:p w14:paraId="25096CFD" w14:textId="6960291F" w:rsidR="00FD753D" w:rsidRPr="007A2D6B" w:rsidRDefault="00603B7F" w:rsidP="00FD753D">
      <w:pPr>
        <w:tabs>
          <w:tab w:val="left" w:pos="0"/>
          <w:tab w:val="right" w:pos="4678"/>
        </w:tabs>
        <w:jc w:val="both"/>
      </w:pPr>
      <w:r>
        <w:t>iveta</w:t>
      </w:r>
      <w:r w:rsidR="00FD753D" w:rsidRPr="007A2D6B">
        <w:t>.</w:t>
      </w:r>
      <w:r>
        <w:t>bertulsone</w:t>
      </w:r>
      <w:r w:rsidR="00FD753D" w:rsidRPr="007A2D6B">
        <w:t>@vm.gov.lv</w:t>
      </w:r>
    </w:p>
    <w:p w14:paraId="42F7FC64" w14:textId="56078DB7" w:rsidR="007A7F81" w:rsidRPr="00836FE4" w:rsidRDefault="007A7F81" w:rsidP="0049504A">
      <w:pPr>
        <w:jc w:val="both"/>
        <w:outlineLvl w:val="0"/>
        <w:rPr>
          <w:rStyle w:val="Hyperlink"/>
        </w:rPr>
      </w:pPr>
    </w:p>
    <w:sectPr w:rsidR="007A7F81" w:rsidRPr="00836FE4" w:rsidSect="00320499">
      <w:headerReference w:type="even" r:id="rId9"/>
      <w:headerReference w:type="default" r:id="rId10"/>
      <w:footerReference w:type="even" r:id="rId11"/>
      <w:footerReference w:type="default" r:id="rId12"/>
      <w:headerReference w:type="first" r:id="rId13"/>
      <w:footerReference w:type="first" r:id="rId14"/>
      <w:pgSz w:w="11906" w:h="16838"/>
      <w:pgMar w:top="1276" w:right="1276"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3F59" w14:textId="77777777" w:rsidR="00BE7DDC" w:rsidRDefault="00BE7DDC">
      <w:r>
        <w:separator/>
      </w:r>
    </w:p>
  </w:endnote>
  <w:endnote w:type="continuationSeparator" w:id="0">
    <w:p w14:paraId="4BD9404F" w14:textId="77777777" w:rsidR="00BE7DDC" w:rsidRDefault="00BE7DDC">
      <w:r>
        <w:continuationSeparator/>
      </w:r>
    </w:p>
  </w:endnote>
  <w:endnote w:type="continuationNotice" w:id="1">
    <w:p w14:paraId="4F714B47" w14:textId="77777777" w:rsidR="00BE7DDC" w:rsidRDefault="00BE7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6A48" w14:textId="77777777" w:rsidR="00B95792" w:rsidRDefault="00B95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A133" w14:textId="360A95D9" w:rsidR="002C725A" w:rsidRPr="00B95792" w:rsidRDefault="002C725A">
    <w:pPr>
      <w:pStyle w:val="Footer"/>
      <w:rPr>
        <w:sz w:val="22"/>
        <w:szCs w:val="22"/>
      </w:rPr>
    </w:pPr>
    <w:r w:rsidRPr="00B95792">
      <w:rPr>
        <w:sz w:val="22"/>
        <w:szCs w:val="22"/>
      </w:rPr>
      <w:t>VMAnot</w:t>
    </w:r>
    <w:r w:rsidR="009B2EC6" w:rsidRPr="00B95792">
      <w:rPr>
        <w:sz w:val="22"/>
        <w:szCs w:val="22"/>
      </w:rPr>
      <w:t>_20</w:t>
    </w:r>
    <w:r w:rsidR="006A2F5A" w:rsidRPr="00B95792">
      <w:rPr>
        <w:sz w:val="22"/>
        <w:szCs w:val="22"/>
      </w:rPr>
      <w:t>11</w:t>
    </w:r>
    <w:r w:rsidRPr="00B95792">
      <w:rPr>
        <w:sz w:val="22"/>
        <w:szCs w:val="22"/>
      </w:rPr>
      <w:t>19_NMPD</w:t>
    </w:r>
  </w:p>
  <w:p w14:paraId="37674030" w14:textId="2FC907A2" w:rsidR="006E119D" w:rsidRPr="00740092" w:rsidRDefault="006E119D" w:rsidP="006E119D">
    <w:pPr>
      <w:pStyle w:val="Footer"/>
      <w:jc w:val="both"/>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FADF" w14:textId="0446BAFB" w:rsidR="006E119D" w:rsidRPr="00B95792" w:rsidRDefault="0025687B" w:rsidP="006E119D">
    <w:pPr>
      <w:pStyle w:val="Footer"/>
      <w:jc w:val="both"/>
      <w:rPr>
        <w:sz w:val="22"/>
        <w:szCs w:val="22"/>
      </w:rPr>
    </w:pPr>
    <w:r w:rsidRPr="00B95792">
      <w:rPr>
        <w:sz w:val="22"/>
        <w:szCs w:val="22"/>
      </w:rPr>
      <w:t>VMAnot_</w:t>
    </w:r>
    <w:r w:rsidR="009B2EC6" w:rsidRPr="00B95792">
      <w:rPr>
        <w:sz w:val="22"/>
        <w:szCs w:val="22"/>
      </w:rPr>
      <w:t>20</w:t>
    </w:r>
    <w:r w:rsidR="006A2F5A" w:rsidRPr="00B95792">
      <w:rPr>
        <w:sz w:val="22"/>
        <w:szCs w:val="22"/>
      </w:rPr>
      <w:t>11</w:t>
    </w:r>
    <w:r w:rsidRPr="00B95792">
      <w:rPr>
        <w:sz w:val="22"/>
        <w:szCs w:val="22"/>
      </w:rPr>
      <w:t>19_NMPD</w:t>
    </w:r>
    <w:r w:rsidRPr="00B95792">
      <w:rPr>
        <w:noProof/>
        <w:sz w:val="22"/>
        <w:szCs w:val="22"/>
      </w:rPr>
      <w:t xml:space="preserve"> </w:t>
    </w:r>
    <w:r w:rsidR="002A525E" w:rsidRPr="00B95792">
      <w:rPr>
        <w:sz w:val="22"/>
        <w:szCs w:val="22"/>
      </w:rPr>
      <w:fldChar w:fldCharType="begin"/>
    </w:r>
    <w:r w:rsidR="002A525E" w:rsidRPr="00B95792">
      <w:rPr>
        <w:sz w:val="22"/>
        <w:szCs w:val="22"/>
      </w:rPr>
      <w:instrText xml:space="preserve"> FILENAME  \* MERGEFORMAT </w:instrText>
    </w:r>
    <w:r w:rsidR="002A525E" w:rsidRPr="00B9579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76C2" w14:textId="77777777" w:rsidR="00BE7DDC" w:rsidRDefault="00BE7DDC">
      <w:r>
        <w:separator/>
      </w:r>
    </w:p>
  </w:footnote>
  <w:footnote w:type="continuationSeparator" w:id="0">
    <w:p w14:paraId="1C2515B2" w14:textId="77777777" w:rsidR="00BE7DDC" w:rsidRDefault="00BE7DDC">
      <w:r>
        <w:continuationSeparator/>
      </w:r>
    </w:p>
  </w:footnote>
  <w:footnote w:type="continuationNotice" w:id="1">
    <w:p w14:paraId="7521D50A" w14:textId="77777777" w:rsidR="00BE7DDC" w:rsidRDefault="00BE7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8782" w14:textId="77777777" w:rsidR="00B95792" w:rsidRDefault="00B95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68CD" w14:textId="77777777" w:rsidR="00352997" w:rsidRDefault="002A525E">
    <w:pPr>
      <w:pStyle w:val="Header"/>
      <w:jc w:val="center"/>
    </w:pPr>
    <w:r>
      <w:fldChar w:fldCharType="begin"/>
    </w:r>
    <w:r>
      <w:instrText xml:space="preserve"> PAGE </w:instrText>
    </w:r>
    <w:r>
      <w:fldChar w:fldCharType="separate"/>
    </w:r>
    <w:r w:rsidR="002279BF">
      <w:rPr>
        <w:noProof/>
      </w:rPr>
      <w:t>6</w:t>
    </w:r>
    <w:r>
      <w:rPr>
        <w:noProof/>
      </w:rPr>
      <w:fldChar w:fldCharType="end"/>
    </w:r>
  </w:p>
  <w:p w14:paraId="7438275C" w14:textId="77777777" w:rsidR="00352997" w:rsidRDefault="00352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3C19" w14:textId="77777777" w:rsidR="00B95792" w:rsidRDefault="00B95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09E416F2"/>
    <w:multiLevelType w:val="hybridMultilevel"/>
    <w:tmpl w:val="C360F0F8"/>
    <w:lvl w:ilvl="0" w:tplc="FDE4D8BA">
      <w:start w:val="1"/>
      <w:numFmt w:val="decimal"/>
      <w:pStyle w:val="VPBullet1"/>
      <w:lvlText w:val="%1."/>
      <w:lvlJc w:val="left"/>
      <w:pPr>
        <w:ind w:left="720" w:hanging="360"/>
      </w:pPr>
      <w:rPr>
        <w:rFonts w:ascii="Times New Roman" w:eastAsiaTheme="minorHAnsi" w:hAnsi="Times New Roman" w:cs="Times New Roman"/>
        <w:color w:val="auto"/>
        <w:sz w:val="28"/>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B23836"/>
    <w:multiLevelType w:val="hybridMultilevel"/>
    <w:tmpl w:val="7FA69442"/>
    <w:lvl w:ilvl="0" w:tplc="AF560F78">
      <w:start w:val="1"/>
      <w:numFmt w:val="bullet"/>
      <w:lvlText w:val=""/>
      <w:lvlJc w:val="left"/>
      <w:pPr>
        <w:tabs>
          <w:tab w:val="num" w:pos="644"/>
        </w:tabs>
        <w:ind w:left="644" w:hanging="360"/>
      </w:pPr>
      <w:rPr>
        <w:rFonts w:ascii="Wingdings" w:hAnsi="Wingdings" w:hint="default"/>
        <w:color w:val="auto"/>
      </w:rPr>
    </w:lvl>
    <w:lvl w:ilvl="1" w:tplc="8048F052" w:tentative="1">
      <w:start w:val="1"/>
      <w:numFmt w:val="bullet"/>
      <w:lvlText w:val="•"/>
      <w:lvlJc w:val="left"/>
      <w:pPr>
        <w:tabs>
          <w:tab w:val="num" w:pos="1440"/>
        </w:tabs>
        <w:ind w:left="1440" w:hanging="360"/>
      </w:pPr>
      <w:rPr>
        <w:rFonts w:ascii="Arial" w:hAnsi="Arial" w:hint="default"/>
      </w:rPr>
    </w:lvl>
    <w:lvl w:ilvl="2" w:tplc="4386DA8A" w:tentative="1">
      <w:start w:val="1"/>
      <w:numFmt w:val="bullet"/>
      <w:lvlText w:val="•"/>
      <w:lvlJc w:val="left"/>
      <w:pPr>
        <w:tabs>
          <w:tab w:val="num" w:pos="2160"/>
        </w:tabs>
        <w:ind w:left="2160" w:hanging="360"/>
      </w:pPr>
      <w:rPr>
        <w:rFonts w:ascii="Arial" w:hAnsi="Arial" w:hint="default"/>
      </w:rPr>
    </w:lvl>
    <w:lvl w:ilvl="3" w:tplc="85AE0D60" w:tentative="1">
      <w:start w:val="1"/>
      <w:numFmt w:val="bullet"/>
      <w:lvlText w:val="•"/>
      <w:lvlJc w:val="left"/>
      <w:pPr>
        <w:tabs>
          <w:tab w:val="num" w:pos="2880"/>
        </w:tabs>
        <w:ind w:left="2880" w:hanging="360"/>
      </w:pPr>
      <w:rPr>
        <w:rFonts w:ascii="Arial" w:hAnsi="Arial" w:hint="default"/>
      </w:rPr>
    </w:lvl>
    <w:lvl w:ilvl="4" w:tplc="57D4BE2C" w:tentative="1">
      <w:start w:val="1"/>
      <w:numFmt w:val="bullet"/>
      <w:lvlText w:val="•"/>
      <w:lvlJc w:val="left"/>
      <w:pPr>
        <w:tabs>
          <w:tab w:val="num" w:pos="3600"/>
        </w:tabs>
        <w:ind w:left="3600" w:hanging="360"/>
      </w:pPr>
      <w:rPr>
        <w:rFonts w:ascii="Arial" w:hAnsi="Arial" w:hint="default"/>
      </w:rPr>
    </w:lvl>
    <w:lvl w:ilvl="5" w:tplc="25E2C602" w:tentative="1">
      <w:start w:val="1"/>
      <w:numFmt w:val="bullet"/>
      <w:lvlText w:val="•"/>
      <w:lvlJc w:val="left"/>
      <w:pPr>
        <w:tabs>
          <w:tab w:val="num" w:pos="4320"/>
        </w:tabs>
        <w:ind w:left="4320" w:hanging="360"/>
      </w:pPr>
      <w:rPr>
        <w:rFonts w:ascii="Arial" w:hAnsi="Arial" w:hint="default"/>
      </w:rPr>
    </w:lvl>
    <w:lvl w:ilvl="6" w:tplc="B2BA0C54" w:tentative="1">
      <w:start w:val="1"/>
      <w:numFmt w:val="bullet"/>
      <w:lvlText w:val="•"/>
      <w:lvlJc w:val="left"/>
      <w:pPr>
        <w:tabs>
          <w:tab w:val="num" w:pos="5040"/>
        </w:tabs>
        <w:ind w:left="5040" w:hanging="360"/>
      </w:pPr>
      <w:rPr>
        <w:rFonts w:ascii="Arial" w:hAnsi="Arial" w:hint="default"/>
      </w:rPr>
    </w:lvl>
    <w:lvl w:ilvl="7" w:tplc="619C02EE" w:tentative="1">
      <w:start w:val="1"/>
      <w:numFmt w:val="bullet"/>
      <w:lvlText w:val="•"/>
      <w:lvlJc w:val="left"/>
      <w:pPr>
        <w:tabs>
          <w:tab w:val="num" w:pos="5760"/>
        </w:tabs>
        <w:ind w:left="5760" w:hanging="360"/>
      </w:pPr>
      <w:rPr>
        <w:rFonts w:ascii="Arial" w:hAnsi="Arial" w:hint="default"/>
      </w:rPr>
    </w:lvl>
    <w:lvl w:ilvl="8" w:tplc="D7406626"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36D83434"/>
    <w:multiLevelType w:val="hybridMultilevel"/>
    <w:tmpl w:val="E9E831E2"/>
    <w:lvl w:ilvl="0" w:tplc="6B3412F8">
      <w:start w:val="1"/>
      <w:numFmt w:val="decimal"/>
      <w:lvlText w:val="%1)"/>
      <w:lvlJc w:val="left"/>
      <w:pPr>
        <w:ind w:left="720" w:hanging="360"/>
      </w:pPr>
      <w:rPr>
        <w:rFonts w:hint="default"/>
      </w:rPr>
    </w:lvl>
    <w:lvl w:ilvl="1" w:tplc="3390A542" w:tentative="1">
      <w:start w:val="1"/>
      <w:numFmt w:val="lowerLetter"/>
      <w:lvlText w:val="%2."/>
      <w:lvlJc w:val="left"/>
      <w:pPr>
        <w:ind w:left="1440" w:hanging="360"/>
      </w:pPr>
    </w:lvl>
    <w:lvl w:ilvl="2" w:tplc="46E412DE" w:tentative="1">
      <w:start w:val="1"/>
      <w:numFmt w:val="lowerRoman"/>
      <w:lvlText w:val="%3."/>
      <w:lvlJc w:val="right"/>
      <w:pPr>
        <w:ind w:left="2160" w:hanging="180"/>
      </w:pPr>
    </w:lvl>
    <w:lvl w:ilvl="3" w:tplc="2A4CEFE0" w:tentative="1">
      <w:start w:val="1"/>
      <w:numFmt w:val="decimal"/>
      <w:lvlText w:val="%4."/>
      <w:lvlJc w:val="left"/>
      <w:pPr>
        <w:ind w:left="2880" w:hanging="360"/>
      </w:pPr>
    </w:lvl>
    <w:lvl w:ilvl="4" w:tplc="05EEF6BA" w:tentative="1">
      <w:start w:val="1"/>
      <w:numFmt w:val="lowerLetter"/>
      <w:lvlText w:val="%5."/>
      <w:lvlJc w:val="left"/>
      <w:pPr>
        <w:ind w:left="3600" w:hanging="360"/>
      </w:pPr>
    </w:lvl>
    <w:lvl w:ilvl="5" w:tplc="010EBB34" w:tentative="1">
      <w:start w:val="1"/>
      <w:numFmt w:val="lowerRoman"/>
      <w:lvlText w:val="%6."/>
      <w:lvlJc w:val="right"/>
      <w:pPr>
        <w:ind w:left="4320" w:hanging="180"/>
      </w:pPr>
    </w:lvl>
    <w:lvl w:ilvl="6" w:tplc="6ECCEFDC" w:tentative="1">
      <w:start w:val="1"/>
      <w:numFmt w:val="decimal"/>
      <w:lvlText w:val="%7."/>
      <w:lvlJc w:val="left"/>
      <w:pPr>
        <w:ind w:left="5040" w:hanging="360"/>
      </w:pPr>
    </w:lvl>
    <w:lvl w:ilvl="7" w:tplc="8A0427B4" w:tentative="1">
      <w:start w:val="1"/>
      <w:numFmt w:val="lowerLetter"/>
      <w:lvlText w:val="%8."/>
      <w:lvlJc w:val="left"/>
      <w:pPr>
        <w:ind w:left="5760" w:hanging="360"/>
      </w:pPr>
    </w:lvl>
    <w:lvl w:ilvl="8" w:tplc="AC5A9A06" w:tentative="1">
      <w:start w:val="1"/>
      <w:numFmt w:val="lowerRoman"/>
      <w:lvlText w:val="%9."/>
      <w:lvlJc w:val="right"/>
      <w:pPr>
        <w:ind w:left="6480" w:hanging="180"/>
      </w:pPr>
    </w:lvl>
  </w:abstractNum>
  <w:abstractNum w:abstractNumId="5" w15:restartNumberingAfterBreak="0">
    <w:nsid w:val="3BE04ECC"/>
    <w:multiLevelType w:val="hybridMultilevel"/>
    <w:tmpl w:val="6B563D7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B1E10D8"/>
    <w:multiLevelType w:val="hybridMultilevel"/>
    <w:tmpl w:val="264EF658"/>
    <w:lvl w:ilvl="0" w:tplc="0426000D">
      <w:start w:val="1"/>
      <w:numFmt w:val="bullet"/>
      <w:lvlText w:val=""/>
      <w:lvlJc w:val="left"/>
      <w:pPr>
        <w:ind w:left="1364" w:hanging="360"/>
      </w:pPr>
      <w:rPr>
        <w:rFonts w:ascii="Wingdings" w:hAnsi="Wingdings"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D5"/>
    <w:rsid w:val="00012D12"/>
    <w:rsid w:val="000201CB"/>
    <w:rsid w:val="00031338"/>
    <w:rsid w:val="00034467"/>
    <w:rsid w:val="000738A8"/>
    <w:rsid w:val="00093C12"/>
    <w:rsid w:val="00094E06"/>
    <w:rsid w:val="000B7DE8"/>
    <w:rsid w:val="000C4531"/>
    <w:rsid w:val="000C7E69"/>
    <w:rsid w:val="000E61A8"/>
    <w:rsid w:val="000F5F69"/>
    <w:rsid w:val="00102821"/>
    <w:rsid w:val="00110F32"/>
    <w:rsid w:val="00115398"/>
    <w:rsid w:val="00124878"/>
    <w:rsid w:val="00145D81"/>
    <w:rsid w:val="00162EC9"/>
    <w:rsid w:val="001774A6"/>
    <w:rsid w:val="00195810"/>
    <w:rsid w:val="001C28A9"/>
    <w:rsid w:val="001D603F"/>
    <w:rsid w:val="001F209D"/>
    <w:rsid w:val="001F692C"/>
    <w:rsid w:val="002279BF"/>
    <w:rsid w:val="00233C8F"/>
    <w:rsid w:val="0025687B"/>
    <w:rsid w:val="00262B68"/>
    <w:rsid w:val="00262DE5"/>
    <w:rsid w:val="00281BB8"/>
    <w:rsid w:val="00290A04"/>
    <w:rsid w:val="002A525E"/>
    <w:rsid w:val="002A6C83"/>
    <w:rsid w:val="002B51F8"/>
    <w:rsid w:val="002C0D7C"/>
    <w:rsid w:val="002C725A"/>
    <w:rsid w:val="002C7BC5"/>
    <w:rsid w:val="002D03DD"/>
    <w:rsid w:val="002D1708"/>
    <w:rsid w:val="002D2F5C"/>
    <w:rsid w:val="002E2B19"/>
    <w:rsid w:val="002E3C98"/>
    <w:rsid w:val="002E73C0"/>
    <w:rsid w:val="00303A57"/>
    <w:rsid w:val="003067C1"/>
    <w:rsid w:val="0031214E"/>
    <w:rsid w:val="00322D51"/>
    <w:rsid w:val="00333611"/>
    <w:rsid w:val="003338DA"/>
    <w:rsid w:val="003428BA"/>
    <w:rsid w:val="00343AC9"/>
    <w:rsid w:val="00345229"/>
    <w:rsid w:val="00352997"/>
    <w:rsid w:val="00353DFF"/>
    <w:rsid w:val="0035455A"/>
    <w:rsid w:val="00356D03"/>
    <w:rsid w:val="00374319"/>
    <w:rsid w:val="0037721B"/>
    <w:rsid w:val="00384D96"/>
    <w:rsid w:val="003909A1"/>
    <w:rsid w:val="00390F1E"/>
    <w:rsid w:val="003A38E2"/>
    <w:rsid w:val="003B2BD8"/>
    <w:rsid w:val="003B316D"/>
    <w:rsid w:val="003B3921"/>
    <w:rsid w:val="003C0AD7"/>
    <w:rsid w:val="003C6B73"/>
    <w:rsid w:val="003F4D13"/>
    <w:rsid w:val="0040004C"/>
    <w:rsid w:val="00400720"/>
    <w:rsid w:val="004070E1"/>
    <w:rsid w:val="00407A9D"/>
    <w:rsid w:val="00415080"/>
    <w:rsid w:val="00417018"/>
    <w:rsid w:val="004360F8"/>
    <w:rsid w:val="004477F1"/>
    <w:rsid w:val="0049240E"/>
    <w:rsid w:val="0049504A"/>
    <w:rsid w:val="004A0479"/>
    <w:rsid w:val="004A3FAC"/>
    <w:rsid w:val="004E103E"/>
    <w:rsid w:val="004E3250"/>
    <w:rsid w:val="00507EE3"/>
    <w:rsid w:val="00516A77"/>
    <w:rsid w:val="00536626"/>
    <w:rsid w:val="00540A81"/>
    <w:rsid w:val="00562911"/>
    <w:rsid w:val="005664A0"/>
    <w:rsid w:val="005718F4"/>
    <w:rsid w:val="00582241"/>
    <w:rsid w:val="005830D0"/>
    <w:rsid w:val="0058529D"/>
    <w:rsid w:val="005A0C22"/>
    <w:rsid w:val="005B1C1F"/>
    <w:rsid w:val="005B35A5"/>
    <w:rsid w:val="005B36CB"/>
    <w:rsid w:val="005C2B97"/>
    <w:rsid w:val="005C3B27"/>
    <w:rsid w:val="005F7CBF"/>
    <w:rsid w:val="00603186"/>
    <w:rsid w:val="00603B7F"/>
    <w:rsid w:val="00616DD4"/>
    <w:rsid w:val="006249EE"/>
    <w:rsid w:val="00633A3C"/>
    <w:rsid w:val="006519E4"/>
    <w:rsid w:val="00661930"/>
    <w:rsid w:val="00694372"/>
    <w:rsid w:val="00695873"/>
    <w:rsid w:val="006A2F5A"/>
    <w:rsid w:val="006A2FA3"/>
    <w:rsid w:val="006B1B35"/>
    <w:rsid w:val="006B3BE4"/>
    <w:rsid w:val="006D2241"/>
    <w:rsid w:val="006D2AE7"/>
    <w:rsid w:val="006E119D"/>
    <w:rsid w:val="006E4C1A"/>
    <w:rsid w:val="00704B91"/>
    <w:rsid w:val="0070772B"/>
    <w:rsid w:val="00723905"/>
    <w:rsid w:val="00724728"/>
    <w:rsid w:val="00735F5B"/>
    <w:rsid w:val="00740092"/>
    <w:rsid w:val="00742B6C"/>
    <w:rsid w:val="007435EF"/>
    <w:rsid w:val="00746CED"/>
    <w:rsid w:val="00750ECA"/>
    <w:rsid w:val="00754894"/>
    <w:rsid w:val="00754DAC"/>
    <w:rsid w:val="007830FC"/>
    <w:rsid w:val="00794EF7"/>
    <w:rsid w:val="00796E79"/>
    <w:rsid w:val="007A2D6B"/>
    <w:rsid w:val="007A7F81"/>
    <w:rsid w:val="007B09FF"/>
    <w:rsid w:val="007B1D56"/>
    <w:rsid w:val="007C6F2D"/>
    <w:rsid w:val="007D7670"/>
    <w:rsid w:val="007F5A2A"/>
    <w:rsid w:val="00804219"/>
    <w:rsid w:val="00833287"/>
    <w:rsid w:val="00836FE4"/>
    <w:rsid w:val="008427AA"/>
    <w:rsid w:val="00847D6F"/>
    <w:rsid w:val="008547E9"/>
    <w:rsid w:val="00862572"/>
    <w:rsid w:val="008662E3"/>
    <w:rsid w:val="008850B0"/>
    <w:rsid w:val="008855AE"/>
    <w:rsid w:val="008968CE"/>
    <w:rsid w:val="008A6CEB"/>
    <w:rsid w:val="008A7A63"/>
    <w:rsid w:val="008C0EF5"/>
    <w:rsid w:val="008C754F"/>
    <w:rsid w:val="008D72B7"/>
    <w:rsid w:val="00903C68"/>
    <w:rsid w:val="00912360"/>
    <w:rsid w:val="00926E5C"/>
    <w:rsid w:val="00950A48"/>
    <w:rsid w:val="00950B4F"/>
    <w:rsid w:val="00954D75"/>
    <w:rsid w:val="00974A59"/>
    <w:rsid w:val="00983BBC"/>
    <w:rsid w:val="00984538"/>
    <w:rsid w:val="009910D0"/>
    <w:rsid w:val="00993DB8"/>
    <w:rsid w:val="009A2C06"/>
    <w:rsid w:val="009B2EC6"/>
    <w:rsid w:val="009C069F"/>
    <w:rsid w:val="009C0C73"/>
    <w:rsid w:val="009C416A"/>
    <w:rsid w:val="009D32D7"/>
    <w:rsid w:val="009E4E06"/>
    <w:rsid w:val="009E5E9E"/>
    <w:rsid w:val="009F07A8"/>
    <w:rsid w:val="009F1706"/>
    <w:rsid w:val="00A37C87"/>
    <w:rsid w:val="00A434F4"/>
    <w:rsid w:val="00A53B68"/>
    <w:rsid w:val="00A559C4"/>
    <w:rsid w:val="00A61D82"/>
    <w:rsid w:val="00A63404"/>
    <w:rsid w:val="00A857EE"/>
    <w:rsid w:val="00A958DB"/>
    <w:rsid w:val="00AA7B59"/>
    <w:rsid w:val="00AB7F4B"/>
    <w:rsid w:val="00AC1A68"/>
    <w:rsid w:val="00AD3A6F"/>
    <w:rsid w:val="00AD4060"/>
    <w:rsid w:val="00B00A3B"/>
    <w:rsid w:val="00B11C1A"/>
    <w:rsid w:val="00B1480C"/>
    <w:rsid w:val="00B253EA"/>
    <w:rsid w:val="00B37558"/>
    <w:rsid w:val="00B552B7"/>
    <w:rsid w:val="00B559D5"/>
    <w:rsid w:val="00B67175"/>
    <w:rsid w:val="00B826C1"/>
    <w:rsid w:val="00B955B1"/>
    <w:rsid w:val="00B95792"/>
    <w:rsid w:val="00B95D19"/>
    <w:rsid w:val="00BA2129"/>
    <w:rsid w:val="00BB174A"/>
    <w:rsid w:val="00BB7AA8"/>
    <w:rsid w:val="00BD2D95"/>
    <w:rsid w:val="00BD3955"/>
    <w:rsid w:val="00BD6271"/>
    <w:rsid w:val="00BE7DDC"/>
    <w:rsid w:val="00BF1B88"/>
    <w:rsid w:val="00C05290"/>
    <w:rsid w:val="00C05C21"/>
    <w:rsid w:val="00C165D2"/>
    <w:rsid w:val="00C2677C"/>
    <w:rsid w:val="00C3373F"/>
    <w:rsid w:val="00C341E2"/>
    <w:rsid w:val="00C372A8"/>
    <w:rsid w:val="00C535FC"/>
    <w:rsid w:val="00C55EFD"/>
    <w:rsid w:val="00C57E96"/>
    <w:rsid w:val="00C60528"/>
    <w:rsid w:val="00C84C14"/>
    <w:rsid w:val="00CC36D1"/>
    <w:rsid w:val="00CC6F38"/>
    <w:rsid w:val="00CC7280"/>
    <w:rsid w:val="00CD4DE8"/>
    <w:rsid w:val="00CD5773"/>
    <w:rsid w:val="00CE0983"/>
    <w:rsid w:val="00CE1ED7"/>
    <w:rsid w:val="00CE3FFC"/>
    <w:rsid w:val="00CF1DED"/>
    <w:rsid w:val="00D0464C"/>
    <w:rsid w:val="00D13D2B"/>
    <w:rsid w:val="00D615D7"/>
    <w:rsid w:val="00D874E4"/>
    <w:rsid w:val="00D92FA9"/>
    <w:rsid w:val="00DA2475"/>
    <w:rsid w:val="00DB4DEA"/>
    <w:rsid w:val="00DC2075"/>
    <w:rsid w:val="00DC360A"/>
    <w:rsid w:val="00DC77CF"/>
    <w:rsid w:val="00DD0068"/>
    <w:rsid w:val="00DE6F2C"/>
    <w:rsid w:val="00E1300F"/>
    <w:rsid w:val="00E37EC4"/>
    <w:rsid w:val="00E47C6B"/>
    <w:rsid w:val="00E5481C"/>
    <w:rsid w:val="00E6736C"/>
    <w:rsid w:val="00E75483"/>
    <w:rsid w:val="00E75BCD"/>
    <w:rsid w:val="00E77BD1"/>
    <w:rsid w:val="00E8706B"/>
    <w:rsid w:val="00EA79B3"/>
    <w:rsid w:val="00EB0876"/>
    <w:rsid w:val="00ED0169"/>
    <w:rsid w:val="00EE57C4"/>
    <w:rsid w:val="00F11123"/>
    <w:rsid w:val="00F145B3"/>
    <w:rsid w:val="00F228EA"/>
    <w:rsid w:val="00F26FAB"/>
    <w:rsid w:val="00F32FF0"/>
    <w:rsid w:val="00F333BF"/>
    <w:rsid w:val="00F45E85"/>
    <w:rsid w:val="00F752B5"/>
    <w:rsid w:val="00FB0398"/>
    <w:rsid w:val="00FB431E"/>
    <w:rsid w:val="00FD0D66"/>
    <w:rsid w:val="00FD2B8E"/>
    <w:rsid w:val="00FD4789"/>
    <w:rsid w:val="00FD753D"/>
    <w:rsid w:val="00FE3185"/>
    <w:rsid w:val="00FF60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2A85"/>
  <w15:chartTrackingRefBased/>
  <w15:docId w15:val="{7DC0A3A9-DFDE-4B61-BB65-143A5C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9D5"/>
    <w:pPr>
      <w:suppressAutoHyphens/>
      <w:spacing w:after="0" w:line="240" w:lineRule="auto"/>
    </w:pPr>
    <w:rPr>
      <w:rFonts w:ascii="Times New Roman" w:eastAsia="Times New Roman" w:hAnsi="Times New Roman" w:cs="Times New Roman"/>
      <w:sz w:val="24"/>
      <w:szCs w:val="24"/>
      <w:lang w:eastAsia="zh-CN"/>
    </w:rPr>
  </w:style>
  <w:style w:type="paragraph" w:styleId="Heading3">
    <w:name w:val="heading 3"/>
    <w:basedOn w:val="Normal"/>
    <w:link w:val="Heading3Char"/>
    <w:uiPriority w:val="9"/>
    <w:qFormat/>
    <w:rsid w:val="00A53B68"/>
    <w:pPr>
      <w:suppressAutoHyphens w:val="0"/>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character" w:styleId="CommentReference">
    <w:name w:val="annotation reference"/>
    <w:basedOn w:val="DefaultParagraphFont"/>
    <w:uiPriority w:val="99"/>
    <w:semiHidden/>
    <w:unhideWhenUsed/>
    <w:rsid w:val="00D615D7"/>
    <w:rPr>
      <w:sz w:val="16"/>
      <w:szCs w:val="16"/>
    </w:rPr>
  </w:style>
  <w:style w:type="paragraph" w:styleId="CommentText">
    <w:name w:val="annotation text"/>
    <w:basedOn w:val="Normal"/>
    <w:link w:val="CommentTextChar"/>
    <w:uiPriority w:val="99"/>
    <w:semiHidden/>
    <w:unhideWhenUsed/>
    <w:rsid w:val="00D615D7"/>
    <w:rPr>
      <w:sz w:val="20"/>
      <w:szCs w:val="20"/>
    </w:rPr>
  </w:style>
  <w:style w:type="character" w:customStyle="1" w:styleId="CommentTextChar">
    <w:name w:val="Comment Text Char"/>
    <w:basedOn w:val="DefaultParagraphFont"/>
    <w:link w:val="CommentText"/>
    <w:uiPriority w:val="99"/>
    <w:semiHidden/>
    <w:rsid w:val="00D615D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615D7"/>
    <w:rPr>
      <w:b/>
      <w:bCs/>
    </w:rPr>
  </w:style>
  <w:style w:type="character" w:customStyle="1" w:styleId="CommentSubjectChar">
    <w:name w:val="Comment Subject Char"/>
    <w:basedOn w:val="CommentTextChar"/>
    <w:link w:val="CommentSubject"/>
    <w:uiPriority w:val="99"/>
    <w:semiHidden/>
    <w:rsid w:val="00D615D7"/>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D61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D7"/>
    <w:rPr>
      <w:rFonts w:ascii="Segoe UI" w:eastAsia="Times New Roman" w:hAnsi="Segoe UI" w:cs="Segoe UI"/>
      <w:sz w:val="18"/>
      <w:szCs w:val="18"/>
      <w:lang w:eastAsia="zh-CN"/>
    </w:rPr>
  </w:style>
  <w:style w:type="paragraph" w:styleId="ListParagraph">
    <w:name w:val="List Paragraph"/>
    <w:aliases w:val="2,H&amp;P List Paragraph,Strip,Punkti ar numuriem"/>
    <w:basedOn w:val="Normal"/>
    <w:link w:val="ListParagraphChar"/>
    <w:uiPriority w:val="34"/>
    <w:qFormat/>
    <w:rsid w:val="00290A04"/>
    <w:pPr>
      <w:suppressAutoHyphens w:val="0"/>
      <w:ind w:left="720"/>
      <w:contextualSpacing/>
    </w:pPr>
    <w:rPr>
      <w:rFonts w:eastAsia="PMingLiU"/>
      <w:szCs w:val="22"/>
      <w:lang w:eastAsia="en-US"/>
    </w:rPr>
  </w:style>
  <w:style w:type="character" w:customStyle="1" w:styleId="ListParagraphChar">
    <w:name w:val="List Paragraph Char"/>
    <w:aliases w:val="2 Char,H&amp;P List Paragraph Char,Strip Char,Punkti ar numuriem Char"/>
    <w:link w:val="ListParagraph"/>
    <w:uiPriority w:val="34"/>
    <w:rsid w:val="00290A04"/>
    <w:rPr>
      <w:rFonts w:ascii="Times New Roman" w:eastAsia="PMingLiU" w:hAnsi="Times New Roman" w:cs="Times New Roman"/>
      <w:sz w:val="24"/>
    </w:rPr>
  </w:style>
  <w:style w:type="character" w:customStyle="1" w:styleId="Heading3Char">
    <w:name w:val="Heading 3 Char"/>
    <w:basedOn w:val="DefaultParagraphFont"/>
    <w:link w:val="Heading3"/>
    <w:uiPriority w:val="9"/>
    <w:rsid w:val="00A53B68"/>
    <w:rPr>
      <w:rFonts w:ascii="Times New Roman" w:eastAsia="Times New Roman" w:hAnsi="Times New Roman" w:cs="Times New Roman"/>
      <w:b/>
      <w:bCs/>
      <w:sz w:val="27"/>
      <w:szCs w:val="27"/>
      <w:lang w:eastAsia="lv-LV"/>
    </w:rPr>
  </w:style>
  <w:style w:type="paragraph" w:customStyle="1" w:styleId="pamattekststabul">
    <w:name w:val="pamattekststabul"/>
    <w:basedOn w:val="Normal"/>
    <w:rsid w:val="00FD753D"/>
    <w:pPr>
      <w:suppressAutoHyphens w:val="0"/>
      <w:spacing w:before="100" w:beforeAutospacing="1" w:after="100" w:afterAutospacing="1"/>
    </w:pPr>
    <w:rPr>
      <w:lang w:val="en-US" w:eastAsia="en-US"/>
    </w:rPr>
  </w:style>
  <w:style w:type="paragraph" w:customStyle="1" w:styleId="VPBullet1">
    <w:name w:val="VP Bullet 1"/>
    <w:basedOn w:val="Normal"/>
    <w:qFormat/>
    <w:rsid w:val="00E75BCD"/>
    <w:pPr>
      <w:numPr>
        <w:numId w:val="8"/>
      </w:numPr>
      <w:tabs>
        <w:tab w:val="left" w:pos="0"/>
      </w:tabs>
      <w:suppressAutoHyphens w:val="0"/>
      <w:spacing w:before="120" w:after="80"/>
      <w:jc w:val="both"/>
    </w:pPr>
    <w:rPr>
      <w:rFonts w:eastAsiaTheme="minorHAnsi"/>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1728">
      <w:bodyDiv w:val="1"/>
      <w:marLeft w:val="0"/>
      <w:marRight w:val="0"/>
      <w:marTop w:val="0"/>
      <w:marBottom w:val="0"/>
      <w:divBdr>
        <w:top w:val="none" w:sz="0" w:space="0" w:color="auto"/>
        <w:left w:val="none" w:sz="0" w:space="0" w:color="auto"/>
        <w:bottom w:val="none" w:sz="0" w:space="0" w:color="auto"/>
        <w:right w:val="none" w:sz="0" w:space="0" w:color="auto"/>
      </w:divBdr>
    </w:div>
    <w:div w:id="332339539">
      <w:bodyDiv w:val="1"/>
      <w:marLeft w:val="0"/>
      <w:marRight w:val="0"/>
      <w:marTop w:val="0"/>
      <w:marBottom w:val="0"/>
      <w:divBdr>
        <w:top w:val="none" w:sz="0" w:space="0" w:color="auto"/>
        <w:left w:val="none" w:sz="0" w:space="0" w:color="auto"/>
        <w:bottom w:val="none" w:sz="0" w:space="0" w:color="auto"/>
        <w:right w:val="none" w:sz="0" w:space="0" w:color="auto"/>
      </w:divBdr>
    </w:div>
    <w:div w:id="394091768">
      <w:bodyDiv w:val="1"/>
      <w:marLeft w:val="0"/>
      <w:marRight w:val="0"/>
      <w:marTop w:val="0"/>
      <w:marBottom w:val="0"/>
      <w:divBdr>
        <w:top w:val="none" w:sz="0" w:space="0" w:color="auto"/>
        <w:left w:val="none" w:sz="0" w:space="0" w:color="auto"/>
        <w:bottom w:val="none" w:sz="0" w:space="0" w:color="auto"/>
        <w:right w:val="none" w:sz="0" w:space="0" w:color="auto"/>
      </w:divBdr>
    </w:div>
    <w:div w:id="407309915">
      <w:bodyDiv w:val="1"/>
      <w:marLeft w:val="0"/>
      <w:marRight w:val="0"/>
      <w:marTop w:val="0"/>
      <w:marBottom w:val="0"/>
      <w:divBdr>
        <w:top w:val="none" w:sz="0" w:space="0" w:color="auto"/>
        <w:left w:val="none" w:sz="0" w:space="0" w:color="auto"/>
        <w:bottom w:val="none" w:sz="0" w:space="0" w:color="auto"/>
        <w:right w:val="none" w:sz="0" w:space="0" w:color="auto"/>
      </w:divBdr>
    </w:div>
    <w:div w:id="567496846">
      <w:bodyDiv w:val="1"/>
      <w:marLeft w:val="0"/>
      <w:marRight w:val="0"/>
      <w:marTop w:val="0"/>
      <w:marBottom w:val="0"/>
      <w:divBdr>
        <w:top w:val="none" w:sz="0" w:space="0" w:color="auto"/>
        <w:left w:val="none" w:sz="0" w:space="0" w:color="auto"/>
        <w:bottom w:val="none" w:sz="0" w:space="0" w:color="auto"/>
        <w:right w:val="none" w:sz="0" w:space="0" w:color="auto"/>
      </w:divBdr>
    </w:div>
    <w:div w:id="906914734">
      <w:bodyDiv w:val="1"/>
      <w:marLeft w:val="0"/>
      <w:marRight w:val="0"/>
      <w:marTop w:val="0"/>
      <w:marBottom w:val="0"/>
      <w:divBdr>
        <w:top w:val="none" w:sz="0" w:space="0" w:color="auto"/>
        <w:left w:val="none" w:sz="0" w:space="0" w:color="auto"/>
        <w:bottom w:val="none" w:sz="0" w:space="0" w:color="auto"/>
        <w:right w:val="none" w:sz="0" w:space="0" w:color="auto"/>
      </w:divBdr>
    </w:div>
    <w:div w:id="1059211931">
      <w:bodyDiv w:val="1"/>
      <w:marLeft w:val="0"/>
      <w:marRight w:val="0"/>
      <w:marTop w:val="0"/>
      <w:marBottom w:val="0"/>
      <w:divBdr>
        <w:top w:val="none" w:sz="0" w:space="0" w:color="auto"/>
        <w:left w:val="none" w:sz="0" w:space="0" w:color="auto"/>
        <w:bottom w:val="none" w:sz="0" w:space="0" w:color="auto"/>
        <w:right w:val="none" w:sz="0" w:space="0" w:color="auto"/>
      </w:divBdr>
    </w:div>
    <w:div w:id="1093670496">
      <w:bodyDiv w:val="1"/>
      <w:marLeft w:val="0"/>
      <w:marRight w:val="0"/>
      <w:marTop w:val="0"/>
      <w:marBottom w:val="0"/>
      <w:divBdr>
        <w:top w:val="none" w:sz="0" w:space="0" w:color="auto"/>
        <w:left w:val="none" w:sz="0" w:space="0" w:color="auto"/>
        <w:bottom w:val="none" w:sz="0" w:space="0" w:color="auto"/>
        <w:right w:val="none" w:sz="0" w:space="0" w:color="auto"/>
      </w:divBdr>
    </w:div>
    <w:div w:id="1213495336">
      <w:bodyDiv w:val="1"/>
      <w:marLeft w:val="0"/>
      <w:marRight w:val="0"/>
      <w:marTop w:val="0"/>
      <w:marBottom w:val="0"/>
      <w:divBdr>
        <w:top w:val="none" w:sz="0" w:space="0" w:color="auto"/>
        <w:left w:val="none" w:sz="0" w:space="0" w:color="auto"/>
        <w:bottom w:val="none" w:sz="0" w:space="0" w:color="auto"/>
        <w:right w:val="none" w:sz="0" w:space="0" w:color="auto"/>
      </w:divBdr>
    </w:div>
    <w:div w:id="1947272807">
      <w:bodyDiv w:val="1"/>
      <w:marLeft w:val="0"/>
      <w:marRight w:val="0"/>
      <w:marTop w:val="0"/>
      <w:marBottom w:val="0"/>
      <w:divBdr>
        <w:top w:val="none" w:sz="0" w:space="0" w:color="auto"/>
        <w:left w:val="none" w:sz="0" w:space="0" w:color="auto"/>
        <w:bottom w:val="none" w:sz="0" w:space="0" w:color="auto"/>
        <w:right w:val="none" w:sz="0" w:space="0" w:color="auto"/>
      </w:divBdr>
    </w:div>
    <w:div w:id="1966307200">
      <w:bodyDiv w:val="1"/>
      <w:marLeft w:val="0"/>
      <w:marRight w:val="0"/>
      <w:marTop w:val="0"/>
      <w:marBottom w:val="0"/>
      <w:divBdr>
        <w:top w:val="none" w:sz="0" w:space="0" w:color="auto"/>
        <w:left w:val="none" w:sz="0" w:space="0" w:color="auto"/>
        <w:bottom w:val="none" w:sz="0" w:space="0" w:color="auto"/>
        <w:right w:val="none" w:sz="0" w:space="0" w:color="auto"/>
      </w:divBdr>
    </w:div>
    <w:div w:id="19936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3853/windows-lifecycle-fact-she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5BAF-A167-4389-820A-60839626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11291</Words>
  <Characters>6436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Par informācijas sabiedrības attīstības pamatnostādņu ieviešanu publiskās pārvaldes informācijas sistēmu jomā (mērķarhitektūras 41.0 versija - Centrālās statistikas pārvaldes “Ārējās tirdzniecības statistikas datu apstrādes sistēma” izveide)</vt:lpstr>
    </vt:vector>
  </TitlesOfParts>
  <Company>Centrālā statistikas pārvalde</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41.0 versija - Centrālās statistikas pārvaldes “Ārējās tirdzniecības statistikas datu apstrādes sistēma” izveide)</dc:title>
  <dc:subject>Rīkojuma projekts</dc:subject>
  <dc:creator>Anželika Pavlova</dc:creator>
  <dc:description>67366694, Anzelika.Pavlova@csb.gov.lv</dc:description>
  <cp:lastModifiedBy>Elvīra Fiļa</cp:lastModifiedBy>
  <cp:revision>13</cp:revision>
  <dcterms:created xsi:type="dcterms:W3CDTF">2019-09-12T12:00:00Z</dcterms:created>
  <dcterms:modified xsi:type="dcterms:W3CDTF">2019-11-21T12:54:00Z</dcterms:modified>
</cp:coreProperties>
</file>