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1F6D" w14:textId="0B076A47" w:rsidR="00556682" w:rsidRPr="00BF277A" w:rsidRDefault="00DE10C4" w:rsidP="00887956">
      <w:pPr>
        <w:jc w:val="right"/>
        <w:rPr>
          <w:sz w:val="28"/>
          <w:szCs w:val="28"/>
          <w:lang w:eastAsia="lv-LV"/>
        </w:rPr>
      </w:pPr>
      <w:r w:rsidRPr="00BF277A">
        <w:rPr>
          <w:sz w:val="28"/>
          <w:szCs w:val="28"/>
          <w:lang w:eastAsia="lv-LV"/>
        </w:rPr>
        <w:t>(</w:t>
      </w:r>
      <w:r w:rsidR="00556682" w:rsidRPr="00BF277A">
        <w:rPr>
          <w:sz w:val="28"/>
          <w:szCs w:val="28"/>
          <w:lang w:eastAsia="lv-LV"/>
        </w:rPr>
        <w:t>Apstip</w:t>
      </w:r>
      <w:r w:rsidR="00683152" w:rsidRPr="00BF277A">
        <w:rPr>
          <w:sz w:val="28"/>
          <w:szCs w:val="28"/>
          <w:lang w:eastAsia="lv-LV"/>
        </w:rPr>
        <w:t>r</w:t>
      </w:r>
      <w:r w:rsidR="00556682" w:rsidRPr="00BF277A">
        <w:rPr>
          <w:sz w:val="28"/>
          <w:szCs w:val="28"/>
          <w:lang w:eastAsia="lv-LV"/>
        </w:rPr>
        <w:t>ināts ar</w:t>
      </w:r>
    </w:p>
    <w:p w14:paraId="212933E9" w14:textId="0DDE196D" w:rsidR="007463BA" w:rsidRPr="00BF277A" w:rsidRDefault="00E024D1" w:rsidP="00887956">
      <w:pPr>
        <w:jc w:val="right"/>
        <w:rPr>
          <w:sz w:val="28"/>
          <w:szCs w:val="28"/>
          <w:lang w:eastAsia="lv-LV"/>
        </w:rPr>
      </w:pPr>
      <w:r w:rsidRPr="00BF277A">
        <w:rPr>
          <w:sz w:val="28"/>
          <w:szCs w:val="28"/>
          <w:lang w:eastAsia="lv-LV"/>
        </w:rPr>
        <w:t>Ministru kabineta</w:t>
      </w:r>
    </w:p>
    <w:p w14:paraId="184ECAC1" w14:textId="3D44E53E" w:rsidR="00556682" w:rsidRPr="00BF277A" w:rsidRDefault="00E024D1" w:rsidP="00887956">
      <w:pPr>
        <w:jc w:val="right"/>
        <w:rPr>
          <w:sz w:val="28"/>
          <w:szCs w:val="28"/>
          <w:lang w:eastAsia="lv-LV"/>
        </w:rPr>
      </w:pPr>
      <w:r w:rsidRPr="00BF277A">
        <w:rPr>
          <w:sz w:val="28"/>
          <w:szCs w:val="28"/>
          <w:lang w:eastAsia="lv-LV"/>
        </w:rPr>
        <w:t>20</w:t>
      </w:r>
      <w:r w:rsidR="00627AD9">
        <w:rPr>
          <w:sz w:val="28"/>
          <w:szCs w:val="28"/>
          <w:lang w:eastAsia="lv-LV"/>
        </w:rPr>
        <w:t>20</w:t>
      </w:r>
      <w:r w:rsidRPr="00BF277A">
        <w:rPr>
          <w:sz w:val="28"/>
          <w:szCs w:val="28"/>
          <w:lang w:eastAsia="lv-LV"/>
        </w:rPr>
        <w:t xml:space="preserve">. gada </w:t>
      </w:r>
      <w:r w:rsidR="00C67A09">
        <w:rPr>
          <w:sz w:val="28"/>
          <w:szCs w:val="28"/>
        </w:rPr>
        <w:t>7. janvār</w:t>
      </w:r>
      <w:r w:rsidR="00C67A09">
        <w:rPr>
          <w:sz w:val="28"/>
          <w:szCs w:val="28"/>
        </w:rPr>
        <w:t>a</w:t>
      </w:r>
    </w:p>
    <w:p w14:paraId="44B92D23" w14:textId="70427F3E" w:rsidR="007463BA" w:rsidRPr="00BF277A" w:rsidRDefault="00E024D1" w:rsidP="00887956">
      <w:pPr>
        <w:jc w:val="right"/>
        <w:rPr>
          <w:sz w:val="28"/>
          <w:szCs w:val="28"/>
          <w:lang w:eastAsia="lv-LV"/>
        </w:rPr>
      </w:pPr>
      <w:r w:rsidRPr="00BF277A">
        <w:rPr>
          <w:sz w:val="28"/>
          <w:szCs w:val="28"/>
          <w:lang w:eastAsia="lv-LV"/>
        </w:rPr>
        <w:t>rīkojum</w:t>
      </w:r>
      <w:r w:rsidR="00556682" w:rsidRPr="00BF277A">
        <w:rPr>
          <w:sz w:val="28"/>
          <w:szCs w:val="28"/>
          <w:lang w:eastAsia="lv-LV"/>
        </w:rPr>
        <w:t>u</w:t>
      </w:r>
      <w:r w:rsidRPr="00BF277A">
        <w:rPr>
          <w:sz w:val="28"/>
          <w:szCs w:val="28"/>
          <w:lang w:eastAsia="lv-LV"/>
        </w:rPr>
        <w:t xml:space="preserve"> Nr. </w:t>
      </w:r>
      <w:r w:rsidR="00C67A09">
        <w:rPr>
          <w:sz w:val="28"/>
          <w:szCs w:val="28"/>
          <w:lang w:eastAsia="lv-LV"/>
        </w:rPr>
        <w:t>11</w:t>
      </w:r>
      <w:bookmarkStart w:id="0" w:name="_GoBack"/>
      <w:bookmarkEnd w:id="0"/>
      <w:r w:rsidR="00DE10C4" w:rsidRPr="00BF277A">
        <w:rPr>
          <w:sz w:val="28"/>
          <w:szCs w:val="28"/>
          <w:lang w:eastAsia="lv-LV"/>
        </w:rPr>
        <w:t>)</w:t>
      </w:r>
    </w:p>
    <w:p w14:paraId="0F057A19" w14:textId="77777777" w:rsidR="007463BA" w:rsidRPr="00BF277A" w:rsidRDefault="007463BA" w:rsidP="00887956">
      <w:pPr>
        <w:pStyle w:val="VPBody"/>
        <w:spacing w:after="0" w:line="240" w:lineRule="auto"/>
        <w:jc w:val="right"/>
        <w:rPr>
          <w:szCs w:val="24"/>
        </w:rPr>
      </w:pPr>
    </w:p>
    <w:p w14:paraId="72AE3345" w14:textId="24732B3B" w:rsidR="00DE10C4" w:rsidRPr="00BF277A" w:rsidRDefault="00347E68" w:rsidP="00887956">
      <w:pPr>
        <w:jc w:val="center"/>
        <w:rPr>
          <w:b/>
          <w:sz w:val="28"/>
          <w:szCs w:val="28"/>
        </w:rPr>
      </w:pPr>
      <w:r w:rsidRPr="00BF277A">
        <w:rPr>
          <w:b/>
          <w:sz w:val="28"/>
          <w:szCs w:val="28"/>
          <w:shd w:val="clear" w:color="auto" w:fill="FFFFFF"/>
        </w:rPr>
        <w:t>Vienotās neatliekamās medicīniskās palīdzības un katastrofu medicīnas vadības informācijas sistēmas attīstība (2. kārta)</w:t>
      </w:r>
      <w:r w:rsidR="00E024D1" w:rsidRPr="00BF277A">
        <w:rPr>
          <w:b/>
          <w:sz w:val="28"/>
          <w:szCs w:val="28"/>
        </w:rPr>
        <w:t xml:space="preserve"> </w:t>
      </w:r>
    </w:p>
    <w:p w14:paraId="1C7E73AD" w14:textId="77777777" w:rsidR="00DE10C4" w:rsidRPr="00BF277A" w:rsidRDefault="00DE10C4" w:rsidP="00887956">
      <w:pPr>
        <w:jc w:val="center"/>
        <w:rPr>
          <w:b/>
          <w:sz w:val="28"/>
          <w:szCs w:val="28"/>
        </w:rPr>
      </w:pPr>
    </w:p>
    <w:p w14:paraId="403DB2E7" w14:textId="3CF0B73A" w:rsidR="007463BA" w:rsidRPr="00BF277A" w:rsidRDefault="00DE10C4" w:rsidP="00887956">
      <w:pPr>
        <w:jc w:val="center"/>
        <w:rPr>
          <w:b/>
          <w:sz w:val="28"/>
          <w:szCs w:val="28"/>
        </w:rPr>
      </w:pPr>
      <w:r w:rsidRPr="00BF277A">
        <w:rPr>
          <w:b/>
          <w:sz w:val="28"/>
          <w:szCs w:val="28"/>
        </w:rPr>
        <w:t>P</w:t>
      </w:r>
      <w:r w:rsidR="00E024D1" w:rsidRPr="00BF277A">
        <w:rPr>
          <w:b/>
          <w:sz w:val="28"/>
          <w:szCs w:val="28"/>
        </w:rPr>
        <w:t xml:space="preserve">rojekta apraksts (kopsavilkums) </w:t>
      </w:r>
    </w:p>
    <w:p w14:paraId="1A051A7E" w14:textId="77777777" w:rsidR="007463BA" w:rsidRPr="00BF277A" w:rsidRDefault="007463BA" w:rsidP="00887956">
      <w:pPr>
        <w:pStyle w:val="VPBody"/>
        <w:spacing w:after="0" w:line="240" w:lineRule="auto"/>
        <w:ind w:firstLine="709"/>
        <w:rPr>
          <w:rFonts w:cstheme="minorBidi"/>
          <w:b/>
          <w:bCs/>
          <w:sz w:val="28"/>
          <w:szCs w:val="28"/>
        </w:rPr>
      </w:pPr>
    </w:p>
    <w:p w14:paraId="3CB2FBF0" w14:textId="77777777" w:rsidR="00887956" w:rsidRPr="00BF277A" w:rsidRDefault="00BC4DCF" w:rsidP="00887956">
      <w:pPr>
        <w:overflowPunct w:val="0"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  <w:lang w:eastAsia="lv-LV"/>
        </w:rPr>
      </w:pPr>
      <w:bookmarkStart w:id="1" w:name="_Toc435687094"/>
      <w:bookmarkStart w:id="2" w:name="_Toc435687095"/>
      <w:bookmarkStart w:id="3" w:name="_Toc435687096"/>
      <w:bookmarkStart w:id="4" w:name="_Toc436402287"/>
      <w:bookmarkEnd w:id="1"/>
      <w:bookmarkEnd w:id="2"/>
      <w:bookmarkEnd w:id="3"/>
      <w:r w:rsidRPr="00BF277A">
        <w:rPr>
          <w:b/>
          <w:sz w:val="28"/>
          <w:szCs w:val="28"/>
          <w:lang w:eastAsia="lv-LV"/>
        </w:rPr>
        <w:t>Projekta mērķi</w:t>
      </w:r>
    </w:p>
    <w:p w14:paraId="51EF88E2" w14:textId="478E6484" w:rsidR="00BC4DCF" w:rsidRPr="00BF277A" w:rsidRDefault="00BC4DCF" w:rsidP="00887956">
      <w:pPr>
        <w:overflowPunct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  <w:lang w:eastAsia="lv-LV"/>
        </w:rPr>
      </w:pPr>
      <w:r w:rsidRPr="00BF277A">
        <w:rPr>
          <w:b/>
          <w:sz w:val="28"/>
          <w:szCs w:val="28"/>
          <w:u w:val="single"/>
          <w:lang w:eastAsia="lv-LV"/>
        </w:rPr>
        <w:t xml:space="preserve"> </w:t>
      </w:r>
    </w:p>
    <w:p w14:paraId="6D63184C" w14:textId="0A49EF1E" w:rsidR="00BC4DCF" w:rsidRPr="00BF277A" w:rsidRDefault="00BC4DCF" w:rsidP="00887956">
      <w:pPr>
        <w:pStyle w:val="VPBody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 xml:space="preserve">1. </w:t>
      </w:r>
      <w:r w:rsidR="00887956" w:rsidRPr="00BF277A">
        <w:rPr>
          <w:sz w:val="28"/>
          <w:szCs w:val="28"/>
        </w:rPr>
        <w:t>Pilnveidot s</w:t>
      </w:r>
      <w:r w:rsidRPr="00BF277A">
        <w:rPr>
          <w:sz w:val="28"/>
          <w:szCs w:val="28"/>
        </w:rPr>
        <w:t>adarbīb</w:t>
      </w:r>
      <w:r w:rsidR="00887956" w:rsidRPr="00BF277A">
        <w:rPr>
          <w:sz w:val="28"/>
          <w:szCs w:val="28"/>
        </w:rPr>
        <w:t>u</w:t>
      </w:r>
      <w:r w:rsidRPr="00BF277A">
        <w:rPr>
          <w:sz w:val="28"/>
          <w:szCs w:val="28"/>
        </w:rPr>
        <w:t xml:space="preserve"> ar </w:t>
      </w:r>
      <w:proofErr w:type="gramStart"/>
      <w:r w:rsidRPr="00BF277A">
        <w:rPr>
          <w:sz w:val="28"/>
          <w:szCs w:val="28"/>
        </w:rPr>
        <w:t xml:space="preserve">citiem </w:t>
      </w:r>
      <w:r w:rsidR="00887956" w:rsidRPr="00BF277A">
        <w:rPr>
          <w:sz w:val="28"/>
          <w:szCs w:val="28"/>
        </w:rPr>
        <w:t>o</w:t>
      </w:r>
      <w:r w:rsidRPr="00BF277A">
        <w:rPr>
          <w:sz w:val="28"/>
          <w:szCs w:val="28"/>
        </w:rPr>
        <w:t>peratīvajiem dienestiem</w:t>
      </w:r>
      <w:proofErr w:type="gramEnd"/>
      <w:r w:rsidR="00DD3AE8" w:rsidRPr="00BF277A">
        <w:rPr>
          <w:sz w:val="28"/>
          <w:szCs w:val="28"/>
        </w:rPr>
        <w:t>.</w:t>
      </w:r>
    </w:p>
    <w:p w14:paraId="0DA7FF6B" w14:textId="6997A9D2" w:rsidR="00BC4DCF" w:rsidRPr="00BF277A" w:rsidRDefault="00BC4DCF" w:rsidP="00887956">
      <w:pPr>
        <w:pStyle w:val="VPBody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 xml:space="preserve">2. </w:t>
      </w:r>
      <w:r w:rsidR="00887956" w:rsidRPr="00BF277A">
        <w:rPr>
          <w:sz w:val="28"/>
          <w:szCs w:val="28"/>
        </w:rPr>
        <w:t xml:space="preserve">Sadarbībā ar citām veselības nozares institūcijām uzlabot </w:t>
      </w:r>
      <w:r w:rsidR="00887956" w:rsidRPr="00BF277A">
        <w:rPr>
          <w:sz w:val="28"/>
          <w:szCs w:val="28"/>
          <w:shd w:val="clear" w:color="auto" w:fill="FFFFFF"/>
        </w:rPr>
        <w:t xml:space="preserve">neatliekamās medicīniskās palīdzības (turpmāk – </w:t>
      </w:r>
      <w:r w:rsidRPr="00BF277A">
        <w:rPr>
          <w:sz w:val="28"/>
          <w:szCs w:val="28"/>
        </w:rPr>
        <w:t>NMP</w:t>
      </w:r>
      <w:r w:rsidR="00887956" w:rsidRPr="00BF277A">
        <w:rPr>
          <w:sz w:val="28"/>
          <w:szCs w:val="28"/>
        </w:rPr>
        <w:t>)</w:t>
      </w:r>
      <w:r w:rsidRPr="00BF277A">
        <w:rPr>
          <w:sz w:val="28"/>
          <w:szCs w:val="28"/>
        </w:rPr>
        <w:t xml:space="preserve"> sniegšanas operativitāt</w:t>
      </w:r>
      <w:r w:rsidR="00887956" w:rsidRPr="00BF277A">
        <w:rPr>
          <w:sz w:val="28"/>
          <w:szCs w:val="28"/>
        </w:rPr>
        <w:t>i</w:t>
      </w:r>
      <w:r w:rsidRPr="00BF277A">
        <w:rPr>
          <w:sz w:val="28"/>
          <w:szCs w:val="28"/>
        </w:rPr>
        <w:t xml:space="preserve"> un </w:t>
      </w:r>
      <w:r w:rsidR="00887956" w:rsidRPr="00BF277A">
        <w:rPr>
          <w:sz w:val="28"/>
          <w:szCs w:val="28"/>
        </w:rPr>
        <w:t xml:space="preserve">pilnveidot </w:t>
      </w:r>
      <w:r w:rsidRPr="00BF277A">
        <w:rPr>
          <w:sz w:val="28"/>
          <w:szCs w:val="28"/>
        </w:rPr>
        <w:t xml:space="preserve">NMP </w:t>
      </w:r>
      <w:r w:rsidR="00A702DB" w:rsidRPr="00BF277A">
        <w:rPr>
          <w:sz w:val="28"/>
          <w:szCs w:val="28"/>
        </w:rPr>
        <w:t xml:space="preserve">sniegšanas </w:t>
      </w:r>
      <w:r w:rsidRPr="00BF277A">
        <w:rPr>
          <w:sz w:val="28"/>
          <w:szCs w:val="28"/>
        </w:rPr>
        <w:t>kvalitāt</w:t>
      </w:r>
      <w:r w:rsidR="00887956" w:rsidRPr="00BF277A">
        <w:rPr>
          <w:sz w:val="28"/>
          <w:szCs w:val="28"/>
        </w:rPr>
        <w:t>i</w:t>
      </w:r>
      <w:r w:rsidRPr="00BF277A">
        <w:rPr>
          <w:sz w:val="28"/>
          <w:szCs w:val="28"/>
        </w:rPr>
        <w:t>.</w:t>
      </w:r>
    </w:p>
    <w:p w14:paraId="36992C26" w14:textId="77777777" w:rsidR="00887956" w:rsidRPr="00BF277A" w:rsidRDefault="00887956" w:rsidP="00887956">
      <w:pPr>
        <w:overflowPunct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  <w:lang w:eastAsia="lv-LV"/>
        </w:rPr>
      </w:pPr>
    </w:p>
    <w:p w14:paraId="00FE5D41" w14:textId="3AD51C0D" w:rsidR="00BC4DCF" w:rsidRPr="00BF277A" w:rsidRDefault="00BC4DCF" w:rsidP="00A702DB">
      <w:pPr>
        <w:overflowPunct w:val="0"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  <w:lang w:eastAsia="lv-LV"/>
        </w:rPr>
      </w:pPr>
      <w:r w:rsidRPr="00BF277A">
        <w:rPr>
          <w:b/>
          <w:sz w:val="28"/>
          <w:szCs w:val="28"/>
          <w:lang w:eastAsia="lv-LV"/>
        </w:rPr>
        <w:t>Darbības</w:t>
      </w:r>
      <w:r w:rsidRPr="00BF277A">
        <w:rPr>
          <w:b/>
          <w:sz w:val="28"/>
          <w:szCs w:val="28"/>
        </w:rPr>
        <w:t xml:space="preserve"> pr</w:t>
      </w:r>
      <w:r w:rsidRPr="00BF277A">
        <w:rPr>
          <w:b/>
          <w:sz w:val="28"/>
          <w:szCs w:val="28"/>
          <w:lang w:eastAsia="lv-LV"/>
        </w:rPr>
        <w:t>ojekta mērķu sasniegšanai</w:t>
      </w:r>
    </w:p>
    <w:p w14:paraId="1CA1FF75" w14:textId="77777777" w:rsidR="00A702DB" w:rsidRPr="00BF277A" w:rsidRDefault="00A702DB" w:rsidP="00A702DB">
      <w:pPr>
        <w:overflowPunct w:val="0"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  <w:lang w:eastAsia="lv-LV"/>
        </w:rPr>
      </w:pPr>
    </w:p>
    <w:p w14:paraId="394C2EA0" w14:textId="36B15436" w:rsidR="00BC4DCF" w:rsidRPr="00BF277A" w:rsidRDefault="00A702DB" w:rsidP="00A702DB">
      <w:pPr>
        <w:pStyle w:val="VPBody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  <w:shd w:val="clear" w:color="auto" w:fill="FFFFFF"/>
        </w:rPr>
        <w:t>Lai sasniegtu p</w:t>
      </w:r>
      <w:r w:rsidR="00BC4DCF" w:rsidRPr="00BF277A">
        <w:rPr>
          <w:sz w:val="28"/>
          <w:szCs w:val="28"/>
          <w:shd w:val="clear" w:color="auto" w:fill="FFFFFF"/>
        </w:rPr>
        <w:t>rojekta mērķ</w:t>
      </w:r>
      <w:r w:rsidRPr="00BF277A">
        <w:rPr>
          <w:sz w:val="28"/>
          <w:szCs w:val="28"/>
          <w:shd w:val="clear" w:color="auto" w:fill="FFFFFF"/>
        </w:rPr>
        <w:t xml:space="preserve">i – </w:t>
      </w:r>
      <w:r w:rsidRPr="00BF277A">
        <w:rPr>
          <w:sz w:val="28"/>
          <w:szCs w:val="28"/>
        </w:rPr>
        <w:t xml:space="preserve">pilnveidot sadarbību ar </w:t>
      </w:r>
      <w:proofErr w:type="gramStart"/>
      <w:r w:rsidRPr="00BF277A">
        <w:rPr>
          <w:sz w:val="28"/>
          <w:szCs w:val="28"/>
        </w:rPr>
        <w:t>citiem operatīvajiem dienestiem</w:t>
      </w:r>
      <w:proofErr w:type="gramEnd"/>
      <w:r w:rsidRPr="00BF277A">
        <w:rPr>
          <w:sz w:val="28"/>
          <w:szCs w:val="28"/>
        </w:rPr>
        <w:t xml:space="preserve"> –</w:t>
      </w:r>
      <w:r w:rsidR="00CD5583" w:rsidRPr="00BF277A">
        <w:rPr>
          <w:sz w:val="28"/>
          <w:szCs w:val="28"/>
        </w:rPr>
        <w:t>,</w:t>
      </w:r>
      <w:r w:rsidRPr="00BF277A">
        <w:rPr>
          <w:sz w:val="28"/>
          <w:szCs w:val="28"/>
        </w:rPr>
        <w:t xml:space="preserve"> </w:t>
      </w:r>
      <w:r w:rsidR="00BC4DCF" w:rsidRPr="00BF277A">
        <w:rPr>
          <w:sz w:val="28"/>
          <w:szCs w:val="28"/>
          <w:shd w:val="clear" w:color="auto" w:fill="FFFFFF"/>
        </w:rPr>
        <w:t xml:space="preserve">ir jānodrošina </w:t>
      </w:r>
      <w:r w:rsidR="00BE2E00" w:rsidRPr="00BF277A">
        <w:rPr>
          <w:sz w:val="28"/>
          <w:szCs w:val="28"/>
          <w:shd w:val="clear" w:color="auto" w:fill="FFFFFF"/>
        </w:rPr>
        <w:t>Vienotās neatliekamās medicīniskās palīdzības un katastrofu medicīnas vadības informācijas sistēmas (turpmāk – sistēma)</w:t>
      </w:r>
      <w:r w:rsidR="00BC4DCF" w:rsidRPr="00BF277A">
        <w:rPr>
          <w:sz w:val="28"/>
          <w:szCs w:val="28"/>
          <w:shd w:val="clear" w:color="auto" w:fill="FFFFFF"/>
        </w:rPr>
        <w:t xml:space="preserve"> integrācija ar </w:t>
      </w:r>
      <w:r w:rsidRPr="00BF277A">
        <w:rPr>
          <w:sz w:val="28"/>
          <w:szCs w:val="28"/>
          <w:shd w:val="clear" w:color="auto" w:fill="FFFFFF"/>
        </w:rPr>
        <w:t>"</w:t>
      </w:r>
      <w:r w:rsidR="00BC4DCF" w:rsidRPr="00BF277A">
        <w:rPr>
          <w:sz w:val="28"/>
          <w:szCs w:val="28"/>
          <w:shd w:val="clear" w:color="auto" w:fill="FFFFFF"/>
        </w:rPr>
        <w:t>112</w:t>
      </w:r>
      <w:r w:rsidRPr="00BF277A">
        <w:rPr>
          <w:sz w:val="28"/>
          <w:szCs w:val="28"/>
          <w:shd w:val="clear" w:color="auto" w:fill="FFFFFF"/>
        </w:rPr>
        <w:t>"</w:t>
      </w:r>
      <w:r w:rsidR="00BC4DCF" w:rsidRPr="00BF277A">
        <w:rPr>
          <w:sz w:val="28"/>
          <w:szCs w:val="28"/>
          <w:shd w:val="clear" w:color="auto" w:fill="FFFFFF"/>
        </w:rPr>
        <w:t xml:space="preserve"> platformas koplietošanas risinājumiem, kā arī integrācija ar citu </w:t>
      </w:r>
      <w:r w:rsidRPr="00BF277A">
        <w:rPr>
          <w:sz w:val="28"/>
          <w:szCs w:val="28"/>
          <w:shd w:val="clear" w:color="auto" w:fill="FFFFFF"/>
        </w:rPr>
        <w:t>o</w:t>
      </w:r>
      <w:r w:rsidR="00BC4DCF" w:rsidRPr="00BF277A">
        <w:rPr>
          <w:sz w:val="28"/>
          <w:szCs w:val="28"/>
          <w:shd w:val="clear" w:color="auto" w:fill="FFFFFF"/>
        </w:rPr>
        <w:t xml:space="preserve">peratīvo dienestu </w:t>
      </w:r>
      <w:r w:rsidR="00BE2A7C" w:rsidRPr="00BF277A">
        <w:rPr>
          <w:sz w:val="28"/>
          <w:szCs w:val="28"/>
          <w:shd w:val="clear" w:color="auto" w:fill="FFFFFF"/>
        </w:rPr>
        <w:t>informācijas un komunikācijas tehnoloģiju (turpmāk – IKT)</w:t>
      </w:r>
      <w:r w:rsidR="00BE2A7C" w:rsidRPr="00BF277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C4DCF" w:rsidRPr="00BF277A">
        <w:rPr>
          <w:sz w:val="28"/>
          <w:szCs w:val="28"/>
          <w:shd w:val="clear" w:color="auto" w:fill="FFFFFF"/>
        </w:rPr>
        <w:t xml:space="preserve"> risinājumiem. </w:t>
      </w:r>
      <w:r w:rsidR="007F0C2C" w:rsidRPr="00BF277A">
        <w:rPr>
          <w:sz w:val="28"/>
          <w:szCs w:val="28"/>
          <w:shd w:val="clear" w:color="auto" w:fill="FFFFFF"/>
        </w:rPr>
        <w:t xml:space="preserve">Projekta </w:t>
      </w:r>
      <w:r w:rsidR="00BE2A7C" w:rsidRPr="00BF277A">
        <w:rPr>
          <w:sz w:val="28"/>
          <w:szCs w:val="28"/>
          <w:shd w:val="clear" w:color="auto" w:fill="FFFFFF"/>
        </w:rPr>
        <w:t>"</w:t>
      </w:r>
      <w:r w:rsidR="00BC4DCF" w:rsidRPr="00BF277A">
        <w:rPr>
          <w:sz w:val="28"/>
          <w:szCs w:val="28"/>
          <w:shd w:val="clear" w:color="auto" w:fill="FFFFFF"/>
        </w:rPr>
        <w:t>112</w:t>
      </w:r>
      <w:r w:rsidR="00BE2A7C" w:rsidRPr="00BF277A">
        <w:rPr>
          <w:sz w:val="28"/>
          <w:szCs w:val="28"/>
          <w:shd w:val="clear" w:color="auto" w:fill="FFFFFF"/>
        </w:rPr>
        <w:t>"</w:t>
      </w:r>
      <w:r w:rsidR="00BC4DCF" w:rsidRPr="00BF277A">
        <w:rPr>
          <w:sz w:val="28"/>
          <w:szCs w:val="28"/>
          <w:shd w:val="clear" w:color="auto" w:fill="FFFFFF"/>
        </w:rPr>
        <w:t xml:space="preserve"> un </w:t>
      </w:r>
      <w:r w:rsidR="00BE2A7C" w:rsidRPr="00BF277A">
        <w:rPr>
          <w:sz w:val="28"/>
          <w:szCs w:val="28"/>
          <w:shd w:val="clear" w:color="auto" w:fill="FFFFFF"/>
        </w:rPr>
        <w:t>projekta "Vienotās neatliekamās medicīniskās palīdzības un katastrofu medicīnas vadības informācijas sistēmas attīstība" (turpmāk –</w:t>
      </w:r>
      <w:r w:rsidR="00BC4DCF" w:rsidRPr="00BF277A">
        <w:rPr>
          <w:sz w:val="28"/>
          <w:szCs w:val="28"/>
          <w:shd w:val="clear" w:color="auto" w:fill="FFFFFF"/>
        </w:rPr>
        <w:t xml:space="preserve"> </w:t>
      </w:r>
      <w:r w:rsidR="00BE2A7C" w:rsidRPr="00BF277A">
        <w:rPr>
          <w:sz w:val="28"/>
          <w:szCs w:val="28"/>
          <w:shd w:val="clear" w:color="auto" w:fill="FFFFFF"/>
        </w:rPr>
        <w:t>p</w:t>
      </w:r>
      <w:r w:rsidR="00BC4DCF" w:rsidRPr="00BF277A">
        <w:rPr>
          <w:sz w:val="28"/>
          <w:szCs w:val="28"/>
          <w:shd w:val="clear" w:color="auto" w:fill="FFFFFF"/>
        </w:rPr>
        <w:t>rojekt</w:t>
      </w:r>
      <w:r w:rsidR="00BE2A7C" w:rsidRPr="00BF277A">
        <w:rPr>
          <w:sz w:val="28"/>
          <w:szCs w:val="28"/>
          <w:shd w:val="clear" w:color="auto" w:fill="FFFFFF"/>
        </w:rPr>
        <w:t>s)</w:t>
      </w:r>
      <w:r w:rsidR="00BC4DCF" w:rsidRPr="00BF277A">
        <w:rPr>
          <w:sz w:val="28"/>
          <w:szCs w:val="28"/>
          <w:shd w:val="clear" w:color="auto" w:fill="FFFFFF"/>
        </w:rPr>
        <w:t xml:space="preserve"> ietvaros ir plānots izveidot integrētu </w:t>
      </w:r>
      <w:r w:rsidR="00BE2A7C" w:rsidRPr="00BF277A">
        <w:rPr>
          <w:sz w:val="28"/>
          <w:szCs w:val="28"/>
          <w:shd w:val="clear" w:color="auto" w:fill="FFFFFF"/>
        </w:rPr>
        <w:t>o</w:t>
      </w:r>
      <w:r w:rsidR="00BC4DCF" w:rsidRPr="00BF277A">
        <w:rPr>
          <w:sz w:val="28"/>
          <w:szCs w:val="28"/>
          <w:shd w:val="clear" w:color="auto" w:fill="FFFFFF"/>
        </w:rPr>
        <w:t>peratīv</w:t>
      </w:r>
      <w:r w:rsidR="00DD3AE8" w:rsidRPr="00BF277A">
        <w:rPr>
          <w:sz w:val="28"/>
          <w:szCs w:val="28"/>
          <w:shd w:val="clear" w:color="auto" w:fill="FFFFFF"/>
        </w:rPr>
        <w:t>o</w:t>
      </w:r>
      <w:r w:rsidR="00BC4DCF" w:rsidRPr="00BF277A">
        <w:rPr>
          <w:sz w:val="28"/>
          <w:szCs w:val="28"/>
          <w:shd w:val="clear" w:color="auto" w:fill="FFFFFF"/>
        </w:rPr>
        <w:t xml:space="preserve"> dienestu IKT risinājumu kopumu – </w:t>
      </w:r>
      <w:r w:rsidR="00BE2A7C" w:rsidRPr="00BF277A">
        <w:rPr>
          <w:sz w:val="28"/>
          <w:szCs w:val="28"/>
          <w:shd w:val="clear" w:color="auto" w:fill="FFFFFF"/>
        </w:rPr>
        <w:t>"</w:t>
      </w:r>
      <w:r w:rsidR="00BC4DCF" w:rsidRPr="00BF277A">
        <w:rPr>
          <w:sz w:val="28"/>
          <w:szCs w:val="28"/>
          <w:shd w:val="clear" w:color="auto" w:fill="FFFFFF"/>
        </w:rPr>
        <w:t>112</w:t>
      </w:r>
      <w:r w:rsidR="00BE2A7C" w:rsidRPr="00BF277A">
        <w:rPr>
          <w:sz w:val="28"/>
          <w:szCs w:val="28"/>
          <w:shd w:val="clear" w:color="auto" w:fill="FFFFFF"/>
        </w:rPr>
        <w:t>"</w:t>
      </w:r>
      <w:r w:rsidR="00BC4DCF" w:rsidRPr="00BF277A">
        <w:rPr>
          <w:sz w:val="28"/>
          <w:szCs w:val="28"/>
          <w:shd w:val="clear" w:color="auto" w:fill="FFFFFF"/>
        </w:rPr>
        <w:t xml:space="preserve"> platformu</w:t>
      </w:r>
      <w:r w:rsidR="00BE2A7C" w:rsidRPr="00BF277A">
        <w:rPr>
          <w:sz w:val="28"/>
          <w:szCs w:val="28"/>
          <w:shd w:val="clear" w:color="auto" w:fill="FFFFFF"/>
        </w:rPr>
        <w:t>, tai skaitā</w:t>
      </w:r>
      <w:r w:rsidR="00BE2A7C" w:rsidRPr="00BF277A">
        <w:rPr>
          <w:sz w:val="28"/>
          <w:szCs w:val="28"/>
        </w:rPr>
        <w:t>:</w:t>
      </w:r>
    </w:p>
    <w:p w14:paraId="3AA589D1" w14:textId="78CF57DA" w:rsidR="00BC4DCF" w:rsidRPr="00BF277A" w:rsidRDefault="00BE2A7C" w:rsidP="00BE2A7C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1) </w:t>
      </w:r>
      <w:r w:rsidR="007F0C2C" w:rsidRPr="00BF277A">
        <w:rPr>
          <w:sz w:val="28"/>
          <w:szCs w:val="28"/>
        </w:rPr>
        <w:t>pilnveidot</w:t>
      </w:r>
      <w:r w:rsidR="00BC4DCF" w:rsidRPr="00BF277A">
        <w:rPr>
          <w:sz w:val="28"/>
          <w:szCs w:val="28"/>
        </w:rPr>
        <w:t xml:space="preserve"> operatīvā režīma datu apmaiņ</w:t>
      </w:r>
      <w:r w:rsidR="007F0C2C" w:rsidRPr="00BF277A">
        <w:rPr>
          <w:sz w:val="28"/>
          <w:szCs w:val="28"/>
        </w:rPr>
        <w:t xml:space="preserve">u </w:t>
      </w:r>
      <w:r w:rsidR="00BC4DCF" w:rsidRPr="00BF277A">
        <w:rPr>
          <w:sz w:val="28"/>
          <w:szCs w:val="28"/>
        </w:rPr>
        <w:t xml:space="preserve">starp </w:t>
      </w:r>
      <w:r w:rsidR="007F0C2C"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 xml:space="preserve">istēmu un </w:t>
      </w:r>
      <w:r w:rsidR="007F0C2C" w:rsidRPr="00BF277A">
        <w:rPr>
          <w:sz w:val="28"/>
          <w:szCs w:val="28"/>
        </w:rPr>
        <w:t>"</w:t>
      </w:r>
      <w:r w:rsidR="00BC4DCF" w:rsidRPr="00BF277A">
        <w:rPr>
          <w:sz w:val="28"/>
          <w:szCs w:val="28"/>
        </w:rPr>
        <w:t>112</w:t>
      </w:r>
      <w:r w:rsidR="007F0C2C" w:rsidRPr="00BF277A">
        <w:rPr>
          <w:sz w:val="28"/>
          <w:szCs w:val="28"/>
        </w:rPr>
        <w:t>"</w:t>
      </w:r>
      <w:r w:rsidR="00BC4DCF" w:rsidRPr="00BF277A">
        <w:rPr>
          <w:sz w:val="28"/>
          <w:szCs w:val="28"/>
        </w:rPr>
        <w:t xml:space="preserve"> platformas izsaukuma pieņemšanas un resursu pārraudzības funkcionalitāti (</w:t>
      </w:r>
      <w:r w:rsidR="007F0C2C" w:rsidRPr="00BF277A">
        <w:rPr>
          <w:sz w:val="28"/>
          <w:szCs w:val="28"/>
        </w:rPr>
        <w:t>"</w:t>
      </w:r>
      <w:r w:rsidR="00BC4DCF" w:rsidRPr="00BF277A">
        <w:rPr>
          <w:sz w:val="28"/>
          <w:szCs w:val="28"/>
        </w:rPr>
        <w:t>112</w:t>
      </w:r>
      <w:r w:rsidR="007F0C2C" w:rsidRPr="00BF277A">
        <w:rPr>
          <w:sz w:val="28"/>
          <w:szCs w:val="28"/>
        </w:rPr>
        <w:t>"</w:t>
      </w:r>
      <w:r w:rsidR="00BC4DCF" w:rsidRPr="00BF277A">
        <w:rPr>
          <w:sz w:val="28"/>
          <w:szCs w:val="28"/>
        </w:rPr>
        <w:t xml:space="preserve"> platformas koplietošanas risinājums). Funkcionalitātes pilnveides mērķis ir optimizēt </w:t>
      </w:r>
      <w:r w:rsidR="007F0C2C" w:rsidRPr="00BF277A">
        <w:rPr>
          <w:sz w:val="28"/>
          <w:szCs w:val="28"/>
        </w:rPr>
        <w:t>"</w:t>
      </w:r>
      <w:r w:rsidR="00BC4DCF" w:rsidRPr="00BF277A">
        <w:rPr>
          <w:sz w:val="28"/>
          <w:szCs w:val="28"/>
        </w:rPr>
        <w:t>112</w:t>
      </w:r>
      <w:r w:rsidR="007F0C2C" w:rsidRPr="00BF277A">
        <w:rPr>
          <w:sz w:val="28"/>
          <w:szCs w:val="28"/>
        </w:rPr>
        <w:t>"</w:t>
      </w:r>
      <w:r w:rsidR="00BC4DCF" w:rsidRPr="00BF277A">
        <w:rPr>
          <w:sz w:val="28"/>
          <w:szCs w:val="28"/>
        </w:rPr>
        <w:t xml:space="preserve"> platformas koplietošanas risinājumu un </w:t>
      </w:r>
      <w:r w:rsidR="007F0C2C"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>istēmas sadarbību operatīvajā režīmā, tā ietvaros</w:t>
      </w:r>
      <w:proofErr w:type="gramStart"/>
      <w:r w:rsidR="00BC4DCF" w:rsidRPr="00BF277A">
        <w:rPr>
          <w:sz w:val="28"/>
          <w:szCs w:val="28"/>
        </w:rPr>
        <w:t xml:space="preserve"> nodrošinot arī </w:t>
      </w:r>
      <w:r w:rsidR="007F0C2C"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>istēmas izsaukumu apstrādes funkcionalitātes pilnveidošanu</w:t>
      </w:r>
      <w:proofErr w:type="gramEnd"/>
      <w:r w:rsidR="00232AC7" w:rsidRPr="00BF277A">
        <w:rPr>
          <w:sz w:val="28"/>
          <w:szCs w:val="28"/>
        </w:rPr>
        <w:t>;</w:t>
      </w:r>
    </w:p>
    <w:p w14:paraId="7BA4E61F" w14:textId="51C2E4EB" w:rsidR="00BC4DCF" w:rsidRPr="00BF277A" w:rsidRDefault="00BE2A7C" w:rsidP="00BE2A7C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2) </w:t>
      </w:r>
      <w:r w:rsidR="007F0C2C" w:rsidRPr="00BF277A">
        <w:rPr>
          <w:sz w:val="28"/>
          <w:szCs w:val="28"/>
        </w:rPr>
        <w:t>pilnveidot</w:t>
      </w:r>
      <w:r w:rsidR="00BC4DCF" w:rsidRPr="00BF277A">
        <w:rPr>
          <w:sz w:val="28"/>
          <w:szCs w:val="28"/>
        </w:rPr>
        <w:t xml:space="preserve"> operatīvā režīma datu apmaiņ</w:t>
      </w:r>
      <w:r w:rsidR="007F0C2C" w:rsidRPr="00BF277A">
        <w:rPr>
          <w:sz w:val="28"/>
          <w:szCs w:val="28"/>
        </w:rPr>
        <w:t xml:space="preserve">u </w:t>
      </w:r>
      <w:r w:rsidR="00BC4DCF" w:rsidRPr="00BF277A">
        <w:rPr>
          <w:sz w:val="28"/>
          <w:szCs w:val="28"/>
        </w:rPr>
        <w:t xml:space="preserve">starp </w:t>
      </w:r>
      <w:r w:rsidR="007F0C2C"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 xml:space="preserve">istēmu un </w:t>
      </w:r>
      <w:r w:rsidR="00FB2D71">
        <w:rPr>
          <w:sz w:val="28"/>
          <w:szCs w:val="28"/>
          <w:shd w:val="clear" w:color="auto" w:fill="FFFFFF"/>
        </w:rPr>
        <w:t>ģ</w:t>
      </w:r>
      <w:r w:rsidR="000E039D" w:rsidRPr="000E039D">
        <w:rPr>
          <w:sz w:val="28"/>
          <w:szCs w:val="28"/>
          <w:shd w:val="clear" w:color="auto" w:fill="FFFFFF"/>
        </w:rPr>
        <w:t>eogrāfiskās informācijas </w:t>
      </w:r>
      <w:r w:rsidR="000E039D" w:rsidRPr="000E039D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sistēmām</w:t>
      </w:r>
      <w:r w:rsidR="000E039D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 (turpmāk – ĢIS)</w:t>
      </w:r>
      <w:r w:rsidR="00BC4DCF" w:rsidRPr="00BF277A">
        <w:rPr>
          <w:sz w:val="28"/>
          <w:szCs w:val="28"/>
        </w:rPr>
        <w:t xml:space="preserve">. Pilnveides mērķis ir nodrošināt NMP dienesta resursu atainošanu un vadību </w:t>
      </w:r>
      <w:r w:rsidR="00BC4DCF" w:rsidRPr="000E039D">
        <w:rPr>
          <w:sz w:val="28"/>
          <w:szCs w:val="28"/>
        </w:rPr>
        <w:t>ĢIS,</w:t>
      </w:r>
      <w:r w:rsidR="00BC4DCF" w:rsidRPr="00BF277A">
        <w:rPr>
          <w:sz w:val="28"/>
          <w:szCs w:val="28"/>
        </w:rPr>
        <w:t xml:space="preserve"> kā arī nodrošināt iespēju pie tā integrēties </w:t>
      </w:r>
      <w:r w:rsidR="00CD5583" w:rsidRPr="00BF277A">
        <w:rPr>
          <w:sz w:val="28"/>
          <w:szCs w:val="28"/>
        </w:rPr>
        <w:t>o</w:t>
      </w:r>
      <w:r w:rsidR="00BC4DCF" w:rsidRPr="00BF277A">
        <w:rPr>
          <w:sz w:val="28"/>
          <w:szCs w:val="28"/>
        </w:rPr>
        <w:t>peratīvo dienestu mobilās pārvaldības lietojumprogrammatūrai</w:t>
      </w:r>
      <w:r w:rsidR="004F4A7B" w:rsidRPr="00BF277A">
        <w:rPr>
          <w:sz w:val="28"/>
          <w:szCs w:val="28"/>
        </w:rPr>
        <w:t>.</w:t>
      </w:r>
    </w:p>
    <w:p w14:paraId="001D333E" w14:textId="1A8F394F" w:rsidR="00BC4DCF" w:rsidRPr="00BF277A" w:rsidRDefault="00CD5583" w:rsidP="00BE2A7C">
      <w:pPr>
        <w:pStyle w:val="VPBody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Lai sasniegtu p</w:t>
      </w:r>
      <w:r w:rsidR="00BC4DCF" w:rsidRPr="00BF277A">
        <w:rPr>
          <w:sz w:val="28"/>
          <w:szCs w:val="28"/>
        </w:rPr>
        <w:t>rojekta mērķ</w:t>
      </w:r>
      <w:r w:rsidRPr="00BF277A">
        <w:rPr>
          <w:sz w:val="28"/>
          <w:szCs w:val="28"/>
        </w:rPr>
        <w:t>i</w:t>
      </w:r>
      <w:r w:rsidR="00BC4DCF" w:rsidRPr="00BF277A">
        <w:rPr>
          <w:sz w:val="28"/>
          <w:szCs w:val="28"/>
        </w:rPr>
        <w:t xml:space="preserve"> </w:t>
      </w:r>
      <w:r w:rsidRPr="00BF277A">
        <w:rPr>
          <w:sz w:val="28"/>
          <w:szCs w:val="28"/>
        </w:rPr>
        <w:t xml:space="preserve">– sadarbībā ar citām veselības nozares institūcijām uzlabot </w:t>
      </w:r>
      <w:r w:rsidRPr="00BF277A">
        <w:rPr>
          <w:sz w:val="28"/>
          <w:szCs w:val="28"/>
          <w:shd w:val="clear" w:color="auto" w:fill="FFFFFF"/>
        </w:rPr>
        <w:t xml:space="preserve">neatliekamās </w:t>
      </w:r>
      <w:r w:rsidRPr="00BF277A">
        <w:rPr>
          <w:sz w:val="28"/>
          <w:szCs w:val="28"/>
        </w:rPr>
        <w:t xml:space="preserve">NMP sniegšanas operativitāti un pilnveidot NMP sniegšanas kvalitāti –, </w:t>
      </w:r>
      <w:r w:rsidR="00BC4DCF" w:rsidRPr="00BF277A">
        <w:rPr>
          <w:sz w:val="28"/>
          <w:szCs w:val="28"/>
        </w:rPr>
        <w:t xml:space="preserve">ir </w:t>
      </w:r>
      <w:r w:rsidRPr="00BF277A">
        <w:rPr>
          <w:sz w:val="28"/>
          <w:szCs w:val="28"/>
        </w:rPr>
        <w:t>jāattīsta</w:t>
      </w:r>
      <w:r w:rsidR="00BC4DCF" w:rsidRPr="00BF277A">
        <w:rPr>
          <w:sz w:val="28"/>
          <w:szCs w:val="28"/>
        </w:rPr>
        <w:t xml:space="preserve"> </w:t>
      </w:r>
      <w:r w:rsidRPr="00BF277A">
        <w:rPr>
          <w:sz w:val="28"/>
          <w:szCs w:val="28"/>
        </w:rPr>
        <w:t xml:space="preserve">un jāpaplašina </w:t>
      </w:r>
      <w:r w:rsidR="00BC4DCF" w:rsidRPr="00BF277A">
        <w:rPr>
          <w:sz w:val="28"/>
          <w:szCs w:val="28"/>
        </w:rPr>
        <w:t xml:space="preserve">esošās </w:t>
      </w:r>
      <w:r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>istēmas funkcionalitāte</w:t>
      </w:r>
      <w:r w:rsidRPr="00BF277A">
        <w:rPr>
          <w:sz w:val="28"/>
          <w:szCs w:val="28"/>
        </w:rPr>
        <w:t>,</w:t>
      </w:r>
      <w:r w:rsidR="00BC4DCF" w:rsidRPr="00BF277A">
        <w:rPr>
          <w:sz w:val="28"/>
          <w:szCs w:val="28"/>
        </w:rPr>
        <w:t xml:space="preserve"> </w:t>
      </w:r>
      <w:r w:rsidRPr="00BF277A">
        <w:rPr>
          <w:sz w:val="28"/>
          <w:szCs w:val="28"/>
        </w:rPr>
        <w:t>lai</w:t>
      </w:r>
      <w:r w:rsidR="00BC4DCF" w:rsidRPr="00BF277A">
        <w:rPr>
          <w:sz w:val="28"/>
          <w:szCs w:val="28"/>
        </w:rPr>
        <w:t xml:space="preserve"> uzlabot</w:t>
      </w:r>
      <w:r w:rsidRPr="00BF277A">
        <w:rPr>
          <w:sz w:val="28"/>
          <w:szCs w:val="28"/>
        </w:rPr>
        <w:t>u</w:t>
      </w:r>
      <w:r w:rsidR="00BC4DCF" w:rsidRPr="00BF277A">
        <w:rPr>
          <w:sz w:val="28"/>
          <w:szCs w:val="28"/>
        </w:rPr>
        <w:t xml:space="preserve"> sniegtā NMP pakalpojuma operativitāti un kvalitāti. </w:t>
      </w:r>
      <w:r w:rsidRPr="00BF277A">
        <w:rPr>
          <w:sz w:val="28"/>
          <w:szCs w:val="28"/>
        </w:rPr>
        <w:t>Lai sasniegtu minēto mērķi,</w:t>
      </w:r>
      <w:r w:rsidR="00BC4DCF" w:rsidRPr="00BF277A">
        <w:rPr>
          <w:sz w:val="28"/>
          <w:szCs w:val="28"/>
        </w:rPr>
        <w:t xml:space="preserve"> ir </w:t>
      </w:r>
      <w:r w:rsidRPr="00BF277A">
        <w:rPr>
          <w:sz w:val="28"/>
          <w:szCs w:val="28"/>
        </w:rPr>
        <w:t>paredzēts</w:t>
      </w:r>
      <w:r w:rsidR="00BC4DCF" w:rsidRPr="00BF277A">
        <w:rPr>
          <w:sz w:val="28"/>
          <w:szCs w:val="28"/>
        </w:rPr>
        <w:t>:</w:t>
      </w:r>
    </w:p>
    <w:p w14:paraId="7B438E49" w14:textId="2D5BCC8F" w:rsidR="00BC4DCF" w:rsidRPr="00BF277A" w:rsidRDefault="00CD5583" w:rsidP="00CD5583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lastRenderedPageBreak/>
        <w:t>1) </w:t>
      </w:r>
      <w:r w:rsidR="00311650" w:rsidRPr="00BF277A">
        <w:rPr>
          <w:sz w:val="28"/>
          <w:szCs w:val="28"/>
        </w:rPr>
        <w:t>optimizēt p</w:t>
      </w:r>
      <w:r w:rsidR="00BC4DCF" w:rsidRPr="00BF277A">
        <w:rPr>
          <w:sz w:val="28"/>
          <w:szCs w:val="28"/>
        </w:rPr>
        <w:t>rocesu</w:t>
      </w:r>
      <w:r w:rsidR="00311650"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>, kuros algoritms ir noteikts</w:t>
      </w:r>
      <w:r w:rsidR="00311650" w:rsidRPr="00BF277A">
        <w:rPr>
          <w:sz w:val="28"/>
          <w:szCs w:val="28"/>
        </w:rPr>
        <w:t>,</w:t>
      </w:r>
      <w:r w:rsidR="00BC4DCF" w:rsidRPr="00BF277A">
        <w:rPr>
          <w:sz w:val="28"/>
          <w:szCs w:val="28"/>
        </w:rPr>
        <w:t xml:space="preserve"> balstoties uz iepriekšējās pieredzes analīzi, pakāpeniski pielāgojot šos algoritmus tālākas pieredzes analīz</w:t>
      </w:r>
      <w:r w:rsidR="00BF277A" w:rsidRPr="00BF277A">
        <w:rPr>
          <w:sz w:val="28"/>
          <w:szCs w:val="28"/>
        </w:rPr>
        <w:t>ē</w:t>
      </w:r>
      <w:r w:rsidR="00BC4DCF" w:rsidRPr="00BF277A">
        <w:rPr>
          <w:sz w:val="28"/>
          <w:szCs w:val="28"/>
        </w:rPr>
        <w:t xml:space="preserve"> </w:t>
      </w:r>
      <w:r w:rsidR="00BF277A" w:rsidRPr="00BF277A">
        <w:rPr>
          <w:sz w:val="28"/>
          <w:szCs w:val="28"/>
        </w:rPr>
        <w:t xml:space="preserve">un </w:t>
      </w:r>
      <w:r w:rsidR="00BC4DCF" w:rsidRPr="00BF277A">
        <w:rPr>
          <w:sz w:val="28"/>
          <w:szCs w:val="28"/>
        </w:rPr>
        <w:t>izmantojot mašīnmācīšanās metodes, kas analizē vēsturiskos datus ar vairākām matemātiskās statistikas metodēm un sniedz piedāvājumus lietotājam par visoptimālāk</w:t>
      </w:r>
      <w:r w:rsidR="00BF277A" w:rsidRPr="00BF277A">
        <w:rPr>
          <w:sz w:val="28"/>
          <w:szCs w:val="28"/>
        </w:rPr>
        <w:t>aj</w:t>
      </w:r>
      <w:r w:rsidR="00BC4DCF" w:rsidRPr="00BF277A">
        <w:rPr>
          <w:sz w:val="28"/>
          <w:szCs w:val="28"/>
        </w:rPr>
        <w:t>ām darbībām atbilstoši procesam</w:t>
      </w:r>
      <w:r w:rsidR="004F4A7B" w:rsidRPr="00BF277A">
        <w:rPr>
          <w:sz w:val="28"/>
          <w:szCs w:val="28"/>
        </w:rPr>
        <w:t>;</w:t>
      </w:r>
    </w:p>
    <w:p w14:paraId="69B692A2" w14:textId="280B3924" w:rsidR="00BC4DCF" w:rsidRPr="00BF277A" w:rsidRDefault="00CD5583" w:rsidP="00CD5583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2) </w:t>
      </w:r>
      <w:r w:rsidR="00311650" w:rsidRPr="00BF277A">
        <w:rPr>
          <w:sz w:val="28"/>
          <w:szCs w:val="28"/>
        </w:rPr>
        <w:t>n</w:t>
      </w:r>
      <w:r w:rsidR="00BC4DCF" w:rsidRPr="00BF277A">
        <w:rPr>
          <w:sz w:val="28"/>
          <w:szCs w:val="28"/>
        </w:rPr>
        <w:t xml:space="preserve">odrošināt datu apmaiņu ar visām ārstniecības iestādēm, tādējādi nodrošinot pilnveidotā koplietošanas risinājuma izmantošanu elektroniskai datu apmaiņai ar visām ārstniecības iestādēm, kurās nogādā NMP pacientus. Projekta ietvaros ir </w:t>
      </w:r>
      <w:r w:rsidR="00311650" w:rsidRPr="00BF277A">
        <w:rPr>
          <w:sz w:val="28"/>
          <w:szCs w:val="28"/>
        </w:rPr>
        <w:t>paredzēta</w:t>
      </w:r>
      <w:r w:rsidR="00BC4DCF" w:rsidRPr="00BF277A">
        <w:rPr>
          <w:sz w:val="28"/>
          <w:szCs w:val="28"/>
        </w:rPr>
        <w:t xml:space="preserve"> </w:t>
      </w:r>
      <w:r w:rsidR="00311650" w:rsidRPr="00BF277A">
        <w:rPr>
          <w:sz w:val="28"/>
          <w:szCs w:val="28"/>
        </w:rPr>
        <w:t xml:space="preserve">arī </w:t>
      </w:r>
      <w:r w:rsidR="00BC4DCF" w:rsidRPr="00BF277A">
        <w:rPr>
          <w:sz w:val="28"/>
          <w:szCs w:val="28"/>
        </w:rPr>
        <w:t>koplietošanas risinājuma pilnveide, balstoties uz pilotprojektā identificēt</w:t>
      </w:r>
      <w:r w:rsidR="00311650" w:rsidRPr="00BF277A">
        <w:rPr>
          <w:sz w:val="28"/>
          <w:szCs w:val="28"/>
        </w:rPr>
        <w:t>o</w:t>
      </w:r>
      <w:r w:rsidR="00BC4DCF" w:rsidRPr="00BF277A">
        <w:rPr>
          <w:sz w:val="28"/>
          <w:szCs w:val="28"/>
        </w:rPr>
        <w:t xml:space="preserve"> </w:t>
      </w:r>
      <w:r w:rsidR="00311650" w:rsidRPr="00BF277A">
        <w:rPr>
          <w:sz w:val="28"/>
          <w:szCs w:val="28"/>
        </w:rPr>
        <w:t>nepieciešamību</w:t>
      </w:r>
      <w:r w:rsidR="004F4A7B" w:rsidRPr="00BF277A">
        <w:rPr>
          <w:sz w:val="28"/>
          <w:szCs w:val="28"/>
        </w:rPr>
        <w:t>;</w:t>
      </w:r>
    </w:p>
    <w:p w14:paraId="1C2452B4" w14:textId="26B6EF75" w:rsidR="00BC4DCF" w:rsidRPr="00BF277A" w:rsidRDefault="00CD5583" w:rsidP="00CD5583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3) </w:t>
      </w:r>
      <w:r w:rsidR="00AE017D" w:rsidRPr="00BF277A">
        <w:rPr>
          <w:sz w:val="28"/>
          <w:szCs w:val="28"/>
        </w:rPr>
        <w:t>attīstīt</w:t>
      </w:r>
      <w:r w:rsidR="00BC4DCF" w:rsidRPr="00BF277A">
        <w:rPr>
          <w:sz w:val="28"/>
          <w:szCs w:val="28"/>
        </w:rPr>
        <w:t xml:space="preserve"> </w:t>
      </w:r>
      <w:r w:rsidR="00AE017D" w:rsidRPr="00BF277A">
        <w:rPr>
          <w:sz w:val="28"/>
          <w:szCs w:val="28"/>
        </w:rPr>
        <w:t>o</w:t>
      </w:r>
      <w:r w:rsidR="00BC4DCF" w:rsidRPr="00BF277A">
        <w:rPr>
          <w:sz w:val="28"/>
          <w:szCs w:val="28"/>
        </w:rPr>
        <w:t>peratīvo dienestu mobilās pārvaldības lietojumprogrammatūr</w:t>
      </w:r>
      <w:r w:rsidR="00AE017D" w:rsidRPr="00BF277A">
        <w:rPr>
          <w:sz w:val="28"/>
          <w:szCs w:val="28"/>
        </w:rPr>
        <w:t>u</w:t>
      </w:r>
      <w:r w:rsidR="00BC4DCF" w:rsidRPr="00BF277A">
        <w:rPr>
          <w:sz w:val="28"/>
          <w:szCs w:val="28"/>
        </w:rPr>
        <w:t xml:space="preserve">. Lietojumprogrammatūru ir paredzēts integrēt ar NMP dispečerizācijas risinājumu un </w:t>
      </w:r>
      <w:r w:rsidR="00BC4DCF" w:rsidRPr="000E039D">
        <w:rPr>
          <w:sz w:val="28"/>
          <w:szCs w:val="28"/>
        </w:rPr>
        <w:t>ĢIS</w:t>
      </w:r>
      <w:r w:rsidR="00BC4DCF" w:rsidRPr="00BF277A">
        <w:rPr>
          <w:sz w:val="28"/>
          <w:szCs w:val="28"/>
        </w:rPr>
        <w:t xml:space="preserve">, kā ietvaros ar centrālajām sistēmām notiks navigācijas, operatīvās pārvaldības datu </w:t>
      </w:r>
      <w:r w:rsidR="00311650" w:rsidRPr="00BF277A">
        <w:rPr>
          <w:sz w:val="28"/>
          <w:szCs w:val="28"/>
        </w:rPr>
        <w:t>un citu</w:t>
      </w:r>
      <w:r w:rsidR="00BC4DCF" w:rsidRPr="00BF277A">
        <w:rPr>
          <w:sz w:val="28"/>
          <w:szCs w:val="28"/>
        </w:rPr>
        <w:t xml:space="preserve"> datu apmaiņa</w:t>
      </w:r>
      <w:r w:rsidR="004F4A7B" w:rsidRPr="00BF277A">
        <w:rPr>
          <w:sz w:val="28"/>
          <w:szCs w:val="28"/>
        </w:rPr>
        <w:t>;</w:t>
      </w:r>
    </w:p>
    <w:p w14:paraId="388594EA" w14:textId="6F44EEFF" w:rsidR="00BC4DCF" w:rsidRPr="00BF277A" w:rsidRDefault="00CD5583" w:rsidP="00CD5583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4) </w:t>
      </w:r>
      <w:r w:rsidR="00AE017D" w:rsidRPr="00BF277A">
        <w:rPr>
          <w:sz w:val="28"/>
          <w:szCs w:val="28"/>
        </w:rPr>
        <w:t>iegādāties</w:t>
      </w:r>
      <w:r w:rsidR="00BC4DCF" w:rsidRPr="00BF277A">
        <w:rPr>
          <w:sz w:val="28"/>
          <w:szCs w:val="28"/>
        </w:rPr>
        <w:t xml:space="preserve"> </w:t>
      </w:r>
      <w:r w:rsidR="00AE017D" w:rsidRPr="00BF277A">
        <w:rPr>
          <w:sz w:val="28"/>
          <w:szCs w:val="28"/>
        </w:rPr>
        <w:t>NMP dienesta vajadzībām nepieciešamās o</w:t>
      </w:r>
      <w:r w:rsidR="00BC4DCF" w:rsidRPr="00BF277A">
        <w:rPr>
          <w:sz w:val="28"/>
          <w:szCs w:val="28"/>
        </w:rPr>
        <w:t>peratīvo dienestu mobilās pārvaldības iekārt</w:t>
      </w:r>
      <w:r w:rsidR="00AE017D" w:rsidRPr="00BF277A">
        <w:rPr>
          <w:sz w:val="28"/>
          <w:szCs w:val="28"/>
        </w:rPr>
        <w:t>as</w:t>
      </w:r>
      <w:r w:rsidR="004F4A7B" w:rsidRPr="00BF277A">
        <w:rPr>
          <w:sz w:val="28"/>
          <w:szCs w:val="28"/>
        </w:rPr>
        <w:t>;</w:t>
      </w:r>
    </w:p>
    <w:p w14:paraId="77AEA075" w14:textId="0E9A8EE7" w:rsidR="00BC4DCF" w:rsidRPr="00BF277A" w:rsidRDefault="00CD5583" w:rsidP="00CD5583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5) </w:t>
      </w:r>
      <w:r w:rsidR="00AE017D" w:rsidRPr="00BF277A">
        <w:rPr>
          <w:sz w:val="28"/>
          <w:szCs w:val="28"/>
        </w:rPr>
        <w:t>n</w:t>
      </w:r>
      <w:r w:rsidR="00BC4DCF" w:rsidRPr="00BF277A">
        <w:rPr>
          <w:sz w:val="28"/>
          <w:szCs w:val="28"/>
        </w:rPr>
        <w:t xml:space="preserve">odrošināt </w:t>
      </w:r>
      <w:r w:rsidR="00AE017D"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 xml:space="preserve">istēmas integrāciju ar ārējām informācijas sistēmām, </w:t>
      </w:r>
      <w:r w:rsidR="00AE017D" w:rsidRPr="00BF277A">
        <w:rPr>
          <w:sz w:val="28"/>
          <w:szCs w:val="28"/>
        </w:rPr>
        <w:t xml:space="preserve">lai panāktu </w:t>
      </w:r>
      <w:r w:rsidR="00BC4DCF" w:rsidRPr="00BF277A">
        <w:rPr>
          <w:sz w:val="28"/>
          <w:szCs w:val="28"/>
        </w:rPr>
        <w:t>pilnīgāku medicīnas datu saņemšanu, kā arī automatizē</w:t>
      </w:r>
      <w:r w:rsidR="00AE017D" w:rsidRPr="00BF277A">
        <w:rPr>
          <w:sz w:val="28"/>
          <w:szCs w:val="28"/>
        </w:rPr>
        <w:t>tu</w:t>
      </w:r>
      <w:r w:rsidR="00BC4DCF" w:rsidRPr="00BF277A">
        <w:rPr>
          <w:sz w:val="28"/>
          <w:szCs w:val="28"/>
        </w:rPr>
        <w:t xml:space="preserve"> rēķinu nosūtīšanu un iesniegumu apstrādi</w:t>
      </w:r>
      <w:r w:rsidR="004F4A7B" w:rsidRPr="00BF277A">
        <w:rPr>
          <w:sz w:val="28"/>
          <w:szCs w:val="28"/>
        </w:rPr>
        <w:t>;</w:t>
      </w:r>
    </w:p>
    <w:p w14:paraId="014EA557" w14:textId="25D0FFD4" w:rsidR="00BC4DCF" w:rsidRPr="00BF277A" w:rsidRDefault="00CD5583" w:rsidP="00CD5583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6) </w:t>
      </w:r>
      <w:r w:rsidR="00AE017D" w:rsidRPr="00BF277A">
        <w:rPr>
          <w:sz w:val="28"/>
          <w:szCs w:val="28"/>
        </w:rPr>
        <w:t>n</w:t>
      </w:r>
      <w:r w:rsidR="00BC4DCF" w:rsidRPr="00BF277A">
        <w:rPr>
          <w:sz w:val="28"/>
          <w:szCs w:val="28"/>
        </w:rPr>
        <w:t>odrošināt IKT risinājumus NMP dienesta attālinātu apmācību atbalstam</w:t>
      </w:r>
      <w:r w:rsidR="004F4A7B" w:rsidRPr="00BF277A">
        <w:rPr>
          <w:sz w:val="28"/>
          <w:szCs w:val="28"/>
        </w:rPr>
        <w:t>;</w:t>
      </w:r>
    </w:p>
    <w:p w14:paraId="41299F65" w14:textId="6FB173B2" w:rsidR="00BC4DCF" w:rsidRPr="00BF277A" w:rsidRDefault="00CD5583" w:rsidP="00CD5583">
      <w:pPr>
        <w:pStyle w:val="VPBody"/>
        <w:tabs>
          <w:tab w:val="left" w:pos="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7) pilnveidot s</w:t>
      </w:r>
      <w:r w:rsidR="00BC4DCF" w:rsidRPr="00BF277A">
        <w:rPr>
          <w:sz w:val="28"/>
          <w:szCs w:val="28"/>
        </w:rPr>
        <w:t>istēmas funkcionālo</w:t>
      </w:r>
      <w:r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 xml:space="preserve"> apgabalu</w:t>
      </w:r>
      <w:r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 xml:space="preserve">, lai nodrošinātu NMP pakalpojuma sniegšanas un kvalitātes uzlabojumus, tai skaitā </w:t>
      </w:r>
      <w:r w:rsidRPr="00BF277A">
        <w:rPr>
          <w:sz w:val="28"/>
          <w:szCs w:val="28"/>
        </w:rPr>
        <w:t>s</w:t>
      </w:r>
      <w:r w:rsidR="00BC4DCF" w:rsidRPr="00BF277A">
        <w:rPr>
          <w:sz w:val="28"/>
          <w:szCs w:val="28"/>
        </w:rPr>
        <w:t>istēmas lietojamības uzlabojumus</w:t>
      </w:r>
      <w:r w:rsidR="004F4A7B" w:rsidRPr="00BF277A">
        <w:rPr>
          <w:sz w:val="28"/>
          <w:szCs w:val="28"/>
        </w:rPr>
        <w:t>.</w:t>
      </w:r>
      <w:r w:rsidR="00BC4DCF" w:rsidRPr="00BF277A">
        <w:rPr>
          <w:sz w:val="28"/>
          <w:szCs w:val="28"/>
        </w:rPr>
        <w:t xml:space="preserve"> </w:t>
      </w:r>
    </w:p>
    <w:p w14:paraId="74D4C6A6" w14:textId="00972739" w:rsidR="00BC4DCF" w:rsidRPr="00BF277A" w:rsidRDefault="00BC4DCF" w:rsidP="00AE017D">
      <w:pPr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  <w:shd w:val="clear" w:color="auto" w:fill="FFFFFF"/>
        </w:rPr>
        <w:t xml:space="preserve">Projekta ietvaros ieviestā programmatūra (dokumentācija, pirmkods) ir pieejama visām valsts pārvaldes iestādēm atkārtotai izmantošanai un modificēšanai, kā arī </w:t>
      </w:r>
      <w:r w:rsidR="00BF277A">
        <w:rPr>
          <w:sz w:val="28"/>
          <w:szCs w:val="28"/>
          <w:shd w:val="clear" w:color="auto" w:fill="FFFFFF"/>
        </w:rPr>
        <w:t>paredzēts</w:t>
      </w:r>
      <w:r w:rsidRPr="00BF277A">
        <w:rPr>
          <w:sz w:val="28"/>
          <w:szCs w:val="28"/>
          <w:shd w:val="clear" w:color="auto" w:fill="FFFFFF"/>
        </w:rPr>
        <w:t xml:space="preserve">, ka atsevišķa </w:t>
      </w:r>
      <w:r w:rsidR="00BF277A">
        <w:rPr>
          <w:sz w:val="28"/>
          <w:szCs w:val="28"/>
          <w:shd w:val="clear" w:color="auto" w:fill="FFFFFF"/>
        </w:rPr>
        <w:t>p</w:t>
      </w:r>
      <w:r w:rsidRPr="00BF277A">
        <w:rPr>
          <w:sz w:val="28"/>
          <w:szCs w:val="28"/>
          <w:shd w:val="clear" w:color="auto" w:fill="FFFFFF"/>
        </w:rPr>
        <w:t xml:space="preserve">rojekta ietvaros radītā programmatūras daļa (piemēram, integrācijas funkcionalitāte) būs publiski pieejama integrāciju </w:t>
      </w:r>
      <w:r w:rsidR="00BF277A">
        <w:rPr>
          <w:sz w:val="28"/>
          <w:szCs w:val="28"/>
          <w:shd w:val="clear" w:color="auto" w:fill="FFFFFF"/>
        </w:rPr>
        <w:t>īstenošanai</w:t>
      </w:r>
      <w:r w:rsidRPr="00BF277A">
        <w:rPr>
          <w:sz w:val="28"/>
          <w:szCs w:val="28"/>
          <w:shd w:val="clear" w:color="auto" w:fill="FFFFFF"/>
        </w:rPr>
        <w:t xml:space="preserve"> citos saistītajos IKT risinājumos.</w:t>
      </w:r>
    </w:p>
    <w:p w14:paraId="21D5B542" w14:textId="77777777" w:rsidR="00BC4DCF" w:rsidRPr="00BF277A" w:rsidRDefault="00BC4DCF" w:rsidP="00BF277A">
      <w:pPr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>Projekta ietvaros tiks pilnveidoti 12 publiskās pārvaldes procesi.</w:t>
      </w:r>
    </w:p>
    <w:p w14:paraId="6A464683" w14:textId="77777777" w:rsidR="00BF277A" w:rsidRDefault="00BF277A" w:rsidP="008879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b/>
          <w:bCs/>
          <w:sz w:val="28"/>
          <w:szCs w:val="28"/>
        </w:rPr>
      </w:pPr>
    </w:p>
    <w:p w14:paraId="1E976EA2" w14:textId="55F9C6A3" w:rsidR="00BC4DCF" w:rsidRPr="00BF277A" w:rsidRDefault="00BC4DCF" w:rsidP="00BF27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b/>
          <w:bCs/>
          <w:sz w:val="28"/>
          <w:szCs w:val="28"/>
        </w:rPr>
      </w:pPr>
      <w:r w:rsidRPr="00BF277A">
        <w:rPr>
          <w:rFonts w:eastAsia="MS Mincho"/>
          <w:b/>
          <w:bCs/>
          <w:sz w:val="28"/>
          <w:szCs w:val="28"/>
        </w:rPr>
        <w:t>Projekta rezultāta rādītāji</w:t>
      </w:r>
    </w:p>
    <w:p w14:paraId="3F25E502" w14:textId="77777777" w:rsidR="00887956" w:rsidRPr="00BF277A" w:rsidRDefault="00887956" w:rsidP="008879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b/>
          <w:bCs/>
          <w:sz w:val="28"/>
          <w:szCs w:val="28"/>
          <w:u w:val="single"/>
        </w:rPr>
      </w:pPr>
    </w:p>
    <w:tbl>
      <w:tblPr>
        <w:tblStyle w:val="TableGrid"/>
        <w:tblW w:w="9360" w:type="dxa"/>
        <w:tblInd w:w="-113" w:type="dxa"/>
        <w:tblLook w:val="04A0" w:firstRow="1" w:lastRow="0" w:firstColumn="1" w:lastColumn="0" w:noHBand="0" w:noVBand="1"/>
      </w:tblPr>
      <w:tblGrid>
        <w:gridCol w:w="817"/>
        <w:gridCol w:w="2359"/>
        <w:gridCol w:w="1507"/>
        <w:gridCol w:w="1321"/>
        <w:gridCol w:w="1678"/>
        <w:gridCol w:w="1678"/>
      </w:tblGrid>
      <w:tr w:rsidR="00BF277A" w:rsidRPr="00BF277A" w14:paraId="28C62C29" w14:textId="77777777" w:rsidTr="00BF277A">
        <w:tc>
          <w:tcPr>
            <w:tcW w:w="817" w:type="dxa"/>
            <w:vAlign w:val="center"/>
          </w:tcPr>
          <w:p w14:paraId="5FCEB3CC" w14:textId="77777777" w:rsidR="00BC4DCF" w:rsidRPr="00BF277A" w:rsidRDefault="00887956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Nr.</w:t>
            </w:r>
          </w:p>
          <w:p w14:paraId="327C0588" w14:textId="7C0C4A27" w:rsidR="00887956" w:rsidRPr="00BF277A" w:rsidRDefault="00887956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p. k.</w:t>
            </w:r>
          </w:p>
        </w:tc>
        <w:tc>
          <w:tcPr>
            <w:tcW w:w="2359" w:type="dxa"/>
            <w:vAlign w:val="center"/>
          </w:tcPr>
          <w:p w14:paraId="5AED1396" w14:textId="77777777" w:rsidR="00BC4DCF" w:rsidRPr="00BF277A" w:rsidRDefault="00BC4DCF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Rezultāta rādītājs</w:t>
            </w:r>
          </w:p>
        </w:tc>
        <w:tc>
          <w:tcPr>
            <w:tcW w:w="1507" w:type="dxa"/>
            <w:vAlign w:val="center"/>
          </w:tcPr>
          <w:p w14:paraId="541551E2" w14:textId="77777777" w:rsidR="00BC4DCF" w:rsidRPr="00BF277A" w:rsidRDefault="00BC4DCF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Mērvienība</w:t>
            </w:r>
          </w:p>
        </w:tc>
        <w:tc>
          <w:tcPr>
            <w:tcW w:w="1321" w:type="dxa"/>
            <w:vAlign w:val="center"/>
          </w:tcPr>
          <w:p w14:paraId="50F3369F" w14:textId="77777777" w:rsidR="00BC4DCF" w:rsidRPr="00BF277A" w:rsidRDefault="00BC4DCF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Sākotnējā vērtība</w:t>
            </w:r>
          </w:p>
        </w:tc>
        <w:tc>
          <w:tcPr>
            <w:tcW w:w="1678" w:type="dxa"/>
            <w:vAlign w:val="center"/>
          </w:tcPr>
          <w:p w14:paraId="1D8364B4" w14:textId="52C9F3F8" w:rsidR="00BC4DCF" w:rsidRPr="00BF277A" w:rsidRDefault="00BC4DCF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Sasniedzamā</w:t>
            </w:r>
            <w:proofErr w:type="gramStart"/>
            <w:r w:rsidRPr="00BF277A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BF277A">
              <w:rPr>
                <w:bCs/>
                <w:sz w:val="28"/>
                <w:szCs w:val="28"/>
              </w:rPr>
              <w:t xml:space="preserve">vērtība </w:t>
            </w:r>
            <w:r w:rsidR="00BF277A">
              <w:rPr>
                <w:bCs/>
                <w:sz w:val="28"/>
                <w:szCs w:val="28"/>
              </w:rPr>
              <w:t>divus</w:t>
            </w:r>
            <w:r w:rsidRPr="00BF277A">
              <w:rPr>
                <w:bCs/>
                <w:sz w:val="28"/>
                <w:szCs w:val="28"/>
              </w:rPr>
              <w:t xml:space="preserve"> gadus pēc projekta beigām</w:t>
            </w:r>
          </w:p>
        </w:tc>
        <w:tc>
          <w:tcPr>
            <w:tcW w:w="1678" w:type="dxa"/>
            <w:vAlign w:val="center"/>
          </w:tcPr>
          <w:p w14:paraId="54BB194B" w14:textId="463531F0" w:rsidR="00BC4DCF" w:rsidRPr="00BF277A" w:rsidRDefault="00BC4DCF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 xml:space="preserve">Sasniedzamā vērtība </w:t>
            </w:r>
            <w:r w:rsidR="00BF277A">
              <w:rPr>
                <w:bCs/>
                <w:sz w:val="28"/>
                <w:szCs w:val="28"/>
              </w:rPr>
              <w:t>trīs</w:t>
            </w:r>
            <w:r w:rsidRPr="00BF277A">
              <w:rPr>
                <w:bCs/>
                <w:sz w:val="28"/>
                <w:szCs w:val="28"/>
              </w:rPr>
              <w:t xml:space="preserve"> gadus pēc projekta beigām</w:t>
            </w:r>
          </w:p>
        </w:tc>
      </w:tr>
      <w:tr w:rsidR="00BF277A" w:rsidRPr="00BF277A" w14:paraId="0C0EB497" w14:textId="77777777" w:rsidTr="00BF277A">
        <w:tc>
          <w:tcPr>
            <w:tcW w:w="817" w:type="dxa"/>
          </w:tcPr>
          <w:p w14:paraId="5598F989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59" w:type="dxa"/>
          </w:tcPr>
          <w:p w14:paraId="68A9D209" w14:textId="51C340A6" w:rsidR="00BC4DCF" w:rsidRPr="00BF277A" w:rsidRDefault="00BC4DCF" w:rsidP="00BF277A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 xml:space="preserve">No </w:t>
            </w:r>
            <w:r w:rsidR="00C81383">
              <w:rPr>
                <w:bCs/>
                <w:sz w:val="28"/>
                <w:szCs w:val="28"/>
              </w:rPr>
              <w:t>"</w:t>
            </w:r>
            <w:r w:rsidRPr="00BF277A">
              <w:rPr>
                <w:bCs/>
                <w:sz w:val="28"/>
                <w:szCs w:val="28"/>
              </w:rPr>
              <w:t>112</w:t>
            </w:r>
            <w:r w:rsidR="00C81383">
              <w:rPr>
                <w:bCs/>
                <w:sz w:val="28"/>
                <w:szCs w:val="28"/>
              </w:rPr>
              <w:t>"</w:t>
            </w:r>
            <w:r w:rsidRPr="00BF277A">
              <w:rPr>
                <w:bCs/>
                <w:sz w:val="28"/>
                <w:szCs w:val="28"/>
              </w:rPr>
              <w:t xml:space="preserve"> dienesta saņemto NMP izsaukumu īpatsvars attiecībā pret visiem NMP izsaukumiem</w:t>
            </w:r>
          </w:p>
        </w:tc>
        <w:tc>
          <w:tcPr>
            <w:tcW w:w="1507" w:type="dxa"/>
          </w:tcPr>
          <w:p w14:paraId="4A3BFE07" w14:textId="050081B7" w:rsidR="00BC4DCF" w:rsidRPr="00BF277A" w:rsidRDefault="00C81383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BC4DCF" w:rsidRPr="00BF277A">
              <w:rPr>
                <w:bCs/>
                <w:sz w:val="28"/>
                <w:szCs w:val="28"/>
              </w:rPr>
              <w:t>rocenti</w:t>
            </w:r>
          </w:p>
        </w:tc>
        <w:tc>
          <w:tcPr>
            <w:tcW w:w="1321" w:type="dxa"/>
          </w:tcPr>
          <w:p w14:paraId="1581F68D" w14:textId="0BD8474D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29</w:t>
            </w:r>
            <w:r w:rsidR="00BF277A">
              <w:rPr>
                <w:bCs/>
                <w:sz w:val="28"/>
                <w:szCs w:val="28"/>
              </w:rPr>
              <w:t> </w:t>
            </w:r>
            <w:r w:rsidRPr="00BF277A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78" w:type="dxa"/>
          </w:tcPr>
          <w:p w14:paraId="5DE7B3CC" w14:textId="5C8D6C71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99</w:t>
            </w:r>
            <w:r w:rsidR="00BF277A">
              <w:rPr>
                <w:bCs/>
                <w:sz w:val="28"/>
                <w:szCs w:val="28"/>
              </w:rPr>
              <w:t> </w:t>
            </w:r>
            <w:r w:rsidRPr="00BF277A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78" w:type="dxa"/>
          </w:tcPr>
          <w:p w14:paraId="46A03B46" w14:textId="1B5874F1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99</w:t>
            </w:r>
            <w:r w:rsidR="00BF277A">
              <w:rPr>
                <w:bCs/>
                <w:sz w:val="28"/>
                <w:szCs w:val="28"/>
              </w:rPr>
              <w:t> </w:t>
            </w:r>
            <w:r w:rsidRPr="00BF277A">
              <w:rPr>
                <w:bCs/>
                <w:sz w:val="28"/>
                <w:szCs w:val="28"/>
              </w:rPr>
              <w:t>%</w:t>
            </w:r>
          </w:p>
        </w:tc>
      </w:tr>
      <w:tr w:rsidR="00BF277A" w:rsidRPr="00BF277A" w14:paraId="27A85373" w14:textId="77777777" w:rsidTr="00BF277A">
        <w:tc>
          <w:tcPr>
            <w:tcW w:w="817" w:type="dxa"/>
          </w:tcPr>
          <w:p w14:paraId="2B32B543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9" w:type="dxa"/>
          </w:tcPr>
          <w:p w14:paraId="53608BDA" w14:textId="299DC652" w:rsidR="00BC4DCF" w:rsidRPr="00BF277A" w:rsidRDefault="00BC4DCF" w:rsidP="00BF277A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 xml:space="preserve">Procesu skaits, kuros tiek </w:t>
            </w:r>
            <w:r w:rsidR="00C81383">
              <w:rPr>
                <w:bCs/>
                <w:sz w:val="28"/>
                <w:szCs w:val="28"/>
              </w:rPr>
              <w:t xml:space="preserve">izmantotas </w:t>
            </w:r>
            <w:r w:rsidRPr="00BF277A">
              <w:rPr>
                <w:bCs/>
                <w:sz w:val="28"/>
                <w:szCs w:val="28"/>
              </w:rPr>
              <w:t>mašīnmācīšanās tehnoloģijas</w:t>
            </w:r>
          </w:p>
        </w:tc>
        <w:tc>
          <w:tcPr>
            <w:tcW w:w="1507" w:type="dxa"/>
          </w:tcPr>
          <w:p w14:paraId="310364F3" w14:textId="3EF7D340" w:rsidR="00BC4DCF" w:rsidRPr="00BF277A" w:rsidRDefault="00C81383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BC4DCF" w:rsidRPr="00BF277A">
              <w:rPr>
                <w:bCs/>
                <w:sz w:val="28"/>
                <w:szCs w:val="28"/>
              </w:rPr>
              <w:t>kaits</w:t>
            </w:r>
          </w:p>
        </w:tc>
        <w:tc>
          <w:tcPr>
            <w:tcW w:w="1321" w:type="dxa"/>
          </w:tcPr>
          <w:p w14:paraId="61145088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4DF8D588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14:paraId="3D880EB0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2</w:t>
            </w:r>
          </w:p>
        </w:tc>
      </w:tr>
      <w:tr w:rsidR="00BF277A" w:rsidRPr="00BF277A" w14:paraId="60209289" w14:textId="77777777" w:rsidTr="00BF277A">
        <w:tc>
          <w:tcPr>
            <w:tcW w:w="817" w:type="dxa"/>
          </w:tcPr>
          <w:p w14:paraId="7F9630A0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59" w:type="dxa"/>
          </w:tcPr>
          <w:p w14:paraId="3FD45FC3" w14:textId="4B61D92E" w:rsidR="00BC4DCF" w:rsidRPr="00BF277A" w:rsidRDefault="00BC4DCF" w:rsidP="00BF277A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 xml:space="preserve">Slimnīcu </w:t>
            </w:r>
            <w:proofErr w:type="gramStart"/>
            <w:r w:rsidRPr="00BF277A">
              <w:rPr>
                <w:bCs/>
                <w:sz w:val="28"/>
                <w:szCs w:val="28"/>
              </w:rPr>
              <w:t>skaits, kuras ir integrētas</w:t>
            </w:r>
            <w:proofErr w:type="gramEnd"/>
            <w:r w:rsidRPr="00BF277A">
              <w:rPr>
                <w:bCs/>
                <w:sz w:val="28"/>
                <w:szCs w:val="28"/>
              </w:rPr>
              <w:t xml:space="preserve"> ar </w:t>
            </w:r>
            <w:r w:rsidR="00C81383">
              <w:rPr>
                <w:bCs/>
                <w:sz w:val="28"/>
                <w:szCs w:val="28"/>
              </w:rPr>
              <w:t>s</w:t>
            </w:r>
            <w:r w:rsidRPr="00BF277A">
              <w:rPr>
                <w:bCs/>
                <w:sz w:val="28"/>
                <w:szCs w:val="28"/>
              </w:rPr>
              <w:t>istēmas pilnveidoto koplietošanas risinājumu un ar kurām notiek elektroniska datu apmaiņa</w:t>
            </w:r>
          </w:p>
        </w:tc>
        <w:tc>
          <w:tcPr>
            <w:tcW w:w="1507" w:type="dxa"/>
          </w:tcPr>
          <w:p w14:paraId="020579FD" w14:textId="13002DCD" w:rsidR="00BC4DCF" w:rsidRPr="00BF277A" w:rsidRDefault="009B7749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BC4DCF" w:rsidRPr="00BF277A">
              <w:rPr>
                <w:bCs/>
                <w:sz w:val="28"/>
                <w:szCs w:val="28"/>
              </w:rPr>
              <w:t>kaits</w:t>
            </w:r>
          </w:p>
        </w:tc>
        <w:tc>
          <w:tcPr>
            <w:tcW w:w="1321" w:type="dxa"/>
          </w:tcPr>
          <w:p w14:paraId="6808EAA7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14:paraId="756AD2C7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678" w:type="dxa"/>
          </w:tcPr>
          <w:p w14:paraId="0F0579DB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15</w:t>
            </w:r>
          </w:p>
        </w:tc>
      </w:tr>
      <w:tr w:rsidR="00BF277A" w:rsidRPr="00BF277A" w14:paraId="54E41058" w14:textId="77777777" w:rsidTr="00BF277A">
        <w:tc>
          <w:tcPr>
            <w:tcW w:w="817" w:type="dxa"/>
          </w:tcPr>
          <w:p w14:paraId="5CA272A6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59" w:type="dxa"/>
          </w:tcPr>
          <w:p w14:paraId="5F15452F" w14:textId="19346014" w:rsidR="00BC4DCF" w:rsidRPr="00BF277A" w:rsidRDefault="00BC4DCF" w:rsidP="00BF277A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 xml:space="preserve">Elektroniski apstrādāto iesniegumu </w:t>
            </w:r>
            <w:r w:rsidR="009B7749">
              <w:rPr>
                <w:bCs/>
                <w:sz w:val="28"/>
                <w:szCs w:val="28"/>
              </w:rPr>
              <w:t xml:space="preserve">īpatsvars </w:t>
            </w:r>
            <w:r w:rsidRPr="00BF277A">
              <w:rPr>
                <w:bCs/>
                <w:sz w:val="28"/>
                <w:szCs w:val="28"/>
              </w:rPr>
              <w:t>(neatkarīgi no to iesniegšanas veida) par NMP sniegšanu attiecībā pret visiem iesniegumiem par NMP sniegšanu</w:t>
            </w:r>
          </w:p>
        </w:tc>
        <w:tc>
          <w:tcPr>
            <w:tcW w:w="1507" w:type="dxa"/>
          </w:tcPr>
          <w:p w14:paraId="4104A8B5" w14:textId="77310B43" w:rsidR="00BC4DCF" w:rsidRPr="00BF277A" w:rsidRDefault="009B7749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BC4DCF" w:rsidRPr="00BF277A">
              <w:rPr>
                <w:bCs/>
                <w:sz w:val="28"/>
                <w:szCs w:val="28"/>
              </w:rPr>
              <w:t>rocenti</w:t>
            </w:r>
          </w:p>
        </w:tc>
        <w:tc>
          <w:tcPr>
            <w:tcW w:w="1321" w:type="dxa"/>
          </w:tcPr>
          <w:p w14:paraId="3C54B5A2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6C39A3F9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78" w:type="dxa"/>
          </w:tcPr>
          <w:p w14:paraId="14BA949D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90</w:t>
            </w:r>
          </w:p>
        </w:tc>
      </w:tr>
      <w:tr w:rsidR="00BF277A" w:rsidRPr="00BF277A" w14:paraId="31413EED" w14:textId="77777777" w:rsidTr="00BF277A">
        <w:trPr>
          <w:trHeight w:val="1090"/>
        </w:trPr>
        <w:tc>
          <w:tcPr>
            <w:tcW w:w="817" w:type="dxa"/>
          </w:tcPr>
          <w:p w14:paraId="4C53DA7B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59" w:type="dxa"/>
          </w:tcPr>
          <w:p w14:paraId="47F18AB5" w14:textId="3FAA389C" w:rsidR="00BC4DCF" w:rsidRPr="00BF277A" w:rsidRDefault="009B7749" w:rsidP="00BF277A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To </w:t>
            </w:r>
            <w:r w:rsidR="00BC4DCF" w:rsidRPr="00BF277A">
              <w:rPr>
                <w:bCs/>
                <w:sz w:val="28"/>
                <w:szCs w:val="28"/>
              </w:rPr>
              <w:t>NMP ārstniecības personu apmācību īpatsvars, kas nodrošinātas attālināti (attiecībā pret visām ārstniecības personu apmācībām)</w:t>
            </w:r>
          </w:p>
        </w:tc>
        <w:tc>
          <w:tcPr>
            <w:tcW w:w="1507" w:type="dxa"/>
          </w:tcPr>
          <w:p w14:paraId="18631C6B" w14:textId="3FFA05D6" w:rsidR="00BC4DCF" w:rsidRPr="00BF277A" w:rsidRDefault="009B7749" w:rsidP="00BF277A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BC4DCF" w:rsidRPr="00BF277A">
              <w:rPr>
                <w:bCs/>
                <w:sz w:val="28"/>
                <w:szCs w:val="28"/>
              </w:rPr>
              <w:t>rocenti</w:t>
            </w:r>
          </w:p>
        </w:tc>
        <w:tc>
          <w:tcPr>
            <w:tcW w:w="1321" w:type="dxa"/>
          </w:tcPr>
          <w:p w14:paraId="2D460678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14:paraId="7272FC03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78" w:type="dxa"/>
          </w:tcPr>
          <w:p w14:paraId="403AF7CD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50</w:t>
            </w:r>
          </w:p>
        </w:tc>
      </w:tr>
    </w:tbl>
    <w:p w14:paraId="2F17E091" w14:textId="798BC016" w:rsidR="00BC4DCF" w:rsidRPr="009B7749" w:rsidRDefault="00BC4DCF" w:rsidP="009B7749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eastAsia="MS Mincho"/>
          <w:b/>
          <w:bCs/>
          <w:sz w:val="28"/>
          <w:szCs w:val="28"/>
        </w:rPr>
      </w:pPr>
      <w:r w:rsidRPr="009B7749">
        <w:rPr>
          <w:rFonts w:eastAsia="MS Mincho"/>
          <w:b/>
          <w:bCs/>
          <w:sz w:val="28"/>
          <w:szCs w:val="28"/>
        </w:rPr>
        <w:t>Projekta iznākuma rādītāji</w:t>
      </w:r>
    </w:p>
    <w:tbl>
      <w:tblPr>
        <w:tblStyle w:val="TableGrid"/>
        <w:tblW w:w="516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52"/>
        <w:gridCol w:w="4820"/>
        <w:gridCol w:w="1843"/>
        <w:gridCol w:w="1841"/>
      </w:tblGrid>
      <w:tr w:rsidR="00BF277A" w:rsidRPr="00BF277A" w14:paraId="2504778E" w14:textId="77777777" w:rsidTr="009B7749">
        <w:tc>
          <w:tcPr>
            <w:tcW w:w="455" w:type="pct"/>
            <w:vAlign w:val="center"/>
          </w:tcPr>
          <w:p w14:paraId="4DD07AD6" w14:textId="77777777" w:rsidR="00BC4DCF" w:rsidRDefault="009B7749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Nr.</w:t>
            </w:r>
          </w:p>
          <w:p w14:paraId="420EE5AE" w14:textId="72E31238" w:rsidR="009B7749" w:rsidRPr="00BF277A" w:rsidRDefault="009B7749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k.</w:t>
            </w:r>
          </w:p>
        </w:tc>
        <w:tc>
          <w:tcPr>
            <w:tcW w:w="2576" w:type="pct"/>
            <w:vAlign w:val="center"/>
          </w:tcPr>
          <w:p w14:paraId="508E173B" w14:textId="77777777" w:rsidR="00BC4DCF" w:rsidRPr="00BF277A" w:rsidRDefault="00BC4DCF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Iznākuma rādītājs</w:t>
            </w:r>
          </w:p>
        </w:tc>
        <w:tc>
          <w:tcPr>
            <w:tcW w:w="985" w:type="pct"/>
            <w:vAlign w:val="center"/>
          </w:tcPr>
          <w:p w14:paraId="761E1629" w14:textId="77777777" w:rsidR="00BC4DCF" w:rsidRPr="00BF277A" w:rsidRDefault="00BC4DCF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Mērvienība</w:t>
            </w:r>
          </w:p>
        </w:tc>
        <w:tc>
          <w:tcPr>
            <w:tcW w:w="984" w:type="pct"/>
            <w:vAlign w:val="center"/>
          </w:tcPr>
          <w:p w14:paraId="7B451A07" w14:textId="71BA6363" w:rsidR="00BC4DCF" w:rsidRPr="00BF277A" w:rsidRDefault="00BC4DCF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Sasniedzamā vērtība projekta beigās</w:t>
            </w:r>
          </w:p>
        </w:tc>
      </w:tr>
      <w:tr w:rsidR="00BF277A" w:rsidRPr="00BF277A" w14:paraId="74B3502D" w14:textId="77777777" w:rsidTr="009B7749">
        <w:tc>
          <w:tcPr>
            <w:tcW w:w="455" w:type="pct"/>
          </w:tcPr>
          <w:p w14:paraId="376B438D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76" w:type="pct"/>
          </w:tcPr>
          <w:p w14:paraId="290B3E35" w14:textId="1683D377" w:rsidR="00BC4DCF" w:rsidRPr="00BF277A" w:rsidRDefault="00BC4DCF" w:rsidP="009B7749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Pilnveidoti publiskās pārvaldes pamatdarbības procesi</w:t>
            </w:r>
          </w:p>
        </w:tc>
        <w:tc>
          <w:tcPr>
            <w:tcW w:w="985" w:type="pct"/>
          </w:tcPr>
          <w:p w14:paraId="2F5E43C2" w14:textId="33B42DC8" w:rsidR="00BC4DCF" w:rsidRPr="00BF277A" w:rsidRDefault="009B7749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BC4DCF" w:rsidRPr="00BF277A">
              <w:rPr>
                <w:bCs/>
                <w:sz w:val="28"/>
                <w:szCs w:val="28"/>
              </w:rPr>
              <w:t>kaits</w:t>
            </w:r>
          </w:p>
        </w:tc>
        <w:tc>
          <w:tcPr>
            <w:tcW w:w="984" w:type="pct"/>
          </w:tcPr>
          <w:p w14:paraId="4E5A2E69" w14:textId="60CB905D" w:rsidR="00BC4DCF" w:rsidRPr="00BF277A" w:rsidRDefault="00BC4DCF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12</w:t>
            </w:r>
          </w:p>
        </w:tc>
      </w:tr>
      <w:tr w:rsidR="00BF277A" w:rsidRPr="00BF277A" w14:paraId="1165A079" w14:textId="77777777" w:rsidTr="009B7749">
        <w:tc>
          <w:tcPr>
            <w:tcW w:w="455" w:type="pct"/>
          </w:tcPr>
          <w:p w14:paraId="1E17CCFB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576" w:type="pct"/>
          </w:tcPr>
          <w:p w14:paraId="121F6BC3" w14:textId="3CF0F001" w:rsidR="00BC4DCF" w:rsidRPr="00BF277A" w:rsidRDefault="00BC4DCF" w:rsidP="009B7749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Automatizēt</w:t>
            </w:r>
            <w:r w:rsidR="009B7749">
              <w:rPr>
                <w:bCs/>
                <w:sz w:val="28"/>
                <w:szCs w:val="28"/>
              </w:rPr>
              <w:t>as</w:t>
            </w:r>
            <w:r w:rsidRPr="00BF277A">
              <w:rPr>
                <w:bCs/>
                <w:sz w:val="28"/>
                <w:szCs w:val="28"/>
              </w:rPr>
              <w:t xml:space="preserve"> publicējamās un atjaunojamās datu kopas </w:t>
            </w:r>
          </w:p>
        </w:tc>
        <w:tc>
          <w:tcPr>
            <w:tcW w:w="985" w:type="pct"/>
          </w:tcPr>
          <w:p w14:paraId="5A75E29E" w14:textId="68085906" w:rsidR="00BC4DCF" w:rsidRPr="00BF277A" w:rsidRDefault="009B7749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BC4DCF" w:rsidRPr="00BF277A">
              <w:rPr>
                <w:bCs/>
                <w:sz w:val="28"/>
                <w:szCs w:val="28"/>
              </w:rPr>
              <w:t>kaits</w:t>
            </w:r>
          </w:p>
        </w:tc>
        <w:tc>
          <w:tcPr>
            <w:tcW w:w="984" w:type="pct"/>
          </w:tcPr>
          <w:p w14:paraId="7783ABE0" w14:textId="6A37BB37" w:rsidR="00BC4DCF" w:rsidRPr="00BF277A" w:rsidRDefault="00BC4DCF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10</w:t>
            </w:r>
          </w:p>
        </w:tc>
      </w:tr>
      <w:tr w:rsidR="00BF277A" w:rsidRPr="00BF277A" w14:paraId="7455656E" w14:textId="77777777" w:rsidTr="009B7749">
        <w:tc>
          <w:tcPr>
            <w:tcW w:w="455" w:type="pct"/>
          </w:tcPr>
          <w:p w14:paraId="02C9EB3F" w14:textId="77777777" w:rsidR="00BC4DCF" w:rsidRPr="00BF277A" w:rsidRDefault="00BC4DCF" w:rsidP="0082098F">
            <w:pPr>
              <w:tabs>
                <w:tab w:val="left" w:pos="0"/>
              </w:tabs>
              <w:spacing w:before="0"/>
              <w:jc w:val="both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76" w:type="pct"/>
          </w:tcPr>
          <w:p w14:paraId="17528696" w14:textId="0F03C0C2" w:rsidR="00BC4DCF" w:rsidRPr="00BF277A" w:rsidRDefault="00BC4DCF" w:rsidP="009B7749">
            <w:pPr>
              <w:tabs>
                <w:tab w:val="left" w:pos="0"/>
              </w:tabs>
              <w:spacing w:before="0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 xml:space="preserve">Pilnveidoti </w:t>
            </w:r>
            <w:r w:rsidR="00FB2D71">
              <w:rPr>
                <w:bCs/>
                <w:sz w:val="28"/>
                <w:szCs w:val="28"/>
              </w:rPr>
              <w:t>o</w:t>
            </w:r>
            <w:r w:rsidRPr="00BF277A">
              <w:rPr>
                <w:bCs/>
                <w:sz w:val="28"/>
                <w:szCs w:val="28"/>
              </w:rPr>
              <w:t>peratīvās darbības atbalsta iekārtu komplekti</w:t>
            </w:r>
          </w:p>
        </w:tc>
        <w:tc>
          <w:tcPr>
            <w:tcW w:w="985" w:type="pct"/>
          </w:tcPr>
          <w:p w14:paraId="5401F2E6" w14:textId="22F82EF6" w:rsidR="00BC4DCF" w:rsidRPr="00BF277A" w:rsidRDefault="009B7749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BC4DCF" w:rsidRPr="00BF277A">
              <w:rPr>
                <w:bCs/>
                <w:sz w:val="28"/>
                <w:szCs w:val="28"/>
              </w:rPr>
              <w:t>kaits</w:t>
            </w:r>
          </w:p>
        </w:tc>
        <w:tc>
          <w:tcPr>
            <w:tcW w:w="984" w:type="pct"/>
          </w:tcPr>
          <w:p w14:paraId="69D03A31" w14:textId="57464B62" w:rsidR="00BC4DCF" w:rsidRPr="00BF277A" w:rsidRDefault="00BC4DCF" w:rsidP="009B7749">
            <w:pPr>
              <w:tabs>
                <w:tab w:val="left" w:pos="0"/>
              </w:tabs>
              <w:spacing w:before="0"/>
              <w:jc w:val="center"/>
              <w:rPr>
                <w:bCs/>
                <w:sz w:val="28"/>
                <w:szCs w:val="28"/>
              </w:rPr>
            </w:pPr>
            <w:r w:rsidRPr="00BF277A">
              <w:rPr>
                <w:bCs/>
                <w:sz w:val="28"/>
                <w:szCs w:val="28"/>
              </w:rPr>
              <w:t>189</w:t>
            </w:r>
          </w:p>
        </w:tc>
      </w:tr>
    </w:tbl>
    <w:p w14:paraId="550D058E" w14:textId="77777777" w:rsidR="009B7749" w:rsidRDefault="009B7749" w:rsidP="00887956">
      <w:pPr>
        <w:jc w:val="both"/>
        <w:rPr>
          <w:sz w:val="28"/>
          <w:szCs w:val="28"/>
        </w:rPr>
      </w:pPr>
    </w:p>
    <w:p w14:paraId="0B2121ED" w14:textId="388268D2" w:rsidR="00BC4DCF" w:rsidRPr="00BF277A" w:rsidRDefault="00BC4DCF" w:rsidP="00887956">
      <w:pPr>
        <w:jc w:val="both"/>
        <w:rPr>
          <w:sz w:val="28"/>
          <w:szCs w:val="28"/>
        </w:rPr>
      </w:pPr>
      <w:r w:rsidRPr="00BF277A">
        <w:rPr>
          <w:sz w:val="28"/>
          <w:szCs w:val="28"/>
        </w:rPr>
        <w:t>Projekta finansējuma kopējais apjoms</w:t>
      </w:r>
      <w:r w:rsidR="009B7749">
        <w:rPr>
          <w:sz w:val="28"/>
          <w:szCs w:val="28"/>
        </w:rPr>
        <w:t xml:space="preserve"> ir</w:t>
      </w:r>
      <w:r w:rsidRPr="00BF277A">
        <w:rPr>
          <w:sz w:val="28"/>
          <w:szCs w:val="28"/>
        </w:rPr>
        <w:t xml:space="preserve"> 4 770 000 </w:t>
      </w:r>
      <w:proofErr w:type="spellStart"/>
      <w:r w:rsidR="009B7749" w:rsidRPr="009B7749">
        <w:rPr>
          <w:i/>
          <w:sz w:val="28"/>
          <w:szCs w:val="28"/>
        </w:rPr>
        <w:t>euro</w:t>
      </w:r>
      <w:proofErr w:type="spellEnd"/>
      <w:r w:rsidR="009B7749">
        <w:rPr>
          <w:sz w:val="28"/>
          <w:szCs w:val="28"/>
        </w:rPr>
        <w:t>.</w:t>
      </w:r>
    </w:p>
    <w:p w14:paraId="111F4968" w14:textId="6737F6BE" w:rsidR="00BC4DCF" w:rsidRPr="00BF277A" w:rsidRDefault="00BC4DCF" w:rsidP="00887956">
      <w:pPr>
        <w:jc w:val="both"/>
        <w:rPr>
          <w:sz w:val="28"/>
          <w:szCs w:val="28"/>
        </w:rPr>
      </w:pPr>
      <w:r w:rsidRPr="00BF277A">
        <w:rPr>
          <w:sz w:val="28"/>
          <w:szCs w:val="28"/>
        </w:rPr>
        <w:t xml:space="preserve">Projekta īstenošanas laiks </w:t>
      </w:r>
      <w:r w:rsidR="009B7749">
        <w:rPr>
          <w:sz w:val="28"/>
          <w:szCs w:val="28"/>
        </w:rPr>
        <w:t>ir</w:t>
      </w:r>
      <w:r w:rsidRPr="00BF277A">
        <w:rPr>
          <w:sz w:val="28"/>
          <w:szCs w:val="28"/>
        </w:rPr>
        <w:t xml:space="preserve"> 36 mēneši</w:t>
      </w:r>
      <w:r w:rsidR="009B7749">
        <w:rPr>
          <w:sz w:val="28"/>
          <w:szCs w:val="28"/>
        </w:rPr>
        <w:t>.</w:t>
      </w:r>
    </w:p>
    <w:p w14:paraId="784FD91E" w14:textId="243A7CEF" w:rsidR="00BC4DCF" w:rsidRPr="00BF277A" w:rsidRDefault="00BC4DCF" w:rsidP="00887956">
      <w:pPr>
        <w:jc w:val="both"/>
        <w:rPr>
          <w:sz w:val="28"/>
          <w:szCs w:val="28"/>
        </w:rPr>
      </w:pPr>
      <w:proofErr w:type="gramStart"/>
      <w:r w:rsidRPr="00BF277A">
        <w:rPr>
          <w:sz w:val="28"/>
          <w:szCs w:val="28"/>
        </w:rPr>
        <w:t>Papildu platformas uzturēšanas izmaksas</w:t>
      </w:r>
      <w:proofErr w:type="gramEnd"/>
      <w:r w:rsidR="009B7749">
        <w:rPr>
          <w:sz w:val="28"/>
          <w:szCs w:val="28"/>
        </w:rPr>
        <w:t xml:space="preserve"> ir</w:t>
      </w:r>
      <w:r w:rsidRPr="00BF277A">
        <w:rPr>
          <w:sz w:val="28"/>
          <w:szCs w:val="28"/>
        </w:rPr>
        <w:t xml:space="preserve"> 715 500 </w:t>
      </w:r>
      <w:proofErr w:type="spellStart"/>
      <w:r w:rsidR="009B7749" w:rsidRPr="009B7749">
        <w:rPr>
          <w:i/>
          <w:sz w:val="28"/>
          <w:szCs w:val="28"/>
        </w:rPr>
        <w:t>euro</w:t>
      </w:r>
      <w:proofErr w:type="spellEnd"/>
      <w:r w:rsidRPr="00BF277A">
        <w:rPr>
          <w:sz w:val="28"/>
          <w:szCs w:val="28"/>
        </w:rPr>
        <w:t xml:space="preserve"> gadā</w:t>
      </w:r>
      <w:r w:rsidR="009B7749">
        <w:rPr>
          <w:sz w:val="28"/>
          <w:szCs w:val="28"/>
        </w:rPr>
        <w:t>.</w:t>
      </w:r>
    </w:p>
    <w:p w14:paraId="2A4958E6" w14:textId="77777777" w:rsidR="00BC4DCF" w:rsidRPr="00BF277A" w:rsidRDefault="00BC4DCF" w:rsidP="00887956">
      <w:pPr>
        <w:ind w:hanging="360"/>
        <w:jc w:val="both"/>
        <w:rPr>
          <w:i/>
          <w:sz w:val="28"/>
          <w:szCs w:val="28"/>
        </w:rPr>
      </w:pPr>
    </w:p>
    <w:p w14:paraId="5AE432EA" w14:textId="3E0B9A76" w:rsidR="00BC4DCF" w:rsidRPr="009B7749" w:rsidRDefault="00BC4DCF" w:rsidP="009B7749">
      <w:pPr>
        <w:tabs>
          <w:tab w:val="left" w:pos="0"/>
        </w:tabs>
        <w:jc w:val="center"/>
        <w:rPr>
          <w:rFonts w:eastAsia="MS Mincho"/>
          <w:b/>
          <w:bCs/>
          <w:sz w:val="28"/>
          <w:szCs w:val="28"/>
        </w:rPr>
      </w:pPr>
      <w:r w:rsidRPr="009B7749">
        <w:rPr>
          <w:rFonts w:eastAsia="MS Mincho"/>
          <w:b/>
          <w:bCs/>
          <w:sz w:val="28"/>
          <w:szCs w:val="28"/>
        </w:rPr>
        <w:t xml:space="preserve">Saistība ar iepriekšējā plānošanas perioda projektiem, projekta lietderība un ieguldījums </w:t>
      </w:r>
      <w:r w:rsidR="009B7749">
        <w:rPr>
          <w:rFonts w:eastAsia="MS Mincho"/>
          <w:b/>
          <w:bCs/>
          <w:sz w:val="28"/>
          <w:szCs w:val="28"/>
        </w:rPr>
        <w:t>specifiskā atbalsta mērķa</w:t>
      </w:r>
      <w:r w:rsidRPr="009B7749">
        <w:rPr>
          <w:rFonts w:eastAsia="MS Mincho"/>
          <w:b/>
          <w:bCs/>
          <w:sz w:val="28"/>
          <w:szCs w:val="28"/>
        </w:rPr>
        <w:t xml:space="preserve"> rezultāta rādītājos</w:t>
      </w:r>
    </w:p>
    <w:p w14:paraId="3D5F3FDA" w14:textId="77777777" w:rsidR="009B7749" w:rsidRDefault="009B7749" w:rsidP="00887956">
      <w:pPr>
        <w:jc w:val="both"/>
        <w:rPr>
          <w:sz w:val="28"/>
          <w:szCs w:val="28"/>
        </w:rPr>
      </w:pPr>
    </w:p>
    <w:p w14:paraId="7F822028" w14:textId="5DB7C33F" w:rsidR="00BC4DCF" w:rsidRPr="00BF277A" w:rsidRDefault="00BC4DCF" w:rsidP="009B7749">
      <w:pPr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 xml:space="preserve">Projekta ietvaros tiks attīstīti </w:t>
      </w:r>
      <w:r w:rsidRPr="00BF277A">
        <w:rPr>
          <w:rFonts w:eastAsia="Calibri"/>
          <w:sz w:val="28"/>
          <w:szCs w:val="28"/>
          <w:lang w:eastAsia="lv-LV"/>
        </w:rPr>
        <w:t>Eiropas Savienības struktūrfondu un Kohēzijas fonda 2007.–2013.</w:t>
      </w:r>
      <w:r w:rsidR="00937FA9">
        <w:rPr>
          <w:rFonts w:eastAsia="Calibri"/>
          <w:sz w:val="28"/>
          <w:szCs w:val="28"/>
          <w:lang w:eastAsia="lv-LV"/>
        </w:rPr>
        <w:t> </w:t>
      </w:r>
      <w:r w:rsidRPr="00BF277A">
        <w:rPr>
          <w:rFonts w:eastAsia="Calibri"/>
          <w:sz w:val="28"/>
          <w:szCs w:val="28"/>
          <w:lang w:eastAsia="lv-LV"/>
        </w:rPr>
        <w:t xml:space="preserve">gada plānošanas perioda darbības programmas </w:t>
      </w:r>
      <w:r w:rsidR="00F1756C" w:rsidRPr="00BF277A">
        <w:rPr>
          <w:rFonts w:eastAsia="Calibri"/>
          <w:sz w:val="28"/>
          <w:szCs w:val="28"/>
          <w:lang w:eastAsia="lv-LV"/>
        </w:rPr>
        <w:t>"</w:t>
      </w:r>
      <w:r w:rsidRPr="00BF277A">
        <w:rPr>
          <w:rFonts w:eastAsia="Calibri"/>
          <w:sz w:val="28"/>
          <w:szCs w:val="28"/>
          <w:lang w:eastAsia="lv-LV"/>
        </w:rPr>
        <w:t>Infrastruktūra un pakalpojumi</w:t>
      </w:r>
      <w:r w:rsidR="00F1756C" w:rsidRPr="00BF277A">
        <w:rPr>
          <w:rFonts w:eastAsia="Calibri"/>
          <w:sz w:val="28"/>
          <w:szCs w:val="28"/>
          <w:lang w:eastAsia="lv-LV"/>
        </w:rPr>
        <w:t>"</w:t>
      </w:r>
      <w:r w:rsidRPr="00BF277A">
        <w:rPr>
          <w:rFonts w:eastAsia="Calibri"/>
          <w:sz w:val="28"/>
          <w:szCs w:val="28"/>
          <w:lang w:eastAsia="lv-LV"/>
        </w:rPr>
        <w:t xml:space="preserve"> papildinājuma 3.1.5.2. aktivitātes </w:t>
      </w:r>
      <w:r w:rsidR="00F1756C" w:rsidRPr="00BF277A">
        <w:rPr>
          <w:rFonts w:eastAsia="Calibri"/>
          <w:sz w:val="28"/>
          <w:szCs w:val="28"/>
          <w:lang w:eastAsia="lv-LV"/>
        </w:rPr>
        <w:t>"</w:t>
      </w:r>
      <w:r w:rsidRPr="00BF277A">
        <w:rPr>
          <w:rFonts w:eastAsia="Calibri"/>
          <w:sz w:val="28"/>
          <w:szCs w:val="28"/>
          <w:lang w:eastAsia="lv-LV"/>
        </w:rPr>
        <w:t>Neatliekamas medicīniskās palīdzības attīstība</w:t>
      </w:r>
      <w:r w:rsidR="00F1756C" w:rsidRPr="00BF277A">
        <w:rPr>
          <w:rFonts w:eastAsia="Calibri"/>
          <w:sz w:val="28"/>
          <w:szCs w:val="28"/>
          <w:lang w:eastAsia="lv-LV"/>
        </w:rPr>
        <w:t>"</w:t>
      </w:r>
      <w:r w:rsidRPr="00BF277A">
        <w:rPr>
          <w:rFonts w:eastAsia="Calibri"/>
          <w:sz w:val="28"/>
          <w:szCs w:val="28"/>
          <w:lang w:eastAsia="lv-LV"/>
        </w:rPr>
        <w:t xml:space="preserve"> projekt</w:t>
      </w:r>
      <w:r w:rsidR="00937FA9">
        <w:rPr>
          <w:rFonts w:eastAsia="Calibri"/>
          <w:sz w:val="28"/>
          <w:szCs w:val="28"/>
          <w:lang w:eastAsia="lv-LV"/>
        </w:rPr>
        <w:t>a</w:t>
      </w:r>
      <w:r w:rsidRPr="00BF277A">
        <w:rPr>
          <w:rFonts w:eastAsia="Calibri"/>
          <w:sz w:val="28"/>
          <w:szCs w:val="28"/>
          <w:lang w:eastAsia="lv-LV"/>
        </w:rPr>
        <w:t xml:space="preserve"> Nr.</w:t>
      </w:r>
      <w:r w:rsidR="00937FA9">
        <w:rPr>
          <w:sz w:val="28"/>
          <w:szCs w:val="28"/>
        </w:rPr>
        <w:t> </w:t>
      </w:r>
      <w:r w:rsidRPr="00BF277A">
        <w:rPr>
          <w:rFonts w:eastAsia="Calibri"/>
          <w:sz w:val="28"/>
          <w:szCs w:val="28"/>
          <w:lang w:eastAsia="lv-LV"/>
        </w:rPr>
        <w:t xml:space="preserve">3DP/3.1.5.2.0/09/IPIA/VSMTVA/001 </w:t>
      </w:r>
      <w:r w:rsidR="00F1756C" w:rsidRPr="00BF277A">
        <w:rPr>
          <w:rFonts w:eastAsia="Calibri"/>
          <w:sz w:val="28"/>
          <w:szCs w:val="28"/>
          <w:lang w:eastAsia="lv-LV"/>
        </w:rPr>
        <w:t>"</w:t>
      </w:r>
      <w:r w:rsidRPr="00BF277A">
        <w:rPr>
          <w:rFonts w:eastAsia="Calibri"/>
          <w:sz w:val="28"/>
          <w:szCs w:val="28"/>
          <w:lang w:eastAsia="lv-LV"/>
        </w:rPr>
        <w:t>Vienotas neatliekamās medicīniskās palīdzības un katastrofu medicīnas vadības informācijas sistēmas un dispečeru centru izveide</w:t>
      </w:r>
      <w:r w:rsidR="00F1756C" w:rsidRPr="00BF277A">
        <w:rPr>
          <w:rFonts w:eastAsia="Calibri"/>
          <w:sz w:val="28"/>
          <w:szCs w:val="28"/>
          <w:lang w:eastAsia="lv-LV"/>
        </w:rPr>
        <w:t>"</w:t>
      </w:r>
      <w:r w:rsidRPr="00BF277A">
        <w:rPr>
          <w:sz w:val="28"/>
          <w:szCs w:val="28"/>
        </w:rPr>
        <w:t xml:space="preserve"> </w:t>
      </w:r>
      <w:r w:rsidR="00937FA9">
        <w:rPr>
          <w:sz w:val="28"/>
          <w:szCs w:val="28"/>
        </w:rPr>
        <w:t xml:space="preserve">ietvaros </w:t>
      </w:r>
      <w:r w:rsidRPr="00BF277A">
        <w:rPr>
          <w:sz w:val="28"/>
          <w:szCs w:val="28"/>
        </w:rPr>
        <w:t xml:space="preserve">izveidotie </w:t>
      </w:r>
      <w:r w:rsidR="00937FA9">
        <w:rPr>
          <w:sz w:val="28"/>
          <w:szCs w:val="28"/>
        </w:rPr>
        <w:t>IKT</w:t>
      </w:r>
      <w:r w:rsidRPr="00BF277A">
        <w:rPr>
          <w:sz w:val="28"/>
          <w:szCs w:val="28"/>
        </w:rPr>
        <w:t xml:space="preserve"> risinājumi. </w:t>
      </w:r>
    </w:p>
    <w:p w14:paraId="3E18A6FA" w14:textId="42A5F45C" w:rsidR="00BC4DCF" w:rsidRPr="00BF277A" w:rsidRDefault="00BC4DCF" w:rsidP="00937FA9">
      <w:pPr>
        <w:ind w:firstLine="709"/>
        <w:jc w:val="both"/>
        <w:rPr>
          <w:sz w:val="28"/>
          <w:szCs w:val="28"/>
        </w:rPr>
      </w:pPr>
      <w:r w:rsidRPr="00BF277A">
        <w:rPr>
          <w:sz w:val="28"/>
          <w:szCs w:val="28"/>
        </w:rPr>
        <w:t xml:space="preserve">NMP dienesta un ar to saistītie IKT risinājumi pašlaik tiek attīstīti </w:t>
      </w:r>
      <w:proofErr w:type="gramStart"/>
      <w:r w:rsidR="00937FA9">
        <w:rPr>
          <w:sz w:val="28"/>
          <w:szCs w:val="28"/>
        </w:rPr>
        <w:t>šā</w:t>
      </w:r>
      <w:r w:rsidR="00FB2D71">
        <w:rPr>
          <w:sz w:val="28"/>
          <w:szCs w:val="28"/>
        </w:rPr>
        <w:t>d</w:t>
      </w:r>
      <w:r w:rsidR="00937FA9">
        <w:rPr>
          <w:sz w:val="28"/>
          <w:szCs w:val="28"/>
        </w:rPr>
        <w:t>os d</w:t>
      </w:r>
      <w:r w:rsidRPr="00BF277A">
        <w:rPr>
          <w:sz w:val="28"/>
          <w:szCs w:val="28"/>
        </w:rPr>
        <w:t>arbības</w:t>
      </w:r>
      <w:proofErr w:type="gramEnd"/>
      <w:r w:rsidRPr="00BF277A">
        <w:rPr>
          <w:sz w:val="28"/>
          <w:szCs w:val="28"/>
        </w:rPr>
        <w:t xml:space="preserve"> programmas 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>Izaugsme un nodarbinātība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 2.2.1. specifiskā atbalsta mērķa 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>Nodrošināt publisko datu atkalizmantošanas pieaugumu un efektīvu publiskās pārvaldes un privātā sektora mijiedarbību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 2.2.1.1. pasākuma 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>Centralizētu publiskās pārvaldes informācijas un komunikāciju tehnoloģiju platformu izveide, publiskās pārvaldes procesu optimizēšana un attīstība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 projektos:</w:t>
      </w:r>
    </w:p>
    <w:p w14:paraId="52CA95D1" w14:textId="30934ED0" w:rsidR="00BC4DCF" w:rsidRPr="00937FA9" w:rsidRDefault="00937FA9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1) </w:t>
      </w:r>
      <w:r w:rsidR="00BC4DCF" w:rsidRPr="00937FA9">
        <w:rPr>
          <w:sz w:val="28"/>
          <w:szCs w:val="28"/>
          <w:lang w:eastAsia="lv-LV"/>
        </w:rPr>
        <w:t>Nr.</w:t>
      </w:r>
      <w:r>
        <w:rPr>
          <w:sz w:val="28"/>
          <w:szCs w:val="28"/>
          <w:lang w:eastAsia="lv-LV"/>
        </w:rPr>
        <w:t> </w:t>
      </w:r>
      <w:r w:rsidR="00BC4DCF" w:rsidRPr="00937FA9">
        <w:rPr>
          <w:sz w:val="28"/>
          <w:szCs w:val="28"/>
          <w:lang w:eastAsia="lv-LV"/>
        </w:rPr>
        <w:t xml:space="preserve">2.2.1.1/17/I/025 </w:t>
      </w:r>
      <w:r w:rsidR="00F1756C" w:rsidRPr="00937FA9">
        <w:rPr>
          <w:sz w:val="28"/>
          <w:szCs w:val="28"/>
          <w:lang w:eastAsia="lv-LV"/>
        </w:rPr>
        <w:t>"</w:t>
      </w:r>
      <w:r w:rsidR="00BC4DCF" w:rsidRPr="00937FA9">
        <w:rPr>
          <w:sz w:val="28"/>
          <w:szCs w:val="28"/>
        </w:rPr>
        <w:t>Vienotās neatliekamās medicīniskās palīdzības un katastrofu medicīnas vadības informācijas sistēmas attīstība (1.</w:t>
      </w:r>
      <w:r>
        <w:rPr>
          <w:sz w:val="28"/>
          <w:szCs w:val="28"/>
        </w:rPr>
        <w:t> </w:t>
      </w:r>
      <w:r w:rsidR="00BC4DCF" w:rsidRPr="00937FA9">
        <w:rPr>
          <w:sz w:val="28"/>
          <w:szCs w:val="28"/>
        </w:rPr>
        <w:t>kārta)</w:t>
      </w:r>
      <w:r w:rsidR="00F1756C" w:rsidRPr="00937FA9">
        <w:rPr>
          <w:sz w:val="28"/>
          <w:szCs w:val="28"/>
        </w:rPr>
        <w:t>"</w:t>
      </w:r>
      <w:r>
        <w:rPr>
          <w:sz w:val="28"/>
          <w:szCs w:val="28"/>
        </w:rPr>
        <w:t>. Tā</w:t>
      </w:r>
      <w:r w:rsidR="00BC4DCF" w:rsidRPr="00937FA9">
        <w:rPr>
          <w:sz w:val="28"/>
          <w:szCs w:val="28"/>
        </w:rPr>
        <w:t xml:space="preserve"> virsmērķis ir ieviest IKT risinājumus NMP uzlabošanai Latvijas iedzīvotājiem dzīvībai un veselībai kritiskās situācijās;</w:t>
      </w:r>
    </w:p>
    <w:p w14:paraId="40E25A54" w14:textId="37ED250A" w:rsidR="00BC4DCF" w:rsidRPr="00937FA9" w:rsidRDefault="00937FA9" w:rsidP="0093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C4DCF" w:rsidRPr="00937FA9">
        <w:rPr>
          <w:sz w:val="28"/>
          <w:szCs w:val="28"/>
        </w:rPr>
        <w:t>Nr.</w:t>
      </w:r>
      <w:r>
        <w:rPr>
          <w:sz w:val="28"/>
          <w:szCs w:val="28"/>
        </w:rPr>
        <w:t> </w:t>
      </w:r>
      <w:r w:rsidR="00BC4DCF" w:rsidRPr="00937FA9">
        <w:rPr>
          <w:sz w:val="28"/>
          <w:szCs w:val="28"/>
        </w:rPr>
        <w:t xml:space="preserve">2.2.1.1/17/I/024 </w:t>
      </w:r>
      <w:r w:rsidR="00F1756C" w:rsidRPr="00937FA9">
        <w:rPr>
          <w:sz w:val="28"/>
          <w:szCs w:val="28"/>
        </w:rPr>
        <w:t>"</w:t>
      </w:r>
      <w:r w:rsidR="00BC4DCF" w:rsidRPr="00937FA9">
        <w:rPr>
          <w:sz w:val="28"/>
          <w:szCs w:val="28"/>
          <w:shd w:val="clear" w:color="auto" w:fill="FFFFFF"/>
        </w:rPr>
        <w:t xml:space="preserve">Vienota kontaktu centra platforma </w:t>
      </w:r>
      <w:r w:rsidR="00FB2D71">
        <w:rPr>
          <w:sz w:val="28"/>
          <w:szCs w:val="28"/>
          <w:shd w:val="clear" w:color="auto" w:fill="FFFFFF"/>
        </w:rPr>
        <w:t>o</w:t>
      </w:r>
      <w:r w:rsidR="00BC4DCF" w:rsidRPr="00937FA9">
        <w:rPr>
          <w:sz w:val="28"/>
          <w:szCs w:val="28"/>
          <w:shd w:val="clear" w:color="auto" w:fill="FFFFFF"/>
        </w:rPr>
        <w:t>peratīvo dienestu darba atbalstam un publisko pakalpojumu piegādei</w:t>
      </w:r>
      <w:r w:rsidR="00F1756C" w:rsidRPr="00937FA9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 xml:space="preserve">. </w:t>
      </w:r>
      <w:r w:rsidR="00BC4DCF" w:rsidRPr="00937FA9">
        <w:rPr>
          <w:sz w:val="28"/>
          <w:szCs w:val="28"/>
        </w:rPr>
        <w:t xml:space="preserve"> </w:t>
      </w:r>
      <w:r>
        <w:rPr>
          <w:sz w:val="28"/>
          <w:szCs w:val="28"/>
        </w:rPr>
        <w:t>Tā</w:t>
      </w:r>
      <w:r w:rsidR="00BC4DCF" w:rsidRPr="00937FA9">
        <w:rPr>
          <w:sz w:val="28"/>
          <w:szCs w:val="28"/>
        </w:rPr>
        <w:t xml:space="preserve"> virsmērķis ir uzlabot sabiedrībai sniedzamo operatīvo dienestu pakalpojumu pieejamību, pakalpo</w:t>
      </w:r>
      <w:r w:rsidR="00D40BFD" w:rsidRPr="00937FA9">
        <w:rPr>
          <w:sz w:val="28"/>
          <w:szCs w:val="28"/>
        </w:rPr>
        <w:t>juma sniegšanas savlaicīgumu un t</w:t>
      </w:r>
      <w:r w:rsidR="00FB2D71">
        <w:rPr>
          <w:sz w:val="28"/>
          <w:szCs w:val="28"/>
        </w:rPr>
        <w:t>ā</w:t>
      </w:r>
      <w:r w:rsidR="00D40BFD" w:rsidRPr="00937FA9">
        <w:rPr>
          <w:sz w:val="28"/>
          <w:szCs w:val="28"/>
        </w:rPr>
        <w:t xml:space="preserve"> kvalitāti, kā arī nodrošināt vienota zvanu kontaktu centra </w:t>
      </w:r>
      <w:r w:rsidR="00BC4DCF" w:rsidRPr="00937FA9">
        <w:rPr>
          <w:sz w:val="28"/>
          <w:szCs w:val="28"/>
        </w:rPr>
        <w:t>funkcionalitāti valsts publiskās pārvaldes vajadzībām.</w:t>
      </w:r>
    </w:p>
    <w:p w14:paraId="46B01578" w14:textId="6E6B1CF0" w:rsidR="00BC4DCF" w:rsidRPr="00BF277A" w:rsidRDefault="00BC4DCF" w:rsidP="00887956">
      <w:pPr>
        <w:ind w:firstLine="360"/>
        <w:jc w:val="both"/>
        <w:rPr>
          <w:sz w:val="28"/>
          <w:szCs w:val="28"/>
        </w:rPr>
      </w:pPr>
      <w:r w:rsidRPr="00BF277A">
        <w:rPr>
          <w:sz w:val="28"/>
          <w:szCs w:val="28"/>
        </w:rPr>
        <w:t xml:space="preserve">Projekta ietvaros tiks attīstīta funkcionalitāte integrācijai ar </w:t>
      </w:r>
      <w:r w:rsidR="00455CA1">
        <w:rPr>
          <w:sz w:val="28"/>
          <w:szCs w:val="28"/>
        </w:rPr>
        <w:t>projektā "</w:t>
      </w:r>
      <w:r w:rsidRPr="00BF277A">
        <w:rPr>
          <w:sz w:val="28"/>
          <w:szCs w:val="28"/>
        </w:rPr>
        <w:t>112</w:t>
      </w:r>
      <w:r w:rsidR="00455CA1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 radītajiem IKT risinājumiem, kā arī tiks pilnveidota NMP dienestam </w:t>
      </w:r>
      <w:r w:rsidR="00455CA1">
        <w:rPr>
          <w:sz w:val="28"/>
          <w:szCs w:val="28"/>
        </w:rPr>
        <w:t xml:space="preserve">nepieciešamā </w:t>
      </w:r>
      <w:r w:rsidRPr="00BF277A">
        <w:rPr>
          <w:sz w:val="28"/>
          <w:szCs w:val="28"/>
        </w:rPr>
        <w:t xml:space="preserve">specifiskā funkcionalitāte, kas ir atšķirīga no pilnveidojumiem, kas veikti projekta 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>Vienotās neatliekamās medicīniskās palīdzības un katastrofu medicīnas vadības informācijas sistēmas attīstība (1.</w:t>
      </w:r>
      <w:r w:rsidR="00455CA1">
        <w:rPr>
          <w:sz w:val="28"/>
          <w:szCs w:val="28"/>
        </w:rPr>
        <w:t> </w:t>
      </w:r>
      <w:r w:rsidRPr="00BF277A">
        <w:rPr>
          <w:sz w:val="28"/>
          <w:szCs w:val="28"/>
        </w:rPr>
        <w:t>kārta)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 ietvaros. Abos NMP dienesta projektos tiek plānots pilnveidot koplietošanas funkcionalitāti integrācijai ar ārstniecības iestāžu (slimnīcu) informācijas sistēmām, tomēr 1.</w:t>
      </w:r>
      <w:r w:rsidR="00455CA1">
        <w:rPr>
          <w:sz w:val="28"/>
          <w:szCs w:val="28"/>
        </w:rPr>
        <w:t> </w:t>
      </w:r>
      <w:r w:rsidRPr="00BF277A">
        <w:rPr>
          <w:sz w:val="28"/>
          <w:szCs w:val="28"/>
        </w:rPr>
        <w:t xml:space="preserve">kārtas projektā ir plānots to pilnveidot un veikt </w:t>
      </w:r>
      <w:proofErr w:type="spellStart"/>
      <w:r w:rsidR="00455CA1">
        <w:rPr>
          <w:sz w:val="28"/>
          <w:szCs w:val="28"/>
        </w:rPr>
        <w:t>pilot</w:t>
      </w:r>
      <w:r w:rsidRPr="00BF277A">
        <w:rPr>
          <w:sz w:val="28"/>
          <w:szCs w:val="28"/>
        </w:rPr>
        <w:t>ieviešanu</w:t>
      </w:r>
      <w:proofErr w:type="spellEnd"/>
      <w:r w:rsidRPr="00BF277A">
        <w:rPr>
          <w:sz w:val="28"/>
          <w:szCs w:val="28"/>
        </w:rPr>
        <w:t xml:space="preserve"> trijās ārstniecības iestādēs, </w:t>
      </w:r>
      <w:r w:rsidR="00455CA1">
        <w:rPr>
          <w:sz w:val="28"/>
          <w:szCs w:val="28"/>
        </w:rPr>
        <w:t>bet</w:t>
      </w:r>
      <w:r w:rsidRPr="00BF277A">
        <w:rPr>
          <w:sz w:val="28"/>
          <w:szCs w:val="28"/>
        </w:rPr>
        <w:t xml:space="preserve"> 2.</w:t>
      </w:r>
      <w:r w:rsidR="00455CA1">
        <w:rPr>
          <w:sz w:val="28"/>
          <w:szCs w:val="28"/>
        </w:rPr>
        <w:t> </w:t>
      </w:r>
      <w:r w:rsidRPr="00BF277A">
        <w:rPr>
          <w:sz w:val="28"/>
          <w:szCs w:val="28"/>
        </w:rPr>
        <w:t>kārtas projektā ir plānots to attīstīt</w:t>
      </w:r>
      <w:r w:rsidR="00455CA1">
        <w:rPr>
          <w:sz w:val="28"/>
          <w:szCs w:val="28"/>
        </w:rPr>
        <w:t>,</w:t>
      </w:r>
      <w:r w:rsidRPr="00BF277A">
        <w:rPr>
          <w:sz w:val="28"/>
          <w:szCs w:val="28"/>
        </w:rPr>
        <w:t xml:space="preserve"> balstoties uz 1.</w:t>
      </w:r>
      <w:r w:rsidR="00455CA1">
        <w:rPr>
          <w:sz w:val="28"/>
          <w:szCs w:val="28"/>
        </w:rPr>
        <w:t> </w:t>
      </w:r>
      <w:r w:rsidRPr="00BF277A">
        <w:rPr>
          <w:sz w:val="28"/>
          <w:szCs w:val="28"/>
        </w:rPr>
        <w:t>kārtas projekt</w:t>
      </w:r>
      <w:r w:rsidR="00455CA1">
        <w:rPr>
          <w:sz w:val="28"/>
          <w:szCs w:val="28"/>
        </w:rPr>
        <w:t>ā</w:t>
      </w:r>
      <w:r w:rsidRPr="00BF277A">
        <w:rPr>
          <w:sz w:val="28"/>
          <w:szCs w:val="28"/>
        </w:rPr>
        <w:t xml:space="preserve"> </w:t>
      </w:r>
      <w:r w:rsidRPr="00BF277A">
        <w:rPr>
          <w:sz w:val="28"/>
          <w:szCs w:val="28"/>
        </w:rPr>
        <w:lastRenderedPageBreak/>
        <w:t>identificēt</w:t>
      </w:r>
      <w:r w:rsidR="00455CA1">
        <w:rPr>
          <w:sz w:val="28"/>
          <w:szCs w:val="28"/>
        </w:rPr>
        <w:t>o</w:t>
      </w:r>
      <w:r w:rsidRPr="00BF277A">
        <w:rPr>
          <w:sz w:val="28"/>
          <w:szCs w:val="28"/>
        </w:rPr>
        <w:t xml:space="preserve"> nepieciešamīb</w:t>
      </w:r>
      <w:r w:rsidR="00455CA1">
        <w:rPr>
          <w:sz w:val="28"/>
          <w:szCs w:val="28"/>
        </w:rPr>
        <w:t>u</w:t>
      </w:r>
      <w:r w:rsidRPr="00BF277A">
        <w:rPr>
          <w:sz w:val="28"/>
          <w:szCs w:val="28"/>
        </w:rPr>
        <w:t xml:space="preserve"> (ja tāda tiks identificēta), kā arī turpināt integrāciju ar citām ārstniecības iestāžu informācijas sistēmām. Projektā netiks veikti ieguldījumi, kas dublē iepriekš </w:t>
      </w:r>
      <w:r w:rsidR="00455CA1" w:rsidRPr="00BF277A">
        <w:rPr>
          <w:sz w:val="28"/>
          <w:szCs w:val="28"/>
        </w:rPr>
        <w:t xml:space="preserve">projektā </w:t>
      </w:r>
      <w:r w:rsidR="00455CA1">
        <w:rPr>
          <w:sz w:val="28"/>
          <w:szCs w:val="28"/>
        </w:rPr>
        <w:t>"</w:t>
      </w:r>
      <w:r w:rsidRPr="00BF277A">
        <w:rPr>
          <w:sz w:val="28"/>
          <w:szCs w:val="28"/>
        </w:rPr>
        <w:t>112</w:t>
      </w:r>
      <w:r w:rsidR="00455CA1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 un projektā 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>Vienotās neatliekamās medicīniskās palīdzības un katastrofu medicīnas vadības informācijas sistēmas attīstība (1.</w:t>
      </w:r>
      <w:r w:rsidR="00455CA1">
        <w:rPr>
          <w:sz w:val="28"/>
          <w:szCs w:val="28"/>
        </w:rPr>
        <w:t> </w:t>
      </w:r>
      <w:r w:rsidRPr="00BF277A">
        <w:rPr>
          <w:sz w:val="28"/>
          <w:szCs w:val="28"/>
        </w:rPr>
        <w:t>kārta)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 veiktos ieguldījumus.</w:t>
      </w:r>
    </w:p>
    <w:p w14:paraId="6C3464F9" w14:textId="1D4258B8" w:rsidR="00BC4DCF" w:rsidRPr="00BF277A" w:rsidRDefault="00BC4DCF" w:rsidP="00887956">
      <w:pPr>
        <w:ind w:firstLine="720"/>
        <w:jc w:val="both"/>
        <w:rPr>
          <w:sz w:val="28"/>
          <w:szCs w:val="28"/>
        </w:rPr>
      </w:pPr>
      <w:r w:rsidRPr="00BF277A">
        <w:rPr>
          <w:sz w:val="28"/>
          <w:szCs w:val="28"/>
        </w:rPr>
        <w:t xml:space="preserve">Projekta investīciju izmaksas ir 4 770 000 </w:t>
      </w:r>
      <w:proofErr w:type="spellStart"/>
      <w:r w:rsidR="00455CA1" w:rsidRPr="00455CA1">
        <w:rPr>
          <w:i/>
          <w:sz w:val="28"/>
          <w:szCs w:val="28"/>
        </w:rPr>
        <w:t>euro</w:t>
      </w:r>
      <w:proofErr w:type="spellEnd"/>
      <w:r w:rsidRPr="00BF277A">
        <w:rPr>
          <w:sz w:val="28"/>
          <w:szCs w:val="28"/>
        </w:rPr>
        <w:t>, savukārt no jauna izstrādāto risinājumu uzturēšanas izmaksas ir 715 500 </w:t>
      </w:r>
      <w:proofErr w:type="spellStart"/>
      <w:r w:rsidR="00455CA1" w:rsidRPr="00455CA1">
        <w:rPr>
          <w:i/>
          <w:sz w:val="28"/>
          <w:szCs w:val="28"/>
        </w:rPr>
        <w:t>euro</w:t>
      </w:r>
      <w:proofErr w:type="spellEnd"/>
      <w:r w:rsidRPr="00BF277A">
        <w:rPr>
          <w:sz w:val="28"/>
          <w:szCs w:val="28"/>
        </w:rPr>
        <w:t xml:space="preserve"> katru gadu pēc </w:t>
      </w:r>
      <w:r w:rsidR="00455CA1">
        <w:rPr>
          <w:sz w:val="28"/>
          <w:szCs w:val="28"/>
        </w:rPr>
        <w:t>p</w:t>
      </w:r>
      <w:r w:rsidRPr="00BF277A">
        <w:rPr>
          <w:sz w:val="28"/>
          <w:szCs w:val="28"/>
        </w:rPr>
        <w:t xml:space="preserve">rojekta ieviešanas. Ņemot vērā esošās </w:t>
      </w:r>
      <w:r w:rsidR="00455CA1">
        <w:rPr>
          <w:sz w:val="28"/>
          <w:szCs w:val="28"/>
        </w:rPr>
        <w:t>s</w:t>
      </w:r>
      <w:r w:rsidRPr="00BF277A">
        <w:rPr>
          <w:sz w:val="28"/>
          <w:szCs w:val="28"/>
        </w:rPr>
        <w:t xml:space="preserve">istēmas plānotās (projekts 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>Vienotās neatliekamās medicīniskās palīdzības un katastrofu medicīnas vadības informācijas sistēmas attīstība (1.</w:t>
      </w:r>
      <w:r w:rsidR="00455CA1">
        <w:rPr>
          <w:sz w:val="28"/>
          <w:szCs w:val="28"/>
        </w:rPr>
        <w:t> </w:t>
      </w:r>
      <w:r w:rsidRPr="00BF277A">
        <w:rPr>
          <w:sz w:val="28"/>
          <w:szCs w:val="28"/>
        </w:rPr>
        <w:t>kārta)</w:t>
      </w:r>
      <w:r w:rsidR="00F1756C" w:rsidRPr="00BF277A">
        <w:rPr>
          <w:sz w:val="28"/>
          <w:szCs w:val="28"/>
        </w:rPr>
        <w:t>"</w:t>
      </w:r>
      <w:r w:rsidRPr="00BF277A">
        <w:rPr>
          <w:sz w:val="28"/>
          <w:szCs w:val="28"/>
        </w:rPr>
        <w:t xml:space="preserve">) uzturēšanas izmaksas 258 495 </w:t>
      </w:r>
      <w:proofErr w:type="spellStart"/>
      <w:r w:rsidR="00455CA1" w:rsidRPr="00455CA1">
        <w:rPr>
          <w:i/>
          <w:sz w:val="28"/>
          <w:szCs w:val="28"/>
        </w:rPr>
        <w:t>euro</w:t>
      </w:r>
      <w:proofErr w:type="spellEnd"/>
      <w:r w:rsidRPr="00BF277A">
        <w:rPr>
          <w:sz w:val="28"/>
          <w:szCs w:val="28"/>
        </w:rPr>
        <w:t xml:space="preserve"> gadā un uzturēšanas izmaksas pirms šī projekta, kopējās uzturēšanas izmaksas pēc </w:t>
      </w:r>
      <w:r w:rsidR="000E039D">
        <w:rPr>
          <w:sz w:val="28"/>
          <w:szCs w:val="28"/>
        </w:rPr>
        <w:t>p</w:t>
      </w:r>
      <w:r w:rsidRPr="00BF277A">
        <w:rPr>
          <w:sz w:val="28"/>
          <w:szCs w:val="28"/>
        </w:rPr>
        <w:t>rojekta ieviešanas veidos 973 995 </w:t>
      </w:r>
      <w:proofErr w:type="spellStart"/>
      <w:r w:rsidR="000E039D" w:rsidRPr="000E039D">
        <w:rPr>
          <w:i/>
          <w:sz w:val="28"/>
          <w:szCs w:val="28"/>
        </w:rPr>
        <w:t>euro</w:t>
      </w:r>
      <w:proofErr w:type="spellEnd"/>
      <w:r w:rsidR="000E039D">
        <w:rPr>
          <w:i/>
          <w:sz w:val="28"/>
          <w:szCs w:val="28"/>
        </w:rPr>
        <w:t xml:space="preserve"> </w:t>
      </w:r>
      <w:r w:rsidR="000E039D">
        <w:rPr>
          <w:sz w:val="28"/>
          <w:szCs w:val="28"/>
        </w:rPr>
        <w:t>gadā</w:t>
      </w:r>
      <w:r w:rsidRPr="00BF277A">
        <w:rPr>
          <w:sz w:val="28"/>
          <w:szCs w:val="28"/>
        </w:rPr>
        <w:t>. Projekta dzīves cikl</w:t>
      </w:r>
      <w:r w:rsidR="000E039D">
        <w:rPr>
          <w:sz w:val="28"/>
          <w:szCs w:val="28"/>
        </w:rPr>
        <w:t>ā</w:t>
      </w:r>
      <w:r w:rsidRPr="00BF277A">
        <w:rPr>
          <w:sz w:val="28"/>
          <w:szCs w:val="28"/>
        </w:rPr>
        <w:t xml:space="preserve"> uzturēšanas izmaksas veidos 9 739 950 </w:t>
      </w:r>
      <w:proofErr w:type="spellStart"/>
      <w:r w:rsidR="000E039D" w:rsidRPr="000E039D">
        <w:rPr>
          <w:i/>
          <w:sz w:val="28"/>
          <w:szCs w:val="28"/>
        </w:rPr>
        <w:t>euro</w:t>
      </w:r>
      <w:proofErr w:type="spellEnd"/>
      <w:r w:rsidRPr="00BF277A">
        <w:rPr>
          <w:sz w:val="28"/>
          <w:szCs w:val="28"/>
        </w:rPr>
        <w:t xml:space="preserve">, savukārt kopējās </w:t>
      </w:r>
      <w:r w:rsidR="000E039D">
        <w:rPr>
          <w:sz w:val="28"/>
          <w:szCs w:val="28"/>
        </w:rPr>
        <w:t>p</w:t>
      </w:r>
      <w:r w:rsidRPr="00BF277A">
        <w:rPr>
          <w:sz w:val="28"/>
          <w:szCs w:val="28"/>
        </w:rPr>
        <w:t>rojekta izmaksas (</w:t>
      </w:r>
      <w:r w:rsidR="000E039D">
        <w:rPr>
          <w:sz w:val="28"/>
          <w:szCs w:val="28"/>
        </w:rPr>
        <w:t>tai skaitā</w:t>
      </w:r>
      <w:r w:rsidRPr="00BF277A">
        <w:rPr>
          <w:sz w:val="28"/>
          <w:szCs w:val="28"/>
        </w:rPr>
        <w:t xml:space="preserve"> investīciju izmaksas) veido 14 509 950 </w:t>
      </w:r>
      <w:proofErr w:type="spellStart"/>
      <w:r w:rsidR="000E039D" w:rsidRPr="000E039D">
        <w:rPr>
          <w:i/>
          <w:sz w:val="28"/>
          <w:szCs w:val="28"/>
        </w:rPr>
        <w:t>euro</w:t>
      </w:r>
      <w:proofErr w:type="spellEnd"/>
      <w:r w:rsidRPr="00BF277A">
        <w:rPr>
          <w:sz w:val="28"/>
          <w:szCs w:val="28"/>
        </w:rPr>
        <w:t>. Turpmāk veikti indikatīvi sociālekonomisko ieguvumu aprēķini.</w:t>
      </w:r>
    </w:p>
    <w:p w14:paraId="31129021" w14:textId="66FE3DCD" w:rsidR="00BC4DCF" w:rsidRPr="00BF277A" w:rsidRDefault="000E039D" w:rsidP="00887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Pēc p</w:t>
      </w:r>
      <w:r w:rsidR="00BC4DCF" w:rsidRPr="00BF277A">
        <w:rPr>
          <w:sz w:val="28"/>
          <w:szCs w:val="28"/>
        </w:rPr>
        <w:t xml:space="preserve">rojekta īstenošanas tiks radīti sociālekonomiskie ieguvumi 26 247 768 </w:t>
      </w:r>
      <w:proofErr w:type="spellStart"/>
      <w:r w:rsidRPr="000E039D">
        <w:rPr>
          <w:i/>
          <w:sz w:val="28"/>
          <w:szCs w:val="28"/>
        </w:rPr>
        <w:t>euro</w:t>
      </w:r>
      <w:proofErr w:type="spellEnd"/>
      <w:r w:rsidR="00BC4DCF" w:rsidRPr="00BF277A">
        <w:rPr>
          <w:sz w:val="28"/>
          <w:szCs w:val="28"/>
        </w:rPr>
        <w:t xml:space="preserve"> apmērā 10 gadu periodā. Sociālekonomiskie ieguvumi pārsniedz </w:t>
      </w:r>
      <w:r>
        <w:rPr>
          <w:sz w:val="28"/>
          <w:szCs w:val="28"/>
        </w:rPr>
        <w:t>p</w:t>
      </w:r>
      <w:r w:rsidR="00BC4DCF" w:rsidRPr="00BF277A">
        <w:rPr>
          <w:sz w:val="28"/>
          <w:szCs w:val="28"/>
        </w:rPr>
        <w:t xml:space="preserve">rojekta investīcijas un uzturēšanas izmaksas, tādējādi pamatojot </w:t>
      </w:r>
      <w:r>
        <w:rPr>
          <w:sz w:val="28"/>
          <w:szCs w:val="28"/>
        </w:rPr>
        <w:t>p</w:t>
      </w:r>
      <w:r w:rsidR="00BC4DCF" w:rsidRPr="00BF277A">
        <w:rPr>
          <w:sz w:val="28"/>
          <w:szCs w:val="28"/>
        </w:rPr>
        <w:t>rojekta nepieciešamību sabiedrībai.</w:t>
      </w:r>
      <w:bookmarkEnd w:id="4"/>
      <w:r w:rsidR="00BC4DCF" w:rsidRPr="00BF277A">
        <w:rPr>
          <w:sz w:val="28"/>
          <w:szCs w:val="28"/>
        </w:rPr>
        <w:t xml:space="preserve"> </w:t>
      </w:r>
    </w:p>
    <w:p w14:paraId="52E1FEAF" w14:textId="29879A62" w:rsidR="00F1756C" w:rsidRPr="00BF277A" w:rsidRDefault="00F1756C" w:rsidP="0088795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3A6496" w14:textId="77777777" w:rsidR="00F1756C" w:rsidRPr="00BF277A" w:rsidRDefault="00F1756C" w:rsidP="0088795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F4572A" w14:textId="77777777" w:rsidR="00F1756C" w:rsidRPr="00BF277A" w:rsidRDefault="00F1756C" w:rsidP="0088795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C0CD10" w14:textId="77777777" w:rsidR="00F1756C" w:rsidRPr="00BF277A" w:rsidRDefault="00F1756C" w:rsidP="0088795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F277A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BF277A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2294471B" w14:textId="0F69978D" w:rsidR="00F139AB" w:rsidRPr="00BF277A" w:rsidRDefault="00F139AB" w:rsidP="00887956">
      <w:pPr>
        <w:numPr>
          <w:ilvl w:val="0"/>
          <w:numId w:val="5"/>
        </w:numPr>
        <w:tabs>
          <w:tab w:val="left" w:pos="7088"/>
        </w:tabs>
        <w:suppressAutoHyphens w:val="0"/>
        <w:ind w:left="0"/>
        <w:rPr>
          <w:bCs/>
          <w:sz w:val="28"/>
          <w:szCs w:val="28"/>
        </w:rPr>
      </w:pPr>
    </w:p>
    <w:sectPr w:rsidR="00F139AB" w:rsidRPr="00BF277A" w:rsidSect="00F1756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B918" w14:textId="77777777" w:rsidR="000E039D" w:rsidRDefault="000E039D">
      <w:r>
        <w:separator/>
      </w:r>
    </w:p>
  </w:endnote>
  <w:endnote w:type="continuationSeparator" w:id="0">
    <w:p w14:paraId="4C3F1E68" w14:textId="77777777" w:rsidR="000E039D" w:rsidRDefault="000E039D">
      <w:r>
        <w:continuationSeparator/>
      </w:r>
    </w:p>
  </w:endnote>
  <w:endnote w:type="continuationNotice" w:id="1">
    <w:p w14:paraId="08174A60" w14:textId="77777777" w:rsidR="000E039D" w:rsidRDefault="000E0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E2EA" w14:textId="43AFADCA" w:rsidR="000E039D" w:rsidRPr="00457AD1" w:rsidRDefault="000E039D" w:rsidP="00E617DC">
    <w:pPr>
      <w:pStyle w:val="Footer"/>
      <w:rPr>
        <w:sz w:val="16"/>
        <w:szCs w:val="16"/>
      </w:rPr>
    </w:pPr>
    <w:r w:rsidRPr="00457AD1">
      <w:rPr>
        <w:sz w:val="16"/>
        <w:szCs w:val="16"/>
      </w:rPr>
      <w:t>N2299_9p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D17E" w14:textId="10BCAE6D" w:rsidR="000E039D" w:rsidRPr="00457AD1" w:rsidRDefault="000E039D" w:rsidP="00F139AB">
    <w:pPr>
      <w:pStyle w:val="Footer"/>
      <w:rPr>
        <w:sz w:val="16"/>
        <w:szCs w:val="16"/>
      </w:rPr>
    </w:pPr>
    <w:r w:rsidRPr="00457AD1">
      <w:rPr>
        <w:sz w:val="16"/>
        <w:szCs w:val="16"/>
      </w:rPr>
      <w:t>N2299_9p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1FCC" w14:textId="77777777" w:rsidR="000E039D" w:rsidRDefault="000E039D">
      <w:r>
        <w:separator/>
      </w:r>
    </w:p>
  </w:footnote>
  <w:footnote w:type="continuationSeparator" w:id="0">
    <w:p w14:paraId="32F2570D" w14:textId="77777777" w:rsidR="000E039D" w:rsidRDefault="000E039D">
      <w:r>
        <w:continuationSeparator/>
      </w:r>
    </w:p>
  </w:footnote>
  <w:footnote w:type="continuationNotice" w:id="1">
    <w:p w14:paraId="7340BF86" w14:textId="77777777" w:rsidR="000E039D" w:rsidRDefault="000E0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789F" w14:textId="6637921C" w:rsidR="000E039D" w:rsidRDefault="000E039D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B2D71">
      <w:rPr>
        <w:noProof/>
      </w:rPr>
      <w:t>5</w:t>
    </w:r>
    <w:r>
      <w:rPr>
        <w:noProof/>
      </w:rPr>
      <w:fldChar w:fldCharType="end"/>
    </w:r>
  </w:p>
  <w:p w14:paraId="035C547A" w14:textId="77777777" w:rsidR="000E039D" w:rsidRDefault="000E0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15A33733"/>
    <w:multiLevelType w:val="hybridMultilevel"/>
    <w:tmpl w:val="E05C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2B5"/>
    <w:multiLevelType w:val="hybridMultilevel"/>
    <w:tmpl w:val="A8E4A9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79AE"/>
    <w:multiLevelType w:val="hybridMultilevel"/>
    <w:tmpl w:val="A9BE5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8A3"/>
    <w:multiLevelType w:val="hybridMultilevel"/>
    <w:tmpl w:val="3E584628"/>
    <w:lvl w:ilvl="0" w:tplc="B99A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9E4A74"/>
    <w:multiLevelType w:val="hybridMultilevel"/>
    <w:tmpl w:val="682AB49A"/>
    <w:lvl w:ilvl="0" w:tplc="EA2AD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EA11BE" w:tentative="1">
      <w:start w:val="1"/>
      <w:numFmt w:val="lowerLetter"/>
      <w:lvlText w:val="%2."/>
      <w:lvlJc w:val="left"/>
      <w:pPr>
        <w:ind w:left="1440" w:hanging="360"/>
      </w:pPr>
    </w:lvl>
    <w:lvl w:ilvl="2" w:tplc="0BFE4954" w:tentative="1">
      <w:start w:val="1"/>
      <w:numFmt w:val="lowerRoman"/>
      <w:lvlText w:val="%3."/>
      <w:lvlJc w:val="right"/>
      <w:pPr>
        <w:ind w:left="2160" w:hanging="180"/>
      </w:pPr>
    </w:lvl>
    <w:lvl w:ilvl="3" w:tplc="92DECB0A" w:tentative="1">
      <w:start w:val="1"/>
      <w:numFmt w:val="decimal"/>
      <w:lvlText w:val="%4."/>
      <w:lvlJc w:val="left"/>
      <w:pPr>
        <w:ind w:left="2880" w:hanging="360"/>
      </w:pPr>
    </w:lvl>
    <w:lvl w:ilvl="4" w:tplc="FC6A23A2" w:tentative="1">
      <w:start w:val="1"/>
      <w:numFmt w:val="lowerLetter"/>
      <w:lvlText w:val="%5."/>
      <w:lvlJc w:val="left"/>
      <w:pPr>
        <w:ind w:left="3600" w:hanging="360"/>
      </w:pPr>
    </w:lvl>
    <w:lvl w:ilvl="5" w:tplc="523C2BE0" w:tentative="1">
      <w:start w:val="1"/>
      <w:numFmt w:val="lowerRoman"/>
      <w:lvlText w:val="%6."/>
      <w:lvlJc w:val="right"/>
      <w:pPr>
        <w:ind w:left="4320" w:hanging="180"/>
      </w:pPr>
    </w:lvl>
    <w:lvl w:ilvl="6" w:tplc="BC72FCE2" w:tentative="1">
      <w:start w:val="1"/>
      <w:numFmt w:val="decimal"/>
      <w:lvlText w:val="%7."/>
      <w:lvlJc w:val="left"/>
      <w:pPr>
        <w:ind w:left="5040" w:hanging="360"/>
      </w:pPr>
    </w:lvl>
    <w:lvl w:ilvl="7" w:tplc="24ECDE88" w:tentative="1">
      <w:start w:val="1"/>
      <w:numFmt w:val="lowerLetter"/>
      <w:lvlText w:val="%8."/>
      <w:lvlJc w:val="left"/>
      <w:pPr>
        <w:ind w:left="5760" w:hanging="360"/>
      </w:pPr>
    </w:lvl>
    <w:lvl w:ilvl="8" w:tplc="9796F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6D83434"/>
    <w:multiLevelType w:val="hybridMultilevel"/>
    <w:tmpl w:val="E9E831E2"/>
    <w:lvl w:ilvl="0" w:tplc="DCEAA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2C771E" w:tentative="1">
      <w:start w:val="1"/>
      <w:numFmt w:val="lowerLetter"/>
      <w:lvlText w:val="%2."/>
      <w:lvlJc w:val="left"/>
      <w:pPr>
        <w:ind w:left="1440" w:hanging="360"/>
      </w:pPr>
    </w:lvl>
    <w:lvl w:ilvl="2" w:tplc="37FE9C3C" w:tentative="1">
      <w:start w:val="1"/>
      <w:numFmt w:val="lowerRoman"/>
      <w:lvlText w:val="%3."/>
      <w:lvlJc w:val="right"/>
      <w:pPr>
        <w:ind w:left="2160" w:hanging="180"/>
      </w:pPr>
    </w:lvl>
    <w:lvl w:ilvl="3" w:tplc="54A849C4" w:tentative="1">
      <w:start w:val="1"/>
      <w:numFmt w:val="decimal"/>
      <w:lvlText w:val="%4."/>
      <w:lvlJc w:val="left"/>
      <w:pPr>
        <w:ind w:left="2880" w:hanging="360"/>
      </w:pPr>
    </w:lvl>
    <w:lvl w:ilvl="4" w:tplc="72106B64" w:tentative="1">
      <w:start w:val="1"/>
      <w:numFmt w:val="lowerLetter"/>
      <w:lvlText w:val="%5."/>
      <w:lvlJc w:val="left"/>
      <w:pPr>
        <w:ind w:left="3600" w:hanging="360"/>
      </w:pPr>
    </w:lvl>
    <w:lvl w:ilvl="5" w:tplc="4906CA3E" w:tentative="1">
      <w:start w:val="1"/>
      <w:numFmt w:val="lowerRoman"/>
      <w:lvlText w:val="%6."/>
      <w:lvlJc w:val="right"/>
      <w:pPr>
        <w:ind w:left="4320" w:hanging="180"/>
      </w:pPr>
    </w:lvl>
    <w:lvl w:ilvl="6" w:tplc="698A5A82" w:tentative="1">
      <w:start w:val="1"/>
      <w:numFmt w:val="decimal"/>
      <w:lvlText w:val="%7."/>
      <w:lvlJc w:val="left"/>
      <w:pPr>
        <w:ind w:left="5040" w:hanging="360"/>
      </w:pPr>
    </w:lvl>
    <w:lvl w:ilvl="7" w:tplc="8F2AABC6" w:tentative="1">
      <w:start w:val="1"/>
      <w:numFmt w:val="lowerLetter"/>
      <w:lvlText w:val="%8."/>
      <w:lvlJc w:val="left"/>
      <w:pPr>
        <w:ind w:left="5760" w:hanging="360"/>
      </w:pPr>
    </w:lvl>
    <w:lvl w:ilvl="8" w:tplc="7870D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7504"/>
    <w:multiLevelType w:val="hybridMultilevel"/>
    <w:tmpl w:val="DBA25A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63BF"/>
    <w:multiLevelType w:val="hybridMultilevel"/>
    <w:tmpl w:val="9F1EB8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43639"/>
    <w:multiLevelType w:val="hybridMultilevel"/>
    <w:tmpl w:val="DA7A370A"/>
    <w:lvl w:ilvl="0" w:tplc="E322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ED7B75"/>
    <w:multiLevelType w:val="hybridMultilevel"/>
    <w:tmpl w:val="32DC7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110B2"/>
    <w:rsid w:val="00026478"/>
    <w:rsid w:val="00033E31"/>
    <w:rsid w:val="0003610C"/>
    <w:rsid w:val="00054EDA"/>
    <w:rsid w:val="000C007A"/>
    <w:rsid w:val="000C2791"/>
    <w:rsid w:val="000D1208"/>
    <w:rsid w:val="000E039D"/>
    <w:rsid w:val="000E0DA3"/>
    <w:rsid w:val="000F455D"/>
    <w:rsid w:val="000F7D3F"/>
    <w:rsid w:val="001341A5"/>
    <w:rsid w:val="00162664"/>
    <w:rsid w:val="001749B0"/>
    <w:rsid w:val="001A3661"/>
    <w:rsid w:val="001C45E5"/>
    <w:rsid w:val="001C60F2"/>
    <w:rsid w:val="001E502B"/>
    <w:rsid w:val="00216545"/>
    <w:rsid w:val="00220096"/>
    <w:rsid w:val="00232AC7"/>
    <w:rsid w:val="00244814"/>
    <w:rsid w:val="0024580F"/>
    <w:rsid w:val="002759A2"/>
    <w:rsid w:val="002E6E90"/>
    <w:rsid w:val="002F7264"/>
    <w:rsid w:val="003026E1"/>
    <w:rsid w:val="00311650"/>
    <w:rsid w:val="00336DED"/>
    <w:rsid w:val="00347E68"/>
    <w:rsid w:val="00352997"/>
    <w:rsid w:val="003774CF"/>
    <w:rsid w:val="003A264B"/>
    <w:rsid w:val="003A7E49"/>
    <w:rsid w:val="003D2DD3"/>
    <w:rsid w:val="003F4D13"/>
    <w:rsid w:val="00455CA1"/>
    <w:rsid w:val="00457AD1"/>
    <w:rsid w:val="00487340"/>
    <w:rsid w:val="004F2C78"/>
    <w:rsid w:val="004F4A7B"/>
    <w:rsid w:val="004F7573"/>
    <w:rsid w:val="00536626"/>
    <w:rsid w:val="00553A8D"/>
    <w:rsid w:val="00555406"/>
    <w:rsid w:val="00556682"/>
    <w:rsid w:val="005B36CB"/>
    <w:rsid w:val="005B6906"/>
    <w:rsid w:val="005F0A31"/>
    <w:rsid w:val="00627AD9"/>
    <w:rsid w:val="006336BF"/>
    <w:rsid w:val="00642F11"/>
    <w:rsid w:val="00660DB4"/>
    <w:rsid w:val="00683152"/>
    <w:rsid w:val="00684BCD"/>
    <w:rsid w:val="006A5BFF"/>
    <w:rsid w:val="006B5425"/>
    <w:rsid w:val="006F0305"/>
    <w:rsid w:val="007146E8"/>
    <w:rsid w:val="007313A2"/>
    <w:rsid w:val="007372A1"/>
    <w:rsid w:val="00740092"/>
    <w:rsid w:val="007463BA"/>
    <w:rsid w:val="0075663A"/>
    <w:rsid w:val="0078425C"/>
    <w:rsid w:val="00793568"/>
    <w:rsid w:val="007F0C2C"/>
    <w:rsid w:val="0082098F"/>
    <w:rsid w:val="008256B1"/>
    <w:rsid w:val="00874DF8"/>
    <w:rsid w:val="00887956"/>
    <w:rsid w:val="008B6816"/>
    <w:rsid w:val="008F3D08"/>
    <w:rsid w:val="008F494F"/>
    <w:rsid w:val="009173C9"/>
    <w:rsid w:val="00937FA9"/>
    <w:rsid w:val="00943C9B"/>
    <w:rsid w:val="009773A5"/>
    <w:rsid w:val="009B7749"/>
    <w:rsid w:val="009D2AE3"/>
    <w:rsid w:val="009E1DD3"/>
    <w:rsid w:val="00A04C12"/>
    <w:rsid w:val="00A07A0A"/>
    <w:rsid w:val="00A35B58"/>
    <w:rsid w:val="00A5272C"/>
    <w:rsid w:val="00A52CFF"/>
    <w:rsid w:val="00A702DB"/>
    <w:rsid w:val="00A72B56"/>
    <w:rsid w:val="00A97A33"/>
    <w:rsid w:val="00AB0C64"/>
    <w:rsid w:val="00AC0327"/>
    <w:rsid w:val="00AE017D"/>
    <w:rsid w:val="00AE15BC"/>
    <w:rsid w:val="00AE4DB6"/>
    <w:rsid w:val="00AE6113"/>
    <w:rsid w:val="00AF70B0"/>
    <w:rsid w:val="00B54286"/>
    <w:rsid w:val="00B559D5"/>
    <w:rsid w:val="00B63842"/>
    <w:rsid w:val="00BA6689"/>
    <w:rsid w:val="00BC4DCF"/>
    <w:rsid w:val="00BE2A7C"/>
    <w:rsid w:val="00BE2E00"/>
    <w:rsid w:val="00BF277A"/>
    <w:rsid w:val="00C67A09"/>
    <w:rsid w:val="00C7358A"/>
    <w:rsid w:val="00C81383"/>
    <w:rsid w:val="00CA780A"/>
    <w:rsid w:val="00CB4ED0"/>
    <w:rsid w:val="00CC20ED"/>
    <w:rsid w:val="00CD5583"/>
    <w:rsid w:val="00D02026"/>
    <w:rsid w:val="00D260D9"/>
    <w:rsid w:val="00D31DFA"/>
    <w:rsid w:val="00D40BFD"/>
    <w:rsid w:val="00D42BE0"/>
    <w:rsid w:val="00D5095A"/>
    <w:rsid w:val="00D821B2"/>
    <w:rsid w:val="00D96717"/>
    <w:rsid w:val="00DA784B"/>
    <w:rsid w:val="00DC77CF"/>
    <w:rsid w:val="00DD3AE8"/>
    <w:rsid w:val="00DE10C4"/>
    <w:rsid w:val="00E024D1"/>
    <w:rsid w:val="00E02A2C"/>
    <w:rsid w:val="00E617DC"/>
    <w:rsid w:val="00F139AB"/>
    <w:rsid w:val="00F15184"/>
    <w:rsid w:val="00F1756C"/>
    <w:rsid w:val="00F47814"/>
    <w:rsid w:val="00F93E5D"/>
    <w:rsid w:val="00FB0398"/>
    <w:rsid w:val="00FB2D71"/>
    <w:rsid w:val="00FC1113"/>
    <w:rsid w:val="00FD2B8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A27B"/>
  <w15:chartTrackingRefBased/>
  <w15:docId w15:val="{7DC0A3A9-DFDE-4B61-BB65-143A5C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uiPriority w:val="99"/>
    <w:rsid w:val="00B559D5"/>
  </w:style>
  <w:style w:type="character" w:customStyle="1" w:styleId="HeaderChar">
    <w:name w:val="Head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B559D5"/>
  </w:style>
  <w:style w:type="character" w:customStyle="1" w:styleId="FooterChar">
    <w:name w:val="Footer Char"/>
    <w:basedOn w:val="DefaultParagraphFont"/>
    <w:uiPriority w:val="99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VPMessage">
    <w:name w:val="VP Message"/>
    <w:basedOn w:val="Normal"/>
    <w:next w:val="VPBody"/>
    <w:qFormat/>
    <w:rsid w:val="007463BA"/>
    <w:pPr>
      <w:suppressAutoHyphens w:val="0"/>
      <w:spacing w:before="80" w:after="80"/>
    </w:pPr>
    <w:rPr>
      <w:rFonts w:eastAsiaTheme="minorHAnsi" w:cstheme="minorBidi"/>
      <w:b/>
      <w:i/>
      <w:sz w:val="26"/>
      <w:szCs w:val="22"/>
      <w:lang w:eastAsia="en-US"/>
    </w:rPr>
  </w:style>
  <w:style w:type="table" w:styleId="TableGrid">
    <w:name w:val="Table Grid"/>
    <w:basedOn w:val="TableNormal"/>
    <w:uiPriority w:val="59"/>
    <w:rsid w:val="007463BA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rsid w:val="007463BA"/>
  </w:style>
  <w:style w:type="character" w:customStyle="1" w:styleId="name">
    <w:name w:val="name"/>
    <w:rsid w:val="00F13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96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9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VPHeading1">
    <w:name w:val="VP Heading 1"/>
    <w:basedOn w:val="Heading1"/>
    <w:next w:val="VPBody"/>
    <w:autoRedefine/>
    <w:qFormat/>
    <w:rsid w:val="004F4A7B"/>
    <w:pPr>
      <w:tabs>
        <w:tab w:val="left" w:pos="2552"/>
      </w:tabs>
      <w:suppressAutoHyphens w:val="0"/>
      <w:spacing w:before="120" w:after="120" w:line="259" w:lineRule="auto"/>
      <w:jc w:val="center"/>
    </w:pPr>
    <w:rPr>
      <w:rFonts w:ascii="Times New Roman" w:hAnsi="Times New Roman"/>
      <w:b/>
      <w:color w:val="auto"/>
      <w:sz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4A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pamattekststabul">
    <w:name w:val="pamattekststabul"/>
    <w:basedOn w:val="Normal"/>
    <w:rsid w:val="000F7D3F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Body">
    <w:name w:val="Body"/>
    <w:rsid w:val="00F175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Emphasis">
    <w:name w:val="Emphasis"/>
    <w:basedOn w:val="DefaultParagraphFont"/>
    <w:uiPriority w:val="20"/>
    <w:qFormat/>
    <w:rsid w:val="000E0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5911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 (mērķarhitektūras 41.0 versija - Centrālās statistikas pārvaldes “Ārējās tirdzniecības statistikas datu apstrādes sistēma” izveide)</vt:lpstr>
    </vt:vector>
  </TitlesOfParts>
  <Company>Centrālā statistikas pārvalde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41.0 versija - Centrālās statistikas pārvaldes “Ārējās tirdzniecības statistikas datu apstrādes sistēma” izveide)</dc:title>
  <dc:subject>Rīkojuma projekta pielikums</dc:subject>
  <dc:creator>Anželika Pavlova</dc:creator>
  <dc:description>67366694, Anzelika.Pavlova@csb.gov.lv</dc:description>
  <cp:lastModifiedBy>Leontine Babkina</cp:lastModifiedBy>
  <cp:revision>18</cp:revision>
  <cp:lastPrinted>2019-12-13T09:57:00Z</cp:lastPrinted>
  <dcterms:created xsi:type="dcterms:W3CDTF">2019-09-12T12:06:00Z</dcterms:created>
  <dcterms:modified xsi:type="dcterms:W3CDTF">2020-01-08T13:25:00Z</dcterms:modified>
</cp:coreProperties>
</file>