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8F" w:rsidRPr="007E5618" w:rsidRDefault="00F8778E" w:rsidP="009C238F">
      <w:pPr>
        <w:jc w:val="center"/>
        <w:rPr>
          <w:rFonts w:eastAsia="Times New Roman" w:cs="Times New Roman"/>
          <w:b/>
          <w:szCs w:val="24"/>
          <w:lang w:eastAsia="lv-LV"/>
        </w:rPr>
      </w:pPr>
      <w:r w:rsidRPr="007E5618">
        <w:rPr>
          <w:rFonts w:eastAsia="Times New Roman" w:cs="Times New Roman"/>
          <w:b/>
          <w:szCs w:val="24"/>
          <w:lang w:eastAsia="lv-LV"/>
        </w:rPr>
        <w:t xml:space="preserve">  </w:t>
      </w:r>
      <w:r w:rsidR="009C238F" w:rsidRPr="007E5618">
        <w:rPr>
          <w:rFonts w:eastAsia="Times New Roman" w:cs="Times New Roman"/>
          <w:b/>
          <w:szCs w:val="24"/>
          <w:lang w:eastAsia="lv-LV"/>
        </w:rPr>
        <w:t>Izziņa par atzinumos sniegtajiem iebildumiem</w:t>
      </w:r>
    </w:p>
    <w:p w:rsidR="00417FEF" w:rsidRPr="007E5618" w:rsidRDefault="00A81933" w:rsidP="009C238F">
      <w:pPr>
        <w:jc w:val="center"/>
        <w:rPr>
          <w:rFonts w:eastAsia="Times New Roman" w:cs="Times New Roman"/>
          <w:b/>
          <w:bCs/>
          <w:szCs w:val="24"/>
          <w:lang w:eastAsia="lv-LV"/>
        </w:rPr>
      </w:pPr>
      <w:r>
        <w:rPr>
          <w:rFonts w:eastAsia="Times New Roman" w:cs="Times New Roman"/>
          <w:b/>
          <w:bCs/>
          <w:szCs w:val="24"/>
          <w:lang w:eastAsia="lv-LV"/>
        </w:rPr>
        <w:t>i</w:t>
      </w:r>
      <w:r w:rsidR="00C91D9B">
        <w:rPr>
          <w:rFonts w:eastAsia="Times New Roman" w:cs="Times New Roman"/>
          <w:b/>
          <w:bCs/>
          <w:szCs w:val="24"/>
          <w:lang w:eastAsia="lv-LV"/>
        </w:rPr>
        <w:t>nformatīvā ziņojuma</w:t>
      </w:r>
      <w:r w:rsidR="00D60A5F" w:rsidRPr="007E5618">
        <w:rPr>
          <w:rFonts w:eastAsia="Times New Roman" w:cs="Times New Roman"/>
          <w:b/>
          <w:bCs/>
          <w:szCs w:val="24"/>
          <w:lang w:eastAsia="lv-LV"/>
        </w:rPr>
        <w:t xml:space="preserve"> </w:t>
      </w:r>
      <w:r w:rsidR="00D60A5F" w:rsidRPr="007E5618">
        <w:rPr>
          <w:rFonts w:cs="Times New Roman"/>
          <w:b/>
          <w:szCs w:val="24"/>
          <w:lang w:eastAsia="lv-LV"/>
        </w:rPr>
        <w:t>„Par Latvijas Republikas valdības un Amerikas Savienoto Valstu valdības līguma par sadarbību aizsardzības jomā A pielikuma grozījumu”</w:t>
      </w:r>
      <w:r w:rsidR="00EC700E" w:rsidRPr="007E5618">
        <w:rPr>
          <w:rFonts w:cs="Times New Roman"/>
          <w:b/>
          <w:szCs w:val="24"/>
          <w:lang w:eastAsia="lv-LV"/>
        </w:rPr>
        <w:t xml:space="preserve"> </w:t>
      </w:r>
      <w:r w:rsidR="0058184A" w:rsidRPr="007E5618">
        <w:rPr>
          <w:rFonts w:eastAsia="Times New Roman" w:cs="Times New Roman"/>
          <w:b/>
          <w:bCs/>
          <w:szCs w:val="24"/>
          <w:lang w:eastAsia="lv-LV"/>
        </w:rPr>
        <w:t>projektam</w:t>
      </w:r>
    </w:p>
    <w:p w:rsidR="00E72CD0" w:rsidRPr="007E5618" w:rsidRDefault="00E72CD0" w:rsidP="009C238F">
      <w:pPr>
        <w:jc w:val="center"/>
        <w:rPr>
          <w:rFonts w:eastAsia="Times New Roman" w:cs="Times New Roman"/>
          <w:b/>
          <w:szCs w:val="24"/>
          <w:lang w:eastAsia="lv-LV"/>
        </w:rPr>
      </w:pPr>
    </w:p>
    <w:p w:rsidR="003B137A" w:rsidRPr="007E5618" w:rsidRDefault="003B137A" w:rsidP="003B137A">
      <w:pPr>
        <w:jc w:val="center"/>
        <w:rPr>
          <w:rFonts w:eastAsia="Times New Roman" w:cs="Times New Roman"/>
          <w:b/>
          <w:szCs w:val="24"/>
          <w:lang w:eastAsia="lv-LV"/>
        </w:rPr>
      </w:pPr>
      <w:r w:rsidRPr="007E5618">
        <w:rPr>
          <w:rFonts w:eastAsia="Times New Roman" w:cs="Times New Roman"/>
          <w:b/>
          <w:szCs w:val="24"/>
          <w:lang w:eastAsia="lv-LV"/>
        </w:rPr>
        <w:t>I. Jautājumi, par kuriem saskaņošanā vienošanās nav panākta</w:t>
      </w:r>
    </w:p>
    <w:tbl>
      <w:tblPr>
        <w:tblStyle w:val="TableGrid"/>
        <w:tblpPr w:leftFromText="180" w:rightFromText="180" w:vertAnchor="text" w:horzAnchor="margin" w:tblpY="31"/>
        <w:tblW w:w="14737" w:type="dxa"/>
        <w:tblLayout w:type="fixed"/>
        <w:tblLook w:val="04A0" w:firstRow="1" w:lastRow="0" w:firstColumn="1" w:lastColumn="0" w:noHBand="0" w:noVBand="1"/>
      </w:tblPr>
      <w:tblGrid>
        <w:gridCol w:w="704"/>
        <w:gridCol w:w="1956"/>
        <w:gridCol w:w="5132"/>
        <w:gridCol w:w="3940"/>
        <w:gridCol w:w="1446"/>
        <w:gridCol w:w="1559"/>
      </w:tblGrid>
      <w:tr w:rsidR="003B137A" w:rsidRPr="007E5618" w:rsidTr="00477B7D">
        <w:tc>
          <w:tcPr>
            <w:tcW w:w="704" w:type="dxa"/>
          </w:tcPr>
          <w:p w:rsidR="003B137A" w:rsidRPr="007E5618" w:rsidRDefault="003B137A" w:rsidP="007B5727">
            <w:pPr>
              <w:jc w:val="center"/>
              <w:rPr>
                <w:rFonts w:cs="Times New Roman"/>
                <w:szCs w:val="24"/>
              </w:rPr>
            </w:pPr>
            <w:r w:rsidRPr="007E5618">
              <w:rPr>
                <w:rFonts w:cs="Times New Roman"/>
                <w:szCs w:val="24"/>
              </w:rPr>
              <w:t>Nr. p.k.</w:t>
            </w:r>
          </w:p>
        </w:tc>
        <w:tc>
          <w:tcPr>
            <w:tcW w:w="1956" w:type="dxa"/>
          </w:tcPr>
          <w:p w:rsidR="003B137A" w:rsidRPr="007E5618" w:rsidRDefault="003B137A" w:rsidP="007B5727">
            <w:pPr>
              <w:jc w:val="center"/>
              <w:rPr>
                <w:rFonts w:cs="Times New Roman"/>
                <w:szCs w:val="24"/>
              </w:rPr>
            </w:pPr>
            <w:r w:rsidRPr="007E5618">
              <w:rPr>
                <w:rFonts w:cs="Times New Roman"/>
                <w:szCs w:val="24"/>
              </w:rPr>
              <w:t>Saskaņošanai nosūtītā projekta redakcija (konkrēta punkta (panta) redakcija)</w:t>
            </w:r>
          </w:p>
        </w:tc>
        <w:tc>
          <w:tcPr>
            <w:tcW w:w="5132" w:type="dxa"/>
          </w:tcPr>
          <w:p w:rsidR="003B137A" w:rsidRPr="007E5618" w:rsidRDefault="003B137A" w:rsidP="007B5727">
            <w:pPr>
              <w:jc w:val="center"/>
              <w:rPr>
                <w:rFonts w:cs="Times New Roman"/>
                <w:szCs w:val="24"/>
              </w:rPr>
            </w:pPr>
            <w:r w:rsidRPr="007E5618">
              <w:rPr>
                <w:rFonts w:cs="Times New Roman"/>
                <w:szCs w:val="24"/>
              </w:rPr>
              <w:t>Atzinumā norādītais ministrijas (citas institūcijas) iebildums, kā arī saskaņošanā papildus izteiktais iebildums par projekta konkrēto punktu (pantu)</w:t>
            </w:r>
          </w:p>
        </w:tc>
        <w:tc>
          <w:tcPr>
            <w:tcW w:w="3940" w:type="dxa"/>
          </w:tcPr>
          <w:p w:rsidR="003B137A" w:rsidRPr="007E5618" w:rsidRDefault="003B137A" w:rsidP="007B5727">
            <w:pPr>
              <w:jc w:val="center"/>
              <w:rPr>
                <w:rFonts w:cs="Times New Roman"/>
                <w:szCs w:val="24"/>
              </w:rPr>
            </w:pPr>
            <w:r w:rsidRPr="007E5618">
              <w:rPr>
                <w:rFonts w:eastAsia="Times New Roman" w:cs="Times New Roman"/>
                <w:szCs w:val="24"/>
                <w:lang w:eastAsia="lv-LV"/>
              </w:rPr>
              <w:t>Atbildīgās ministrijas pamatojums iebilduma noraidījumam</w:t>
            </w:r>
          </w:p>
        </w:tc>
        <w:tc>
          <w:tcPr>
            <w:tcW w:w="1446" w:type="dxa"/>
          </w:tcPr>
          <w:p w:rsidR="003B137A" w:rsidRPr="007E5618" w:rsidRDefault="003B137A" w:rsidP="007B5727">
            <w:pPr>
              <w:jc w:val="both"/>
              <w:rPr>
                <w:rFonts w:cs="Times New Roman"/>
                <w:szCs w:val="24"/>
              </w:rPr>
            </w:pPr>
            <w:r w:rsidRPr="007E5618">
              <w:rPr>
                <w:rFonts w:eastAsia="Times New Roman" w:cs="Times New Roman"/>
                <w:szCs w:val="24"/>
                <w:lang w:eastAsia="lv-LV"/>
              </w:rPr>
              <w:t>Atzinuma sniedzēja uzturētais iebildums, ja tas atšķiras no atzinumā norādītā iebilduma pamatojuma</w:t>
            </w:r>
          </w:p>
        </w:tc>
        <w:tc>
          <w:tcPr>
            <w:tcW w:w="1559" w:type="dxa"/>
          </w:tcPr>
          <w:p w:rsidR="003B137A" w:rsidRPr="007E5618" w:rsidRDefault="003B137A" w:rsidP="007B5727">
            <w:pPr>
              <w:jc w:val="both"/>
              <w:rPr>
                <w:rFonts w:cs="Times New Roman"/>
                <w:szCs w:val="24"/>
              </w:rPr>
            </w:pPr>
            <w:r w:rsidRPr="007E5618">
              <w:rPr>
                <w:rFonts w:cs="Times New Roman"/>
                <w:szCs w:val="24"/>
              </w:rPr>
              <w:t>Projekta attiecīgā punkta (panta) galīgā redakcija</w:t>
            </w:r>
          </w:p>
        </w:tc>
      </w:tr>
      <w:tr w:rsidR="003B137A" w:rsidRPr="007E5618" w:rsidTr="00477B7D">
        <w:tc>
          <w:tcPr>
            <w:tcW w:w="704" w:type="dxa"/>
            <w:vAlign w:val="center"/>
          </w:tcPr>
          <w:p w:rsidR="003B137A" w:rsidRPr="007E5618" w:rsidRDefault="003B137A" w:rsidP="007B5727">
            <w:pPr>
              <w:jc w:val="center"/>
              <w:rPr>
                <w:rFonts w:cs="Times New Roman"/>
                <w:szCs w:val="24"/>
              </w:rPr>
            </w:pPr>
          </w:p>
        </w:tc>
        <w:tc>
          <w:tcPr>
            <w:tcW w:w="1956" w:type="dxa"/>
            <w:vAlign w:val="center"/>
          </w:tcPr>
          <w:p w:rsidR="003B137A" w:rsidRPr="007E5618" w:rsidRDefault="003B137A" w:rsidP="007B5727">
            <w:pPr>
              <w:jc w:val="center"/>
              <w:rPr>
                <w:rFonts w:cs="Times New Roman"/>
                <w:szCs w:val="24"/>
              </w:rPr>
            </w:pPr>
            <w:r w:rsidRPr="007E5618">
              <w:rPr>
                <w:rFonts w:cs="Times New Roman"/>
                <w:szCs w:val="24"/>
              </w:rPr>
              <w:t>2</w:t>
            </w:r>
          </w:p>
        </w:tc>
        <w:tc>
          <w:tcPr>
            <w:tcW w:w="5132" w:type="dxa"/>
            <w:vAlign w:val="center"/>
          </w:tcPr>
          <w:p w:rsidR="003B137A" w:rsidRPr="007E5618" w:rsidRDefault="003B137A" w:rsidP="007B5727">
            <w:pPr>
              <w:jc w:val="center"/>
              <w:rPr>
                <w:rFonts w:cs="Times New Roman"/>
                <w:szCs w:val="24"/>
              </w:rPr>
            </w:pPr>
            <w:r w:rsidRPr="007E5618">
              <w:rPr>
                <w:rFonts w:cs="Times New Roman"/>
                <w:szCs w:val="24"/>
              </w:rPr>
              <w:t>3</w:t>
            </w:r>
          </w:p>
        </w:tc>
        <w:tc>
          <w:tcPr>
            <w:tcW w:w="3940" w:type="dxa"/>
            <w:vAlign w:val="center"/>
          </w:tcPr>
          <w:p w:rsidR="003B137A" w:rsidRPr="007E5618" w:rsidRDefault="003B137A" w:rsidP="007B5727">
            <w:pPr>
              <w:jc w:val="center"/>
              <w:rPr>
                <w:rFonts w:cs="Times New Roman"/>
                <w:szCs w:val="24"/>
              </w:rPr>
            </w:pPr>
            <w:r w:rsidRPr="007E5618">
              <w:rPr>
                <w:rFonts w:cs="Times New Roman"/>
                <w:szCs w:val="24"/>
              </w:rPr>
              <w:t>4</w:t>
            </w:r>
          </w:p>
        </w:tc>
        <w:tc>
          <w:tcPr>
            <w:tcW w:w="1446" w:type="dxa"/>
          </w:tcPr>
          <w:p w:rsidR="003B137A" w:rsidRPr="007E5618" w:rsidRDefault="003B137A" w:rsidP="007B5727">
            <w:pPr>
              <w:jc w:val="center"/>
              <w:rPr>
                <w:rFonts w:cs="Times New Roman"/>
                <w:szCs w:val="24"/>
              </w:rPr>
            </w:pPr>
            <w:r w:rsidRPr="007E5618">
              <w:rPr>
                <w:rFonts w:cs="Times New Roman"/>
                <w:szCs w:val="24"/>
              </w:rPr>
              <w:t>5</w:t>
            </w:r>
          </w:p>
        </w:tc>
        <w:tc>
          <w:tcPr>
            <w:tcW w:w="1559" w:type="dxa"/>
            <w:vAlign w:val="center"/>
          </w:tcPr>
          <w:p w:rsidR="003B137A" w:rsidRPr="007E5618" w:rsidRDefault="003B137A" w:rsidP="007B5727">
            <w:pPr>
              <w:jc w:val="center"/>
              <w:rPr>
                <w:rFonts w:cs="Times New Roman"/>
                <w:szCs w:val="24"/>
              </w:rPr>
            </w:pPr>
            <w:r w:rsidRPr="007E5618">
              <w:rPr>
                <w:rFonts w:cs="Times New Roman"/>
                <w:szCs w:val="24"/>
              </w:rPr>
              <w:t>6</w:t>
            </w:r>
          </w:p>
        </w:tc>
      </w:tr>
      <w:tr w:rsidR="003B137A" w:rsidRPr="007E5618" w:rsidTr="00477B7D">
        <w:tc>
          <w:tcPr>
            <w:tcW w:w="704" w:type="dxa"/>
          </w:tcPr>
          <w:p w:rsidR="003B137A" w:rsidRPr="007E5618" w:rsidRDefault="003B137A" w:rsidP="007B5727">
            <w:pPr>
              <w:rPr>
                <w:rFonts w:cs="Times New Roman"/>
                <w:szCs w:val="24"/>
              </w:rPr>
            </w:pPr>
            <w:r w:rsidRPr="007E5618">
              <w:rPr>
                <w:rFonts w:cs="Times New Roman"/>
                <w:szCs w:val="24"/>
              </w:rPr>
              <w:t>1</w:t>
            </w:r>
          </w:p>
        </w:tc>
        <w:tc>
          <w:tcPr>
            <w:tcW w:w="1956" w:type="dxa"/>
          </w:tcPr>
          <w:p w:rsidR="003B137A" w:rsidRPr="007E5618" w:rsidRDefault="003B137A" w:rsidP="00C54998">
            <w:pPr>
              <w:pStyle w:val="CommentText"/>
              <w:ind w:firstLine="184"/>
              <w:jc w:val="both"/>
              <w:rPr>
                <w:rFonts w:cs="Times New Roman"/>
                <w:sz w:val="24"/>
                <w:szCs w:val="24"/>
              </w:rPr>
            </w:pPr>
          </w:p>
        </w:tc>
        <w:tc>
          <w:tcPr>
            <w:tcW w:w="5132" w:type="dxa"/>
          </w:tcPr>
          <w:p w:rsidR="00A85F2D" w:rsidRPr="007E5618" w:rsidRDefault="00A85F2D" w:rsidP="009633F9">
            <w:pPr>
              <w:jc w:val="center"/>
              <w:rPr>
                <w:rFonts w:cs="Times New Roman"/>
                <w:szCs w:val="24"/>
              </w:rPr>
            </w:pPr>
          </w:p>
        </w:tc>
        <w:tc>
          <w:tcPr>
            <w:tcW w:w="3940" w:type="dxa"/>
          </w:tcPr>
          <w:p w:rsidR="00832E11" w:rsidRPr="007E5618" w:rsidRDefault="00832E11" w:rsidP="00BA13F3">
            <w:pPr>
              <w:ind w:right="142"/>
              <w:jc w:val="both"/>
              <w:rPr>
                <w:rFonts w:eastAsia="Times New Roman" w:cs="Times New Roman"/>
                <w:szCs w:val="24"/>
                <w:lang w:eastAsia="lv-LV"/>
              </w:rPr>
            </w:pPr>
          </w:p>
          <w:p w:rsidR="00BA13F3" w:rsidRPr="007E5618" w:rsidRDefault="00B0782D" w:rsidP="00411565">
            <w:pPr>
              <w:ind w:right="142"/>
              <w:jc w:val="both"/>
              <w:rPr>
                <w:rFonts w:cs="Times New Roman"/>
                <w:szCs w:val="24"/>
              </w:rPr>
            </w:pPr>
            <w:r w:rsidRPr="007E5618">
              <w:rPr>
                <w:rFonts w:cs="Times New Roman"/>
                <w:szCs w:val="24"/>
              </w:rPr>
              <w:t xml:space="preserve"> </w:t>
            </w:r>
          </w:p>
        </w:tc>
        <w:tc>
          <w:tcPr>
            <w:tcW w:w="1446" w:type="dxa"/>
          </w:tcPr>
          <w:p w:rsidR="003B137A" w:rsidRPr="007E5618" w:rsidRDefault="003B137A" w:rsidP="007B5727">
            <w:pPr>
              <w:jc w:val="both"/>
              <w:rPr>
                <w:rFonts w:cs="Times New Roman"/>
                <w:szCs w:val="24"/>
              </w:rPr>
            </w:pPr>
          </w:p>
        </w:tc>
        <w:tc>
          <w:tcPr>
            <w:tcW w:w="1559" w:type="dxa"/>
          </w:tcPr>
          <w:p w:rsidR="003B137A" w:rsidRPr="007E5618" w:rsidRDefault="003B137A" w:rsidP="007B5727">
            <w:pPr>
              <w:jc w:val="both"/>
              <w:rPr>
                <w:rFonts w:cs="Times New Roman"/>
                <w:szCs w:val="24"/>
              </w:rPr>
            </w:pPr>
          </w:p>
        </w:tc>
      </w:tr>
    </w:tbl>
    <w:p w:rsidR="003B137A" w:rsidRPr="007E5618" w:rsidRDefault="003B137A" w:rsidP="003B137A">
      <w:pPr>
        <w:spacing w:before="150" w:after="150"/>
        <w:jc w:val="center"/>
        <w:rPr>
          <w:rFonts w:eastAsia="Times New Roman" w:cs="Times New Roman"/>
          <w:b/>
          <w:bCs/>
          <w:szCs w:val="24"/>
          <w:lang w:eastAsia="lv-LV"/>
        </w:rPr>
      </w:pPr>
      <w:r w:rsidRPr="007E5618">
        <w:rPr>
          <w:rFonts w:eastAsia="Times New Roman" w:cs="Times New Roman"/>
          <w:b/>
          <w:bCs/>
          <w:szCs w:val="24"/>
          <w:lang w:eastAsia="lv-LV"/>
        </w:rPr>
        <w:t>II.  Jautājumi, par kuriem saskaņošanā vienošanās ir panākta</w:t>
      </w:r>
    </w:p>
    <w:p w:rsidR="003B137A" w:rsidRPr="007E5618" w:rsidRDefault="003B137A" w:rsidP="003B137A">
      <w:pPr>
        <w:spacing w:before="150" w:after="150"/>
        <w:jc w:val="center"/>
        <w:rPr>
          <w:rFonts w:eastAsia="Times New Roman" w:cs="Times New Roman"/>
          <w:b/>
          <w:bCs/>
          <w:szCs w:val="24"/>
          <w:lang w:eastAsia="lv-LV"/>
        </w:rPr>
      </w:pPr>
    </w:p>
    <w:tbl>
      <w:tblPr>
        <w:tblStyle w:val="TableGrid"/>
        <w:tblW w:w="0" w:type="auto"/>
        <w:tblLook w:val="04A0" w:firstRow="1" w:lastRow="0" w:firstColumn="1" w:lastColumn="0" w:noHBand="0" w:noVBand="1"/>
      </w:tblPr>
      <w:tblGrid>
        <w:gridCol w:w="675"/>
        <w:gridCol w:w="2694"/>
        <w:gridCol w:w="4961"/>
        <w:gridCol w:w="2977"/>
        <w:gridCol w:w="3402"/>
      </w:tblGrid>
      <w:tr w:rsidR="003B137A" w:rsidRPr="007E5618" w:rsidTr="007B5727">
        <w:tc>
          <w:tcPr>
            <w:tcW w:w="675" w:type="dxa"/>
          </w:tcPr>
          <w:p w:rsidR="003B137A" w:rsidRPr="007E5618" w:rsidRDefault="003B137A" w:rsidP="007B5727">
            <w:pPr>
              <w:spacing w:before="150" w:after="150"/>
              <w:jc w:val="center"/>
              <w:rPr>
                <w:rFonts w:eastAsia="Times New Roman" w:cs="Times New Roman"/>
                <w:b/>
                <w:bCs/>
                <w:szCs w:val="24"/>
                <w:lang w:eastAsia="lv-LV"/>
              </w:rPr>
            </w:pPr>
            <w:r w:rsidRPr="007E5618">
              <w:rPr>
                <w:rFonts w:cs="Times New Roman"/>
                <w:szCs w:val="24"/>
              </w:rPr>
              <w:t>Nr. p.k.</w:t>
            </w:r>
          </w:p>
        </w:tc>
        <w:tc>
          <w:tcPr>
            <w:tcW w:w="2694" w:type="dxa"/>
          </w:tcPr>
          <w:p w:rsidR="003B137A" w:rsidRPr="007E5618" w:rsidRDefault="003B137A" w:rsidP="007B5727">
            <w:pPr>
              <w:spacing w:before="150" w:after="150"/>
              <w:jc w:val="center"/>
              <w:rPr>
                <w:rFonts w:eastAsia="Times New Roman" w:cs="Times New Roman"/>
                <w:b/>
                <w:bCs/>
                <w:szCs w:val="24"/>
                <w:lang w:eastAsia="lv-LV"/>
              </w:rPr>
            </w:pPr>
            <w:r w:rsidRPr="007E5618">
              <w:rPr>
                <w:rFonts w:cs="Times New Roman"/>
                <w:szCs w:val="24"/>
              </w:rPr>
              <w:t>Saskaņošanai nosūtītā projekta redakcija (konkrēta punkta (panta) redakcija)</w:t>
            </w:r>
          </w:p>
        </w:tc>
        <w:tc>
          <w:tcPr>
            <w:tcW w:w="4961" w:type="dxa"/>
          </w:tcPr>
          <w:p w:rsidR="003B137A" w:rsidRPr="007E5618" w:rsidRDefault="003B137A" w:rsidP="007B5727">
            <w:pPr>
              <w:spacing w:before="150" w:after="150"/>
              <w:jc w:val="center"/>
              <w:rPr>
                <w:rFonts w:eastAsia="Times New Roman" w:cs="Times New Roman"/>
                <w:b/>
                <w:bCs/>
                <w:szCs w:val="24"/>
                <w:lang w:eastAsia="lv-LV"/>
              </w:rPr>
            </w:pPr>
            <w:r w:rsidRPr="007E5618">
              <w:rPr>
                <w:rFonts w:cs="Times New Roman"/>
                <w:szCs w:val="24"/>
              </w:rPr>
              <w:t>Atzinumā norādītais ministrijas (citas institūcijas) iebildums, kā arī saskaņošanā papildus izteiktais iebildums par projekta konkrēto punktu (pantu)</w:t>
            </w:r>
          </w:p>
        </w:tc>
        <w:tc>
          <w:tcPr>
            <w:tcW w:w="2977" w:type="dxa"/>
          </w:tcPr>
          <w:p w:rsidR="003B137A" w:rsidRPr="007E5618" w:rsidRDefault="003B137A" w:rsidP="007B5727">
            <w:pPr>
              <w:spacing w:before="150" w:after="150"/>
              <w:jc w:val="center"/>
              <w:rPr>
                <w:rFonts w:eastAsia="Times New Roman" w:cs="Times New Roman"/>
                <w:b/>
                <w:bCs/>
                <w:szCs w:val="24"/>
                <w:lang w:eastAsia="lv-LV"/>
              </w:rPr>
            </w:pPr>
            <w:r w:rsidRPr="007E5618">
              <w:rPr>
                <w:rFonts w:cs="Times New Roman"/>
                <w:szCs w:val="24"/>
              </w:rPr>
              <w:t>Atbildīgās ministrijas norāde par to, ka iebildums ir ņemts vērā, vai informācija par saskaņošanā panākto alternatīvo risinājumu</w:t>
            </w:r>
          </w:p>
        </w:tc>
        <w:tc>
          <w:tcPr>
            <w:tcW w:w="3402" w:type="dxa"/>
          </w:tcPr>
          <w:p w:rsidR="003B137A" w:rsidRPr="007E5618" w:rsidRDefault="003B137A" w:rsidP="007B5727">
            <w:pPr>
              <w:spacing w:before="150" w:after="150"/>
              <w:jc w:val="center"/>
              <w:rPr>
                <w:rFonts w:eastAsia="Times New Roman" w:cs="Times New Roman"/>
                <w:b/>
                <w:bCs/>
                <w:szCs w:val="24"/>
                <w:lang w:eastAsia="lv-LV"/>
              </w:rPr>
            </w:pPr>
            <w:r w:rsidRPr="007E5618">
              <w:rPr>
                <w:rFonts w:cs="Times New Roman"/>
                <w:szCs w:val="24"/>
              </w:rPr>
              <w:t>Projekta attiecīgā punkta (panta) galīgā redakcija</w:t>
            </w:r>
          </w:p>
        </w:tc>
      </w:tr>
      <w:tr w:rsidR="003B137A" w:rsidRPr="007E5618" w:rsidTr="007B5727">
        <w:tc>
          <w:tcPr>
            <w:tcW w:w="675" w:type="dxa"/>
          </w:tcPr>
          <w:p w:rsidR="003B137A" w:rsidRPr="007E5618" w:rsidRDefault="003B137A" w:rsidP="007B5727">
            <w:pPr>
              <w:spacing w:before="150" w:after="150"/>
              <w:jc w:val="center"/>
              <w:rPr>
                <w:rFonts w:eastAsia="Times New Roman" w:cs="Times New Roman"/>
                <w:b/>
                <w:bCs/>
                <w:szCs w:val="24"/>
                <w:lang w:eastAsia="lv-LV"/>
              </w:rPr>
            </w:pPr>
          </w:p>
        </w:tc>
        <w:tc>
          <w:tcPr>
            <w:tcW w:w="2694" w:type="dxa"/>
          </w:tcPr>
          <w:p w:rsidR="003B137A" w:rsidRPr="007E5618" w:rsidRDefault="003B137A" w:rsidP="007B5727">
            <w:pPr>
              <w:spacing w:before="150" w:after="150"/>
              <w:jc w:val="center"/>
              <w:rPr>
                <w:rFonts w:eastAsia="Times New Roman" w:cs="Times New Roman"/>
                <w:bCs/>
                <w:szCs w:val="24"/>
                <w:lang w:eastAsia="lv-LV"/>
              </w:rPr>
            </w:pPr>
            <w:r w:rsidRPr="007E5618">
              <w:rPr>
                <w:rFonts w:eastAsia="Times New Roman" w:cs="Times New Roman"/>
                <w:bCs/>
                <w:szCs w:val="24"/>
                <w:lang w:eastAsia="lv-LV"/>
              </w:rPr>
              <w:t>1</w:t>
            </w:r>
          </w:p>
        </w:tc>
        <w:tc>
          <w:tcPr>
            <w:tcW w:w="4961" w:type="dxa"/>
          </w:tcPr>
          <w:p w:rsidR="003B137A" w:rsidRPr="007E5618" w:rsidRDefault="003B137A" w:rsidP="007B5727">
            <w:pPr>
              <w:spacing w:before="150" w:after="150"/>
              <w:jc w:val="center"/>
              <w:rPr>
                <w:rFonts w:eastAsia="Times New Roman" w:cs="Times New Roman"/>
                <w:bCs/>
                <w:szCs w:val="24"/>
                <w:lang w:eastAsia="lv-LV"/>
              </w:rPr>
            </w:pPr>
            <w:r w:rsidRPr="007E5618">
              <w:rPr>
                <w:rFonts w:eastAsia="Times New Roman" w:cs="Times New Roman"/>
                <w:bCs/>
                <w:szCs w:val="24"/>
                <w:lang w:eastAsia="lv-LV"/>
              </w:rPr>
              <w:t>2</w:t>
            </w:r>
          </w:p>
        </w:tc>
        <w:tc>
          <w:tcPr>
            <w:tcW w:w="2977" w:type="dxa"/>
          </w:tcPr>
          <w:p w:rsidR="003B137A" w:rsidRPr="007E5618" w:rsidRDefault="003B137A" w:rsidP="007B5727">
            <w:pPr>
              <w:spacing w:before="150" w:after="150"/>
              <w:jc w:val="center"/>
              <w:rPr>
                <w:rFonts w:eastAsia="Times New Roman" w:cs="Times New Roman"/>
                <w:bCs/>
                <w:szCs w:val="24"/>
                <w:lang w:eastAsia="lv-LV"/>
              </w:rPr>
            </w:pPr>
            <w:r w:rsidRPr="007E5618">
              <w:rPr>
                <w:rFonts w:eastAsia="Times New Roman" w:cs="Times New Roman"/>
                <w:bCs/>
                <w:szCs w:val="24"/>
                <w:lang w:eastAsia="lv-LV"/>
              </w:rPr>
              <w:t>3</w:t>
            </w:r>
          </w:p>
        </w:tc>
        <w:tc>
          <w:tcPr>
            <w:tcW w:w="3402" w:type="dxa"/>
          </w:tcPr>
          <w:p w:rsidR="003B137A" w:rsidRPr="007E5618" w:rsidRDefault="003B137A" w:rsidP="007B5727">
            <w:pPr>
              <w:spacing w:before="150" w:after="150"/>
              <w:jc w:val="center"/>
              <w:rPr>
                <w:rFonts w:eastAsia="Times New Roman" w:cs="Times New Roman"/>
                <w:bCs/>
                <w:szCs w:val="24"/>
                <w:lang w:eastAsia="lv-LV"/>
              </w:rPr>
            </w:pPr>
            <w:r w:rsidRPr="007E5618">
              <w:rPr>
                <w:rFonts w:eastAsia="Times New Roman" w:cs="Times New Roman"/>
                <w:bCs/>
                <w:szCs w:val="24"/>
                <w:lang w:eastAsia="lv-LV"/>
              </w:rPr>
              <w:t>4</w:t>
            </w:r>
          </w:p>
        </w:tc>
      </w:tr>
      <w:tr w:rsidR="006F6D48" w:rsidRPr="007E5618" w:rsidTr="007B5727">
        <w:tc>
          <w:tcPr>
            <w:tcW w:w="675" w:type="dxa"/>
          </w:tcPr>
          <w:p w:rsidR="006F6D48" w:rsidRPr="007E5618" w:rsidRDefault="006F6D48" w:rsidP="007B5727">
            <w:pPr>
              <w:spacing w:before="150" w:after="150"/>
              <w:jc w:val="center"/>
              <w:rPr>
                <w:rFonts w:eastAsia="Times New Roman" w:cs="Times New Roman"/>
                <w:bCs/>
                <w:szCs w:val="24"/>
                <w:lang w:eastAsia="lv-LV"/>
              </w:rPr>
            </w:pPr>
            <w:r w:rsidRPr="007E5618">
              <w:rPr>
                <w:rFonts w:eastAsia="Times New Roman" w:cs="Times New Roman"/>
                <w:bCs/>
                <w:szCs w:val="24"/>
                <w:lang w:eastAsia="lv-LV"/>
              </w:rPr>
              <w:t>1.</w:t>
            </w:r>
          </w:p>
        </w:tc>
        <w:tc>
          <w:tcPr>
            <w:tcW w:w="2694" w:type="dxa"/>
          </w:tcPr>
          <w:p w:rsidR="006F6D48" w:rsidRPr="007E5618" w:rsidRDefault="006F6D48" w:rsidP="00C508C0">
            <w:pPr>
              <w:spacing w:before="150" w:after="150"/>
              <w:jc w:val="both"/>
              <w:rPr>
                <w:rFonts w:eastAsia="Times New Roman" w:cs="Times New Roman"/>
                <w:bCs/>
                <w:szCs w:val="24"/>
                <w:lang w:eastAsia="lv-LV"/>
              </w:rPr>
            </w:pPr>
            <w:bookmarkStart w:id="0" w:name="_GoBack"/>
            <w:bookmarkEnd w:id="0"/>
          </w:p>
        </w:tc>
        <w:tc>
          <w:tcPr>
            <w:tcW w:w="4961" w:type="dxa"/>
          </w:tcPr>
          <w:p w:rsidR="006F6D48" w:rsidRPr="007E5618" w:rsidRDefault="00747FB6" w:rsidP="006F6D48">
            <w:pPr>
              <w:jc w:val="center"/>
              <w:rPr>
                <w:rFonts w:cs="Times New Roman"/>
                <w:b/>
                <w:szCs w:val="24"/>
              </w:rPr>
            </w:pPr>
            <w:r w:rsidRPr="007E5618">
              <w:rPr>
                <w:rFonts w:cs="Times New Roman"/>
                <w:b/>
                <w:szCs w:val="24"/>
              </w:rPr>
              <w:t>Tieslietu ministrija</w:t>
            </w:r>
          </w:p>
          <w:p w:rsidR="007E5618" w:rsidRPr="007E5618" w:rsidRDefault="007E5618" w:rsidP="007E5618">
            <w:pPr>
              <w:ind w:firstLine="567"/>
              <w:jc w:val="both"/>
              <w:rPr>
                <w:rFonts w:cs="Times New Roman"/>
                <w:szCs w:val="24"/>
              </w:rPr>
            </w:pPr>
            <w:r w:rsidRPr="007E5618">
              <w:rPr>
                <w:rFonts w:cs="Times New Roman"/>
                <w:szCs w:val="24"/>
              </w:rPr>
              <w:t xml:space="preserve">Norādām, ka saistībā ar informatīvo ziņojumu un Latvijas Republikas valdības un Amerikas Savienoto Valstu valdības līguma par </w:t>
            </w:r>
            <w:r w:rsidRPr="007E5618">
              <w:rPr>
                <w:rFonts w:cs="Times New Roman"/>
                <w:szCs w:val="24"/>
              </w:rPr>
              <w:lastRenderedPageBreak/>
              <w:t>sadarbību aizsardzības jomā (turpmāk – Līgums) A pielikuma grozījumu apstiprināšanas juridisko formu norisinājās diskusijas starp Tieslietu ministriju, Ārlietu ministriju, Aizsardzības ministriju un Saeimas Juridisko biroju par juridiski korektu veidu, kā apstiprināt Līguma A pielikuma grozījumus. Diskusiju rezultātā tika panākta vienošanas, ka šajā gadījumā nav nepieciešams ārējā normatīvā akta apstiprinājums (likums vai Ministra kabineta noteikumi), jo pārstāvju savstarpēja vienošanās par Līguma A pielikuma grozījumiem, kas nav apstiprināma ar ārējo normatīvo aktu, izriet no Līguma II panta 7. punkta un XXX panta 5. punkta panta interpretācijas. Lai nerastos pārpratumi par šādas juridiskās formas izvēli, lūdzam papildināt informatīvo ziņojumu par minēto diskusiju saturu un rezultātiem.</w:t>
            </w:r>
          </w:p>
          <w:p w:rsidR="007E5618" w:rsidRPr="007E5618" w:rsidRDefault="007E5618" w:rsidP="007E5618">
            <w:pPr>
              <w:ind w:firstLine="567"/>
              <w:jc w:val="both"/>
              <w:rPr>
                <w:rFonts w:cs="Times New Roman"/>
                <w:szCs w:val="24"/>
              </w:rPr>
            </w:pPr>
            <w:r w:rsidRPr="007E5618">
              <w:rPr>
                <w:rFonts w:cs="Times New Roman"/>
                <w:szCs w:val="24"/>
              </w:rPr>
              <w:t>Vienlaikus, ņemot vērā, ka Līguma normu korekta interpretācija var notikt tikai, ja abas Līguma puses vienādi interpretē Līgumu, lūdzam saņemt Amerikas Savienoto Valstu puses akceptu šādai Līguma interpretācijai, to attiecīgi atspoguļojot informatīvajā ziņojumā.</w:t>
            </w:r>
          </w:p>
          <w:p w:rsidR="006F6D48" w:rsidRPr="007E5618" w:rsidRDefault="006F6D48" w:rsidP="006F6D48">
            <w:pPr>
              <w:spacing w:before="150" w:after="150"/>
              <w:jc w:val="both"/>
              <w:rPr>
                <w:rFonts w:eastAsia="Times New Roman" w:cs="Times New Roman"/>
                <w:bCs/>
                <w:szCs w:val="24"/>
                <w:lang w:eastAsia="lv-LV"/>
              </w:rPr>
            </w:pPr>
          </w:p>
        </w:tc>
        <w:tc>
          <w:tcPr>
            <w:tcW w:w="2977" w:type="dxa"/>
          </w:tcPr>
          <w:p w:rsidR="00747FB6" w:rsidRDefault="007F597F" w:rsidP="007F597F">
            <w:pPr>
              <w:spacing w:before="150" w:after="150"/>
              <w:jc w:val="both"/>
              <w:rPr>
                <w:rFonts w:eastAsia="Times New Roman" w:cs="Times New Roman"/>
                <w:b/>
                <w:bCs/>
                <w:szCs w:val="24"/>
                <w:lang w:eastAsia="lv-LV"/>
              </w:rPr>
            </w:pPr>
            <w:r w:rsidRPr="007E5618">
              <w:rPr>
                <w:rFonts w:eastAsia="Times New Roman" w:cs="Times New Roman"/>
                <w:bCs/>
                <w:szCs w:val="24"/>
                <w:lang w:eastAsia="lv-LV"/>
              </w:rPr>
              <w:lastRenderedPageBreak/>
              <w:t xml:space="preserve"> </w:t>
            </w:r>
            <w:r w:rsidR="008F363F" w:rsidRPr="008F363F">
              <w:rPr>
                <w:rFonts w:eastAsia="Times New Roman" w:cs="Times New Roman"/>
                <w:b/>
                <w:bCs/>
                <w:szCs w:val="24"/>
                <w:lang w:eastAsia="lv-LV"/>
              </w:rPr>
              <w:t>Ņemts vērā</w:t>
            </w:r>
          </w:p>
          <w:p w:rsidR="00FF502B" w:rsidRDefault="00FF502B" w:rsidP="007F597F">
            <w:pPr>
              <w:spacing w:before="150" w:after="150"/>
              <w:jc w:val="both"/>
              <w:rPr>
                <w:rFonts w:eastAsia="Times New Roman" w:cs="Times New Roman"/>
                <w:b/>
                <w:bCs/>
                <w:szCs w:val="24"/>
                <w:lang w:eastAsia="lv-LV"/>
              </w:rPr>
            </w:pPr>
          </w:p>
          <w:p w:rsidR="00FF502B" w:rsidRDefault="00FF502B" w:rsidP="007F597F">
            <w:pPr>
              <w:spacing w:before="150" w:after="150"/>
              <w:jc w:val="both"/>
              <w:rPr>
                <w:rFonts w:eastAsia="Times New Roman" w:cs="Times New Roman"/>
                <w:b/>
                <w:bCs/>
                <w:szCs w:val="24"/>
                <w:lang w:eastAsia="lv-LV"/>
              </w:rPr>
            </w:pPr>
          </w:p>
          <w:p w:rsidR="00FF502B" w:rsidRDefault="00FF502B" w:rsidP="007F597F">
            <w:pPr>
              <w:spacing w:before="150" w:after="150"/>
              <w:jc w:val="both"/>
              <w:rPr>
                <w:rFonts w:eastAsia="Times New Roman" w:cs="Times New Roman"/>
                <w:b/>
                <w:bCs/>
                <w:szCs w:val="24"/>
                <w:lang w:eastAsia="lv-LV"/>
              </w:rPr>
            </w:pPr>
          </w:p>
          <w:p w:rsidR="00FF502B" w:rsidRDefault="00FF502B" w:rsidP="007F597F">
            <w:pPr>
              <w:spacing w:before="150" w:after="150"/>
              <w:jc w:val="both"/>
              <w:rPr>
                <w:rFonts w:eastAsia="Times New Roman" w:cs="Times New Roman"/>
                <w:b/>
                <w:bCs/>
                <w:szCs w:val="24"/>
                <w:lang w:eastAsia="lv-LV"/>
              </w:rPr>
            </w:pPr>
          </w:p>
          <w:p w:rsidR="00FF502B" w:rsidRDefault="00FF502B" w:rsidP="007F597F">
            <w:pPr>
              <w:spacing w:before="150" w:after="150"/>
              <w:jc w:val="both"/>
              <w:rPr>
                <w:rFonts w:eastAsia="Times New Roman" w:cs="Times New Roman"/>
                <w:b/>
                <w:bCs/>
                <w:szCs w:val="24"/>
                <w:lang w:eastAsia="lv-LV"/>
              </w:rPr>
            </w:pPr>
          </w:p>
          <w:p w:rsidR="00FF502B" w:rsidRDefault="00FF502B" w:rsidP="007F597F">
            <w:pPr>
              <w:spacing w:before="150" w:after="150"/>
              <w:jc w:val="both"/>
              <w:rPr>
                <w:rFonts w:eastAsia="Times New Roman" w:cs="Times New Roman"/>
                <w:b/>
                <w:bCs/>
                <w:szCs w:val="24"/>
                <w:lang w:eastAsia="lv-LV"/>
              </w:rPr>
            </w:pPr>
          </w:p>
          <w:p w:rsidR="00FF502B" w:rsidRDefault="00FF502B" w:rsidP="007F597F">
            <w:pPr>
              <w:spacing w:before="150" w:after="150"/>
              <w:jc w:val="both"/>
              <w:rPr>
                <w:rFonts w:eastAsia="Times New Roman" w:cs="Times New Roman"/>
                <w:b/>
                <w:bCs/>
                <w:szCs w:val="24"/>
                <w:lang w:eastAsia="lv-LV"/>
              </w:rPr>
            </w:pPr>
          </w:p>
          <w:p w:rsidR="00FF502B" w:rsidRDefault="00FF502B" w:rsidP="007F597F">
            <w:pPr>
              <w:spacing w:before="150" w:after="150"/>
              <w:jc w:val="both"/>
              <w:rPr>
                <w:rFonts w:eastAsia="Times New Roman" w:cs="Times New Roman"/>
                <w:b/>
                <w:bCs/>
                <w:szCs w:val="24"/>
                <w:lang w:eastAsia="lv-LV"/>
              </w:rPr>
            </w:pPr>
          </w:p>
          <w:p w:rsidR="00FF502B" w:rsidRDefault="00FF502B" w:rsidP="007F597F">
            <w:pPr>
              <w:spacing w:before="150" w:after="150"/>
              <w:jc w:val="both"/>
              <w:rPr>
                <w:rFonts w:eastAsia="Times New Roman" w:cs="Times New Roman"/>
                <w:b/>
                <w:bCs/>
                <w:szCs w:val="24"/>
                <w:lang w:eastAsia="lv-LV"/>
              </w:rPr>
            </w:pPr>
          </w:p>
          <w:p w:rsidR="00FF502B" w:rsidRDefault="00FF502B" w:rsidP="007F597F">
            <w:pPr>
              <w:spacing w:before="150" w:after="150"/>
              <w:jc w:val="both"/>
              <w:rPr>
                <w:rFonts w:eastAsia="Times New Roman" w:cs="Times New Roman"/>
                <w:b/>
                <w:bCs/>
                <w:szCs w:val="24"/>
                <w:lang w:eastAsia="lv-LV"/>
              </w:rPr>
            </w:pPr>
          </w:p>
          <w:p w:rsidR="00FF502B" w:rsidRDefault="00FF502B" w:rsidP="007F597F">
            <w:pPr>
              <w:spacing w:before="150" w:after="150"/>
              <w:jc w:val="both"/>
              <w:rPr>
                <w:rFonts w:eastAsia="Times New Roman" w:cs="Times New Roman"/>
                <w:b/>
                <w:bCs/>
                <w:szCs w:val="24"/>
                <w:lang w:eastAsia="lv-LV"/>
              </w:rPr>
            </w:pPr>
          </w:p>
          <w:p w:rsidR="00FF502B" w:rsidRDefault="00FF502B" w:rsidP="007F597F">
            <w:pPr>
              <w:spacing w:before="150" w:after="150"/>
              <w:jc w:val="both"/>
              <w:rPr>
                <w:rFonts w:eastAsia="Times New Roman" w:cs="Times New Roman"/>
                <w:b/>
                <w:bCs/>
                <w:szCs w:val="24"/>
                <w:lang w:eastAsia="lv-LV"/>
              </w:rPr>
            </w:pPr>
          </w:p>
          <w:p w:rsidR="00FF502B" w:rsidRDefault="00FF502B" w:rsidP="007F597F">
            <w:pPr>
              <w:spacing w:before="150" w:after="150"/>
              <w:jc w:val="both"/>
              <w:rPr>
                <w:rFonts w:eastAsia="Times New Roman" w:cs="Times New Roman"/>
                <w:b/>
                <w:bCs/>
                <w:szCs w:val="24"/>
                <w:lang w:eastAsia="lv-LV"/>
              </w:rPr>
            </w:pPr>
          </w:p>
          <w:p w:rsidR="00FF502B" w:rsidRPr="008F363F" w:rsidRDefault="00FF502B" w:rsidP="007F597F">
            <w:pPr>
              <w:spacing w:before="150" w:after="150"/>
              <w:jc w:val="both"/>
              <w:rPr>
                <w:rFonts w:eastAsia="Times New Roman" w:cs="Times New Roman"/>
                <w:b/>
                <w:bCs/>
                <w:szCs w:val="24"/>
                <w:lang w:eastAsia="lv-LV"/>
              </w:rPr>
            </w:pPr>
            <w:r>
              <w:rPr>
                <w:rFonts w:eastAsia="Times New Roman" w:cs="Times New Roman"/>
                <w:b/>
                <w:bCs/>
                <w:szCs w:val="24"/>
                <w:lang w:eastAsia="lv-LV"/>
              </w:rPr>
              <w:t>Ņemts vērā</w:t>
            </w:r>
          </w:p>
        </w:tc>
        <w:tc>
          <w:tcPr>
            <w:tcW w:w="3402" w:type="dxa"/>
          </w:tcPr>
          <w:p w:rsidR="006F6D48" w:rsidRDefault="008F363F" w:rsidP="008F363F">
            <w:pPr>
              <w:spacing w:before="150" w:after="150"/>
              <w:jc w:val="both"/>
              <w:rPr>
                <w:rFonts w:eastAsia="Times New Roman" w:cs="Times New Roman"/>
                <w:bCs/>
                <w:szCs w:val="24"/>
                <w:lang w:eastAsia="lv-LV"/>
              </w:rPr>
            </w:pPr>
            <w:r>
              <w:rPr>
                <w:rFonts w:eastAsia="Times New Roman" w:cs="Times New Roman"/>
                <w:bCs/>
                <w:szCs w:val="24"/>
                <w:lang w:eastAsia="lv-LV"/>
              </w:rPr>
              <w:lastRenderedPageBreak/>
              <w:t>Skatīt informatīvo ziņojumu.</w:t>
            </w:r>
          </w:p>
          <w:p w:rsidR="00EB58FA" w:rsidRDefault="00EB58FA" w:rsidP="008F363F">
            <w:pPr>
              <w:spacing w:before="150" w:after="150"/>
              <w:jc w:val="both"/>
              <w:rPr>
                <w:rFonts w:eastAsia="Times New Roman" w:cs="Times New Roman"/>
                <w:bCs/>
                <w:szCs w:val="24"/>
                <w:lang w:eastAsia="lv-LV"/>
              </w:rPr>
            </w:pPr>
          </w:p>
          <w:p w:rsidR="00EB58FA" w:rsidRDefault="00EB58FA" w:rsidP="008F363F">
            <w:pPr>
              <w:spacing w:before="150" w:after="150"/>
              <w:jc w:val="both"/>
              <w:rPr>
                <w:rFonts w:eastAsia="Times New Roman" w:cs="Times New Roman"/>
                <w:bCs/>
                <w:szCs w:val="24"/>
                <w:lang w:eastAsia="lv-LV"/>
              </w:rPr>
            </w:pPr>
          </w:p>
          <w:p w:rsidR="00EB58FA" w:rsidRDefault="00EB58FA" w:rsidP="008F363F">
            <w:pPr>
              <w:spacing w:before="150" w:after="150"/>
              <w:jc w:val="both"/>
              <w:rPr>
                <w:rFonts w:eastAsia="Times New Roman" w:cs="Times New Roman"/>
                <w:bCs/>
                <w:szCs w:val="24"/>
                <w:lang w:eastAsia="lv-LV"/>
              </w:rPr>
            </w:pPr>
          </w:p>
          <w:p w:rsidR="00EB58FA" w:rsidRDefault="00EB58FA" w:rsidP="008F363F">
            <w:pPr>
              <w:spacing w:before="150" w:after="150"/>
              <w:jc w:val="both"/>
              <w:rPr>
                <w:rFonts w:eastAsia="Times New Roman" w:cs="Times New Roman"/>
                <w:bCs/>
                <w:szCs w:val="24"/>
                <w:lang w:eastAsia="lv-LV"/>
              </w:rPr>
            </w:pPr>
          </w:p>
          <w:p w:rsidR="00EB58FA" w:rsidRDefault="00EB58FA" w:rsidP="008F363F">
            <w:pPr>
              <w:spacing w:before="150" w:after="150"/>
              <w:jc w:val="both"/>
              <w:rPr>
                <w:rFonts w:eastAsia="Times New Roman" w:cs="Times New Roman"/>
                <w:bCs/>
                <w:szCs w:val="24"/>
                <w:lang w:eastAsia="lv-LV"/>
              </w:rPr>
            </w:pPr>
          </w:p>
          <w:p w:rsidR="00EB58FA" w:rsidRDefault="00EB58FA" w:rsidP="008F363F">
            <w:pPr>
              <w:spacing w:before="150" w:after="150"/>
              <w:jc w:val="both"/>
              <w:rPr>
                <w:rFonts w:eastAsia="Times New Roman" w:cs="Times New Roman"/>
                <w:bCs/>
                <w:szCs w:val="24"/>
                <w:lang w:eastAsia="lv-LV"/>
              </w:rPr>
            </w:pPr>
          </w:p>
          <w:p w:rsidR="00EB58FA" w:rsidRDefault="00EB58FA" w:rsidP="008F363F">
            <w:pPr>
              <w:spacing w:before="150" w:after="150"/>
              <w:jc w:val="both"/>
              <w:rPr>
                <w:rFonts w:eastAsia="Times New Roman" w:cs="Times New Roman"/>
                <w:bCs/>
                <w:szCs w:val="24"/>
                <w:lang w:eastAsia="lv-LV"/>
              </w:rPr>
            </w:pPr>
          </w:p>
          <w:p w:rsidR="00EB58FA" w:rsidRDefault="00EB58FA" w:rsidP="008F363F">
            <w:pPr>
              <w:spacing w:before="150" w:after="150"/>
              <w:jc w:val="both"/>
              <w:rPr>
                <w:rFonts w:eastAsia="Times New Roman" w:cs="Times New Roman"/>
                <w:bCs/>
                <w:szCs w:val="24"/>
                <w:lang w:eastAsia="lv-LV"/>
              </w:rPr>
            </w:pPr>
          </w:p>
          <w:p w:rsidR="00EB58FA" w:rsidRDefault="00EB58FA" w:rsidP="008F363F">
            <w:pPr>
              <w:spacing w:before="150" w:after="150"/>
              <w:jc w:val="both"/>
              <w:rPr>
                <w:rFonts w:eastAsia="Times New Roman" w:cs="Times New Roman"/>
                <w:bCs/>
                <w:szCs w:val="24"/>
                <w:lang w:eastAsia="lv-LV"/>
              </w:rPr>
            </w:pPr>
          </w:p>
          <w:p w:rsidR="00EB58FA" w:rsidRDefault="00EB58FA" w:rsidP="008F363F">
            <w:pPr>
              <w:spacing w:before="150" w:after="150"/>
              <w:jc w:val="both"/>
              <w:rPr>
                <w:rFonts w:eastAsia="Times New Roman" w:cs="Times New Roman"/>
                <w:bCs/>
                <w:szCs w:val="24"/>
                <w:lang w:eastAsia="lv-LV"/>
              </w:rPr>
            </w:pPr>
          </w:p>
          <w:p w:rsidR="00EB58FA" w:rsidRDefault="00EB58FA" w:rsidP="008F363F">
            <w:pPr>
              <w:spacing w:before="150" w:after="150"/>
              <w:jc w:val="both"/>
              <w:rPr>
                <w:rFonts w:eastAsia="Times New Roman" w:cs="Times New Roman"/>
                <w:bCs/>
                <w:szCs w:val="24"/>
                <w:lang w:eastAsia="lv-LV"/>
              </w:rPr>
            </w:pPr>
          </w:p>
          <w:p w:rsidR="00EB58FA" w:rsidRDefault="00EB58FA" w:rsidP="008F363F">
            <w:pPr>
              <w:spacing w:before="150" w:after="150"/>
              <w:jc w:val="both"/>
              <w:rPr>
                <w:rFonts w:eastAsia="Times New Roman" w:cs="Times New Roman"/>
                <w:bCs/>
                <w:szCs w:val="24"/>
                <w:lang w:eastAsia="lv-LV"/>
              </w:rPr>
            </w:pPr>
          </w:p>
          <w:p w:rsidR="00EB58FA" w:rsidRDefault="00EB58FA" w:rsidP="008F363F">
            <w:pPr>
              <w:spacing w:before="150" w:after="150"/>
              <w:jc w:val="both"/>
              <w:rPr>
                <w:rFonts w:eastAsia="Times New Roman" w:cs="Times New Roman"/>
                <w:bCs/>
                <w:szCs w:val="24"/>
                <w:lang w:eastAsia="lv-LV"/>
              </w:rPr>
            </w:pPr>
          </w:p>
          <w:p w:rsidR="00EB58FA" w:rsidRPr="007E5618" w:rsidRDefault="00EB58FA" w:rsidP="00BD39A0">
            <w:pPr>
              <w:spacing w:before="150" w:after="150"/>
              <w:jc w:val="both"/>
              <w:rPr>
                <w:rFonts w:eastAsia="Times New Roman" w:cs="Times New Roman"/>
                <w:bCs/>
                <w:szCs w:val="24"/>
                <w:lang w:eastAsia="lv-LV"/>
              </w:rPr>
            </w:pPr>
            <w:r>
              <w:rPr>
                <w:rFonts w:eastAsia="Times New Roman" w:cs="Times New Roman"/>
                <w:bCs/>
                <w:szCs w:val="24"/>
                <w:lang w:eastAsia="lv-LV"/>
              </w:rPr>
              <w:t>Līguma izstrādes sarunu laikā ASV puse vairākkārt uzsvēra, ka  līgumā nepieciešama un ļoti atbalstāma ir nosacījuma iekļaušana, kas nosaka līguma grozījumu izdarīšanu vēstuļu apmaiņas ceļā. ASV puse apliecināja, ka šāda prakse ir ASV puses akceptēta. Jāatzīmē</w:t>
            </w:r>
            <w:r w:rsidR="00BD39A0">
              <w:rPr>
                <w:rFonts w:eastAsia="Times New Roman" w:cs="Times New Roman"/>
                <w:bCs/>
                <w:szCs w:val="24"/>
                <w:lang w:eastAsia="lv-LV"/>
              </w:rPr>
              <w:t xml:space="preserve">, ka nav procedūru, kā šis akcepts jebkādā veidā būtu saņemams dokumentālā formā, kā arī </w:t>
            </w:r>
            <w:r>
              <w:rPr>
                <w:rFonts w:eastAsia="Times New Roman" w:cs="Times New Roman"/>
                <w:bCs/>
                <w:szCs w:val="24"/>
                <w:lang w:eastAsia="lv-LV"/>
              </w:rPr>
              <w:t>nav pamata apšaubīt ASV p</w:t>
            </w:r>
            <w:r w:rsidR="00BD39A0">
              <w:rPr>
                <w:rFonts w:eastAsia="Times New Roman" w:cs="Times New Roman"/>
                <w:bCs/>
                <w:szCs w:val="24"/>
                <w:lang w:eastAsia="lv-LV"/>
              </w:rPr>
              <w:t>uses apgalvojumu par identisku interpretāciju</w:t>
            </w:r>
            <w:r>
              <w:rPr>
                <w:rFonts w:eastAsia="Times New Roman" w:cs="Times New Roman"/>
                <w:bCs/>
                <w:szCs w:val="24"/>
                <w:lang w:eastAsia="lv-LV"/>
              </w:rPr>
              <w:t xml:space="preserve"> </w:t>
            </w:r>
          </w:p>
        </w:tc>
      </w:tr>
      <w:tr w:rsidR="003B137A" w:rsidRPr="007E5618" w:rsidTr="007B5727">
        <w:tc>
          <w:tcPr>
            <w:tcW w:w="675" w:type="dxa"/>
          </w:tcPr>
          <w:p w:rsidR="003B137A" w:rsidRPr="007E5618" w:rsidRDefault="003B137A" w:rsidP="007B5727">
            <w:pPr>
              <w:spacing w:before="150" w:after="150"/>
              <w:jc w:val="center"/>
              <w:rPr>
                <w:rFonts w:eastAsia="Times New Roman" w:cs="Times New Roman"/>
                <w:bCs/>
                <w:szCs w:val="24"/>
                <w:lang w:eastAsia="lv-LV"/>
              </w:rPr>
            </w:pPr>
            <w:r w:rsidRPr="007E5618">
              <w:rPr>
                <w:rFonts w:eastAsia="Times New Roman" w:cs="Times New Roman"/>
                <w:bCs/>
                <w:szCs w:val="24"/>
                <w:lang w:eastAsia="lv-LV"/>
              </w:rPr>
              <w:lastRenderedPageBreak/>
              <w:t>1.</w:t>
            </w:r>
          </w:p>
        </w:tc>
        <w:tc>
          <w:tcPr>
            <w:tcW w:w="2694" w:type="dxa"/>
          </w:tcPr>
          <w:p w:rsidR="003B137A" w:rsidRPr="007E5618" w:rsidRDefault="00C657B6" w:rsidP="006F52AB">
            <w:pPr>
              <w:ind w:left="33"/>
              <w:jc w:val="both"/>
              <w:rPr>
                <w:rFonts w:eastAsia="Times New Roman" w:cs="Times New Roman"/>
                <w:szCs w:val="24"/>
                <w:lang w:eastAsia="lv-LV"/>
              </w:rPr>
            </w:pPr>
            <w:r w:rsidRPr="007E5618">
              <w:rPr>
                <w:rFonts w:eastAsia="Times New Roman" w:cs="Times New Roman"/>
                <w:szCs w:val="24"/>
                <w:lang w:eastAsia="lv-LV"/>
              </w:rPr>
              <w:t>Informatīvais ziņojums ,</w:t>
            </w:r>
          </w:p>
          <w:p w:rsidR="00C657B6" w:rsidRPr="007E5618" w:rsidRDefault="00C657B6" w:rsidP="006F52AB">
            <w:pPr>
              <w:ind w:left="33"/>
              <w:jc w:val="both"/>
              <w:rPr>
                <w:rFonts w:eastAsia="Times New Roman" w:cs="Times New Roman"/>
                <w:szCs w:val="24"/>
                <w:lang w:eastAsia="lv-LV"/>
              </w:rPr>
            </w:pPr>
            <w:r w:rsidRPr="007E5618">
              <w:rPr>
                <w:rFonts w:eastAsia="Times New Roman" w:cs="Times New Roman"/>
                <w:szCs w:val="24"/>
                <w:lang w:eastAsia="lv-LV"/>
              </w:rPr>
              <w:t>protokollēmums</w:t>
            </w:r>
          </w:p>
        </w:tc>
        <w:tc>
          <w:tcPr>
            <w:tcW w:w="4961" w:type="dxa"/>
          </w:tcPr>
          <w:p w:rsidR="003B137A" w:rsidRPr="007E5618" w:rsidRDefault="00747FB6" w:rsidP="007B5727">
            <w:pPr>
              <w:jc w:val="center"/>
              <w:rPr>
                <w:rFonts w:eastAsia="Times New Roman" w:cs="Times New Roman"/>
                <w:b/>
                <w:szCs w:val="24"/>
                <w:lang w:eastAsia="lv-LV"/>
              </w:rPr>
            </w:pPr>
            <w:r w:rsidRPr="007E5618">
              <w:rPr>
                <w:rFonts w:eastAsia="Times New Roman" w:cs="Times New Roman"/>
                <w:b/>
                <w:szCs w:val="24"/>
                <w:lang w:eastAsia="lv-LV"/>
              </w:rPr>
              <w:t>Ārlietu</w:t>
            </w:r>
            <w:r w:rsidR="003B137A" w:rsidRPr="007E5618">
              <w:rPr>
                <w:rFonts w:eastAsia="Times New Roman" w:cs="Times New Roman"/>
                <w:b/>
                <w:szCs w:val="24"/>
                <w:lang w:eastAsia="lv-LV"/>
              </w:rPr>
              <w:t xml:space="preserve"> ministrija</w:t>
            </w:r>
          </w:p>
          <w:p w:rsidR="00C657B6" w:rsidRPr="007E5618" w:rsidRDefault="00C657B6" w:rsidP="00C657B6">
            <w:pPr>
              <w:ind w:firstLine="720"/>
              <w:jc w:val="both"/>
              <w:rPr>
                <w:rFonts w:cs="Times New Roman"/>
                <w:color w:val="000000"/>
                <w:szCs w:val="24"/>
              </w:rPr>
            </w:pPr>
            <w:r w:rsidRPr="007E5618">
              <w:rPr>
                <w:rFonts w:cs="Times New Roman"/>
                <w:color w:val="000000"/>
                <w:szCs w:val="24"/>
              </w:rPr>
              <w:t xml:space="preserve">Saskaņā ar Ministru kabineta 2009. gada 7. aprīļa noteikumu Nr. 300 “Ministru kabineta kārtības rullis” 56. punktu pēc starptautiskā līguma parakstīšanas tā oriģinālu un tulkojumu (ja līgums nav parakstīts latviešu valodā) iesniedz glabāšanai Ārlietu ministrijā, elektroniski nosūtot arī līguma un tā tulkojuma tekstu. Ņemot vērā minēto, Informatīvais ziņojums papildināms ar norādi, ka Ārlietu ministrijā ir iesniedzama Pārstāvju vienošanās par Pielikuma A grozījumu, kas noslēgta vēstuļu apmaiņas ceļā, un tās tulkojums latviešu valodā. Kā arī atbilstoši papildināms protokollēmuma 2. punkts, norādot, ka Pārstāvju vienošanās par Pielikuma A grozījumu kā Līguma neatņemama sastāvdaļa kopā ar tās tulkojumu latviešu valodā iesniedzama Ārlietu ministrijai glabāšanai un publicēšanai oficiālajā izdevumā "Latvijas Vēstnesis". </w:t>
            </w:r>
          </w:p>
          <w:p w:rsidR="003B137A" w:rsidRPr="007E5618" w:rsidRDefault="003B137A" w:rsidP="00C657B6">
            <w:pPr>
              <w:ind w:firstLine="720"/>
              <w:jc w:val="both"/>
              <w:rPr>
                <w:rFonts w:cs="Times New Roman"/>
                <w:color w:val="333333"/>
                <w:szCs w:val="24"/>
              </w:rPr>
            </w:pPr>
          </w:p>
        </w:tc>
        <w:tc>
          <w:tcPr>
            <w:tcW w:w="2977" w:type="dxa"/>
          </w:tcPr>
          <w:p w:rsidR="003B137A" w:rsidRPr="007E5618" w:rsidRDefault="003B137A" w:rsidP="00D56DE8">
            <w:pPr>
              <w:spacing w:before="150" w:after="150"/>
              <w:jc w:val="center"/>
              <w:rPr>
                <w:rFonts w:eastAsia="Times New Roman" w:cs="Times New Roman"/>
                <w:b/>
                <w:bCs/>
                <w:szCs w:val="24"/>
                <w:lang w:eastAsia="lv-LV"/>
              </w:rPr>
            </w:pPr>
            <w:r w:rsidRPr="007E5618">
              <w:rPr>
                <w:rFonts w:eastAsia="Times New Roman" w:cs="Times New Roman"/>
                <w:b/>
                <w:bCs/>
                <w:szCs w:val="24"/>
                <w:lang w:eastAsia="lv-LV"/>
              </w:rPr>
              <w:t>Ņemts vērā</w:t>
            </w:r>
            <w:r w:rsidR="009E0DF3" w:rsidRPr="007E5618">
              <w:rPr>
                <w:rFonts w:eastAsia="Times New Roman" w:cs="Times New Roman"/>
                <w:szCs w:val="24"/>
                <w:lang w:eastAsia="lv-LV"/>
              </w:rPr>
              <w:t xml:space="preserve"> </w:t>
            </w:r>
          </w:p>
        </w:tc>
        <w:tc>
          <w:tcPr>
            <w:tcW w:w="3402" w:type="dxa"/>
          </w:tcPr>
          <w:p w:rsidR="00C657B6" w:rsidRPr="007E5618" w:rsidRDefault="00C657B6" w:rsidP="00FB5782">
            <w:pPr>
              <w:pStyle w:val="tv213"/>
              <w:spacing w:before="0" w:beforeAutospacing="0" w:after="0" w:afterAutospacing="0"/>
              <w:jc w:val="both"/>
              <w:rPr>
                <w:color w:val="000000"/>
              </w:rPr>
            </w:pPr>
          </w:p>
          <w:p w:rsidR="00823E3D" w:rsidRPr="007E5618" w:rsidRDefault="00C657B6" w:rsidP="00C657B6">
            <w:pPr>
              <w:pStyle w:val="tv213"/>
              <w:spacing w:before="0" w:beforeAutospacing="0" w:after="0" w:afterAutospacing="0"/>
              <w:jc w:val="both"/>
              <w:rPr>
                <w:color w:val="000000"/>
              </w:rPr>
            </w:pPr>
            <w:r w:rsidRPr="007E5618">
              <w:rPr>
                <w:color w:val="000000"/>
              </w:rPr>
              <w:t xml:space="preserve">Pārstāvju vienošanās par Pielikuma A grozījumu, kas noslēgta vēstuļu apmaiņas ceļā, un tās tulkojums latviešu valodā ir iesniegti Ārlietu ministrijā. </w:t>
            </w:r>
          </w:p>
          <w:p w:rsidR="00C657B6" w:rsidRPr="007E5618" w:rsidRDefault="00C657B6" w:rsidP="00C657B6">
            <w:pPr>
              <w:pStyle w:val="tv213"/>
              <w:spacing w:before="0" w:beforeAutospacing="0" w:after="0" w:afterAutospacing="0"/>
              <w:jc w:val="both"/>
              <w:rPr>
                <w:color w:val="000000"/>
              </w:rPr>
            </w:pPr>
          </w:p>
          <w:p w:rsidR="00C657B6" w:rsidRPr="007E5618" w:rsidRDefault="00C657B6" w:rsidP="00C657B6">
            <w:pPr>
              <w:pStyle w:val="tv213"/>
              <w:spacing w:before="0" w:beforeAutospacing="0" w:after="0" w:afterAutospacing="0"/>
              <w:jc w:val="both"/>
              <w:rPr>
                <w:u w:val="single"/>
              </w:rPr>
            </w:pPr>
            <w:r w:rsidRPr="007E5618">
              <w:rPr>
                <w:color w:val="000000"/>
              </w:rPr>
              <w:t>Protokollēmums papildināts.</w:t>
            </w:r>
          </w:p>
        </w:tc>
      </w:tr>
      <w:tr w:rsidR="00747FB6" w:rsidRPr="007E5618" w:rsidTr="007B5727">
        <w:tc>
          <w:tcPr>
            <w:tcW w:w="675" w:type="dxa"/>
          </w:tcPr>
          <w:p w:rsidR="00747FB6" w:rsidRPr="007E5618" w:rsidRDefault="00747FB6" w:rsidP="007B5727">
            <w:pPr>
              <w:spacing w:before="150" w:after="150"/>
              <w:jc w:val="center"/>
              <w:rPr>
                <w:rFonts w:eastAsia="Times New Roman" w:cs="Times New Roman"/>
                <w:bCs/>
                <w:szCs w:val="24"/>
                <w:lang w:eastAsia="lv-LV"/>
              </w:rPr>
            </w:pPr>
            <w:r w:rsidRPr="007E5618">
              <w:rPr>
                <w:rFonts w:eastAsia="Times New Roman" w:cs="Times New Roman"/>
                <w:bCs/>
                <w:szCs w:val="24"/>
                <w:lang w:eastAsia="lv-LV"/>
              </w:rPr>
              <w:t xml:space="preserve">2. </w:t>
            </w:r>
          </w:p>
        </w:tc>
        <w:tc>
          <w:tcPr>
            <w:tcW w:w="2694" w:type="dxa"/>
          </w:tcPr>
          <w:p w:rsidR="00747FB6" w:rsidRPr="007E5618" w:rsidRDefault="00747FB6" w:rsidP="006F52AB">
            <w:pPr>
              <w:ind w:left="33"/>
              <w:jc w:val="both"/>
              <w:rPr>
                <w:rFonts w:eastAsia="Times New Roman" w:cs="Times New Roman"/>
                <w:szCs w:val="24"/>
                <w:lang w:eastAsia="lv-LV"/>
              </w:rPr>
            </w:pPr>
          </w:p>
        </w:tc>
        <w:tc>
          <w:tcPr>
            <w:tcW w:w="4961" w:type="dxa"/>
          </w:tcPr>
          <w:p w:rsidR="00747FB6" w:rsidRPr="007E5618" w:rsidRDefault="00747FB6" w:rsidP="00747FB6">
            <w:pPr>
              <w:jc w:val="center"/>
              <w:rPr>
                <w:rFonts w:eastAsia="Times New Roman" w:cs="Times New Roman"/>
                <w:b/>
                <w:szCs w:val="24"/>
                <w:lang w:eastAsia="lv-LV"/>
              </w:rPr>
            </w:pPr>
            <w:r w:rsidRPr="007E5618">
              <w:rPr>
                <w:rFonts w:eastAsia="Times New Roman" w:cs="Times New Roman"/>
                <w:b/>
                <w:szCs w:val="24"/>
                <w:lang w:eastAsia="lv-LV"/>
              </w:rPr>
              <w:t>Ārlietu ministrija</w:t>
            </w:r>
          </w:p>
          <w:p w:rsidR="00747FB6" w:rsidRPr="007E5618" w:rsidRDefault="00747FB6" w:rsidP="00747FB6">
            <w:pPr>
              <w:jc w:val="center"/>
              <w:rPr>
                <w:rFonts w:eastAsia="Times New Roman" w:cs="Times New Roman"/>
                <w:b/>
                <w:szCs w:val="24"/>
                <w:lang w:eastAsia="lv-LV"/>
              </w:rPr>
            </w:pPr>
          </w:p>
          <w:p w:rsidR="00C657B6" w:rsidRPr="007E5618" w:rsidRDefault="00C657B6" w:rsidP="00C657B6">
            <w:pPr>
              <w:ind w:firstLine="720"/>
              <w:jc w:val="both"/>
              <w:rPr>
                <w:rFonts w:cs="Times New Roman"/>
                <w:color w:val="000000"/>
                <w:szCs w:val="24"/>
              </w:rPr>
            </w:pPr>
            <w:r w:rsidRPr="007E5618">
              <w:rPr>
                <w:rFonts w:cs="Times New Roman"/>
                <w:color w:val="000000"/>
                <w:szCs w:val="24"/>
              </w:rPr>
              <w:t xml:space="preserve">Vēršam uzmanību, ka 2018. gada 16. augusta ASV spēku Pavēlniecības Eiropā nosūtītajā vēstulē, kā arī 2018. gada 14. septembrī Aizsardzības ministrijas nosūtītajā atbildes vēstulē noteikts, ka tās abas veido savstarpēju Pārstāvju vienošanos par A Pielikuma grozījumu. Aicinām ievērot konsekvenci vienošanās nosaukuma atveidošanā.  </w:t>
            </w:r>
          </w:p>
          <w:p w:rsidR="00747FB6" w:rsidRPr="007E5618" w:rsidRDefault="00747FB6" w:rsidP="00747FB6">
            <w:pPr>
              <w:jc w:val="both"/>
              <w:rPr>
                <w:rFonts w:eastAsia="Times New Roman" w:cs="Times New Roman"/>
                <w:b/>
                <w:szCs w:val="24"/>
                <w:lang w:eastAsia="lv-LV"/>
              </w:rPr>
            </w:pPr>
          </w:p>
        </w:tc>
        <w:tc>
          <w:tcPr>
            <w:tcW w:w="2977" w:type="dxa"/>
          </w:tcPr>
          <w:p w:rsidR="00A83682" w:rsidRDefault="00A83682" w:rsidP="00D56DE8">
            <w:pPr>
              <w:spacing w:before="150" w:after="150"/>
              <w:jc w:val="center"/>
              <w:rPr>
                <w:rFonts w:eastAsia="Times New Roman" w:cs="Times New Roman"/>
                <w:b/>
                <w:bCs/>
                <w:szCs w:val="24"/>
                <w:lang w:eastAsia="lv-LV"/>
              </w:rPr>
            </w:pPr>
          </w:p>
          <w:p w:rsidR="00747FB6" w:rsidRPr="007E5618" w:rsidRDefault="00E520D3" w:rsidP="00D56DE8">
            <w:pPr>
              <w:spacing w:before="150" w:after="150"/>
              <w:jc w:val="center"/>
              <w:rPr>
                <w:rFonts w:eastAsia="Times New Roman" w:cs="Times New Roman"/>
                <w:b/>
                <w:bCs/>
                <w:szCs w:val="24"/>
                <w:lang w:eastAsia="lv-LV"/>
              </w:rPr>
            </w:pPr>
            <w:r w:rsidRPr="007E5618">
              <w:rPr>
                <w:rFonts w:eastAsia="Times New Roman" w:cs="Times New Roman"/>
                <w:b/>
                <w:bCs/>
                <w:szCs w:val="24"/>
                <w:lang w:eastAsia="lv-LV"/>
              </w:rPr>
              <w:t>Ņemts vērā</w:t>
            </w:r>
          </w:p>
        </w:tc>
        <w:tc>
          <w:tcPr>
            <w:tcW w:w="3402" w:type="dxa"/>
          </w:tcPr>
          <w:p w:rsidR="00823E3D" w:rsidRPr="007E5618" w:rsidRDefault="00823E3D" w:rsidP="007E5618">
            <w:pPr>
              <w:ind w:firstLine="33"/>
              <w:jc w:val="both"/>
              <w:rPr>
                <w:rFonts w:eastAsia="Times New Roman" w:cs="Times New Roman"/>
                <w:szCs w:val="24"/>
                <w:lang w:eastAsia="lv-LV"/>
              </w:rPr>
            </w:pPr>
          </w:p>
        </w:tc>
      </w:tr>
      <w:tr w:rsidR="00C657B6" w:rsidRPr="007E5618" w:rsidTr="007B5727">
        <w:tc>
          <w:tcPr>
            <w:tcW w:w="675" w:type="dxa"/>
          </w:tcPr>
          <w:p w:rsidR="00C657B6" w:rsidRPr="007E5618" w:rsidRDefault="00C657B6" w:rsidP="007B5727">
            <w:pPr>
              <w:spacing w:before="150" w:after="150"/>
              <w:jc w:val="center"/>
              <w:rPr>
                <w:rFonts w:eastAsia="Times New Roman" w:cs="Times New Roman"/>
                <w:bCs/>
                <w:szCs w:val="24"/>
                <w:lang w:eastAsia="lv-LV"/>
              </w:rPr>
            </w:pPr>
          </w:p>
        </w:tc>
        <w:tc>
          <w:tcPr>
            <w:tcW w:w="2694" w:type="dxa"/>
          </w:tcPr>
          <w:p w:rsidR="00C657B6" w:rsidRPr="007E5618" w:rsidRDefault="00C657B6" w:rsidP="006F52AB">
            <w:pPr>
              <w:ind w:left="33"/>
              <w:jc w:val="both"/>
              <w:rPr>
                <w:rFonts w:eastAsia="Times New Roman" w:cs="Times New Roman"/>
                <w:szCs w:val="24"/>
                <w:lang w:eastAsia="lv-LV"/>
              </w:rPr>
            </w:pPr>
          </w:p>
        </w:tc>
        <w:tc>
          <w:tcPr>
            <w:tcW w:w="4961" w:type="dxa"/>
          </w:tcPr>
          <w:p w:rsidR="00A83682" w:rsidRDefault="00A83682" w:rsidP="009A070B">
            <w:pPr>
              <w:jc w:val="center"/>
              <w:rPr>
                <w:rFonts w:eastAsia="Times New Roman" w:cs="Times New Roman"/>
                <w:b/>
                <w:szCs w:val="24"/>
                <w:lang w:eastAsia="lv-LV"/>
              </w:rPr>
            </w:pPr>
          </w:p>
          <w:p w:rsidR="00A83682" w:rsidRDefault="00A83682" w:rsidP="009A070B">
            <w:pPr>
              <w:jc w:val="center"/>
              <w:rPr>
                <w:rFonts w:eastAsia="Times New Roman" w:cs="Times New Roman"/>
                <w:b/>
                <w:szCs w:val="24"/>
                <w:lang w:eastAsia="lv-LV"/>
              </w:rPr>
            </w:pPr>
          </w:p>
          <w:p w:rsidR="007E5618" w:rsidRPr="007E5618" w:rsidRDefault="007E5618" w:rsidP="009A070B">
            <w:pPr>
              <w:jc w:val="center"/>
              <w:rPr>
                <w:rFonts w:eastAsia="Times New Roman" w:cs="Times New Roman"/>
                <w:b/>
                <w:szCs w:val="24"/>
                <w:lang w:eastAsia="lv-LV"/>
              </w:rPr>
            </w:pPr>
            <w:r w:rsidRPr="007E5618">
              <w:rPr>
                <w:rFonts w:eastAsia="Times New Roman" w:cs="Times New Roman"/>
                <w:b/>
                <w:szCs w:val="24"/>
                <w:lang w:eastAsia="lv-LV"/>
              </w:rPr>
              <w:lastRenderedPageBreak/>
              <w:t>Ārlietu ministrija</w:t>
            </w:r>
          </w:p>
          <w:p w:rsidR="00C657B6" w:rsidRPr="007E5618" w:rsidRDefault="00C657B6" w:rsidP="00C657B6">
            <w:pPr>
              <w:ind w:firstLine="720"/>
              <w:jc w:val="both"/>
              <w:rPr>
                <w:rFonts w:cs="Times New Roman"/>
                <w:color w:val="000000"/>
                <w:szCs w:val="24"/>
              </w:rPr>
            </w:pPr>
            <w:r w:rsidRPr="007E5618">
              <w:rPr>
                <w:rFonts w:cs="Times New Roman"/>
                <w:color w:val="000000"/>
                <w:szCs w:val="24"/>
              </w:rPr>
              <w:t xml:space="preserve">Saskaņā ar likuma Par Latvijas Republikas starptautiskajiem līgumiem 15. pantu Ārlietu ministrija informē par starptautisko līgumu spēkā stāšanos, šo informāciju publicējot oficiālajā izdevumā "Latvijas Vēstnesis". Līdz ar ko atbilstoši papildināms  protokollēmums, norādot, ka Ārlietu ministrija paziņo oficiālajā izdevumā "Latvijas Vēstnesis" par Pārstāvju vienošanās par A Pielikuma grozījumu stāšanos spēkā. </w:t>
            </w:r>
          </w:p>
          <w:p w:rsidR="00C657B6" w:rsidRPr="007E5618" w:rsidRDefault="00C657B6" w:rsidP="00747FB6">
            <w:pPr>
              <w:jc w:val="center"/>
              <w:rPr>
                <w:rFonts w:eastAsia="Times New Roman" w:cs="Times New Roman"/>
                <w:b/>
                <w:szCs w:val="24"/>
                <w:lang w:eastAsia="lv-LV"/>
              </w:rPr>
            </w:pPr>
          </w:p>
        </w:tc>
        <w:tc>
          <w:tcPr>
            <w:tcW w:w="2977" w:type="dxa"/>
          </w:tcPr>
          <w:p w:rsidR="00A83682" w:rsidRDefault="00A83682" w:rsidP="00D56DE8">
            <w:pPr>
              <w:spacing w:before="150" w:after="150"/>
              <w:jc w:val="center"/>
              <w:rPr>
                <w:rFonts w:eastAsia="Times New Roman" w:cs="Times New Roman"/>
                <w:b/>
                <w:bCs/>
                <w:szCs w:val="24"/>
                <w:lang w:eastAsia="lv-LV"/>
              </w:rPr>
            </w:pPr>
          </w:p>
          <w:p w:rsidR="00C657B6" w:rsidRPr="007E5618" w:rsidRDefault="009A070B" w:rsidP="00D56DE8">
            <w:pPr>
              <w:spacing w:before="150" w:after="150"/>
              <w:jc w:val="center"/>
              <w:rPr>
                <w:rFonts w:eastAsia="Times New Roman" w:cs="Times New Roman"/>
                <w:b/>
                <w:bCs/>
                <w:szCs w:val="24"/>
                <w:lang w:eastAsia="lv-LV"/>
              </w:rPr>
            </w:pPr>
            <w:r>
              <w:rPr>
                <w:rFonts w:eastAsia="Times New Roman" w:cs="Times New Roman"/>
                <w:b/>
                <w:bCs/>
                <w:szCs w:val="24"/>
                <w:lang w:eastAsia="lv-LV"/>
              </w:rPr>
              <w:lastRenderedPageBreak/>
              <w:t>Ņemts vērā</w:t>
            </w:r>
          </w:p>
        </w:tc>
        <w:tc>
          <w:tcPr>
            <w:tcW w:w="3402" w:type="dxa"/>
          </w:tcPr>
          <w:p w:rsidR="009A070B" w:rsidRDefault="009A070B" w:rsidP="009A070B">
            <w:pPr>
              <w:pStyle w:val="BodyText"/>
              <w:tabs>
                <w:tab w:val="left" w:pos="1080"/>
              </w:tabs>
              <w:ind w:left="360"/>
              <w:jc w:val="both"/>
              <w:rPr>
                <w:b w:val="0"/>
                <w:sz w:val="24"/>
                <w:szCs w:val="24"/>
              </w:rPr>
            </w:pPr>
          </w:p>
          <w:p w:rsidR="00A83682" w:rsidRDefault="00A83682" w:rsidP="009A070B">
            <w:pPr>
              <w:pStyle w:val="BodyText"/>
              <w:tabs>
                <w:tab w:val="left" w:pos="1080"/>
              </w:tabs>
              <w:ind w:firstLine="360"/>
              <w:jc w:val="both"/>
              <w:rPr>
                <w:b w:val="0"/>
                <w:sz w:val="24"/>
                <w:szCs w:val="24"/>
              </w:rPr>
            </w:pPr>
          </w:p>
          <w:p w:rsidR="009A070B" w:rsidRDefault="009A070B" w:rsidP="009A070B">
            <w:pPr>
              <w:pStyle w:val="BodyText"/>
              <w:tabs>
                <w:tab w:val="left" w:pos="1080"/>
              </w:tabs>
              <w:ind w:firstLine="360"/>
              <w:jc w:val="both"/>
              <w:rPr>
                <w:b w:val="0"/>
                <w:sz w:val="24"/>
                <w:szCs w:val="24"/>
              </w:rPr>
            </w:pPr>
            <w:r>
              <w:rPr>
                <w:b w:val="0"/>
                <w:sz w:val="24"/>
                <w:szCs w:val="24"/>
              </w:rPr>
              <w:lastRenderedPageBreak/>
              <w:t>Protokollēmuma 3.punkts:</w:t>
            </w:r>
          </w:p>
          <w:p w:rsidR="009A070B" w:rsidRPr="009A070B" w:rsidRDefault="009A070B" w:rsidP="009A070B">
            <w:pPr>
              <w:pStyle w:val="BodyText"/>
              <w:tabs>
                <w:tab w:val="left" w:pos="1080"/>
              </w:tabs>
              <w:ind w:firstLine="360"/>
              <w:jc w:val="both"/>
              <w:rPr>
                <w:b w:val="0"/>
                <w:sz w:val="24"/>
                <w:szCs w:val="24"/>
              </w:rPr>
            </w:pPr>
            <w:r>
              <w:rPr>
                <w:b w:val="0"/>
                <w:sz w:val="24"/>
                <w:szCs w:val="24"/>
              </w:rPr>
              <w:t xml:space="preserve">“3. </w:t>
            </w:r>
            <w:r w:rsidRPr="00216108">
              <w:rPr>
                <w:b w:val="0"/>
                <w:sz w:val="24"/>
                <w:szCs w:val="24"/>
              </w:rPr>
              <w:t>Līgums stājas spēkā tā 30. pantā noteiktajā laikā un kārtībā, un Ārlietu ministrija par to paziņo oficiālajā izdevumā "Latvijas Vēstnesis".</w:t>
            </w:r>
            <w:r w:rsidRPr="009A070B">
              <w:rPr>
                <w:b w:val="0"/>
                <w:sz w:val="24"/>
                <w:szCs w:val="24"/>
              </w:rPr>
              <w:t xml:space="preserve"> “</w:t>
            </w:r>
          </w:p>
          <w:p w:rsidR="00C657B6" w:rsidRPr="007E5618" w:rsidRDefault="00C657B6" w:rsidP="006F52AB">
            <w:pPr>
              <w:ind w:firstLine="33"/>
              <w:jc w:val="both"/>
              <w:rPr>
                <w:rFonts w:eastAsia="Times New Roman" w:cs="Times New Roman"/>
                <w:szCs w:val="24"/>
                <w:lang w:eastAsia="lv-LV"/>
              </w:rPr>
            </w:pPr>
          </w:p>
        </w:tc>
      </w:tr>
    </w:tbl>
    <w:p w:rsidR="00483DC7" w:rsidRPr="007E5618" w:rsidRDefault="00483DC7" w:rsidP="003B137A">
      <w:pPr>
        <w:rPr>
          <w:rFonts w:cs="Times New Roman"/>
          <w:szCs w:val="24"/>
        </w:rPr>
      </w:pPr>
    </w:p>
    <w:p w:rsidR="001001D2" w:rsidRPr="007E5618" w:rsidRDefault="001001D2" w:rsidP="003B137A">
      <w:pPr>
        <w:rPr>
          <w:rFonts w:cs="Times New Roman"/>
          <w:szCs w:val="24"/>
        </w:rPr>
      </w:pPr>
    </w:p>
    <w:p w:rsidR="001001D2" w:rsidRPr="007E5618" w:rsidRDefault="001001D2" w:rsidP="003B137A">
      <w:pPr>
        <w:rPr>
          <w:rFonts w:cs="Times New Roman"/>
          <w:szCs w:val="24"/>
        </w:rPr>
      </w:pPr>
    </w:p>
    <w:p w:rsidR="003B137A" w:rsidRPr="007E5618" w:rsidRDefault="003B137A" w:rsidP="003B137A">
      <w:pPr>
        <w:rPr>
          <w:rFonts w:cs="Times New Roman"/>
          <w:szCs w:val="24"/>
        </w:rPr>
      </w:pPr>
      <w:r w:rsidRPr="007E5618">
        <w:rPr>
          <w:rFonts w:cs="Times New Roman"/>
          <w:szCs w:val="24"/>
        </w:rPr>
        <w:t xml:space="preserve">Atbildīgā </w:t>
      </w:r>
      <w:proofErr w:type="spellStart"/>
      <w:r w:rsidRPr="007E5618">
        <w:rPr>
          <w:rFonts w:cs="Times New Roman"/>
          <w:szCs w:val="24"/>
        </w:rPr>
        <w:t>amatpersona____________________________</w:t>
      </w:r>
      <w:r w:rsidR="00A83682">
        <w:rPr>
          <w:rFonts w:cs="Times New Roman"/>
          <w:szCs w:val="24"/>
        </w:rPr>
        <w:t>S.</w:t>
      </w:r>
      <w:r w:rsidR="008F370F">
        <w:rPr>
          <w:rFonts w:cs="Times New Roman"/>
          <w:szCs w:val="24"/>
        </w:rPr>
        <w:t>Šadurska</w:t>
      </w:r>
      <w:proofErr w:type="spellEnd"/>
    </w:p>
    <w:p w:rsidR="003B137A" w:rsidRPr="007E5618" w:rsidRDefault="003B137A" w:rsidP="003B137A">
      <w:pPr>
        <w:rPr>
          <w:rFonts w:cs="Times New Roman"/>
          <w:szCs w:val="24"/>
        </w:rPr>
      </w:pPr>
    </w:p>
    <w:p w:rsidR="00A1735B" w:rsidRPr="007E5618" w:rsidRDefault="00A1735B" w:rsidP="003B137A">
      <w:pPr>
        <w:rPr>
          <w:rFonts w:cs="Times New Roman"/>
          <w:szCs w:val="24"/>
        </w:rPr>
      </w:pPr>
    </w:p>
    <w:p w:rsidR="00A1735B" w:rsidRPr="007E5618" w:rsidRDefault="00A1735B" w:rsidP="003B137A">
      <w:pPr>
        <w:rPr>
          <w:rFonts w:cs="Times New Roman"/>
          <w:szCs w:val="24"/>
        </w:rPr>
      </w:pPr>
    </w:p>
    <w:p w:rsidR="00A1735B" w:rsidRPr="007E5618" w:rsidRDefault="00A1735B" w:rsidP="003B137A">
      <w:pPr>
        <w:rPr>
          <w:rFonts w:cs="Times New Roman"/>
          <w:szCs w:val="24"/>
        </w:rPr>
      </w:pPr>
    </w:p>
    <w:p w:rsidR="00A1735B" w:rsidRPr="007E5618" w:rsidRDefault="00A1735B" w:rsidP="003B137A">
      <w:pPr>
        <w:rPr>
          <w:rFonts w:cs="Times New Roman"/>
          <w:szCs w:val="24"/>
        </w:rPr>
      </w:pPr>
    </w:p>
    <w:p w:rsidR="00A1735B" w:rsidRPr="007E5618" w:rsidRDefault="00A1735B" w:rsidP="003B137A">
      <w:pPr>
        <w:rPr>
          <w:rFonts w:cs="Times New Roman"/>
          <w:szCs w:val="24"/>
        </w:rPr>
      </w:pPr>
    </w:p>
    <w:p w:rsidR="003B137A" w:rsidRPr="006E72A5" w:rsidRDefault="006E72A5" w:rsidP="003B137A">
      <w:pPr>
        <w:rPr>
          <w:rFonts w:cs="Times New Roman"/>
          <w:szCs w:val="24"/>
        </w:rPr>
      </w:pPr>
      <w:r w:rsidRPr="006E72A5">
        <w:rPr>
          <w:rFonts w:cs="Times New Roman"/>
          <w:szCs w:val="24"/>
        </w:rPr>
        <w:t>Signe Šadurska</w:t>
      </w:r>
      <w:r w:rsidR="009633F9" w:rsidRPr="006E72A5">
        <w:rPr>
          <w:rFonts w:cs="Times New Roman"/>
          <w:szCs w:val="24"/>
        </w:rPr>
        <w:t>, 67335</w:t>
      </w:r>
      <w:r w:rsidRPr="006E72A5">
        <w:rPr>
          <w:rFonts w:cs="Times New Roman"/>
          <w:szCs w:val="24"/>
        </w:rPr>
        <w:t>247</w:t>
      </w:r>
    </w:p>
    <w:p w:rsidR="009633F9" w:rsidRPr="007E5618" w:rsidRDefault="006E72A5" w:rsidP="003B137A">
      <w:pPr>
        <w:rPr>
          <w:rFonts w:cs="Times New Roman"/>
          <w:szCs w:val="24"/>
        </w:rPr>
      </w:pPr>
      <w:r w:rsidRPr="006E72A5">
        <w:rPr>
          <w:rFonts w:cs="Times New Roman"/>
          <w:szCs w:val="24"/>
        </w:rPr>
        <w:t>Signe.Sadurska</w:t>
      </w:r>
      <w:r w:rsidR="009633F9" w:rsidRPr="006E72A5">
        <w:rPr>
          <w:rFonts w:cs="Times New Roman"/>
          <w:szCs w:val="24"/>
        </w:rPr>
        <w:t>@mod.gov.lv</w:t>
      </w:r>
    </w:p>
    <w:p w:rsidR="00417FEF" w:rsidRPr="007E5618" w:rsidRDefault="00417FEF" w:rsidP="003B137A">
      <w:pPr>
        <w:jc w:val="center"/>
        <w:rPr>
          <w:rFonts w:eastAsia="Times New Roman" w:cs="Times New Roman"/>
          <w:b/>
          <w:szCs w:val="24"/>
          <w:lang w:eastAsia="lv-LV"/>
        </w:rPr>
      </w:pPr>
    </w:p>
    <w:sectPr w:rsidR="00417FEF" w:rsidRPr="007E5618" w:rsidSect="005319A8">
      <w:headerReference w:type="default" r:id="rId8"/>
      <w:footerReference w:type="default" r:id="rId9"/>
      <w:pgSz w:w="16838" w:h="11906" w:orient="landscape"/>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F0" w:rsidRDefault="000821F0" w:rsidP="009929B9">
      <w:r>
        <w:separator/>
      </w:r>
    </w:p>
  </w:endnote>
  <w:endnote w:type="continuationSeparator" w:id="0">
    <w:p w:rsidR="000821F0" w:rsidRDefault="000821F0" w:rsidP="0099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655033"/>
      <w:docPartObj>
        <w:docPartGallery w:val="Page Numbers (Bottom of Page)"/>
        <w:docPartUnique/>
      </w:docPartObj>
    </w:sdtPr>
    <w:sdtEndPr/>
    <w:sdtContent>
      <w:p w:rsidR="00EC700E" w:rsidRPr="009B3C1B" w:rsidRDefault="003F22F4" w:rsidP="00EC700E">
        <w:pPr>
          <w:pStyle w:val="Footer"/>
          <w:rPr>
            <w:sz w:val="20"/>
            <w:szCs w:val="20"/>
          </w:rPr>
        </w:pPr>
        <w:r>
          <w:rPr>
            <w:sz w:val="20"/>
            <w:szCs w:val="20"/>
          </w:rPr>
          <w:t>AIMI</w:t>
        </w:r>
        <w:r w:rsidR="00EC700E" w:rsidRPr="006E72A5">
          <w:rPr>
            <w:sz w:val="20"/>
            <w:szCs w:val="20"/>
          </w:rPr>
          <w:t>zz_</w:t>
        </w:r>
        <w:r w:rsidR="006E72A5" w:rsidRPr="006E72A5">
          <w:rPr>
            <w:sz w:val="20"/>
            <w:szCs w:val="20"/>
          </w:rPr>
          <w:t>0412</w:t>
        </w:r>
        <w:r w:rsidR="00FB5782" w:rsidRPr="006E72A5">
          <w:rPr>
            <w:sz w:val="20"/>
            <w:szCs w:val="20"/>
          </w:rPr>
          <w:t>19</w:t>
        </w:r>
        <w:r w:rsidR="00EC700E" w:rsidRPr="006E72A5">
          <w:rPr>
            <w:sz w:val="20"/>
            <w:szCs w:val="20"/>
          </w:rPr>
          <w:t>_</w:t>
        </w:r>
        <w:r w:rsidR="00D60A5F" w:rsidRPr="006E72A5">
          <w:rPr>
            <w:sz w:val="20"/>
            <w:szCs w:val="20"/>
          </w:rPr>
          <w:t>DCA</w:t>
        </w:r>
        <w:r w:rsidR="00A83682" w:rsidRPr="006E72A5">
          <w:rPr>
            <w:sz w:val="20"/>
            <w:szCs w:val="20"/>
          </w:rPr>
          <w:t>_</w:t>
        </w:r>
        <w:r w:rsidR="00D60A5F" w:rsidRPr="006E72A5">
          <w:rPr>
            <w:sz w:val="20"/>
            <w:szCs w:val="20"/>
          </w:rPr>
          <w:t>Annex</w:t>
        </w:r>
      </w:p>
      <w:p w:rsidR="00EC700E" w:rsidRDefault="00EC700E">
        <w:pPr>
          <w:pStyle w:val="Footer"/>
          <w:jc w:val="right"/>
        </w:pPr>
      </w:p>
      <w:p w:rsidR="00EC700E" w:rsidRDefault="00E524AE">
        <w:pPr>
          <w:pStyle w:val="Footer"/>
          <w:jc w:val="right"/>
        </w:pPr>
        <w:r>
          <w:fldChar w:fldCharType="begin"/>
        </w:r>
        <w:r w:rsidR="00773154">
          <w:instrText xml:space="preserve"> PAGE   \* MERGEFORMAT </w:instrText>
        </w:r>
        <w:r>
          <w:fldChar w:fldCharType="separate"/>
        </w:r>
        <w:r w:rsidR="003F22F4">
          <w:rPr>
            <w:noProof/>
          </w:rPr>
          <w:t>2</w:t>
        </w:r>
        <w:r>
          <w:rPr>
            <w:noProof/>
          </w:rPr>
          <w:fldChar w:fldCharType="end"/>
        </w:r>
      </w:p>
    </w:sdtContent>
  </w:sdt>
  <w:p w:rsidR="00126C72" w:rsidRPr="009B3C1B" w:rsidRDefault="00126C7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F0" w:rsidRDefault="000821F0" w:rsidP="009929B9">
      <w:r>
        <w:separator/>
      </w:r>
    </w:p>
  </w:footnote>
  <w:footnote w:type="continuationSeparator" w:id="0">
    <w:p w:rsidR="000821F0" w:rsidRDefault="000821F0" w:rsidP="0099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72" w:rsidRDefault="00126C72">
    <w:pPr>
      <w:pStyle w:val="Header"/>
      <w:jc w:val="center"/>
    </w:pPr>
  </w:p>
  <w:p w:rsidR="00126C72" w:rsidRDefault="00126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084"/>
    <w:multiLevelType w:val="hybridMultilevel"/>
    <w:tmpl w:val="3DAA18E2"/>
    <w:lvl w:ilvl="0" w:tplc="A0C2BE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DAA3226"/>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DDF511F"/>
    <w:multiLevelType w:val="multilevel"/>
    <w:tmpl w:val="0C78B0C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abstractNum w:abstractNumId="3" w15:restartNumberingAfterBreak="0">
    <w:nsid w:val="3ED703E7"/>
    <w:multiLevelType w:val="hybridMultilevel"/>
    <w:tmpl w:val="4CAE2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D569C7"/>
    <w:multiLevelType w:val="hybridMultilevel"/>
    <w:tmpl w:val="FB045256"/>
    <w:lvl w:ilvl="0" w:tplc="0426000F">
      <w:start w:val="1"/>
      <w:numFmt w:val="decimal"/>
      <w:lvlText w:val="%1."/>
      <w:lvlJc w:val="left"/>
      <w:pPr>
        <w:ind w:left="900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9C6379"/>
    <w:multiLevelType w:val="hybridMultilevel"/>
    <w:tmpl w:val="C91E0B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1017CB"/>
    <w:multiLevelType w:val="hybridMultilevel"/>
    <w:tmpl w:val="FA924C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D4726C"/>
    <w:multiLevelType w:val="hybridMultilevel"/>
    <w:tmpl w:val="2BF23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674C02"/>
    <w:multiLevelType w:val="hybridMultilevel"/>
    <w:tmpl w:val="D5C21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0872EF"/>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76D04ED5"/>
    <w:multiLevelType w:val="multilevel"/>
    <w:tmpl w:val="0570E9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0"/>
  </w:num>
  <w:num w:numId="3">
    <w:abstractNumId w:val="7"/>
  </w:num>
  <w:num w:numId="4">
    <w:abstractNumId w:val="3"/>
  </w:num>
  <w:num w:numId="5">
    <w:abstractNumId w:val="6"/>
  </w:num>
  <w:num w:numId="6">
    <w:abstractNumId w:val="5"/>
  </w:num>
  <w:num w:numId="7">
    <w:abstractNumId w:val="1"/>
  </w:num>
  <w:num w:numId="8">
    <w:abstractNumId w:val="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F"/>
    <w:rsid w:val="00005618"/>
    <w:rsid w:val="00014607"/>
    <w:rsid w:val="00015D23"/>
    <w:rsid w:val="00022C19"/>
    <w:rsid w:val="00025A1B"/>
    <w:rsid w:val="00031F93"/>
    <w:rsid w:val="00040805"/>
    <w:rsid w:val="00041261"/>
    <w:rsid w:val="00042844"/>
    <w:rsid w:val="00047DDC"/>
    <w:rsid w:val="00053DDE"/>
    <w:rsid w:val="00070FE3"/>
    <w:rsid w:val="000729DC"/>
    <w:rsid w:val="00073C2B"/>
    <w:rsid w:val="000821F0"/>
    <w:rsid w:val="00082F5A"/>
    <w:rsid w:val="00090D2D"/>
    <w:rsid w:val="00091C20"/>
    <w:rsid w:val="00095598"/>
    <w:rsid w:val="000A508E"/>
    <w:rsid w:val="000B14D1"/>
    <w:rsid w:val="000B15F4"/>
    <w:rsid w:val="000C552C"/>
    <w:rsid w:val="000E1CDE"/>
    <w:rsid w:val="000F715D"/>
    <w:rsid w:val="001001D2"/>
    <w:rsid w:val="00103DD4"/>
    <w:rsid w:val="00104E7F"/>
    <w:rsid w:val="0010534E"/>
    <w:rsid w:val="00107511"/>
    <w:rsid w:val="00110D6B"/>
    <w:rsid w:val="00111AC5"/>
    <w:rsid w:val="00116C6E"/>
    <w:rsid w:val="0012190B"/>
    <w:rsid w:val="00126C72"/>
    <w:rsid w:val="001300E9"/>
    <w:rsid w:val="0013052F"/>
    <w:rsid w:val="00132462"/>
    <w:rsid w:val="001364EC"/>
    <w:rsid w:val="00140E41"/>
    <w:rsid w:val="0014396D"/>
    <w:rsid w:val="001509B1"/>
    <w:rsid w:val="001520E3"/>
    <w:rsid w:val="00157D9E"/>
    <w:rsid w:val="001652F0"/>
    <w:rsid w:val="00171A70"/>
    <w:rsid w:val="0018282D"/>
    <w:rsid w:val="00187683"/>
    <w:rsid w:val="00193180"/>
    <w:rsid w:val="001B3D6B"/>
    <w:rsid w:val="001C3B0D"/>
    <w:rsid w:val="001C4A29"/>
    <w:rsid w:val="001C58A8"/>
    <w:rsid w:val="001C638C"/>
    <w:rsid w:val="001D2303"/>
    <w:rsid w:val="001D35D2"/>
    <w:rsid w:val="001E185D"/>
    <w:rsid w:val="001F125C"/>
    <w:rsid w:val="001F73B7"/>
    <w:rsid w:val="002010DC"/>
    <w:rsid w:val="0020514C"/>
    <w:rsid w:val="00210284"/>
    <w:rsid w:val="00215A91"/>
    <w:rsid w:val="00222673"/>
    <w:rsid w:val="002239A7"/>
    <w:rsid w:val="00225AB4"/>
    <w:rsid w:val="002464FC"/>
    <w:rsid w:val="00250776"/>
    <w:rsid w:val="0025271C"/>
    <w:rsid w:val="00263225"/>
    <w:rsid w:val="00264B3A"/>
    <w:rsid w:val="00264DEF"/>
    <w:rsid w:val="002739AF"/>
    <w:rsid w:val="0027656B"/>
    <w:rsid w:val="00277217"/>
    <w:rsid w:val="00280BAF"/>
    <w:rsid w:val="00284325"/>
    <w:rsid w:val="002865CC"/>
    <w:rsid w:val="00287D10"/>
    <w:rsid w:val="00297939"/>
    <w:rsid w:val="002A393C"/>
    <w:rsid w:val="002A7F14"/>
    <w:rsid w:val="002C0072"/>
    <w:rsid w:val="002C10F3"/>
    <w:rsid w:val="002C14C0"/>
    <w:rsid w:val="002C3FE7"/>
    <w:rsid w:val="002E0A7C"/>
    <w:rsid w:val="002E26B5"/>
    <w:rsid w:val="002F7176"/>
    <w:rsid w:val="002F76FA"/>
    <w:rsid w:val="00301162"/>
    <w:rsid w:val="00305643"/>
    <w:rsid w:val="00306CB7"/>
    <w:rsid w:val="00310B34"/>
    <w:rsid w:val="0031241A"/>
    <w:rsid w:val="00322198"/>
    <w:rsid w:val="003343C6"/>
    <w:rsid w:val="003504B7"/>
    <w:rsid w:val="003520E0"/>
    <w:rsid w:val="00352A85"/>
    <w:rsid w:val="00354A6A"/>
    <w:rsid w:val="00357CD0"/>
    <w:rsid w:val="00363F01"/>
    <w:rsid w:val="00387BF8"/>
    <w:rsid w:val="00390749"/>
    <w:rsid w:val="003A269F"/>
    <w:rsid w:val="003A65D0"/>
    <w:rsid w:val="003B137A"/>
    <w:rsid w:val="003B69A5"/>
    <w:rsid w:val="003C648E"/>
    <w:rsid w:val="003D3106"/>
    <w:rsid w:val="003E0F66"/>
    <w:rsid w:val="003E2BEF"/>
    <w:rsid w:val="003F05A4"/>
    <w:rsid w:val="003F22F4"/>
    <w:rsid w:val="003F5CEC"/>
    <w:rsid w:val="00403F45"/>
    <w:rsid w:val="00411565"/>
    <w:rsid w:val="00417354"/>
    <w:rsid w:val="00417FEF"/>
    <w:rsid w:val="004269AB"/>
    <w:rsid w:val="00430CE2"/>
    <w:rsid w:val="004352D3"/>
    <w:rsid w:val="00435A7B"/>
    <w:rsid w:val="004423C3"/>
    <w:rsid w:val="00444AE4"/>
    <w:rsid w:val="00453890"/>
    <w:rsid w:val="00464FE0"/>
    <w:rsid w:val="00477B7D"/>
    <w:rsid w:val="00483DC7"/>
    <w:rsid w:val="00487AAB"/>
    <w:rsid w:val="004918CA"/>
    <w:rsid w:val="004927E3"/>
    <w:rsid w:val="004934B0"/>
    <w:rsid w:val="00494C09"/>
    <w:rsid w:val="004973DC"/>
    <w:rsid w:val="004B1F12"/>
    <w:rsid w:val="004C2946"/>
    <w:rsid w:val="004C4CA5"/>
    <w:rsid w:val="004D6276"/>
    <w:rsid w:val="004E079B"/>
    <w:rsid w:val="004E4BC3"/>
    <w:rsid w:val="004E527C"/>
    <w:rsid w:val="004E7B29"/>
    <w:rsid w:val="004E7F19"/>
    <w:rsid w:val="004F031B"/>
    <w:rsid w:val="004F03CD"/>
    <w:rsid w:val="004F0749"/>
    <w:rsid w:val="004F4A83"/>
    <w:rsid w:val="004F501E"/>
    <w:rsid w:val="004F7E1E"/>
    <w:rsid w:val="00502005"/>
    <w:rsid w:val="005055A8"/>
    <w:rsid w:val="005139E7"/>
    <w:rsid w:val="005319A8"/>
    <w:rsid w:val="00531C98"/>
    <w:rsid w:val="005471E7"/>
    <w:rsid w:val="005535BB"/>
    <w:rsid w:val="00553AD8"/>
    <w:rsid w:val="00555C1F"/>
    <w:rsid w:val="0055622C"/>
    <w:rsid w:val="00557DCB"/>
    <w:rsid w:val="00560C12"/>
    <w:rsid w:val="00564CD5"/>
    <w:rsid w:val="005650CB"/>
    <w:rsid w:val="00565F07"/>
    <w:rsid w:val="005774DB"/>
    <w:rsid w:val="0058184A"/>
    <w:rsid w:val="00582C96"/>
    <w:rsid w:val="005C037D"/>
    <w:rsid w:val="005C146B"/>
    <w:rsid w:val="005C1F8D"/>
    <w:rsid w:val="005D313C"/>
    <w:rsid w:val="005D7B0B"/>
    <w:rsid w:val="005E1835"/>
    <w:rsid w:val="005E4BD4"/>
    <w:rsid w:val="005F0F7D"/>
    <w:rsid w:val="005F53C1"/>
    <w:rsid w:val="00615174"/>
    <w:rsid w:val="00615892"/>
    <w:rsid w:val="00615F13"/>
    <w:rsid w:val="006258FF"/>
    <w:rsid w:val="006269C7"/>
    <w:rsid w:val="0063280E"/>
    <w:rsid w:val="006335DE"/>
    <w:rsid w:val="0063525D"/>
    <w:rsid w:val="00643A5F"/>
    <w:rsid w:val="00650BE8"/>
    <w:rsid w:val="00650F1B"/>
    <w:rsid w:val="00653768"/>
    <w:rsid w:val="006547B8"/>
    <w:rsid w:val="00665E51"/>
    <w:rsid w:val="006878A8"/>
    <w:rsid w:val="006918AB"/>
    <w:rsid w:val="00695A30"/>
    <w:rsid w:val="0069613C"/>
    <w:rsid w:val="006A191E"/>
    <w:rsid w:val="006A3019"/>
    <w:rsid w:val="006B4B17"/>
    <w:rsid w:val="006B682F"/>
    <w:rsid w:val="006C5559"/>
    <w:rsid w:val="006C7643"/>
    <w:rsid w:val="006C7E82"/>
    <w:rsid w:val="006D1C5C"/>
    <w:rsid w:val="006D665F"/>
    <w:rsid w:val="006D7FED"/>
    <w:rsid w:val="006E2700"/>
    <w:rsid w:val="006E40F6"/>
    <w:rsid w:val="006E62C8"/>
    <w:rsid w:val="006E72A5"/>
    <w:rsid w:val="006E79F7"/>
    <w:rsid w:val="006F097D"/>
    <w:rsid w:val="006F2E15"/>
    <w:rsid w:val="006F4C08"/>
    <w:rsid w:val="006F52AB"/>
    <w:rsid w:val="006F6D48"/>
    <w:rsid w:val="006F7817"/>
    <w:rsid w:val="00700CAE"/>
    <w:rsid w:val="007031B8"/>
    <w:rsid w:val="00705F04"/>
    <w:rsid w:val="007100AD"/>
    <w:rsid w:val="00713F07"/>
    <w:rsid w:val="00714B29"/>
    <w:rsid w:val="00721733"/>
    <w:rsid w:val="00723838"/>
    <w:rsid w:val="00726EA5"/>
    <w:rsid w:val="00727937"/>
    <w:rsid w:val="00727F75"/>
    <w:rsid w:val="00730B54"/>
    <w:rsid w:val="00740A7B"/>
    <w:rsid w:val="00747502"/>
    <w:rsid w:val="00747FB6"/>
    <w:rsid w:val="0075344F"/>
    <w:rsid w:val="007622F3"/>
    <w:rsid w:val="00763638"/>
    <w:rsid w:val="00773154"/>
    <w:rsid w:val="00775661"/>
    <w:rsid w:val="00777083"/>
    <w:rsid w:val="00782A38"/>
    <w:rsid w:val="00795657"/>
    <w:rsid w:val="00795E14"/>
    <w:rsid w:val="00797E06"/>
    <w:rsid w:val="007A4ECC"/>
    <w:rsid w:val="007A598B"/>
    <w:rsid w:val="007A735B"/>
    <w:rsid w:val="007C4B2F"/>
    <w:rsid w:val="007C4E67"/>
    <w:rsid w:val="007C6006"/>
    <w:rsid w:val="007D02B2"/>
    <w:rsid w:val="007D3B75"/>
    <w:rsid w:val="007D455D"/>
    <w:rsid w:val="007D6DFA"/>
    <w:rsid w:val="007E077F"/>
    <w:rsid w:val="007E0CE8"/>
    <w:rsid w:val="007E5618"/>
    <w:rsid w:val="007F26B9"/>
    <w:rsid w:val="007F597F"/>
    <w:rsid w:val="007F681D"/>
    <w:rsid w:val="00806499"/>
    <w:rsid w:val="00806CA5"/>
    <w:rsid w:val="008112B3"/>
    <w:rsid w:val="00812ED2"/>
    <w:rsid w:val="00817787"/>
    <w:rsid w:val="0082290E"/>
    <w:rsid w:val="00823AF0"/>
    <w:rsid w:val="00823E3D"/>
    <w:rsid w:val="00825202"/>
    <w:rsid w:val="00832E11"/>
    <w:rsid w:val="00846E70"/>
    <w:rsid w:val="008652BA"/>
    <w:rsid w:val="0088064A"/>
    <w:rsid w:val="00887853"/>
    <w:rsid w:val="00890C05"/>
    <w:rsid w:val="00897BE5"/>
    <w:rsid w:val="008A0544"/>
    <w:rsid w:val="008A0D49"/>
    <w:rsid w:val="008A6B6E"/>
    <w:rsid w:val="008A6BD7"/>
    <w:rsid w:val="008B5ADB"/>
    <w:rsid w:val="008B750B"/>
    <w:rsid w:val="008D1F51"/>
    <w:rsid w:val="008D503A"/>
    <w:rsid w:val="008D5D40"/>
    <w:rsid w:val="008E4F47"/>
    <w:rsid w:val="008E6538"/>
    <w:rsid w:val="008F0CD3"/>
    <w:rsid w:val="008F363F"/>
    <w:rsid w:val="008F370F"/>
    <w:rsid w:val="008F76BD"/>
    <w:rsid w:val="009028CE"/>
    <w:rsid w:val="00903D57"/>
    <w:rsid w:val="00910343"/>
    <w:rsid w:val="00911CE9"/>
    <w:rsid w:val="00912EDC"/>
    <w:rsid w:val="009135F5"/>
    <w:rsid w:val="0093244B"/>
    <w:rsid w:val="00936481"/>
    <w:rsid w:val="00952F83"/>
    <w:rsid w:val="0095359E"/>
    <w:rsid w:val="009633F9"/>
    <w:rsid w:val="00965E38"/>
    <w:rsid w:val="009773CE"/>
    <w:rsid w:val="00982980"/>
    <w:rsid w:val="00984006"/>
    <w:rsid w:val="0098416C"/>
    <w:rsid w:val="00990262"/>
    <w:rsid w:val="009929B9"/>
    <w:rsid w:val="009932C2"/>
    <w:rsid w:val="00996757"/>
    <w:rsid w:val="009972EF"/>
    <w:rsid w:val="009A070B"/>
    <w:rsid w:val="009B1D04"/>
    <w:rsid w:val="009B3C1B"/>
    <w:rsid w:val="009B4407"/>
    <w:rsid w:val="009B6C10"/>
    <w:rsid w:val="009C0D07"/>
    <w:rsid w:val="009C238F"/>
    <w:rsid w:val="009D37E2"/>
    <w:rsid w:val="009E0DF3"/>
    <w:rsid w:val="009E3140"/>
    <w:rsid w:val="009E332D"/>
    <w:rsid w:val="009E7C6D"/>
    <w:rsid w:val="009E7F27"/>
    <w:rsid w:val="009F107E"/>
    <w:rsid w:val="009F136E"/>
    <w:rsid w:val="009F17AE"/>
    <w:rsid w:val="009F2021"/>
    <w:rsid w:val="009F3197"/>
    <w:rsid w:val="009F4CD2"/>
    <w:rsid w:val="00A154DF"/>
    <w:rsid w:val="00A1601D"/>
    <w:rsid w:val="00A1735B"/>
    <w:rsid w:val="00A34551"/>
    <w:rsid w:val="00A408E4"/>
    <w:rsid w:val="00A455A3"/>
    <w:rsid w:val="00A45DCF"/>
    <w:rsid w:val="00A473DB"/>
    <w:rsid w:val="00A478D9"/>
    <w:rsid w:val="00A52065"/>
    <w:rsid w:val="00A521E7"/>
    <w:rsid w:val="00A66342"/>
    <w:rsid w:val="00A71BB8"/>
    <w:rsid w:val="00A81933"/>
    <w:rsid w:val="00A83682"/>
    <w:rsid w:val="00A8495B"/>
    <w:rsid w:val="00A85F2D"/>
    <w:rsid w:val="00A86CE9"/>
    <w:rsid w:val="00A87E88"/>
    <w:rsid w:val="00A977DC"/>
    <w:rsid w:val="00AA15E2"/>
    <w:rsid w:val="00AA1EAA"/>
    <w:rsid w:val="00AB37B0"/>
    <w:rsid w:val="00AC181E"/>
    <w:rsid w:val="00AC2FDE"/>
    <w:rsid w:val="00AC62AB"/>
    <w:rsid w:val="00AD786C"/>
    <w:rsid w:val="00AE0681"/>
    <w:rsid w:val="00AE1A5A"/>
    <w:rsid w:val="00AE32BE"/>
    <w:rsid w:val="00AF7687"/>
    <w:rsid w:val="00B0355F"/>
    <w:rsid w:val="00B05850"/>
    <w:rsid w:val="00B066F8"/>
    <w:rsid w:val="00B0782D"/>
    <w:rsid w:val="00B202A7"/>
    <w:rsid w:val="00B32370"/>
    <w:rsid w:val="00B35F53"/>
    <w:rsid w:val="00B36069"/>
    <w:rsid w:val="00B36ECE"/>
    <w:rsid w:val="00B41435"/>
    <w:rsid w:val="00B41A63"/>
    <w:rsid w:val="00B41D25"/>
    <w:rsid w:val="00B4786E"/>
    <w:rsid w:val="00B529A7"/>
    <w:rsid w:val="00B543BB"/>
    <w:rsid w:val="00B6197C"/>
    <w:rsid w:val="00B67BD3"/>
    <w:rsid w:val="00B73644"/>
    <w:rsid w:val="00B73C81"/>
    <w:rsid w:val="00B7614C"/>
    <w:rsid w:val="00B7701C"/>
    <w:rsid w:val="00B83809"/>
    <w:rsid w:val="00B84516"/>
    <w:rsid w:val="00B90538"/>
    <w:rsid w:val="00B93878"/>
    <w:rsid w:val="00BA13F3"/>
    <w:rsid w:val="00BA1C2B"/>
    <w:rsid w:val="00BA32EB"/>
    <w:rsid w:val="00BA4D43"/>
    <w:rsid w:val="00BB23E4"/>
    <w:rsid w:val="00BC081A"/>
    <w:rsid w:val="00BC24B6"/>
    <w:rsid w:val="00BD39A0"/>
    <w:rsid w:val="00BD4224"/>
    <w:rsid w:val="00BE3DA2"/>
    <w:rsid w:val="00BE4D90"/>
    <w:rsid w:val="00C06F06"/>
    <w:rsid w:val="00C120C3"/>
    <w:rsid w:val="00C124E3"/>
    <w:rsid w:val="00C168D6"/>
    <w:rsid w:val="00C23EFE"/>
    <w:rsid w:val="00C43882"/>
    <w:rsid w:val="00C442F9"/>
    <w:rsid w:val="00C466B7"/>
    <w:rsid w:val="00C508C0"/>
    <w:rsid w:val="00C52451"/>
    <w:rsid w:val="00C545C7"/>
    <w:rsid w:val="00C54998"/>
    <w:rsid w:val="00C579B7"/>
    <w:rsid w:val="00C57B05"/>
    <w:rsid w:val="00C6488A"/>
    <w:rsid w:val="00C657B6"/>
    <w:rsid w:val="00C66080"/>
    <w:rsid w:val="00C771F5"/>
    <w:rsid w:val="00C825E3"/>
    <w:rsid w:val="00C84EDA"/>
    <w:rsid w:val="00C87B2D"/>
    <w:rsid w:val="00C91D9B"/>
    <w:rsid w:val="00C92CBF"/>
    <w:rsid w:val="00C9796F"/>
    <w:rsid w:val="00CA5D2D"/>
    <w:rsid w:val="00CB7036"/>
    <w:rsid w:val="00CB7934"/>
    <w:rsid w:val="00CC0CB0"/>
    <w:rsid w:val="00CC36CF"/>
    <w:rsid w:val="00CD7147"/>
    <w:rsid w:val="00CE3EE1"/>
    <w:rsid w:val="00CE448F"/>
    <w:rsid w:val="00CF1B84"/>
    <w:rsid w:val="00D00F08"/>
    <w:rsid w:val="00D01FF8"/>
    <w:rsid w:val="00D026A2"/>
    <w:rsid w:val="00D179E5"/>
    <w:rsid w:val="00D21098"/>
    <w:rsid w:val="00D2337B"/>
    <w:rsid w:val="00D27E48"/>
    <w:rsid w:val="00D33B33"/>
    <w:rsid w:val="00D33F8C"/>
    <w:rsid w:val="00D432E6"/>
    <w:rsid w:val="00D45825"/>
    <w:rsid w:val="00D53EDA"/>
    <w:rsid w:val="00D56DE8"/>
    <w:rsid w:val="00D57932"/>
    <w:rsid w:val="00D57BAB"/>
    <w:rsid w:val="00D60A5F"/>
    <w:rsid w:val="00D70D43"/>
    <w:rsid w:val="00D74100"/>
    <w:rsid w:val="00D74DA4"/>
    <w:rsid w:val="00D75AAF"/>
    <w:rsid w:val="00D75CBB"/>
    <w:rsid w:val="00D84989"/>
    <w:rsid w:val="00D86281"/>
    <w:rsid w:val="00D86A47"/>
    <w:rsid w:val="00D93710"/>
    <w:rsid w:val="00DA7880"/>
    <w:rsid w:val="00DB4B68"/>
    <w:rsid w:val="00DC6D8B"/>
    <w:rsid w:val="00DD7BEB"/>
    <w:rsid w:val="00E02176"/>
    <w:rsid w:val="00E02C16"/>
    <w:rsid w:val="00E165BA"/>
    <w:rsid w:val="00E32183"/>
    <w:rsid w:val="00E35F40"/>
    <w:rsid w:val="00E36FE3"/>
    <w:rsid w:val="00E42E34"/>
    <w:rsid w:val="00E47476"/>
    <w:rsid w:val="00E520D3"/>
    <w:rsid w:val="00E524AE"/>
    <w:rsid w:val="00E57BBF"/>
    <w:rsid w:val="00E610B2"/>
    <w:rsid w:val="00E63CF7"/>
    <w:rsid w:val="00E66D2A"/>
    <w:rsid w:val="00E7049E"/>
    <w:rsid w:val="00E72CD0"/>
    <w:rsid w:val="00E83366"/>
    <w:rsid w:val="00E85AE0"/>
    <w:rsid w:val="00E92231"/>
    <w:rsid w:val="00E95000"/>
    <w:rsid w:val="00E97594"/>
    <w:rsid w:val="00EA1106"/>
    <w:rsid w:val="00EA27EF"/>
    <w:rsid w:val="00EA55F7"/>
    <w:rsid w:val="00EB58FA"/>
    <w:rsid w:val="00EC1D7B"/>
    <w:rsid w:val="00EC2628"/>
    <w:rsid w:val="00EC312A"/>
    <w:rsid w:val="00EC4167"/>
    <w:rsid w:val="00EC700E"/>
    <w:rsid w:val="00ED0CA5"/>
    <w:rsid w:val="00ED4D8E"/>
    <w:rsid w:val="00ED6305"/>
    <w:rsid w:val="00ED6C38"/>
    <w:rsid w:val="00EE0687"/>
    <w:rsid w:val="00EF4AC4"/>
    <w:rsid w:val="00F104E4"/>
    <w:rsid w:val="00F115B3"/>
    <w:rsid w:val="00F159B0"/>
    <w:rsid w:val="00F16604"/>
    <w:rsid w:val="00F17B2B"/>
    <w:rsid w:val="00F24ABE"/>
    <w:rsid w:val="00F27F0B"/>
    <w:rsid w:val="00F31968"/>
    <w:rsid w:val="00F36DBC"/>
    <w:rsid w:val="00F44F5F"/>
    <w:rsid w:val="00F50B54"/>
    <w:rsid w:val="00F52D86"/>
    <w:rsid w:val="00F53DAF"/>
    <w:rsid w:val="00F57618"/>
    <w:rsid w:val="00F678DD"/>
    <w:rsid w:val="00F730AC"/>
    <w:rsid w:val="00F74D55"/>
    <w:rsid w:val="00F7792B"/>
    <w:rsid w:val="00F80F5E"/>
    <w:rsid w:val="00F8778E"/>
    <w:rsid w:val="00F91077"/>
    <w:rsid w:val="00F91C8D"/>
    <w:rsid w:val="00F9278C"/>
    <w:rsid w:val="00F97E03"/>
    <w:rsid w:val="00FA5CC5"/>
    <w:rsid w:val="00FB5782"/>
    <w:rsid w:val="00FD03FD"/>
    <w:rsid w:val="00FD335F"/>
    <w:rsid w:val="00FD6DE2"/>
    <w:rsid w:val="00FE3AB4"/>
    <w:rsid w:val="00FE6C4B"/>
    <w:rsid w:val="00FE700A"/>
    <w:rsid w:val="00FF29B9"/>
    <w:rsid w:val="00FF50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98E0"/>
  <w15:docId w15:val="{79BE832D-4366-4D71-B7DC-495559B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38F"/>
    <w:rPr>
      <w:rFonts w:ascii="Tahoma" w:hAnsi="Tahoma" w:cs="Tahoma"/>
      <w:sz w:val="16"/>
      <w:szCs w:val="16"/>
    </w:rPr>
  </w:style>
  <w:style w:type="character" w:customStyle="1" w:styleId="BalloonTextChar">
    <w:name w:val="Balloon Text Char"/>
    <w:basedOn w:val="DefaultParagraphFont"/>
    <w:link w:val="BalloonText"/>
    <w:uiPriority w:val="99"/>
    <w:semiHidden/>
    <w:rsid w:val="009C238F"/>
    <w:rPr>
      <w:rFonts w:ascii="Tahoma" w:hAnsi="Tahoma" w:cs="Tahoma"/>
      <w:sz w:val="16"/>
      <w:szCs w:val="16"/>
    </w:rPr>
  </w:style>
  <w:style w:type="paragraph" w:styleId="Header">
    <w:name w:val="header"/>
    <w:basedOn w:val="Normal"/>
    <w:link w:val="HeaderChar"/>
    <w:uiPriority w:val="99"/>
    <w:unhideWhenUsed/>
    <w:rsid w:val="009929B9"/>
    <w:pPr>
      <w:tabs>
        <w:tab w:val="center" w:pos="4513"/>
        <w:tab w:val="right" w:pos="9026"/>
      </w:tabs>
    </w:pPr>
  </w:style>
  <w:style w:type="character" w:customStyle="1" w:styleId="HeaderChar">
    <w:name w:val="Header Char"/>
    <w:basedOn w:val="DefaultParagraphFont"/>
    <w:link w:val="Header"/>
    <w:uiPriority w:val="99"/>
    <w:rsid w:val="009929B9"/>
  </w:style>
  <w:style w:type="paragraph" w:styleId="Footer">
    <w:name w:val="footer"/>
    <w:basedOn w:val="Normal"/>
    <w:link w:val="FooterChar"/>
    <w:uiPriority w:val="99"/>
    <w:unhideWhenUsed/>
    <w:rsid w:val="009929B9"/>
    <w:pPr>
      <w:tabs>
        <w:tab w:val="center" w:pos="4513"/>
        <w:tab w:val="right" w:pos="9026"/>
      </w:tabs>
    </w:pPr>
  </w:style>
  <w:style w:type="character" w:customStyle="1" w:styleId="FooterChar">
    <w:name w:val="Footer Char"/>
    <w:basedOn w:val="DefaultParagraphFont"/>
    <w:link w:val="Footer"/>
    <w:uiPriority w:val="99"/>
    <w:rsid w:val="009929B9"/>
  </w:style>
  <w:style w:type="paragraph" w:styleId="ListParagraph">
    <w:name w:val="List Paragraph"/>
    <w:basedOn w:val="Normal"/>
    <w:uiPriority w:val="34"/>
    <w:qFormat/>
    <w:rsid w:val="006D7FED"/>
    <w:pPr>
      <w:ind w:left="720"/>
      <w:contextualSpacing/>
    </w:pPr>
    <w:rPr>
      <w:rFonts w:ascii="Dutch TL" w:eastAsia="Times New Roman" w:hAnsi="Dutch TL" w:cs="Times New Roman"/>
      <w:sz w:val="28"/>
      <w:szCs w:val="20"/>
      <w:lang w:eastAsia="zh-TW"/>
    </w:rPr>
  </w:style>
  <w:style w:type="character" w:styleId="CommentReference">
    <w:name w:val="annotation reference"/>
    <w:basedOn w:val="DefaultParagraphFont"/>
    <w:uiPriority w:val="99"/>
    <w:semiHidden/>
    <w:unhideWhenUsed/>
    <w:rsid w:val="00BA4D43"/>
    <w:rPr>
      <w:sz w:val="16"/>
      <w:szCs w:val="16"/>
    </w:rPr>
  </w:style>
  <w:style w:type="paragraph" w:styleId="CommentText">
    <w:name w:val="annotation text"/>
    <w:basedOn w:val="Normal"/>
    <w:link w:val="CommentTextChar"/>
    <w:uiPriority w:val="99"/>
    <w:unhideWhenUsed/>
    <w:rsid w:val="00BA4D43"/>
    <w:rPr>
      <w:sz w:val="20"/>
      <w:szCs w:val="20"/>
    </w:rPr>
  </w:style>
  <w:style w:type="character" w:customStyle="1" w:styleId="CommentTextChar">
    <w:name w:val="Comment Text Char"/>
    <w:basedOn w:val="DefaultParagraphFont"/>
    <w:link w:val="CommentText"/>
    <w:uiPriority w:val="99"/>
    <w:rsid w:val="00BA4D43"/>
    <w:rPr>
      <w:sz w:val="20"/>
      <w:szCs w:val="20"/>
    </w:rPr>
  </w:style>
  <w:style w:type="paragraph" w:styleId="CommentSubject">
    <w:name w:val="annotation subject"/>
    <w:basedOn w:val="CommentText"/>
    <w:next w:val="CommentText"/>
    <w:link w:val="CommentSubjectChar"/>
    <w:uiPriority w:val="99"/>
    <w:semiHidden/>
    <w:unhideWhenUsed/>
    <w:rsid w:val="00BA4D43"/>
    <w:rPr>
      <w:b/>
      <w:bCs/>
    </w:rPr>
  </w:style>
  <w:style w:type="character" w:customStyle="1" w:styleId="CommentSubjectChar">
    <w:name w:val="Comment Subject Char"/>
    <w:basedOn w:val="CommentTextChar"/>
    <w:link w:val="CommentSubject"/>
    <w:uiPriority w:val="99"/>
    <w:semiHidden/>
    <w:rsid w:val="00BA4D43"/>
    <w:rPr>
      <w:b/>
      <w:bCs/>
      <w:sz w:val="20"/>
      <w:szCs w:val="20"/>
    </w:rPr>
  </w:style>
  <w:style w:type="paragraph" w:styleId="Revision">
    <w:name w:val="Revision"/>
    <w:hidden/>
    <w:uiPriority w:val="99"/>
    <w:semiHidden/>
    <w:rsid w:val="00846E70"/>
  </w:style>
  <w:style w:type="paragraph" w:styleId="FootnoteText">
    <w:name w:val="footnote text"/>
    <w:basedOn w:val="Normal"/>
    <w:link w:val="FootnoteTextChar"/>
    <w:uiPriority w:val="99"/>
    <w:rsid w:val="001364EC"/>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1364EC"/>
    <w:rPr>
      <w:rFonts w:eastAsia="Times New Roman" w:cs="Times New Roman"/>
      <w:sz w:val="20"/>
      <w:szCs w:val="20"/>
      <w:lang w:eastAsia="lv-LV"/>
    </w:rPr>
  </w:style>
  <w:style w:type="character" w:styleId="FootnoteReference">
    <w:name w:val="footnote reference"/>
    <w:uiPriority w:val="99"/>
    <w:semiHidden/>
    <w:rsid w:val="001364EC"/>
    <w:rPr>
      <w:vertAlign w:val="superscript"/>
    </w:rPr>
  </w:style>
  <w:style w:type="paragraph" w:styleId="NoSpacing">
    <w:name w:val="No Spacing"/>
    <w:uiPriority w:val="1"/>
    <w:qFormat/>
    <w:rsid w:val="009F3197"/>
    <w:pPr>
      <w:widowControl w:val="0"/>
    </w:pPr>
    <w:rPr>
      <w:rFonts w:ascii="Calibri" w:eastAsia="Calibri" w:hAnsi="Calibri" w:cs="Times New Roman"/>
      <w:sz w:val="22"/>
      <w:lang w:val="en-US"/>
    </w:rPr>
  </w:style>
  <w:style w:type="character" w:styleId="Hyperlink">
    <w:name w:val="Hyperlink"/>
    <w:basedOn w:val="DefaultParagraphFont"/>
    <w:uiPriority w:val="99"/>
    <w:unhideWhenUsed/>
    <w:rsid w:val="007C6006"/>
    <w:rPr>
      <w:color w:val="0000FF" w:themeColor="hyperlink"/>
      <w:u w:val="single"/>
    </w:rPr>
  </w:style>
  <w:style w:type="character" w:customStyle="1" w:styleId="Hipersaite1">
    <w:name w:val="Hipersaite1"/>
    <w:basedOn w:val="DefaultParagraphFont"/>
    <w:uiPriority w:val="99"/>
    <w:unhideWhenUsed/>
    <w:rsid w:val="003B137A"/>
    <w:rPr>
      <w:color w:val="0000FF"/>
      <w:u w:val="single"/>
    </w:rPr>
  </w:style>
  <w:style w:type="paragraph" w:styleId="NormalWeb">
    <w:name w:val="Normal (Web)"/>
    <w:basedOn w:val="Normal"/>
    <w:uiPriority w:val="99"/>
    <w:unhideWhenUsed/>
    <w:rsid w:val="00D56DE8"/>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823E3D"/>
    <w:pPr>
      <w:spacing w:before="100" w:beforeAutospacing="1" w:after="100" w:afterAutospacing="1"/>
    </w:pPr>
    <w:rPr>
      <w:rFonts w:eastAsia="Times New Roman" w:cs="Times New Roman"/>
      <w:szCs w:val="24"/>
      <w:lang w:eastAsia="lv-LV"/>
    </w:rPr>
  </w:style>
  <w:style w:type="paragraph" w:styleId="BodyText">
    <w:name w:val="Body Text"/>
    <w:basedOn w:val="Normal"/>
    <w:link w:val="BodyTextChar"/>
    <w:rsid w:val="009A070B"/>
    <w:pPr>
      <w:jc w:val="center"/>
    </w:pPr>
    <w:rPr>
      <w:rFonts w:eastAsia="Times New Roman" w:cs="Times New Roman"/>
      <w:b/>
      <w:bCs/>
      <w:sz w:val="28"/>
      <w:szCs w:val="28"/>
    </w:rPr>
  </w:style>
  <w:style w:type="character" w:customStyle="1" w:styleId="BodyTextChar">
    <w:name w:val="Body Text Char"/>
    <w:basedOn w:val="DefaultParagraphFont"/>
    <w:link w:val="BodyText"/>
    <w:rsid w:val="009A070B"/>
    <w:rPr>
      <w:rFonts w:eastAsia="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484">
      <w:bodyDiv w:val="1"/>
      <w:marLeft w:val="0"/>
      <w:marRight w:val="0"/>
      <w:marTop w:val="0"/>
      <w:marBottom w:val="0"/>
      <w:divBdr>
        <w:top w:val="none" w:sz="0" w:space="0" w:color="auto"/>
        <w:left w:val="none" w:sz="0" w:space="0" w:color="auto"/>
        <w:bottom w:val="none" w:sz="0" w:space="0" w:color="auto"/>
        <w:right w:val="none" w:sz="0" w:space="0" w:color="auto"/>
      </w:divBdr>
    </w:div>
    <w:div w:id="207451118">
      <w:bodyDiv w:val="1"/>
      <w:marLeft w:val="0"/>
      <w:marRight w:val="0"/>
      <w:marTop w:val="0"/>
      <w:marBottom w:val="0"/>
      <w:divBdr>
        <w:top w:val="none" w:sz="0" w:space="0" w:color="auto"/>
        <w:left w:val="none" w:sz="0" w:space="0" w:color="auto"/>
        <w:bottom w:val="none" w:sz="0" w:space="0" w:color="auto"/>
        <w:right w:val="none" w:sz="0" w:space="0" w:color="auto"/>
      </w:divBdr>
    </w:div>
    <w:div w:id="240910565">
      <w:bodyDiv w:val="1"/>
      <w:marLeft w:val="0"/>
      <w:marRight w:val="0"/>
      <w:marTop w:val="0"/>
      <w:marBottom w:val="0"/>
      <w:divBdr>
        <w:top w:val="none" w:sz="0" w:space="0" w:color="auto"/>
        <w:left w:val="none" w:sz="0" w:space="0" w:color="auto"/>
        <w:bottom w:val="none" w:sz="0" w:space="0" w:color="auto"/>
        <w:right w:val="none" w:sz="0" w:space="0" w:color="auto"/>
      </w:divBdr>
      <w:divsChild>
        <w:div w:id="1245602379">
          <w:marLeft w:val="0"/>
          <w:marRight w:val="0"/>
          <w:marTop w:val="0"/>
          <w:marBottom w:val="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sChild>
                <w:div w:id="186649492">
                  <w:marLeft w:val="0"/>
                  <w:marRight w:val="0"/>
                  <w:marTop w:val="0"/>
                  <w:marBottom w:val="0"/>
                  <w:divBdr>
                    <w:top w:val="none" w:sz="0" w:space="0" w:color="auto"/>
                    <w:left w:val="none" w:sz="0" w:space="0" w:color="auto"/>
                    <w:bottom w:val="none" w:sz="0" w:space="0" w:color="auto"/>
                    <w:right w:val="none" w:sz="0" w:space="0" w:color="auto"/>
                  </w:divBdr>
                  <w:divsChild>
                    <w:div w:id="197203906">
                      <w:marLeft w:val="0"/>
                      <w:marRight w:val="0"/>
                      <w:marTop w:val="0"/>
                      <w:marBottom w:val="0"/>
                      <w:divBdr>
                        <w:top w:val="none" w:sz="0" w:space="0" w:color="auto"/>
                        <w:left w:val="none" w:sz="0" w:space="0" w:color="auto"/>
                        <w:bottom w:val="none" w:sz="0" w:space="0" w:color="auto"/>
                        <w:right w:val="none" w:sz="0" w:space="0" w:color="auto"/>
                      </w:divBdr>
                      <w:divsChild>
                        <w:div w:id="195043167">
                          <w:marLeft w:val="0"/>
                          <w:marRight w:val="0"/>
                          <w:marTop w:val="0"/>
                          <w:marBottom w:val="0"/>
                          <w:divBdr>
                            <w:top w:val="none" w:sz="0" w:space="0" w:color="auto"/>
                            <w:left w:val="none" w:sz="0" w:space="0" w:color="auto"/>
                            <w:bottom w:val="none" w:sz="0" w:space="0" w:color="auto"/>
                            <w:right w:val="none" w:sz="0" w:space="0" w:color="auto"/>
                          </w:divBdr>
                          <w:divsChild>
                            <w:div w:id="9422242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87133">
      <w:bodyDiv w:val="1"/>
      <w:marLeft w:val="0"/>
      <w:marRight w:val="0"/>
      <w:marTop w:val="0"/>
      <w:marBottom w:val="0"/>
      <w:divBdr>
        <w:top w:val="none" w:sz="0" w:space="0" w:color="auto"/>
        <w:left w:val="none" w:sz="0" w:space="0" w:color="auto"/>
        <w:bottom w:val="none" w:sz="0" w:space="0" w:color="auto"/>
        <w:right w:val="none" w:sz="0" w:space="0" w:color="auto"/>
      </w:divBdr>
    </w:div>
    <w:div w:id="20294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8C21-479D-4032-8D96-88DBE8CC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3273</Words>
  <Characters>1867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AIMizz_251019_DCA_Annex;</vt:lpstr>
    </vt:vector>
  </TitlesOfParts>
  <Manager>AIM</Manager>
  <Company>JD</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AIMizz_251019_DCA_Annex;</dc:title>
  <dc:subject>Izziņa par atzinumos sniegtajiem iebildumiem</dc:subject>
  <dc:creator>Sigita Atvara</dc:creator>
  <dc:description>Sigita.Atvara@mod.gov.lv;_x000d_
67335169</dc:description>
  <cp:lastModifiedBy>Signe Šadurska</cp:lastModifiedBy>
  <cp:revision>10</cp:revision>
  <cp:lastPrinted>2018-07-30T08:25:00Z</cp:lastPrinted>
  <dcterms:created xsi:type="dcterms:W3CDTF">2019-12-02T11:04:00Z</dcterms:created>
  <dcterms:modified xsi:type="dcterms:W3CDTF">2019-12-04T14:31:00Z</dcterms:modified>
</cp:coreProperties>
</file>