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9F9C" w14:textId="77777777" w:rsidR="004702F8" w:rsidRDefault="00DB2F36">
      <w:pPr>
        <w:spacing w:after="180"/>
        <w:jc w:val="center"/>
        <w:rPr>
          <w:b/>
        </w:rPr>
      </w:pPr>
      <w:r>
        <w:rPr>
          <w:b/>
        </w:rPr>
        <w:t>Ministru kabineta rīkojuma projekta “Par valstij dividendēs izmaksājamo sabiedrības ar ierobežotu atbildību “Latvijas standarts” peļņas daļu par 2018.gadu” sākotnējās ietekmes novērtējuma ziņojums (anotācija)</w:t>
      </w:r>
    </w:p>
    <w:tbl>
      <w:tblPr>
        <w:tblStyle w:val="TableGrid"/>
        <w:tblW w:w="9113" w:type="dxa"/>
        <w:tblInd w:w="-5" w:type="dxa"/>
        <w:tblLook w:val="04A0" w:firstRow="1" w:lastRow="0" w:firstColumn="1" w:lastColumn="0" w:noHBand="0" w:noVBand="1"/>
      </w:tblPr>
      <w:tblGrid>
        <w:gridCol w:w="3114"/>
        <w:gridCol w:w="5999"/>
      </w:tblGrid>
      <w:tr w:rsidR="004702F8" w14:paraId="47F0DEBC" w14:textId="77777777">
        <w:trPr>
          <w:trHeight w:val="289"/>
        </w:trPr>
        <w:tc>
          <w:tcPr>
            <w:tcW w:w="9112" w:type="dxa"/>
            <w:gridSpan w:val="2"/>
            <w:shd w:val="clear" w:color="auto" w:fill="auto"/>
          </w:tcPr>
          <w:p w14:paraId="1C9CD700" w14:textId="77777777" w:rsidR="004702F8" w:rsidRDefault="00DB2F36">
            <w:pPr>
              <w:jc w:val="center"/>
              <w:rPr>
                <w:b/>
              </w:rPr>
            </w:pPr>
            <w:r>
              <w:rPr>
                <w:b/>
                <w:iCs/>
              </w:rPr>
              <w:t>Tiesību akta projekta anotācijas kopsavilkums</w:t>
            </w:r>
          </w:p>
        </w:tc>
      </w:tr>
      <w:tr w:rsidR="004702F8" w14:paraId="599C451D" w14:textId="77777777">
        <w:trPr>
          <w:trHeight w:val="578"/>
        </w:trPr>
        <w:tc>
          <w:tcPr>
            <w:tcW w:w="3114" w:type="dxa"/>
            <w:shd w:val="clear" w:color="auto" w:fill="auto"/>
          </w:tcPr>
          <w:p w14:paraId="7E9DB3ED" w14:textId="77777777" w:rsidR="004702F8" w:rsidRDefault="00DB2F36">
            <w:pPr>
              <w:jc w:val="both"/>
              <w:rPr>
                <w:b/>
                <w:iCs/>
              </w:rPr>
            </w:pPr>
            <w:r>
              <w:rPr>
                <w:lang w:eastAsia="en-US"/>
              </w:rPr>
              <w:t>Mērķis, risinājums un projekta spēkā stāšanās laiks (500 zīmes bez atstarpēm)</w:t>
            </w:r>
          </w:p>
        </w:tc>
        <w:tc>
          <w:tcPr>
            <w:tcW w:w="5998" w:type="dxa"/>
            <w:shd w:val="clear" w:color="auto" w:fill="auto"/>
          </w:tcPr>
          <w:p w14:paraId="030C7EF1" w14:textId="77777777" w:rsidR="004702F8" w:rsidRDefault="00DB2F36">
            <w:pPr>
              <w:jc w:val="both"/>
            </w:pPr>
            <w:r>
              <w:tab/>
              <w:t xml:space="preserve">Ministru kabineta rīkojuma projekts “Par valstij dividendēs izmaksājamo sabiedrības ar ierobežotu atbildību “Latvijas standarts” peļņas daļu par 2018.gadu” (turpmāk – Projekts) paredz saglabāt nacionālās standartizācijas institūcijas - sabiedrības ar ierobežotu atbildību “Latvijas standarts” (turpmāk – kapitālsabiedrība) rīcībā 2018.gada peļņas daļu 63 765 </w:t>
            </w:r>
            <w:r>
              <w:rPr>
                <w:i/>
                <w:iCs/>
              </w:rPr>
              <w:t>euro</w:t>
            </w:r>
            <w:r>
              <w:t xml:space="preserve"> apmērā un novirzīt šos līdzekļus kapitālsabiedrības vidēja termiņa darbības stratēģijā 2019.-2023.gadam plānotajām investīcijām.</w:t>
            </w:r>
          </w:p>
          <w:p w14:paraId="116E9023" w14:textId="77777777" w:rsidR="004702F8" w:rsidRDefault="00DB2F36">
            <w:pPr>
              <w:ind w:firstLine="600"/>
              <w:jc w:val="both"/>
            </w:pPr>
            <w:r>
              <w:t>Ministru kabineta rīkojums stājas spēkā tā parakstīšanas brīdī.</w:t>
            </w:r>
            <w:bookmarkStart w:id="0" w:name="OLE_LINK2"/>
            <w:bookmarkStart w:id="1" w:name="OLE_LINK1"/>
            <w:bookmarkStart w:id="2" w:name="OLE_LINK5"/>
            <w:bookmarkStart w:id="3" w:name="OLE_LINK4"/>
            <w:bookmarkStart w:id="4" w:name="OLE_LINK3"/>
            <w:bookmarkEnd w:id="0"/>
            <w:bookmarkEnd w:id="1"/>
            <w:bookmarkEnd w:id="2"/>
            <w:bookmarkEnd w:id="3"/>
            <w:bookmarkEnd w:id="4"/>
          </w:p>
        </w:tc>
      </w:tr>
    </w:tbl>
    <w:p w14:paraId="5B14556E" w14:textId="77777777" w:rsidR="004702F8" w:rsidRDefault="004702F8">
      <w:pPr>
        <w:tabs>
          <w:tab w:val="left" w:pos="7230"/>
        </w:tabs>
        <w:rPr>
          <w:color w:val="FF0000"/>
        </w:rPr>
      </w:pPr>
    </w:p>
    <w:tbl>
      <w:tblPr>
        <w:tblW w:w="9068" w:type="dxa"/>
        <w:tblInd w:w="15" w:type="dxa"/>
        <w:tblCellMar>
          <w:left w:w="5" w:type="dxa"/>
          <w:right w:w="5" w:type="dxa"/>
        </w:tblCellMar>
        <w:tblLook w:val="0000" w:firstRow="0" w:lastRow="0" w:firstColumn="0" w:lastColumn="0" w:noHBand="0" w:noVBand="0"/>
      </w:tblPr>
      <w:tblGrid>
        <w:gridCol w:w="523"/>
        <w:gridCol w:w="2571"/>
        <w:gridCol w:w="5974"/>
      </w:tblGrid>
      <w:tr w:rsidR="004702F8" w14:paraId="436502E6" w14:textId="77777777">
        <w:tc>
          <w:tcPr>
            <w:tcW w:w="9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1E4C61" w14:textId="77777777" w:rsidR="004702F8" w:rsidRDefault="00DB2F36">
            <w:pPr>
              <w:jc w:val="center"/>
            </w:pPr>
            <w:r>
              <w:rPr>
                <w:b/>
              </w:rPr>
              <w:t>I. Tiesību akta projekta izstrādes nepieciešamība</w:t>
            </w:r>
          </w:p>
        </w:tc>
      </w:tr>
      <w:tr w:rsidR="004702F8" w14:paraId="66F481EB" w14:textId="77777777">
        <w:trPr>
          <w:trHeight w:val="439"/>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152D0D58" w14:textId="77777777" w:rsidR="004702F8" w:rsidRDefault="00DB2F36">
            <w:r>
              <w:t>1.</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7C65AFFF" w14:textId="77777777" w:rsidR="004702F8" w:rsidRDefault="00DB2F36">
            <w:r>
              <w:t>Pamatojums</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641DD154" w14:textId="77777777" w:rsidR="004702F8" w:rsidRDefault="00DB2F36">
            <w:pPr>
              <w:jc w:val="both"/>
            </w:pPr>
            <w:r>
              <w:tab/>
              <w:t>Publiskas personas kapitāla daļu un kapitālsabiedrību pārvaldības likuma 28.panta trešā un ceturtā daļa,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11.2.4. apakšpunkts un 15.punkts.</w:t>
            </w:r>
          </w:p>
        </w:tc>
      </w:tr>
      <w:tr w:rsidR="004702F8" w14:paraId="386C565A" w14:textId="77777777">
        <w:trPr>
          <w:trHeight w:val="705"/>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D28FE9E" w14:textId="77777777" w:rsidR="004702F8" w:rsidRDefault="00DB2F36">
            <w:r>
              <w:t>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38BCE2F8" w14:textId="77777777" w:rsidR="004702F8" w:rsidRDefault="00DB2F36">
            <w:r>
              <w:t>Pašreizējā situācija un problēmas, kuru risināšanai tiesību akta projekts izstrādāts, tiesiskā regulējuma mērķis un būtība</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415C0954" w14:textId="77777777" w:rsidR="004702F8" w:rsidRDefault="00DB2F36">
            <w:pPr>
              <w:pStyle w:val="naiskr"/>
              <w:spacing w:before="60" w:after="0"/>
              <w:jc w:val="both"/>
            </w:pPr>
            <w:r>
              <w:tab/>
              <w:t>Kapitālsabiedrība ir 100% valsts kapitālsabiedrība, kas atbilstoši Standartizācijas likumam darbojas kā nacionālā standartizācijas institūcija, kas īsteno valsts politiku standartizācijas jomā, kā arī attīsta standartizācijas sistēmas darbību valstī kopējas kvalitātes infrastruktūras nodrošināšanai.</w:t>
            </w:r>
          </w:p>
          <w:p w14:paraId="02DEAF11" w14:textId="77777777" w:rsidR="004702F8" w:rsidRDefault="00DB2F36">
            <w:pPr>
              <w:jc w:val="both"/>
            </w:pPr>
            <w:r>
              <w:tab/>
              <w:t>Saskaņā ar likuma “Par vidēja termiņa budžeta ietvaru 2018., 2019. un 2020.gadam” 24.panta pirmo daļu minimālo dividendēs izmaksājamo peļņas daļu kapitālsabiedrībām, kurās visas kapitāla daļas tieši vai pastarpināti pieder valstij, 2019.gadā (par 2018.gada pārskata gadu) nosaka un aprēķina 85 procentu apmērā no attiecīgās kapitālsabiedrības peļņas, ja šajā likumā nav noteikts citādi.</w:t>
            </w:r>
          </w:p>
          <w:p w14:paraId="33EEC098" w14:textId="77777777" w:rsidR="004702F8" w:rsidRDefault="00DB2F36">
            <w:pPr>
              <w:pStyle w:val="naiskr"/>
              <w:spacing w:before="60" w:after="0"/>
              <w:jc w:val="both"/>
            </w:pPr>
            <w:r>
              <w:tab/>
              <w:t>Saskaņā ar Ministru kabineta 2018.gada 31.oktobra rīkojumu Nr. 558 “</w:t>
            </w:r>
            <w:r>
              <w:rPr>
                <w:bCs/>
              </w:rPr>
              <w:t>Par sabiedrības ar ierobežotu atbildību “Latvijas standarts” vispārējo stratēģisko mērķi</w:t>
            </w:r>
            <w:r>
              <w:t>” ir noteikts kapitālsabiedrības vispārējais stratēģiskais mērķis – nodrošināt sabiedrībai pieejamus un uzticamus standartizācijas pakalpojumus, organizējot Latvijas nacionālo standartu izstrādi un Eiropas un starptautisko standartu adaptāciju atbilstoši starptautiskajiem standartizācijas principiem, novēršot tirgus nepilnību un sekmējot Latvijas uzņēmumu produktivitāti, konkurētspēju, eksportspēju un iekļaušanos globālajās vērtību ķēdēs.</w:t>
            </w:r>
          </w:p>
          <w:p w14:paraId="695F6182" w14:textId="77777777" w:rsidR="004702F8" w:rsidRDefault="00DB2F36">
            <w:pPr>
              <w:pStyle w:val="naiskr"/>
              <w:spacing w:before="0" w:after="0"/>
              <w:jc w:val="both"/>
            </w:pPr>
            <w:r>
              <w:lastRenderedPageBreak/>
              <w:tab/>
              <w:t>Ievērojot kapitālsabiedrības noteikto vispārējo stratēģisko mērķi, kapitālsabiedrība ir izstrādājusi vidēja termiņa darbības stratēģiju “Sabiedrības ar ierobežotu atbildību “Latvijas standarts” vidēja termiņa darbības stratēģija 2019.-2023.gadam” (turpmāk – Stratēģija)</w:t>
            </w:r>
            <w:r>
              <w:rPr>
                <w:iCs/>
              </w:rPr>
              <w:t>, kurā sagatavots kapitālsabiedrības sekmīgai darbībai nepieciešamais investīciju plāns turpmākajiem gadiem, lai nodrošinātu Stratēģijā ietverto nefinanšu mērķu sasniegšanu un kapitālsabiedrības ilgtermiņa attīstību.</w:t>
            </w:r>
          </w:p>
          <w:p w14:paraId="0B2CA45A" w14:textId="408F946D" w:rsidR="004702F8" w:rsidRDefault="00DB2F36" w:rsidP="00060EDD">
            <w:pPr>
              <w:pStyle w:val="naiskr"/>
              <w:spacing w:before="60" w:after="0"/>
              <w:jc w:val="both"/>
              <w:rPr>
                <w:b/>
                <w:bCs/>
              </w:rPr>
            </w:pPr>
            <w:r>
              <w:tab/>
              <w:t xml:space="preserve">Atbilstoši Standartizācijas likuma 17.panta pirmās daļas 1.punktam 2014.gadā sadarbībā ar Ekonomikas ministriju tika veiktas investīcijas un izveidota Nacionālās standartizācijas institūcijas informācijas sistēma. Lai nodrošinātu </w:t>
            </w:r>
            <w:r w:rsidR="00B041D3">
              <w:t xml:space="preserve">informācijas </w:t>
            </w:r>
            <w:r>
              <w:t xml:space="preserve">sistēmas turpmāko funkcionēšanu un sekmētu ieguldīto investīciju atdeves saglabāšanos, līdz 2020.gada beigām, nepieciešamas papildus investīcijas sistēmas saderības nodrošināšanai ar </w:t>
            </w:r>
            <w:r w:rsidRPr="00DB2F36">
              <w:t>starptautisko</w:t>
            </w:r>
            <w:r>
              <w:t xml:space="preserve"> (Starptautiskā standartizācijas organizācija (turpmāk - ISO), Starptautiskā Elektrotehnikas komisija (turpmāk - IEC) un Eiropas (Eiropas Standartizācijas komiteja (turpmāk - CEN), Eiropas Elektrotehnikas standartizācijas komiteja (turpmāk - CENELEC), Eiropas Telekomunikāciju standartu institūts (turpmāk - ETSI)) </w:t>
            </w:r>
            <w:r w:rsidRPr="00060EDD">
              <w:t xml:space="preserve">standartizācijas </w:t>
            </w:r>
            <w:r w:rsidR="00B041D3" w:rsidRPr="00060EDD">
              <w:t>organizāciju</w:t>
            </w:r>
            <w:r w:rsidRPr="00060EDD">
              <w:t xml:space="preserve"> datu apmaiņas servisiem un standartizācijas darba plūsmu pielāgošanai jaunajam datu modelim nodrošinot Latvijas standartizācijas tehnisko komiteju ekspertu darba vidi un darba produktivitāti.</w:t>
            </w:r>
          </w:p>
          <w:p w14:paraId="5894F640" w14:textId="6C89BCFB" w:rsidR="003419CF" w:rsidRDefault="00B041D3" w:rsidP="00060EDD">
            <w:pPr>
              <w:pStyle w:val="naiskr"/>
              <w:spacing w:before="60" w:after="0"/>
              <w:ind w:firstLine="720"/>
              <w:jc w:val="both"/>
            </w:pPr>
            <w:r w:rsidRPr="00B041D3">
              <w:t xml:space="preserve">Ja netiks veiktas investīcijas kapitālsabiedrības informācijas sistēmā, tā nespēs funkcionēt un kapitālsabiedrība nespēs īstenot noteikto stratēģisko mērķi, t.i. nodrošināt  sabiedrībai pieejamus un uzticamus standartizācijas pakalpojumus, organizējot Latvijas nacionālo standartu izstrādi un Eiropas un starptautisko standartu adaptāciju atbilstoši starptautiskajiem standartizācijas principiem. Pie esošā nodrošinājuma kapitālsabiedrības </w:t>
            </w:r>
            <w:r>
              <w:t xml:space="preserve">informācijas </w:t>
            </w:r>
            <w:r w:rsidRPr="00B041D3">
              <w:t>sistēma nespēs saņemt datus no šīm</w:t>
            </w:r>
            <w:r>
              <w:t xml:space="preserve"> standartizācijas </w:t>
            </w:r>
            <w:r w:rsidRPr="00B041D3">
              <w:t>organizācij</w:t>
            </w:r>
            <w:r>
              <w:t>u informācijas sistēmām</w:t>
            </w:r>
            <w:r w:rsidRPr="00B041D3">
              <w:t>, kas nepieciešams pilnīgai un savlaicīgai Eiropas un starptautisko standartu pārņemšanai nacionālo standartu statusā.</w:t>
            </w:r>
            <w:r>
              <w:t xml:space="preserve"> Minētās standartizācijas </w:t>
            </w:r>
            <w:r w:rsidRPr="00B041D3">
              <w:t>organizācij</w:t>
            </w:r>
            <w:r w:rsidR="003419CF">
              <w:t>as līdzšinējo</w:t>
            </w:r>
            <w:r>
              <w:t xml:space="preserve"> informācijas sistēm</w:t>
            </w:r>
            <w:r w:rsidR="003419CF">
              <w:t xml:space="preserve">u datu servisu un plūsmas saderību un pāreju uz jauno kārtību </w:t>
            </w:r>
            <w:r>
              <w:t>nodrošinās pēc šāda laika grafika:</w:t>
            </w:r>
          </w:p>
          <w:p w14:paraId="54CF8F0B" w14:textId="22B01FBA" w:rsidR="003419CF" w:rsidRDefault="00B041D3" w:rsidP="00060EDD">
            <w:pPr>
              <w:pStyle w:val="naiskr"/>
              <w:numPr>
                <w:ilvl w:val="0"/>
                <w:numId w:val="2"/>
              </w:numPr>
              <w:spacing w:before="60" w:after="0"/>
              <w:ind w:left="357" w:hanging="357"/>
              <w:jc w:val="both"/>
            </w:pPr>
            <w:r w:rsidRPr="00B041D3">
              <w:t>11.2019</w:t>
            </w:r>
            <w:r>
              <w:t>.</w:t>
            </w:r>
            <w:r w:rsidRPr="00B041D3">
              <w:t>-02.2020</w:t>
            </w:r>
            <w:r>
              <w:t>.</w:t>
            </w:r>
            <w:r w:rsidRPr="00B041D3">
              <w:t xml:space="preserve"> </w:t>
            </w:r>
            <w:r w:rsidR="003419CF">
              <w:t xml:space="preserve">- </w:t>
            </w:r>
            <w:r w:rsidRPr="00B041D3">
              <w:t>jaunie datu servisi pieejami testēšanai;</w:t>
            </w:r>
          </w:p>
          <w:p w14:paraId="688D7041" w14:textId="013C131A" w:rsidR="003419CF" w:rsidRDefault="00B041D3" w:rsidP="003419CF">
            <w:pPr>
              <w:pStyle w:val="naiskr"/>
              <w:numPr>
                <w:ilvl w:val="0"/>
                <w:numId w:val="2"/>
              </w:numPr>
              <w:spacing w:before="0" w:after="0"/>
              <w:jc w:val="both"/>
            </w:pPr>
            <w:r w:rsidRPr="00B041D3">
              <w:t>03.2020</w:t>
            </w:r>
            <w:r w:rsidR="003419CF">
              <w:t>.</w:t>
            </w:r>
            <w:r w:rsidRPr="00B041D3">
              <w:t>-12.2020</w:t>
            </w:r>
            <w:r w:rsidR="003419CF">
              <w:t xml:space="preserve">. - </w:t>
            </w:r>
            <w:r w:rsidRPr="00B041D3">
              <w:t>paralēli tiek darbināti vecie un jauni datu servisi;</w:t>
            </w:r>
          </w:p>
          <w:p w14:paraId="13696BAA" w14:textId="2786A958" w:rsidR="00B041D3" w:rsidRPr="007E42FC" w:rsidRDefault="00B041D3" w:rsidP="003419CF">
            <w:pPr>
              <w:pStyle w:val="naiskr"/>
              <w:numPr>
                <w:ilvl w:val="0"/>
                <w:numId w:val="2"/>
              </w:numPr>
              <w:spacing w:before="0" w:after="0"/>
              <w:jc w:val="both"/>
            </w:pPr>
            <w:r w:rsidRPr="00B041D3">
              <w:t>31.12.2020</w:t>
            </w:r>
            <w:r w:rsidR="003419CF">
              <w:t xml:space="preserve">. - </w:t>
            </w:r>
            <w:r w:rsidRPr="00B041D3">
              <w:t>datu apmaiņa iespējam tikai un vienīgi izmantojot jaunos datu servisus</w:t>
            </w:r>
            <w:r w:rsidR="003419CF">
              <w:t>.</w:t>
            </w:r>
          </w:p>
          <w:p w14:paraId="4AA9C84B" w14:textId="6AF6A1A9" w:rsidR="004702F8" w:rsidRDefault="00DB2F36" w:rsidP="003419CF">
            <w:pPr>
              <w:pStyle w:val="naiskr"/>
              <w:spacing w:before="120" w:after="0"/>
              <w:jc w:val="both"/>
            </w:pPr>
            <w:r>
              <w:tab/>
            </w:r>
            <w:r w:rsidR="00B041D3">
              <w:t xml:space="preserve">Kapitālsabiedrības </w:t>
            </w:r>
            <w:r>
              <w:t xml:space="preserve">2018.gadā gūto peļņu ir paredzēts novirzīt informācijas tehnoloģiju infrastruktūras attīstībai atbilstoši </w:t>
            </w:r>
            <w:r w:rsidR="0082401A">
              <w:t>S</w:t>
            </w:r>
            <w:r>
              <w:t>tratēģijā 2019.-2023.gadam iekļautaj</w:t>
            </w:r>
            <w:r w:rsidR="00566138">
              <w:t>ām</w:t>
            </w:r>
            <w:r>
              <w:t xml:space="preserve"> investīciju plāna prioritāt</w:t>
            </w:r>
            <w:r w:rsidR="00F933B3">
              <w:t xml:space="preserve">ēm - </w:t>
            </w:r>
            <w:r>
              <w:t>“Standartizācijas tehnisko komiteju (STK) darba produktivitātes celšana”</w:t>
            </w:r>
            <w:r w:rsidR="00F933B3">
              <w:t xml:space="preserve"> (Nr.5.3.1.) un </w:t>
            </w:r>
            <w:r w:rsidR="00566138">
              <w:t>“</w:t>
            </w:r>
            <w:r w:rsidR="00566138" w:rsidRPr="00566138">
              <w:t xml:space="preserve">Standartizācijas </w:t>
            </w:r>
            <w:r w:rsidR="00566138" w:rsidRPr="00566138">
              <w:lastRenderedPageBreak/>
              <w:t>informācijas sistēmas uzturēšana</w:t>
            </w:r>
            <w:r w:rsidR="00566138">
              <w:t>” (Nr.5.4.1.)</w:t>
            </w:r>
            <w:r>
              <w:t>. Š</w:t>
            </w:r>
            <w:r w:rsidR="00F933B3">
              <w:t>o</w:t>
            </w:r>
            <w:r>
              <w:t xml:space="preserve"> prioritā</w:t>
            </w:r>
            <w:r w:rsidR="00F933B3">
              <w:t xml:space="preserve">šu </w:t>
            </w:r>
            <w:r>
              <w:t>ietvaros paredzēts:</w:t>
            </w:r>
          </w:p>
          <w:p w14:paraId="6E75B68A" w14:textId="08CF61F6" w:rsidR="004702F8" w:rsidRDefault="00DB2F36">
            <w:pPr>
              <w:pStyle w:val="naiskr"/>
              <w:spacing w:before="60" w:after="0"/>
              <w:jc w:val="both"/>
            </w:pPr>
            <w:r>
              <w:t xml:space="preserve">1) </w:t>
            </w:r>
            <w:r w:rsidRPr="00566138">
              <w:rPr>
                <w:u w:val="single"/>
              </w:rPr>
              <w:t>2020.gada I.</w:t>
            </w:r>
            <w:r w:rsidR="005C3388" w:rsidRPr="00566138">
              <w:rPr>
                <w:u w:val="single"/>
              </w:rPr>
              <w:t xml:space="preserve"> </w:t>
            </w:r>
            <w:r w:rsidRPr="00566138">
              <w:rPr>
                <w:u w:val="single"/>
              </w:rPr>
              <w:t>pusgadā</w:t>
            </w:r>
            <w:r>
              <w:t xml:space="preserve"> izstrādāt informācijas sistēmas uzlabojumu projekta dokumentāciju atbilstoši ISO/IEC/CEN/CENELEC izstrādātajam datu modelim un datu apmaiņas servisiem, kas nodrošinātu pilna cikla risinājumu standartizācijā iesaistīto tautsaimniecības nozaru ekspertu uzdevumu veikšanai tiešsaistē, nodrošinot efektīvu iniciatīvu un projektu īstenošanu, līdzdarbošanos un interešu pārstāvniecību Eiropas un starptautiskajās tehniskajās komitejās. Provizoriski projekta izstrādei nepieciešami 19000 </w:t>
            </w:r>
            <w:r w:rsidR="0049417B">
              <w:t>e</w:t>
            </w:r>
            <w:r>
              <w:t>uro.;</w:t>
            </w:r>
          </w:p>
          <w:p w14:paraId="6B5BBCFA" w14:textId="4005777F" w:rsidR="004432D2" w:rsidRPr="006633EF" w:rsidRDefault="00DB2F36">
            <w:pPr>
              <w:pStyle w:val="naiskr"/>
              <w:spacing w:before="60" w:after="0"/>
              <w:jc w:val="both"/>
              <w:rPr>
                <w:b/>
                <w:bCs/>
              </w:rPr>
            </w:pPr>
            <w:r w:rsidRPr="006633EF">
              <w:rPr>
                <w:b/>
                <w:bCs/>
              </w:rPr>
              <w:t xml:space="preserve">2) </w:t>
            </w:r>
            <w:r w:rsidRPr="006633EF">
              <w:rPr>
                <w:b/>
                <w:bCs/>
                <w:u w:val="single"/>
              </w:rPr>
              <w:t>2020.gada II. pusgadā</w:t>
            </w:r>
            <w:r w:rsidRPr="006633EF">
              <w:rPr>
                <w:b/>
                <w:bCs/>
              </w:rPr>
              <w:t xml:space="preserve"> ieviest izmaiņas datu apmaiņas servisos un darba plūsmās</w:t>
            </w:r>
            <w:r w:rsidR="0049417B" w:rsidRPr="006633EF">
              <w:rPr>
                <w:b/>
                <w:bCs/>
              </w:rPr>
              <w:t xml:space="preserve"> (12000 euro)</w:t>
            </w:r>
            <w:r w:rsidR="00873141" w:rsidRPr="006633EF">
              <w:rPr>
                <w:b/>
                <w:bCs/>
              </w:rPr>
              <w:t xml:space="preserve"> un</w:t>
            </w:r>
            <w:r w:rsidR="0049417B" w:rsidRPr="006633EF">
              <w:rPr>
                <w:b/>
                <w:bCs/>
              </w:rPr>
              <w:t xml:space="preserve"> </w:t>
            </w:r>
            <w:r w:rsidRPr="006633EF">
              <w:rPr>
                <w:b/>
                <w:bCs/>
                <w:u w:val="single"/>
              </w:rPr>
              <w:t>2021.-2022.gadā</w:t>
            </w:r>
            <w:r w:rsidRPr="006633EF">
              <w:rPr>
                <w:b/>
                <w:bCs/>
              </w:rPr>
              <w:t xml:space="preserve"> pabeigt prioritātes īstenošanu organizējot STK darbu tiešsaistē</w:t>
            </w:r>
            <w:r w:rsidR="0049417B" w:rsidRPr="006633EF">
              <w:rPr>
                <w:b/>
                <w:bCs/>
              </w:rPr>
              <w:t xml:space="preserve"> (23200 euro)</w:t>
            </w:r>
            <w:r w:rsidRPr="006633EF">
              <w:rPr>
                <w:b/>
                <w:bCs/>
              </w:rPr>
              <w:t>.</w:t>
            </w:r>
            <w:r w:rsidR="0049417B" w:rsidRPr="006633EF">
              <w:rPr>
                <w:b/>
                <w:bCs/>
              </w:rPr>
              <w:t xml:space="preserve"> </w:t>
            </w:r>
            <w:r w:rsidRPr="006633EF">
              <w:rPr>
                <w:b/>
                <w:bCs/>
              </w:rPr>
              <w:t xml:space="preserve">Provizoriski </w:t>
            </w:r>
            <w:r w:rsidR="0049417B" w:rsidRPr="006633EF">
              <w:rPr>
                <w:b/>
                <w:bCs/>
              </w:rPr>
              <w:t xml:space="preserve">šī </w:t>
            </w:r>
            <w:r w:rsidRPr="006633EF">
              <w:rPr>
                <w:b/>
                <w:bCs/>
              </w:rPr>
              <w:t>projekta ieviešanai nepieciešami 35200 Euro.</w:t>
            </w:r>
          </w:p>
          <w:p w14:paraId="6FEC29DE" w14:textId="45BA4FCF" w:rsidR="0033026D" w:rsidRDefault="00873141" w:rsidP="00873141">
            <w:pPr>
              <w:pStyle w:val="naiskr"/>
              <w:spacing w:before="60" w:after="0"/>
              <w:ind w:firstLine="720"/>
              <w:jc w:val="both"/>
              <w:rPr>
                <w:b/>
                <w:bCs/>
              </w:rPr>
            </w:pPr>
            <w:r w:rsidRPr="006633EF">
              <w:rPr>
                <w:b/>
                <w:bCs/>
              </w:rPr>
              <w:t>Šobrīd darbi pie LVS informācijas tehnoloģiju infrastruktūras attīstības atbilstoši Stratēģijā 2019.-2023.gadam iekļautajām investīciju plāna prioritātēm un plāniem vēl nav uzsākti, līdz ar to, stratēģijā</w:t>
            </w:r>
            <w:r w:rsidR="00C07BEB" w:rsidRPr="006633EF">
              <w:rPr>
                <w:b/>
                <w:bCs/>
              </w:rPr>
              <w:t xml:space="preserve"> norādītās prognozes ar summām pa gadiem, kas paredzētas konkrēto prioritāro pasākumu realizācijai </w:t>
            </w:r>
            <w:r w:rsidR="0049417B" w:rsidRPr="006633EF">
              <w:rPr>
                <w:b/>
                <w:bCs/>
              </w:rPr>
              <w:t xml:space="preserve">tiks precizētas </w:t>
            </w:r>
            <w:r w:rsidR="00C07BEB" w:rsidRPr="006633EF">
              <w:rPr>
                <w:b/>
                <w:bCs/>
              </w:rPr>
              <w:t xml:space="preserve"> atbilst</w:t>
            </w:r>
            <w:r w:rsidR="0049417B" w:rsidRPr="006633EF">
              <w:rPr>
                <w:b/>
                <w:bCs/>
              </w:rPr>
              <w:t>oši</w:t>
            </w:r>
            <w:r w:rsidR="00C07BEB" w:rsidRPr="006633EF">
              <w:rPr>
                <w:b/>
                <w:bCs/>
              </w:rPr>
              <w:t xml:space="preserve"> faktiskajai situācijai</w:t>
            </w:r>
            <w:r w:rsidR="0033026D" w:rsidRPr="006633EF">
              <w:rPr>
                <w:b/>
                <w:bCs/>
              </w:rPr>
              <w:t>.</w:t>
            </w:r>
          </w:p>
          <w:p w14:paraId="0AE96FEB" w14:textId="63A6786D" w:rsidR="004702F8" w:rsidRDefault="00DB2F36" w:rsidP="001C1D50">
            <w:pPr>
              <w:pStyle w:val="naiskr"/>
              <w:spacing w:before="60" w:after="0"/>
              <w:jc w:val="both"/>
            </w:pPr>
            <w:r>
              <w:rPr>
                <w:iCs/>
              </w:rPr>
              <w:tab/>
              <w:t>Kapitālsabiedrības 2018.gada peļņas reinvestēšana pa gadiem, EUR:</w:t>
            </w:r>
          </w:p>
          <w:tbl>
            <w:tblPr>
              <w:tblStyle w:val="TableGrid"/>
              <w:tblW w:w="3229" w:type="dxa"/>
              <w:tblLook w:val="04A0" w:firstRow="1" w:lastRow="0" w:firstColumn="1" w:lastColumn="0" w:noHBand="0" w:noVBand="1"/>
            </w:tblPr>
            <w:tblGrid>
              <w:gridCol w:w="1473"/>
              <w:gridCol w:w="1756"/>
            </w:tblGrid>
            <w:tr w:rsidR="004702F8" w14:paraId="1FC4FFCA" w14:textId="77777777">
              <w:tc>
                <w:tcPr>
                  <w:tcW w:w="1473" w:type="dxa"/>
                  <w:shd w:val="clear" w:color="auto" w:fill="auto"/>
                </w:tcPr>
                <w:p w14:paraId="38774198" w14:textId="77777777" w:rsidR="004702F8" w:rsidRDefault="00DB2F36">
                  <w:pPr>
                    <w:pStyle w:val="naiskr"/>
                    <w:spacing w:before="60" w:after="0"/>
                    <w:jc w:val="center"/>
                  </w:pPr>
                  <w:r>
                    <w:rPr>
                      <w:b/>
                      <w:iCs/>
                    </w:rPr>
                    <w:t>2020</w:t>
                  </w:r>
                </w:p>
              </w:tc>
              <w:tc>
                <w:tcPr>
                  <w:tcW w:w="1755" w:type="dxa"/>
                  <w:shd w:val="clear" w:color="auto" w:fill="auto"/>
                </w:tcPr>
                <w:p w14:paraId="521C3909" w14:textId="77777777" w:rsidR="004702F8" w:rsidRDefault="00DB2F36">
                  <w:pPr>
                    <w:pStyle w:val="naiskr"/>
                    <w:spacing w:before="60" w:after="0"/>
                    <w:jc w:val="center"/>
                  </w:pPr>
                  <w:r>
                    <w:rPr>
                      <w:b/>
                      <w:iCs/>
                    </w:rPr>
                    <w:t>2021</w:t>
                  </w:r>
                </w:p>
              </w:tc>
              <w:bookmarkStart w:id="5" w:name="_GoBack"/>
              <w:bookmarkEnd w:id="5"/>
            </w:tr>
            <w:tr w:rsidR="004702F8" w14:paraId="7BA2A438" w14:textId="77777777">
              <w:tc>
                <w:tcPr>
                  <w:tcW w:w="1473" w:type="dxa"/>
                  <w:shd w:val="clear" w:color="auto" w:fill="auto"/>
                </w:tcPr>
                <w:p w14:paraId="6395A2FA" w14:textId="77777777" w:rsidR="004702F8" w:rsidRDefault="00DB2F36">
                  <w:pPr>
                    <w:pStyle w:val="naiskr"/>
                    <w:spacing w:before="60" w:after="0"/>
                    <w:jc w:val="center"/>
                  </w:pPr>
                  <w:r>
                    <w:rPr>
                      <w:iCs/>
                    </w:rPr>
                    <w:t>31 000</w:t>
                  </w:r>
                </w:p>
              </w:tc>
              <w:tc>
                <w:tcPr>
                  <w:tcW w:w="1755" w:type="dxa"/>
                  <w:shd w:val="clear" w:color="auto" w:fill="auto"/>
                </w:tcPr>
                <w:p w14:paraId="7E9A2C4E" w14:textId="77777777" w:rsidR="004702F8" w:rsidRDefault="00DB2F36">
                  <w:pPr>
                    <w:pStyle w:val="naiskr"/>
                    <w:spacing w:before="60" w:after="0"/>
                    <w:jc w:val="center"/>
                  </w:pPr>
                  <w:r>
                    <w:rPr>
                      <w:iCs/>
                    </w:rPr>
                    <w:t>23 200</w:t>
                  </w:r>
                </w:p>
              </w:tc>
            </w:tr>
          </w:tbl>
          <w:p w14:paraId="16D083A9" w14:textId="17949D0E" w:rsidR="004702F8" w:rsidRDefault="00DB2F36" w:rsidP="000251BD">
            <w:pPr>
              <w:spacing w:before="120"/>
              <w:ind w:firstLine="720"/>
              <w:jc w:val="both"/>
            </w:pPr>
            <w:r>
              <w:t xml:space="preserve">Lai kapitālsabiedrība spētu īstenot Stratēģijā noteiktos mērķus Ekonomikas ministrija ierosina Ministru kabinetam pieņemt lēmumu, ar kuru noteikt kapitālsabiedrībai </w:t>
            </w:r>
            <w:r>
              <w:rPr>
                <w:bCs/>
                <w:szCs w:val="28"/>
              </w:rPr>
              <w:t>neizmaksāt dividendes no tīrās peļņas par 2018.gadu</w:t>
            </w:r>
            <w:r>
              <w:t>.</w:t>
            </w:r>
          </w:p>
          <w:p w14:paraId="5857B94B" w14:textId="77777777" w:rsidR="004702F8" w:rsidRDefault="00DB2F36" w:rsidP="001D4287">
            <w:pPr>
              <w:pStyle w:val="naiskr"/>
              <w:spacing w:before="60" w:after="0"/>
              <w:jc w:val="both"/>
            </w:pPr>
            <w:r>
              <w:tab/>
              <w:t>Papildus jānorāda, peļņas neizmaksāšana dividendēs un tās reinvestēšana nav kvalificējama kā komercdarbības atbalsts. Kapitālsabiedrība organizē valsts pārvaldes, nevalstisko organizāciju un citu ieinteresēto pušu kopdarbu standartu izstrādē, kas pēc būtības nav peļņas orientēts uzdevums. SIA “Latvijas standarts” nekonkurē ar privāto sektoru, bet palīdz tam realizēt normatīvi tehniskās vajadzības nacionālajā, Eiropas un starptautiskajā līmenī.</w:t>
            </w:r>
          </w:p>
        </w:tc>
      </w:tr>
      <w:tr w:rsidR="004702F8" w14:paraId="6D2E8835" w14:textId="77777777">
        <w:trPr>
          <w:trHeight w:val="455"/>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F3987F3" w14:textId="77777777" w:rsidR="004702F8" w:rsidRDefault="00DB2F36">
            <w:r>
              <w:lastRenderedPageBreak/>
              <w:t>3.</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4D21332B" w14:textId="77777777" w:rsidR="004702F8" w:rsidRDefault="00DB2F36">
            <w:r>
              <w:t>Projekta izstrādē iesaistītās institūcijas</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0DB4D3D0" w14:textId="77777777" w:rsidR="004702F8" w:rsidRDefault="00DB2F36">
            <w:pPr>
              <w:jc w:val="both"/>
            </w:pPr>
            <w:r>
              <w:t>Ekonomikas ministrija</w:t>
            </w:r>
          </w:p>
        </w:tc>
      </w:tr>
      <w:tr w:rsidR="004702F8" w14:paraId="5FFC9274" w14:textId="77777777">
        <w:trPr>
          <w:trHeight w:val="165"/>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D2C5B8E" w14:textId="77777777" w:rsidR="004702F8" w:rsidRDefault="00DB2F36">
            <w:r>
              <w:t>4.</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19C12BA2" w14:textId="77777777" w:rsidR="004702F8" w:rsidRDefault="00DB2F36">
            <w:r>
              <w:t>Cita informācija</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22B39F8C" w14:textId="77777777" w:rsidR="004702F8" w:rsidRDefault="004702F8">
            <w:pPr>
              <w:pStyle w:val="naiskr"/>
              <w:spacing w:before="0" w:after="0"/>
              <w:jc w:val="both"/>
              <w:rPr>
                <w:b/>
              </w:rPr>
            </w:pPr>
          </w:p>
        </w:tc>
      </w:tr>
    </w:tbl>
    <w:p w14:paraId="778B48C0" w14:textId="77777777" w:rsidR="004702F8" w:rsidRDefault="004702F8">
      <w:pPr>
        <w:rPr>
          <w:color w:val="FF0000"/>
        </w:rPr>
      </w:pPr>
    </w:p>
    <w:tbl>
      <w:tblPr>
        <w:tblW w:w="9061" w:type="dxa"/>
        <w:tblInd w:w="15" w:type="dxa"/>
        <w:tblCellMar>
          <w:left w:w="5" w:type="dxa"/>
          <w:right w:w="5" w:type="dxa"/>
        </w:tblCellMar>
        <w:tblLook w:val="04A0" w:firstRow="1" w:lastRow="0" w:firstColumn="1" w:lastColumn="0" w:noHBand="0" w:noVBand="1"/>
      </w:tblPr>
      <w:tblGrid>
        <w:gridCol w:w="9061"/>
      </w:tblGrid>
      <w:tr w:rsidR="004702F8" w14:paraId="124B1BFB" w14:textId="77777777">
        <w:tc>
          <w:tcPr>
            <w:tcW w:w="9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DB12" w14:textId="77777777" w:rsidR="004702F8" w:rsidRDefault="00DB2F36">
            <w:pPr>
              <w:jc w:val="center"/>
              <w:rPr>
                <w:b/>
              </w:rPr>
            </w:pPr>
            <w:r>
              <w:rPr>
                <w:b/>
              </w:rPr>
              <w:t>II. Tiesību akta projekta ietekme uz sabiedrību tautsaimniecības attīstību un administratīvo slogu</w:t>
            </w:r>
          </w:p>
        </w:tc>
      </w:tr>
      <w:tr w:rsidR="004702F8" w14:paraId="6A95F828" w14:textId="77777777">
        <w:tc>
          <w:tcPr>
            <w:tcW w:w="9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D28E0" w14:textId="77777777" w:rsidR="004702F8" w:rsidRDefault="00DB2F36">
            <w:pPr>
              <w:jc w:val="center"/>
              <w:rPr>
                <w:b/>
              </w:rPr>
            </w:pPr>
            <w:r>
              <w:t>Projekts šo jomu neskar.</w:t>
            </w:r>
          </w:p>
        </w:tc>
      </w:tr>
    </w:tbl>
    <w:p w14:paraId="165E0E1F" w14:textId="77777777" w:rsidR="004702F8" w:rsidRDefault="004702F8"/>
    <w:tbl>
      <w:tblPr>
        <w:tblW w:w="4850" w:type="pct"/>
        <w:tblCellMar>
          <w:top w:w="30" w:type="dxa"/>
          <w:left w:w="30" w:type="dxa"/>
          <w:bottom w:w="30" w:type="dxa"/>
          <w:right w:w="30" w:type="dxa"/>
        </w:tblCellMar>
        <w:tblLook w:val="04A0" w:firstRow="1" w:lastRow="0" w:firstColumn="1" w:lastColumn="0" w:noHBand="0" w:noVBand="1"/>
      </w:tblPr>
      <w:tblGrid>
        <w:gridCol w:w="1673"/>
        <w:gridCol w:w="1360"/>
        <w:gridCol w:w="1070"/>
        <w:gridCol w:w="865"/>
        <w:gridCol w:w="1070"/>
        <w:gridCol w:w="865"/>
        <w:gridCol w:w="1070"/>
        <w:gridCol w:w="1085"/>
      </w:tblGrid>
      <w:tr w:rsidR="004702F8" w14:paraId="751FA10E" w14:textId="77777777">
        <w:tc>
          <w:tcPr>
            <w:tcW w:w="9072"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31506AD8" w14:textId="77777777" w:rsidR="004702F8" w:rsidRDefault="00DB2F36">
            <w:pPr>
              <w:rPr>
                <w:b/>
                <w:bCs/>
              </w:rPr>
            </w:pPr>
            <w:r>
              <w:rPr>
                <w:b/>
                <w:bCs/>
              </w:rPr>
              <w:t>III. Tiesību akta projekta ietekme uz valsts budžetu un pašvaldību budžetiem</w:t>
            </w:r>
          </w:p>
        </w:tc>
      </w:tr>
      <w:tr w:rsidR="004702F8" w14:paraId="111C18BC" w14:textId="77777777">
        <w:tc>
          <w:tcPr>
            <w:tcW w:w="16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597285F4" w14:textId="77777777" w:rsidR="004702F8" w:rsidRDefault="00DB2F36">
            <w:r>
              <w:lastRenderedPageBreak/>
              <w:t>Rādītāji</w:t>
            </w:r>
          </w:p>
        </w:tc>
        <w:tc>
          <w:tcPr>
            <w:tcW w:w="2437"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1989C2D3" w14:textId="77777777" w:rsidR="004702F8" w:rsidRDefault="00DB2F36">
            <w:pPr>
              <w:jc w:val="center"/>
              <w:rPr>
                <w:b/>
              </w:rPr>
            </w:pPr>
            <w:r>
              <w:rPr>
                <w:b/>
              </w:rPr>
              <w:t>2019</w:t>
            </w:r>
          </w:p>
        </w:tc>
        <w:tc>
          <w:tcPr>
            <w:tcW w:w="495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5503E2AE" w14:textId="77777777" w:rsidR="004702F8" w:rsidRDefault="00DB2F36">
            <w:r>
              <w:t>Turpmākie trīs gadi (</w:t>
            </w:r>
            <w:r>
              <w:rPr>
                <w:i/>
                <w:iCs/>
              </w:rPr>
              <w:t>euro</w:t>
            </w:r>
            <w:r>
              <w:t>)</w:t>
            </w:r>
          </w:p>
        </w:tc>
      </w:tr>
      <w:tr w:rsidR="004702F8" w14:paraId="1D78BD2C" w14:textId="77777777">
        <w:tc>
          <w:tcPr>
            <w:tcW w:w="167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DEDB0DF" w14:textId="77777777" w:rsidR="004702F8" w:rsidRDefault="004702F8"/>
        </w:tc>
        <w:tc>
          <w:tcPr>
            <w:tcW w:w="2437"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2A74D48" w14:textId="77777777" w:rsidR="004702F8" w:rsidRDefault="004702F8"/>
        </w:tc>
        <w:tc>
          <w:tcPr>
            <w:tcW w:w="194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74C76C9" w14:textId="77777777" w:rsidR="004702F8" w:rsidRDefault="00DB2F36">
            <w:pPr>
              <w:jc w:val="center"/>
              <w:rPr>
                <w:b/>
              </w:rPr>
            </w:pPr>
            <w:r>
              <w:rPr>
                <w:b/>
              </w:rPr>
              <w:t>2020</w:t>
            </w:r>
          </w:p>
        </w:tc>
        <w:tc>
          <w:tcPr>
            <w:tcW w:w="194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B75B644" w14:textId="77777777" w:rsidR="004702F8" w:rsidRDefault="00DB2F36">
            <w:pPr>
              <w:jc w:val="center"/>
              <w:rPr>
                <w:b/>
              </w:rPr>
            </w:pPr>
            <w:r>
              <w:rPr>
                <w:b/>
              </w:rPr>
              <w:t>2021</w:t>
            </w:r>
          </w:p>
        </w:tc>
        <w:tc>
          <w:tcPr>
            <w:tcW w:w="107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DDE1FDB" w14:textId="77777777" w:rsidR="004702F8" w:rsidRDefault="00DB2F36">
            <w:pPr>
              <w:jc w:val="center"/>
              <w:rPr>
                <w:b/>
              </w:rPr>
            </w:pPr>
            <w:r>
              <w:rPr>
                <w:b/>
              </w:rPr>
              <w:t>2022</w:t>
            </w:r>
          </w:p>
        </w:tc>
      </w:tr>
      <w:tr w:rsidR="004702F8" w14:paraId="1981884A" w14:textId="77777777">
        <w:tc>
          <w:tcPr>
            <w:tcW w:w="167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3BFE05B2" w14:textId="77777777" w:rsidR="004702F8" w:rsidRDefault="004702F8"/>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B2D46CC" w14:textId="77777777" w:rsidR="004702F8" w:rsidRDefault="00DB2F36">
            <w:r>
              <w:t>saskaņā ar valsts budžetu kārtējam gadam</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301BE60" w14:textId="77777777" w:rsidR="004702F8" w:rsidRDefault="00DB2F36">
            <w:r>
              <w:t>izmaiņas kārtējā gadā, salīdzinot ar valsts budžetu kārtējam gadam</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F1408A" w14:textId="77777777" w:rsidR="004702F8" w:rsidRDefault="00DB2F36">
            <w:r>
              <w:t>saskaņā ar vidēja termiņa budžeta ietvaru</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645DBE8" w14:textId="77777777" w:rsidR="004702F8" w:rsidRDefault="00DB2F36">
            <w:r>
              <w:t>izmaiņas, salīdzinot ar vidēja termiņa budžeta ietvaru n+1 gadam</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1120ABB" w14:textId="77777777" w:rsidR="004702F8" w:rsidRDefault="00DB2F36">
            <w:r>
              <w:t>saskaņā ar vidēja termiņa budžeta ietvaru</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C326B4A" w14:textId="77777777" w:rsidR="004702F8" w:rsidRDefault="00DB2F36">
            <w:r>
              <w:t>izmaiņas, salīdzinot ar vidēja termiņa budžeta ietvaru n+2 gadam</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54B0166" w14:textId="77777777" w:rsidR="004702F8" w:rsidRDefault="00DB2F36">
            <w:r>
              <w:t>izmaiņas, salīdzinot ar vidēja termiņa budžeta ietvaru n+2 gadam</w:t>
            </w:r>
          </w:p>
        </w:tc>
      </w:tr>
      <w:tr w:rsidR="004702F8" w14:paraId="1E0A34BE"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9563762" w14:textId="77777777" w:rsidR="004702F8" w:rsidRDefault="00DB2F36">
            <w:pPr>
              <w:jc w:val="center"/>
            </w:pPr>
            <w:r>
              <w:t>1</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B975C6E" w14:textId="77777777" w:rsidR="004702F8" w:rsidRDefault="00DB2F36">
            <w:pPr>
              <w:jc w:val="center"/>
            </w:pPr>
            <w:r>
              <w:t>2</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8C1B9C9" w14:textId="77777777" w:rsidR="004702F8" w:rsidRDefault="00DB2F36">
            <w:pPr>
              <w:jc w:val="center"/>
            </w:pPr>
            <w:r>
              <w:t>3</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0114FB" w14:textId="77777777" w:rsidR="004702F8" w:rsidRDefault="00DB2F36">
            <w:pPr>
              <w:jc w:val="center"/>
            </w:pPr>
            <w:r>
              <w:t>4</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38ECD87" w14:textId="77777777" w:rsidR="004702F8" w:rsidRDefault="00DB2F36">
            <w:pPr>
              <w:jc w:val="center"/>
            </w:pPr>
            <w:r>
              <w:t>5</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6FA6E9" w14:textId="77777777" w:rsidR="004702F8" w:rsidRDefault="00DB2F36">
            <w:pPr>
              <w:jc w:val="center"/>
            </w:pPr>
            <w:r>
              <w:t>6</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E62FD94" w14:textId="77777777" w:rsidR="004702F8" w:rsidRDefault="00DB2F36">
            <w:pPr>
              <w:jc w:val="center"/>
            </w:pPr>
            <w:r>
              <w:t>7</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6A6F4CE" w14:textId="77777777" w:rsidR="004702F8" w:rsidRDefault="00DB2F36">
            <w:pPr>
              <w:jc w:val="center"/>
            </w:pPr>
            <w:r>
              <w:t>8</w:t>
            </w:r>
          </w:p>
        </w:tc>
      </w:tr>
      <w:tr w:rsidR="004702F8" w14:paraId="106F408E"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08960F74" w14:textId="77777777" w:rsidR="004702F8" w:rsidRDefault="00DB2F36">
            <w:r>
              <w:t>1. Budžeta ieņēmumi</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FDB91FB" w14:textId="77777777" w:rsidR="004702F8" w:rsidRDefault="00DB2F36">
            <w:r>
              <w:t>209 440 039</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57C36E8" w14:textId="77777777" w:rsidR="004702F8" w:rsidRDefault="00DB2F36">
            <w:r>
              <w:t xml:space="preserve"> -54 200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9532B57"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B25FE6"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415FCB5"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A8C72DC"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91F4A3A" w14:textId="77777777" w:rsidR="004702F8" w:rsidRDefault="00DB2F36">
            <w:r>
              <w:t> 0</w:t>
            </w:r>
          </w:p>
        </w:tc>
      </w:tr>
      <w:tr w:rsidR="004702F8" w14:paraId="35496126"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170C44E1" w14:textId="77777777" w:rsidR="004702F8" w:rsidRDefault="00DB2F36">
            <w:r>
              <w:t>1.1. valsts pamatbudžets, tai skaitā ieņēmumi no maksas pakalpojumiem un citi pašu ieņēmumi</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CBB358B" w14:textId="77777777" w:rsidR="004702F8" w:rsidRDefault="00DB2F36">
            <w:pPr>
              <w:rPr>
                <w:color w:val="FF0000"/>
              </w:rPr>
            </w:pPr>
            <w:r>
              <w:t>209 440 039</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501EC1D" w14:textId="77777777" w:rsidR="004702F8" w:rsidRDefault="00DB2F36">
            <w:r>
              <w:t xml:space="preserve"> -54 200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5CBED79"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622C1A"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0429FB5"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6F5E0C9"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1BD4693" w14:textId="77777777" w:rsidR="004702F8" w:rsidRDefault="00DB2F36">
            <w:r>
              <w:t> 0</w:t>
            </w:r>
          </w:p>
        </w:tc>
      </w:tr>
      <w:tr w:rsidR="004702F8" w14:paraId="65994A2E"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5B20D049" w14:textId="77777777" w:rsidR="004702F8" w:rsidRDefault="00DB2F36">
            <w:r>
              <w:t>1.2. valsts speciālais 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4E3666D"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2DD1845"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6F90382"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A085031"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BF949F4"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59713E5"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FE31495" w14:textId="77777777" w:rsidR="004702F8" w:rsidRDefault="00DB2F36">
            <w:r>
              <w:t> 0</w:t>
            </w:r>
          </w:p>
        </w:tc>
      </w:tr>
      <w:tr w:rsidR="004702F8" w14:paraId="1C751A54"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44BFAD70" w14:textId="77777777" w:rsidR="004702F8" w:rsidRDefault="00DB2F36">
            <w:r>
              <w:t>1.3. pašvaldību 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86D7CA7"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B53D9C6"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AD6693C"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E8FD047"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E361772"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C2E6096"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3C0ABE" w14:textId="77777777" w:rsidR="004702F8" w:rsidRDefault="00DB2F36">
            <w:r>
              <w:t> 0</w:t>
            </w:r>
          </w:p>
        </w:tc>
      </w:tr>
      <w:tr w:rsidR="004702F8" w14:paraId="6E277A4A"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537FD34B" w14:textId="77777777" w:rsidR="004702F8" w:rsidRDefault="00DB2F36">
            <w:r>
              <w:t>2. Budžeta izdevumi</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D9C8B9"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2F6514C"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E99C6A0"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C659ED3"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18ACF0F"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5363416"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B790E53" w14:textId="77777777" w:rsidR="004702F8" w:rsidRDefault="00DB2F36">
            <w:r>
              <w:t> 0</w:t>
            </w:r>
          </w:p>
        </w:tc>
      </w:tr>
      <w:tr w:rsidR="004702F8" w14:paraId="25FC973E"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7B8B57B3" w14:textId="77777777" w:rsidR="004702F8" w:rsidRDefault="00DB2F36">
            <w:r>
              <w:t>2.1. valsts pamatbudžets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B060BE"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7C3676"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04213C0"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1FC8025"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ECCEBA7"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7921D5"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013E31C" w14:textId="77777777" w:rsidR="004702F8" w:rsidRDefault="00DB2F36">
            <w:r>
              <w:t> 0</w:t>
            </w:r>
          </w:p>
        </w:tc>
      </w:tr>
      <w:tr w:rsidR="004702F8" w14:paraId="0F079506"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6642F8D7" w14:textId="77777777" w:rsidR="004702F8" w:rsidRDefault="00DB2F36">
            <w:r>
              <w:t>2.2. valsts speciālais 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2514FB6"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46BB967"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3B49EC6"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33C0399"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062CD1D"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63A4C7"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B55EED" w14:textId="77777777" w:rsidR="004702F8" w:rsidRDefault="00DB2F36">
            <w:r>
              <w:t> 0</w:t>
            </w:r>
          </w:p>
        </w:tc>
      </w:tr>
      <w:tr w:rsidR="004702F8" w14:paraId="6F1EF6B4"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30ECC273" w14:textId="77777777" w:rsidR="004702F8" w:rsidRDefault="00DB2F36">
            <w:r>
              <w:t>2.3. pašvaldību 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5EC8342"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D742768"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C18B5F8"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B09C83A"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15350CE"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44FD2DE"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5595502" w14:textId="77777777" w:rsidR="004702F8" w:rsidRDefault="00DB2F36">
            <w:r>
              <w:t> 0</w:t>
            </w:r>
          </w:p>
        </w:tc>
      </w:tr>
      <w:tr w:rsidR="004702F8" w14:paraId="6C9F146E"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11EB5473" w14:textId="77777777" w:rsidR="004702F8" w:rsidRDefault="00DB2F36">
            <w:r>
              <w:t>3. Finansiālā ietekme</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C137967" w14:textId="77777777" w:rsidR="004702F8" w:rsidRDefault="00DB2F36">
            <w:r>
              <w:t>209 440 039</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2250BAE" w14:textId="77777777" w:rsidR="004702F8" w:rsidRDefault="00DB2F36">
            <w:r>
              <w:t xml:space="preserve"> -54 200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23DF2F2"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D9DF47F"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FB98A06"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F0D282"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0C8A642" w14:textId="77777777" w:rsidR="004702F8" w:rsidRDefault="00DB2F36">
            <w:r>
              <w:t> 0</w:t>
            </w:r>
          </w:p>
        </w:tc>
      </w:tr>
      <w:tr w:rsidR="004702F8" w14:paraId="7552C4C8"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2DDFB3BA" w14:textId="77777777" w:rsidR="004702F8" w:rsidRDefault="00DB2F36">
            <w:r>
              <w:t>3.1. valsts pamatbudžets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FEB278" w14:textId="77777777" w:rsidR="004702F8" w:rsidRDefault="00DB2F36">
            <w:r>
              <w:t>209 440 039</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B11A5DF" w14:textId="77777777" w:rsidR="004702F8" w:rsidRDefault="00DB2F36">
            <w:r>
              <w:t xml:space="preserve"> -54 200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F1534A7"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91BFEF"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17D28CB"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992959D"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78285C5" w14:textId="77777777" w:rsidR="004702F8" w:rsidRDefault="00DB2F36">
            <w:r>
              <w:t> 0</w:t>
            </w:r>
          </w:p>
        </w:tc>
      </w:tr>
      <w:tr w:rsidR="004702F8" w14:paraId="0E645AF7"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03543448" w14:textId="77777777" w:rsidR="004702F8" w:rsidRDefault="00DB2F36">
            <w:r>
              <w:t>3.2. speciālais 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06658F1"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16EE488"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641EAC2"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D7D48A"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801A316"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1DA6945"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3055395" w14:textId="77777777" w:rsidR="004702F8" w:rsidRDefault="00DB2F36">
            <w:r>
              <w:t> 0</w:t>
            </w:r>
          </w:p>
        </w:tc>
      </w:tr>
      <w:tr w:rsidR="004702F8" w14:paraId="14E6F7CE"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3B02756C" w14:textId="77777777" w:rsidR="004702F8" w:rsidRDefault="00DB2F36">
            <w:r>
              <w:t>3.3. pašvaldību budžets</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85F72D8"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0C5B4AB"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B0C2B0"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729A71D"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3FCE0D2"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749B79A"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2154438" w14:textId="77777777" w:rsidR="004702F8" w:rsidRDefault="00DB2F36">
            <w:r>
              <w:t> 0</w:t>
            </w:r>
          </w:p>
        </w:tc>
      </w:tr>
      <w:tr w:rsidR="004702F8" w14:paraId="139A1406"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7BBD5D0B" w14:textId="77777777" w:rsidR="004702F8" w:rsidRDefault="00DB2F36">
            <w:r>
              <w:t xml:space="preserve">4. Finanšu līdzekļi papildu izdevumu finansēšanai (kompensējošu </w:t>
            </w:r>
            <w:r>
              <w:lastRenderedPageBreak/>
              <w:t>izdevumu samazinājumu norāda ar "+" zīmi)</w:t>
            </w:r>
          </w:p>
        </w:tc>
        <w:tc>
          <w:tcPr>
            <w:tcW w:w="136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AA76C94" w14:textId="77777777" w:rsidR="004702F8" w:rsidRDefault="00DB2F36">
            <w:pPr>
              <w:jc w:val="center"/>
            </w:pPr>
            <w:r>
              <w:lastRenderedPageBreak/>
              <w:t>X</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3FD2DB9"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2D008BE"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1EC48A7" w14:textId="77777777" w:rsidR="004702F8" w:rsidRDefault="00DB2F36">
            <w:r>
              <w:t> 0</w:t>
            </w:r>
          </w:p>
        </w:tc>
        <w:tc>
          <w:tcPr>
            <w:tcW w:w="86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0ABEA2A"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E430946"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CC7AF39" w14:textId="77777777" w:rsidR="004702F8" w:rsidRDefault="00DB2F36">
            <w:r>
              <w:t> 0</w:t>
            </w:r>
          </w:p>
        </w:tc>
      </w:tr>
      <w:tr w:rsidR="004702F8" w14:paraId="75EBBE7C"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18FED677" w14:textId="77777777" w:rsidR="004702F8" w:rsidRDefault="00DB2F36">
            <w:r>
              <w:t>5. Precizēta finansiālā ietekme</w:t>
            </w:r>
          </w:p>
        </w:tc>
        <w:tc>
          <w:tcPr>
            <w:tcW w:w="136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0376541F" w14:textId="77777777" w:rsidR="004702F8" w:rsidRDefault="00DB2F36">
            <w:pPr>
              <w:jc w:val="center"/>
            </w:pPr>
            <w:r>
              <w:t>X</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D85E846" w14:textId="77777777" w:rsidR="004702F8" w:rsidRDefault="00DB2F36">
            <w:r>
              <w:t> 0</w:t>
            </w:r>
          </w:p>
        </w:tc>
        <w:tc>
          <w:tcPr>
            <w:tcW w:w="86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52CBC6A"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045196E" w14:textId="77777777" w:rsidR="004702F8" w:rsidRDefault="00DB2F36">
            <w:r>
              <w:t> 0</w:t>
            </w:r>
          </w:p>
        </w:tc>
        <w:tc>
          <w:tcPr>
            <w:tcW w:w="86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55ED7284" w14:textId="77777777" w:rsidR="004702F8" w:rsidRDefault="00DB2F36">
            <w:r>
              <w:t> 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14F1ED4"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35E5B92" w14:textId="77777777" w:rsidR="004702F8" w:rsidRDefault="00DB2F36">
            <w:r>
              <w:t> 0</w:t>
            </w:r>
          </w:p>
        </w:tc>
      </w:tr>
      <w:tr w:rsidR="004702F8" w14:paraId="3C422D91"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6FF7A211" w14:textId="77777777" w:rsidR="004702F8" w:rsidRDefault="00DB2F36">
            <w:r>
              <w:t>5.1. valsts pamatbudžets</w:t>
            </w:r>
          </w:p>
        </w:tc>
        <w:tc>
          <w:tcPr>
            <w:tcW w:w="1364"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A114C4F"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4A915FD" w14:textId="77777777" w:rsidR="004702F8" w:rsidRDefault="00DB2F36">
            <w:r>
              <w:t> 0</w:t>
            </w:r>
          </w:p>
        </w:tc>
        <w:tc>
          <w:tcPr>
            <w:tcW w:w="86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5BD79F3"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0FC66D4" w14:textId="77777777" w:rsidR="004702F8" w:rsidRDefault="00DB2F36">
            <w:r>
              <w:t> 0</w:t>
            </w:r>
          </w:p>
        </w:tc>
        <w:tc>
          <w:tcPr>
            <w:tcW w:w="86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6E0176C1"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935BC9B"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D915A4E" w14:textId="77777777" w:rsidR="004702F8" w:rsidRDefault="00DB2F36">
            <w:r>
              <w:t> 0</w:t>
            </w:r>
          </w:p>
        </w:tc>
      </w:tr>
      <w:tr w:rsidR="004702F8" w14:paraId="36FF81BA"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51DAD53D" w14:textId="77777777" w:rsidR="004702F8" w:rsidRDefault="00DB2F36">
            <w:r>
              <w:t>5.2. speciālais budžets</w:t>
            </w:r>
          </w:p>
        </w:tc>
        <w:tc>
          <w:tcPr>
            <w:tcW w:w="1364"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3335C87"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47178F0" w14:textId="77777777" w:rsidR="004702F8" w:rsidRDefault="00DB2F36">
            <w:r>
              <w:t> 0</w:t>
            </w:r>
          </w:p>
        </w:tc>
        <w:tc>
          <w:tcPr>
            <w:tcW w:w="86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0397D7B"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88FBFE8" w14:textId="77777777" w:rsidR="004702F8" w:rsidRDefault="00DB2F36">
            <w:r>
              <w:t> 0</w:t>
            </w:r>
          </w:p>
        </w:tc>
        <w:tc>
          <w:tcPr>
            <w:tcW w:w="86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3DC21A85"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A80483E"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66049E5" w14:textId="77777777" w:rsidR="004702F8" w:rsidRDefault="00DB2F36">
            <w:r>
              <w:t> 0</w:t>
            </w:r>
          </w:p>
        </w:tc>
      </w:tr>
      <w:tr w:rsidR="004702F8" w14:paraId="56677AD6"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03208481" w14:textId="77777777" w:rsidR="004702F8" w:rsidRDefault="00DB2F36">
            <w:r>
              <w:t>5.3. pašvaldību budžets</w:t>
            </w:r>
          </w:p>
        </w:tc>
        <w:tc>
          <w:tcPr>
            <w:tcW w:w="1364"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1880ABA"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104E73" w14:textId="77777777" w:rsidR="004702F8" w:rsidRDefault="00DB2F36">
            <w:r>
              <w:t> 0</w:t>
            </w:r>
          </w:p>
        </w:tc>
        <w:tc>
          <w:tcPr>
            <w:tcW w:w="86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B9E6A32"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75CC086" w14:textId="77777777" w:rsidR="004702F8" w:rsidRDefault="00DB2F36">
            <w:r>
              <w:t> 0</w:t>
            </w:r>
          </w:p>
        </w:tc>
        <w:tc>
          <w:tcPr>
            <w:tcW w:w="86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3C52D602" w14:textId="77777777" w:rsidR="004702F8" w:rsidRDefault="004702F8"/>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0E8D1FC" w14:textId="77777777" w:rsidR="004702F8" w:rsidRDefault="00DB2F36">
            <w:r>
              <w:t> 0</w:t>
            </w:r>
          </w:p>
        </w:tc>
        <w:tc>
          <w:tcPr>
            <w:tcW w:w="108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ECC806C" w14:textId="77777777" w:rsidR="004702F8" w:rsidRDefault="00DB2F36">
            <w:r>
              <w:t> 0</w:t>
            </w:r>
          </w:p>
        </w:tc>
      </w:tr>
      <w:tr w:rsidR="004702F8" w14:paraId="554F3A72"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5AE04825" w14:textId="77777777" w:rsidR="004702F8" w:rsidRDefault="00DB2F36">
            <w:r>
              <w:t>6. Detalizēts ieņēmumu un izdevumu aprēķins (ja nepieciešams, detalizētu ieņēmumu un izdevumu aprēķinu var pievienot anotācijas pielikumā)</w:t>
            </w:r>
          </w:p>
        </w:tc>
        <w:tc>
          <w:tcPr>
            <w:tcW w:w="7396"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693C9C90" w14:textId="77777777" w:rsidR="004702F8" w:rsidRDefault="00DB2F36">
            <w:r>
              <w:t> Nav attiecināms</w:t>
            </w:r>
          </w:p>
        </w:tc>
      </w:tr>
      <w:tr w:rsidR="004702F8" w14:paraId="3CC73DC1"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5B820419" w14:textId="77777777" w:rsidR="004702F8" w:rsidRDefault="00DB2F36">
            <w:r>
              <w:t>6.1. detalizēts ieņēmumu aprēķins</w:t>
            </w:r>
          </w:p>
        </w:tc>
        <w:tc>
          <w:tcPr>
            <w:tcW w:w="7396"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5E4275F" w14:textId="77777777" w:rsidR="004702F8" w:rsidRDefault="004702F8"/>
        </w:tc>
      </w:tr>
      <w:tr w:rsidR="004702F8" w14:paraId="27FEC8A1" w14:textId="77777777">
        <w:trPr>
          <w:trHeight w:val="488"/>
        </w:trPr>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4298F193" w14:textId="77777777" w:rsidR="004702F8" w:rsidRDefault="00DB2F36">
            <w:r>
              <w:t>6.2. detalizēts izdevumu aprēķins</w:t>
            </w:r>
          </w:p>
        </w:tc>
        <w:tc>
          <w:tcPr>
            <w:tcW w:w="7396"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07873CA" w14:textId="77777777" w:rsidR="004702F8" w:rsidRDefault="004702F8"/>
        </w:tc>
      </w:tr>
      <w:tr w:rsidR="004702F8" w14:paraId="19F8BECF"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74637D76" w14:textId="77777777" w:rsidR="004702F8" w:rsidRDefault="00DB2F36">
            <w:r>
              <w:t>7. Amata vietu skaita izmaiņas</w:t>
            </w:r>
          </w:p>
        </w:tc>
        <w:tc>
          <w:tcPr>
            <w:tcW w:w="7396" w:type="dxa"/>
            <w:gridSpan w:val="7"/>
            <w:tcBorders>
              <w:top w:val="outset" w:sz="6" w:space="0" w:color="414142"/>
              <w:left w:val="outset" w:sz="6" w:space="0" w:color="414142"/>
              <w:bottom w:val="outset" w:sz="6" w:space="0" w:color="414142"/>
              <w:right w:val="outset" w:sz="6" w:space="0" w:color="414142"/>
            </w:tcBorders>
            <w:shd w:val="clear" w:color="auto" w:fill="FFFFFF"/>
          </w:tcPr>
          <w:p w14:paraId="27D10D52" w14:textId="77777777" w:rsidR="004702F8" w:rsidRDefault="00DB2F36">
            <w:r>
              <w:t>Nav</w:t>
            </w:r>
          </w:p>
        </w:tc>
      </w:tr>
      <w:tr w:rsidR="004702F8" w14:paraId="0875A21F" w14:textId="77777777">
        <w:tc>
          <w:tcPr>
            <w:tcW w:w="1676" w:type="dxa"/>
            <w:tcBorders>
              <w:top w:val="outset" w:sz="6" w:space="0" w:color="414142"/>
              <w:left w:val="outset" w:sz="6" w:space="0" w:color="414142"/>
              <w:bottom w:val="outset" w:sz="6" w:space="0" w:color="414142"/>
              <w:right w:val="outset" w:sz="6" w:space="0" w:color="414142"/>
            </w:tcBorders>
            <w:shd w:val="clear" w:color="auto" w:fill="FFFFFF"/>
          </w:tcPr>
          <w:p w14:paraId="76BCD1A1" w14:textId="77777777" w:rsidR="004702F8" w:rsidRDefault="00DB2F36">
            <w:r>
              <w:t>8. Cita informācija</w:t>
            </w:r>
          </w:p>
        </w:tc>
        <w:tc>
          <w:tcPr>
            <w:tcW w:w="7396" w:type="dxa"/>
            <w:gridSpan w:val="7"/>
            <w:tcBorders>
              <w:top w:val="outset" w:sz="6" w:space="0" w:color="414142"/>
              <w:left w:val="outset" w:sz="6" w:space="0" w:color="414142"/>
              <w:bottom w:val="outset" w:sz="6" w:space="0" w:color="414142"/>
              <w:right w:val="outset" w:sz="6" w:space="0" w:color="414142"/>
            </w:tcBorders>
            <w:shd w:val="clear" w:color="auto" w:fill="FFFFFF"/>
          </w:tcPr>
          <w:p w14:paraId="44C303CD" w14:textId="77777777" w:rsidR="004702F8" w:rsidRDefault="00DB2F36">
            <w:r>
              <w:t>Nav</w:t>
            </w:r>
          </w:p>
        </w:tc>
      </w:tr>
    </w:tbl>
    <w:p w14:paraId="23D94027" w14:textId="77777777" w:rsidR="004702F8" w:rsidRDefault="004702F8"/>
    <w:tbl>
      <w:tblPr>
        <w:tblStyle w:val="TableGrid"/>
        <w:tblW w:w="9067" w:type="dxa"/>
        <w:tblLook w:val="04A0" w:firstRow="1" w:lastRow="0" w:firstColumn="1" w:lastColumn="0" w:noHBand="0" w:noVBand="1"/>
      </w:tblPr>
      <w:tblGrid>
        <w:gridCol w:w="9067"/>
      </w:tblGrid>
      <w:tr w:rsidR="004702F8" w14:paraId="7D11F6B2" w14:textId="77777777">
        <w:trPr>
          <w:trHeight w:val="273"/>
        </w:trPr>
        <w:tc>
          <w:tcPr>
            <w:tcW w:w="9067" w:type="dxa"/>
            <w:shd w:val="clear" w:color="auto" w:fill="auto"/>
          </w:tcPr>
          <w:p w14:paraId="607ED72E" w14:textId="77777777" w:rsidR="004702F8" w:rsidRDefault="00DB2F36">
            <w:pPr>
              <w:jc w:val="center"/>
              <w:rPr>
                <w:b/>
              </w:rPr>
            </w:pPr>
            <w:r>
              <w:rPr>
                <w:b/>
              </w:rPr>
              <w:t>IV. Tiesību akta projekta ietekme uz spēkā esošo tiesību normu sistēmu</w:t>
            </w:r>
          </w:p>
        </w:tc>
      </w:tr>
      <w:tr w:rsidR="004702F8" w14:paraId="58A75D1F" w14:textId="77777777">
        <w:trPr>
          <w:trHeight w:val="273"/>
        </w:trPr>
        <w:tc>
          <w:tcPr>
            <w:tcW w:w="9067" w:type="dxa"/>
            <w:shd w:val="clear" w:color="auto" w:fill="auto"/>
          </w:tcPr>
          <w:p w14:paraId="3531F596" w14:textId="77777777" w:rsidR="004702F8" w:rsidRDefault="00DB2F36">
            <w:pPr>
              <w:jc w:val="center"/>
            </w:pPr>
            <w:r>
              <w:t>Projekts šo jomu neskar</w:t>
            </w:r>
          </w:p>
        </w:tc>
      </w:tr>
    </w:tbl>
    <w:p w14:paraId="27AC621A" w14:textId="77777777" w:rsidR="004702F8" w:rsidRDefault="004702F8"/>
    <w:tbl>
      <w:tblPr>
        <w:tblStyle w:val="TableGrid"/>
        <w:tblW w:w="9067" w:type="dxa"/>
        <w:tblLook w:val="04A0" w:firstRow="1" w:lastRow="0" w:firstColumn="1" w:lastColumn="0" w:noHBand="0" w:noVBand="1"/>
      </w:tblPr>
      <w:tblGrid>
        <w:gridCol w:w="9067"/>
      </w:tblGrid>
      <w:tr w:rsidR="004702F8" w14:paraId="742BE358" w14:textId="77777777">
        <w:trPr>
          <w:trHeight w:val="273"/>
        </w:trPr>
        <w:tc>
          <w:tcPr>
            <w:tcW w:w="9067" w:type="dxa"/>
            <w:shd w:val="clear" w:color="auto" w:fill="auto"/>
          </w:tcPr>
          <w:p w14:paraId="1B3C523E" w14:textId="77777777" w:rsidR="004702F8" w:rsidRDefault="00DB2F36">
            <w:pPr>
              <w:jc w:val="center"/>
              <w:rPr>
                <w:b/>
              </w:rPr>
            </w:pPr>
            <w:r>
              <w:rPr>
                <w:b/>
              </w:rPr>
              <w:t>V. Tiesību akta projekta atbilstība Latvijas Republikas starptautiskajām saistībām</w:t>
            </w:r>
          </w:p>
        </w:tc>
      </w:tr>
      <w:tr w:rsidR="004702F8" w14:paraId="51418F0A" w14:textId="77777777">
        <w:trPr>
          <w:trHeight w:val="273"/>
        </w:trPr>
        <w:tc>
          <w:tcPr>
            <w:tcW w:w="9067" w:type="dxa"/>
            <w:shd w:val="clear" w:color="auto" w:fill="auto"/>
          </w:tcPr>
          <w:p w14:paraId="52BDAA78" w14:textId="77777777" w:rsidR="004702F8" w:rsidRDefault="00DB2F36">
            <w:pPr>
              <w:jc w:val="center"/>
            </w:pPr>
            <w:r>
              <w:t>Projekts šo jomu neskar</w:t>
            </w:r>
          </w:p>
        </w:tc>
      </w:tr>
    </w:tbl>
    <w:p w14:paraId="5B195D7B" w14:textId="77777777" w:rsidR="004702F8" w:rsidRDefault="004702F8"/>
    <w:tbl>
      <w:tblPr>
        <w:tblStyle w:val="TableGrid"/>
        <w:tblW w:w="9067" w:type="dxa"/>
        <w:tblLook w:val="04A0" w:firstRow="1" w:lastRow="0" w:firstColumn="1" w:lastColumn="0" w:noHBand="0" w:noVBand="1"/>
      </w:tblPr>
      <w:tblGrid>
        <w:gridCol w:w="9067"/>
      </w:tblGrid>
      <w:tr w:rsidR="004702F8" w14:paraId="3DDDD20F" w14:textId="77777777">
        <w:trPr>
          <w:trHeight w:val="273"/>
        </w:trPr>
        <w:tc>
          <w:tcPr>
            <w:tcW w:w="9067" w:type="dxa"/>
            <w:shd w:val="clear" w:color="auto" w:fill="auto"/>
          </w:tcPr>
          <w:p w14:paraId="77241245" w14:textId="77777777" w:rsidR="004702F8" w:rsidRDefault="00DB2F36">
            <w:pPr>
              <w:jc w:val="center"/>
              <w:rPr>
                <w:b/>
              </w:rPr>
            </w:pPr>
            <w:r>
              <w:rPr>
                <w:b/>
              </w:rPr>
              <w:t>VI. Sabiedrības līdzdalība un komunikācijas aktivitātes</w:t>
            </w:r>
          </w:p>
        </w:tc>
      </w:tr>
      <w:tr w:rsidR="004702F8" w14:paraId="31FF653F" w14:textId="77777777">
        <w:trPr>
          <w:trHeight w:val="273"/>
        </w:trPr>
        <w:tc>
          <w:tcPr>
            <w:tcW w:w="9067" w:type="dxa"/>
            <w:shd w:val="clear" w:color="auto" w:fill="auto"/>
          </w:tcPr>
          <w:p w14:paraId="01D05FFF" w14:textId="77777777" w:rsidR="004702F8" w:rsidRDefault="00DB2F36">
            <w:pPr>
              <w:jc w:val="center"/>
            </w:pPr>
            <w:r>
              <w:t>Projekts šo jomu neskar</w:t>
            </w:r>
          </w:p>
        </w:tc>
      </w:tr>
    </w:tbl>
    <w:p w14:paraId="2DDBF0CA" w14:textId="77777777" w:rsidR="004702F8" w:rsidRDefault="004702F8"/>
    <w:tbl>
      <w:tblPr>
        <w:tblW w:w="9072" w:type="dxa"/>
        <w:tblInd w:w="-5" w:type="dxa"/>
        <w:tblCellMar>
          <w:top w:w="28" w:type="dxa"/>
          <w:left w:w="28" w:type="dxa"/>
          <w:bottom w:w="28" w:type="dxa"/>
          <w:right w:w="28" w:type="dxa"/>
        </w:tblCellMar>
        <w:tblLook w:val="0000" w:firstRow="0" w:lastRow="0" w:firstColumn="0" w:lastColumn="0" w:noHBand="0" w:noVBand="0"/>
      </w:tblPr>
      <w:tblGrid>
        <w:gridCol w:w="420"/>
        <w:gridCol w:w="3969"/>
        <w:gridCol w:w="4683"/>
      </w:tblGrid>
      <w:tr w:rsidR="004702F8" w14:paraId="5175982C"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69B14A20" w14:textId="77777777" w:rsidR="004702F8" w:rsidRDefault="00DB2F36">
            <w:pPr>
              <w:spacing w:before="120"/>
              <w:ind w:left="-142" w:right="57"/>
              <w:jc w:val="center"/>
              <w:rPr>
                <w:b/>
                <w:bCs/>
              </w:rPr>
            </w:pPr>
            <w:r>
              <w:rPr>
                <w:b/>
                <w:bCs/>
              </w:rPr>
              <w:t>VII. Tiesību akta projekta izpildes nodrošināšana un tās ietekme uz institūcijām</w:t>
            </w:r>
          </w:p>
        </w:tc>
      </w:tr>
      <w:tr w:rsidR="004702F8" w14:paraId="719C0A4E" w14:textId="77777777">
        <w:trPr>
          <w:trHeight w:val="427"/>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75BB511" w14:textId="77777777" w:rsidR="004702F8" w:rsidRDefault="00DB2F36">
            <w:pPr>
              <w:tabs>
                <w:tab w:val="left" w:pos="546"/>
              </w:tabs>
              <w:spacing w:before="120"/>
              <w:ind w:right="3"/>
              <w:rPr>
                <w:bCs/>
              </w:rPr>
            </w:pPr>
            <w:r>
              <w:rPr>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43E01EE" w14:textId="77777777" w:rsidR="004702F8" w:rsidRDefault="00DB2F36">
            <w:pPr>
              <w:spacing w:before="120"/>
              <w:ind w:left="80" w:right="57"/>
            </w:pPr>
            <w:r>
              <w:t xml:space="preserve">Projekta izpildē iesaistītās institūcijas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59DCB624" w14:textId="77777777" w:rsidR="004702F8" w:rsidRDefault="00DB2F36">
            <w:pPr>
              <w:jc w:val="both"/>
            </w:pPr>
            <w:r>
              <w:t xml:space="preserve">Ekonomikas ministrija, </w:t>
            </w:r>
          </w:p>
          <w:p w14:paraId="03446324" w14:textId="77777777" w:rsidR="004702F8" w:rsidRDefault="00DB2F36">
            <w:pPr>
              <w:jc w:val="both"/>
            </w:pPr>
            <w:r>
              <w:t>kapitālsabiedrība</w:t>
            </w:r>
          </w:p>
        </w:tc>
      </w:tr>
      <w:tr w:rsidR="004702F8" w14:paraId="72A69635" w14:textId="77777777">
        <w:trPr>
          <w:trHeight w:val="463"/>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A445551" w14:textId="77777777" w:rsidR="004702F8" w:rsidRDefault="00DB2F36">
            <w:pPr>
              <w:tabs>
                <w:tab w:val="left" w:pos="546"/>
              </w:tabs>
              <w:spacing w:before="120"/>
              <w:ind w:right="3"/>
            </w:pPr>
            <w:r>
              <w:lastRenderedPageBreak/>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89BC18" w14:textId="77777777" w:rsidR="004702F8" w:rsidRDefault="00DB2F36">
            <w:pPr>
              <w:ind w:left="80"/>
            </w:pPr>
            <w:r>
              <w:t xml:space="preserve">Projekta izpildes ietekme uz pārvaldes funkcijām un institucionālo struktūru. </w:t>
            </w:r>
          </w:p>
          <w:p w14:paraId="1101E35A" w14:textId="77777777" w:rsidR="004702F8" w:rsidRDefault="00DB2F36">
            <w:pPr>
              <w:spacing w:beforeAutospacing="1"/>
              <w:ind w:left="80"/>
            </w:pPr>
            <w:r>
              <w:t>Jaunu institūciju izveide, esošu institūciju likvidācija vai reorganizācija, to ietekme uz institūcijas cilvēkresursiem</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107BA646" w14:textId="77777777" w:rsidR="004702F8" w:rsidRDefault="00DB2F36">
            <w:pPr>
              <w:spacing w:before="120"/>
              <w:ind w:right="57"/>
              <w:jc w:val="both"/>
              <w:rPr>
                <w:bCs/>
              </w:rPr>
            </w:pPr>
            <w:r>
              <w:rPr>
                <w:bCs/>
                <w:iCs/>
              </w:rPr>
              <w:t>Nav attiecināms</w:t>
            </w:r>
          </w:p>
        </w:tc>
      </w:tr>
      <w:tr w:rsidR="004702F8" w14:paraId="44002FB3" w14:textId="77777777">
        <w:trPr>
          <w:trHeight w:val="47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BDD53BB" w14:textId="77777777" w:rsidR="004702F8" w:rsidRDefault="00DB2F36">
            <w:pPr>
              <w:spacing w:before="120"/>
              <w:ind w:left="57" w:right="57"/>
            </w:pPr>
            <w: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E21D19" w14:textId="77777777" w:rsidR="004702F8" w:rsidRDefault="00DB2F36">
            <w:pPr>
              <w:spacing w:before="120"/>
              <w:ind w:left="57" w:right="57"/>
            </w:pPr>
            <w:r>
              <w:t>Cita informācija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21834524" w14:textId="77777777" w:rsidR="004702F8" w:rsidRDefault="00DB2F36">
            <w:pPr>
              <w:spacing w:before="120"/>
              <w:ind w:left="57" w:right="57"/>
            </w:pPr>
            <w:r>
              <w:t>Nav</w:t>
            </w:r>
          </w:p>
        </w:tc>
      </w:tr>
    </w:tbl>
    <w:p w14:paraId="5632B3A7" w14:textId="77777777" w:rsidR="004702F8" w:rsidRDefault="004702F8">
      <w:pPr>
        <w:rPr>
          <w:b/>
        </w:rPr>
      </w:pPr>
    </w:p>
    <w:p w14:paraId="7222EE66" w14:textId="77777777" w:rsidR="004702F8" w:rsidRDefault="00DB2F36">
      <w:pPr>
        <w:rPr>
          <w:b/>
          <w:bCs/>
        </w:rPr>
      </w:pPr>
      <w:r>
        <w:rPr>
          <w:b/>
          <w:bCs/>
        </w:rPr>
        <w:t>Ekonomikas ministrs</w:t>
      </w:r>
      <w:r>
        <w:rPr>
          <w:b/>
          <w:bCs/>
        </w:rPr>
        <w:tab/>
      </w:r>
      <w:r>
        <w:rPr>
          <w:b/>
          <w:bCs/>
        </w:rPr>
        <w:tab/>
      </w:r>
      <w:r>
        <w:rPr>
          <w:b/>
          <w:bCs/>
        </w:rPr>
        <w:tab/>
      </w:r>
      <w:r>
        <w:rPr>
          <w:b/>
          <w:bCs/>
        </w:rPr>
        <w:tab/>
      </w:r>
      <w:r>
        <w:rPr>
          <w:b/>
          <w:bCs/>
        </w:rPr>
        <w:tab/>
      </w:r>
      <w:r>
        <w:rPr>
          <w:b/>
          <w:bCs/>
        </w:rPr>
        <w:tab/>
      </w:r>
      <w:r>
        <w:rPr>
          <w:b/>
          <w:bCs/>
        </w:rPr>
        <w:tab/>
      </w:r>
      <w:r>
        <w:rPr>
          <w:b/>
          <w:bCs/>
        </w:rPr>
        <w:tab/>
        <w:t xml:space="preserve">R. Nemiro </w:t>
      </w:r>
    </w:p>
    <w:p w14:paraId="4120AC00" w14:textId="77777777" w:rsidR="004702F8" w:rsidRDefault="004702F8">
      <w:pPr>
        <w:rPr>
          <w:b/>
          <w:bCs/>
        </w:rPr>
      </w:pPr>
    </w:p>
    <w:p w14:paraId="1D735A0A" w14:textId="77777777" w:rsidR="004702F8" w:rsidRDefault="00DB2F36">
      <w:pPr>
        <w:jc w:val="both"/>
        <w:rPr>
          <w:b/>
          <w:bCs/>
        </w:rPr>
      </w:pPr>
      <w:r>
        <w:rPr>
          <w:b/>
          <w:bCs/>
        </w:rPr>
        <w:t>Valsts sekretārs</w:t>
      </w:r>
      <w:r>
        <w:rPr>
          <w:b/>
          <w:bCs/>
        </w:rPr>
        <w:tab/>
      </w:r>
      <w:r>
        <w:rPr>
          <w:b/>
          <w:bCs/>
        </w:rPr>
        <w:tab/>
      </w:r>
      <w:r>
        <w:rPr>
          <w:b/>
          <w:bCs/>
        </w:rPr>
        <w:tab/>
      </w:r>
      <w:r>
        <w:rPr>
          <w:b/>
          <w:bCs/>
        </w:rPr>
        <w:tab/>
      </w:r>
      <w:r>
        <w:rPr>
          <w:b/>
          <w:bCs/>
        </w:rPr>
        <w:tab/>
      </w:r>
      <w:r>
        <w:rPr>
          <w:b/>
          <w:bCs/>
        </w:rPr>
        <w:tab/>
      </w:r>
      <w:r>
        <w:rPr>
          <w:b/>
          <w:bCs/>
        </w:rPr>
        <w:tab/>
      </w:r>
      <w:r>
        <w:rPr>
          <w:b/>
          <w:bCs/>
        </w:rPr>
        <w:tab/>
      </w:r>
      <w:r>
        <w:rPr>
          <w:b/>
          <w:bCs/>
        </w:rPr>
        <w:tab/>
        <w:t>Ē. Eglītis</w:t>
      </w:r>
    </w:p>
    <w:p w14:paraId="6D51E388" w14:textId="77777777" w:rsidR="004702F8" w:rsidRDefault="004702F8">
      <w:pPr>
        <w:spacing w:before="180"/>
        <w:jc w:val="both"/>
      </w:pPr>
    </w:p>
    <w:p w14:paraId="7992D78E" w14:textId="77777777" w:rsidR="004702F8" w:rsidRDefault="00DB2F36">
      <w:pPr>
        <w:spacing w:before="180"/>
        <w:jc w:val="both"/>
        <w:rPr>
          <w:sz w:val="18"/>
          <w:szCs w:val="20"/>
        </w:rPr>
      </w:pPr>
      <w:r>
        <w:rPr>
          <w:sz w:val="18"/>
          <w:szCs w:val="20"/>
        </w:rPr>
        <w:t>Freibergs N., 67013286</w:t>
      </w:r>
    </w:p>
    <w:p w14:paraId="11646C3B" w14:textId="77777777" w:rsidR="004702F8" w:rsidRDefault="00DB2F36">
      <w:pPr>
        <w:jc w:val="both"/>
      </w:pPr>
      <w:r>
        <w:rPr>
          <w:rStyle w:val="InternetLink"/>
          <w:color w:val="000000" w:themeColor="text1"/>
          <w:sz w:val="18"/>
          <w:szCs w:val="20"/>
          <w:u w:val="none"/>
        </w:rPr>
        <w:t>Normunds.Freibergs@em.gov.lv</w:t>
      </w:r>
    </w:p>
    <w:sectPr w:rsidR="004702F8">
      <w:headerReference w:type="default" r:id="rId8"/>
      <w:footerReference w:type="default" r:id="rId9"/>
      <w:footerReference w:type="first" r:id="rId10"/>
      <w:pgSz w:w="11906" w:h="16838"/>
      <w:pgMar w:top="1134" w:right="851" w:bottom="1134" w:left="1701" w:header="709" w:footer="64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8798" w14:textId="77777777" w:rsidR="00407601" w:rsidRDefault="00DB2F36">
      <w:r>
        <w:separator/>
      </w:r>
    </w:p>
  </w:endnote>
  <w:endnote w:type="continuationSeparator" w:id="0">
    <w:p w14:paraId="6D747A70" w14:textId="77777777" w:rsidR="00407601" w:rsidRDefault="00DB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2B50" w14:textId="6B630D34" w:rsidR="004702F8" w:rsidRDefault="00DB2F36">
    <w:pPr>
      <w:pStyle w:val="Footer"/>
    </w:pPr>
    <w:r>
      <w:rPr>
        <w:sz w:val="20"/>
        <w:szCs w:val="20"/>
      </w:rPr>
      <w:t>EMAnot_</w:t>
    </w:r>
    <w:r w:rsidR="000B0214">
      <w:rPr>
        <w:sz w:val="20"/>
        <w:szCs w:val="20"/>
      </w:rPr>
      <w:t>28</w:t>
    </w:r>
    <w:r w:rsidR="007271B0">
      <w:rPr>
        <w:sz w:val="20"/>
        <w:szCs w:val="20"/>
      </w:rPr>
      <w:t>11</w:t>
    </w:r>
    <w:r>
      <w:rPr>
        <w:sz w:val="20"/>
        <w:szCs w:val="20"/>
      </w:rPr>
      <w:t>19_LSdiv_18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074C" w14:textId="53E13C5B" w:rsidR="004702F8" w:rsidRDefault="00DB2F36">
    <w:pPr>
      <w:pStyle w:val="Footer"/>
    </w:pPr>
    <w:r>
      <w:rPr>
        <w:sz w:val="20"/>
        <w:szCs w:val="20"/>
      </w:rPr>
      <w:t>EMAnot_</w:t>
    </w:r>
    <w:r w:rsidR="000B0214">
      <w:rPr>
        <w:sz w:val="20"/>
        <w:szCs w:val="20"/>
      </w:rPr>
      <w:t>28</w:t>
    </w:r>
    <w:r w:rsidR="007271B0">
      <w:rPr>
        <w:sz w:val="20"/>
        <w:szCs w:val="20"/>
      </w:rPr>
      <w:t>11</w:t>
    </w:r>
    <w:r>
      <w:rPr>
        <w:sz w:val="20"/>
        <w:szCs w:val="20"/>
      </w:rPr>
      <w:t>19_LSdiv_18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E0D5" w14:textId="77777777" w:rsidR="00407601" w:rsidRDefault="00DB2F36">
      <w:r>
        <w:separator/>
      </w:r>
    </w:p>
  </w:footnote>
  <w:footnote w:type="continuationSeparator" w:id="0">
    <w:p w14:paraId="0CA4DCFD" w14:textId="77777777" w:rsidR="00407601" w:rsidRDefault="00DB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0B28" w14:textId="77777777" w:rsidR="004702F8" w:rsidRDefault="00DB2F36">
    <w:pPr>
      <w:pStyle w:val="Header"/>
    </w:pPr>
    <w:r>
      <w:rPr>
        <w:noProof/>
      </w:rPr>
      <mc:AlternateContent>
        <mc:Choice Requires="wps">
          <w:drawing>
            <wp:anchor distT="0" distB="0" distL="0" distR="0" simplePos="0" relativeHeight="6" behindDoc="1" locked="0" layoutInCell="1" allowOverlap="1" wp14:anchorId="10C5A435" wp14:editId="09393270">
              <wp:simplePos x="0" y="0"/>
              <wp:positionH relativeFrom="margin">
                <wp:align>center</wp:align>
              </wp:positionH>
              <wp:positionV relativeFrom="paragraph">
                <wp:posOffset>635</wp:posOffset>
              </wp:positionV>
              <wp:extent cx="79375"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88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7250BA77" w14:textId="77777777" w:rsidR="004702F8" w:rsidRDefault="00DB2F36">
                          <w:pPr>
                            <w:pStyle w:val="Header"/>
                          </w:pPr>
                          <w:r>
                            <w:rPr>
                              <w:rStyle w:val="PageNumber"/>
                              <w:color w:val="000000"/>
                            </w:rPr>
                            <w:fldChar w:fldCharType="begin"/>
                          </w:r>
                          <w:r>
                            <w:rPr>
                              <w:rStyle w:val="PageNumber"/>
                            </w:rPr>
                            <w:instrText>PAGE</w:instrText>
                          </w:r>
                          <w:r>
                            <w:rPr>
                              <w:rStyle w:val="PageNumber"/>
                            </w:rPr>
                            <w:fldChar w:fldCharType="separate"/>
                          </w:r>
                          <w:r>
                            <w:rPr>
                              <w:rStyle w:val="PageNumber"/>
                            </w:rPr>
                            <w:t>6</w:t>
                          </w:r>
                          <w:r>
                            <w:rPr>
                              <w:rStyle w:val="PageNumber"/>
                            </w:rPr>
                            <w:fldChar w:fldCharType="end"/>
                          </w:r>
                        </w:p>
                      </w:txbxContent>
                    </wps:txbx>
                    <wps:bodyPr lIns="0" tIns="0" rIns="0" bIns="0">
                      <a:spAutoFit/>
                    </wps:bodyPr>
                  </wps:wsp>
                </a:graphicData>
              </a:graphic>
            </wp:anchor>
          </w:drawing>
        </mc:Choice>
        <mc:Fallback>
          <w:pict>
            <v:rect w14:anchorId="10C5A435" id="Frame1" o:spid="_x0000_s1026" style="position:absolute;margin-left:0;margin-top:.05pt;width:6.25pt;height:13.7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" filled="f" stroked="f">
              <v:textbox style="mso-fit-shape-to-text:t" inset="0,0,0,0">
                <w:txbxContent>
                  <w:p w14:paraId="7250BA77" w14:textId="77777777" w:rsidR="004702F8" w:rsidRDefault="00DB2F36">
                    <w:pPr>
                      <w:pStyle w:val="Header"/>
                    </w:pPr>
                    <w:r>
                      <w:rPr>
                        <w:rStyle w:val="PageNumber"/>
                        <w:color w:val="000000"/>
                      </w:rPr>
                      <w:fldChar w:fldCharType="begin"/>
                    </w:r>
                    <w:r>
                      <w:rPr>
                        <w:rStyle w:val="PageNumber"/>
                      </w:rPr>
                      <w:instrText>PAGE</w:instrText>
                    </w:r>
                    <w:r>
                      <w:rPr>
                        <w:rStyle w:val="PageNumber"/>
                      </w:rPr>
                      <w:fldChar w:fldCharType="separate"/>
                    </w:r>
                    <w:r>
                      <w:rPr>
                        <w:rStyle w:val="PageNumber"/>
                      </w:rPr>
                      <w:t>6</w:t>
                    </w:r>
                    <w:r>
                      <w:rPr>
                        <w:rStyle w:val="PageNumber"/>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2"/>
    <w:multiLevelType w:val="hybridMultilevel"/>
    <w:tmpl w:val="E056C7E6"/>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BA752D"/>
    <w:multiLevelType w:val="hybridMultilevel"/>
    <w:tmpl w:val="31340F2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F8"/>
    <w:rsid w:val="000251BD"/>
    <w:rsid w:val="00060EDD"/>
    <w:rsid w:val="000B0214"/>
    <w:rsid w:val="001C1D50"/>
    <w:rsid w:val="001D4287"/>
    <w:rsid w:val="002F49AE"/>
    <w:rsid w:val="0033026D"/>
    <w:rsid w:val="003419CF"/>
    <w:rsid w:val="004052D5"/>
    <w:rsid w:val="00407601"/>
    <w:rsid w:val="004432D2"/>
    <w:rsid w:val="004702F8"/>
    <w:rsid w:val="004935BE"/>
    <w:rsid w:val="0049417B"/>
    <w:rsid w:val="00566138"/>
    <w:rsid w:val="005C3388"/>
    <w:rsid w:val="006633EF"/>
    <w:rsid w:val="007271B0"/>
    <w:rsid w:val="007E42FC"/>
    <w:rsid w:val="0082401A"/>
    <w:rsid w:val="00873141"/>
    <w:rsid w:val="0094693A"/>
    <w:rsid w:val="00946B72"/>
    <w:rsid w:val="0099386D"/>
    <w:rsid w:val="00B041D3"/>
    <w:rsid w:val="00B729CE"/>
    <w:rsid w:val="00C07BEB"/>
    <w:rsid w:val="00DB2F36"/>
    <w:rsid w:val="00EE486D"/>
    <w:rsid w:val="00F933B3"/>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43E1"/>
  <w15:docId w15:val="{D866B247-B30D-4C67-B8CD-B1696B7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C5649"/>
  </w:style>
  <w:style w:type="character" w:customStyle="1" w:styleId="th1">
    <w:name w:val="th1"/>
    <w:qFormat/>
    <w:rsid w:val="008C5649"/>
    <w:rPr>
      <w:b/>
      <w:bCs/>
      <w:color w:val="333333"/>
    </w:rPr>
  </w:style>
  <w:style w:type="character" w:styleId="CommentReference">
    <w:name w:val="annotation reference"/>
    <w:semiHidden/>
    <w:qFormat/>
    <w:rsid w:val="008C5649"/>
    <w:rPr>
      <w:sz w:val="16"/>
      <w:szCs w:val="16"/>
    </w:rPr>
  </w:style>
  <w:style w:type="character" w:customStyle="1" w:styleId="CommentTextChar">
    <w:name w:val="Comment Text Char"/>
    <w:link w:val="CommentText"/>
    <w:qFormat/>
    <w:rsid w:val="008C5649"/>
    <w:rPr>
      <w:lang w:val="lv-LV" w:eastAsia="lv-LV" w:bidi="ar-SA"/>
    </w:rPr>
  </w:style>
  <w:style w:type="character" w:customStyle="1" w:styleId="FootnoteCharacters">
    <w:name w:val="Footnote Characters"/>
    <w:semiHidden/>
    <w:qFormat/>
    <w:rsid w:val="008C5649"/>
    <w:rPr>
      <w:vertAlign w:val="superscript"/>
    </w:rPr>
  </w:style>
  <w:style w:type="character" w:customStyle="1" w:styleId="FootnoteAnchor">
    <w:name w:val="Footnote Anchor"/>
    <w:rPr>
      <w:vertAlign w:val="superscript"/>
    </w:rPr>
  </w:style>
  <w:style w:type="character" w:customStyle="1" w:styleId="FooterChar">
    <w:name w:val="Footer Char"/>
    <w:link w:val="Footer"/>
    <w:qFormat/>
    <w:rsid w:val="00231344"/>
    <w:rPr>
      <w:sz w:val="24"/>
      <w:szCs w:val="24"/>
      <w:lang w:val="lv-LV" w:eastAsia="lv-LV" w:bidi="ar-SA"/>
    </w:rPr>
  </w:style>
  <w:style w:type="character" w:customStyle="1" w:styleId="InternetLink">
    <w:name w:val="Internet Link"/>
    <w:uiPriority w:val="99"/>
    <w:rsid w:val="007004FC"/>
    <w:rPr>
      <w:color w:val="0000FF"/>
      <w:u w:val="single"/>
    </w:rPr>
  </w:style>
  <w:style w:type="character" w:customStyle="1" w:styleId="BodyTextIndent3Char">
    <w:name w:val="Body Text Indent 3 Char"/>
    <w:link w:val="BodyTextIndent3"/>
    <w:qFormat/>
    <w:rsid w:val="008937A7"/>
    <w:rPr>
      <w:sz w:val="16"/>
      <w:szCs w:val="16"/>
      <w:lang w:val="en-US"/>
    </w:rPr>
  </w:style>
  <w:style w:type="character" w:styleId="Strong">
    <w:name w:val="Strong"/>
    <w:qFormat/>
    <w:rsid w:val="003C3BAB"/>
    <w:rPr>
      <w:b/>
      <w:bCs/>
    </w:rPr>
  </w:style>
  <w:style w:type="character" w:styleId="FollowedHyperlink">
    <w:name w:val="FollowedHyperlink"/>
    <w:qFormat/>
    <w:rsid w:val="00551541"/>
    <w:rPr>
      <w:color w:val="800080"/>
      <w:u w:val="single"/>
    </w:rPr>
  </w:style>
  <w:style w:type="character" w:customStyle="1" w:styleId="AigarsS">
    <w:name w:val="AigarsS"/>
    <w:semiHidden/>
    <w:qFormat/>
    <w:rsid w:val="00D7399A"/>
    <w:rPr>
      <w:rFonts w:ascii="Arial" w:hAnsi="Arial" w:cs="Arial"/>
      <w:color w:val="000080"/>
      <w:sz w:val="20"/>
      <w:szCs w:val="20"/>
    </w:rPr>
  </w:style>
  <w:style w:type="character" w:customStyle="1" w:styleId="BodyTextChar">
    <w:name w:val="Body Text Char"/>
    <w:link w:val="BodyText"/>
    <w:qFormat/>
    <w:rsid w:val="00343716"/>
    <w:rPr>
      <w:sz w:val="24"/>
      <w:szCs w:val="24"/>
      <w:lang w:val="lv-LV" w:eastAsia="lv-LV"/>
    </w:rPr>
  </w:style>
  <w:style w:type="character" w:customStyle="1" w:styleId="BodyTextIndent2Char">
    <w:name w:val="Body Text Indent 2 Char"/>
    <w:link w:val="BodyTextIndent2"/>
    <w:qFormat/>
    <w:rsid w:val="00343716"/>
    <w:rPr>
      <w:sz w:val="24"/>
      <w:szCs w:val="24"/>
      <w:lang w:val="lv-LV" w:eastAsia="lv-LV"/>
    </w:rPr>
  </w:style>
  <w:style w:type="character" w:customStyle="1" w:styleId="BalloonTextChar">
    <w:name w:val="Balloon Text Char"/>
    <w:basedOn w:val="DefaultParagraphFont"/>
    <w:link w:val="BalloonText"/>
    <w:uiPriority w:val="99"/>
    <w:semiHidden/>
    <w:qFormat/>
    <w:rsid w:val="00FA6C30"/>
    <w:rPr>
      <w:rFonts w:ascii="Tahoma" w:hAnsi="Tahoma" w:cs="Tahoma"/>
      <w:sz w:val="16"/>
      <w:szCs w:val="16"/>
    </w:rPr>
  </w:style>
  <w:style w:type="character" w:customStyle="1" w:styleId="Heading3Char">
    <w:name w:val="Heading 3 Char"/>
    <w:basedOn w:val="DefaultParagraphFont"/>
    <w:link w:val="Heading3"/>
    <w:semiHidden/>
    <w:qFormat/>
    <w:rsid w:val="00192000"/>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rsid w:val="00343716"/>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rsid w:val="008C5649"/>
    <w:pPr>
      <w:tabs>
        <w:tab w:val="center" w:pos="4153"/>
        <w:tab w:val="right" w:pos="8306"/>
      </w:tabs>
    </w:pPr>
  </w:style>
  <w:style w:type="paragraph" w:customStyle="1" w:styleId="naisf">
    <w:name w:val="naisf"/>
    <w:basedOn w:val="Normal"/>
    <w:qFormat/>
    <w:rsid w:val="008C5649"/>
    <w:pPr>
      <w:spacing w:before="75" w:after="75"/>
      <w:ind w:firstLine="375"/>
      <w:jc w:val="both"/>
    </w:pPr>
  </w:style>
  <w:style w:type="paragraph" w:customStyle="1" w:styleId="naisnod">
    <w:name w:val="naisnod"/>
    <w:basedOn w:val="Normal"/>
    <w:qFormat/>
    <w:rsid w:val="008C5649"/>
    <w:pPr>
      <w:spacing w:before="150" w:after="150"/>
      <w:jc w:val="center"/>
    </w:pPr>
    <w:rPr>
      <w:b/>
      <w:bCs/>
    </w:rPr>
  </w:style>
  <w:style w:type="paragraph" w:customStyle="1" w:styleId="naislab">
    <w:name w:val="naislab"/>
    <w:basedOn w:val="Normal"/>
    <w:qFormat/>
    <w:rsid w:val="008C5649"/>
    <w:pPr>
      <w:spacing w:before="75" w:after="75"/>
      <w:jc w:val="right"/>
    </w:pPr>
  </w:style>
  <w:style w:type="paragraph" w:customStyle="1" w:styleId="naiskr">
    <w:name w:val="naiskr"/>
    <w:basedOn w:val="Normal"/>
    <w:qFormat/>
    <w:rsid w:val="008C5649"/>
    <w:pPr>
      <w:spacing w:before="75" w:after="75"/>
    </w:pPr>
  </w:style>
  <w:style w:type="paragraph" w:customStyle="1" w:styleId="naisc">
    <w:name w:val="naisc"/>
    <w:basedOn w:val="Normal"/>
    <w:qFormat/>
    <w:rsid w:val="008C5649"/>
    <w:pPr>
      <w:spacing w:before="75" w:after="75"/>
      <w:jc w:val="center"/>
    </w:pPr>
  </w:style>
  <w:style w:type="paragraph" w:styleId="CommentText">
    <w:name w:val="annotation text"/>
    <w:basedOn w:val="Normal"/>
    <w:link w:val="CommentTextChar"/>
    <w:qFormat/>
    <w:rsid w:val="008C5649"/>
    <w:rPr>
      <w:sz w:val="20"/>
      <w:szCs w:val="20"/>
    </w:rPr>
  </w:style>
  <w:style w:type="paragraph" w:styleId="BalloonText">
    <w:name w:val="Balloon Text"/>
    <w:basedOn w:val="Normal"/>
    <w:link w:val="BalloonTextChar"/>
    <w:uiPriority w:val="99"/>
    <w:semiHidden/>
    <w:qFormat/>
    <w:rsid w:val="008C5649"/>
    <w:rPr>
      <w:rFonts w:ascii="Tahoma" w:hAnsi="Tahoma" w:cs="Tahoma"/>
      <w:sz w:val="16"/>
      <w:szCs w:val="16"/>
    </w:rPr>
  </w:style>
  <w:style w:type="paragraph" w:styleId="FootnoteText">
    <w:name w:val="footnote text"/>
    <w:basedOn w:val="Normal"/>
    <w:semiHidden/>
    <w:rsid w:val="008C5649"/>
    <w:rPr>
      <w:sz w:val="20"/>
      <w:szCs w:val="20"/>
    </w:rPr>
  </w:style>
  <w:style w:type="paragraph" w:styleId="CommentSubject">
    <w:name w:val="annotation subject"/>
    <w:basedOn w:val="CommentText"/>
    <w:next w:val="CommentText"/>
    <w:semiHidden/>
    <w:qFormat/>
    <w:rsid w:val="00262E2B"/>
    <w:rPr>
      <w:b/>
      <w:bCs/>
    </w:rPr>
  </w:style>
  <w:style w:type="paragraph" w:styleId="Footer">
    <w:name w:val="footer"/>
    <w:basedOn w:val="Normal"/>
    <w:link w:val="FooterChar"/>
    <w:rsid w:val="00262E2B"/>
    <w:pPr>
      <w:tabs>
        <w:tab w:val="center" w:pos="4153"/>
        <w:tab w:val="right" w:pos="8306"/>
      </w:tabs>
    </w:pPr>
  </w:style>
  <w:style w:type="paragraph" w:styleId="DocumentMap">
    <w:name w:val="Document Map"/>
    <w:basedOn w:val="Normal"/>
    <w:semiHidden/>
    <w:qFormat/>
    <w:rsid w:val="00846994"/>
    <w:pPr>
      <w:shd w:val="clear" w:color="auto" w:fill="000080"/>
    </w:pPr>
    <w:rPr>
      <w:rFonts w:ascii="Tahoma" w:hAnsi="Tahoma" w:cs="Tahoma"/>
      <w:sz w:val="20"/>
      <w:szCs w:val="20"/>
    </w:rPr>
  </w:style>
  <w:style w:type="paragraph" w:styleId="BodyTextIndent3">
    <w:name w:val="Body Text Indent 3"/>
    <w:basedOn w:val="Normal"/>
    <w:link w:val="BodyTextIndent3Char"/>
    <w:qFormat/>
    <w:rsid w:val="008937A7"/>
    <w:pPr>
      <w:spacing w:after="120"/>
      <w:ind w:left="283"/>
    </w:pPr>
    <w:rPr>
      <w:sz w:val="16"/>
      <w:szCs w:val="16"/>
      <w:lang w:val="en-US"/>
    </w:rPr>
  </w:style>
  <w:style w:type="paragraph" w:customStyle="1" w:styleId="RakstzRakstzRakstzCharCharChar1CharChar">
    <w:name w:val="Rakstz. Rakstz. Rakstz. Char Char Char1 Char Char"/>
    <w:basedOn w:val="Normal"/>
    <w:qFormat/>
    <w:rsid w:val="000B65B3"/>
    <w:pPr>
      <w:spacing w:before="40"/>
    </w:pPr>
    <w:rPr>
      <w:lang w:val="pl-PL" w:eastAsia="pl-PL"/>
    </w:rPr>
  </w:style>
  <w:style w:type="paragraph" w:customStyle="1" w:styleId="tvhtml">
    <w:name w:val="tv_html"/>
    <w:basedOn w:val="Normal"/>
    <w:qFormat/>
    <w:rsid w:val="006570D6"/>
    <w:pPr>
      <w:spacing w:beforeAutospacing="1" w:afterAutospacing="1"/>
    </w:pPr>
    <w:rPr>
      <w:rFonts w:ascii="Verdana" w:hAnsi="Verdana"/>
      <w:sz w:val="18"/>
      <w:szCs w:val="18"/>
      <w:lang w:val="en-US" w:eastAsia="en-US"/>
    </w:rPr>
  </w:style>
  <w:style w:type="paragraph" w:styleId="BodyTextIndent2">
    <w:name w:val="Body Text Indent 2"/>
    <w:basedOn w:val="Normal"/>
    <w:link w:val="BodyTextIndent2Char"/>
    <w:qFormat/>
    <w:rsid w:val="00343716"/>
    <w:pPr>
      <w:spacing w:after="120" w:line="480" w:lineRule="auto"/>
      <w:ind w:left="283"/>
    </w:pPr>
  </w:style>
  <w:style w:type="paragraph" w:styleId="BlockText">
    <w:name w:val="Block Text"/>
    <w:basedOn w:val="Normal"/>
    <w:qFormat/>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qFormat/>
    <w:rsid w:val="00D16159"/>
    <w:rPr>
      <w:rFonts w:ascii="EUAlbertina" w:hAnsi="EUAlbertina" w:cs="EUAlbertina"/>
      <w:color w:val="000000"/>
      <w:sz w:val="24"/>
      <w:szCs w:val="24"/>
    </w:rPr>
  </w:style>
  <w:style w:type="paragraph" w:customStyle="1" w:styleId="CM4">
    <w:name w:val="CM4"/>
    <w:basedOn w:val="Default"/>
    <w:next w:val="Default"/>
    <w:uiPriority w:val="99"/>
    <w:qFormat/>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qFormat/>
    <w:rsid w:val="000178E6"/>
    <w:pPr>
      <w:spacing w:beforeAutospacing="1" w:afterAutospacing="1"/>
    </w:pPr>
  </w:style>
  <w:style w:type="paragraph" w:customStyle="1" w:styleId="FrameContents">
    <w:name w:val="Frame Contents"/>
    <w:basedOn w:val="Normal"/>
    <w:qFormat/>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A1E2-6EE3-4BE8-9452-63C1A2F4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6684</Words>
  <Characters>3811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
  <dc:creator>Normunds Freibergs</dc:creator>
  <dc:description/>
  <cp:lastModifiedBy>Normunds Freibergs</cp:lastModifiedBy>
  <cp:revision>11</cp:revision>
  <cp:lastPrinted>2019-10-29T12:47:00Z</cp:lastPrinted>
  <dcterms:created xsi:type="dcterms:W3CDTF">2019-11-28T12:10:00Z</dcterms:created>
  <dcterms:modified xsi:type="dcterms:W3CDTF">2019-12-05T08:43:00Z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Ekonomikas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