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E915" w14:textId="2EB51987" w:rsidR="00352851" w:rsidRPr="00352851" w:rsidRDefault="00DC689C" w:rsidP="00352851">
      <w:pPr>
        <w:jc w:val="center"/>
        <w:rPr>
          <w:b/>
          <w:bCs/>
        </w:rPr>
      </w:pPr>
      <w:r w:rsidRPr="00352851">
        <w:t>Ministru kabineta noteikum</w:t>
      </w:r>
      <w:r w:rsidR="007578EB" w:rsidRPr="00352851">
        <w:t>u</w:t>
      </w:r>
      <w:r w:rsidRPr="00352851">
        <w:t xml:space="preserve"> projekta</w:t>
      </w:r>
      <w:r w:rsidRPr="00352851">
        <w:rPr>
          <w:b/>
        </w:rPr>
        <w:t xml:space="preserve"> </w:t>
      </w:r>
      <w:r w:rsidR="00352851">
        <w:rPr>
          <w:b/>
        </w:rPr>
        <w:t>“</w:t>
      </w:r>
      <w:r w:rsidR="00352851" w:rsidRPr="00352851">
        <w:rPr>
          <w:b/>
          <w:bCs/>
        </w:rPr>
        <w:t>Grozījumi Ministru kabineta 2016.gada 28.jūnija noteikumos Nr.418 “Kārtība, kādā veicami pašvaldību savstarpējie norēķini par izglītības iestāžu sniegtajiem pakalpojumiem”</w:t>
      </w:r>
      <w:r w:rsidR="00352851">
        <w:rPr>
          <w:b/>
          <w:bCs/>
        </w:rPr>
        <w:t>”</w:t>
      </w:r>
    </w:p>
    <w:p w14:paraId="3D46842D" w14:textId="37CA26F9" w:rsidR="000D01B5" w:rsidRPr="00352851" w:rsidRDefault="00743B6F" w:rsidP="00AC2522">
      <w:pPr>
        <w:pStyle w:val="naislab"/>
        <w:spacing w:before="0" w:after="0"/>
        <w:ind w:left="-284" w:right="-284"/>
        <w:jc w:val="center"/>
        <w:outlineLvl w:val="0"/>
        <w:rPr>
          <w:b/>
        </w:rPr>
      </w:pPr>
      <w:r w:rsidRPr="00352851">
        <w:rPr>
          <w:b/>
        </w:rPr>
        <w:t xml:space="preserve"> </w:t>
      </w:r>
      <w:r w:rsidR="00DC689C" w:rsidRPr="00352851">
        <w:t>sākotnējā</w:t>
      </w:r>
      <w:r w:rsidR="007640EE" w:rsidRPr="00352851">
        <w:t xml:space="preserve">s ietekmes novērtējuma ziņojums </w:t>
      </w:r>
      <w:r w:rsidR="00DC689C" w:rsidRPr="00352851">
        <w:rPr>
          <w:b/>
        </w:rPr>
        <w:t>(anotācija)</w:t>
      </w:r>
    </w:p>
    <w:p w14:paraId="7DC31DBB" w14:textId="77777777" w:rsidR="00EE5557" w:rsidRDefault="00EE5557" w:rsidP="00EE5557">
      <w:pPr>
        <w:pStyle w:val="naislab"/>
        <w:spacing w:before="0" w:after="0"/>
        <w:ind w:left="-284" w:right="-285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796"/>
      </w:tblGrid>
      <w:tr w:rsidR="00EE5557" w:rsidRPr="006A0BE1" w14:paraId="7A0B4AFA" w14:textId="77777777" w:rsidTr="00A508AF">
        <w:trPr>
          <w:trHeight w:val="416"/>
        </w:trPr>
        <w:tc>
          <w:tcPr>
            <w:tcW w:w="9918" w:type="dxa"/>
            <w:gridSpan w:val="2"/>
          </w:tcPr>
          <w:p w14:paraId="41587848" w14:textId="77777777" w:rsidR="00EE5557" w:rsidRPr="006A0BE1" w:rsidRDefault="00EE5557" w:rsidP="000320B1">
            <w:pPr>
              <w:pStyle w:val="naiskr"/>
              <w:spacing w:before="0" w:after="0"/>
              <w:ind w:left="91" w:right="79" w:firstLine="425"/>
              <w:jc w:val="center"/>
              <w:rPr>
                <w:b/>
              </w:rPr>
            </w:pPr>
            <w:r w:rsidRPr="006A0BE1">
              <w:rPr>
                <w:b/>
              </w:rPr>
              <w:t>Tiesību akta projekta anotācijas kopsavilkums</w:t>
            </w:r>
          </w:p>
        </w:tc>
      </w:tr>
      <w:tr w:rsidR="00EE5557" w:rsidRPr="006A0BE1" w14:paraId="3A38F876" w14:textId="77777777" w:rsidTr="00263A91">
        <w:trPr>
          <w:trHeight w:val="985"/>
        </w:trPr>
        <w:tc>
          <w:tcPr>
            <w:tcW w:w="2122" w:type="dxa"/>
          </w:tcPr>
          <w:p w14:paraId="1E485D72" w14:textId="77777777" w:rsidR="00EE5557" w:rsidRPr="006A0BE1" w:rsidRDefault="00EE5557" w:rsidP="000320B1">
            <w:pPr>
              <w:pStyle w:val="naiskr"/>
              <w:spacing w:before="0" w:after="0"/>
              <w:ind w:hanging="10"/>
            </w:pPr>
            <w:r w:rsidRPr="006A0BE1">
              <w:t>Mērķis, risinājums un projekta spēkā stāšanās laiks</w:t>
            </w:r>
          </w:p>
        </w:tc>
        <w:tc>
          <w:tcPr>
            <w:tcW w:w="7796" w:type="dxa"/>
          </w:tcPr>
          <w:p w14:paraId="7A1607DF" w14:textId="55BFE2CD" w:rsidR="00A068C0" w:rsidRPr="006A0BE1" w:rsidRDefault="00A068C0" w:rsidP="00773DAC">
            <w:pPr>
              <w:pStyle w:val="naiskr"/>
              <w:spacing w:before="0" w:after="0"/>
              <w:ind w:left="91" w:right="79"/>
              <w:jc w:val="both"/>
            </w:pPr>
            <w:r w:rsidRPr="00BA3B3A">
              <w:t>Netiek aizpildīts saskaņā ar Ministru kabineta 2009.gada 15.decembra instrukcijas Nr.19 “Tiesību akta projekta sākotnējās ietekmes izvērtēšanas kārtība” 5.</w:t>
            </w:r>
            <w:r w:rsidRPr="0086718C">
              <w:rPr>
                <w:vertAlign w:val="superscript"/>
              </w:rPr>
              <w:t>1</w:t>
            </w:r>
            <w:r w:rsidRPr="00BA3B3A">
              <w:t> punktu.</w:t>
            </w:r>
          </w:p>
        </w:tc>
      </w:tr>
    </w:tbl>
    <w:p w14:paraId="36A0A9D9" w14:textId="77777777" w:rsidR="00EE5557" w:rsidRPr="006A0BE1" w:rsidRDefault="00EE5557" w:rsidP="00EE5557">
      <w:pPr>
        <w:pStyle w:val="naislab"/>
        <w:spacing w:before="0" w:after="0"/>
        <w:ind w:left="-284" w:right="-285"/>
        <w:jc w:val="center"/>
        <w:outlineLvl w:val="0"/>
        <w:rPr>
          <w:lang w:eastAsia="en-US"/>
        </w:rPr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1954"/>
        <w:gridCol w:w="7797"/>
      </w:tblGrid>
      <w:tr w:rsidR="00EE5557" w:rsidRPr="006A0BE1" w14:paraId="4E31D2A6" w14:textId="77777777" w:rsidTr="000320B1">
        <w:tc>
          <w:tcPr>
            <w:tcW w:w="10060" w:type="dxa"/>
            <w:gridSpan w:val="3"/>
            <w:vAlign w:val="center"/>
          </w:tcPr>
          <w:p w14:paraId="4CA0C1A6" w14:textId="77777777" w:rsidR="00EE5557" w:rsidRPr="003F7AB8" w:rsidRDefault="00EE5557" w:rsidP="003F7AB8">
            <w:pPr>
              <w:pStyle w:val="naisnod"/>
              <w:spacing w:before="0" w:after="0"/>
              <w:rPr>
                <w:bCs w:val="0"/>
                <w:lang w:eastAsia="en-US"/>
              </w:rPr>
            </w:pPr>
            <w:r w:rsidRPr="003F7AB8">
              <w:rPr>
                <w:bCs w:val="0"/>
                <w:lang w:eastAsia="en-US"/>
              </w:rPr>
              <w:t>I. Tiesību akta projekta izstrādes nepieciešamība</w:t>
            </w:r>
          </w:p>
        </w:tc>
      </w:tr>
      <w:tr w:rsidR="00EE5557" w:rsidRPr="006A0BE1" w14:paraId="66025CC3" w14:textId="77777777" w:rsidTr="00A068C0">
        <w:trPr>
          <w:trHeight w:val="2261"/>
        </w:trPr>
        <w:tc>
          <w:tcPr>
            <w:tcW w:w="309" w:type="dxa"/>
          </w:tcPr>
          <w:p w14:paraId="686AFFDF" w14:textId="77777777" w:rsidR="00EE5557" w:rsidRPr="006A0BE1" w:rsidRDefault="00EE5557" w:rsidP="000320B1">
            <w:pPr>
              <w:pStyle w:val="naiskr"/>
              <w:spacing w:before="0" w:after="0"/>
              <w:rPr>
                <w:lang w:eastAsia="en-US"/>
              </w:rPr>
            </w:pPr>
            <w:r w:rsidRPr="006A0BE1">
              <w:rPr>
                <w:lang w:eastAsia="en-US"/>
              </w:rPr>
              <w:t>1.</w:t>
            </w:r>
          </w:p>
        </w:tc>
        <w:tc>
          <w:tcPr>
            <w:tcW w:w="1954" w:type="dxa"/>
          </w:tcPr>
          <w:p w14:paraId="6BE6F87C" w14:textId="77777777" w:rsidR="00EE5557" w:rsidRPr="006A0BE1" w:rsidRDefault="00EE5557" w:rsidP="000320B1">
            <w:pPr>
              <w:pStyle w:val="naiskr"/>
              <w:spacing w:before="0" w:after="0"/>
              <w:ind w:hanging="10"/>
              <w:rPr>
                <w:lang w:eastAsia="en-US"/>
              </w:rPr>
            </w:pPr>
            <w:r w:rsidRPr="006A0BE1">
              <w:rPr>
                <w:lang w:eastAsia="en-US"/>
              </w:rPr>
              <w:t>Pamatojums</w:t>
            </w:r>
          </w:p>
        </w:tc>
        <w:tc>
          <w:tcPr>
            <w:tcW w:w="7797" w:type="dxa"/>
          </w:tcPr>
          <w:p w14:paraId="16D78B29" w14:textId="65ABFF64" w:rsidR="00A068C0" w:rsidRPr="006F476E" w:rsidRDefault="00A068C0" w:rsidP="00FC48A8">
            <w:pPr>
              <w:pStyle w:val="naiskr"/>
              <w:spacing w:before="0" w:after="0"/>
              <w:ind w:left="91" w:right="79"/>
              <w:jc w:val="both"/>
              <w:rPr>
                <w:lang w:eastAsia="en-US"/>
              </w:rPr>
            </w:pPr>
            <w:r w:rsidRPr="00965D2A">
              <w:rPr>
                <w:lang w:eastAsia="en-US"/>
              </w:rPr>
              <w:t>Ministru kabineta noteikumu projekt</w:t>
            </w:r>
            <w:r>
              <w:rPr>
                <w:lang w:eastAsia="en-US"/>
              </w:rPr>
              <w:t>s</w:t>
            </w:r>
            <w:r w:rsidRPr="00965D2A">
              <w:rPr>
                <w:lang w:eastAsia="en-US"/>
              </w:rPr>
              <w:t xml:space="preserve"> “Grozījumi Ministru kabineta 2016.gada 28.jūnija noteikumos Nr.418 “Kārtība, kādā veicami pašvaldību savstarpējie norēķini par izglītības iestāžu sniegtajiem pakalpojumiem” (turpmāk – noteikumu projekts) </w:t>
            </w:r>
            <w:r>
              <w:rPr>
                <w:lang w:eastAsia="en-US"/>
              </w:rPr>
              <w:t xml:space="preserve">izstrādāts pēc Finanšu ministrijas iniciatīvas, lai precizētu </w:t>
            </w:r>
            <w:r>
              <w:t xml:space="preserve">ekonomiskās klasifikācijas kodu (turpmāk – EKK) nosaukumus atbilstoši grozījumiem </w:t>
            </w:r>
            <w:r w:rsidRPr="00021D30">
              <w:t>Ministru kabineta 2005.gada 27.decembra noteikum</w:t>
            </w:r>
            <w:r w:rsidR="0097198B">
              <w:t>os</w:t>
            </w:r>
            <w:r w:rsidRPr="00021D30">
              <w:t xml:space="preserve"> Nr.1031 “Noteikumi par budžetu izdevumu klasifikāciju atbilstoši ekonomiskajām kategorijām”</w:t>
            </w:r>
            <w:r w:rsidR="00A508AF">
              <w:t xml:space="preserve"> (turpmāk – </w:t>
            </w:r>
            <w:r w:rsidR="00A508AF" w:rsidRPr="00965D2A">
              <w:t>MK noteikum</w:t>
            </w:r>
            <w:r w:rsidR="00A508AF">
              <w:t>i</w:t>
            </w:r>
            <w:r w:rsidR="00A508AF" w:rsidRPr="00965D2A">
              <w:t xml:space="preserve"> Nr.1031</w:t>
            </w:r>
            <w:r w:rsidR="00A508AF">
              <w:t>)</w:t>
            </w:r>
            <w:r>
              <w:t>, kā arī grozīj</w:t>
            </w:r>
            <w:r w:rsidR="00913385">
              <w:t>umiem Izglītības likumā.</w:t>
            </w:r>
          </w:p>
        </w:tc>
      </w:tr>
      <w:tr w:rsidR="00EE5557" w:rsidRPr="006A0BE1" w14:paraId="3C64361D" w14:textId="77777777" w:rsidTr="000320B1">
        <w:trPr>
          <w:trHeight w:val="557"/>
        </w:trPr>
        <w:tc>
          <w:tcPr>
            <w:tcW w:w="309" w:type="dxa"/>
          </w:tcPr>
          <w:p w14:paraId="03AD9FE0" w14:textId="77777777" w:rsidR="00EE5557" w:rsidRPr="006A0BE1" w:rsidRDefault="00EE5557" w:rsidP="000320B1">
            <w:pPr>
              <w:pStyle w:val="naiskr"/>
              <w:spacing w:before="0" w:after="0"/>
              <w:rPr>
                <w:lang w:eastAsia="en-US"/>
              </w:rPr>
            </w:pPr>
            <w:r w:rsidRPr="006A0BE1">
              <w:rPr>
                <w:lang w:eastAsia="en-US"/>
              </w:rPr>
              <w:t>2.</w:t>
            </w:r>
          </w:p>
        </w:tc>
        <w:tc>
          <w:tcPr>
            <w:tcW w:w="1954" w:type="dxa"/>
          </w:tcPr>
          <w:p w14:paraId="36DB1198" w14:textId="77777777" w:rsidR="00EE5557" w:rsidRPr="006A0BE1" w:rsidRDefault="00EE5557" w:rsidP="000320B1">
            <w:pPr>
              <w:pStyle w:val="naiskr"/>
              <w:tabs>
                <w:tab w:val="left" w:pos="170"/>
              </w:tabs>
              <w:spacing w:before="0" w:after="0"/>
              <w:rPr>
                <w:lang w:eastAsia="en-US"/>
              </w:rPr>
            </w:pPr>
            <w:r w:rsidRPr="006A0BE1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797" w:type="dxa"/>
          </w:tcPr>
          <w:p w14:paraId="0D3EB70F" w14:textId="40D207B3" w:rsidR="00EE5557" w:rsidRPr="00965D2A" w:rsidRDefault="00EE5557" w:rsidP="000320B1">
            <w:pPr>
              <w:ind w:left="141" w:right="163" w:hanging="2"/>
              <w:jc w:val="both"/>
              <w:rPr>
                <w:lang w:eastAsia="en-US"/>
              </w:rPr>
            </w:pPr>
            <w:r w:rsidRPr="00965D2A">
              <w:rPr>
                <w:lang w:eastAsia="en-US"/>
              </w:rPr>
              <w:t xml:space="preserve">Ministru kabineta </w:t>
            </w:r>
            <w:r w:rsidR="006C090B" w:rsidRPr="00965D2A">
              <w:rPr>
                <w:lang w:eastAsia="en-US"/>
              </w:rPr>
              <w:t>2016.gada 28.jūnij</w:t>
            </w:r>
            <w:r w:rsidR="006C090B">
              <w:rPr>
                <w:lang w:eastAsia="en-US"/>
              </w:rPr>
              <w:t>a</w:t>
            </w:r>
            <w:r w:rsidR="006C090B" w:rsidRPr="00965D2A">
              <w:rPr>
                <w:lang w:eastAsia="en-US"/>
              </w:rPr>
              <w:t xml:space="preserve"> </w:t>
            </w:r>
            <w:r w:rsidRPr="00965D2A">
              <w:rPr>
                <w:lang w:eastAsia="en-US"/>
              </w:rPr>
              <w:t>noteikumi Nr.418 “Kārtība, kādā veicami pašvaldību savstarpējie norēķini par izglītības iestāžu sniegtajiem pakalpojumiem” (turpmāk – MK noteikumi Nr.418) nosaka  kārtību, kādā pašvaldības, kuru administratīvajā teritorijā deklarētie iedzīvotāji izmanto citas pašvaldības izglītības iestāžu sniegtos pakalpojumus, noslēdz līgumus ar attiecīgajām pašvaldībām par šiem iedzīvotājiem sniegto pakalpojumu apmaks</w:t>
            </w:r>
            <w:bookmarkStart w:id="0" w:name="_GoBack"/>
            <w:bookmarkEnd w:id="0"/>
            <w:r w:rsidRPr="00965D2A">
              <w:rPr>
                <w:lang w:eastAsia="en-US"/>
              </w:rPr>
              <w:t xml:space="preserve">u. </w:t>
            </w:r>
          </w:p>
          <w:p w14:paraId="0774D43A" w14:textId="4522D22E" w:rsidR="006C090B" w:rsidRDefault="009B483B" w:rsidP="000320B1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>
              <w:rPr>
                <w:szCs w:val="24"/>
              </w:rPr>
              <w:t>Sakarā ar grozījumiem</w:t>
            </w:r>
            <w:r w:rsidR="00EE5557" w:rsidRPr="00965D2A">
              <w:rPr>
                <w:szCs w:val="24"/>
              </w:rPr>
              <w:t xml:space="preserve"> MK noteikum</w:t>
            </w:r>
            <w:r w:rsidR="006C090B">
              <w:rPr>
                <w:szCs w:val="24"/>
              </w:rPr>
              <w:t>os</w:t>
            </w:r>
            <w:r w:rsidR="00EE5557" w:rsidRPr="00965D2A">
              <w:rPr>
                <w:szCs w:val="24"/>
              </w:rPr>
              <w:t xml:space="preserve"> Nr.1031</w:t>
            </w:r>
            <w:r w:rsidR="00F26ABE">
              <w:rPr>
                <w:szCs w:val="24"/>
              </w:rPr>
              <w:t>, kuri stājās</w:t>
            </w:r>
            <w:r w:rsidR="00B070C1">
              <w:rPr>
                <w:szCs w:val="24"/>
              </w:rPr>
              <w:t xml:space="preserve"> spēkā 2020.gada 1.janvārī, </w:t>
            </w:r>
            <w:r w:rsidR="00EE5557" w:rsidRPr="00965D2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nepieciešams </w:t>
            </w:r>
            <w:r w:rsidR="009D1758" w:rsidRPr="009B483B">
              <w:rPr>
                <w:szCs w:val="24"/>
              </w:rPr>
              <w:t xml:space="preserve"> MK noteikum</w:t>
            </w:r>
            <w:r w:rsidR="009D1758">
              <w:rPr>
                <w:szCs w:val="24"/>
              </w:rPr>
              <w:t>os</w:t>
            </w:r>
            <w:r w:rsidR="009D1758" w:rsidRPr="009B483B">
              <w:rPr>
                <w:szCs w:val="24"/>
              </w:rPr>
              <w:t xml:space="preserve"> Nr.418</w:t>
            </w:r>
            <w:r w:rsidR="009D1758">
              <w:rPr>
                <w:szCs w:val="24"/>
              </w:rPr>
              <w:t xml:space="preserve"> </w:t>
            </w:r>
            <w:r>
              <w:rPr>
                <w:szCs w:val="24"/>
              </w:rPr>
              <w:t>aktualizēt</w:t>
            </w:r>
            <w:r w:rsidR="006C090B">
              <w:rPr>
                <w:szCs w:val="24"/>
              </w:rPr>
              <w:t xml:space="preserve"> EKK nosaukumus</w:t>
            </w:r>
            <w:r w:rsidR="009D1758">
              <w:rPr>
                <w:szCs w:val="24"/>
              </w:rPr>
              <w:t>.</w:t>
            </w:r>
          </w:p>
          <w:p w14:paraId="4027E026" w14:textId="70C4C6F3" w:rsidR="008A3A03" w:rsidRDefault="00AC07CA" w:rsidP="008A3A03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>
              <w:rPr>
                <w:szCs w:val="24"/>
              </w:rPr>
              <w:t>2020.gada 1.janvār</w:t>
            </w:r>
            <w:r w:rsidR="007F3D33">
              <w:rPr>
                <w:szCs w:val="24"/>
              </w:rPr>
              <w:t>ī</w:t>
            </w:r>
            <w:r>
              <w:rPr>
                <w:szCs w:val="24"/>
              </w:rPr>
              <w:t xml:space="preserve"> stā</w:t>
            </w:r>
            <w:r w:rsidR="00F26ABE">
              <w:rPr>
                <w:szCs w:val="24"/>
              </w:rPr>
              <w:t>jās</w:t>
            </w:r>
            <w:r>
              <w:rPr>
                <w:szCs w:val="24"/>
              </w:rPr>
              <w:t xml:space="preserve"> spēkā </w:t>
            </w:r>
            <w:r w:rsidR="007F3D33">
              <w:rPr>
                <w:szCs w:val="24"/>
              </w:rPr>
              <w:t>g</w:t>
            </w:r>
            <w:r w:rsidR="00C17F76">
              <w:rPr>
                <w:szCs w:val="24"/>
              </w:rPr>
              <w:t xml:space="preserve">rozījumi </w:t>
            </w:r>
            <w:r w:rsidR="00F27047">
              <w:rPr>
                <w:szCs w:val="24"/>
              </w:rPr>
              <w:t>I</w:t>
            </w:r>
            <w:r w:rsidR="00C17F76">
              <w:rPr>
                <w:szCs w:val="24"/>
              </w:rPr>
              <w:t xml:space="preserve">zglītības likumā, kas paredz, ka pašvaldības </w:t>
            </w:r>
            <w:r w:rsidR="00C17F76" w:rsidRPr="00C17F76">
              <w:rPr>
                <w:szCs w:val="24"/>
              </w:rPr>
              <w:t xml:space="preserve">piedalās </w:t>
            </w:r>
            <w:r w:rsidR="007F3D33" w:rsidRPr="007F3D33">
              <w:rPr>
                <w:szCs w:val="24"/>
              </w:rPr>
              <w:t>to izglītojamo ēdināšanas izmaksu segšanā no pašvaldības budžeta, kuri attiecīgās pašvaldības administratīvajā teritorijā esošajās izglītības iestādēs (izņemot valsts izglītības iestādes) klātienē apgūst pamatizglītības programmas 1., 2., 3. un 4. klasē.</w:t>
            </w:r>
            <w:r w:rsidR="00C17F76">
              <w:rPr>
                <w:szCs w:val="24"/>
              </w:rPr>
              <w:t xml:space="preserve"> </w:t>
            </w:r>
            <w:r w:rsidR="009D1758">
              <w:t xml:space="preserve"> </w:t>
            </w:r>
            <w:r w:rsidR="009D1758" w:rsidRPr="009D1758">
              <w:rPr>
                <w:szCs w:val="24"/>
              </w:rPr>
              <w:t>MK noteikumos Nr.418 noteikts, ka, aprēķinot izmaksas par vienu izglītojam</w:t>
            </w:r>
            <w:r w:rsidR="008A3A03">
              <w:rPr>
                <w:szCs w:val="24"/>
              </w:rPr>
              <w:t>o</w:t>
            </w:r>
            <w:r w:rsidR="009D1758" w:rsidRPr="009D1758">
              <w:rPr>
                <w:szCs w:val="24"/>
              </w:rPr>
              <w:t xml:space="preserve"> konkrētā izglītības iestādē, aprēķinā netiek iekļauti ēdināšanas izdevumi.</w:t>
            </w:r>
            <w:r w:rsidR="009D1758">
              <w:rPr>
                <w:szCs w:val="24"/>
              </w:rPr>
              <w:t xml:space="preserve"> Ņemot vērā grozījumus Izglītības likumā, noteikumu projektā nepieciešams noteikt</w:t>
            </w:r>
            <w:r w:rsidR="008A3A03">
              <w:rPr>
                <w:szCs w:val="24"/>
              </w:rPr>
              <w:t>, ka izglītības iestādes izdevumu tāmē netiek iekļauti ēdināšanas izdevumi</w:t>
            </w:r>
            <w:r w:rsidR="009D1758">
              <w:rPr>
                <w:szCs w:val="24"/>
              </w:rPr>
              <w:t xml:space="preserve"> </w:t>
            </w:r>
            <w:r w:rsidR="008A3A03" w:rsidRPr="007F3D33">
              <w:rPr>
                <w:szCs w:val="24"/>
              </w:rPr>
              <w:t xml:space="preserve"> izglītojamiem pirmsskolas izglītības iestādēs</w:t>
            </w:r>
            <w:r w:rsidR="008A3A03">
              <w:rPr>
                <w:szCs w:val="24"/>
              </w:rPr>
              <w:t>, speciālās pirmsskolas izglītības iestādēs</w:t>
            </w:r>
            <w:r w:rsidR="008A3A03" w:rsidRPr="007F3D33">
              <w:rPr>
                <w:szCs w:val="24"/>
              </w:rPr>
              <w:t xml:space="preserve"> un izglītojamiem </w:t>
            </w:r>
            <w:r w:rsidR="00B34B49">
              <w:rPr>
                <w:szCs w:val="24"/>
              </w:rPr>
              <w:t xml:space="preserve">no 5.klases </w:t>
            </w:r>
            <w:r w:rsidR="008A3A03" w:rsidRPr="007F3D33">
              <w:rPr>
                <w:szCs w:val="24"/>
              </w:rPr>
              <w:t>vispārējās izglītības iestādēs</w:t>
            </w:r>
            <w:r w:rsidR="008A3A03">
              <w:rPr>
                <w:szCs w:val="24"/>
              </w:rPr>
              <w:t>.</w:t>
            </w:r>
          </w:p>
          <w:p w14:paraId="614863DA" w14:textId="164FD396" w:rsidR="00DC542F" w:rsidRDefault="00DC542F" w:rsidP="00DC542F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>
              <w:t>Noteikumu projekts paredz garāku termiņu līdz kuram pakalpojumu sniedzējs precizē viena izglītojamā izmaksas, ja uz saimnieciskā gada 1.septembri ir mainījies izglītojamo skaits. Ņemot vērā, ka praksē ir grūti</w:t>
            </w:r>
            <w:r w:rsidR="00E40CA5">
              <w:t xml:space="preserve"> ievērot noteikto termiņu - 20.</w:t>
            </w:r>
            <w:r>
              <w:t>oktobris, tas mainīts uz 31.oktobri.</w:t>
            </w:r>
          </w:p>
          <w:p w14:paraId="6649E85D" w14:textId="1F40B938" w:rsidR="00EE5557" w:rsidRPr="00917B79" w:rsidRDefault="00A508AF" w:rsidP="00AC460D">
            <w:pPr>
              <w:pStyle w:val="BodyTextIndent"/>
              <w:spacing w:after="0"/>
              <w:ind w:left="145" w:right="143"/>
              <w:rPr>
                <w:szCs w:val="24"/>
              </w:rPr>
            </w:pPr>
            <w:r w:rsidRPr="00A508AF">
              <w:rPr>
                <w:szCs w:val="24"/>
              </w:rPr>
              <w:t>MK noteikumi Nr.418 paredz, ka aprēķinot izmaksas saimnieciskajā gadā par vienu izglītojamo konkrētā izglītības iestādē, aprēķinā atbilstoši EKK iekļauj izglītības iestādes iepriekšējā saimnieciskajā gadā pēc naudas plūsmas uzskaitītos izdevumus</w:t>
            </w:r>
            <w:r w:rsidR="00B558D2" w:rsidRPr="00A508AF">
              <w:rPr>
                <w:szCs w:val="24"/>
              </w:rPr>
              <w:t xml:space="preserve">, </w:t>
            </w:r>
            <w:r w:rsidR="00021D30" w:rsidRPr="00A508AF">
              <w:rPr>
                <w:szCs w:val="24"/>
              </w:rPr>
              <w:t>līdz</w:t>
            </w:r>
            <w:r w:rsidR="00021D30">
              <w:rPr>
                <w:szCs w:val="24"/>
              </w:rPr>
              <w:t xml:space="preserve"> ar to </w:t>
            </w:r>
            <w:r w:rsidR="00B558D2">
              <w:rPr>
                <w:szCs w:val="24"/>
              </w:rPr>
              <w:t>noteikumu projekt</w:t>
            </w:r>
            <w:r w:rsidR="00021D30">
              <w:rPr>
                <w:szCs w:val="24"/>
              </w:rPr>
              <w:t>ā nepieciešams</w:t>
            </w:r>
            <w:r w:rsidR="00B558D2">
              <w:rPr>
                <w:szCs w:val="24"/>
              </w:rPr>
              <w:t xml:space="preserve"> </w:t>
            </w:r>
            <w:r w:rsidR="00021D30">
              <w:rPr>
                <w:szCs w:val="24"/>
              </w:rPr>
              <w:t>noteikt, ka,</w:t>
            </w:r>
            <w:r w:rsidR="00B558D2">
              <w:rPr>
                <w:szCs w:val="24"/>
              </w:rPr>
              <w:t xml:space="preserve"> a</w:t>
            </w:r>
            <w:r w:rsidR="0084688D" w:rsidRPr="0084688D">
              <w:rPr>
                <w:szCs w:val="24"/>
              </w:rPr>
              <w:t xml:space="preserve">prēķinot izmaksas 2020.gadā par vienu izglītojamo konkrētā izglītības iestādē, aprēķinā </w:t>
            </w:r>
            <w:r w:rsidR="00BA1A07">
              <w:t xml:space="preserve"> </w:t>
            </w:r>
            <w:r w:rsidR="00BA1A07" w:rsidRPr="00BA1A07">
              <w:rPr>
                <w:szCs w:val="24"/>
              </w:rPr>
              <w:t xml:space="preserve">iekļauj </w:t>
            </w:r>
            <w:r w:rsidR="00AC460D">
              <w:rPr>
                <w:szCs w:val="24"/>
              </w:rPr>
              <w:t xml:space="preserve"> pašvaldības budžeta </w:t>
            </w:r>
            <w:r w:rsidR="00BA1A07">
              <w:rPr>
                <w:szCs w:val="24"/>
              </w:rPr>
              <w:t xml:space="preserve">saimnieciskajā gadā </w:t>
            </w:r>
            <w:r w:rsidR="00BA1A07" w:rsidRPr="00BA1A07">
              <w:rPr>
                <w:szCs w:val="24"/>
              </w:rPr>
              <w:t xml:space="preserve">plānotos </w:t>
            </w:r>
            <w:r w:rsidR="00BA1A07" w:rsidRPr="00BA1A07">
              <w:rPr>
                <w:szCs w:val="24"/>
              </w:rPr>
              <w:lastRenderedPageBreak/>
              <w:t>izglītības iestādes ēdināšanas izdevumus izglītojamiem, kuri klātienē apgūst pamatizglītības progr</w:t>
            </w:r>
            <w:r w:rsidR="00BA1A07">
              <w:rPr>
                <w:szCs w:val="24"/>
              </w:rPr>
              <w:t>ammas 1., 2., 3. un 4. klasē.</w:t>
            </w:r>
          </w:p>
        </w:tc>
      </w:tr>
      <w:tr w:rsidR="00EE5557" w:rsidRPr="006A0BE1" w14:paraId="5117C706" w14:textId="77777777" w:rsidTr="000320B1">
        <w:trPr>
          <w:trHeight w:val="476"/>
        </w:trPr>
        <w:tc>
          <w:tcPr>
            <w:tcW w:w="309" w:type="dxa"/>
          </w:tcPr>
          <w:p w14:paraId="6B7CD9D0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lastRenderedPageBreak/>
              <w:t>3.</w:t>
            </w:r>
          </w:p>
        </w:tc>
        <w:tc>
          <w:tcPr>
            <w:tcW w:w="1954" w:type="dxa"/>
          </w:tcPr>
          <w:p w14:paraId="2FBCF441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Projekta izstrādē iesaistītās institūcijas un publiskas personas kapitālsabiedrības</w:t>
            </w:r>
          </w:p>
        </w:tc>
        <w:tc>
          <w:tcPr>
            <w:tcW w:w="7797" w:type="dxa"/>
          </w:tcPr>
          <w:p w14:paraId="7EF32678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BE1136">
              <w:rPr>
                <w:szCs w:val="26"/>
              </w:rPr>
              <w:t>Finanšu ministrija</w:t>
            </w:r>
          </w:p>
        </w:tc>
      </w:tr>
      <w:tr w:rsidR="00EE5557" w:rsidRPr="006A0BE1" w14:paraId="37CAA200" w14:textId="77777777" w:rsidTr="000320B1">
        <w:tc>
          <w:tcPr>
            <w:tcW w:w="309" w:type="dxa"/>
          </w:tcPr>
          <w:p w14:paraId="183B0DB8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4.</w:t>
            </w:r>
          </w:p>
        </w:tc>
        <w:tc>
          <w:tcPr>
            <w:tcW w:w="1954" w:type="dxa"/>
          </w:tcPr>
          <w:p w14:paraId="2C8A0BD6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Cita informācija</w:t>
            </w:r>
          </w:p>
        </w:tc>
        <w:tc>
          <w:tcPr>
            <w:tcW w:w="7797" w:type="dxa"/>
          </w:tcPr>
          <w:p w14:paraId="46F4C8DD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6A0BE1">
              <w:t>Nav</w:t>
            </w:r>
          </w:p>
        </w:tc>
      </w:tr>
    </w:tbl>
    <w:p w14:paraId="73B59A10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5497"/>
      </w:tblGrid>
      <w:tr w:rsidR="00EE5557" w:rsidRPr="006A0BE1" w14:paraId="070F3173" w14:textId="77777777" w:rsidTr="00861C6A">
        <w:trPr>
          <w:trHeight w:val="476"/>
        </w:trPr>
        <w:tc>
          <w:tcPr>
            <w:tcW w:w="9892" w:type="dxa"/>
            <w:gridSpan w:val="3"/>
          </w:tcPr>
          <w:p w14:paraId="18E43D45" w14:textId="77777777" w:rsidR="00EE5557" w:rsidRPr="006A0BE1" w:rsidRDefault="00EE5557" w:rsidP="00861C6A">
            <w:pPr>
              <w:pStyle w:val="naiskr"/>
              <w:spacing w:before="0" w:after="0"/>
              <w:ind w:left="142" w:right="81"/>
              <w:jc w:val="center"/>
            </w:pPr>
            <w:r w:rsidRPr="006A0BE1">
              <w:rPr>
                <w:rFonts w:eastAsia="Calibri"/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EE5557" w:rsidRPr="006A0BE1" w14:paraId="06C5A1B9" w14:textId="77777777" w:rsidTr="00861C6A">
        <w:trPr>
          <w:trHeight w:val="476"/>
        </w:trPr>
        <w:tc>
          <w:tcPr>
            <w:tcW w:w="568" w:type="dxa"/>
          </w:tcPr>
          <w:p w14:paraId="6CE8B0C9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1.</w:t>
            </w:r>
          </w:p>
        </w:tc>
        <w:tc>
          <w:tcPr>
            <w:tcW w:w="3827" w:type="dxa"/>
          </w:tcPr>
          <w:p w14:paraId="35D30F13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Sabiedrības mērķgrupas, kuras tiesiskais regulējums ietekmē vai varētu ietekmēt</w:t>
            </w:r>
          </w:p>
        </w:tc>
        <w:tc>
          <w:tcPr>
            <w:tcW w:w="5497" w:type="dxa"/>
          </w:tcPr>
          <w:p w14:paraId="7CF60FB6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  <w:jc w:val="both"/>
            </w:pPr>
            <w:r w:rsidRPr="00FB1C13">
              <w:rPr>
                <w:szCs w:val="26"/>
              </w:rPr>
              <w:t>Noteikumu projekta tiesiskais regulējums attiecināms uz pašvaldībām un Pašvaldību finanšu izlīdzināšanas fonda padomi.</w:t>
            </w:r>
          </w:p>
        </w:tc>
      </w:tr>
      <w:tr w:rsidR="00EE5557" w:rsidRPr="006A0BE1" w14:paraId="10A7976A" w14:textId="77777777" w:rsidTr="00861C6A">
        <w:trPr>
          <w:trHeight w:val="476"/>
        </w:trPr>
        <w:tc>
          <w:tcPr>
            <w:tcW w:w="568" w:type="dxa"/>
          </w:tcPr>
          <w:p w14:paraId="66D9D93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2.</w:t>
            </w:r>
          </w:p>
        </w:tc>
        <w:tc>
          <w:tcPr>
            <w:tcW w:w="3827" w:type="dxa"/>
          </w:tcPr>
          <w:p w14:paraId="4E6E4CB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Tiesiskā regulējuma ietekme uz tautsaimniecību un administratīvo slogu</w:t>
            </w:r>
          </w:p>
        </w:tc>
        <w:tc>
          <w:tcPr>
            <w:tcW w:w="5497" w:type="dxa"/>
          </w:tcPr>
          <w:p w14:paraId="78813A54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  <w:jc w:val="both"/>
            </w:pPr>
            <w:r w:rsidRPr="00D368B5">
              <w:rPr>
                <w:szCs w:val="26"/>
              </w:rPr>
              <w:t>Iesaistītajām institūcijām projekta tiesiskais regulējums nemaina tiesības un pienākumus</w:t>
            </w:r>
            <w:r>
              <w:rPr>
                <w:szCs w:val="26"/>
              </w:rPr>
              <w:t>.</w:t>
            </w:r>
          </w:p>
        </w:tc>
      </w:tr>
      <w:tr w:rsidR="00EE5557" w:rsidRPr="006A0BE1" w14:paraId="65F4BEAD" w14:textId="77777777" w:rsidTr="00861C6A">
        <w:trPr>
          <w:trHeight w:val="476"/>
        </w:trPr>
        <w:tc>
          <w:tcPr>
            <w:tcW w:w="568" w:type="dxa"/>
          </w:tcPr>
          <w:p w14:paraId="08686A65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3.</w:t>
            </w:r>
          </w:p>
        </w:tc>
        <w:tc>
          <w:tcPr>
            <w:tcW w:w="3827" w:type="dxa"/>
          </w:tcPr>
          <w:p w14:paraId="28C6509A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Administratīvo izmaksu monetārs novērtējums</w:t>
            </w:r>
          </w:p>
        </w:tc>
        <w:tc>
          <w:tcPr>
            <w:tcW w:w="5497" w:type="dxa"/>
          </w:tcPr>
          <w:p w14:paraId="5B0EE85B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BC7E13">
              <w:rPr>
                <w:szCs w:val="26"/>
              </w:rPr>
              <w:t>Projekts šo jomu neskar.</w:t>
            </w:r>
          </w:p>
        </w:tc>
      </w:tr>
      <w:tr w:rsidR="00EE5557" w:rsidRPr="006A0BE1" w14:paraId="52018496" w14:textId="77777777" w:rsidTr="00861C6A">
        <w:tc>
          <w:tcPr>
            <w:tcW w:w="568" w:type="dxa"/>
          </w:tcPr>
          <w:p w14:paraId="7943E7F5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4.</w:t>
            </w:r>
          </w:p>
        </w:tc>
        <w:tc>
          <w:tcPr>
            <w:tcW w:w="3827" w:type="dxa"/>
          </w:tcPr>
          <w:p w14:paraId="3D269E89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 xml:space="preserve"> Cita informācija</w:t>
            </w:r>
          </w:p>
        </w:tc>
        <w:tc>
          <w:tcPr>
            <w:tcW w:w="5497" w:type="dxa"/>
          </w:tcPr>
          <w:p w14:paraId="0D9CC36A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6A0BE1">
              <w:t xml:space="preserve"> Nav</w:t>
            </w:r>
          </w:p>
        </w:tc>
      </w:tr>
    </w:tbl>
    <w:p w14:paraId="1F48487C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E5557" w:rsidRPr="006A0BE1" w14:paraId="3FF3EC65" w14:textId="77777777" w:rsidTr="00861C6A">
        <w:trPr>
          <w:trHeight w:val="476"/>
        </w:trPr>
        <w:tc>
          <w:tcPr>
            <w:tcW w:w="9923" w:type="dxa"/>
          </w:tcPr>
          <w:p w14:paraId="3311764B" w14:textId="77777777" w:rsidR="00EE5557" w:rsidRPr="006A0BE1" w:rsidRDefault="00EE5557" w:rsidP="000320B1">
            <w:pPr>
              <w:ind w:left="142" w:right="81"/>
              <w:jc w:val="center"/>
              <w:rPr>
                <w:b/>
              </w:rPr>
            </w:pPr>
            <w:r w:rsidRPr="006A0BE1">
              <w:rPr>
                <w:b/>
              </w:rPr>
              <w:t>III. Tiesību akta projekta ietekme uz valsts budžetu un pašvaldību budžetiem</w:t>
            </w:r>
          </w:p>
        </w:tc>
      </w:tr>
      <w:tr w:rsidR="00EE5557" w:rsidRPr="006A0BE1" w14:paraId="79D33DD4" w14:textId="77777777" w:rsidTr="00861C6A">
        <w:trPr>
          <w:trHeight w:val="476"/>
        </w:trPr>
        <w:tc>
          <w:tcPr>
            <w:tcW w:w="9923" w:type="dxa"/>
          </w:tcPr>
          <w:p w14:paraId="0BC0ADAB" w14:textId="77777777" w:rsidR="00EE5557" w:rsidRPr="006A0BE1" w:rsidRDefault="00EE5557" w:rsidP="000320B1">
            <w:pPr>
              <w:ind w:left="142" w:right="81"/>
              <w:jc w:val="center"/>
            </w:pPr>
            <w:r w:rsidRPr="006A0BE1">
              <w:t>Projekts šo jomu neskar</w:t>
            </w:r>
          </w:p>
        </w:tc>
      </w:tr>
    </w:tbl>
    <w:p w14:paraId="37F7DD82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E5557" w:rsidRPr="006A0BE1" w14:paraId="16CFB13A" w14:textId="77777777" w:rsidTr="00861C6A">
        <w:trPr>
          <w:trHeight w:val="476"/>
        </w:trPr>
        <w:tc>
          <w:tcPr>
            <w:tcW w:w="9923" w:type="dxa"/>
          </w:tcPr>
          <w:p w14:paraId="3AF9A8DB" w14:textId="77777777" w:rsidR="00EE5557" w:rsidRPr="006A0BE1" w:rsidRDefault="00EE5557" w:rsidP="000320B1">
            <w:pPr>
              <w:ind w:left="142" w:right="81"/>
              <w:jc w:val="center"/>
              <w:rPr>
                <w:b/>
              </w:rPr>
            </w:pPr>
            <w:r w:rsidRPr="006A0BE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EE5557" w:rsidRPr="006A0BE1" w14:paraId="6F7AB721" w14:textId="77777777" w:rsidTr="00861C6A">
        <w:trPr>
          <w:trHeight w:val="476"/>
        </w:trPr>
        <w:tc>
          <w:tcPr>
            <w:tcW w:w="9923" w:type="dxa"/>
          </w:tcPr>
          <w:p w14:paraId="38CEC57A" w14:textId="77777777" w:rsidR="00EE5557" w:rsidRPr="006A0BE1" w:rsidRDefault="00EE5557" w:rsidP="000320B1">
            <w:pPr>
              <w:ind w:left="142" w:right="81"/>
              <w:jc w:val="center"/>
            </w:pPr>
            <w:r w:rsidRPr="006A0BE1">
              <w:t>Projekts šo jomu neskar</w:t>
            </w:r>
          </w:p>
        </w:tc>
      </w:tr>
    </w:tbl>
    <w:p w14:paraId="51D056B6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E5557" w:rsidRPr="006A0BE1" w14:paraId="25253E05" w14:textId="77777777" w:rsidTr="00861C6A">
        <w:trPr>
          <w:trHeight w:val="476"/>
        </w:trPr>
        <w:tc>
          <w:tcPr>
            <w:tcW w:w="9923" w:type="dxa"/>
          </w:tcPr>
          <w:p w14:paraId="409B6958" w14:textId="77777777" w:rsidR="00EE5557" w:rsidRPr="006A0BE1" w:rsidRDefault="00EE5557" w:rsidP="000320B1">
            <w:pPr>
              <w:ind w:left="142" w:right="81"/>
              <w:jc w:val="center"/>
              <w:rPr>
                <w:b/>
              </w:rPr>
            </w:pPr>
            <w:r w:rsidRPr="006A0BE1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EE5557" w:rsidRPr="006A0BE1" w14:paraId="5CDC1834" w14:textId="77777777" w:rsidTr="00861C6A">
        <w:trPr>
          <w:trHeight w:val="476"/>
        </w:trPr>
        <w:tc>
          <w:tcPr>
            <w:tcW w:w="9923" w:type="dxa"/>
          </w:tcPr>
          <w:p w14:paraId="20C9129F" w14:textId="77777777" w:rsidR="00EE5557" w:rsidRPr="006A0BE1" w:rsidRDefault="00EE5557" w:rsidP="000320B1">
            <w:pPr>
              <w:ind w:left="142" w:right="81"/>
              <w:jc w:val="center"/>
            </w:pPr>
            <w:r w:rsidRPr="006A0BE1">
              <w:t>Projekts šo jomu neskar</w:t>
            </w:r>
          </w:p>
        </w:tc>
      </w:tr>
    </w:tbl>
    <w:p w14:paraId="029976CF" w14:textId="77777777" w:rsidR="00EE5557" w:rsidRPr="006A0BE1" w:rsidRDefault="00EE5557" w:rsidP="00EE555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5497"/>
      </w:tblGrid>
      <w:tr w:rsidR="00EE5557" w:rsidRPr="006A0BE1" w14:paraId="57F15CA6" w14:textId="77777777" w:rsidTr="000320B1">
        <w:trPr>
          <w:trHeight w:val="268"/>
        </w:trPr>
        <w:tc>
          <w:tcPr>
            <w:tcW w:w="9745" w:type="dxa"/>
            <w:gridSpan w:val="3"/>
          </w:tcPr>
          <w:p w14:paraId="546F9699" w14:textId="77777777" w:rsidR="00EE5557" w:rsidRPr="006A0BE1" w:rsidRDefault="00EE5557" w:rsidP="00861C6A">
            <w:pPr>
              <w:pStyle w:val="naiskr"/>
              <w:spacing w:before="0" w:after="0"/>
              <w:ind w:left="142" w:right="81"/>
              <w:jc w:val="center"/>
            </w:pPr>
            <w:r w:rsidRPr="006A0BE1">
              <w:rPr>
                <w:rFonts w:eastAsia="Calibri"/>
                <w:b/>
                <w:bCs/>
                <w:lang w:eastAsia="en-US"/>
              </w:rPr>
              <w:t>VI. Sabiedrības līdzdalība un komunikācijas aktivitātes</w:t>
            </w:r>
          </w:p>
        </w:tc>
      </w:tr>
      <w:tr w:rsidR="00EE5557" w:rsidRPr="006A0BE1" w14:paraId="7E056A94" w14:textId="77777777" w:rsidTr="000320B1">
        <w:trPr>
          <w:trHeight w:val="476"/>
        </w:trPr>
        <w:tc>
          <w:tcPr>
            <w:tcW w:w="421" w:type="dxa"/>
          </w:tcPr>
          <w:p w14:paraId="617C40D1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1.</w:t>
            </w:r>
          </w:p>
        </w:tc>
        <w:tc>
          <w:tcPr>
            <w:tcW w:w="3827" w:type="dxa"/>
          </w:tcPr>
          <w:p w14:paraId="76CF7D1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Plānotās sabiedrības līdzdalības un komunikācijas aktivitātes saistībā ar projektu</w:t>
            </w:r>
          </w:p>
        </w:tc>
        <w:tc>
          <w:tcPr>
            <w:tcW w:w="5497" w:type="dxa"/>
          </w:tcPr>
          <w:p w14:paraId="10FE1201" w14:textId="186FC3F0" w:rsidR="007D2DCD" w:rsidRPr="006A0BE1" w:rsidRDefault="007D2DCD" w:rsidP="00223A4A">
            <w:pPr>
              <w:pStyle w:val="naiskr"/>
              <w:spacing w:before="0" w:after="0"/>
              <w:ind w:left="142" w:right="81"/>
              <w:jc w:val="both"/>
            </w:pPr>
            <w:r w:rsidRPr="003F6F4C">
              <w:t>Informācija par noteikumu projekt</w:t>
            </w:r>
            <w:r>
              <w:t>u</w:t>
            </w:r>
            <w:r w:rsidRPr="003F6F4C">
              <w:t xml:space="preserve"> ir publicēta Finanšu ministrijas tīmekļa vietnē </w:t>
            </w:r>
            <w:hyperlink r:id="rId11" w:history="1">
              <w:r w:rsidRPr="003F6F4C">
                <w:t>www.fm.gov.lv</w:t>
              </w:r>
            </w:hyperlink>
            <w:r w:rsidRPr="003F6F4C">
              <w:t xml:space="preserve"> </w:t>
            </w:r>
            <w:r w:rsidRPr="0082318E">
              <w:t>sadaļā "Sabiedrības līdzdalība"</w:t>
            </w:r>
            <w:r>
              <w:t xml:space="preserve"> – “Tiesību aktu projekti” – “</w:t>
            </w:r>
            <w:r w:rsidR="00223A4A">
              <w:t xml:space="preserve">Pašvaldību finanšu uzraudzības </w:t>
            </w:r>
            <w:r>
              <w:t xml:space="preserve"> politika”</w:t>
            </w:r>
            <w:r w:rsidRPr="0082318E">
              <w:t>.</w:t>
            </w:r>
            <w:r w:rsidRPr="003F6F4C">
              <w:t xml:space="preserve"> Līdz ar to sabiedrības pārstāvji varēja līdzdarboties projekta izstrādē, </w:t>
            </w:r>
            <w:r w:rsidR="00861C6A" w:rsidRPr="003F6F4C">
              <w:t>rakstveid</w:t>
            </w:r>
            <w:r w:rsidR="00861C6A">
              <w:t>ā</w:t>
            </w:r>
            <w:r w:rsidRPr="003F6F4C">
              <w:t xml:space="preserve"> s</w:t>
            </w:r>
            <w:r>
              <w:t>niedzot viedokļus par projektu.</w:t>
            </w:r>
          </w:p>
        </w:tc>
      </w:tr>
      <w:tr w:rsidR="00EE5557" w:rsidRPr="006A0BE1" w14:paraId="10D20970" w14:textId="77777777" w:rsidTr="00394373">
        <w:trPr>
          <w:trHeight w:val="2003"/>
        </w:trPr>
        <w:tc>
          <w:tcPr>
            <w:tcW w:w="421" w:type="dxa"/>
          </w:tcPr>
          <w:p w14:paraId="30D6B524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lastRenderedPageBreak/>
              <w:t>2.</w:t>
            </w:r>
          </w:p>
        </w:tc>
        <w:tc>
          <w:tcPr>
            <w:tcW w:w="3827" w:type="dxa"/>
          </w:tcPr>
          <w:p w14:paraId="37EFE5D8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Sabiedrības līdzdalība projekta izstrādē</w:t>
            </w:r>
          </w:p>
        </w:tc>
        <w:tc>
          <w:tcPr>
            <w:tcW w:w="5497" w:type="dxa"/>
          </w:tcPr>
          <w:p w14:paraId="62D6A5E7" w14:textId="77777777" w:rsidR="00394373" w:rsidRDefault="00EE5557" w:rsidP="00E16EFD">
            <w:pPr>
              <w:pStyle w:val="naiskr"/>
              <w:spacing w:before="0" w:after="0"/>
              <w:ind w:left="142" w:right="79"/>
              <w:jc w:val="both"/>
            </w:pPr>
            <w:r w:rsidRPr="003C3839">
              <w:t>Uzziņa par noteikumu projekta izstrādi</w:t>
            </w:r>
            <w:r>
              <w:t xml:space="preserve"> 201</w:t>
            </w:r>
            <w:r w:rsidR="007D2DCD">
              <w:t>9</w:t>
            </w:r>
            <w:r>
              <w:t xml:space="preserve">.gada </w:t>
            </w:r>
            <w:r w:rsidRPr="007D2DCD">
              <w:t>1</w:t>
            </w:r>
            <w:r w:rsidR="007D2DCD" w:rsidRPr="007D2DCD">
              <w:t>1</w:t>
            </w:r>
            <w:r w:rsidRPr="007D2DCD">
              <w:t>.</w:t>
            </w:r>
            <w:r w:rsidR="007D2DCD" w:rsidRPr="007D2DCD">
              <w:t>novembrī</w:t>
            </w:r>
            <w:r>
              <w:t xml:space="preserve"> p</w:t>
            </w:r>
            <w:r w:rsidRPr="003C3839">
              <w:t>ublicēt</w:t>
            </w:r>
            <w:r>
              <w:t>a Finanšu ministrijas tīmekļvietnē</w:t>
            </w:r>
            <w:r w:rsidRPr="003C3839">
              <w:t xml:space="preserve"> sadaļā “Sabiedrības līdzdalība”</w:t>
            </w:r>
            <w:r w:rsidR="00394373">
              <w:t xml:space="preserve"> </w:t>
            </w:r>
          </w:p>
          <w:p w14:paraId="0951590D" w14:textId="27E27000" w:rsidR="00394373" w:rsidRPr="006A0BE1" w:rsidRDefault="0097198B" w:rsidP="00394373">
            <w:pPr>
              <w:pStyle w:val="naiskr"/>
              <w:spacing w:before="0" w:after="0"/>
              <w:ind w:left="142" w:right="79"/>
              <w:jc w:val="both"/>
            </w:pPr>
            <w:hyperlink r:id="rId12" w:history="1">
              <w:r w:rsidR="00394373" w:rsidRPr="009B212D">
                <w:rPr>
                  <w:rStyle w:val="Hyperlink"/>
                </w:rPr>
                <w:t>https://www.fm.gov.lv/lv/sabiedribas_lidzdaliba/tiesibu_aktu_projekti/pasvaldibu_finansu_uzraudzibas_politika/</w:t>
              </w:r>
            </w:hyperlink>
            <w:r w:rsidR="00EE5557">
              <w:t xml:space="preserve"> un  </w:t>
            </w:r>
            <w:r w:rsidR="00EE5557" w:rsidRPr="006F79A4">
              <w:t>pēc izsludināšanas Valsts sekretāru sanāksmē – Ministru kabineta mājaslapā.</w:t>
            </w:r>
          </w:p>
        </w:tc>
      </w:tr>
      <w:tr w:rsidR="00EE5557" w:rsidRPr="006A0BE1" w14:paraId="0B13C073" w14:textId="77777777" w:rsidTr="000320B1">
        <w:trPr>
          <w:trHeight w:val="316"/>
        </w:trPr>
        <w:tc>
          <w:tcPr>
            <w:tcW w:w="421" w:type="dxa"/>
          </w:tcPr>
          <w:p w14:paraId="64C0CCA0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3.</w:t>
            </w:r>
          </w:p>
        </w:tc>
        <w:tc>
          <w:tcPr>
            <w:tcW w:w="3827" w:type="dxa"/>
          </w:tcPr>
          <w:p w14:paraId="53770624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Sabiedrības līdzdalības rezultāti</w:t>
            </w:r>
          </w:p>
        </w:tc>
        <w:tc>
          <w:tcPr>
            <w:tcW w:w="5497" w:type="dxa"/>
          </w:tcPr>
          <w:p w14:paraId="18338220" w14:textId="77777777" w:rsidR="00EE5557" w:rsidRPr="00E5223C" w:rsidRDefault="00EE5557" w:rsidP="000320B1">
            <w:pPr>
              <w:pStyle w:val="naiskr"/>
              <w:spacing w:before="0" w:after="0"/>
              <w:ind w:left="142" w:right="81"/>
            </w:pPr>
            <w:r>
              <w:rPr>
                <w:szCs w:val="26"/>
              </w:rPr>
              <w:t>Nav</w:t>
            </w:r>
          </w:p>
        </w:tc>
      </w:tr>
      <w:tr w:rsidR="00EE5557" w:rsidRPr="006A0BE1" w14:paraId="44BA553C" w14:textId="77777777" w:rsidTr="000320B1">
        <w:tc>
          <w:tcPr>
            <w:tcW w:w="421" w:type="dxa"/>
          </w:tcPr>
          <w:p w14:paraId="0FCA9F7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4.</w:t>
            </w:r>
          </w:p>
        </w:tc>
        <w:tc>
          <w:tcPr>
            <w:tcW w:w="3827" w:type="dxa"/>
          </w:tcPr>
          <w:p w14:paraId="6B539D92" w14:textId="77777777" w:rsidR="00EE5557" w:rsidRPr="006A0BE1" w:rsidRDefault="00EE5557" w:rsidP="000320B1">
            <w:pPr>
              <w:pStyle w:val="naiskr"/>
              <w:spacing w:before="0" w:after="0"/>
            </w:pPr>
            <w:r w:rsidRPr="006A0BE1">
              <w:t>Cita informācija</w:t>
            </w:r>
          </w:p>
        </w:tc>
        <w:tc>
          <w:tcPr>
            <w:tcW w:w="5497" w:type="dxa"/>
          </w:tcPr>
          <w:p w14:paraId="01D0DCFC" w14:textId="77777777" w:rsidR="00EE5557" w:rsidRPr="006A0BE1" w:rsidRDefault="00EE5557" w:rsidP="000320B1">
            <w:pPr>
              <w:pStyle w:val="naiskr"/>
              <w:spacing w:before="0" w:after="0"/>
              <w:ind w:left="142" w:right="81"/>
            </w:pPr>
            <w:r w:rsidRPr="006A0BE1">
              <w:t>Nav</w:t>
            </w:r>
          </w:p>
        </w:tc>
      </w:tr>
    </w:tbl>
    <w:p w14:paraId="2F3FAAE3" w14:textId="0D8A3C1F" w:rsidR="003F7AB8" w:rsidRDefault="003F7AB8" w:rsidP="00EE5557">
      <w:pPr>
        <w:pStyle w:val="naisf"/>
        <w:spacing w:before="0" w:after="0"/>
        <w:ind w:firstLine="0"/>
      </w:pPr>
    </w:p>
    <w:p w14:paraId="0B313B38" w14:textId="3ED6CD8D" w:rsidR="00685C5E" w:rsidRDefault="00685C5E" w:rsidP="00EE5557">
      <w:pPr>
        <w:pStyle w:val="naisf"/>
        <w:spacing w:before="0" w:after="0"/>
        <w:ind w:firstLine="0"/>
      </w:pP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3506"/>
        <w:gridCol w:w="5447"/>
      </w:tblGrid>
      <w:tr w:rsidR="00E16EFD" w:rsidRPr="00FF5E82" w14:paraId="6E9F6A28" w14:textId="77777777" w:rsidTr="00861C6A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3477" w14:textId="77777777" w:rsidR="00E16EFD" w:rsidRPr="00FF5E82" w:rsidRDefault="00E16EFD" w:rsidP="000320B1">
            <w:pPr>
              <w:jc w:val="center"/>
              <w:rPr>
                <w:b/>
                <w:bCs/>
                <w:iCs/>
              </w:rPr>
            </w:pPr>
            <w:r w:rsidRPr="00FF5E82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E16EFD" w:rsidRPr="00FF5E82" w14:paraId="1CFF26CB" w14:textId="77777777" w:rsidTr="001B2C07">
        <w:trPr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71D2" w14:textId="77777777" w:rsidR="00E16EFD" w:rsidRPr="00FF5E82" w:rsidRDefault="00E16EFD" w:rsidP="000320B1">
            <w:pPr>
              <w:jc w:val="center"/>
              <w:rPr>
                <w:iCs/>
              </w:rPr>
            </w:pPr>
            <w:r w:rsidRPr="00FF5E82">
              <w:rPr>
                <w:iCs/>
              </w:rPr>
              <w:t>1.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77B4" w14:textId="77777777" w:rsidR="00E16EFD" w:rsidRPr="00FF5E82" w:rsidRDefault="00E16EFD" w:rsidP="000320B1">
            <w:pPr>
              <w:rPr>
                <w:iCs/>
              </w:rPr>
            </w:pPr>
            <w:r w:rsidRPr="00FF5E82">
              <w:rPr>
                <w:iCs/>
              </w:rPr>
              <w:t>Projekta izpildē iesaistītās institūcijas</w:t>
            </w:r>
          </w:p>
        </w:tc>
        <w:tc>
          <w:tcPr>
            <w:tcW w:w="2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1C51" w14:textId="454C31EF" w:rsidR="00E16EFD" w:rsidRPr="00FF5E82" w:rsidRDefault="00861C6A" w:rsidP="00861C6A">
            <w:pPr>
              <w:ind w:left="91"/>
              <w:jc w:val="both"/>
              <w:rPr>
                <w:iCs/>
              </w:rPr>
            </w:pPr>
            <w:r w:rsidRPr="00697BC3">
              <w:rPr>
                <w:szCs w:val="26"/>
              </w:rPr>
              <w:t>Pašvaldības, Pašvaldību finanšu izlīdzināšanas fonda padome</w:t>
            </w:r>
            <w:r>
              <w:rPr>
                <w:szCs w:val="26"/>
              </w:rPr>
              <w:t>.</w:t>
            </w:r>
          </w:p>
        </w:tc>
      </w:tr>
      <w:tr w:rsidR="00E16EFD" w:rsidRPr="00FF5E82" w14:paraId="14EC8ACB" w14:textId="77777777" w:rsidTr="001B2C07">
        <w:trPr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0BA6" w14:textId="77777777" w:rsidR="00E16EFD" w:rsidRPr="00FF5E82" w:rsidRDefault="00E16EFD" w:rsidP="000320B1">
            <w:pPr>
              <w:jc w:val="center"/>
              <w:rPr>
                <w:iCs/>
              </w:rPr>
            </w:pPr>
            <w:r w:rsidRPr="00FF5E82">
              <w:rPr>
                <w:iCs/>
              </w:rPr>
              <w:t>2.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80DF" w14:textId="77777777" w:rsidR="00E16EFD" w:rsidRPr="00FF5E82" w:rsidRDefault="00E16EFD" w:rsidP="000320B1">
            <w:pPr>
              <w:rPr>
                <w:iCs/>
              </w:rPr>
            </w:pPr>
            <w:r w:rsidRPr="00FF5E82">
              <w:rPr>
                <w:iCs/>
              </w:rPr>
              <w:t>Projekta izpildes ietekme uz pārvaldes funkcijām un institucionālo struktūru.</w:t>
            </w:r>
            <w:r w:rsidRPr="00FF5E82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9C40" w14:textId="77777777" w:rsidR="00861C6A" w:rsidRPr="00DA1291" w:rsidRDefault="00861C6A" w:rsidP="00861C6A">
            <w:pPr>
              <w:pStyle w:val="naisnod"/>
              <w:spacing w:before="0" w:after="0"/>
              <w:ind w:left="91" w:right="57"/>
              <w:jc w:val="both"/>
              <w:rPr>
                <w:b w:val="0"/>
                <w:iCs/>
              </w:rPr>
            </w:pPr>
            <w:r w:rsidRPr="00DA1291">
              <w:rPr>
                <w:b w:val="0"/>
                <w:iCs/>
              </w:rPr>
              <w:t xml:space="preserve">Jaunas funkcijas netiek radītas. </w:t>
            </w:r>
          </w:p>
          <w:p w14:paraId="3BAB05DD" w14:textId="77777777" w:rsidR="00861C6A" w:rsidRDefault="00861C6A" w:rsidP="00861C6A">
            <w:pPr>
              <w:pStyle w:val="naisnod"/>
              <w:spacing w:before="0" w:after="0"/>
              <w:ind w:left="91" w:right="57"/>
              <w:jc w:val="both"/>
              <w:rPr>
                <w:b w:val="0"/>
                <w:iCs/>
              </w:rPr>
            </w:pPr>
            <w:r w:rsidRPr="00DA1291">
              <w:rPr>
                <w:b w:val="0"/>
                <w:iCs/>
              </w:rPr>
              <w:t>Projekta izpilde neietekmē pārvaldes institucionālo struktūru, kā arī nav paredzēta jaunu institūciju izveide, esošo institūciju likvidācija vai reorganizācija.</w:t>
            </w:r>
          </w:p>
          <w:p w14:paraId="12EC790C" w14:textId="2B0CB51F" w:rsidR="00E16EFD" w:rsidRPr="00861C6A" w:rsidRDefault="00861C6A" w:rsidP="00861C6A">
            <w:pPr>
              <w:ind w:left="91"/>
              <w:jc w:val="both"/>
              <w:rPr>
                <w:iCs/>
              </w:rPr>
            </w:pPr>
            <w:r w:rsidRPr="00861C6A">
              <w:t>Projekta izpilde tiks nodrošināta esošo cilvēkresursu un finanšu līdzekļu ietvaros.</w:t>
            </w:r>
          </w:p>
        </w:tc>
      </w:tr>
      <w:tr w:rsidR="00E16EFD" w:rsidRPr="00FF5E82" w14:paraId="04384A87" w14:textId="77777777" w:rsidTr="001B2C07">
        <w:trPr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4185" w14:textId="77777777" w:rsidR="00E16EFD" w:rsidRPr="00FF5E82" w:rsidRDefault="00E16EFD" w:rsidP="000320B1">
            <w:pPr>
              <w:jc w:val="center"/>
              <w:rPr>
                <w:iCs/>
              </w:rPr>
            </w:pPr>
            <w:r w:rsidRPr="00FF5E82">
              <w:rPr>
                <w:iCs/>
              </w:rPr>
              <w:t>3.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78DC" w14:textId="77777777" w:rsidR="00E16EFD" w:rsidRPr="00FF5E82" w:rsidRDefault="00E16EFD" w:rsidP="000320B1">
            <w:pPr>
              <w:rPr>
                <w:iCs/>
              </w:rPr>
            </w:pPr>
            <w:r w:rsidRPr="00FF5E82">
              <w:rPr>
                <w:iCs/>
              </w:rPr>
              <w:t>Cita informācija</w:t>
            </w:r>
          </w:p>
        </w:tc>
        <w:tc>
          <w:tcPr>
            <w:tcW w:w="2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7F31" w14:textId="6637B3E4" w:rsidR="00E16EFD" w:rsidRPr="00FF5E82" w:rsidRDefault="00E16EFD" w:rsidP="00861C6A">
            <w:pPr>
              <w:ind w:left="121"/>
              <w:rPr>
                <w:iCs/>
              </w:rPr>
            </w:pPr>
            <w:r w:rsidRPr="00FF5E82">
              <w:rPr>
                <w:iCs/>
              </w:rPr>
              <w:t>Nav</w:t>
            </w:r>
          </w:p>
        </w:tc>
      </w:tr>
    </w:tbl>
    <w:p w14:paraId="11B4195E" w14:textId="77777777" w:rsidR="00E16EFD" w:rsidRPr="006A0BE1" w:rsidRDefault="00E16EFD" w:rsidP="00EE5557">
      <w:pPr>
        <w:pStyle w:val="naisf"/>
        <w:spacing w:before="0" w:after="0"/>
        <w:ind w:firstLine="0"/>
      </w:pPr>
    </w:p>
    <w:p w14:paraId="0FBADEF6" w14:textId="3E15079F" w:rsidR="00861C6A" w:rsidRDefault="00861C6A" w:rsidP="00E16EFD"/>
    <w:p w14:paraId="47D238FA" w14:textId="00AD6923" w:rsidR="00861C6A" w:rsidRDefault="00861C6A" w:rsidP="00E16EFD"/>
    <w:p w14:paraId="17A71E89" w14:textId="77777777" w:rsidR="00861C6A" w:rsidRDefault="00861C6A" w:rsidP="00E16EFD"/>
    <w:p w14:paraId="071B8D02" w14:textId="77777777" w:rsidR="00861C6A" w:rsidRDefault="00861C6A" w:rsidP="00E16EFD"/>
    <w:p w14:paraId="5B53E0D4" w14:textId="3926230D" w:rsidR="00E16EFD" w:rsidRPr="006A0BE1" w:rsidRDefault="00E16EFD" w:rsidP="00E16EFD">
      <w:r>
        <w:t>Finanšu ministrs</w:t>
      </w:r>
      <w:r w:rsidRPr="006A0BE1">
        <w:t xml:space="preserve"> </w:t>
      </w:r>
      <w:r w:rsidRPr="006A0BE1">
        <w:tab/>
        <w:t xml:space="preserve">  </w:t>
      </w:r>
      <w:r w:rsidRPr="006A0BE1">
        <w:tab/>
      </w:r>
      <w:r w:rsidRPr="006A0BE1">
        <w:tab/>
      </w:r>
      <w:r w:rsidRPr="006A0BE1">
        <w:tab/>
      </w:r>
      <w:r w:rsidRPr="006A0BE1">
        <w:tab/>
      </w:r>
      <w:r w:rsidRPr="006A0BE1">
        <w:tab/>
      </w:r>
      <w:r w:rsidRPr="006A0BE1">
        <w:tab/>
      </w:r>
      <w:r>
        <w:tab/>
        <w:t>J.Reirs</w:t>
      </w:r>
    </w:p>
    <w:p w14:paraId="3BE5047A" w14:textId="77777777" w:rsidR="00E16EFD" w:rsidRDefault="00E16EFD" w:rsidP="00E16EFD"/>
    <w:p w14:paraId="5BE97F88" w14:textId="16AEADFB" w:rsidR="00E16EFD" w:rsidRDefault="00E16EFD" w:rsidP="00E16EFD"/>
    <w:p w14:paraId="465534D3" w14:textId="61225568" w:rsidR="00861C6A" w:rsidRDefault="00861C6A" w:rsidP="00E16EFD"/>
    <w:p w14:paraId="7D336AC4" w14:textId="19D8473F" w:rsidR="00861C6A" w:rsidRDefault="00861C6A" w:rsidP="00E16EFD"/>
    <w:p w14:paraId="1931F669" w14:textId="4E440604" w:rsidR="00861C6A" w:rsidRDefault="00861C6A" w:rsidP="00E16EFD"/>
    <w:p w14:paraId="22A79C93" w14:textId="77777777" w:rsidR="00861C6A" w:rsidRDefault="00861C6A" w:rsidP="00E16EFD"/>
    <w:p w14:paraId="53D9D723" w14:textId="73E1701E" w:rsidR="00861C6A" w:rsidRDefault="00861C6A" w:rsidP="00E16EFD"/>
    <w:p w14:paraId="2A973027" w14:textId="77777777" w:rsidR="00861C6A" w:rsidRDefault="00861C6A" w:rsidP="00E16EFD"/>
    <w:p w14:paraId="27CE5BA0" w14:textId="1C14C1A8" w:rsidR="00E16EFD" w:rsidRPr="005C0414" w:rsidRDefault="003922F0" w:rsidP="00E16EFD">
      <w:pPr>
        <w:jc w:val="both"/>
        <w:rPr>
          <w:sz w:val="20"/>
          <w:szCs w:val="20"/>
        </w:rPr>
      </w:pPr>
      <w:r>
        <w:rPr>
          <w:sz w:val="20"/>
          <w:szCs w:val="20"/>
        </w:rPr>
        <w:t>Režā 6709568</w:t>
      </w:r>
      <w:r w:rsidR="00861C6A">
        <w:rPr>
          <w:sz w:val="20"/>
          <w:szCs w:val="20"/>
        </w:rPr>
        <w:t>4</w:t>
      </w:r>
    </w:p>
    <w:p w14:paraId="329DCD16" w14:textId="3F308E93" w:rsidR="00E16EFD" w:rsidRDefault="003922F0" w:rsidP="00E16EFD">
      <w:pPr>
        <w:jc w:val="both"/>
      </w:pPr>
      <w:r>
        <w:rPr>
          <w:sz w:val="20"/>
          <w:szCs w:val="20"/>
        </w:rPr>
        <w:t>Sandra.Reza</w:t>
      </w:r>
      <w:r w:rsidR="00861C6A">
        <w:rPr>
          <w:sz w:val="20"/>
          <w:szCs w:val="20"/>
        </w:rPr>
        <w:t>@fm.gov.lv</w:t>
      </w:r>
    </w:p>
    <w:p w14:paraId="5867E373" w14:textId="77777777" w:rsidR="00E16EFD" w:rsidRPr="006A0BE1" w:rsidRDefault="00E16EFD" w:rsidP="00E16EFD"/>
    <w:sectPr w:rsidR="00E16EFD" w:rsidRPr="006A0BE1" w:rsidSect="000F5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134" w:bottom="1276" w:left="1701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15B7" w14:textId="77777777" w:rsidR="00532E20" w:rsidRDefault="00532E20" w:rsidP="00307F91">
      <w:r>
        <w:separator/>
      </w:r>
    </w:p>
  </w:endnote>
  <w:endnote w:type="continuationSeparator" w:id="0">
    <w:p w14:paraId="48DB3733" w14:textId="77777777" w:rsidR="00532E20" w:rsidRDefault="00532E20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F5E1" w14:textId="77777777" w:rsidR="00586B2A" w:rsidRDefault="0058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2FAC" w14:textId="77777777" w:rsidR="000F5047" w:rsidRDefault="000F5047" w:rsidP="002B57DA">
    <w:pPr>
      <w:pStyle w:val="Footer"/>
      <w:ind w:left="-284" w:right="-285"/>
      <w:jc w:val="both"/>
      <w:rPr>
        <w:sz w:val="18"/>
        <w:szCs w:val="18"/>
      </w:rPr>
    </w:pPr>
  </w:p>
  <w:p w14:paraId="16243F09" w14:textId="5E5EE0FC" w:rsidR="006B146B" w:rsidRPr="002B57DA" w:rsidRDefault="006B146B" w:rsidP="00861C6A">
    <w:pPr>
      <w:pStyle w:val="Footer"/>
      <w:ind w:left="-284" w:right="-285"/>
      <w:jc w:val="both"/>
    </w:pPr>
    <w:r w:rsidRPr="00743B6F">
      <w:rPr>
        <w:sz w:val="18"/>
        <w:szCs w:val="18"/>
      </w:rPr>
      <w:t>FMAnot_</w:t>
    </w:r>
    <w:r w:rsidR="00586B2A">
      <w:rPr>
        <w:sz w:val="18"/>
        <w:szCs w:val="18"/>
      </w:rPr>
      <w:t>09</w:t>
    </w:r>
    <w:r w:rsidR="006C06BB">
      <w:rPr>
        <w:sz w:val="18"/>
        <w:szCs w:val="18"/>
      </w:rPr>
      <w:t>0120</w:t>
    </w:r>
    <w:r>
      <w:rPr>
        <w:sz w:val="18"/>
        <w:szCs w:val="18"/>
      </w:rPr>
      <w:t>_</w:t>
    </w:r>
    <w:r w:rsidR="00861C6A">
      <w:rPr>
        <w:sz w:val="18"/>
        <w:szCs w:val="18"/>
      </w:rPr>
      <w:t>groz_418</w:t>
    </w:r>
    <w:r w:rsidRPr="00743B6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3F0B" w14:textId="1F936EBD" w:rsidR="006B146B" w:rsidRPr="00743B6F" w:rsidRDefault="006B146B" w:rsidP="006A576C">
    <w:pPr>
      <w:pStyle w:val="Footer"/>
      <w:ind w:left="-284" w:right="-285"/>
      <w:jc w:val="both"/>
      <w:rPr>
        <w:sz w:val="18"/>
        <w:szCs w:val="18"/>
      </w:rPr>
    </w:pPr>
    <w:r w:rsidRPr="00743B6F">
      <w:rPr>
        <w:sz w:val="18"/>
        <w:szCs w:val="18"/>
      </w:rPr>
      <w:t>FMAnot_</w:t>
    </w:r>
    <w:r w:rsidR="00586B2A">
      <w:rPr>
        <w:sz w:val="18"/>
        <w:szCs w:val="18"/>
      </w:rPr>
      <w:t>09</w:t>
    </w:r>
    <w:r w:rsidR="006C06BB">
      <w:rPr>
        <w:sz w:val="18"/>
        <w:szCs w:val="18"/>
      </w:rPr>
      <w:t>0120</w:t>
    </w:r>
    <w:r>
      <w:rPr>
        <w:sz w:val="18"/>
        <w:szCs w:val="18"/>
      </w:rPr>
      <w:t>_</w:t>
    </w:r>
    <w:r w:rsidR="00861C6A">
      <w:rPr>
        <w:sz w:val="18"/>
        <w:szCs w:val="18"/>
      </w:rPr>
      <w:t>groz_418</w:t>
    </w:r>
    <w:r w:rsidRPr="00743B6F">
      <w:rPr>
        <w:sz w:val="18"/>
        <w:szCs w:val="18"/>
      </w:rPr>
      <w:t xml:space="preserve"> </w:t>
    </w:r>
    <w:r w:rsidR="0032148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50A8" w14:textId="77777777" w:rsidR="00532E20" w:rsidRDefault="00532E20" w:rsidP="00307F91">
      <w:r>
        <w:separator/>
      </w:r>
    </w:p>
  </w:footnote>
  <w:footnote w:type="continuationSeparator" w:id="0">
    <w:p w14:paraId="4BAE2F3F" w14:textId="77777777" w:rsidR="00532E20" w:rsidRDefault="00532E20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3F03" w14:textId="77777777" w:rsidR="006B146B" w:rsidRDefault="006B146B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43F04" w14:textId="77777777" w:rsidR="006B146B" w:rsidRDefault="006B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3F05" w14:textId="6CE0946F" w:rsidR="006B146B" w:rsidRDefault="006B146B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9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43F06" w14:textId="77777777" w:rsidR="006B146B" w:rsidRPr="00C55423" w:rsidRDefault="006B1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F818" w14:textId="77777777" w:rsidR="00586B2A" w:rsidRDefault="00586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492"/>
    <w:multiLevelType w:val="hybridMultilevel"/>
    <w:tmpl w:val="8AA0A964"/>
    <w:lvl w:ilvl="0" w:tplc="0E7E3B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9A0BD4"/>
    <w:multiLevelType w:val="hybridMultilevel"/>
    <w:tmpl w:val="2160A08E"/>
    <w:lvl w:ilvl="0" w:tplc="6E30C30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00CC"/>
    <w:multiLevelType w:val="hybridMultilevel"/>
    <w:tmpl w:val="828CB4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020B"/>
    <w:multiLevelType w:val="hybridMultilevel"/>
    <w:tmpl w:val="8670D864"/>
    <w:lvl w:ilvl="0" w:tplc="140EC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964A23"/>
    <w:multiLevelType w:val="hybridMultilevel"/>
    <w:tmpl w:val="2E108312"/>
    <w:lvl w:ilvl="0" w:tplc="F03CD662">
      <w:start w:val="1"/>
      <w:numFmt w:val="decimal"/>
      <w:lvlText w:val="%1."/>
      <w:lvlJc w:val="left"/>
      <w:pPr>
        <w:ind w:left="45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71" w:hanging="360"/>
      </w:pPr>
    </w:lvl>
    <w:lvl w:ilvl="2" w:tplc="0426001B" w:tentative="1">
      <w:start w:val="1"/>
      <w:numFmt w:val="lowerRoman"/>
      <w:lvlText w:val="%3."/>
      <w:lvlJc w:val="right"/>
      <w:pPr>
        <w:ind w:left="1891" w:hanging="180"/>
      </w:pPr>
    </w:lvl>
    <w:lvl w:ilvl="3" w:tplc="0426000F" w:tentative="1">
      <w:start w:val="1"/>
      <w:numFmt w:val="decimal"/>
      <w:lvlText w:val="%4."/>
      <w:lvlJc w:val="left"/>
      <w:pPr>
        <w:ind w:left="2611" w:hanging="360"/>
      </w:pPr>
    </w:lvl>
    <w:lvl w:ilvl="4" w:tplc="04260019" w:tentative="1">
      <w:start w:val="1"/>
      <w:numFmt w:val="lowerLetter"/>
      <w:lvlText w:val="%5."/>
      <w:lvlJc w:val="left"/>
      <w:pPr>
        <w:ind w:left="3331" w:hanging="360"/>
      </w:pPr>
    </w:lvl>
    <w:lvl w:ilvl="5" w:tplc="0426001B" w:tentative="1">
      <w:start w:val="1"/>
      <w:numFmt w:val="lowerRoman"/>
      <w:lvlText w:val="%6."/>
      <w:lvlJc w:val="right"/>
      <w:pPr>
        <w:ind w:left="4051" w:hanging="180"/>
      </w:pPr>
    </w:lvl>
    <w:lvl w:ilvl="6" w:tplc="0426000F" w:tentative="1">
      <w:start w:val="1"/>
      <w:numFmt w:val="decimal"/>
      <w:lvlText w:val="%7."/>
      <w:lvlJc w:val="left"/>
      <w:pPr>
        <w:ind w:left="4771" w:hanging="360"/>
      </w:pPr>
    </w:lvl>
    <w:lvl w:ilvl="7" w:tplc="04260019" w:tentative="1">
      <w:start w:val="1"/>
      <w:numFmt w:val="lowerLetter"/>
      <w:lvlText w:val="%8."/>
      <w:lvlJc w:val="left"/>
      <w:pPr>
        <w:ind w:left="5491" w:hanging="360"/>
      </w:pPr>
    </w:lvl>
    <w:lvl w:ilvl="8" w:tplc="0426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 w15:restartNumberingAfterBreak="0">
    <w:nsid w:val="3CD45435"/>
    <w:multiLevelType w:val="hybridMultilevel"/>
    <w:tmpl w:val="4A1434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352D"/>
    <w:multiLevelType w:val="hybridMultilevel"/>
    <w:tmpl w:val="C4EE8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3103"/>
    <w:multiLevelType w:val="hybridMultilevel"/>
    <w:tmpl w:val="C04A92BC"/>
    <w:lvl w:ilvl="0" w:tplc="901289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6506"/>
    <w:multiLevelType w:val="hybridMultilevel"/>
    <w:tmpl w:val="D84C950A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F794B65"/>
    <w:multiLevelType w:val="hybridMultilevel"/>
    <w:tmpl w:val="52506242"/>
    <w:lvl w:ilvl="0" w:tplc="EACE8BBC">
      <w:start w:val="1"/>
      <w:numFmt w:val="decimal"/>
      <w:lvlText w:val="%1."/>
      <w:lvlJc w:val="left"/>
      <w:pPr>
        <w:ind w:left="921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730F5AA3"/>
    <w:multiLevelType w:val="hybridMultilevel"/>
    <w:tmpl w:val="E11A4B46"/>
    <w:lvl w:ilvl="0" w:tplc="BCF21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7E57"/>
    <w:multiLevelType w:val="hybridMultilevel"/>
    <w:tmpl w:val="83A82796"/>
    <w:lvl w:ilvl="0" w:tplc="12F6EC3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C"/>
    <w:rsid w:val="00006C5A"/>
    <w:rsid w:val="00011FD8"/>
    <w:rsid w:val="00014B5E"/>
    <w:rsid w:val="00014ED3"/>
    <w:rsid w:val="00014F75"/>
    <w:rsid w:val="00017682"/>
    <w:rsid w:val="00017DE0"/>
    <w:rsid w:val="0002011B"/>
    <w:rsid w:val="00021D30"/>
    <w:rsid w:val="00022E7D"/>
    <w:rsid w:val="0002455E"/>
    <w:rsid w:val="00025D74"/>
    <w:rsid w:val="00030048"/>
    <w:rsid w:val="000320B1"/>
    <w:rsid w:val="000325F2"/>
    <w:rsid w:val="000334A9"/>
    <w:rsid w:val="00041298"/>
    <w:rsid w:val="00041966"/>
    <w:rsid w:val="000452BD"/>
    <w:rsid w:val="00046858"/>
    <w:rsid w:val="000476EB"/>
    <w:rsid w:val="000507AB"/>
    <w:rsid w:val="000524FE"/>
    <w:rsid w:val="00064157"/>
    <w:rsid w:val="00064228"/>
    <w:rsid w:val="0006462B"/>
    <w:rsid w:val="00066834"/>
    <w:rsid w:val="00066C5D"/>
    <w:rsid w:val="00071337"/>
    <w:rsid w:val="00071612"/>
    <w:rsid w:val="000723F6"/>
    <w:rsid w:val="00072749"/>
    <w:rsid w:val="000764DE"/>
    <w:rsid w:val="00082662"/>
    <w:rsid w:val="00087569"/>
    <w:rsid w:val="0008796A"/>
    <w:rsid w:val="00091108"/>
    <w:rsid w:val="00091C42"/>
    <w:rsid w:val="000941FF"/>
    <w:rsid w:val="000965A1"/>
    <w:rsid w:val="00096B13"/>
    <w:rsid w:val="00096D8C"/>
    <w:rsid w:val="000A2394"/>
    <w:rsid w:val="000A4B61"/>
    <w:rsid w:val="000A6768"/>
    <w:rsid w:val="000A686F"/>
    <w:rsid w:val="000A79C2"/>
    <w:rsid w:val="000B1E7F"/>
    <w:rsid w:val="000B2E2F"/>
    <w:rsid w:val="000C0B20"/>
    <w:rsid w:val="000C4B6B"/>
    <w:rsid w:val="000C4C14"/>
    <w:rsid w:val="000C693F"/>
    <w:rsid w:val="000C7699"/>
    <w:rsid w:val="000D01B5"/>
    <w:rsid w:val="000D2197"/>
    <w:rsid w:val="000D2A92"/>
    <w:rsid w:val="000D4091"/>
    <w:rsid w:val="000D6D4B"/>
    <w:rsid w:val="000E196F"/>
    <w:rsid w:val="000E2559"/>
    <w:rsid w:val="000E3064"/>
    <w:rsid w:val="000E3269"/>
    <w:rsid w:val="000E3A9E"/>
    <w:rsid w:val="000E6AFC"/>
    <w:rsid w:val="000E7FCE"/>
    <w:rsid w:val="000F2E7B"/>
    <w:rsid w:val="000F5047"/>
    <w:rsid w:val="000F7050"/>
    <w:rsid w:val="000F7E01"/>
    <w:rsid w:val="0010273F"/>
    <w:rsid w:val="00103296"/>
    <w:rsid w:val="0010377F"/>
    <w:rsid w:val="00104BDC"/>
    <w:rsid w:val="00105135"/>
    <w:rsid w:val="00111ADA"/>
    <w:rsid w:val="001159C4"/>
    <w:rsid w:val="001160EE"/>
    <w:rsid w:val="00120E17"/>
    <w:rsid w:val="00121773"/>
    <w:rsid w:val="00123439"/>
    <w:rsid w:val="001239AB"/>
    <w:rsid w:val="0013441F"/>
    <w:rsid w:val="00135B4C"/>
    <w:rsid w:val="0013730E"/>
    <w:rsid w:val="00137E65"/>
    <w:rsid w:val="00150741"/>
    <w:rsid w:val="00150C41"/>
    <w:rsid w:val="00157161"/>
    <w:rsid w:val="001630FC"/>
    <w:rsid w:val="00163F27"/>
    <w:rsid w:val="00164F93"/>
    <w:rsid w:val="00172E0F"/>
    <w:rsid w:val="001808C9"/>
    <w:rsid w:val="00185CCD"/>
    <w:rsid w:val="00185D51"/>
    <w:rsid w:val="00186037"/>
    <w:rsid w:val="00190CAA"/>
    <w:rsid w:val="001915EE"/>
    <w:rsid w:val="00192CE1"/>
    <w:rsid w:val="00192D9E"/>
    <w:rsid w:val="00193ACB"/>
    <w:rsid w:val="001943EE"/>
    <w:rsid w:val="00196E89"/>
    <w:rsid w:val="001A16C5"/>
    <w:rsid w:val="001A1BF2"/>
    <w:rsid w:val="001A2694"/>
    <w:rsid w:val="001A444A"/>
    <w:rsid w:val="001A65DD"/>
    <w:rsid w:val="001A757D"/>
    <w:rsid w:val="001B01A2"/>
    <w:rsid w:val="001B2C07"/>
    <w:rsid w:val="001B6443"/>
    <w:rsid w:val="001B7415"/>
    <w:rsid w:val="001C07FB"/>
    <w:rsid w:val="001C5CA4"/>
    <w:rsid w:val="001D3EF2"/>
    <w:rsid w:val="001D47E1"/>
    <w:rsid w:val="001D5C54"/>
    <w:rsid w:val="001E3C64"/>
    <w:rsid w:val="001E4CD6"/>
    <w:rsid w:val="001E5481"/>
    <w:rsid w:val="001F0B08"/>
    <w:rsid w:val="001F1C3E"/>
    <w:rsid w:val="001F21C8"/>
    <w:rsid w:val="001F3005"/>
    <w:rsid w:val="001F3D07"/>
    <w:rsid w:val="001F3D26"/>
    <w:rsid w:val="001F59E1"/>
    <w:rsid w:val="001F6DAB"/>
    <w:rsid w:val="001F7A22"/>
    <w:rsid w:val="00200159"/>
    <w:rsid w:val="002004B3"/>
    <w:rsid w:val="00200B87"/>
    <w:rsid w:val="0020359D"/>
    <w:rsid w:val="00206CAB"/>
    <w:rsid w:val="00207DE6"/>
    <w:rsid w:val="002122BD"/>
    <w:rsid w:val="00217E1C"/>
    <w:rsid w:val="00220E16"/>
    <w:rsid w:val="00222766"/>
    <w:rsid w:val="00223A4A"/>
    <w:rsid w:val="00230660"/>
    <w:rsid w:val="002307E8"/>
    <w:rsid w:val="00230B56"/>
    <w:rsid w:val="00231EBA"/>
    <w:rsid w:val="00231F03"/>
    <w:rsid w:val="00231F5B"/>
    <w:rsid w:val="0023237B"/>
    <w:rsid w:val="002326FD"/>
    <w:rsid w:val="002345AA"/>
    <w:rsid w:val="002368A4"/>
    <w:rsid w:val="00236B30"/>
    <w:rsid w:val="002373BB"/>
    <w:rsid w:val="002379E0"/>
    <w:rsid w:val="002415EA"/>
    <w:rsid w:val="0024161C"/>
    <w:rsid w:val="00243F43"/>
    <w:rsid w:val="00244778"/>
    <w:rsid w:val="0024679E"/>
    <w:rsid w:val="0025068D"/>
    <w:rsid w:val="00263A91"/>
    <w:rsid w:val="00264EE0"/>
    <w:rsid w:val="00265083"/>
    <w:rsid w:val="00267891"/>
    <w:rsid w:val="00273984"/>
    <w:rsid w:val="00274800"/>
    <w:rsid w:val="00277325"/>
    <w:rsid w:val="00277976"/>
    <w:rsid w:val="00280295"/>
    <w:rsid w:val="0028177E"/>
    <w:rsid w:val="00282156"/>
    <w:rsid w:val="00282A27"/>
    <w:rsid w:val="00283934"/>
    <w:rsid w:val="00283D6B"/>
    <w:rsid w:val="00283E13"/>
    <w:rsid w:val="00285829"/>
    <w:rsid w:val="00286021"/>
    <w:rsid w:val="00286AE6"/>
    <w:rsid w:val="00286F46"/>
    <w:rsid w:val="00294300"/>
    <w:rsid w:val="0029621A"/>
    <w:rsid w:val="002A096A"/>
    <w:rsid w:val="002A102F"/>
    <w:rsid w:val="002A2938"/>
    <w:rsid w:val="002A3415"/>
    <w:rsid w:val="002A4D03"/>
    <w:rsid w:val="002A62D4"/>
    <w:rsid w:val="002A6395"/>
    <w:rsid w:val="002A6906"/>
    <w:rsid w:val="002B0518"/>
    <w:rsid w:val="002B54B3"/>
    <w:rsid w:val="002B57DA"/>
    <w:rsid w:val="002B5A94"/>
    <w:rsid w:val="002C0678"/>
    <w:rsid w:val="002C28A4"/>
    <w:rsid w:val="002C2EE0"/>
    <w:rsid w:val="002C7253"/>
    <w:rsid w:val="002D0058"/>
    <w:rsid w:val="002D351B"/>
    <w:rsid w:val="002D5927"/>
    <w:rsid w:val="002D7349"/>
    <w:rsid w:val="002E1D26"/>
    <w:rsid w:val="002E38E7"/>
    <w:rsid w:val="002E3C58"/>
    <w:rsid w:val="002E4E20"/>
    <w:rsid w:val="002F0D20"/>
    <w:rsid w:val="002F4DFE"/>
    <w:rsid w:val="002F55BB"/>
    <w:rsid w:val="002F7FB4"/>
    <w:rsid w:val="003027B0"/>
    <w:rsid w:val="003037EE"/>
    <w:rsid w:val="00303934"/>
    <w:rsid w:val="003066DB"/>
    <w:rsid w:val="003069C1"/>
    <w:rsid w:val="003073F0"/>
    <w:rsid w:val="00307F91"/>
    <w:rsid w:val="003126A7"/>
    <w:rsid w:val="0031321A"/>
    <w:rsid w:val="00316C8E"/>
    <w:rsid w:val="00320C04"/>
    <w:rsid w:val="00321481"/>
    <w:rsid w:val="003237A9"/>
    <w:rsid w:val="003267DA"/>
    <w:rsid w:val="00326D38"/>
    <w:rsid w:val="003277AE"/>
    <w:rsid w:val="00331A0D"/>
    <w:rsid w:val="0033381D"/>
    <w:rsid w:val="00334E83"/>
    <w:rsid w:val="00337BC3"/>
    <w:rsid w:val="003402AC"/>
    <w:rsid w:val="003419FB"/>
    <w:rsid w:val="003437DB"/>
    <w:rsid w:val="00344951"/>
    <w:rsid w:val="00346BE5"/>
    <w:rsid w:val="00347BC0"/>
    <w:rsid w:val="00350C27"/>
    <w:rsid w:val="00351BE9"/>
    <w:rsid w:val="00352851"/>
    <w:rsid w:val="0036082D"/>
    <w:rsid w:val="003618BA"/>
    <w:rsid w:val="00367C56"/>
    <w:rsid w:val="00380727"/>
    <w:rsid w:val="00385962"/>
    <w:rsid w:val="003869C5"/>
    <w:rsid w:val="00390B89"/>
    <w:rsid w:val="003922F0"/>
    <w:rsid w:val="00393747"/>
    <w:rsid w:val="00394373"/>
    <w:rsid w:val="00396C4D"/>
    <w:rsid w:val="003A3C6D"/>
    <w:rsid w:val="003B19E6"/>
    <w:rsid w:val="003B21A6"/>
    <w:rsid w:val="003B24EF"/>
    <w:rsid w:val="003B5567"/>
    <w:rsid w:val="003B6D36"/>
    <w:rsid w:val="003B7B41"/>
    <w:rsid w:val="003B7FB3"/>
    <w:rsid w:val="003C44C3"/>
    <w:rsid w:val="003D0DD4"/>
    <w:rsid w:val="003D0DD6"/>
    <w:rsid w:val="003D3E4F"/>
    <w:rsid w:val="003D46EE"/>
    <w:rsid w:val="003D68C6"/>
    <w:rsid w:val="003E0413"/>
    <w:rsid w:val="003E2D94"/>
    <w:rsid w:val="003E3C18"/>
    <w:rsid w:val="003E47D8"/>
    <w:rsid w:val="003E47EC"/>
    <w:rsid w:val="003E7D2C"/>
    <w:rsid w:val="003F4153"/>
    <w:rsid w:val="003F4BB1"/>
    <w:rsid w:val="003F6EE8"/>
    <w:rsid w:val="003F7AB8"/>
    <w:rsid w:val="00400D3F"/>
    <w:rsid w:val="00403779"/>
    <w:rsid w:val="00403DC5"/>
    <w:rsid w:val="00405F68"/>
    <w:rsid w:val="00406D34"/>
    <w:rsid w:val="004115C1"/>
    <w:rsid w:val="00413666"/>
    <w:rsid w:val="0041431A"/>
    <w:rsid w:val="00423A8D"/>
    <w:rsid w:val="0042430C"/>
    <w:rsid w:val="00424983"/>
    <w:rsid w:val="0042621E"/>
    <w:rsid w:val="00431D10"/>
    <w:rsid w:val="004328C6"/>
    <w:rsid w:val="004362A4"/>
    <w:rsid w:val="004409F0"/>
    <w:rsid w:val="00440C2F"/>
    <w:rsid w:val="00443184"/>
    <w:rsid w:val="004441DC"/>
    <w:rsid w:val="00445225"/>
    <w:rsid w:val="00447275"/>
    <w:rsid w:val="00447D80"/>
    <w:rsid w:val="004511E2"/>
    <w:rsid w:val="00451ACF"/>
    <w:rsid w:val="0045351B"/>
    <w:rsid w:val="00464FB5"/>
    <w:rsid w:val="00467908"/>
    <w:rsid w:val="00467B1E"/>
    <w:rsid w:val="00470D3F"/>
    <w:rsid w:val="00471BA0"/>
    <w:rsid w:val="00476ED8"/>
    <w:rsid w:val="00482AE6"/>
    <w:rsid w:val="00484ACF"/>
    <w:rsid w:val="00490BA9"/>
    <w:rsid w:val="0049211F"/>
    <w:rsid w:val="00493365"/>
    <w:rsid w:val="004948DE"/>
    <w:rsid w:val="00495256"/>
    <w:rsid w:val="00496027"/>
    <w:rsid w:val="004964F3"/>
    <w:rsid w:val="00497891"/>
    <w:rsid w:val="004A1A15"/>
    <w:rsid w:val="004A6F46"/>
    <w:rsid w:val="004A769B"/>
    <w:rsid w:val="004B0A81"/>
    <w:rsid w:val="004B1A25"/>
    <w:rsid w:val="004B288D"/>
    <w:rsid w:val="004B46CC"/>
    <w:rsid w:val="004B6C78"/>
    <w:rsid w:val="004B6FE4"/>
    <w:rsid w:val="004B725D"/>
    <w:rsid w:val="004C0750"/>
    <w:rsid w:val="004C0B72"/>
    <w:rsid w:val="004C180B"/>
    <w:rsid w:val="004C1903"/>
    <w:rsid w:val="004D04BD"/>
    <w:rsid w:val="004D0B45"/>
    <w:rsid w:val="004D2DCB"/>
    <w:rsid w:val="004D35B3"/>
    <w:rsid w:val="004D4536"/>
    <w:rsid w:val="004D7318"/>
    <w:rsid w:val="004E2F27"/>
    <w:rsid w:val="004E3EDB"/>
    <w:rsid w:val="004E476E"/>
    <w:rsid w:val="004E4DF1"/>
    <w:rsid w:val="004E56D4"/>
    <w:rsid w:val="004E5F5B"/>
    <w:rsid w:val="004E66A0"/>
    <w:rsid w:val="004E6FE3"/>
    <w:rsid w:val="00502A44"/>
    <w:rsid w:val="00503E32"/>
    <w:rsid w:val="00507A07"/>
    <w:rsid w:val="005111E1"/>
    <w:rsid w:val="0051560C"/>
    <w:rsid w:val="00515CEB"/>
    <w:rsid w:val="0052358E"/>
    <w:rsid w:val="005236C8"/>
    <w:rsid w:val="00523B56"/>
    <w:rsid w:val="005250D4"/>
    <w:rsid w:val="0052636A"/>
    <w:rsid w:val="00526B54"/>
    <w:rsid w:val="00531471"/>
    <w:rsid w:val="00531E88"/>
    <w:rsid w:val="00532B5A"/>
    <w:rsid w:val="00532E20"/>
    <w:rsid w:val="005360C0"/>
    <w:rsid w:val="00544480"/>
    <w:rsid w:val="00544AB7"/>
    <w:rsid w:val="00545D4B"/>
    <w:rsid w:val="00547C37"/>
    <w:rsid w:val="005529C2"/>
    <w:rsid w:val="005553B8"/>
    <w:rsid w:val="00557597"/>
    <w:rsid w:val="00557833"/>
    <w:rsid w:val="005600E3"/>
    <w:rsid w:val="00564419"/>
    <w:rsid w:val="00565197"/>
    <w:rsid w:val="0056708B"/>
    <w:rsid w:val="005672F5"/>
    <w:rsid w:val="00567701"/>
    <w:rsid w:val="00571380"/>
    <w:rsid w:val="00571937"/>
    <w:rsid w:val="00573CC0"/>
    <w:rsid w:val="005741F4"/>
    <w:rsid w:val="00574A93"/>
    <w:rsid w:val="0057700F"/>
    <w:rsid w:val="00577B1B"/>
    <w:rsid w:val="0058482B"/>
    <w:rsid w:val="00584EEF"/>
    <w:rsid w:val="00586B2A"/>
    <w:rsid w:val="005911CB"/>
    <w:rsid w:val="00594B8D"/>
    <w:rsid w:val="005A20DE"/>
    <w:rsid w:val="005A4EDF"/>
    <w:rsid w:val="005A5D8E"/>
    <w:rsid w:val="005A61B4"/>
    <w:rsid w:val="005B20E1"/>
    <w:rsid w:val="005C0414"/>
    <w:rsid w:val="005C2320"/>
    <w:rsid w:val="005C49DD"/>
    <w:rsid w:val="005C7CC6"/>
    <w:rsid w:val="005D017C"/>
    <w:rsid w:val="005D17A7"/>
    <w:rsid w:val="005D4C9B"/>
    <w:rsid w:val="005D6FA3"/>
    <w:rsid w:val="005E10C1"/>
    <w:rsid w:val="005E4512"/>
    <w:rsid w:val="005E4CF6"/>
    <w:rsid w:val="005F2C6B"/>
    <w:rsid w:val="005F4937"/>
    <w:rsid w:val="005F5A14"/>
    <w:rsid w:val="00601125"/>
    <w:rsid w:val="00602026"/>
    <w:rsid w:val="00605224"/>
    <w:rsid w:val="00606CD2"/>
    <w:rsid w:val="00606DEA"/>
    <w:rsid w:val="006071D8"/>
    <w:rsid w:val="006071E6"/>
    <w:rsid w:val="00611697"/>
    <w:rsid w:val="00611E12"/>
    <w:rsid w:val="00613346"/>
    <w:rsid w:val="00613CC0"/>
    <w:rsid w:val="006243F4"/>
    <w:rsid w:val="0062692D"/>
    <w:rsid w:val="00627B54"/>
    <w:rsid w:val="00627E68"/>
    <w:rsid w:val="0063466F"/>
    <w:rsid w:val="0063500F"/>
    <w:rsid w:val="00641920"/>
    <w:rsid w:val="00642051"/>
    <w:rsid w:val="006426CF"/>
    <w:rsid w:val="00644DE4"/>
    <w:rsid w:val="00646DD7"/>
    <w:rsid w:val="006472FB"/>
    <w:rsid w:val="00653965"/>
    <w:rsid w:val="006543B2"/>
    <w:rsid w:val="006572D9"/>
    <w:rsid w:val="00662F5A"/>
    <w:rsid w:val="00665A6A"/>
    <w:rsid w:val="00665E37"/>
    <w:rsid w:val="0066671B"/>
    <w:rsid w:val="00666EDF"/>
    <w:rsid w:val="00667288"/>
    <w:rsid w:val="006727CA"/>
    <w:rsid w:val="00673B4B"/>
    <w:rsid w:val="00673CA0"/>
    <w:rsid w:val="006747EB"/>
    <w:rsid w:val="00675EA8"/>
    <w:rsid w:val="00677A52"/>
    <w:rsid w:val="00680B80"/>
    <w:rsid w:val="00684182"/>
    <w:rsid w:val="00685C5E"/>
    <w:rsid w:val="00692F3D"/>
    <w:rsid w:val="006958B8"/>
    <w:rsid w:val="00695A5E"/>
    <w:rsid w:val="00695F24"/>
    <w:rsid w:val="006A0BE1"/>
    <w:rsid w:val="006A2537"/>
    <w:rsid w:val="006A5605"/>
    <w:rsid w:val="006A576C"/>
    <w:rsid w:val="006A6B10"/>
    <w:rsid w:val="006B146B"/>
    <w:rsid w:val="006B2060"/>
    <w:rsid w:val="006B32A5"/>
    <w:rsid w:val="006B4FE0"/>
    <w:rsid w:val="006B53D5"/>
    <w:rsid w:val="006B6475"/>
    <w:rsid w:val="006B7D00"/>
    <w:rsid w:val="006C06BB"/>
    <w:rsid w:val="006C090B"/>
    <w:rsid w:val="006D25A6"/>
    <w:rsid w:val="006D4139"/>
    <w:rsid w:val="006D63AB"/>
    <w:rsid w:val="006D73C8"/>
    <w:rsid w:val="006E0762"/>
    <w:rsid w:val="006E07D7"/>
    <w:rsid w:val="006E4D1C"/>
    <w:rsid w:val="006F7587"/>
    <w:rsid w:val="006F7EE0"/>
    <w:rsid w:val="00704534"/>
    <w:rsid w:val="00704C7E"/>
    <w:rsid w:val="00706E88"/>
    <w:rsid w:val="00713A6C"/>
    <w:rsid w:val="00716887"/>
    <w:rsid w:val="00716AFE"/>
    <w:rsid w:val="00724B86"/>
    <w:rsid w:val="007254E5"/>
    <w:rsid w:val="00726A39"/>
    <w:rsid w:val="00727F4A"/>
    <w:rsid w:val="00732C8F"/>
    <w:rsid w:val="00733193"/>
    <w:rsid w:val="00736292"/>
    <w:rsid w:val="0073699C"/>
    <w:rsid w:val="00736CCC"/>
    <w:rsid w:val="0073791D"/>
    <w:rsid w:val="00737B7A"/>
    <w:rsid w:val="0074037C"/>
    <w:rsid w:val="007406A5"/>
    <w:rsid w:val="007409D6"/>
    <w:rsid w:val="0074219B"/>
    <w:rsid w:val="00742337"/>
    <w:rsid w:val="007439A7"/>
    <w:rsid w:val="00743B6F"/>
    <w:rsid w:val="00744DB1"/>
    <w:rsid w:val="00745CB2"/>
    <w:rsid w:val="007471F9"/>
    <w:rsid w:val="007578EB"/>
    <w:rsid w:val="00762451"/>
    <w:rsid w:val="00763232"/>
    <w:rsid w:val="007640EE"/>
    <w:rsid w:val="007651B0"/>
    <w:rsid w:val="00766802"/>
    <w:rsid w:val="00767BC3"/>
    <w:rsid w:val="00773927"/>
    <w:rsid w:val="00773DAC"/>
    <w:rsid w:val="00775869"/>
    <w:rsid w:val="00776728"/>
    <w:rsid w:val="00776B90"/>
    <w:rsid w:val="00777488"/>
    <w:rsid w:val="007820BC"/>
    <w:rsid w:val="00791AE3"/>
    <w:rsid w:val="0079227F"/>
    <w:rsid w:val="00792CA5"/>
    <w:rsid w:val="00797DF5"/>
    <w:rsid w:val="007A210D"/>
    <w:rsid w:val="007A2DA8"/>
    <w:rsid w:val="007A40DB"/>
    <w:rsid w:val="007A44C1"/>
    <w:rsid w:val="007A621C"/>
    <w:rsid w:val="007A6282"/>
    <w:rsid w:val="007B5227"/>
    <w:rsid w:val="007B52BC"/>
    <w:rsid w:val="007C7854"/>
    <w:rsid w:val="007C7FE7"/>
    <w:rsid w:val="007D00F7"/>
    <w:rsid w:val="007D0D0D"/>
    <w:rsid w:val="007D2DCD"/>
    <w:rsid w:val="007D304C"/>
    <w:rsid w:val="007D4563"/>
    <w:rsid w:val="007E3CB9"/>
    <w:rsid w:val="007E4A0D"/>
    <w:rsid w:val="007F0AF9"/>
    <w:rsid w:val="007F3D33"/>
    <w:rsid w:val="007F4009"/>
    <w:rsid w:val="007F48AC"/>
    <w:rsid w:val="00805831"/>
    <w:rsid w:val="008063BF"/>
    <w:rsid w:val="00811D8B"/>
    <w:rsid w:val="00811F4F"/>
    <w:rsid w:val="00813471"/>
    <w:rsid w:val="00817470"/>
    <w:rsid w:val="008200C5"/>
    <w:rsid w:val="0082098D"/>
    <w:rsid w:val="00821CFF"/>
    <w:rsid w:val="00825EE3"/>
    <w:rsid w:val="00826974"/>
    <w:rsid w:val="00835DC6"/>
    <w:rsid w:val="008363CD"/>
    <w:rsid w:val="00836C3D"/>
    <w:rsid w:val="00841793"/>
    <w:rsid w:val="00843D5C"/>
    <w:rsid w:val="008456A0"/>
    <w:rsid w:val="0084688D"/>
    <w:rsid w:val="00850DCC"/>
    <w:rsid w:val="008532CC"/>
    <w:rsid w:val="008546C6"/>
    <w:rsid w:val="00856969"/>
    <w:rsid w:val="00861C6A"/>
    <w:rsid w:val="00862BC1"/>
    <w:rsid w:val="00866ED8"/>
    <w:rsid w:val="008670FF"/>
    <w:rsid w:val="0086710A"/>
    <w:rsid w:val="00870FC5"/>
    <w:rsid w:val="00872868"/>
    <w:rsid w:val="008734EF"/>
    <w:rsid w:val="00876055"/>
    <w:rsid w:val="008763A6"/>
    <w:rsid w:val="00880E32"/>
    <w:rsid w:val="008928FB"/>
    <w:rsid w:val="008941AA"/>
    <w:rsid w:val="008955D8"/>
    <w:rsid w:val="0089603D"/>
    <w:rsid w:val="008970DF"/>
    <w:rsid w:val="008A24ED"/>
    <w:rsid w:val="008A3A03"/>
    <w:rsid w:val="008A5231"/>
    <w:rsid w:val="008A6F7A"/>
    <w:rsid w:val="008B0E84"/>
    <w:rsid w:val="008C1958"/>
    <w:rsid w:val="008C1E67"/>
    <w:rsid w:val="008C3B6B"/>
    <w:rsid w:val="008C46DF"/>
    <w:rsid w:val="008C5531"/>
    <w:rsid w:val="008C5700"/>
    <w:rsid w:val="008C6E3A"/>
    <w:rsid w:val="008D205C"/>
    <w:rsid w:val="008D229C"/>
    <w:rsid w:val="008D3058"/>
    <w:rsid w:val="008D3A5D"/>
    <w:rsid w:val="008D4493"/>
    <w:rsid w:val="008D46BA"/>
    <w:rsid w:val="008D4B2B"/>
    <w:rsid w:val="008D4C4F"/>
    <w:rsid w:val="008E2419"/>
    <w:rsid w:val="008E3F29"/>
    <w:rsid w:val="008E4D69"/>
    <w:rsid w:val="008E50E5"/>
    <w:rsid w:val="008E6309"/>
    <w:rsid w:val="008F26D3"/>
    <w:rsid w:val="008F742B"/>
    <w:rsid w:val="00905A0E"/>
    <w:rsid w:val="00907062"/>
    <w:rsid w:val="00910E1A"/>
    <w:rsid w:val="00913385"/>
    <w:rsid w:val="00913CA2"/>
    <w:rsid w:val="00916A57"/>
    <w:rsid w:val="00920131"/>
    <w:rsid w:val="00922CD6"/>
    <w:rsid w:val="009253FB"/>
    <w:rsid w:val="00926AD4"/>
    <w:rsid w:val="009316DE"/>
    <w:rsid w:val="00931FE0"/>
    <w:rsid w:val="0093277F"/>
    <w:rsid w:val="00933E9E"/>
    <w:rsid w:val="00934922"/>
    <w:rsid w:val="00935628"/>
    <w:rsid w:val="00935A88"/>
    <w:rsid w:val="0094283B"/>
    <w:rsid w:val="00945CE2"/>
    <w:rsid w:val="009463A5"/>
    <w:rsid w:val="00946C15"/>
    <w:rsid w:val="00953F7C"/>
    <w:rsid w:val="009559A7"/>
    <w:rsid w:val="0095612F"/>
    <w:rsid w:val="00960169"/>
    <w:rsid w:val="0096272F"/>
    <w:rsid w:val="00962889"/>
    <w:rsid w:val="009704A4"/>
    <w:rsid w:val="0097198B"/>
    <w:rsid w:val="00977CE2"/>
    <w:rsid w:val="0098003D"/>
    <w:rsid w:val="00985A78"/>
    <w:rsid w:val="00991FA9"/>
    <w:rsid w:val="009951F7"/>
    <w:rsid w:val="009A7619"/>
    <w:rsid w:val="009B0F73"/>
    <w:rsid w:val="009B136F"/>
    <w:rsid w:val="009B3A31"/>
    <w:rsid w:val="009B3AB7"/>
    <w:rsid w:val="009B4034"/>
    <w:rsid w:val="009B483B"/>
    <w:rsid w:val="009C1485"/>
    <w:rsid w:val="009C72F9"/>
    <w:rsid w:val="009D1172"/>
    <w:rsid w:val="009D1535"/>
    <w:rsid w:val="009D1758"/>
    <w:rsid w:val="009E1B64"/>
    <w:rsid w:val="009E7C7D"/>
    <w:rsid w:val="00A068C0"/>
    <w:rsid w:val="00A11966"/>
    <w:rsid w:val="00A13136"/>
    <w:rsid w:val="00A14357"/>
    <w:rsid w:val="00A15392"/>
    <w:rsid w:val="00A17F43"/>
    <w:rsid w:val="00A21476"/>
    <w:rsid w:val="00A240A4"/>
    <w:rsid w:val="00A25BE4"/>
    <w:rsid w:val="00A26122"/>
    <w:rsid w:val="00A26C12"/>
    <w:rsid w:val="00A272C3"/>
    <w:rsid w:val="00A3584E"/>
    <w:rsid w:val="00A36014"/>
    <w:rsid w:val="00A37FA4"/>
    <w:rsid w:val="00A40966"/>
    <w:rsid w:val="00A4283B"/>
    <w:rsid w:val="00A43FE0"/>
    <w:rsid w:val="00A4711D"/>
    <w:rsid w:val="00A508AF"/>
    <w:rsid w:val="00A533B2"/>
    <w:rsid w:val="00A552E8"/>
    <w:rsid w:val="00A61799"/>
    <w:rsid w:val="00A6515D"/>
    <w:rsid w:val="00A701E7"/>
    <w:rsid w:val="00A7137A"/>
    <w:rsid w:val="00A743DC"/>
    <w:rsid w:val="00A75371"/>
    <w:rsid w:val="00A75B3A"/>
    <w:rsid w:val="00A75EA1"/>
    <w:rsid w:val="00A76F6E"/>
    <w:rsid w:val="00A81452"/>
    <w:rsid w:val="00A82B07"/>
    <w:rsid w:val="00A86A02"/>
    <w:rsid w:val="00A90399"/>
    <w:rsid w:val="00A90AF5"/>
    <w:rsid w:val="00A93D38"/>
    <w:rsid w:val="00A967F1"/>
    <w:rsid w:val="00A9688C"/>
    <w:rsid w:val="00A96897"/>
    <w:rsid w:val="00A96D7B"/>
    <w:rsid w:val="00A979BB"/>
    <w:rsid w:val="00AA1585"/>
    <w:rsid w:val="00AA1F45"/>
    <w:rsid w:val="00AA22E3"/>
    <w:rsid w:val="00AB0814"/>
    <w:rsid w:val="00AB48C4"/>
    <w:rsid w:val="00AB6504"/>
    <w:rsid w:val="00AC06AF"/>
    <w:rsid w:val="00AC07CA"/>
    <w:rsid w:val="00AC150D"/>
    <w:rsid w:val="00AC2522"/>
    <w:rsid w:val="00AC455E"/>
    <w:rsid w:val="00AC460D"/>
    <w:rsid w:val="00AD195C"/>
    <w:rsid w:val="00AD45C6"/>
    <w:rsid w:val="00AD494D"/>
    <w:rsid w:val="00AD5CF1"/>
    <w:rsid w:val="00AD61CC"/>
    <w:rsid w:val="00AD628C"/>
    <w:rsid w:val="00AD72D3"/>
    <w:rsid w:val="00AD78FC"/>
    <w:rsid w:val="00AE1161"/>
    <w:rsid w:val="00AE45A1"/>
    <w:rsid w:val="00AF053C"/>
    <w:rsid w:val="00AF2697"/>
    <w:rsid w:val="00AF41C4"/>
    <w:rsid w:val="00AF611C"/>
    <w:rsid w:val="00B0044C"/>
    <w:rsid w:val="00B01748"/>
    <w:rsid w:val="00B01F62"/>
    <w:rsid w:val="00B050FE"/>
    <w:rsid w:val="00B070C1"/>
    <w:rsid w:val="00B0719B"/>
    <w:rsid w:val="00B11354"/>
    <w:rsid w:val="00B1347C"/>
    <w:rsid w:val="00B21B97"/>
    <w:rsid w:val="00B21FBC"/>
    <w:rsid w:val="00B235FE"/>
    <w:rsid w:val="00B2436F"/>
    <w:rsid w:val="00B24BB7"/>
    <w:rsid w:val="00B24BEF"/>
    <w:rsid w:val="00B250B2"/>
    <w:rsid w:val="00B26A62"/>
    <w:rsid w:val="00B26EC1"/>
    <w:rsid w:val="00B33114"/>
    <w:rsid w:val="00B34B49"/>
    <w:rsid w:val="00B42E52"/>
    <w:rsid w:val="00B42F7A"/>
    <w:rsid w:val="00B52BAE"/>
    <w:rsid w:val="00B549B9"/>
    <w:rsid w:val="00B55366"/>
    <w:rsid w:val="00B5571C"/>
    <w:rsid w:val="00B55733"/>
    <w:rsid w:val="00B558D2"/>
    <w:rsid w:val="00B60C0A"/>
    <w:rsid w:val="00B60D9E"/>
    <w:rsid w:val="00B6132A"/>
    <w:rsid w:val="00B61392"/>
    <w:rsid w:val="00B64966"/>
    <w:rsid w:val="00B66F9A"/>
    <w:rsid w:val="00B67513"/>
    <w:rsid w:val="00B72B81"/>
    <w:rsid w:val="00B7345D"/>
    <w:rsid w:val="00B73BDF"/>
    <w:rsid w:val="00B76099"/>
    <w:rsid w:val="00B86240"/>
    <w:rsid w:val="00B8660C"/>
    <w:rsid w:val="00B90E8B"/>
    <w:rsid w:val="00B9570B"/>
    <w:rsid w:val="00B963A3"/>
    <w:rsid w:val="00B96BA9"/>
    <w:rsid w:val="00BA0166"/>
    <w:rsid w:val="00BA141D"/>
    <w:rsid w:val="00BA1A07"/>
    <w:rsid w:val="00BA1EC9"/>
    <w:rsid w:val="00BA5E64"/>
    <w:rsid w:val="00BA6491"/>
    <w:rsid w:val="00BA6A29"/>
    <w:rsid w:val="00BA7031"/>
    <w:rsid w:val="00BB1397"/>
    <w:rsid w:val="00BB2A60"/>
    <w:rsid w:val="00BB2D15"/>
    <w:rsid w:val="00BB5CE6"/>
    <w:rsid w:val="00BC2CAD"/>
    <w:rsid w:val="00BD265A"/>
    <w:rsid w:val="00BD2EB5"/>
    <w:rsid w:val="00BD43EC"/>
    <w:rsid w:val="00BD5FFA"/>
    <w:rsid w:val="00BD60E2"/>
    <w:rsid w:val="00BE423D"/>
    <w:rsid w:val="00BE5986"/>
    <w:rsid w:val="00BF5297"/>
    <w:rsid w:val="00C1051F"/>
    <w:rsid w:val="00C10A08"/>
    <w:rsid w:val="00C1652F"/>
    <w:rsid w:val="00C1694A"/>
    <w:rsid w:val="00C17967"/>
    <w:rsid w:val="00C17F76"/>
    <w:rsid w:val="00C20519"/>
    <w:rsid w:val="00C22703"/>
    <w:rsid w:val="00C30446"/>
    <w:rsid w:val="00C3405F"/>
    <w:rsid w:val="00C35F8B"/>
    <w:rsid w:val="00C40317"/>
    <w:rsid w:val="00C40B21"/>
    <w:rsid w:val="00C4239E"/>
    <w:rsid w:val="00C45363"/>
    <w:rsid w:val="00C524F0"/>
    <w:rsid w:val="00C5294E"/>
    <w:rsid w:val="00C55423"/>
    <w:rsid w:val="00C5568E"/>
    <w:rsid w:val="00C5659F"/>
    <w:rsid w:val="00C56978"/>
    <w:rsid w:val="00C73A3F"/>
    <w:rsid w:val="00C77757"/>
    <w:rsid w:val="00C8038A"/>
    <w:rsid w:val="00C82052"/>
    <w:rsid w:val="00C83628"/>
    <w:rsid w:val="00C8493A"/>
    <w:rsid w:val="00C87AF0"/>
    <w:rsid w:val="00C90FFC"/>
    <w:rsid w:val="00C958B5"/>
    <w:rsid w:val="00C96569"/>
    <w:rsid w:val="00C96C5E"/>
    <w:rsid w:val="00CA1205"/>
    <w:rsid w:val="00CA1ADB"/>
    <w:rsid w:val="00CA2026"/>
    <w:rsid w:val="00CA555A"/>
    <w:rsid w:val="00CA77B9"/>
    <w:rsid w:val="00CC0B44"/>
    <w:rsid w:val="00CC277D"/>
    <w:rsid w:val="00CC3697"/>
    <w:rsid w:val="00CC4BD6"/>
    <w:rsid w:val="00CC7833"/>
    <w:rsid w:val="00CD0532"/>
    <w:rsid w:val="00CD2997"/>
    <w:rsid w:val="00CD3FB8"/>
    <w:rsid w:val="00CD4F79"/>
    <w:rsid w:val="00CD558A"/>
    <w:rsid w:val="00CD5CA7"/>
    <w:rsid w:val="00CD69CE"/>
    <w:rsid w:val="00CE0148"/>
    <w:rsid w:val="00CE11CD"/>
    <w:rsid w:val="00CE212E"/>
    <w:rsid w:val="00CE231C"/>
    <w:rsid w:val="00CE63F8"/>
    <w:rsid w:val="00CE784F"/>
    <w:rsid w:val="00CF2501"/>
    <w:rsid w:val="00CF447C"/>
    <w:rsid w:val="00CF4480"/>
    <w:rsid w:val="00CF5666"/>
    <w:rsid w:val="00CF5907"/>
    <w:rsid w:val="00CF5C00"/>
    <w:rsid w:val="00CF76EC"/>
    <w:rsid w:val="00D00A19"/>
    <w:rsid w:val="00D01AC4"/>
    <w:rsid w:val="00D06852"/>
    <w:rsid w:val="00D14039"/>
    <w:rsid w:val="00D24BC5"/>
    <w:rsid w:val="00D34939"/>
    <w:rsid w:val="00D35540"/>
    <w:rsid w:val="00D357ED"/>
    <w:rsid w:val="00D409B4"/>
    <w:rsid w:val="00D44AC1"/>
    <w:rsid w:val="00D476DB"/>
    <w:rsid w:val="00D51AE7"/>
    <w:rsid w:val="00D51B9E"/>
    <w:rsid w:val="00D533F2"/>
    <w:rsid w:val="00D54638"/>
    <w:rsid w:val="00D572FC"/>
    <w:rsid w:val="00D5797C"/>
    <w:rsid w:val="00D57C53"/>
    <w:rsid w:val="00D61470"/>
    <w:rsid w:val="00D617AE"/>
    <w:rsid w:val="00D633B1"/>
    <w:rsid w:val="00D64AE5"/>
    <w:rsid w:val="00D656C5"/>
    <w:rsid w:val="00D65CEE"/>
    <w:rsid w:val="00D6698A"/>
    <w:rsid w:val="00D67EFF"/>
    <w:rsid w:val="00D7058A"/>
    <w:rsid w:val="00D70F8D"/>
    <w:rsid w:val="00D7666C"/>
    <w:rsid w:val="00D84A1A"/>
    <w:rsid w:val="00D84E34"/>
    <w:rsid w:val="00D86709"/>
    <w:rsid w:val="00D8761C"/>
    <w:rsid w:val="00D9029F"/>
    <w:rsid w:val="00D960D8"/>
    <w:rsid w:val="00D964F5"/>
    <w:rsid w:val="00D97022"/>
    <w:rsid w:val="00DA013F"/>
    <w:rsid w:val="00DA1291"/>
    <w:rsid w:val="00DA3257"/>
    <w:rsid w:val="00DA7267"/>
    <w:rsid w:val="00DB01A1"/>
    <w:rsid w:val="00DB236C"/>
    <w:rsid w:val="00DB2E2C"/>
    <w:rsid w:val="00DB3623"/>
    <w:rsid w:val="00DB5100"/>
    <w:rsid w:val="00DC4E07"/>
    <w:rsid w:val="00DC542F"/>
    <w:rsid w:val="00DC689C"/>
    <w:rsid w:val="00DD141B"/>
    <w:rsid w:val="00DD38DD"/>
    <w:rsid w:val="00DD3BF2"/>
    <w:rsid w:val="00DE3C37"/>
    <w:rsid w:val="00DE53B6"/>
    <w:rsid w:val="00DE551C"/>
    <w:rsid w:val="00DE61F3"/>
    <w:rsid w:val="00DE69F5"/>
    <w:rsid w:val="00DE7621"/>
    <w:rsid w:val="00DF2792"/>
    <w:rsid w:val="00DF3BEB"/>
    <w:rsid w:val="00DF7D4A"/>
    <w:rsid w:val="00E0016E"/>
    <w:rsid w:val="00E0030A"/>
    <w:rsid w:val="00E01FB5"/>
    <w:rsid w:val="00E0232D"/>
    <w:rsid w:val="00E02963"/>
    <w:rsid w:val="00E03A1D"/>
    <w:rsid w:val="00E04E1E"/>
    <w:rsid w:val="00E07734"/>
    <w:rsid w:val="00E10441"/>
    <w:rsid w:val="00E14B55"/>
    <w:rsid w:val="00E16EFD"/>
    <w:rsid w:val="00E20387"/>
    <w:rsid w:val="00E21FA7"/>
    <w:rsid w:val="00E226BA"/>
    <w:rsid w:val="00E231F4"/>
    <w:rsid w:val="00E232D1"/>
    <w:rsid w:val="00E270DB"/>
    <w:rsid w:val="00E271FB"/>
    <w:rsid w:val="00E30991"/>
    <w:rsid w:val="00E33115"/>
    <w:rsid w:val="00E33BB8"/>
    <w:rsid w:val="00E33D0D"/>
    <w:rsid w:val="00E35FC2"/>
    <w:rsid w:val="00E3682D"/>
    <w:rsid w:val="00E37C2B"/>
    <w:rsid w:val="00E40CA5"/>
    <w:rsid w:val="00E51617"/>
    <w:rsid w:val="00E53471"/>
    <w:rsid w:val="00E5741F"/>
    <w:rsid w:val="00E60C55"/>
    <w:rsid w:val="00E61E35"/>
    <w:rsid w:val="00E649D6"/>
    <w:rsid w:val="00E64FAA"/>
    <w:rsid w:val="00E67F75"/>
    <w:rsid w:val="00E70200"/>
    <w:rsid w:val="00E73565"/>
    <w:rsid w:val="00E73A9E"/>
    <w:rsid w:val="00E752D9"/>
    <w:rsid w:val="00E7594C"/>
    <w:rsid w:val="00E761E0"/>
    <w:rsid w:val="00E80E7A"/>
    <w:rsid w:val="00E81CC7"/>
    <w:rsid w:val="00E82692"/>
    <w:rsid w:val="00E86B75"/>
    <w:rsid w:val="00E87ADA"/>
    <w:rsid w:val="00E95CE5"/>
    <w:rsid w:val="00EA48CD"/>
    <w:rsid w:val="00EA5713"/>
    <w:rsid w:val="00EA6076"/>
    <w:rsid w:val="00EB3309"/>
    <w:rsid w:val="00EB3DEA"/>
    <w:rsid w:val="00EB5517"/>
    <w:rsid w:val="00EC05D2"/>
    <w:rsid w:val="00EC0948"/>
    <w:rsid w:val="00EC2AD4"/>
    <w:rsid w:val="00EC4E7F"/>
    <w:rsid w:val="00EC6090"/>
    <w:rsid w:val="00EC7696"/>
    <w:rsid w:val="00ED0458"/>
    <w:rsid w:val="00ED398B"/>
    <w:rsid w:val="00ED5D2B"/>
    <w:rsid w:val="00ED6F54"/>
    <w:rsid w:val="00EE5557"/>
    <w:rsid w:val="00EE6BC2"/>
    <w:rsid w:val="00EF1953"/>
    <w:rsid w:val="00EF6A1D"/>
    <w:rsid w:val="00F00404"/>
    <w:rsid w:val="00F05152"/>
    <w:rsid w:val="00F069F9"/>
    <w:rsid w:val="00F074ED"/>
    <w:rsid w:val="00F111A7"/>
    <w:rsid w:val="00F137A6"/>
    <w:rsid w:val="00F1446B"/>
    <w:rsid w:val="00F14AF1"/>
    <w:rsid w:val="00F2526F"/>
    <w:rsid w:val="00F26ABE"/>
    <w:rsid w:val="00F26C00"/>
    <w:rsid w:val="00F27047"/>
    <w:rsid w:val="00F412DB"/>
    <w:rsid w:val="00F4272C"/>
    <w:rsid w:val="00F445A1"/>
    <w:rsid w:val="00F51403"/>
    <w:rsid w:val="00F56C41"/>
    <w:rsid w:val="00F61904"/>
    <w:rsid w:val="00F61B2B"/>
    <w:rsid w:val="00F61E95"/>
    <w:rsid w:val="00F624FD"/>
    <w:rsid w:val="00F64D7E"/>
    <w:rsid w:val="00F7094F"/>
    <w:rsid w:val="00F7558A"/>
    <w:rsid w:val="00F77BFC"/>
    <w:rsid w:val="00F80E69"/>
    <w:rsid w:val="00F81CBA"/>
    <w:rsid w:val="00F82D99"/>
    <w:rsid w:val="00F83183"/>
    <w:rsid w:val="00F8507C"/>
    <w:rsid w:val="00F85CA7"/>
    <w:rsid w:val="00F86B33"/>
    <w:rsid w:val="00F87C00"/>
    <w:rsid w:val="00F941A2"/>
    <w:rsid w:val="00F952AE"/>
    <w:rsid w:val="00F97AFF"/>
    <w:rsid w:val="00FA49F2"/>
    <w:rsid w:val="00FB2F32"/>
    <w:rsid w:val="00FB41DC"/>
    <w:rsid w:val="00FB541E"/>
    <w:rsid w:val="00FB7C0B"/>
    <w:rsid w:val="00FC094A"/>
    <w:rsid w:val="00FC0B65"/>
    <w:rsid w:val="00FC2C34"/>
    <w:rsid w:val="00FC2DC8"/>
    <w:rsid w:val="00FC48A8"/>
    <w:rsid w:val="00FC5894"/>
    <w:rsid w:val="00FD0345"/>
    <w:rsid w:val="00FD180F"/>
    <w:rsid w:val="00FD6D43"/>
    <w:rsid w:val="00FE3EC5"/>
    <w:rsid w:val="00FE4B33"/>
    <w:rsid w:val="00FE520F"/>
    <w:rsid w:val="00FE7CC3"/>
    <w:rsid w:val="00FF0BA3"/>
    <w:rsid w:val="00FF1045"/>
    <w:rsid w:val="00FF1902"/>
    <w:rsid w:val="00FF32DC"/>
    <w:rsid w:val="00FF633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6243E9A"/>
  <w15:docId w15:val="{A975AEE0-FE12-4EAB-9C05-BDB590B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vhtml">
    <w:name w:val="tv_html"/>
    <w:rsid w:val="002B54B3"/>
  </w:style>
  <w:style w:type="paragraph" w:customStyle="1" w:styleId="Default">
    <w:name w:val="Default"/>
    <w:rsid w:val="00121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2A4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E5557"/>
    <w:pPr>
      <w:spacing w:after="120"/>
      <w:ind w:left="283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55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/sabiedribas_lidzdaliba/tiesibu_aktu_projekti/pasvaldibu_finansu_uzraudzibas_politik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L.Jevčuka</Vad_x012b_t_x0101_js>
    <Kategorija xmlns="2e5bb04e-596e-45bd-9003-43ca78b1ba16">Anotācija</Kategorija>
    <DKP xmlns="2e5bb04e-596e-45bd-9003-43ca78b1ba16">91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96D3-F1C0-47DF-84FD-01D24696691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2e5bb04e-596e-45bd-9003-43ca78b1ba1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E73109-AE00-49DF-89CA-B86A224F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C95AF-6A3B-4F06-A2A5-828401BC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F60E56-78B7-4A3E-9DD5-00806411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2016.gada 28.jūnija noteikumos Nr.418 „Kārtība, kādā veicami pašvaldību savstarpējie norēķini par izglītības iestāžu sniegtajiem pakalpojumiem""</vt:lpstr>
    </vt:vector>
  </TitlesOfParts>
  <Company>Finanšu ministrija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2016.gada 28.jūnija noteikumos Nr.418 „Kārtība, kādā veicami pašvaldību savstarpējie norēķini par izglītības iestāžu sniegtajiem pakalpojumiem""</dc:title>
  <dc:subject>Anotācija</dc:subject>
  <dc:creator>Sandra Režā</dc:creator>
  <cp:keywords/>
  <dc:description>e-pasts: sandra.reza@fm.gov.lv_x000d_
tālrunis: 67095684</dc:description>
  <cp:lastModifiedBy>Sandra Režā</cp:lastModifiedBy>
  <cp:revision>14</cp:revision>
  <cp:lastPrinted>2018-09-14T07:29:00Z</cp:lastPrinted>
  <dcterms:created xsi:type="dcterms:W3CDTF">2019-11-05T15:19:00Z</dcterms:created>
  <dcterms:modified xsi:type="dcterms:W3CDTF">2020-01-10T07:41:00Z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