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6C960" w14:textId="7939228D" w:rsidR="007116C7" w:rsidRPr="000B3A92" w:rsidRDefault="007116C7" w:rsidP="000C4A3E">
      <w:pPr>
        <w:pStyle w:val="naisnod"/>
        <w:spacing w:before="0" w:after="0"/>
        <w:ind w:firstLine="720"/>
      </w:pPr>
      <w:r w:rsidRPr="000B3A92">
        <w:t>Izziņa par atzinumos sniegtajiem iebildumiem</w:t>
      </w:r>
    </w:p>
    <w:tbl>
      <w:tblPr>
        <w:tblW w:w="0" w:type="auto"/>
        <w:jc w:val="center"/>
        <w:tblLook w:val="00A0" w:firstRow="1" w:lastRow="0" w:firstColumn="1" w:lastColumn="0" w:noHBand="0" w:noVBand="0"/>
      </w:tblPr>
      <w:tblGrid>
        <w:gridCol w:w="10188"/>
      </w:tblGrid>
      <w:tr w:rsidR="005636A0" w:rsidRPr="000B3A92" w14:paraId="054AB982" w14:textId="77777777">
        <w:trPr>
          <w:jc w:val="center"/>
        </w:trPr>
        <w:tc>
          <w:tcPr>
            <w:tcW w:w="10188" w:type="dxa"/>
            <w:tcBorders>
              <w:bottom w:val="single" w:sz="6" w:space="0" w:color="000000"/>
            </w:tcBorders>
          </w:tcPr>
          <w:p w14:paraId="5D0E366C" w14:textId="617E6EEC" w:rsidR="007116C7" w:rsidRPr="000B3A92" w:rsidRDefault="007F6D9F" w:rsidP="00CC0ABE">
            <w:pPr>
              <w:ind w:firstLine="720"/>
              <w:jc w:val="center"/>
            </w:pPr>
            <w:r w:rsidRPr="000B3A92">
              <w:rPr>
                <w:b/>
              </w:rPr>
              <w:t>Ministru kabineta noteikumu projekts “</w:t>
            </w:r>
            <w:r w:rsidR="00CC0ABE" w:rsidRPr="000B3A92">
              <w:rPr>
                <w:b/>
              </w:rPr>
              <w:t>Ieroču reģistra noteikumi</w:t>
            </w:r>
            <w:r w:rsidRPr="000B3A92">
              <w:rPr>
                <w:b/>
              </w:rPr>
              <w:t>”</w:t>
            </w:r>
          </w:p>
        </w:tc>
      </w:tr>
    </w:tbl>
    <w:p w14:paraId="18A182E6" w14:textId="77777777" w:rsidR="007B4C0F" w:rsidRPr="000B3A92" w:rsidRDefault="007B4C0F" w:rsidP="00DB7395">
      <w:pPr>
        <w:pStyle w:val="naisf"/>
        <w:spacing w:before="0" w:after="0"/>
        <w:ind w:firstLine="720"/>
      </w:pPr>
    </w:p>
    <w:p w14:paraId="072768DB" w14:textId="77777777" w:rsidR="007B4C0F" w:rsidRPr="000B3A92" w:rsidRDefault="007B4C0F" w:rsidP="00184479">
      <w:pPr>
        <w:pStyle w:val="naisf"/>
        <w:spacing w:before="0" w:after="0"/>
        <w:ind w:firstLine="0"/>
        <w:jc w:val="center"/>
        <w:rPr>
          <w:b/>
        </w:rPr>
      </w:pPr>
      <w:r w:rsidRPr="000B3A92">
        <w:rPr>
          <w:b/>
        </w:rPr>
        <w:t xml:space="preserve">I. Jautājumi, par kuriem saskaņošanā </w:t>
      </w:r>
      <w:r w:rsidR="00134188" w:rsidRPr="000B3A92">
        <w:rPr>
          <w:b/>
        </w:rPr>
        <w:t xml:space="preserve">vienošanās </w:t>
      </w:r>
      <w:r w:rsidRPr="000B3A92">
        <w:rPr>
          <w:b/>
        </w:rPr>
        <w:t>nav panākta</w:t>
      </w:r>
    </w:p>
    <w:p w14:paraId="0DEE4EFC" w14:textId="77777777" w:rsidR="007B4C0F" w:rsidRPr="000B3A92" w:rsidRDefault="007B4C0F" w:rsidP="00DB7395">
      <w:pPr>
        <w:pStyle w:val="naisf"/>
        <w:spacing w:before="0" w:after="0"/>
        <w:ind w:firstLine="72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7"/>
        <w:gridCol w:w="1961"/>
        <w:gridCol w:w="3548"/>
        <w:gridCol w:w="3548"/>
        <w:gridCol w:w="2729"/>
        <w:gridCol w:w="1850"/>
      </w:tblGrid>
      <w:tr w:rsidR="005636A0" w:rsidRPr="000B3A92" w14:paraId="1D59D626" w14:textId="77777777" w:rsidTr="001E0EEB">
        <w:tc>
          <w:tcPr>
            <w:tcW w:w="223" w:type="pct"/>
            <w:tcBorders>
              <w:top w:val="single" w:sz="6" w:space="0" w:color="000000"/>
              <w:left w:val="single" w:sz="6" w:space="0" w:color="000000"/>
              <w:bottom w:val="single" w:sz="6" w:space="0" w:color="000000"/>
              <w:right w:val="single" w:sz="6" w:space="0" w:color="000000"/>
            </w:tcBorders>
            <w:vAlign w:val="center"/>
          </w:tcPr>
          <w:p w14:paraId="0A58E095" w14:textId="77777777" w:rsidR="005F4BFD" w:rsidRPr="000B3A92" w:rsidRDefault="005F4BFD" w:rsidP="00200D35">
            <w:pPr>
              <w:pStyle w:val="naisc"/>
              <w:spacing w:before="0" w:after="0"/>
            </w:pPr>
            <w:r w:rsidRPr="000B3A92">
              <w:t>Nr. p.</w:t>
            </w:r>
            <w:r w:rsidR="00D64FB0" w:rsidRPr="000B3A92">
              <w:t> </w:t>
            </w:r>
            <w:r w:rsidRPr="000B3A92">
              <w:t>k.</w:t>
            </w:r>
          </w:p>
        </w:tc>
        <w:tc>
          <w:tcPr>
            <w:tcW w:w="687" w:type="pct"/>
            <w:tcBorders>
              <w:top w:val="single" w:sz="6" w:space="0" w:color="000000"/>
              <w:left w:val="single" w:sz="6" w:space="0" w:color="000000"/>
              <w:bottom w:val="single" w:sz="6" w:space="0" w:color="000000"/>
              <w:right w:val="single" w:sz="6" w:space="0" w:color="000000"/>
            </w:tcBorders>
            <w:vAlign w:val="center"/>
          </w:tcPr>
          <w:p w14:paraId="0EAC6F1A" w14:textId="3E5B7107" w:rsidR="005F4BFD" w:rsidRPr="000B3A92" w:rsidRDefault="005F4BFD" w:rsidP="00200D35">
            <w:pPr>
              <w:pStyle w:val="naisc"/>
              <w:spacing w:before="0" w:after="0"/>
              <w:ind w:firstLine="12"/>
            </w:pPr>
            <w:r w:rsidRPr="000B3A92">
              <w:t>Saskaņošanai nosūtītā projekta re</w:t>
            </w:r>
            <w:r w:rsidR="00A52CB5" w:rsidRPr="000B3A92">
              <w:t>dakcija (konkrēta punkta</w:t>
            </w:r>
            <w:r w:rsidRPr="000B3A92">
              <w:t xml:space="preserve"> redakcija)</w:t>
            </w:r>
          </w:p>
        </w:tc>
        <w:tc>
          <w:tcPr>
            <w:tcW w:w="1243" w:type="pct"/>
            <w:tcBorders>
              <w:top w:val="single" w:sz="6" w:space="0" w:color="000000"/>
              <w:left w:val="single" w:sz="6" w:space="0" w:color="000000"/>
              <w:bottom w:val="single" w:sz="6" w:space="0" w:color="000000"/>
              <w:right w:val="single" w:sz="6" w:space="0" w:color="000000"/>
            </w:tcBorders>
            <w:vAlign w:val="center"/>
          </w:tcPr>
          <w:p w14:paraId="082EEA0D" w14:textId="446E2EB7" w:rsidR="005F4BFD" w:rsidRPr="000B3A92" w:rsidRDefault="005F4BFD" w:rsidP="00200D35">
            <w:pPr>
              <w:pStyle w:val="naisc"/>
              <w:spacing w:before="0" w:after="0"/>
              <w:ind w:right="3"/>
            </w:pPr>
            <w:r w:rsidRPr="000B3A92">
              <w:t>Atzinumā norādītais ministrijas (citas institūcijas) iebildums</w:t>
            </w:r>
            <w:r w:rsidR="00184479" w:rsidRPr="000B3A92">
              <w:t>,</w:t>
            </w:r>
            <w:r w:rsidR="000E5509" w:rsidRPr="000B3A92">
              <w:t xml:space="preserve"> kā arī saskaņošanā papildus izteiktais iebildums</w:t>
            </w:r>
            <w:r w:rsidRPr="000B3A92">
              <w:t xml:space="preserve"> par </w:t>
            </w:r>
            <w:r w:rsidR="00A52CB5" w:rsidRPr="000B3A92">
              <w:t>projekta konkrēto punktu</w:t>
            </w:r>
          </w:p>
        </w:tc>
        <w:tc>
          <w:tcPr>
            <w:tcW w:w="1243" w:type="pct"/>
            <w:tcBorders>
              <w:top w:val="single" w:sz="6" w:space="0" w:color="000000"/>
              <w:left w:val="single" w:sz="6" w:space="0" w:color="000000"/>
              <w:bottom w:val="single" w:sz="6" w:space="0" w:color="000000"/>
              <w:right w:val="single" w:sz="6" w:space="0" w:color="000000"/>
            </w:tcBorders>
            <w:vAlign w:val="center"/>
          </w:tcPr>
          <w:p w14:paraId="0AD5B1A5" w14:textId="77777777" w:rsidR="005F4BFD" w:rsidRPr="000B3A92" w:rsidRDefault="005F4BFD" w:rsidP="00200D35">
            <w:pPr>
              <w:pStyle w:val="naisc"/>
              <w:spacing w:before="0" w:after="0"/>
              <w:ind w:firstLine="21"/>
            </w:pPr>
            <w:r w:rsidRPr="000B3A92">
              <w:t>Atbildīgās ministrijas pamatojums</w:t>
            </w:r>
            <w:r w:rsidR="009307F2" w:rsidRPr="000B3A92">
              <w:t xml:space="preserve"> iebilduma noraidījumam</w:t>
            </w:r>
          </w:p>
        </w:tc>
        <w:tc>
          <w:tcPr>
            <w:tcW w:w="956" w:type="pct"/>
            <w:tcBorders>
              <w:top w:val="single" w:sz="4" w:space="0" w:color="auto"/>
              <w:left w:val="single" w:sz="4" w:space="0" w:color="auto"/>
              <w:bottom w:val="single" w:sz="4" w:space="0" w:color="auto"/>
              <w:right w:val="single" w:sz="4" w:space="0" w:color="auto"/>
            </w:tcBorders>
            <w:vAlign w:val="center"/>
          </w:tcPr>
          <w:p w14:paraId="430CADE7" w14:textId="77777777" w:rsidR="005F4BFD" w:rsidRPr="000B3A92" w:rsidRDefault="005F4BFD" w:rsidP="00200D35">
            <w:pPr>
              <w:jc w:val="center"/>
            </w:pPr>
            <w:r w:rsidRPr="000B3A92">
              <w:t>Atzinuma sniedzēja uzturētais iebildums, ja tas atšķiras no atzinumā norādītā iebilduma pamatojuma</w:t>
            </w:r>
          </w:p>
        </w:tc>
        <w:tc>
          <w:tcPr>
            <w:tcW w:w="648" w:type="pct"/>
            <w:tcBorders>
              <w:top w:val="single" w:sz="4" w:space="0" w:color="auto"/>
              <w:left w:val="single" w:sz="4" w:space="0" w:color="auto"/>
              <w:bottom w:val="single" w:sz="4" w:space="0" w:color="auto"/>
            </w:tcBorders>
            <w:vAlign w:val="center"/>
          </w:tcPr>
          <w:p w14:paraId="58786224" w14:textId="4AFDA91D" w:rsidR="005F4BFD" w:rsidRPr="000B3A92" w:rsidRDefault="005F4BFD" w:rsidP="00A52CB5">
            <w:pPr>
              <w:jc w:val="center"/>
            </w:pPr>
            <w:r w:rsidRPr="000B3A92">
              <w:t>Projekta attiecīgā punkta galīgā redakcija</w:t>
            </w:r>
          </w:p>
        </w:tc>
      </w:tr>
    </w:tbl>
    <w:p w14:paraId="590BDF1F" w14:textId="102BDC7D" w:rsidR="00200D35" w:rsidRPr="000B3A92" w:rsidRDefault="00200D35" w:rsidP="007B4C0F">
      <w:pPr>
        <w:pStyle w:val="naisf"/>
        <w:spacing w:before="0" w:after="0"/>
        <w:ind w:firstLine="0"/>
      </w:pPr>
    </w:p>
    <w:p w14:paraId="3F2D03B5" w14:textId="77777777" w:rsidR="005D67F7" w:rsidRPr="000B3A92" w:rsidRDefault="005D67F7" w:rsidP="005D67F7">
      <w:pPr>
        <w:pStyle w:val="naisf"/>
        <w:spacing w:before="0" w:after="0"/>
        <w:ind w:firstLine="0"/>
        <w:rPr>
          <w:b/>
        </w:rPr>
      </w:pPr>
      <w:r w:rsidRPr="000B3A92">
        <w:rPr>
          <w:b/>
        </w:rPr>
        <w:t>Informācija par starpministriju (starpinstitūciju) sanāksmi vai elektronisko saskaņošanu</w:t>
      </w:r>
    </w:p>
    <w:p w14:paraId="3CF401F2" w14:textId="77777777" w:rsidR="005D67F7" w:rsidRPr="000B3A92" w:rsidRDefault="005D67F7" w:rsidP="005D67F7">
      <w:pPr>
        <w:pStyle w:val="naisf"/>
        <w:spacing w:before="0" w:after="0"/>
        <w:ind w:firstLine="0"/>
        <w:rPr>
          <w:b/>
        </w:rPr>
      </w:pPr>
    </w:p>
    <w:tbl>
      <w:tblPr>
        <w:tblW w:w="5000" w:type="pct"/>
        <w:tblLook w:val="00A0" w:firstRow="1" w:lastRow="0" w:firstColumn="1" w:lastColumn="0" w:noHBand="0" w:noVBand="0"/>
      </w:tblPr>
      <w:tblGrid>
        <w:gridCol w:w="5954"/>
        <w:gridCol w:w="1646"/>
        <w:gridCol w:w="6686"/>
      </w:tblGrid>
      <w:tr w:rsidR="005636A0" w:rsidRPr="000B3A92" w14:paraId="0545DA10" w14:textId="77777777" w:rsidTr="00EE08F7">
        <w:tc>
          <w:tcPr>
            <w:tcW w:w="2084" w:type="pct"/>
          </w:tcPr>
          <w:p w14:paraId="77FB7222" w14:textId="77777777" w:rsidR="007B4C0F" w:rsidRPr="000B3A92" w:rsidRDefault="005D67F7" w:rsidP="005D67F7">
            <w:pPr>
              <w:pStyle w:val="naisf"/>
              <w:spacing w:before="0" w:after="0"/>
              <w:ind w:firstLine="0"/>
            </w:pPr>
            <w:r w:rsidRPr="000B3A92">
              <w:t>D</w:t>
            </w:r>
            <w:r w:rsidR="007B4C0F" w:rsidRPr="000B3A92">
              <w:t>atums</w:t>
            </w:r>
          </w:p>
        </w:tc>
        <w:tc>
          <w:tcPr>
            <w:tcW w:w="2916" w:type="pct"/>
            <w:gridSpan w:val="2"/>
            <w:tcBorders>
              <w:bottom w:val="single" w:sz="4" w:space="0" w:color="auto"/>
            </w:tcBorders>
          </w:tcPr>
          <w:p w14:paraId="04567EA9" w14:textId="29CF34F8" w:rsidR="007B4C0F" w:rsidRPr="000B3A92" w:rsidRDefault="00F41341" w:rsidP="0036160E">
            <w:pPr>
              <w:pStyle w:val="NormalWeb"/>
              <w:spacing w:before="0" w:beforeAutospacing="0" w:after="0" w:afterAutospacing="0"/>
              <w:ind w:firstLine="720"/>
            </w:pPr>
            <w:r>
              <w:t>2019.gada 18.decembris</w:t>
            </w:r>
          </w:p>
        </w:tc>
      </w:tr>
      <w:tr w:rsidR="005636A0" w:rsidRPr="000B3A92" w14:paraId="0CDC97A5" w14:textId="77777777" w:rsidTr="00EE08F7">
        <w:tc>
          <w:tcPr>
            <w:tcW w:w="2084" w:type="pct"/>
          </w:tcPr>
          <w:p w14:paraId="63CB41EC" w14:textId="77777777" w:rsidR="003C27A2" w:rsidRPr="000B3A92" w:rsidRDefault="003C27A2" w:rsidP="007B4C0F">
            <w:pPr>
              <w:pStyle w:val="naisf"/>
              <w:spacing w:before="0" w:after="0"/>
              <w:ind w:firstLine="0"/>
            </w:pPr>
          </w:p>
        </w:tc>
        <w:tc>
          <w:tcPr>
            <w:tcW w:w="2916" w:type="pct"/>
            <w:gridSpan w:val="2"/>
            <w:tcBorders>
              <w:top w:val="single" w:sz="4" w:space="0" w:color="auto"/>
            </w:tcBorders>
          </w:tcPr>
          <w:p w14:paraId="07ACD7B9" w14:textId="77777777" w:rsidR="003C27A2" w:rsidRPr="000B3A92" w:rsidRDefault="003C27A2" w:rsidP="0036160E">
            <w:pPr>
              <w:pStyle w:val="NormalWeb"/>
              <w:spacing w:before="0" w:beforeAutospacing="0" w:after="0" w:afterAutospacing="0"/>
              <w:ind w:firstLine="720"/>
            </w:pPr>
          </w:p>
        </w:tc>
      </w:tr>
      <w:tr w:rsidR="005636A0" w:rsidRPr="000B3A92" w14:paraId="28385536" w14:textId="77777777" w:rsidTr="00EE08F7">
        <w:tc>
          <w:tcPr>
            <w:tcW w:w="2084" w:type="pct"/>
          </w:tcPr>
          <w:p w14:paraId="05B25AB4" w14:textId="77777777" w:rsidR="007B4C0F" w:rsidRPr="000B3A92" w:rsidRDefault="00365CC0" w:rsidP="003C27A2">
            <w:pPr>
              <w:pStyle w:val="naiskr"/>
              <w:spacing w:before="0" w:after="0"/>
            </w:pPr>
            <w:r w:rsidRPr="000B3A92">
              <w:t>Saskaņošanas dalībnieki</w:t>
            </w:r>
          </w:p>
        </w:tc>
        <w:tc>
          <w:tcPr>
            <w:tcW w:w="2916" w:type="pct"/>
            <w:gridSpan w:val="2"/>
          </w:tcPr>
          <w:p w14:paraId="264E62FD" w14:textId="0AAC5855" w:rsidR="007B4C0F" w:rsidRPr="000B3A92" w:rsidRDefault="007B4C0F" w:rsidP="00C0697A">
            <w:pPr>
              <w:pStyle w:val="NormalWeb"/>
              <w:spacing w:before="0" w:beforeAutospacing="0" w:after="0" w:afterAutospacing="0"/>
              <w:jc w:val="both"/>
            </w:pPr>
          </w:p>
        </w:tc>
      </w:tr>
      <w:tr w:rsidR="005636A0" w:rsidRPr="000B3A92" w14:paraId="2CC986D0" w14:textId="77777777" w:rsidTr="00EE08F7">
        <w:trPr>
          <w:trHeight w:val="285"/>
        </w:trPr>
        <w:tc>
          <w:tcPr>
            <w:tcW w:w="2084" w:type="pct"/>
          </w:tcPr>
          <w:p w14:paraId="48713062" w14:textId="77777777" w:rsidR="000D0AED" w:rsidRPr="000B3A92" w:rsidRDefault="000D0AED" w:rsidP="000D0AED">
            <w:pPr>
              <w:pStyle w:val="naiskr"/>
              <w:spacing w:before="0" w:after="0"/>
            </w:pPr>
          </w:p>
        </w:tc>
        <w:tc>
          <w:tcPr>
            <w:tcW w:w="576" w:type="pct"/>
          </w:tcPr>
          <w:p w14:paraId="3959F47F" w14:textId="77777777" w:rsidR="000D0AED" w:rsidRPr="000B3A92" w:rsidRDefault="000D0AED" w:rsidP="0036160E">
            <w:pPr>
              <w:pStyle w:val="naiskr"/>
              <w:spacing w:before="0" w:after="0"/>
              <w:ind w:firstLine="720"/>
            </w:pPr>
          </w:p>
        </w:tc>
        <w:tc>
          <w:tcPr>
            <w:tcW w:w="2341" w:type="pct"/>
          </w:tcPr>
          <w:p w14:paraId="4B057E42" w14:textId="77777777" w:rsidR="000D0AED" w:rsidRPr="000B3A92" w:rsidRDefault="000D0AED" w:rsidP="0036160E">
            <w:pPr>
              <w:pStyle w:val="naiskr"/>
              <w:spacing w:before="0" w:after="0"/>
              <w:ind w:firstLine="12"/>
            </w:pPr>
          </w:p>
        </w:tc>
      </w:tr>
      <w:tr w:rsidR="005636A0" w:rsidRPr="000B3A92" w14:paraId="48A3AA16" w14:textId="77777777" w:rsidTr="00EE08F7">
        <w:trPr>
          <w:trHeight w:val="285"/>
        </w:trPr>
        <w:tc>
          <w:tcPr>
            <w:tcW w:w="2084" w:type="pct"/>
          </w:tcPr>
          <w:p w14:paraId="4A45B56D" w14:textId="77777777" w:rsidR="00CB219A" w:rsidRPr="000B3A92" w:rsidRDefault="00CB219A" w:rsidP="000D0AED">
            <w:pPr>
              <w:pStyle w:val="naiskr"/>
              <w:spacing w:before="0" w:after="0"/>
            </w:pPr>
            <w:r w:rsidRPr="000B3A92">
              <w:br w:type="page"/>
              <w:t>Saskaņošanas dalībnieki izskatīja šādu ministriju (citu institūciju) iebildumus</w:t>
            </w:r>
          </w:p>
        </w:tc>
        <w:tc>
          <w:tcPr>
            <w:tcW w:w="2916" w:type="pct"/>
            <w:gridSpan w:val="2"/>
          </w:tcPr>
          <w:p w14:paraId="1A479ECC" w14:textId="6AFB7581" w:rsidR="00CB219A" w:rsidRPr="000B3A92" w:rsidRDefault="00AC6830" w:rsidP="00C0697A">
            <w:pPr>
              <w:pStyle w:val="naiskr"/>
              <w:spacing w:before="0" w:after="0"/>
              <w:jc w:val="both"/>
            </w:pPr>
            <w:r>
              <w:t>Aizsardzības ministrijas un Zemkopības ministrijas</w:t>
            </w:r>
          </w:p>
        </w:tc>
      </w:tr>
      <w:tr w:rsidR="005636A0" w:rsidRPr="000B3A92" w14:paraId="5CDABCBE" w14:textId="77777777" w:rsidTr="00EE08F7">
        <w:trPr>
          <w:trHeight w:val="465"/>
        </w:trPr>
        <w:tc>
          <w:tcPr>
            <w:tcW w:w="5000" w:type="pct"/>
            <w:gridSpan w:val="3"/>
          </w:tcPr>
          <w:p w14:paraId="112BEAC8" w14:textId="77777777" w:rsidR="007B4C0F" w:rsidRPr="000B3A92" w:rsidRDefault="007B4C0F" w:rsidP="003C27A2">
            <w:pPr>
              <w:pStyle w:val="naisc"/>
              <w:spacing w:before="0" w:after="0"/>
              <w:ind w:left="4820" w:firstLine="720"/>
            </w:pPr>
          </w:p>
        </w:tc>
      </w:tr>
      <w:tr w:rsidR="005636A0" w:rsidRPr="000B3A92" w14:paraId="1FA449CE" w14:textId="77777777" w:rsidTr="00EE08F7">
        <w:tc>
          <w:tcPr>
            <w:tcW w:w="2084" w:type="pct"/>
          </w:tcPr>
          <w:p w14:paraId="4E87A6CE" w14:textId="77777777" w:rsidR="007B4C0F" w:rsidRPr="000B3A92" w:rsidRDefault="007B4C0F" w:rsidP="0036160E">
            <w:pPr>
              <w:pStyle w:val="naiskr"/>
              <w:spacing w:before="0" w:after="0"/>
            </w:pPr>
            <w:r w:rsidRPr="000B3A92">
              <w:t>Ministrijas (citas institūcijas), kuras nav ieradušās uz sanāksmi vai kuras nav atbildējušas uz uzaicinājumu piedalīties elektroniskajā saskaņošanā</w:t>
            </w:r>
          </w:p>
        </w:tc>
        <w:tc>
          <w:tcPr>
            <w:tcW w:w="2916" w:type="pct"/>
            <w:gridSpan w:val="2"/>
          </w:tcPr>
          <w:p w14:paraId="45170840" w14:textId="7DEB57A0" w:rsidR="007B4C0F" w:rsidRPr="000B3A92" w:rsidRDefault="007B4C0F" w:rsidP="00B042F1">
            <w:pPr>
              <w:pStyle w:val="naiskr"/>
              <w:spacing w:before="0" w:after="0"/>
            </w:pPr>
          </w:p>
        </w:tc>
      </w:tr>
      <w:tr w:rsidR="005636A0" w:rsidRPr="000B3A92" w14:paraId="3B2207C3" w14:textId="77777777" w:rsidTr="00EE08F7">
        <w:tc>
          <w:tcPr>
            <w:tcW w:w="2084" w:type="pct"/>
          </w:tcPr>
          <w:p w14:paraId="7CB03368" w14:textId="77777777" w:rsidR="007B4C0F" w:rsidRPr="000B3A92" w:rsidRDefault="007B4C0F" w:rsidP="0036160E">
            <w:pPr>
              <w:pStyle w:val="naiskr"/>
              <w:spacing w:before="0" w:after="0"/>
              <w:ind w:firstLine="720"/>
            </w:pPr>
            <w:r w:rsidRPr="000B3A92">
              <w:t>  </w:t>
            </w:r>
          </w:p>
        </w:tc>
        <w:tc>
          <w:tcPr>
            <w:tcW w:w="2916" w:type="pct"/>
            <w:gridSpan w:val="2"/>
            <w:tcBorders>
              <w:top w:val="single" w:sz="6" w:space="0" w:color="000000"/>
              <w:bottom w:val="single" w:sz="6" w:space="0" w:color="000000"/>
            </w:tcBorders>
          </w:tcPr>
          <w:p w14:paraId="0EB1193E" w14:textId="77777777" w:rsidR="007B4C0F" w:rsidRPr="000B3A92" w:rsidRDefault="007B4C0F" w:rsidP="0036160E">
            <w:pPr>
              <w:pStyle w:val="naiskr"/>
              <w:spacing w:before="0" w:after="0"/>
              <w:ind w:firstLine="720"/>
            </w:pPr>
          </w:p>
        </w:tc>
      </w:tr>
    </w:tbl>
    <w:p w14:paraId="23908C13" w14:textId="77777777" w:rsidR="00362C3A" w:rsidRPr="000B3A92" w:rsidRDefault="00362C3A" w:rsidP="00184479">
      <w:pPr>
        <w:pStyle w:val="naisf"/>
        <w:spacing w:before="0" w:after="0"/>
        <w:ind w:firstLine="0"/>
        <w:jc w:val="center"/>
        <w:rPr>
          <w:b/>
        </w:rPr>
      </w:pPr>
    </w:p>
    <w:p w14:paraId="355E5837" w14:textId="77777777" w:rsidR="003A75AC" w:rsidRDefault="003A75AC" w:rsidP="00531D07">
      <w:pPr>
        <w:jc w:val="center"/>
        <w:rPr>
          <w:b/>
        </w:rPr>
      </w:pPr>
    </w:p>
    <w:p w14:paraId="41215B8F" w14:textId="77777777" w:rsidR="003A75AC" w:rsidRDefault="003A75AC" w:rsidP="00531D07">
      <w:pPr>
        <w:jc w:val="center"/>
        <w:rPr>
          <w:b/>
        </w:rPr>
      </w:pPr>
    </w:p>
    <w:p w14:paraId="75A823E6" w14:textId="77777777" w:rsidR="003A75AC" w:rsidRDefault="003A75AC" w:rsidP="00531D07">
      <w:pPr>
        <w:jc w:val="center"/>
        <w:rPr>
          <w:b/>
        </w:rPr>
      </w:pPr>
    </w:p>
    <w:p w14:paraId="2E6A1FF8" w14:textId="77777777" w:rsidR="003A75AC" w:rsidRDefault="003A75AC" w:rsidP="00531D07">
      <w:pPr>
        <w:jc w:val="center"/>
        <w:rPr>
          <w:b/>
        </w:rPr>
      </w:pPr>
    </w:p>
    <w:p w14:paraId="4F6A1A91" w14:textId="77777777" w:rsidR="003A75AC" w:rsidRDefault="003A75AC" w:rsidP="00531D07">
      <w:pPr>
        <w:jc w:val="center"/>
        <w:rPr>
          <w:b/>
        </w:rPr>
      </w:pPr>
    </w:p>
    <w:p w14:paraId="6EEDBFEF" w14:textId="77777777" w:rsidR="003A75AC" w:rsidRDefault="003A75AC" w:rsidP="00531D07">
      <w:pPr>
        <w:jc w:val="center"/>
        <w:rPr>
          <w:b/>
        </w:rPr>
      </w:pPr>
    </w:p>
    <w:p w14:paraId="56F89C2F" w14:textId="317E28C3" w:rsidR="007B4C0F" w:rsidRPr="000B3A92" w:rsidRDefault="007B4C0F" w:rsidP="00531D07">
      <w:pPr>
        <w:jc w:val="center"/>
        <w:rPr>
          <w:b/>
        </w:rPr>
      </w:pPr>
      <w:r w:rsidRPr="000B3A92">
        <w:rPr>
          <w:b/>
        </w:rPr>
        <w:lastRenderedPageBreak/>
        <w:t>II. </w:t>
      </w:r>
      <w:r w:rsidR="00134188" w:rsidRPr="000B3A92">
        <w:rPr>
          <w:b/>
        </w:rPr>
        <w:t>Jautājumi, par kuriem saskaņošanā vienošan</w:t>
      </w:r>
      <w:r w:rsidR="00144622" w:rsidRPr="000B3A92">
        <w:rPr>
          <w:b/>
        </w:rPr>
        <w:t>ā</w:t>
      </w:r>
      <w:r w:rsidR="00134188" w:rsidRPr="000B3A92">
        <w:rPr>
          <w:b/>
        </w:rPr>
        <w:t>s ir panākta</w:t>
      </w:r>
    </w:p>
    <w:p w14:paraId="1A8CA080" w14:textId="77777777" w:rsidR="00871231" w:rsidRPr="000B3A92" w:rsidRDefault="00871231" w:rsidP="00184479">
      <w:pPr>
        <w:pStyle w:val="naisf"/>
        <w:spacing w:before="0" w:after="0"/>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2316"/>
        <w:gridCol w:w="4257"/>
        <w:gridCol w:w="2904"/>
        <w:gridCol w:w="3863"/>
      </w:tblGrid>
      <w:tr w:rsidR="00BD21C4" w:rsidRPr="000B3A92" w14:paraId="3BB96F3A" w14:textId="77777777" w:rsidTr="00F316F7">
        <w:tc>
          <w:tcPr>
            <w:tcW w:w="328" w:type="pct"/>
            <w:vAlign w:val="center"/>
          </w:tcPr>
          <w:p w14:paraId="1FF617C8" w14:textId="77777777" w:rsidR="00871231" w:rsidRPr="000B3A92" w:rsidRDefault="00871231" w:rsidP="0005720D">
            <w:pPr>
              <w:pStyle w:val="naisc"/>
              <w:spacing w:before="0" w:after="0"/>
            </w:pPr>
            <w:r w:rsidRPr="000B3A92">
              <w:t>Nr. p. k.</w:t>
            </w:r>
          </w:p>
        </w:tc>
        <w:tc>
          <w:tcPr>
            <w:tcW w:w="811" w:type="pct"/>
            <w:vAlign w:val="center"/>
          </w:tcPr>
          <w:p w14:paraId="3EFB1FDC" w14:textId="77777777" w:rsidR="00871231" w:rsidRPr="000B3A92" w:rsidRDefault="00871231" w:rsidP="0005720D">
            <w:pPr>
              <w:pStyle w:val="naisc"/>
              <w:spacing w:before="0" w:after="0"/>
              <w:ind w:firstLine="12"/>
            </w:pPr>
            <w:r w:rsidRPr="000B3A92">
              <w:t>Saskaņošanai nosūtītā projekta redakcija (konkrēta punkta (panta) redakcija)</w:t>
            </w:r>
          </w:p>
        </w:tc>
        <w:tc>
          <w:tcPr>
            <w:tcW w:w="1491" w:type="pct"/>
            <w:vAlign w:val="center"/>
          </w:tcPr>
          <w:p w14:paraId="43020A59" w14:textId="77777777" w:rsidR="00871231" w:rsidRPr="000B3A92" w:rsidRDefault="00871231" w:rsidP="0005720D">
            <w:pPr>
              <w:pStyle w:val="naisc"/>
              <w:spacing w:before="0" w:after="0"/>
              <w:ind w:right="3"/>
            </w:pPr>
            <w:r w:rsidRPr="000B3A92">
              <w:t>Atzinumā norādītais ministrijas (citas institūcijas) iebildums, kā arī saskaņošanā papildus izteiktais iebildums par projekta konkrēto punktu (pantu)</w:t>
            </w:r>
          </w:p>
        </w:tc>
        <w:tc>
          <w:tcPr>
            <w:tcW w:w="1017" w:type="pct"/>
            <w:vAlign w:val="center"/>
          </w:tcPr>
          <w:p w14:paraId="4053C07D" w14:textId="77777777" w:rsidR="00871231" w:rsidRPr="000B3A92" w:rsidRDefault="00871231" w:rsidP="00CC0ABE">
            <w:pPr>
              <w:pStyle w:val="naisc"/>
              <w:spacing w:before="0" w:after="0"/>
              <w:ind w:firstLine="21"/>
            </w:pPr>
            <w:r w:rsidRPr="000B3A92">
              <w:t>Atbildīgās ministrijas norāde par to, ka iebildums ir ņemts vērā, vai informācija par saskaņošanā panākto alternatīvo risinājumu</w:t>
            </w:r>
          </w:p>
        </w:tc>
        <w:tc>
          <w:tcPr>
            <w:tcW w:w="1353" w:type="pct"/>
            <w:vAlign w:val="center"/>
          </w:tcPr>
          <w:p w14:paraId="680C522D" w14:textId="77777777" w:rsidR="00871231" w:rsidRPr="000B3A92" w:rsidRDefault="00871231" w:rsidP="0005720D">
            <w:pPr>
              <w:jc w:val="center"/>
            </w:pPr>
            <w:r w:rsidRPr="000B3A92">
              <w:t>Projekta attiecīgā punkta (panta) galīgā redakcija</w:t>
            </w:r>
          </w:p>
        </w:tc>
      </w:tr>
      <w:tr w:rsidR="00BD21C4" w:rsidRPr="000B3A92" w14:paraId="0BBF39D0" w14:textId="77777777" w:rsidTr="00F316F7">
        <w:tc>
          <w:tcPr>
            <w:tcW w:w="328" w:type="pct"/>
          </w:tcPr>
          <w:p w14:paraId="53ECC69B" w14:textId="77777777" w:rsidR="00871231" w:rsidRPr="000B3A92" w:rsidRDefault="00871231" w:rsidP="0005720D">
            <w:pPr>
              <w:pStyle w:val="naisc"/>
              <w:spacing w:before="0" w:after="0"/>
            </w:pPr>
            <w:r w:rsidRPr="000B3A92">
              <w:t>1</w:t>
            </w:r>
          </w:p>
        </w:tc>
        <w:tc>
          <w:tcPr>
            <w:tcW w:w="811" w:type="pct"/>
          </w:tcPr>
          <w:p w14:paraId="3D8C0D8A" w14:textId="77777777" w:rsidR="00871231" w:rsidRPr="000B3A92" w:rsidRDefault="00871231" w:rsidP="0005720D">
            <w:pPr>
              <w:pStyle w:val="naisc"/>
              <w:spacing w:before="0" w:after="0"/>
              <w:ind w:firstLine="720"/>
            </w:pPr>
            <w:r w:rsidRPr="000B3A92">
              <w:t>2</w:t>
            </w:r>
          </w:p>
        </w:tc>
        <w:tc>
          <w:tcPr>
            <w:tcW w:w="1491" w:type="pct"/>
          </w:tcPr>
          <w:p w14:paraId="40F029D2" w14:textId="77777777" w:rsidR="00871231" w:rsidRPr="000B3A92" w:rsidRDefault="00871231" w:rsidP="0005720D">
            <w:pPr>
              <w:pStyle w:val="naisc"/>
              <w:spacing w:before="0" w:after="0"/>
              <w:ind w:firstLine="720"/>
            </w:pPr>
            <w:r w:rsidRPr="000B3A92">
              <w:t>3</w:t>
            </w:r>
          </w:p>
        </w:tc>
        <w:tc>
          <w:tcPr>
            <w:tcW w:w="1017" w:type="pct"/>
          </w:tcPr>
          <w:p w14:paraId="58812A17" w14:textId="77777777" w:rsidR="00871231" w:rsidRPr="000B3A92" w:rsidRDefault="00871231" w:rsidP="00CC0ABE">
            <w:pPr>
              <w:pStyle w:val="naisc"/>
              <w:spacing w:before="0" w:after="0"/>
              <w:ind w:firstLine="720"/>
            </w:pPr>
            <w:r w:rsidRPr="000B3A92">
              <w:t>4</w:t>
            </w:r>
          </w:p>
        </w:tc>
        <w:tc>
          <w:tcPr>
            <w:tcW w:w="1353" w:type="pct"/>
          </w:tcPr>
          <w:p w14:paraId="6E389529" w14:textId="77777777" w:rsidR="00871231" w:rsidRPr="000B3A92" w:rsidRDefault="00871231" w:rsidP="0005720D">
            <w:pPr>
              <w:jc w:val="center"/>
            </w:pPr>
            <w:r w:rsidRPr="000B3A92">
              <w:t>5</w:t>
            </w:r>
          </w:p>
        </w:tc>
      </w:tr>
      <w:tr w:rsidR="00BD21C4" w:rsidRPr="000B3A92" w14:paraId="082DBA2A" w14:textId="77777777" w:rsidTr="00F316F7">
        <w:tc>
          <w:tcPr>
            <w:tcW w:w="328" w:type="pct"/>
            <w:tcBorders>
              <w:top w:val="single" w:sz="4" w:space="0" w:color="auto"/>
              <w:left w:val="single" w:sz="4" w:space="0" w:color="auto"/>
              <w:bottom w:val="single" w:sz="4" w:space="0" w:color="auto"/>
              <w:right w:val="single" w:sz="4" w:space="0" w:color="auto"/>
            </w:tcBorders>
          </w:tcPr>
          <w:p w14:paraId="67B2AFDA" w14:textId="5273E91B" w:rsidR="00E92E44" w:rsidRPr="000B3A92" w:rsidRDefault="00F316F7" w:rsidP="00F316F7">
            <w:pPr>
              <w:pStyle w:val="naisc"/>
              <w:spacing w:before="0" w:after="0"/>
            </w:pPr>
            <w:r>
              <w:t>1.</w:t>
            </w:r>
          </w:p>
        </w:tc>
        <w:tc>
          <w:tcPr>
            <w:tcW w:w="811" w:type="pct"/>
            <w:tcBorders>
              <w:top w:val="single" w:sz="4" w:space="0" w:color="auto"/>
              <w:left w:val="single" w:sz="4" w:space="0" w:color="auto"/>
              <w:bottom w:val="single" w:sz="4" w:space="0" w:color="auto"/>
              <w:right w:val="single" w:sz="4" w:space="0" w:color="auto"/>
            </w:tcBorders>
          </w:tcPr>
          <w:p w14:paraId="099CBF8D" w14:textId="77777777" w:rsidR="00A64B69" w:rsidRPr="00A64B69" w:rsidRDefault="00A64B69" w:rsidP="00A64B69">
            <w:pPr>
              <w:jc w:val="both"/>
            </w:pPr>
            <w:r w:rsidRPr="00A64B69">
              <w:t>Projekta 1.3.apakšpunkts</w:t>
            </w:r>
          </w:p>
          <w:p w14:paraId="4D111FFA" w14:textId="4E053B56" w:rsidR="00E92E44" w:rsidRPr="00A64B69" w:rsidRDefault="00A64B69" w:rsidP="00A64B69">
            <w:pPr>
              <w:jc w:val="both"/>
            </w:pPr>
            <w:r w:rsidRPr="00A64B69">
              <w:rPr>
                <w:bCs/>
              </w:rPr>
              <w:t>“1.3.reģistrā iekļaujamo ziņu apjomu, iekļaušanas, izmantošanas un dzēšanas kārtību, kā arī institūcijas, kurām piešķirama piekļuve reģistrā iekļautajām ziņām.”</w:t>
            </w:r>
            <w:r w:rsidRPr="00A64B69">
              <w:t xml:space="preserve"> </w:t>
            </w:r>
          </w:p>
        </w:tc>
        <w:tc>
          <w:tcPr>
            <w:tcW w:w="1491" w:type="pct"/>
            <w:tcBorders>
              <w:top w:val="single" w:sz="4" w:space="0" w:color="auto"/>
              <w:left w:val="single" w:sz="4" w:space="0" w:color="auto"/>
              <w:bottom w:val="single" w:sz="4" w:space="0" w:color="auto"/>
              <w:right w:val="single" w:sz="4" w:space="0" w:color="auto"/>
            </w:tcBorders>
          </w:tcPr>
          <w:p w14:paraId="545C5232" w14:textId="2D1B91A6" w:rsidR="00F316F7" w:rsidRDefault="00F316F7" w:rsidP="00F316F7">
            <w:pPr>
              <w:jc w:val="center"/>
            </w:pPr>
            <w:r w:rsidRPr="00F316F7">
              <w:rPr>
                <w:b/>
              </w:rPr>
              <w:t>Tieslietu ministrija</w:t>
            </w:r>
          </w:p>
          <w:p w14:paraId="2504953C" w14:textId="69AE0756" w:rsidR="000A0E64" w:rsidRPr="000B3A92" w:rsidRDefault="00CC0ABE" w:rsidP="00CC0ABE">
            <w:pPr>
              <w:jc w:val="both"/>
            </w:pPr>
            <w:r w:rsidRPr="000B3A92">
              <w:t>Lūdzam skaidrot, vai projekta 1.3. apakšpunkts attiecībā uz “reģistrā iekļaujamo ziņu apjomu” daļēji nedublē projekta 1.1. un 1.2. apakšpunktā norādīto regulējumu, nepieciešamības gadījumā precizējot projektu.</w:t>
            </w:r>
          </w:p>
        </w:tc>
        <w:tc>
          <w:tcPr>
            <w:tcW w:w="1017" w:type="pct"/>
            <w:tcBorders>
              <w:top w:val="single" w:sz="4" w:space="0" w:color="auto"/>
              <w:left w:val="single" w:sz="4" w:space="0" w:color="auto"/>
              <w:bottom w:val="single" w:sz="4" w:space="0" w:color="auto"/>
              <w:right w:val="single" w:sz="4" w:space="0" w:color="auto"/>
            </w:tcBorders>
          </w:tcPr>
          <w:p w14:paraId="678080E7" w14:textId="77777777" w:rsidR="00E92E44" w:rsidRPr="00A64B69" w:rsidRDefault="00A64B69" w:rsidP="00CC0ABE">
            <w:pPr>
              <w:pStyle w:val="naisc"/>
              <w:spacing w:before="0" w:after="0"/>
              <w:rPr>
                <w:b/>
              </w:rPr>
            </w:pPr>
            <w:r w:rsidRPr="00A64B69">
              <w:rPr>
                <w:b/>
              </w:rPr>
              <w:t>Panākta vienošanās ar Tieslietu ministriju</w:t>
            </w:r>
          </w:p>
          <w:p w14:paraId="3BDDE95A" w14:textId="58809B6C" w:rsidR="00A64B69" w:rsidRPr="00A64B69" w:rsidRDefault="00A64B69" w:rsidP="009E7B67">
            <w:pPr>
              <w:pStyle w:val="naisc"/>
              <w:spacing w:before="0" w:after="0"/>
              <w:jc w:val="both"/>
            </w:pPr>
            <w:r>
              <w:t xml:space="preserve">Atbilstoši </w:t>
            </w:r>
            <w:r w:rsidRPr="00C54E38">
              <w:t>Ministru kabineta 2009. gada 3. februāra noteikumu Nr. 108 "Normatīvo aktu projektu sagatavošanas noteikumi"</w:t>
            </w:r>
            <w:r>
              <w:t xml:space="preserve"> 100.2.apakšpunktam noteikumu projekta pirmajā punktā raksta likumā noteikto pilnvarojumu Ministru kabinetam. Ņemot vērā, to, ka projekta 1.3.apakšpunkts formulēts precīzi atbilstoši Ieroču aprites likuma 87.panta ceturtajā daļā ietvertajam deleģējumam Ministru kabineta</w:t>
            </w:r>
            <w:r w:rsidR="00B25E5D">
              <w:t xml:space="preserve">m, </w:t>
            </w:r>
            <w:r>
              <w:t>1.3.apakšpunkta redakcija būtu saglabājama Iekšlietu ministrijas piedāvātajā redakcijā.</w:t>
            </w:r>
            <w:bookmarkStart w:id="0" w:name="_GoBack"/>
            <w:bookmarkEnd w:id="0"/>
          </w:p>
        </w:tc>
        <w:tc>
          <w:tcPr>
            <w:tcW w:w="1353" w:type="pct"/>
            <w:tcBorders>
              <w:top w:val="single" w:sz="4" w:space="0" w:color="auto"/>
              <w:left w:val="single" w:sz="4" w:space="0" w:color="auto"/>
              <w:bottom w:val="single" w:sz="4" w:space="0" w:color="auto"/>
              <w:right w:val="single" w:sz="4" w:space="0" w:color="auto"/>
            </w:tcBorders>
          </w:tcPr>
          <w:p w14:paraId="4B4DF145" w14:textId="3A945AC0" w:rsidR="00A64B69" w:rsidRPr="000B3A92" w:rsidRDefault="00A64B69" w:rsidP="00CF6A65">
            <w:pPr>
              <w:jc w:val="both"/>
            </w:pPr>
            <w:r w:rsidRPr="00A64B69">
              <w:rPr>
                <w:bCs/>
              </w:rPr>
              <w:t>1.3.reģistrā iekļaujamo ziņu apjomu, iekļaušanas, izmantošanas un dzēšanas kārtību, kā arī institūcijas, kurām piešķirama piekļ</w:t>
            </w:r>
            <w:r w:rsidR="00F316F7">
              <w:rPr>
                <w:bCs/>
              </w:rPr>
              <w:t>uve reģistrā iekļautajām ziņām.</w:t>
            </w:r>
          </w:p>
        </w:tc>
      </w:tr>
      <w:tr w:rsidR="00BD21C4" w:rsidRPr="00A64B69" w14:paraId="22146C0D" w14:textId="77777777" w:rsidTr="00F316F7">
        <w:tc>
          <w:tcPr>
            <w:tcW w:w="328" w:type="pct"/>
            <w:tcBorders>
              <w:top w:val="single" w:sz="4" w:space="0" w:color="auto"/>
              <w:left w:val="single" w:sz="4" w:space="0" w:color="auto"/>
              <w:bottom w:val="single" w:sz="4" w:space="0" w:color="auto"/>
              <w:right w:val="single" w:sz="4" w:space="0" w:color="auto"/>
            </w:tcBorders>
          </w:tcPr>
          <w:p w14:paraId="5D4B856B" w14:textId="43B27C37" w:rsidR="00A207E4" w:rsidRPr="00A64B69" w:rsidRDefault="00F316F7" w:rsidP="00F316F7">
            <w:pPr>
              <w:pStyle w:val="naisc"/>
              <w:spacing w:before="0" w:after="0"/>
            </w:pPr>
            <w:r>
              <w:lastRenderedPageBreak/>
              <w:t>2.</w:t>
            </w:r>
          </w:p>
        </w:tc>
        <w:tc>
          <w:tcPr>
            <w:tcW w:w="811" w:type="pct"/>
            <w:tcBorders>
              <w:top w:val="single" w:sz="4" w:space="0" w:color="auto"/>
              <w:left w:val="single" w:sz="4" w:space="0" w:color="auto"/>
              <w:bottom w:val="single" w:sz="4" w:space="0" w:color="auto"/>
              <w:right w:val="single" w:sz="4" w:space="0" w:color="auto"/>
            </w:tcBorders>
          </w:tcPr>
          <w:p w14:paraId="354A417F" w14:textId="69CE0C18" w:rsidR="00A207E4" w:rsidRPr="00A64B69" w:rsidRDefault="00A64B69" w:rsidP="00A207E4">
            <w:pPr>
              <w:jc w:val="both"/>
            </w:pPr>
            <w:r w:rsidRPr="00A64B69">
              <w:t>Projekta 2.punkts</w:t>
            </w:r>
          </w:p>
        </w:tc>
        <w:tc>
          <w:tcPr>
            <w:tcW w:w="1491" w:type="pct"/>
            <w:tcBorders>
              <w:top w:val="single" w:sz="4" w:space="0" w:color="auto"/>
              <w:left w:val="single" w:sz="4" w:space="0" w:color="auto"/>
              <w:bottom w:val="single" w:sz="4" w:space="0" w:color="auto"/>
              <w:right w:val="single" w:sz="4" w:space="0" w:color="auto"/>
            </w:tcBorders>
          </w:tcPr>
          <w:p w14:paraId="4FD4AA19" w14:textId="77777777" w:rsidR="00F316F7" w:rsidRDefault="00F316F7" w:rsidP="00F316F7">
            <w:pPr>
              <w:jc w:val="center"/>
            </w:pPr>
            <w:r w:rsidRPr="00F316F7">
              <w:rPr>
                <w:b/>
              </w:rPr>
              <w:t>Tieslietu ministrija</w:t>
            </w:r>
          </w:p>
          <w:p w14:paraId="7CBF86FD" w14:textId="144502B1" w:rsidR="00A207E4" w:rsidRPr="00A64B69" w:rsidRDefault="00CC0ABE" w:rsidP="00F316F7">
            <w:pPr>
              <w:ind w:right="12"/>
              <w:jc w:val="both"/>
            </w:pPr>
            <w:r w:rsidRPr="00A64B69">
              <w:t xml:space="preserve">Projekta 2. punktā norādīts uz komersantiem un institūcijām, kuriem </w:t>
            </w:r>
            <w:r w:rsidRPr="00A64B69">
              <w:rPr>
                <w:u w:val="single"/>
              </w:rPr>
              <w:t>jāiekļauj</w:t>
            </w:r>
            <w:r w:rsidRPr="00A64B69">
              <w:t xml:space="preserve"> ziņas Ieroču reģistrā (turpmāk – Reģistrs). No projekta izdošanas tiesiskā pamata viennozīmīgi izriet tikai tas, ka komersanti iekļauj ziņas Reģistrā. Ievērojot minēto, lūdzam skaidrot projekta 2. punkta atbilstību projekta izdošanas tiesiskajam pamatam vai precizēt projektu. Minētais attiecas arī uz līdzīgu regulējumu citviet projektā.</w:t>
            </w:r>
          </w:p>
        </w:tc>
        <w:tc>
          <w:tcPr>
            <w:tcW w:w="1017" w:type="pct"/>
            <w:tcBorders>
              <w:top w:val="single" w:sz="4" w:space="0" w:color="auto"/>
              <w:left w:val="single" w:sz="4" w:space="0" w:color="auto"/>
              <w:bottom w:val="single" w:sz="4" w:space="0" w:color="auto"/>
              <w:right w:val="single" w:sz="4" w:space="0" w:color="auto"/>
            </w:tcBorders>
          </w:tcPr>
          <w:p w14:paraId="5AAAA0A7" w14:textId="45A65F04" w:rsidR="00A207E4" w:rsidRPr="00A64B69" w:rsidRDefault="00CC0ABE" w:rsidP="00CC0ABE">
            <w:pPr>
              <w:pStyle w:val="naisc"/>
              <w:spacing w:before="0" w:after="0"/>
            </w:pPr>
            <w:r w:rsidRPr="00A64B69">
              <w:rPr>
                <w:b/>
              </w:rPr>
              <w:t>Ņemts vērā</w:t>
            </w:r>
          </w:p>
        </w:tc>
        <w:tc>
          <w:tcPr>
            <w:tcW w:w="1353" w:type="pct"/>
            <w:tcBorders>
              <w:top w:val="single" w:sz="4" w:space="0" w:color="auto"/>
              <w:left w:val="single" w:sz="4" w:space="0" w:color="auto"/>
              <w:bottom w:val="single" w:sz="4" w:space="0" w:color="auto"/>
              <w:right w:val="single" w:sz="4" w:space="0" w:color="auto"/>
            </w:tcBorders>
          </w:tcPr>
          <w:p w14:paraId="3650455B" w14:textId="77777777" w:rsidR="00971803" w:rsidRDefault="00971803" w:rsidP="00971803">
            <w:pPr>
              <w:jc w:val="both"/>
            </w:pPr>
            <w:r>
              <w:t xml:space="preserve">Projekta </w:t>
            </w:r>
            <w:r w:rsidRPr="00C54E38">
              <w:t>sākotnējās ietekmes novērtējuma ziņojums (anotācija) precizēts atbilstoši Tieslietu ministrijas iebildumam</w:t>
            </w:r>
            <w:r>
              <w:t>.</w:t>
            </w:r>
          </w:p>
          <w:p w14:paraId="0A426F23" w14:textId="77777777" w:rsidR="00971803" w:rsidRDefault="00971803" w:rsidP="00971803">
            <w:pPr>
              <w:jc w:val="both"/>
            </w:pPr>
            <w:r>
              <w:t xml:space="preserve">“Ieroču aprites likuma 87.panta pirmā daļa nosaka, ka </w:t>
            </w:r>
          </w:p>
          <w:p w14:paraId="5EE2138A" w14:textId="7C7EC5A5" w:rsidR="00971803" w:rsidRPr="00A64B69" w:rsidRDefault="00971803" w:rsidP="00971803">
            <w:pPr>
              <w:jc w:val="both"/>
            </w:pPr>
            <w:r w:rsidRPr="00971803">
              <w:rPr>
                <w:shd w:val="clear" w:color="auto" w:fill="FFFFFF"/>
              </w:rPr>
              <w:t xml:space="preserve">Ieroču reģistrā reģistrē Latvijas fizisko un juridisko personu, valsts un pašvaldību institūciju (izņemot Nacionālo bruņoto spēku un valsts drošības iestāžu) šaujamieročus, to </w:t>
            </w:r>
            <w:r>
              <w:rPr>
                <w:shd w:val="clear" w:color="auto" w:fill="FFFFFF"/>
              </w:rPr>
              <w:t xml:space="preserve">būtiskās sastāvdaļas un munīciju. Projekta 4.punktā ir </w:t>
            </w:r>
            <w:r w:rsidRPr="00971803">
              <w:rPr>
                <w:shd w:val="clear" w:color="auto" w:fill="FFFFFF"/>
              </w:rPr>
              <w:t xml:space="preserve">norādītas tās valsts un pašvaldības iestādes, kuras sniedz ziņas reģistram, piemēram, </w:t>
            </w:r>
            <w:r w:rsidRPr="00971803">
              <w:rPr>
                <w:bCs/>
              </w:rPr>
              <w:t>Iekšlietu ministrijas sistēmas iestādes, Nodrošinājuma valsts aģentūra, Valsts ieņēmumu dienests, Ieslodzījuma vietu pārvalde un citas iestādes.”</w:t>
            </w:r>
          </w:p>
        </w:tc>
      </w:tr>
      <w:tr w:rsidR="00BD21C4" w:rsidRPr="000B3A92" w14:paraId="6D2FE889" w14:textId="77777777" w:rsidTr="00F316F7">
        <w:tc>
          <w:tcPr>
            <w:tcW w:w="328" w:type="pct"/>
            <w:tcBorders>
              <w:top w:val="single" w:sz="4" w:space="0" w:color="auto"/>
              <w:left w:val="single" w:sz="4" w:space="0" w:color="auto"/>
              <w:bottom w:val="single" w:sz="4" w:space="0" w:color="auto"/>
              <w:right w:val="single" w:sz="4" w:space="0" w:color="auto"/>
            </w:tcBorders>
          </w:tcPr>
          <w:p w14:paraId="0481FD2D" w14:textId="481F7E96" w:rsidR="00A207E4" w:rsidRPr="000B3A92" w:rsidRDefault="00F316F7" w:rsidP="00F316F7">
            <w:pPr>
              <w:pStyle w:val="naisc"/>
              <w:spacing w:before="0" w:after="0"/>
            </w:pPr>
            <w:r>
              <w:t>3.</w:t>
            </w:r>
          </w:p>
        </w:tc>
        <w:tc>
          <w:tcPr>
            <w:tcW w:w="811" w:type="pct"/>
            <w:tcBorders>
              <w:top w:val="single" w:sz="4" w:space="0" w:color="auto"/>
              <w:left w:val="single" w:sz="4" w:space="0" w:color="auto"/>
              <w:bottom w:val="single" w:sz="4" w:space="0" w:color="auto"/>
              <w:right w:val="single" w:sz="4" w:space="0" w:color="auto"/>
            </w:tcBorders>
          </w:tcPr>
          <w:p w14:paraId="09DA61A5" w14:textId="05B600D5" w:rsidR="00A207E4" w:rsidRPr="00971803" w:rsidRDefault="00971803" w:rsidP="00A207E4">
            <w:pPr>
              <w:jc w:val="both"/>
            </w:pPr>
            <w:r w:rsidRPr="00971803">
              <w:t>Projekta 4.1. līdz 4.9. apakšpunkts</w:t>
            </w:r>
          </w:p>
        </w:tc>
        <w:tc>
          <w:tcPr>
            <w:tcW w:w="1491" w:type="pct"/>
            <w:tcBorders>
              <w:top w:val="single" w:sz="4" w:space="0" w:color="auto"/>
              <w:left w:val="single" w:sz="4" w:space="0" w:color="auto"/>
              <w:bottom w:val="single" w:sz="4" w:space="0" w:color="auto"/>
              <w:right w:val="single" w:sz="4" w:space="0" w:color="auto"/>
            </w:tcBorders>
          </w:tcPr>
          <w:p w14:paraId="345B07FD" w14:textId="77777777" w:rsidR="00F316F7" w:rsidRDefault="00F316F7" w:rsidP="00F316F7">
            <w:pPr>
              <w:jc w:val="center"/>
            </w:pPr>
            <w:r w:rsidRPr="00F316F7">
              <w:rPr>
                <w:b/>
              </w:rPr>
              <w:t>Tieslietu ministrija</w:t>
            </w:r>
          </w:p>
          <w:p w14:paraId="19E0B68F" w14:textId="77659C80" w:rsidR="008612E0" w:rsidRPr="000B3A92" w:rsidRDefault="00CC0ABE" w:rsidP="00F316F7">
            <w:pPr>
              <w:ind w:right="12"/>
              <w:jc w:val="both"/>
              <w:rPr>
                <w:b/>
              </w:rPr>
            </w:pPr>
            <w:r w:rsidRPr="000B3A92">
              <w:t xml:space="preserve">Norādām, ka projekta 4.1 līdz 4.9. apakšpunkts daļēji dublē viens otru. Attiecīgi lūdzam minētās projekta vienības apvienot. Līdzīgi lūdzam precizēt projekta 23. punktu. </w:t>
            </w:r>
          </w:p>
        </w:tc>
        <w:tc>
          <w:tcPr>
            <w:tcW w:w="1017" w:type="pct"/>
            <w:tcBorders>
              <w:top w:val="single" w:sz="4" w:space="0" w:color="auto"/>
              <w:left w:val="single" w:sz="4" w:space="0" w:color="auto"/>
              <w:bottom w:val="single" w:sz="4" w:space="0" w:color="auto"/>
              <w:right w:val="single" w:sz="4" w:space="0" w:color="auto"/>
            </w:tcBorders>
          </w:tcPr>
          <w:p w14:paraId="5C74A494" w14:textId="598D187C" w:rsidR="00971803" w:rsidRDefault="00971803" w:rsidP="00971803">
            <w:pPr>
              <w:pStyle w:val="naisc"/>
              <w:spacing w:before="0" w:after="0"/>
              <w:rPr>
                <w:b/>
              </w:rPr>
            </w:pPr>
            <w:r w:rsidRPr="00A64B69">
              <w:rPr>
                <w:b/>
              </w:rPr>
              <w:t>Panākta vienošanās ar Tieslietu ministriju</w:t>
            </w:r>
          </w:p>
          <w:p w14:paraId="14F13709" w14:textId="2E4F3D5E" w:rsidR="00971803" w:rsidRPr="00A64B69" w:rsidRDefault="00971803" w:rsidP="00971803">
            <w:pPr>
              <w:pStyle w:val="naisc"/>
              <w:spacing w:before="0" w:after="0"/>
              <w:jc w:val="both"/>
              <w:rPr>
                <w:b/>
              </w:rPr>
            </w:pPr>
            <w:r w:rsidRPr="00971803">
              <w:t>Iekšlietu ministrijas skatījumā</w:t>
            </w:r>
            <w:r>
              <w:rPr>
                <w:b/>
              </w:rPr>
              <w:t xml:space="preserve"> </w:t>
            </w:r>
            <w:r>
              <w:t xml:space="preserve">projekts strukturēts tādējādi, lai nodrošinātu tajā ietvertā tiesiskā regulējuma uztveramību un nepārprotamu skaidrību. Ņemot vērā minēto, projekta 4.1. līdz 4.9.apakšpunkta redakcija </w:t>
            </w:r>
            <w:r>
              <w:lastRenderedPageBreak/>
              <w:t>būtu saglabājama Iekšlietu ministrijas piedāvātajā redakcijā.</w:t>
            </w:r>
          </w:p>
          <w:p w14:paraId="5CC84797" w14:textId="2A5D683D" w:rsidR="00A207E4" w:rsidRPr="000B3A92" w:rsidRDefault="00A207E4" w:rsidP="00CC0ABE">
            <w:pPr>
              <w:pStyle w:val="naisc"/>
              <w:spacing w:before="0" w:after="0"/>
            </w:pPr>
          </w:p>
        </w:tc>
        <w:tc>
          <w:tcPr>
            <w:tcW w:w="1353" w:type="pct"/>
            <w:tcBorders>
              <w:top w:val="single" w:sz="4" w:space="0" w:color="auto"/>
              <w:left w:val="single" w:sz="4" w:space="0" w:color="auto"/>
              <w:bottom w:val="single" w:sz="4" w:space="0" w:color="auto"/>
              <w:right w:val="single" w:sz="4" w:space="0" w:color="auto"/>
            </w:tcBorders>
          </w:tcPr>
          <w:p w14:paraId="0A6F5C2D" w14:textId="57A08F60" w:rsidR="00A207E4" w:rsidRPr="000B3A92" w:rsidRDefault="00971803" w:rsidP="005636A0">
            <w:r w:rsidRPr="00971803">
              <w:lastRenderedPageBreak/>
              <w:t>Projekta 4.1. līdz 4.9. apakšpunkts</w:t>
            </w:r>
          </w:p>
        </w:tc>
      </w:tr>
      <w:tr w:rsidR="003E69EE" w:rsidRPr="000B3A92" w14:paraId="3B5780AF" w14:textId="77777777" w:rsidTr="00F316F7">
        <w:tc>
          <w:tcPr>
            <w:tcW w:w="328" w:type="pct"/>
            <w:tcBorders>
              <w:top w:val="single" w:sz="4" w:space="0" w:color="auto"/>
              <w:left w:val="single" w:sz="4" w:space="0" w:color="auto"/>
              <w:bottom w:val="single" w:sz="4" w:space="0" w:color="auto"/>
              <w:right w:val="single" w:sz="4" w:space="0" w:color="auto"/>
            </w:tcBorders>
          </w:tcPr>
          <w:p w14:paraId="6DF6E51C" w14:textId="38C9DDB0" w:rsidR="003E69EE" w:rsidRPr="000B3A92" w:rsidRDefault="007E44F6" w:rsidP="007E44F6">
            <w:pPr>
              <w:pStyle w:val="naisc"/>
              <w:spacing w:before="0" w:after="0"/>
              <w:ind w:left="142"/>
            </w:pPr>
            <w:r>
              <w:t>4.</w:t>
            </w:r>
          </w:p>
        </w:tc>
        <w:tc>
          <w:tcPr>
            <w:tcW w:w="811" w:type="pct"/>
            <w:tcBorders>
              <w:top w:val="single" w:sz="4" w:space="0" w:color="auto"/>
              <w:left w:val="single" w:sz="4" w:space="0" w:color="auto"/>
              <w:bottom w:val="single" w:sz="4" w:space="0" w:color="auto"/>
              <w:right w:val="single" w:sz="4" w:space="0" w:color="auto"/>
            </w:tcBorders>
          </w:tcPr>
          <w:p w14:paraId="33C0616D" w14:textId="77777777" w:rsidR="003E69EE" w:rsidRPr="00971803" w:rsidRDefault="003E69EE" w:rsidP="00A207E4">
            <w:pPr>
              <w:jc w:val="both"/>
            </w:pPr>
          </w:p>
        </w:tc>
        <w:tc>
          <w:tcPr>
            <w:tcW w:w="1491" w:type="pct"/>
            <w:tcBorders>
              <w:top w:val="single" w:sz="4" w:space="0" w:color="auto"/>
              <w:left w:val="single" w:sz="4" w:space="0" w:color="auto"/>
              <w:bottom w:val="single" w:sz="4" w:space="0" w:color="auto"/>
              <w:right w:val="single" w:sz="4" w:space="0" w:color="auto"/>
            </w:tcBorders>
          </w:tcPr>
          <w:p w14:paraId="02224FB8" w14:textId="22194C21" w:rsidR="003E69EE" w:rsidRPr="003E69EE" w:rsidRDefault="003E69EE" w:rsidP="003E69EE">
            <w:pPr>
              <w:ind w:right="12"/>
              <w:jc w:val="center"/>
              <w:rPr>
                <w:b/>
              </w:rPr>
            </w:pPr>
            <w:r w:rsidRPr="003E69EE">
              <w:rPr>
                <w:b/>
              </w:rPr>
              <w:t>Aizsardzības ministrija</w:t>
            </w:r>
          </w:p>
          <w:p w14:paraId="76666EFB" w14:textId="6D982DCF" w:rsidR="003E69EE" w:rsidRPr="000B3A92" w:rsidRDefault="003E69EE" w:rsidP="003E69EE">
            <w:pPr>
              <w:ind w:right="12"/>
              <w:jc w:val="both"/>
            </w:pPr>
            <w:r w:rsidRPr="003E69EE">
              <w:t>Atbilstoši ieroču aprites likuma 94. panta pirmajai daļai Jaunsardzes centra apmācībām nepieciešamo ieroču pārveidošanas kārtību nosaka Jaunsardzes centra darbību reglamentējošie normatīvie akti.  Vēršam uzmanību, ka Nacionālo bruņoto spēku iegādātie un deaktivētie šaujamieroči, kuri netiek reģistrēti Ieroču reģistrā, tiek nodoti Jaunsardzes centram.  Atbilstoši projekta 4.7. apakšpunktam šie ieroči būtu jāreģistrē Ieroču reģistrā. Taču reģistrēt tos nebūs iespējams, ievērojot iepriekš norādīto, jo tie neatbildēs vispārējiem deaktivizācijas standartiem. Tādēļ izsakām priekšlikumu attiecīgi precizēt projektu.</w:t>
            </w:r>
          </w:p>
        </w:tc>
        <w:tc>
          <w:tcPr>
            <w:tcW w:w="1017" w:type="pct"/>
            <w:tcBorders>
              <w:top w:val="single" w:sz="4" w:space="0" w:color="auto"/>
              <w:left w:val="single" w:sz="4" w:space="0" w:color="auto"/>
              <w:bottom w:val="single" w:sz="4" w:space="0" w:color="auto"/>
              <w:right w:val="single" w:sz="4" w:space="0" w:color="auto"/>
            </w:tcBorders>
          </w:tcPr>
          <w:p w14:paraId="52BC91F6" w14:textId="1EBD7FB2" w:rsidR="003E69EE" w:rsidRPr="00A64B69" w:rsidRDefault="003E69EE" w:rsidP="00971803">
            <w:pPr>
              <w:pStyle w:val="naisc"/>
              <w:spacing w:before="0" w:after="0"/>
              <w:rPr>
                <w:b/>
              </w:rPr>
            </w:pPr>
            <w:r>
              <w:rPr>
                <w:b/>
              </w:rPr>
              <w:t>Panākta vienošanās</w:t>
            </w:r>
          </w:p>
        </w:tc>
        <w:tc>
          <w:tcPr>
            <w:tcW w:w="1353" w:type="pct"/>
            <w:tcBorders>
              <w:top w:val="single" w:sz="4" w:space="0" w:color="auto"/>
              <w:left w:val="single" w:sz="4" w:space="0" w:color="auto"/>
              <w:bottom w:val="single" w:sz="4" w:space="0" w:color="auto"/>
              <w:right w:val="single" w:sz="4" w:space="0" w:color="auto"/>
            </w:tcBorders>
          </w:tcPr>
          <w:p w14:paraId="27387119" w14:textId="77777777" w:rsidR="003E69EE" w:rsidRPr="00971803" w:rsidRDefault="003E69EE" w:rsidP="005636A0"/>
        </w:tc>
      </w:tr>
      <w:tr w:rsidR="00BD21C4" w:rsidRPr="000B3A92" w14:paraId="14AE9290" w14:textId="77777777" w:rsidTr="00F316F7">
        <w:tc>
          <w:tcPr>
            <w:tcW w:w="328" w:type="pct"/>
            <w:tcBorders>
              <w:top w:val="single" w:sz="4" w:space="0" w:color="auto"/>
              <w:left w:val="single" w:sz="4" w:space="0" w:color="auto"/>
              <w:bottom w:val="single" w:sz="4" w:space="0" w:color="auto"/>
              <w:right w:val="single" w:sz="4" w:space="0" w:color="auto"/>
            </w:tcBorders>
          </w:tcPr>
          <w:p w14:paraId="6D3FC183" w14:textId="3FF2EE25" w:rsidR="007F6D9F" w:rsidRPr="000B3A92" w:rsidRDefault="00363234" w:rsidP="00363234">
            <w:pPr>
              <w:pStyle w:val="naisc"/>
              <w:spacing w:before="0" w:after="0"/>
              <w:ind w:left="142"/>
              <w:jc w:val="both"/>
            </w:pPr>
            <w:r>
              <w:t>5.</w:t>
            </w:r>
          </w:p>
        </w:tc>
        <w:tc>
          <w:tcPr>
            <w:tcW w:w="811" w:type="pct"/>
            <w:tcBorders>
              <w:top w:val="single" w:sz="4" w:space="0" w:color="auto"/>
              <w:left w:val="single" w:sz="4" w:space="0" w:color="auto"/>
              <w:bottom w:val="single" w:sz="4" w:space="0" w:color="auto"/>
              <w:right w:val="single" w:sz="4" w:space="0" w:color="auto"/>
            </w:tcBorders>
          </w:tcPr>
          <w:p w14:paraId="41EFBB92" w14:textId="51974531" w:rsidR="007F6D9F" w:rsidRPr="00BA3577" w:rsidRDefault="00BA3577" w:rsidP="007F6D9F">
            <w:pPr>
              <w:jc w:val="both"/>
            </w:pPr>
            <w:r w:rsidRPr="00BA3577">
              <w:t xml:space="preserve">Projekta 4.11. apakšpunkts </w:t>
            </w:r>
          </w:p>
        </w:tc>
        <w:tc>
          <w:tcPr>
            <w:tcW w:w="1491" w:type="pct"/>
            <w:tcBorders>
              <w:top w:val="single" w:sz="4" w:space="0" w:color="auto"/>
              <w:left w:val="single" w:sz="4" w:space="0" w:color="auto"/>
              <w:bottom w:val="single" w:sz="4" w:space="0" w:color="auto"/>
              <w:right w:val="single" w:sz="4" w:space="0" w:color="auto"/>
            </w:tcBorders>
          </w:tcPr>
          <w:p w14:paraId="170F6848" w14:textId="77777777" w:rsidR="00363234" w:rsidRDefault="00363234" w:rsidP="00363234">
            <w:pPr>
              <w:jc w:val="center"/>
            </w:pPr>
            <w:r w:rsidRPr="00F316F7">
              <w:rPr>
                <w:b/>
              </w:rPr>
              <w:t>Tieslietu ministrija</w:t>
            </w:r>
          </w:p>
          <w:p w14:paraId="55197DCD" w14:textId="3F231E64" w:rsidR="00CC0ABE" w:rsidRPr="000B3A92" w:rsidRDefault="00CC0ABE" w:rsidP="009310F4">
            <w:pPr>
              <w:ind w:right="12"/>
              <w:jc w:val="both"/>
            </w:pPr>
            <w:r w:rsidRPr="000B3A92">
              <w:t>Nav viennozīmīgi skaidrs, kas ir projekta 4.11. apakšpunktā norādītā “komerciālā” aprite. Ievērojot minēto, lūdzam precizēt projektu, izsakot minēto normu nepārprotami. Minētais attiecas arī uz projekta 15. punktu.</w:t>
            </w:r>
          </w:p>
          <w:p w14:paraId="24FBA8FB" w14:textId="6E27092D" w:rsidR="007F6D9F" w:rsidRPr="000B3A92" w:rsidRDefault="007F6D9F" w:rsidP="007F6D9F">
            <w:pPr>
              <w:jc w:val="both"/>
            </w:pPr>
          </w:p>
        </w:tc>
        <w:tc>
          <w:tcPr>
            <w:tcW w:w="1017" w:type="pct"/>
            <w:tcBorders>
              <w:top w:val="single" w:sz="4" w:space="0" w:color="auto"/>
              <w:left w:val="single" w:sz="4" w:space="0" w:color="auto"/>
              <w:bottom w:val="single" w:sz="4" w:space="0" w:color="auto"/>
              <w:right w:val="single" w:sz="4" w:space="0" w:color="auto"/>
            </w:tcBorders>
          </w:tcPr>
          <w:p w14:paraId="09DE1A22" w14:textId="77777777" w:rsidR="00BA3577" w:rsidRDefault="00BA3577" w:rsidP="00BA3577">
            <w:pPr>
              <w:pStyle w:val="naisc"/>
              <w:spacing w:before="0" w:after="0"/>
              <w:rPr>
                <w:b/>
              </w:rPr>
            </w:pPr>
            <w:r w:rsidRPr="00A64B69">
              <w:rPr>
                <w:b/>
              </w:rPr>
              <w:t>Panākta vienošanās ar Tieslietu ministriju</w:t>
            </w:r>
          </w:p>
          <w:p w14:paraId="658E6FF6" w14:textId="284D9A84" w:rsidR="00BA3577" w:rsidRPr="00BA3577" w:rsidRDefault="00BA3577" w:rsidP="00325CE2">
            <w:pPr>
              <w:pStyle w:val="naisc"/>
              <w:spacing w:before="0" w:after="0"/>
              <w:jc w:val="both"/>
            </w:pPr>
            <w:r>
              <w:t xml:space="preserve">Ieroču aprites likuma XVI nodaļā ir iekļauti </w:t>
            </w:r>
            <w:r w:rsidRPr="00BA3577">
              <w:rPr>
                <w:bCs/>
                <w:shd w:val="clear" w:color="auto" w:fill="FFFFFF"/>
              </w:rPr>
              <w:t>Ieroču, munīcijas, to sastāvdaļu un speciālo līdzekļu komerciālās aprites nosacījumi</w:t>
            </w:r>
            <w:r>
              <w:rPr>
                <w:bCs/>
                <w:shd w:val="clear" w:color="auto" w:fill="FFFFFF"/>
              </w:rPr>
              <w:t xml:space="preserve">, līdz ar to jēdziena “komerciālā aprite” saturs izriet no minētā likuma regulējuma. </w:t>
            </w:r>
            <w:r>
              <w:rPr>
                <w:bCs/>
                <w:shd w:val="clear" w:color="auto" w:fill="FFFFFF"/>
              </w:rPr>
              <w:lastRenderedPageBreak/>
              <w:t xml:space="preserve">Ņemot vērā minēto nebūtu lietderīgi skaidrot jēdziena “komerciālā aprite” saturu projekta anotācijā. </w:t>
            </w:r>
          </w:p>
        </w:tc>
        <w:tc>
          <w:tcPr>
            <w:tcW w:w="1353" w:type="pct"/>
            <w:tcBorders>
              <w:top w:val="single" w:sz="4" w:space="0" w:color="auto"/>
              <w:left w:val="single" w:sz="4" w:space="0" w:color="auto"/>
              <w:bottom w:val="single" w:sz="4" w:space="0" w:color="auto"/>
              <w:right w:val="single" w:sz="4" w:space="0" w:color="auto"/>
            </w:tcBorders>
          </w:tcPr>
          <w:p w14:paraId="246A14D9" w14:textId="0515F28F" w:rsidR="007F6D9F" w:rsidRPr="000B3A92" w:rsidRDefault="00BA3577" w:rsidP="00BA3577">
            <w:pPr>
              <w:jc w:val="both"/>
            </w:pPr>
            <w:r w:rsidRPr="00BA3577">
              <w:lastRenderedPageBreak/>
              <w:t>Projekta 4.11. apakšpunkts</w:t>
            </w:r>
          </w:p>
        </w:tc>
      </w:tr>
      <w:tr w:rsidR="00BD21C4" w:rsidRPr="000B3A92" w14:paraId="2304921B" w14:textId="77777777" w:rsidTr="00F316F7">
        <w:tc>
          <w:tcPr>
            <w:tcW w:w="328" w:type="pct"/>
            <w:tcBorders>
              <w:top w:val="single" w:sz="4" w:space="0" w:color="auto"/>
              <w:left w:val="single" w:sz="4" w:space="0" w:color="auto"/>
              <w:bottom w:val="single" w:sz="4" w:space="0" w:color="auto"/>
              <w:right w:val="single" w:sz="4" w:space="0" w:color="auto"/>
            </w:tcBorders>
          </w:tcPr>
          <w:p w14:paraId="0CB5161A" w14:textId="0888710F" w:rsidR="00325CE2" w:rsidRPr="000B3A92" w:rsidRDefault="00CB6A1E" w:rsidP="00CB6A1E">
            <w:pPr>
              <w:pStyle w:val="naisc"/>
              <w:spacing w:before="0" w:after="0"/>
            </w:pPr>
            <w:r>
              <w:t>6.</w:t>
            </w:r>
          </w:p>
        </w:tc>
        <w:tc>
          <w:tcPr>
            <w:tcW w:w="811" w:type="pct"/>
            <w:tcBorders>
              <w:top w:val="single" w:sz="4" w:space="0" w:color="auto"/>
              <w:left w:val="single" w:sz="4" w:space="0" w:color="auto"/>
              <w:bottom w:val="single" w:sz="4" w:space="0" w:color="auto"/>
              <w:right w:val="single" w:sz="4" w:space="0" w:color="auto"/>
            </w:tcBorders>
          </w:tcPr>
          <w:p w14:paraId="1A1D8F35" w14:textId="7FC041FE" w:rsidR="00325CE2" w:rsidRPr="00823B0E" w:rsidRDefault="009310F4" w:rsidP="007F6D9F">
            <w:pPr>
              <w:jc w:val="both"/>
            </w:pPr>
            <w:r w:rsidRPr="00823B0E">
              <w:t>Projekta sākotnējās ietekmes novērtējuma ziņojums (anotācija)</w:t>
            </w:r>
          </w:p>
        </w:tc>
        <w:tc>
          <w:tcPr>
            <w:tcW w:w="1491" w:type="pct"/>
            <w:tcBorders>
              <w:top w:val="single" w:sz="4" w:space="0" w:color="auto"/>
              <w:left w:val="single" w:sz="4" w:space="0" w:color="auto"/>
              <w:bottom w:val="single" w:sz="4" w:space="0" w:color="auto"/>
              <w:right w:val="single" w:sz="4" w:space="0" w:color="auto"/>
            </w:tcBorders>
          </w:tcPr>
          <w:p w14:paraId="40B8DAF6" w14:textId="77777777" w:rsidR="00CB6A1E" w:rsidRDefault="00CB6A1E" w:rsidP="00CB6A1E">
            <w:pPr>
              <w:jc w:val="center"/>
            </w:pPr>
            <w:r w:rsidRPr="00F316F7">
              <w:rPr>
                <w:b/>
              </w:rPr>
              <w:t>Tieslietu ministrija</w:t>
            </w:r>
          </w:p>
          <w:p w14:paraId="7B0B9AB9" w14:textId="18D8D44B" w:rsidR="00325CE2" w:rsidRPr="00823B0E" w:rsidRDefault="00325CE2" w:rsidP="009310F4">
            <w:pPr>
              <w:ind w:right="12"/>
              <w:jc w:val="both"/>
            </w:pPr>
            <w:r w:rsidRPr="00823B0E">
              <w:t xml:space="preserve">Lūdzam projekta anotācijas I sadaļas 2. punktā sniegt </w:t>
            </w:r>
            <w:r w:rsidRPr="00823B0E">
              <w:rPr>
                <w:u w:val="single"/>
              </w:rPr>
              <w:t>izvērstu</w:t>
            </w:r>
            <w:r w:rsidRPr="00823B0E">
              <w:t xml:space="preserve"> skaidrojumu par visa projekta, piemēram, projekta 5., 7. un 10. punkta, atbilstību normatīvajiem aktiem datu aizsardzības jomā. Ja minēto skaidrojumu nav iespējams sniegt, lūdzam attiecīgi precizēt projektu.</w:t>
            </w:r>
          </w:p>
        </w:tc>
        <w:tc>
          <w:tcPr>
            <w:tcW w:w="1017" w:type="pct"/>
            <w:tcBorders>
              <w:top w:val="single" w:sz="4" w:space="0" w:color="auto"/>
              <w:left w:val="single" w:sz="4" w:space="0" w:color="auto"/>
              <w:bottom w:val="single" w:sz="4" w:space="0" w:color="auto"/>
              <w:right w:val="single" w:sz="4" w:space="0" w:color="auto"/>
            </w:tcBorders>
          </w:tcPr>
          <w:p w14:paraId="073BAD70" w14:textId="105F24D7" w:rsidR="00325CE2" w:rsidRPr="00823B0E" w:rsidRDefault="00325CE2" w:rsidP="00BA3577">
            <w:pPr>
              <w:pStyle w:val="naisc"/>
              <w:spacing w:before="0" w:after="0"/>
              <w:rPr>
                <w:b/>
              </w:rPr>
            </w:pPr>
            <w:r w:rsidRPr="00823B0E">
              <w:rPr>
                <w:b/>
              </w:rPr>
              <w:t>Ņemts vērā</w:t>
            </w:r>
          </w:p>
        </w:tc>
        <w:tc>
          <w:tcPr>
            <w:tcW w:w="1353" w:type="pct"/>
            <w:tcBorders>
              <w:top w:val="single" w:sz="4" w:space="0" w:color="auto"/>
              <w:left w:val="single" w:sz="4" w:space="0" w:color="auto"/>
              <w:bottom w:val="single" w:sz="4" w:space="0" w:color="auto"/>
              <w:right w:val="single" w:sz="4" w:space="0" w:color="auto"/>
            </w:tcBorders>
          </w:tcPr>
          <w:p w14:paraId="21572C86" w14:textId="28AB3B24" w:rsidR="009310F4" w:rsidRPr="00823B0E" w:rsidRDefault="009310F4" w:rsidP="009310F4">
            <w:pPr>
              <w:jc w:val="both"/>
            </w:pPr>
            <w:r w:rsidRPr="00823B0E">
              <w:t>Projekta sākotnējās ietekmes novērtējuma ziņojums (anotācija) precizēts atbilstoši Tieslietu ministrijas iebildumam.</w:t>
            </w:r>
          </w:p>
          <w:p w14:paraId="48A02555" w14:textId="77777777" w:rsidR="00823B0E" w:rsidRPr="00823B0E" w:rsidRDefault="00823B0E" w:rsidP="00823B0E">
            <w:pPr>
              <w:pStyle w:val="tv213"/>
              <w:shd w:val="clear" w:color="auto" w:fill="FFFFFF"/>
              <w:spacing w:before="0" w:beforeAutospacing="0" w:after="0" w:afterAutospacing="0"/>
              <w:ind w:firstLine="356"/>
              <w:jc w:val="both"/>
            </w:pPr>
            <w:r w:rsidRPr="00823B0E">
              <w:t>“Datu apstrādes likuma 11.panta otrās daļa 2.punkts nosaka, ka datu subjekta tiesību vai tiesisko interešu aizsardzībai pārzinis ārējos normatīvajos aktos noteiktajā kārtībā datu subjektam sniedz informāciju par personas datu glabāšanas termiņu vai, ja tas nav iespējams, kritērijiem, kas izmantoti termiņa noteikšanai.</w:t>
            </w:r>
          </w:p>
          <w:p w14:paraId="1779497A" w14:textId="33D38EED" w:rsidR="00325CE2" w:rsidRPr="00BA3577" w:rsidRDefault="00823B0E" w:rsidP="00823B0E">
            <w:pPr>
              <w:pStyle w:val="tv213"/>
              <w:shd w:val="clear" w:color="auto" w:fill="FFFFFF"/>
              <w:spacing w:before="0" w:beforeAutospacing="0" w:after="0" w:afterAutospacing="0"/>
              <w:ind w:firstLine="356"/>
              <w:jc w:val="both"/>
            </w:pPr>
            <w:r w:rsidRPr="00823B0E">
              <w:t xml:space="preserve">Projekta 30.punkts paredz, ka reģistrā iekļautās </w:t>
            </w:r>
            <w:r w:rsidRPr="00823B0E">
              <w:rPr>
                <w:bCs/>
              </w:rPr>
              <w:t xml:space="preserve">ziņas 10 gadus pēc attiecīgo šaujamieroču un to būtisko sastāvdaļu iznīcināšanas ir tiesīga izmantot Valsts policija – normatīvajos aktos ieroču aprites jomā noteikto funkciju veikšanai un muitas iestādes – normatīvajos aktos muitas jomā noteikto funkciju veikšanai. Savukārt projekta 31.punktā ir noteikts, ka  reģistrā iekļautās ziņas 30 gadus pēc attiecīgo šaujamieroču un to būtisko sastāvdaļu iznīcināšanas ir tiesīgas izmantot tās institūcijas, kuru kompetencē ir </w:t>
            </w:r>
            <w:r w:rsidRPr="00823B0E">
              <w:rPr>
                <w:bCs/>
              </w:rPr>
              <w:lastRenderedPageBreak/>
              <w:t>noziedzīgu nodarījumu novēršana, izmeklēšana, atklāšana vai saukšana pie atbildības par tiem, vai kriminālsodu izpilde. Minētie termiņi tieši izriet no Direktīvas</w:t>
            </w:r>
            <w:r w:rsidRPr="00823B0E">
              <w:t xml:space="preserve"> (ES) 2017/853 prasībām, jo tās 1.panta ietvertā 4.panta 4.punkts ceturtā ievilkuma a) apakšpunkts nosaka pienākumu dalībvalstīm glabāt attiecīgos datus līdz 10 gadiem pēc attiecīgo šaujamieroču un to būtisko sastāvdaļu iznicināšanas un nodrošināt piekļuvi šiem datiem muitas iestādēm un tām iestādēm, kas nodrošina attiecīgo atļauju izsniegšanu ieroču aprites jomā. Savukārt Direktīvas (ES) 2017/853 1.panta ietvertā 4.panta 4.punkts ceturtā ievilkuma b) apakšpunkts paredz pienākumu glābāt datus  līdz 30 gadiem un nodrošināt piekļuvi šiem datiem tām iestādēm, </w:t>
            </w:r>
            <w:r w:rsidRPr="00886A1C">
              <w:t>kuru kompetencē ir noziedzīgu nodarījumu novēršana, izmeklēšana, atklāšana vai saukšana pie atbildības par tiem, vai kriminālsodu izpilde</w:t>
            </w:r>
            <w:r w:rsidRPr="00823B0E">
              <w:t>.”</w:t>
            </w:r>
          </w:p>
        </w:tc>
      </w:tr>
      <w:tr w:rsidR="00BD21C4" w:rsidRPr="000B3A92" w14:paraId="49FB49D6" w14:textId="77777777" w:rsidTr="007720DA">
        <w:trPr>
          <w:trHeight w:val="6523"/>
        </w:trPr>
        <w:tc>
          <w:tcPr>
            <w:tcW w:w="328" w:type="pct"/>
          </w:tcPr>
          <w:p w14:paraId="08396DF7" w14:textId="65C5B9C0" w:rsidR="007F6D9F" w:rsidRPr="000B3A92" w:rsidRDefault="00E455B1" w:rsidP="00E455B1">
            <w:pPr>
              <w:pStyle w:val="naisc"/>
              <w:spacing w:before="0" w:after="0"/>
              <w:ind w:left="142"/>
              <w:jc w:val="both"/>
            </w:pPr>
            <w:r>
              <w:lastRenderedPageBreak/>
              <w:t xml:space="preserve">7. </w:t>
            </w:r>
          </w:p>
        </w:tc>
        <w:tc>
          <w:tcPr>
            <w:tcW w:w="811" w:type="pct"/>
          </w:tcPr>
          <w:p w14:paraId="1E3C536E" w14:textId="7F086E82" w:rsidR="007F6D9F" w:rsidRPr="00325CE2" w:rsidRDefault="00325CE2" w:rsidP="007F6D9F">
            <w:pPr>
              <w:jc w:val="both"/>
              <w:rPr>
                <w:iCs/>
              </w:rPr>
            </w:pPr>
            <w:r w:rsidRPr="00325CE2">
              <w:rPr>
                <w:iCs/>
              </w:rPr>
              <w:t>Projekta 5.4.apakšpunkts</w:t>
            </w:r>
          </w:p>
        </w:tc>
        <w:tc>
          <w:tcPr>
            <w:tcW w:w="1491" w:type="pct"/>
          </w:tcPr>
          <w:p w14:paraId="2B3809D7" w14:textId="77777777" w:rsidR="00E455B1" w:rsidRDefault="00E455B1" w:rsidP="00E455B1">
            <w:pPr>
              <w:jc w:val="center"/>
            </w:pPr>
            <w:r w:rsidRPr="00F316F7">
              <w:rPr>
                <w:b/>
              </w:rPr>
              <w:t>Tieslietu ministrija</w:t>
            </w:r>
          </w:p>
          <w:p w14:paraId="0B596D5E" w14:textId="29C35C47" w:rsidR="007F6D9F" w:rsidRPr="000B3A92" w:rsidRDefault="00CC0ABE" w:rsidP="00E455B1">
            <w:pPr>
              <w:ind w:right="12"/>
              <w:jc w:val="both"/>
              <w:rPr>
                <w:rFonts w:eastAsiaTheme="minorEastAsia"/>
              </w:rPr>
            </w:pPr>
            <w:r w:rsidRPr="000B3A92">
              <w:t>Nav saprotams, kas ir projekta 5.4. apakšpunktā norādītais tiesiskais statuss. Vēršam uzmanību, ka pastāv vairāki tiesiskie statusi. Attiecīgi lūdzam projekta 5.4 apakšpunktā identificēt konkrētu tiesisko statusu.</w:t>
            </w:r>
          </w:p>
        </w:tc>
        <w:tc>
          <w:tcPr>
            <w:tcW w:w="1017" w:type="pct"/>
          </w:tcPr>
          <w:p w14:paraId="2F07ED75" w14:textId="77777777" w:rsidR="00787944" w:rsidRDefault="00CC0ABE" w:rsidP="00CC0ABE">
            <w:pPr>
              <w:pStyle w:val="naisc"/>
              <w:tabs>
                <w:tab w:val="left" w:pos="0"/>
              </w:tabs>
              <w:spacing w:before="0" w:after="0"/>
              <w:rPr>
                <w:b/>
              </w:rPr>
            </w:pPr>
            <w:r w:rsidRPr="000B3A92">
              <w:rPr>
                <w:b/>
              </w:rPr>
              <w:t>Ņemts vērā</w:t>
            </w:r>
          </w:p>
          <w:p w14:paraId="00C570CA" w14:textId="077352E6" w:rsidR="00325CE2" w:rsidRPr="000B3A92" w:rsidRDefault="00325CE2" w:rsidP="00CC0ABE">
            <w:pPr>
              <w:pStyle w:val="naisc"/>
              <w:tabs>
                <w:tab w:val="left" w:pos="0"/>
              </w:tabs>
              <w:spacing w:before="0" w:after="0"/>
            </w:pPr>
          </w:p>
        </w:tc>
        <w:tc>
          <w:tcPr>
            <w:tcW w:w="1353" w:type="pct"/>
          </w:tcPr>
          <w:p w14:paraId="4CD0CB97" w14:textId="77777777" w:rsidR="00325CE2" w:rsidRDefault="00325CE2" w:rsidP="00325CE2">
            <w:pPr>
              <w:jc w:val="both"/>
            </w:pPr>
            <w:r>
              <w:t xml:space="preserve">Projekta </w:t>
            </w:r>
            <w:r w:rsidRPr="00C54E38">
              <w:t>sākotnējās ietekmes novērtējuma ziņojums (anotācija) precizēts atbilstoši Tieslietu ministrijas iebildumam</w:t>
            </w:r>
            <w:r>
              <w:t>.</w:t>
            </w:r>
          </w:p>
          <w:p w14:paraId="3184AD5B" w14:textId="7A3F1C7E" w:rsidR="007F6D9F" w:rsidRPr="000B3A92" w:rsidRDefault="00325CE2" w:rsidP="00325CE2">
            <w:pPr>
              <w:jc w:val="both"/>
            </w:pPr>
            <w:r>
              <w:t>“Fiziskajām personām ir tiesības iegādāties, glabāt, nēsāt un pārvadāt ieročus, to sastāvdaļas un tiem paredzēto munīciju, kā arī speciālos līdzekļus, ja ir izpildījušies Ieroču aprites likumā noteiktie nosacījumi (piemēram,  attiecībā uz personas vecumu, tiesisko statusu (Ieroču aprites likuma 14.pants)). Līdz ar to Ieroču reģistrā tiek ietverta informācija par minētajiem nosacījumiem, tai skaitā tiesisko statusu, proti, vai persona ir Latvijas pilsonis, Latvijas nepilsonis, Eiropas Savienības dalībvalsts pilsonis un Eiropas Ekonomikas zonas valsts pilsonis, pastāvīgās uzturēšanās atļauju Latvijas Republikā saņēmusī persona u.tml.”</w:t>
            </w:r>
          </w:p>
        </w:tc>
      </w:tr>
      <w:tr w:rsidR="00BD21C4" w:rsidRPr="000B3A92" w14:paraId="490E7D78" w14:textId="77777777" w:rsidTr="00F316F7">
        <w:tc>
          <w:tcPr>
            <w:tcW w:w="328" w:type="pct"/>
          </w:tcPr>
          <w:p w14:paraId="4F826780" w14:textId="56B0C1A9" w:rsidR="007F6D9F" w:rsidRPr="000B3A92" w:rsidRDefault="007720DA" w:rsidP="007720DA">
            <w:pPr>
              <w:pStyle w:val="naisc"/>
              <w:spacing w:before="0" w:after="0"/>
            </w:pPr>
            <w:r>
              <w:t>8.</w:t>
            </w:r>
          </w:p>
        </w:tc>
        <w:tc>
          <w:tcPr>
            <w:tcW w:w="811" w:type="pct"/>
          </w:tcPr>
          <w:p w14:paraId="26FB02CC" w14:textId="77777777" w:rsidR="007F6D9F" w:rsidRDefault="00325CE2" w:rsidP="007F6D9F">
            <w:pPr>
              <w:jc w:val="both"/>
            </w:pPr>
            <w:r w:rsidRPr="00325CE2">
              <w:rPr>
                <w:iCs/>
              </w:rPr>
              <w:t>Projekta 13.3.</w:t>
            </w:r>
            <w:r w:rsidRPr="00325CE2">
              <w:t xml:space="preserve"> apakšpunkts</w:t>
            </w:r>
          </w:p>
          <w:p w14:paraId="51E59263" w14:textId="77777777" w:rsidR="00325CE2" w:rsidRPr="00325CE2" w:rsidRDefault="00325CE2" w:rsidP="00325CE2">
            <w:r w:rsidRPr="00325CE2">
              <w:t xml:space="preserve">“13.3. </w:t>
            </w:r>
            <w:r w:rsidRPr="00325CE2">
              <w:rPr>
                <w:bCs/>
              </w:rPr>
              <w:t xml:space="preserve">izgatavotāja nosaukums (izgatavotāja zīmols) kā norādīts uz ieroča (izņemot lielas enerģijas </w:t>
            </w:r>
            <w:r w:rsidRPr="00325CE2">
              <w:rPr>
                <w:bCs/>
              </w:rPr>
              <w:lastRenderedPageBreak/>
              <w:t>pneimatiskos ieročus, kas tika laisti apritē līdz 2019.gada 03.maijam);”</w:t>
            </w:r>
          </w:p>
          <w:p w14:paraId="58C96D32" w14:textId="336E3BDB" w:rsidR="00325CE2" w:rsidRPr="00325CE2" w:rsidRDefault="00325CE2" w:rsidP="007F6D9F">
            <w:pPr>
              <w:jc w:val="both"/>
              <w:rPr>
                <w:iCs/>
              </w:rPr>
            </w:pPr>
          </w:p>
        </w:tc>
        <w:tc>
          <w:tcPr>
            <w:tcW w:w="1491" w:type="pct"/>
          </w:tcPr>
          <w:p w14:paraId="6FE475CD" w14:textId="77777777" w:rsidR="007720DA" w:rsidRDefault="007720DA" w:rsidP="007720DA">
            <w:pPr>
              <w:jc w:val="center"/>
            </w:pPr>
            <w:r w:rsidRPr="00F316F7">
              <w:rPr>
                <w:b/>
              </w:rPr>
              <w:lastRenderedPageBreak/>
              <w:t>Tieslietu ministrija</w:t>
            </w:r>
          </w:p>
          <w:p w14:paraId="426EECE2" w14:textId="1F26BCBE" w:rsidR="007F6D9F" w:rsidRPr="000B3A92" w:rsidRDefault="00CC0ABE" w:rsidP="007720DA">
            <w:pPr>
              <w:ind w:right="12"/>
              <w:jc w:val="both"/>
              <w:rPr>
                <w:rFonts w:eastAsiaTheme="minorEastAsia"/>
              </w:rPr>
            </w:pPr>
            <w:r w:rsidRPr="000B3A92">
              <w:t>Lūdzam sniegt skaidrojumu par projekta 13.3. apakšpunkta regulējumu, jo pašlaik nav saprotams, kāpēc no attiecīgās prasības izslēgti konkrēti ieroči, kas tika laisti apritē līdz 2019. gada 3. maijam.</w:t>
            </w:r>
          </w:p>
        </w:tc>
        <w:tc>
          <w:tcPr>
            <w:tcW w:w="1017" w:type="pct"/>
          </w:tcPr>
          <w:p w14:paraId="34826C26" w14:textId="174DB69D" w:rsidR="007F6D9F" w:rsidRPr="000B3A92" w:rsidRDefault="00CC0ABE" w:rsidP="00CC0ABE">
            <w:pPr>
              <w:pStyle w:val="naisc"/>
              <w:tabs>
                <w:tab w:val="left" w:pos="0"/>
              </w:tabs>
              <w:spacing w:before="0" w:after="0"/>
            </w:pPr>
            <w:r w:rsidRPr="000B3A92">
              <w:rPr>
                <w:b/>
              </w:rPr>
              <w:t>Ņemts vērā</w:t>
            </w:r>
          </w:p>
        </w:tc>
        <w:tc>
          <w:tcPr>
            <w:tcW w:w="1353" w:type="pct"/>
          </w:tcPr>
          <w:p w14:paraId="7F7F47B3" w14:textId="7722661C" w:rsidR="00325CE2" w:rsidRPr="00325CE2" w:rsidRDefault="00325CE2" w:rsidP="006A5709">
            <w:pPr>
              <w:jc w:val="both"/>
            </w:pPr>
            <w:r w:rsidRPr="00325CE2">
              <w:rPr>
                <w:iCs/>
              </w:rPr>
              <w:t>Projekta 13.3.</w:t>
            </w:r>
            <w:r w:rsidRPr="00325CE2">
              <w:t xml:space="preserve"> apakšpunkts precizēts atbilstoši Tieslietu ministrijas iebildumam “13.3. </w:t>
            </w:r>
            <w:r w:rsidRPr="00325CE2">
              <w:rPr>
                <w:bCs/>
              </w:rPr>
              <w:t>izgatavotāja nosaukums (izgatavotāja zīmols) kā norādīts uz ieroča;”</w:t>
            </w:r>
          </w:p>
          <w:p w14:paraId="0A7BC3AD" w14:textId="01018637" w:rsidR="00325CE2" w:rsidRPr="000B3A92" w:rsidRDefault="00325CE2" w:rsidP="007F6D9F"/>
        </w:tc>
      </w:tr>
      <w:tr w:rsidR="00BD21C4" w:rsidRPr="000B3A92" w14:paraId="5A425CF6" w14:textId="77777777" w:rsidTr="00F316F7">
        <w:tc>
          <w:tcPr>
            <w:tcW w:w="328" w:type="pct"/>
          </w:tcPr>
          <w:p w14:paraId="0EFF13E2" w14:textId="30EF6FCC" w:rsidR="00CC0ABE" w:rsidRPr="000B3A92" w:rsidRDefault="00747D1A" w:rsidP="00747D1A">
            <w:pPr>
              <w:pStyle w:val="naisc"/>
              <w:spacing w:before="0" w:after="0"/>
            </w:pPr>
            <w:r>
              <w:t>9.</w:t>
            </w:r>
          </w:p>
        </w:tc>
        <w:tc>
          <w:tcPr>
            <w:tcW w:w="811" w:type="pct"/>
          </w:tcPr>
          <w:p w14:paraId="6AAA8F34" w14:textId="27946029" w:rsidR="00CC0ABE" w:rsidRPr="00E94F71" w:rsidRDefault="00E94F71" w:rsidP="007F6D9F">
            <w:pPr>
              <w:jc w:val="both"/>
              <w:rPr>
                <w:iCs/>
              </w:rPr>
            </w:pPr>
            <w:r w:rsidRPr="00E94F71">
              <w:rPr>
                <w:iCs/>
              </w:rPr>
              <w:t xml:space="preserve">Projekta </w:t>
            </w:r>
            <w:r w:rsidRPr="00E94F71">
              <w:t>11. un 16. punkts</w:t>
            </w:r>
          </w:p>
        </w:tc>
        <w:tc>
          <w:tcPr>
            <w:tcW w:w="1491" w:type="pct"/>
          </w:tcPr>
          <w:p w14:paraId="62E79969" w14:textId="77777777" w:rsidR="00747D1A" w:rsidRDefault="00747D1A" w:rsidP="00747D1A">
            <w:pPr>
              <w:jc w:val="center"/>
            </w:pPr>
            <w:r w:rsidRPr="00F316F7">
              <w:rPr>
                <w:b/>
              </w:rPr>
              <w:t>Tieslietu ministrija</w:t>
            </w:r>
          </w:p>
          <w:p w14:paraId="2C44B062" w14:textId="352FAF31" w:rsidR="00CC0ABE" w:rsidRPr="000B3A92" w:rsidRDefault="00CC0ABE" w:rsidP="00747D1A">
            <w:pPr>
              <w:ind w:right="12"/>
              <w:jc w:val="both"/>
            </w:pPr>
            <w:r w:rsidRPr="000B3A92">
              <w:t>Vēršam uzmanību, ka vairākas projekta normas daļēji dublē viena otru, piemēram, projekta 11. un 16. punkts. Cik iespējams, lūdzam projektā novērst dublēšanos.</w:t>
            </w:r>
          </w:p>
        </w:tc>
        <w:tc>
          <w:tcPr>
            <w:tcW w:w="1017" w:type="pct"/>
          </w:tcPr>
          <w:p w14:paraId="38459D27" w14:textId="77777777" w:rsidR="00E94F71" w:rsidRDefault="00E94F71" w:rsidP="00E94F71">
            <w:pPr>
              <w:pStyle w:val="naisc"/>
              <w:spacing w:before="0" w:after="0"/>
              <w:rPr>
                <w:b/>
              </w:rPr>
            </w:pPr>
            <w:r w:rsidRPr="00A64B69">
              <w:rPr>
                <w:b/>
              </w:rPr>
              <w:t>Panākta vienošanās ar Tieslietu ministriju</w:t>
            </w:r>
          </w:p>
          <w:p w14:paraId="61AAC2CC" w14:textId="1506F3ED" w:rsidR="00E94F71" w:rsidRPr="00A64B69" w:rsidRDefault="00E94F71" w:rsidP="00E94F71">
            <w:pPr>
              <w:pStyle w:val="naisc"/>
              <w:spacing w:before="0" w:after="0"/>
              <w:jc w:val="both"/>
              <w:rPr>
                <w:b/>
              </w:rPr>
            </w:pPr>
            <w:r w:rsidRPr="00971803">
              <w:t>Iekšlietu ministrijas skatījumā</w:t>
            </w:r>
            <w:r>
              <w:rPr>
                <w:b/>
              </w:rPr>
              <w:t xml:space="preserve"> </w:t>
            </w:r>
            <w:r>
              <w:t xml:space="preserve">projekts strukturēts tādējādi, lai nodrošinātu tajā ietvertā tiesiskā regulējuma uztveramību un nepārprotamu skaidrību. Ņemot vērā minēto, projekta </w:t>
            </w:r>
            <w:r w:rsidRPr="00E94F71">
              <w:t>11. un 16. punkt</w:t>
            </w:r>
            <w:r>
              <w:t>a redakcija būtu saglabājama Iekšlietu ministrijas piedāvātajā redakcijā.</w:t>
            </w:r>
          </w:p>
          <w:p w14:paraId="622F680E" w14:textId="3D8F496E" w:rsidR="00CC0ABE" w:rsidRPr="000B3A92" w:rsidRDefault="00CC0ABE" w:rsidP="00CC0ABE">
            <w:pPr>
              <w:pStyle w:val="naisc"/>
              <w:tabs>
                <w:tab w:val="left" w:pos="0"/>
              </w:tabs>
              <w:spacing w:before="0" w:after="0"/>
            </w:pPr>
          </w:p>
        </w:tc>
        <w:tc>
          <w:tcPr>
            <w:tcW w:w="1353" w:type="pct"/>
          </w:tcPr>
          <w:p w14:paraId="4FB7D3BA" w14:textId="446634D2" w:rsidR="00CC0ABE" w:rsidRPr="000B3A92" w:rsidRDefault="00E94F71" w:rsidP="007F6D9F">
            <w:r w:rsidRPr="00E94F71">
              <w:rPr>
                <w:iCs/>
              </w:rPr>
              <w:t xml:space="preserve">Projekta </w:t>
            </w:r>
            <w:r w:rsidRPr="00E94F71">
              <w:t>11. un 16. punkts</w:t>
            </w:r>
          </w:p>
        </w:tc>
      </w:tr>
      <w:tr w:rsidR="00BD21C4" w:rsidRPr="000B3A92" w14:paraId="36150876" w14:textId="77777777" w:rsidTr="00F316F7">
        <w:tc>
          <w:tcPr>
            <w:tcW w:w="328" w:type="pct"/>
          </w:tcPr>
          <w:p w14:paraId="6DD15922" w14:textId="2722DFD5" w:rsidR="0034631E" w:rsidRPr="000B3A92" w:rsidRDefault="00531FFE" w:rsidP="00531FFE">
            <w:pPr>
              <w:pStyle w:val="naisc"/>
              <w:spacing w:before="0" w:after="0"/>
            </w:pPr>
            <w:r>
              <w:t>10.</w:t>
            </w:r>
          </w:p>
        </w:tc>
        <w:tc>
          <w:tcPr>
            <w:tcW w:w="811" w:type="pct"/>
          </w:tcPr>
          <w:p w14:paraId="13555F78" w14:textId="4825540B" w:rsidR="0034631E" w:rsidRPr="000B3A92" w:rsidRDefault="0034631E" w:rsidP="0034631E">
            <w:pPr>
              <w:jc w:val="both"/>
              <w:rPr>
                <w:b/>
                <w:iCs/>
              </w:rPr>
            </w:pPr>
            <w:r>
              <w:t>P</w:t>
            </w:r>
            <w:r w:rsidRPr="000B3A92">
              <w:t>rojekta 19. punkt</w:t>
            </w:r>
            <w:r>
              <w:t>s</w:t>
            </w:r>
          </w:p>
        </w:tc>
        <w:tc>
          <w:tcPr>
            <w:tcW w:w="1491" w:type="pct"/>
          </w:tcPr>
          <w:p w14:paraId="55975B44" w14:textId="77777777" w:rsidR="00531FFE" w:rsidRDefault="00531FFE" w:rsidP="00531FFE">
            <w:pPr>
              <w:jc w:val="center"/>
            </w:pPr>
            <w:r w:rsidRPr="00F316F7">
              <w:rPr>
                <w:b/>
              </w:rPr>
              <w:t>Tieslietu ministrija</w:t>
            </w:r>
          </w:p>
          <w:p w14:paraId="4D3C4AA5" w14:textId="34870D18" w:rsidR="0034631E" w:rsidRPr="000B3A92" w:rsidRDefault="0034631E" w:rsidP="00531FFE">
            <w:pPr>
              <w:ind w:right="12"/>
              <w:jc w:val="both"/>
            </w:pPr>
            <w:r w:rsidRPr="000B3A92">
              <w:t xml:space="preserve">Lūdzam projekta 19. punktā norādīt ziņu aktualizācijas termiņu, tādējādi nodrošinot skaidru un nepārprotamu tiesību normu. </w:t>
            </w:r>
          </w:p>
        </w:tc>
        <w:tc>
          <w:tcPr>
            <w:tcW w:w="1017" w:type="pct"/>
          </w:tcPr>
          <w:p w14:paraId="7B870ACE" w14:textId="10E81902" w:rsidR="0034631E" w:rsidRDefault="0034631E" w:rsidP="0034631E">
            <w:pPr>
              <w:pStyle w:val="naisc"/>
              <w:spacing w:before="0" w:after="0"/>
              <w:rPr>
                <w:b/>
              </w:rPr>
            </w:pPr>
            <w:r w:rsidRPr="00A64B69">
              <w:rPr>
                <w:b/>
              </w:rPr>
              <w:t>Panākta vienošanās ar Tieslietu ministriju</w:t>
            </w:r>
          </w:p>
          <w:p w14:paraId="1D0883CB" w14:textId="5D6464F7" w:rsidR="0034631E" w:rsidRPr="00037DC0" w:rsidRDefault="0034631E" w:rsidP="00037DC0">
            <w:pPr>
              <w:pStyle w:val="naisc"/>
              <w:spacing w:before="0" w:after="0"/>
              <w:jc w:val="both"/>
              <w:rPr>
                <w:b/>
              </w:rPr>
            </w:pPr>
            <w:r w:rsidRPr="00836E30">
              <w:t>Projekta 20. un 21.punktā ir norādīti termiņi, kādos Informācijas centrs aktualizē ziņas reģistrā, pamatojoties uz  no valsts un pašvaldību iestādēm saņemt</w:t>
            </w:r>
            <w:r w:rsidR="00836E30" w:rsidRPr="00836E30">
              <w:t>o informāciju.</w:t>
            </w:r>
          </w:p>
        </w:tc>
        <w:tc>
          <w:tcPr>
            <w:tcW w:w="1353" w:type="pct"/>
          </w:tcPr>
          <w:p w14:paraId="6AB4D324" w14:textId="6DD16ED4" w:rsidR="0034631E" w:rsidRPr="000B3A92" w:rsidRDefault="0034631E" w:rsidP="0034631E">
            <w:r>
              <w:t>P</w:t>
            </w:r>
            <w:r w:rsidRPr="000B3A92">
              <w:t>rojekta 19. punkt</w:t>
            </w:r>
            <w:r>
              <w:t>s</w:t>
            </w:r>
          </w:p>
        </w:tc>
      </w:tr>
      <w:tr w:rsidR="00BD21C4" w:rsidRPr="000B3A92" w14:paraId="287B2A7D" w14:textId="77777777" w:rsidTr="00F316F7">
        <w:tc>
          <w:tcPr>
            <w:tcW w:w="328" w:type="pct"/>
          </w:tcPr>
          <w:p w14:paraId="6E5BD24D" w14:textId="0C04383E" w:rsidR="0034631E" w:rsidRPr="000B3A92" w:rsidRDefault="00177161" w:rsidP="00177161">
            <w:pPr>
              <w:pStyle w:val="naisc"/>
              <w:spacing w:before="0" w:after="0"/>
            </w:pPr>
            <w:r>
              <w:t>11.</w:t>
            </w:r>
          </w:p>
        </w:tc>
        <w:tc>
          <w:tcPr>
            <w:tcW w:w="811" w:type="pct"/>
          </w:tcPr>
          <w:p w14:paraId="7278FDDD" w14:textId="77777777" w:rsidR="0034631E" w:rsidRDefault="00920EB0" w:rsidP="00917025">
            <w:pPr>
              <w:ind w:firstLine="720"/>
              <w:jc w:val="both"/>
            </w:pPr>
            <w:r>
              <w:t>P</w:t>
            </w:r>
            <w:r w:rsidRPr="000B3A92">
              <w:t>rojekta 23.2. apakšpunkt</w:t>
            </w:r>
            <w:r>
              <w:t>s</w:t>
            </w:r>
            <w:r w:rsidRPr="000B3A92">
              <w:t>, 29. un 30. punkt</w:t>
            </w:r>
            <w:r>
              <w:t>s</w:t>
            </w:r>
          </w:p>
          <w:p w14:paraId="4EC5E91A" w14:textId="24136A96" w:rsidR="00920EB0" w:rsidRPr="00920EB0" w:rsidRDefault="00920EB0" w:rsidP="00917025">
            <w:pPr>
              <w:pStyle w:val="ListParagraph"/>
              <w:spacing w:after="0" w:line="240" w:lineRule="auto"/>
              <w:ind w:left="0" w:firstLine="720"/>
              <w:jc w:val="both"/>
              <w:rPr>
                <w:rFonts w:ascii="Times New Roman" w:hAnsi="Times New Roman"/>
                <w:bCs/>
                <w:sz w:val="28"/>
                <w:szCs w:val="28"/>
                <w:lang w:eastAsia="lv-LV"/>
              </w:rPr>
            </w:pPr>
            <w:r>
              <w:rPr>
                <w:rFonts w:ascii="Times New Roman" w:hAnsi="Times New Roman"/>
                <w:bCs/>
                <w:sz w:val="28"/>
                <w:szCs w:val="28"/>
                <w:lang w:eastAsia="lv-LV"/>
              </w:rPr>
              <w:lastRenderedPageBreak/>
              <w:t>“</w:t>
            </w:r>
            <w:r w:rsidRPr="00920EB0">
              <w:rPr>
                <w:rFonts w:ascii="Times New Roman" w:hAnsi="Times New Roman"/>
                <w:bCs/>
                <w:sz w:val="24"/>
                <w:szCs w:val="24"/>
                <w:lang w:eastAsia="lv-LV"/>
              </w:rPr>
              <w:t>23.2. šo noteikumu 5.1., 5.2. un 5.3. apakšpunktos un 6.punktā minētās ziņas par fizisko personu, kā arī normatīvajos aktos noteiktajos gadījumos ieroča realizēšanas atļaujas numuru un izsniegšanas datumu, no kuras iegādāts šaujamierocis, tā maināmās būtiskās sastāvdaļas, lielas enerģijas pneimatiskā ierocis, gāzes ierocis un signālierocis, dezaktivēts šaujamierocis vai  šaujamieroču munīcija;”</w:t>
            </w:r>
          </w:p>
          <w:p w14:paraId="304165E6" w14:textId="77777777" w:rsidR="00920EB0" w:rsidRDefault="00920EB0" w:rsidP="00917025">
            <w:pPr>
              <w:ind w:firstLine="720"/>
              <w:rPr>
                <w:bCs/>
                <w:sz w:val="22"/>
                <w:szCs w:val="22"/>
              </w:rPr>
            </w:pPr>
          </w:p>
          <w:p w14:paraId="5DE09E84" w14:textId="3D3D9A31" w:rsidR="00920EB0" w:rsidRPr="00920EB0" w:rsidRDefault="00920EB0" w:rsidP="00917025">
            <w:pPr>
              <w:tabs>
                <w:tab w:val="left" w:pos="851"/>
              </w:tabs>
              <w:ind w:firstLine="720"/>
              <w:jc w:val="both"/>
              <w:rPr>
                <w:bCs/>
                <w:sz w:val="28"/>
                <w:szCs w:val="28"/>
              </w:rPr>
            </w:pPr>
            <w:r w:rsidRPr="00920EB0">
              <w:rPr>
                <w:bCs/>
              </w:rPr>
              <w:t>“29.Reģistrā iekļautās ziņas līdz attiecīgo šaujamieroču un to būtisko sastāvdaļu iznīcināšanai</w:t>
            </w:r>
            <w:r w:rsidRPr="00920EB0">
              <w:rPr>
                <w:bCs/>
                <w:color w:val="FF0000"/>
              </w:rPr>
              <w:t xml:space="preserve"> </w:t>
            </w:r>
            <w:r w:rsidRPr="00920EB0">
              <w:rPr>
                <w:bCs/>
              </w:rPr>
              <w:t xml:space="preserve">normatīvajos aktos noteikto funkciju veikšanai ir tiesīgas </w:t>
            </w:r>
            <w:r w:rsidRPr="00920EB0">
              <w:rPr>
                <w:bCs/>
              </w:rPr>
              <w:lastRenderedPageBreak/>
              <w:t>izmantot šādas institūcijas:”</w:t>
            </w:r>
          </w:p>
          <w:p w14:paraId="2477BA00" w14:textId="28AF085D" w:rsidR="00920EB0" w:rsidRPr="00920EB0" w:rsidRDefault="00920EB0" w:rsidP="00917025">
            <w:pPr>
              <w:pStyle w:val="ListParagraph"/>
              <w:spacing w:after="0" w:line="240" w:lineRule="auto"/>
              <w:ind w:left="0" w:firstLine="720"/>
              <w:jc w:val="both"/>
              <w:rPr>
                <w:rFonts w:ascii="Times New Roman" w:hAnsi="Times New Roman"/>
                <w:bCs/>
                <w:sz w:val="24"/>
                <w:szCs w:val="24"/>
                <w:lang w:eastAsia="lv-LV"/>
              </w:rPr>
            </w:pPr>
            <w:r>
              <w:rPr>
                <w:rFonts w:ascii="Times New Roman" w:hAnsi="Times New Roman"/>
                <w:bCs/>
                <w:sz w:val="24"/>
                <w:szCs w:val="24"/>
                <w:lang w:eastAsia="lv-LV"/>
              </w:rPr>
              <w:t>“</w:t>
            </w:r>
            <w:r w:rsidRPr="00920EB0">
              <w:rPr>
                <w:rFonts w:ascii="Times New Roman" w:hAnsi="Times New Roman"/>
                <w:bCs/>
                <w:sz w:val="24"/>
                <w:szCs w:val="24"/>
                <w:lang w:eastAsia="lv-LV"/>
              </w:rPr>
              <w:t>30.1. Valsts policija – ieroču apriti reglamentējošajos normatīvajos aktos noteikto funkciju veikšanai;</w:t>
            </w:r>
          </w:p>
          <w:p w14:paraId="539FC03E" w14:textId="3AC3EA30" w:rsidR="00920EB0" w:rsidRPr="00920EB0" w:rsidRDefault="00920EB0" w:rsidP="00917025">
            <w:pPr>
              <w:pStyle w:val="ListParagraph"/>
              <w:spacing w:after="0" w:line="240" w:lineRule="auto"/>
              <w:ind w:left="0" w:firstLine="720"/>
              <w:jc w:val="both"/>
              <w:rPr>
                <w:rFonts w:ascii="Times New Roman" w:hAnsi="Times New Roman"/>
                <w:bCs/>
                <w:sz w:val="24"/>
                <w:szCs w:val="24"/>
                <w:lang w:eastAsia="lv-LV"/>
              </w:rPr>
            </w:pPr>
            <w:r w:rsidRPr="00920EB0">
              <w:rPr>
                <w:rFonts w:ascii="Times New Roman" w:hAnsi="Times New Roman"/>
                <w:bCs/>
                <w:sz w:val="24"/>
                <w:szCs w:val="24"/>
                <w:lang w:eastAsia="lv-LV"/>
              </w:rPr>
              <w:t>30.2. muitas iestādes – normatīvajos aktos muitas jomā noteikto funkciju veikšanai.</w:t>
            </w:r>
            <w:r>
              <w:rPr>
                <w:rFonts w:ascii="Times New Roman" w:hAnsi="Times New Roman"/>
                <w:bCs/>
                <w:sz w:val="24"/>
                <w:szCs w:val="24"/>
                <w:lang w:eastAsia="lv-LV"/>
              </w:rPr>
              <w:t>”</w:t>
            </w:r>
          </w:p>
        </w:tc>
        <w:tc>
          <w:tcPr>
            <w:tcW w:w="1491" w:type="pct"/>
          </w:tcPr>
          <w:p w14:paraId="19C94E89" w14:textId="77777777" w:rsidR="00177161" w:rsidRDefault="00177161" w:rsidP="00177161">
            <w:pPr>
              <w:jc w:val="center"/>
            </w:pPr>
            <w:r w:rsidRPr="00F316F7">
              <w:rPr>
                <w:b/>
              </w:rPr>
              <w:lastRenderedPageBreak/>
              <w:t>Tieslietu ministrija</w:t>
            </w:r>
          </w:p>
          <w:p w14:paraId="329EF67F" w14:textId="6737CE4B" w:rsidR="0034631E" w:rsidRPr="000B3A92" w:rsidRDefault="0034631E" w:rsidP="00161850">
            <w:pPr>
              <w:ind w:right="12"/>
              <w:jc w:val="both"/>
            </w:pPr>
            <w:r w:rsidRPr="000B3A92">
              <w:t xml:space="preserve">Lūdzam projekta 23.2. apakšpunktā, 29. un 30. punktā norādīt atsauci uz </w:t>
            </w:r>
            <w:r w:rsidRPr="000B3A92">
              <w:lastRenderedPageBreak/>
              <w:t>konkrētiem normatīvajiem aktiem vai to jomu saskaņā ar Ministru kabineta 2009. gada 3. februāra noteikumu Nr. 108 “Normatīvo aktu projektu sagatavošanas noteikumi” 3.7. apakšnodaļu.</w:t>
            </w:r>
          </w:p>
        </w:tc>
        <w:tc>
          <w:tcPr>
            <w:tcW w:w="1017" w:type="pct"/>
          </w:tcPr>
          <w:p w14:paraId="5E66A790" w14:textId="77777777" w:rsidR="0034631E" w:rsidRDefault="0034631E" w:rsidP="0034631E">
            <w:pPr>
              <w:pStyle w:val="naisc"/>
              <w:tabs>
                <w:tab w:val="left" w:pos="0"/>
              </w:tabs>
              <w:spacing w:before="0" w:after="0"/>
              <w:rPr>
                <w:b/>
              </w:rPr>
            </w:pPr>
            <w:r w:rsidRPr="000B3A92">
              <w:rPr>
                <w:b/>
              </w:rPr>
              <w:lastRenderedPageBreak/>
              <w:t>Ņemts vērā</w:t>
            </w:r>
          </w:p>
          <w:p w14:paraId="1763362A" w14:textId="6668D2AA" w:rsidR="00920EB0" w:rsidRPr="000B3A92" w:rsidRDefault="00920EB0" w:rsidP="0034631E">
            <w:pPr>
              <w:pStyle w:val="naisc"/>
              <w:tabs>
                <w:tab w:val="left" w:pos="0"/>
              </w:tabs>
              <w:spacing w:before="0" w:after="0"/>
            </w:pPr>
          </w:p>
        </w:tc>
        <w:tc>
          <w:tcPr>
            <w:tcW w:w="1353" w:type="pct"/>
          </w:tcPr>
          <w:p w14:paraId="1C7BE4D7" w14:textId="77777777" w:rsidR="0034631E" w:rsidRDefault="00920EB0" w:rsidP="00920EB0">
            <w:r>
              <w:t>P</w:t>
            </w:r>
            <w:r w:rsidRPr="000B3A92">
              <w:t>rojekta 23.2. apakšpunkt</w:t>
            </w:r>
            <w:r>
              <w:t>s</w:t>
            </w:r>
            <w:r w:rsidRPr="000B3A92">
              <w:t>, 29. un 30. punkt</w:t>
            </w:r>
            <w:r>
              <w:t>s precizēts atbilstoši Tieslietu ministrijas  iebildumam.</w:t>
            </w:r>
          </w:p>
          <w:p w14:paraId="269ED62C" w14:textId="5C61E257" w:rsidR="00920EB0" w:rsidRPr="00920EB0" w:rsidRDefault="00920EB0" w:rsidP="00920EB0">
            <w:pPr>
              <w:pStyle w:val="ListParagraph"/>
              <w:spacing w:after="0" w:line="240" w:lineRule="auto"/>
              <w:ind w:left="30" w:hanging="30"/>
              <w:jc w:val="both"/>
              <w:rPr>
                <w:rFonts w:ascii="Times New Roman" w:hAnsi="Times New Roman"/>
                <w:bCs/>
                <w:sz w:val="24"/>
                <w:szCs w:val="24"/>
                <w:lang w:eastAsia="lv-LV"/>
              </w:rPr>
            </w:pPr>
            <w:r w:rsidRPr="00920EB0">
              <w:rPr>
                <w:rFonts w:ascii="Times New Roman" w:hAnsi="Times New Roman"/>
                <w:bCs/>
                <w:sz w:val="24"/>
                <w:szCs w:val="24"/>
                <w:lang w:eastAsia="lv-LV"/>
              </w:rPr>
              <w:lastRenderedPageBreak/>
              <w:t>“23.2. šo noteikumu 5.1., 5.2. un 5.3. apakšpunktos un 6.punktā minētās zi</w:t>
            </w:r>
            <w:r>
              <w:rPr>
                <w:rFonts w:ascii="Times New Roman" w:hAnsi="Times New Roman"/>
                <w:bCs/>
                <w:sz w:val="24"/>
                <w:szCs w:val="24"/>
                <w:lang w:eastAsia="lv-LV"/>
              </w:rPr>
              <w:t xml:space="preserve">ņas par fizisko personu, kā arī </w:t>
            </w:r>
            <w:r w:rsidRPr="00920EB0">
              <w:rPr>
                <w:rFonts w:ascii="Times New Roman" w:hAnsi="Times New Roman"/>
                <w:bCs/>
                <w:sz w:val="24"/>
                <w:szCs w:val="24"/>
                <w:lang w:eastAsia="lv-LV"/>
              </w:rPr>
              <w:t>normatīvajos aktos</w:t>
            </w:r>
            <w:r>
              <w:rPr>
                <w:rFonts w:ascii="Times New Roman" w:hAnsi="Times New Roman"/>
                <w:bCs/>
                <w:sz w:val="24"/>
                <w:szCs w:val="24"/>
                <w:lang w:eastAsia="lv-LV"/>
              </w:rPr>
              <w:t xml:space="preserve"> </w:t>
            </w:r>
            <w:r>
              <w:rPr>
                <w:rFonts w:ascii="Times New Roman" w:hAnsi="Times New Roman"/>
                <w:bCs/>
                <w:sz w:val="24"/>
                <w:szCs w:val="24"/>
                <w:u w:val="single"/>
                <w:lang w:eastAsia="lv-LV"/>
              </w:rPr>
              <w:t>ieroču aprites jomā</w:t>
            </w:r>
            <w:r w:rsidRPr="00920EB0">
              <w:rPr>
                <w:rFonts w:ascii="Times New Roman" w:hAnsi="Times New Roman"/>
                <w:bCs/>
                <w:sz w:val="24"/>
                <w:szCs w:val="24"/>
                <w:lang w:eastAsia="lv-LV"/>
              </w:rPr>
              <w:t xml:space="preserve"> noteiktajos gadījumos ieroča realizēšanas atļaujas numuru un izsniegšanas datumu, no kuras iegādāts šaujamierocis, tā maināmās būtiskās sastāvdaļas, lielas enerģijas pneimatiskā ierocis, gāzes ierocis un signālierocis, dezaktivēts šaujamierocis vai  šaujamieroču munīcija;”</w:t>
            </w:r>
          </w:p>
          <w:p w14:paraId="16419D6E" w14:textId="0E8FE304" w:rsidR="00920EB0" w:rsidRPr="00920EB0" w:rsidRDefault="00920EB0" w:rsidP="00920EB0">
            <w:pPr>
              <w:tabs>
                <w:tab w:val="left" w:pos="851"/>
              </w:tabs>
              <w:jc w:val="both"/>
              <w:rPr>
                <w:bCs/>
              </w:rPr>
            </w:pPr>
            <w:r>
              <w:rPr>
                <w:bCs/>
              </w:rPr>
              <w:t>“</w:t>
            </w:r>
            <w:r w:rsidRPr="00920EB0">
              <w:rPr>
                <w:bCs/>
              </w:rPr>
              <w:t>29.Reģistrā iekļautās ziņas līdz attiecīgo šaujamieroču un to būtisko sastāvdaļu iznīcināšanai</w:t>
            </w:r>
            <w:r w:rsidRPr="00920EB0">
              <w:rPr>
                <w:bCs/>
                <w:color w:val="FF0000"/>
              </w:rPr>
              <w:t xml:space="preserve"> </w:t>
            </w:r>
            <w:r w:rsidRPr="00920EB0">
              <w:rPr>
                <w:bCs/>
              </w:rPr>
              <w:t>ir tiesīgas izmantot šādas institūcijas:”</w:t>
            </w:r>
          </w:p>
          <w:p w14:paraId="666EF220" w14:textId="628523DB" w:rsidR="00920EB0" w:rsidRPr="00920EB0" w:rsidRDefault="00920EB0" w:rsidP="00920EB0">
            <w:pPr>
              <w:pStyle w:val="ListParagraph"/>
              <w:spacing w:after="0" w:line="240" w:lineRule="auto"/>
              <w:ind w:left="0" w:firstLine="360"/>
              <w:jc w:val="both"/>
              <w:rPr>
                <w:rFonts w:ascii="Times New Roman" w:hAnsi="Times New Roman"/>
                <w:bCs/>
                <w:sz w:val="24"/>
                <w:szCs w:val="24"/>
                <w:lang w:eastAsia="lv-LV"/>
              </w:rPr>
            </w:pPr>
            <w:r w:rsidRPr="00920EB0">
              <w:rPr>
                <w:rFonts w:ascii="Times New Roman" w:hAnsi="Times New Roman"/>
                <w:bCs/>
                <w:sz w:val="24"/>
                <w:szCs w:val="24"/>
                <w:lang w:eastAsia="lv-LV"/>
              </w:rPr>
              <w:t xml:space="preserve">“30.1. Valsts policija – normatīvajos aktos </w:t>
            </w:r>
            <w:r w:rsidRPr="00920EB0">
              <w:rPr>
                <w:rFonts w:ascii="Times New Roman" w:hAnsi="Times New Roman"/>
                <w:bCs/>
                <w:sz w:val="24"/>
                <w:szCs w:val="24"/>
                <w:u w:val="single"/>
                <w:lang w:eastAsia="lv-LV"/>
              </w:rPr>
              <w:t>ieroču aprites jomā noteikto funkciju veikšanai</w:t>
            </w:r>
            <w:r w:rsidRPr="00920EB0">
              <w:rPr>
                <w:rFonts w:ascii="Times New Roman" w:hAnsi="Times New Roman"/>
                <w:bCs/>
                <w:sz w:val="24"/>
                <w:szCs w:val="24"/>
                <w:lang w:eastAsia="lv-LV"/>
              </w:rPr>
              <w:t>;</w:t>
            </w:r>
          </w:p>
          <w:p w14:paraId="494BA87D" w14:textId="5365C81B" w:rsidR="00920EB0" w:rsidRPr="00920EB0" w:rsidRDefault="00920EB0" w:rsidP="00920EB0">
            <w:pPr>
              <w:pStyle w:val="ListParagraph"/>
              <w:spacing w:after="0" w:line="240" w:lineRule="auto"/>
              <w:ind w:left="0" w:firstLine="360"/>
              <w:jc w:val="both"/>
              <w:rPr>
                <w:rFonts w:ascii="Times New Roman" w:hAnsi="Times New Roman"/>
                <w:bCs/>
                <w:sz w:val="24"/>
                <w:szCs w:val="24"/>
                <w:lang w:eastAsia="lv-LV"/>
              </w:rPr>
            </w:pPr>
            <w:r w:rsidRPr="00920EB0">
              <w:rPr>
                <w:rFonts w:ascii="Times New Roman" w:hAnsi="Times New Roman"/>
                <w:bCs/>
                <w:sz w:val="24"/>
                <w:szCs w:val="24"/>
                <w:lang w:eastAsia="lv-LV"/>
              </w:rPr>
              <w:t>30.2. muitas iestādes – normatīvajos aktos muitas jomā noteikto funkciju veikšanai.”</w:t>
            </w:r>
          </w:p>
          <w:p w14:paraId="768BAEB4" w14:textId="77777777" w:rsidR="00920EB0" w:rsidRDefault="00920EB0" w:rsidP="00920EB0">
            <w:pPr>
              <w:pStyle w:val="ListParagraph"/>
              <w:ind w:left="360"/>
              <w:jc w:val="both"/>
              <w:rPr>
                <w:rFonts w:ascii="Times New Roman" w:hAnsi="Times New Roman"/>
                <w:bCs/>
                <w:sz w:val="28"/>
                <w:szCs w:val="28"/>
                <w:lang w:eastAsia="lv-LV"/>
              </w:rPr>
            </w:pPr>
          </w:p>
          <w:p w14:paraId="4104D7A3" w14:textId="77777777" w:rsidR="00920EB0" w:rsidRPr="00920EB0" w:rsidRDefault="00920EB0" w:rsidP="00920EB0">
            <w:pPr>
              <w:tabs>
                <w:tab w:val="left" w:pos="851"/>
              </w:tabs>
              <w:spacing w:after="160" w:line="256" w:lineRule="auto"/>
              <w:jc w:val="both"/>
              <w:rPr>
                <w:bCs/>
              </w:rPr>
            </w:pPr>
          </w:p>
          <w:p w14:paraId="54219C6F" w14:textId="6014E401" w:rsidR="00920EB0" w:rsidRPr="000B3A92" w:rsidRDefault="00920EB0" w:rsidP="00920EB0"/>
        </w:tc>
      </w:tr>
      <w:tr w:rsidR="00BD21C4" w:rsidRPr="000B3A92" w14:paraId="2F529DA8" w14:textId="77777777" w:rsidTr="00F316F7">
        <w:tc>
          <w:tcPr>
            <w:tcW w:w="328" w:type="pct"/>
          </w:tcPr>
          <w:p w14:paraId="7ED3B263" w14:textId="624C3B81" w:rsidR="00917025" w:rsidRPr="000B3A92" w:rsidRDefault="00BD21C4" w:rsidP="00BD21C4">
            <w:pPr>
              <w:pStyle w:val="naisc"/>
              <w:spacing w:before="0" w:after="0"/>
            </w:pPr>
            <w:r>
              <w:lastRenderedPageBreak/>
              <w:t>12.</w:t>
            </w:r>
          </w:p>
        </w:tc>
        <w:tc>
          <w:tcPr>
            <w:tcW w:w="811" w:type="pct"/>
          </w:tcPr>
          <w:p w14:paraId="1A6F75E8" w14:textId="77777777" w:rsidR="00917025" w:rsidRDefault="00917025" w:rsidP="00920EB0">
            <w:pPr>
              <w:jc w:val="both"/>
            </w:pPr>
          </w:p>
        </w:tc>
        <w:tc>
          <w:tcPr>
            <w:tcW w:w="1491" w:type="pct"/>
          </w:tcPr>
          <w:p w14:paraId="75229D2F" w14:textId="10ADC67F" w:rsidR="00917025" w:rsidRPr="00917025" w:rsidRDefault="00917025" w:rsidP="00917025">
            <w:pPr>
              <w:ind w:right="12"/>
              <w:jc w:val="center"/>
              <w:rPr>
                <w:b/>
              </w:rPr>
            </w:pPr>
            <w:r w:rsidRPr="00917025">
              <w:rPr>
                <w:b/>
              </w:rPr>
              <w:t>Aizsardzības ministrija</w:t>
            </w:r>
          </w:p>
          <w:p w14:paraId="4BBD535D" w14:textId="1C0E8C21" w:rsidR="00917025" w:rsidRDefault="00917025" w:rsidP="00917025">
            <w:pPr>
              <w:ind w:right="12"/>
              <w:jc w:val="both"/>
            </w:pPr>
            <w:r>
              <w:t xml:space="preserve">  Ieroču aprites likuma 83. pants nosaka pienākumu ieroču komersantiem ievadīt ziņas Ieroču reģistrā. Izskatot likumprojektu “Ieroču aprites likums” (nr. 55/lp13) atbildīgajā Saeimas komisijā pirms Saeimas otrā un trešā lasījuma, starp Iekšlietu ministriju (turpmāk – IeM) un AM tika panākta vienošanās, ka likuma 83. panta nosacījumi par pienākumu ievadīt ziņas Ieroču reģistrā nākotnē tiks attiecināti arī uz ieroču komersantiem, kuriem ir AM izsniegts militārā ražotāja sertifikāts, jo AM nav lietderīgi izstrādāt savu atsevišķu ieroču reģistru dažu militāro ražotāju vajadzībām. Pagaidu risinājums tika iekļauts Ieroču aprites likuma 83. panta otrajā daļā, nosakot, ka ieroču komersants, kuram ir izsniegts </w:t>
            </w:r>
            <w:r>
              <w:lastRenderedPageBreak/>
              <w:t xml:space="preserve">militārā ražotāja sertifikāts, šā sertifikāta īpašajos nosacījumos noteiktajā kārtībā sniedz Aizsardzības ministrijai informāciju, kas ļauj identificēt un izsekot visus tā izgatavotos, iegādātos un realizētos militāros ieročus un speciālos līdzekļus. Papildus likumprojekta “Ieroču aprites likums” (nr. 55/lp13) anotācija tika papildināta ar norādi, ka Ieroču aprites likuma prasības tiek attiecinātas arī uz AM licencētiem komersantiem, ciktāl citā normatīvā aktā skaidri nav noteiks savādāk. </w:t>
            </w:r>
          </w:p>
          <w:p w14:paraId="39340215" w14:textId="77777777" w:rsidR="00917025" w:rsidRDefault="00917025" w:rsidP="00917025">
            <w:pPr>
              <w:ind w:right="12"/>
              <w:jc w:val="both"/>
            </w:pPr>
            <w:r>
              <w:t>Informējam, ka AM neplāno uzlikt par pienākumu visiem AM sertificētiem militārajiem ražotājiem ievadīt ziņas Ieroču reģistrā. Par tiem, kuriem šādas prasības AM plāno noteikt, izmantojot spēkā esošajā Ieroču aprites likumā paredzētos militārā ražotāja sertifikāta īpašos nosacījumus, AM ir gatava informēt IeM un IeM Informācijas centru katrā atsevišķā gadījumā.</w:t>
            </w:r>
          </w:p>
          <w:p w14:paraId="1B40BDAB" w14:textId="77777777" w:rsidR="00917025" w:rsidRDefault="00917025" w:rsidP="00917025">
            <w:pPr>
              <w:ind w:right="12"/>
              <w:jc w:val="both"/>
            </w:pPr>
            <w:r>
              <w:t xml:space="preserve">Aizsardzības ministrija 2019. gada 27. novembra vēstulē Nr. MV-N/2904 “Par likumprojektu "Grozījumi Ieroču aprites likumā" (VSS-1108)” lūgusi precizēt Ieroču aprites likumu, lai radītu tiesības AM sertificētajiem militārajiem ražotājiem ievadīt Ieroču reģistrā noteiktās ziņas. Ņemot vērā iepriekš </w:t>
            </w:r>
            <w:r>
              <w:lastRenderedPageBreak/>
              <w:t>minēto,  lūdzu veikt šādus precizējumus noteikumu projektā:</w:t>
            </w:r>
          </w:p>
          <w:p w14:paraId="1DB8FB07" w14:textId="77777777" w:rsidR="00917025" w:rsidRDefault="00917025" w:rsidP="00917025">
            <w:pPr>
              <w:ind w:right="12"/>
              <w:jc w:val="both"/>
            </w:pPr>
            <w:r>
              <w:t>1. izteikt 4.11. punktu šādā redakcijā:</w:t>
            </w:r>
          </w:p>
          <w:p w14:paraId="5C82EDF8" w14:textId="77777777" w:rsidR="00917025" w:rsidRDefault="00917025" w:rsidP="00917025">
            <w:pPr>
              <w:ind w:right="12"/>
              <w:jc w:val="both"/>
            </w:pPr>
            <w:r>
              <w:t>“4.11. ieroču komersanti un ieroču komersanti, kuriem ir izsniegts militārā ražotāja sertifikāts, par komerciālā apritē esošiem ieročiem, šaujamieroču būtiskajām sastāvdaļām, munīciju, šaujampulveri, dezaktivētiem šaujamieročiem un lielas enerģijas pneimatiskiem ieročiem;”</w:t>
            </w:r>
          </w:p>
          <w:p w14:paraId="25F0264D" w14:textId="77777777" w:rsidR="00917025" w:rsidRDefault="00917025" w:rsidP="00917025">
            <w:pPr>
              <w:ind w:right="12"/>
              <w:jc w:val="both"/>
            </w:pPr>
            <w:r>
              <w:t>2. papildināt noteikumu projektu ar 31.13. apakšpunktu šādā redakcijā:</w:t>
            </w:r>
          </w:p>
          <w:p w14:paraId="410AF529" w14:textId="08FA1E56" w:rsidR="00917025" w:rsidRPr="000B3A92" w:rsidRDefault="00917025" w:rsidP="00917025">
            <w:pPr>
              <w:ind w:right="12"/>
              <w:jc w:val="both"/>
            </w:pPr>
            <w:r>
              <w:t xml:space="preserve">      “31.12. Aizsardzības ministrija”.</w:t>
            </w:r>
          </w:p>
        </w:tc>
        <w:tc>
          <w:tcPr>
            <w:tcW w:w="1017" w:type="pct"/>
          </w:tcPr>
          <w:p w14:paraId="5C6C025B" w14:textId="606F226C" w:rsidR="00917025" w:rsidRPr="000B3A92" w:rsidRDefault="00917025" w:rsidP="0034631E">
            <w:pPr>
              <w:pStyle w:val="naisc"/>
              <w:tabs>
                <w:tab w:val="left" w:pos="0"/>
              </w:tabs>
              <w:spacing w:before="0" w:after="0"/>
              <w:rPr>
                <w:b/>
              </w:rPr>
            </w:pPr>
            <w:r>
              <w:rPr>
                <w:b/>
              </w:rPr>
              <w:lastRenderedPageBreak/>
              <w:t>Panākta vienošanās</w:t>
            </w:r>
          </w:p>
        </w:tc>
        <w:tc>
          <w:tcPr>
            <w:tcW w:w="1353" w:type="pct"/>
          </w:tcPr>
          <w:p w14:paraId="36A33C71" w14:textId="51B777BE" w:rsidR="00917025" w:rsidRDefault="00A47D68" w:rsidP="00920EB0">
            <w:r>
              <w:t>29.20. Aizsardzības min</w:t>
            </w:r>
            <w:r w:rsidR="00181B78">
              <w:t>istrija</w:t>
            </w:r>
          </w:p>
        </w:tc>
      </w:tr>
      <w:tr w:rsidR="0032014B" w:rsidRPr="000B3A92" w14:paraId="13DD264B" w14:textId="77777777" w:rsidTr="00F316F7">
        <w:tc>
          <w:tcPr>
            <w:tcW w:w="328" w:type="pct"/>
          </w:tcPr>
          <w:p w14:paraId="1FEC1D2E" w14:textId="0546865B" w:rsidR="0032014B" w:rsidRDefault="0032014B" w:rsidP="00BD21C4">
            <w:pPr>
              <w:pStyle w:val="naisc"/>
              <w:spacing w:before="0" w:after="0"/>
            </w:pPr>
            <w:r>
              <w:lastRenderedPageBreak/>
              <w:t>13.</w:t>
            </w:r>
          </w:p>
        </w:tc>
        <w:tc>
          <w:tcPr>
            <w:tcW w:w="811" w:type="pct"/>
          </w:tcPr>
          <w:p w14:paraId="4028418E" w14:textId="77777777" w:rsidR="0032014B" w:rsidRDefault="0032014B" w:rsidP="00920EB0">
            <w:pPr>
              <w:jc w:val="both"/>
            </w:pPr>
          </w:p>
        </w:tc>
        <w:tc>
          <w:tcPr>
            <w:tcW w:w="1491" w:type="pct"/>
          </w:tcPr>
          <w:p w14:paraId="542CB28C" w14:textId="77777777" w:rsidR="0032014B" w:rsidRPr="0032014B" w:rsidRDefault="0032014B" w:rsidP="0032014B">
            <w:pPr>
              <w:pStyle w:val="NoSpacing"/>
              <w:widowControl/>
              <w:jc w:val="center"/>
              <w:rPr>
                <w:rFonts w:ascii="Times New Roman" w:hAnsi="Times New Roman"/>
                <w:sz w:val="24"/>
                <w:szCs w:val="24"/>
              </w:rPr>
            </w:pPr>
            <w:r w:rsidRPr="0032014B">
              <w:rPr>
                <w:rFonts w:ascii="Times New Roman" w:hAnsi="Times New Roman"/>
                <w:b/>
                <w:sz w:val="24"/>
                <w:szCs w:val="24"/>
              </w:rPr>
              <w:t>Zemkopības ministrija</w:t>
            </w:r>
          </w:p>
          <w:p w14:paraId="6367C83D" w14:textId="51CA96E6" w:rsidR="0032014B" w:rsidRPr="00917025" w:rsidRDefault="0032014B" w:rsidP="0032014B">
            <w:pPr>
              <w:ind w:right="12"/>
              <w:jc w:val="both"/>
              <w:rPr>
                <w:b/>
              </w:rPr>
            </w:pPr>
            <w:r>
              <w:t>Lūdzam papildināt projekta 29.punktu ar 29.19.apakšpunktu sekojošā redakcijā: “29.19. Valsts meža dienests.” Valsts meža dienestam savu funkciju īstenošanai nepieciešama likumīgi iegūstama un pārbaudāma aktuālā informācija par medniekiem reģistrētajiem šaujamieročiem un lielas jaudas pneimatiskajiem ieročiem. Piemēram, tādā veidā var tikt nodrošināta adekvāta kontrole ieroču nodošanas gadījumos medībās, kad personai ir uz rokas anulēta papīra formāta ieroču glabāšanas atļauja.</w:t>
            </w:r>
          </w:p>
        </w:tc>
        <w:tc>
          <w:tcPr>
            <w:tcW w:w="1017" w:type="pct"/>
          </w:tcPr>
          <w:p w14:paraId="1F79BC55" w14:textId="55DE962D" w:rsidR="0032014B" w:rsidRDefault="00A47D68" w:rsidP="0034631E">
            <w:pPr>
              <w:pStyle w:val="naisc"/>
              <w:tabs>
                <w:tab w:val="left" w:pos="0"/>
              </w:tabs>
              <w:spacing w:before="0" w:after="0"/>
              <w:rPr>
                <w:b/>
              </w:rPr>
            </w:pPr>
            <w:r>
              <w:rPr>
                <w:b/>
              </w:rPr>
              <w:t>Ņemts vērā</w:t>
            </w:r>
          </w:p>
        </w:tc>
        <w:tc>
          <w:tcPr>
            <w:tcW w:w="1353" w:type="pct"/>
          </w:tcPr>
          <w:p w14:paraId="1C3AB923" w14:textId="0B1CF08F" w:rsidR="0032014B" w:rsidRDefault="00A47D68" w:rsidP="00920EB0">
            <w:r w:rsidRPr="00A47D68">
              <w:t xml:space="preserve">29.19. </w:t>
            </w:r>
            <w:r>
              <w:t>Valsts meža dienests.</w:t>
            </w:r>
          </w:p>
        </w:tc>
      </w:tr>
      <w:tr w:rsidR="00177161" w:rsidRPr="000B3A92" w14:paraId="4C14E69F" w14:textId="77777777" w:rsidTr="00F316F7">
        <w:tc>
          <w:tcPr>
            <w:tcW w:w="328" w:type="pct"/>
          </w:tcPr>
          <w:p w14:paraId="4E6A4DE0" w14:textId="64F9AA41" w:rsidR="00553C3D" w:rsidRPr="000B3A92" w:rsidRDefault="0032014B" w:rsidP="00074CF7">
            <w:pPr>
              <w:pStyle w:val="naisc"/>
              <w:spacing w:before="0" w:after="0"/>
            </w:pPr>
            <w:r>
              <w:t>14</w:t>
            </w:r>
            <w:r w:rsidR="00074CF7">
              <w:t>.</w:t>
            </w:r>
          </w:p>
        </w:tc>
        <w:tc>
          <w:tcPr>
            <w:tcW w:w="811" w:type="pct"/>
          </w:tcPr>
          <w:p w14:paraId="5F3A590C" w14:textId="77777777" w:rsidR="00553C3D" w:rsidRDefault="00553C3D" w:rsidP="00553C3D">
            <w:pPr>
              <w:jc w:val="both"/>
            </w:pPr>
          </w:p>
        </w:tc>
        <w:tc>
          <w:tcPr>
            <w:tcW w:w="1491" w:type="pct"/>
            <w:tcBorders>
              <w:top w:val="single" w:sz="6" w:space="0" w:color="000000"/>
              <w:left w:val="single" w:sz="6" w:space="0" w:color="000000"/>
              <w:bottom w:val="single" w:sz="6" w:space="0" w:color="000000"/>
              <w:right w:val="single" w:sz="6" w:space="0" w:color="000000"/>
            </w:tcBorders>
          </w:tcPr>
          <w:p w14:paraId="15632EDE" w14:textId="0A1EA1C5" w:rsidR="00553C3D" w:rsidRPr="00841757" w:rsidRDefault="00553C3D" w:rsidP="00480646">
            <w:pPr>
              <w:pStyle w:val="NoSpacing"/>
              <w:widowControl/>
              <w:jc w:val="center"/>
              <w:rPr>
                <w:rFonts w:ascii="Times New Roman" w:hAnsi="Times New Roman"/>
                <w:b/>
                <w:sz w:val="24"/>
                <w:szCs w:val="24"/>
              </w:rPr>
            </w:pPr>
            <w:r w:rsidRPr="00841757">
              <w:rPr>
                <w:rFonts w:ascii="Times New Roman" w:hAnsi="Times New Roman"/>
                <w:b/>
                <w:sz w:val="24"/>
                <w:szCs w:val="24"/>
              </w:rPr>
              <w:t>Zemkopības ministrija</w:t>
            </w:r>
          </w:p>
          <w:p w14:paraId="1909C73A" w14:textId="77777777" w:rsidR="00553C3D" w:rsidRDefault="00553C3D" w:rsidP="00553C3D">
            <w:pPr>
              <w:pStyle w:val="NoSpacing"/>
              <w:widowControl/>
              <w:jc w:val="both"/>
              <w:rPr>
                <w:rFonts w:ascii="Times New Roman" w:hAnsi="Times New Roman"/>
                <w:sz w:val="24"/>
                <w:szCs w:val="24"/>
              </w:rPr>
            </w:pPr>
            <w:r>
              <w:rPr>
                <w:rFonts w:ascii="Times New Roman" w:hAnsi="Times New Roman"/>
                <w:sz w:val="24"/>
                <w:szCs w:val="24"/>
              </w:rPr>
              <w:t xml:space="preserve">Ministru kabineta 2018.gada 4.septembra sēdes protokollēmuma TA-1624 “Likumprojekts "Ieroču aprites likums"” </w:t>
            </w:r>
            <w:r>
              <w:rPr>
                <w:rFonts w:ascii="Times New Roman" w:hAnsi="Times New Roman"/>
                <w:sz w:val="24"/>
                <w:szCs w:val="24"/>
              </w:rPr>
              <w:lastRenderedPageBreak/>
              <w:t xml:space="preserve">(protokola Nr.41 28.paragrāfs) 6.1.apakšpunkts nosaka sekojošo: Iekšlietu ministrijai sadarbībā ar Zemkopības ministriju un Izglītības un zinātnes ministriju izvērtēt tiesisko regulējumu un sniegt priekšlikumus administratīvā sloga mazināšanai attiecībā uz ieroču atļaujām, to izsniegšanas kārtību. Vienlaikus ir uzlikts pienākums Iekšlietu ministrijai līdz 2019.gada 31.decembrim izstrādāt un iekšlietu ministram noteiktā kārtībā iesniegt izskatīšanai Ministru kabinetā nepieciešamos grozījumus normatīvajos aktos. </w:t>
            </w:r>
          </w:p>
          <w:p w14:paraId="5C7716EC" w14:textId="272CC7F9" w:rsidR="00553C3D" w:rsidRPr="00917025" w:rsidRDefault="00553C3D" w:rsidP="00553C3D">
            <w:pPr>
              <w:ind w:right="12"/>
              <w:jc w:val="both"/>
              <w:rPr>
                <w:b/>
              </w:rPr>
            </w:pPr>
            <w:r>
              <w:t xml:space="preserve">Anotācijā minēts sekojošais: “Projekts paredz, ka minētie komersanti sniegs ziņas Ieroču reģistrā tiešsaistes datu pārraides veidā. Šīs izmaiņas ir būtiskas, jo nodrošinās informācijas aprites ātrumu un mazinās rakstisko, birokrātisko slogu, pārejot uz elektronisko ziņu apmaiņas formātu starp komersantiem un to darbību kontrolējošām iestādēm. Programmatūras izmaiņu valsts informācijas sistēmā ieviešana un realizēšana notiks piešķirto valsts budžeta līdzekļu ietvaros ..”. Tai pašā laikā ne no projekta, ne anotācijas skaidri nav saprotams, vai projekta ietvaros tiks īstenots Latvijas Republikas Ministru kabineta 2018.gada 4.septembra sēdes protokola Nr.41 28.§ Likumprojekts </w:t>
            </w:r>
            <w:r>
              <w:lastRenderedPageBreak/>
              <w:t>"Ieroču aprites likums" (TA-1624) 6.1.apakšpunktā noteiktais – pilnīga atteikšanās no ieroča realizācijas atļaujas, pārvērtēta ieroču iegādes atļauju aprite un formāts, kā arī personai piemītošo speciālo tiesību apliecināšana, izmantojot Personas apliecību (ID karti). Lūdzam papildināt anotāciju ar attiecīgu skaidrojumu.</w:t>
            </w:r>
          </w:p>
        </w:tc>
        <w:tc>
          <w:tcPr>
            <w:tcW w:w="1017" w:type="pct"/>
          </w:tcPr>
          <w:p w14:paraId="5FB73559" w14:textId="6F5D22F2" w:rsidR="00553C3D" w:rsidRDefault="00480646" w:rsidP="00553C3D">
            <w:pPr>
              <w:pStyle w:val="naisc"/>
              <w:tabs>
                <w:tab w:val="left" w:pos="0"/>
              </w:tabs>
              <w:spacing w:before="0" w:after="0"/>
              <w:rPr>
                <w:b/>
              </w:rPr>
            </w:pPr>
            <w:r>
              <w:rPr>
                <w:b/>
              </w:rPr>
              <w:lastRenderedPageBreak/>
              <w:t>Ņemts vērā</w:t>
            </w:r>
          </w:p>
        </w:tc>
        <w:tc>
          <w:tcPr>
            <w:tcW w:w="1353" w:type="pct"/>
          </w:tcPr>
          <w:p w14:paraId="12867A77" w14:textId="40596106" w:rsidR="00553C3D" w:rsidRDefault="00480646" w:rsidP="00553C3D">
            <w:r>
              <w:t>Precizēta anotācija</w:t>
            </w:r>
            <w:r w:rsidR="00074CF7">
              <w:t>.</w:t>
            </w:r>
          </w:p>
        </w:tc>
      </w:tr>
      <w:tr w:rsidR="00177161" w:rsidRPr="000B3A92" w14:paraId="4BAFC505" w14:textId="77777777" w:rsidTr="00F316F7">
        <w:tc>
          <w:tcPr>
            <w:tcW w:w="328" w:type="pct"/>
          </w:tcPr>
          <w:p w14:paraId="7F101490" w14:textId="298EF6DA" w:rsidR="00553C3D" w:rsidRPr="000B3A92" w:rsidRDefault="0032014B" w:rsidP="00B0015E">
            <w:pPr>
              <w:pStyle w:val="naisc"/>
              <w:spacing w:before="0" w:after="0"/>
            </w:pPr>
            <w:r>
              <w:lastRenderedPageBreak/>
              <w:t>15</w:t>
            </w:r>
            <w:r w:rsidR="00B0015E">
              <w:t>.</w:t>
            </w:r>
          </w:p>
        </w:tc>
        <w:tc>
          <w:tcPr>
            <w:tcW w:w="811" w:type="pct"/>
          </w:tcPr>
          <w:p w14:paraId="26F1DC7D" w14:textId="16D01584" w:rsidR="00553C3D" w:rsidRPr="0098306D" w:rsidRDefault="00553C3D" w:rsidP="00553C3D">
            <w:pPr>
              <w:jc w:val="both"/>
              <w:rPr>
                <w:b/>
                <w:iCs/>
              </w:rPr>
            </w:pPr>
            <w:r w:rsidRPr="0098306D">
              <w:t xml:space="preserve">Projekta sākotnējās ietekmes novērtējuma ziņojums (anotācija) </w:t>
            </w:r>
          </w:p>
        </w:tc>
        <w:tc>
          <w:tcPr>
            <w:tcW w:w="1491" w:type="pct"/>
          </w:tcPr>
          <w:p w14:paraId="2D7E90C9" w14:textId="2B6A0E2B" w:rsidR="00B0015E" w:rsidRDefault="00B0015E" w:rsidP="00B0015E">
            <w:pPr>
              <w:jc w:val="center"/>
            </w:pPr>
            <w:r>
              <w:rPr>
                <w:b/>
              </w:rPr>
              <w:t>Tieslietu ministrija</w:t>
            </w:r>
          </w:p>
          <w:p w14:paraId="27A46AC6" w14:textId="7C0A2D73" w:rsidR="00553C3D" w:rsidRPr="0098306D" w:rsidRDefault="00553C3D" w:rsidP="00B0015E">
            <w:pPr>
              <w:ind w:right="12"/>
              <w:jc w:val="both"/>
            </w:pPr>
            <w:r w:rsidRPr="0098306D">
              <w:t>Saistībā ar projekta 5. punktā norādīto atsauci uz Eiropas Savienības regulu lūdzam papildināt projekta anotācijas V sadaļas 1. punktu un 1. tabulu atbilstoši Ministru kabineta 2009. gada 15. decembra instrukcijas Nr. 19 “Tiesību akta projekta sākotnējās ietekmes izvērtēšanas kārtība” 55. un 56. punktam.</w:t>
            </w:r>
          </w:p>
        </w:tc>
        <w:tc>
          <w:tcPr>
            <w:tcW w:w="1017" w:type="pct"/>
          </w:tcPr>
          <w:p w14:paraId="69A0ECB8" w14:textId="3D118069" w:rsidR="00553C3D" w:rsidRPr="0098306D" w:rsidRDefault="00553C3D" w:rsidP="00553C3D">
            <w:pPr>
              <w:pStyle w:val="naisc"/>
              <w:tabs>
                <w:tab w:val="left" w:pos="0"/>
              </w:tabs>
              <w:spacing w:before="0" w:after="0"/>
            </w:pPr>
            <w:r w:rsidRPr="0098306D">
              <w:rPr>
                <w:b/>
              </w:rPr>
              <w:t>Ņemts vērā</w:t>
            </w:r>
          </w:p>
        </w:tc>
        <w:tc>
          <w:tcPr>
            <w:tcW w:w="1353" w:type="pct"/>
          </w:tcPr>
          <w:p w14:paraId="621A9E6A" w14:textId="5FCBA3CC" w:rsidR="00553C3D" w:rsidRDefault="00553C3D" w:rsidP="00553C3D">
            <w:pPr>
              <w:jc w:val="both"/>
            </w:pPr>
            <w:r w:rsidRPr="0098306D">
              <w:t>Projekta sākotnējās ietekmes novērtējuma ziņojums (anotācija) precizēts atbilstoši Tieslietu ministrijas iebildumam.</w:t>
            </w:r>
          </w:p>
          <w:p w14:paraId="2257A439" w14:textId="4D2C499A" w:rsidR="00553C3D" w:rsidRPr="0098306D" w:rsidRDefault="00553C3D" w:rsidP="00553C3D">
            <w:pPr>
              <w:jc w:val="both"/>
            </w:pPr>
            <w:r w:rsidRPr="0098306D">
              <w:t xml:space="preserve">“Projekta 5.punktā minētās </w:t>
            </w:r>
            <w:r w:rsidRPr="0098306D">
              <w:rPr>
                <w:bCs/>
              </w:rPr>
              <w:t>Komisijas 2015. gada 15. decembra īstenošanas regulas (ES) 2015/2403, ar ko izstrādā kopīgas pamatnostādnes par dezaktivēšanas standartiem un metodēm, lai nodrošinātu, ka dezaktivētie šaujamieroči tiek padarīti neatgriezeniski neizmantojami, prasības ar šo projektu netiek pārņemtas vai ieviestas, līdz ar to projekts neskar jautājumus par atbilstību minētājai regulai.”</w:t>
            </w:r>
          </w:p>
          <w:p w14:paraId="5DA630EC" w14:textId="77777777" w:rsidR="00553C3D" w:rsidRPr="000B3A92" w:rsidRDefault="00553C3D" w:rsidP="00553C3D"/>
        </w:tc>
      </w:tr>
    </w:tbl>
    <w:p w14:paraId="36A07040" w14:textId="066CCC1D" w:rsidR="00606517" w:rsidRPr="000B3A92" w:rsidRDefault="00606517"/>
    <w:tbl>
      <w:tblPr>
        <w:tblW w:w="9287" w:type="dxa"/>
        <w:tblInd w:w="8" w:type="dxa"/>
        <w:tblLayout w:type="fixed"/>
        <w:tblLook w:val="00A0" w:firstRow="1" w:lastRow="0" w:firstColumn="1" w:lastColumn="0" w:noHBand="0" w:noVBand="0"/>
      </w:tblPr>
      <w:tblGrid>
        <w:gridCol w:w="3108"/>
        <w:gridCol w:w="6179"/>
      </w:tblGrid>
      <w:tr w:rsidR="005636A0" w:rsidRPr="000B3A92" w14:paraId="083BFCAA" w14:textId="77777777" w:rsidTr="00606517">
        <w:tc>
          <w:tcPr>
            <w:tcW w:w="3108" w:type="dxa"/>
          </w:tcPr>
          <w:p w14:paraId="2C12D322" w14:textId="42F560CB" w:rsidR="007116C7" w:rsidRPr="000B3A92" w:rsidRDefault="007116C7" w:rsidP="00E74517">
            <w:pPr>
              <w:pStyle w:val="naiskr"/>
              <w:spacing w:before="0" w:after="0"/>
            </w:pPr>
            <w:r w:rsidRPr="000B3A92">
              <w:t>Atbildīgā amatpersona</w:t>
            </w:r>
          </w:p>
        </w:tc>
        <w:tc>
          <w:tcPr>
            <w:tcW w:w="6179" w:type="dxa"/>
          </w:tcPr>
          <w:p w14:paraId="5B2C351C" w14:textId="77777777" w:rsidR="007116C7" w:rsidRPr="000B3A92" w:rsidRDefault="007116C7" w:rsidP="00DB7395">
            <w:pPr>
              <w:pStyle w:val="naiskr"/>
              <w:spacing w:before="0" w:after="0"/>
              <w:ind w:firstLine="720"/>
            </w:pPr>
            <w:r w:rsidRPr="000B3A92">
              <w:t>  </w:t>
            </w:r>
          </w:p>
          <w:p w14:paraId="693A9A3D" w14:textId="3A7738DA" w:rsidR="009C05C1" w:rsidRPr="000B3A92" w:rsidRDefault="009C05C1" w:rsidP="00DB7395">
            <w:pPr>
              <w:pStyle w:val="naiskr"/>
              <w:spacing w:before="0" w:after="0"/>
              <w:ind w:firstLine="720"/>
            </w:pPr>
          </w:p>
        </w:tc>
      </w:tr>
      <w:tr w:rsidR="005636A0" w:rsidRPr="000B3A92" w14:paraId="5039DDDE" w14:textId="77777777" w:rsidTr="00606517">
        <w:tc>
          <w:tcPr>
            <w:tcW w:w="3108" w:type="dxa"/>
          </w:tcPr>
          <w:p w14:paraId="0058CBD2" w14:textId="77777777" w:rsidR="007116C7" w:rsidRPr="000B3A92" w:rsidRDefault="007116C7" w:rsidP="00DB7395">
            <w:pPr>
              <w:pStyle w:val="naiskr"/>
              <w:spacing w:before="0" w:after="0"/>
              <w:ind w:firstLine="720"/>
            </w:pPr>
          </w:p>
        </w:tc>
        <w:tc>
          <w:tcPr>
            <w:tcW w:w="6179" w:type="dxa"/>
            <w:tcBorders>
              <w:top w:val="single" w:sz="6" w:space="0" w:color="000000"/>
            </w:tcBorders>
          </w:tcPr>
          <w:p w14:paraId="698FE465" w14:textId="77777777" w:rsidR="007116C7" w:rsidRPr="000B3A92" w:rsidRDefault="007116C7" w:rsidP="00D64FB0">
            <w:pPr>
              <w:pStyle w:val="naisc"/>
              <w:spacing w:before="0" w:after="0"/>
              <w:ind w:firstLine="720"/>
            </w:pPr>
            <w:r w:rsidRPr="000B3A92">
              <w:t>(paraksts</w:t>
            </w:r>
            <w:r w:rsidR="00D64FB0" w:rsidRPr="000B3A92">
              <w:t>*</w:t>
            </w:r>
            <w:r w:rsidRPr="000B3A92">
              <w:t>)</w:t>
            </w:r>
          </w:p>
        </w:tc>
      </w:tr>
    </w:tbl>
    <w:p w14:paraId="6EC3375C" w14:textId="77777777" w:rsidR="003B71E0" w:rsidRPr="000B3A92" w:rsidRDefault="003B71E0" w:rsidP="00DB7395">
      <w:pPr>
        <w:pStyle w:val="naisf"/>
        <w:spacing w:before="0" w:after="0"/>
        <w:ind w:firstLine="720"/>
      </w:pPr>
    </w:p>
    <w:p w14:paraId="522FBD5B" w14:textId="77777777" w:rsidR="00317DC7" w:rsidRPr="000B3A92" w:rsidRDefault="00184479" w:rsidP="00DB7395">
      <w:pPr>
        <w:pStyle w:val="naisf"/>
        <w:spacing w:before="0" w:after="0"/>
        <w:ind w:firstLine="720"/>
      </w:pPr>
      <w:r w:rsidRPr="000B3A92">
        <w:lastRenderedPageBreak/>
        <w:t>Piezīme.</w:t>
      </w:r>
      <w:r w:rsidR="00767BF3" w:rsidRPr="000B3A92">
        <w:t> </w:t>
      </w:r>
      <w:r w:rsidR="00FB6C91" w:rsidRPr="000B3A92">
        <w:t>*</w:t>
      </w:r>
      <w:r w:rsidR="00767BF3" w:rsidRPr="000B3A92">
        <w:t> </w:t>
      </w:r>
      <w:r w:rsidR="00317DC7" w:rsidRPr="000B3A92">
        <w:t xml:space="preserve">Dokumenta rekvizītu </w:t>
      </w:r>
      <w:r w:rsidR="00364BB6" w:rsidRPr="000B3A92">
        <w:t>"</w:t>
      </w:r>
      <w:r w:rsidR="0018210A" w:rsidRPr="000B3A92">
        <w:t>p</w:t>
      </w:r>
      <w:r w:rsidR="00317DC7" w:rsidRPr="000B3A92">
        <w:t>araksts</w:t>
      </w:r>
      <w:r w:rsidR="00364BB6" w:rsidRPr="000B3A92">
        <w:t>"</w:t>
      </w:r>
      <w:r w:rsidR="00317DC7" w:rsidRPr="000B3A92">
        <w:t xml:space="preserve"> neaizpilda, ja elektroniskais dokuments ir </w:t>
      </w:r>
      <w:r w:rsidRPr="000B3A92">
        <w:t>sagatavots</w:t>
      </w:r>
      <w:r w:rsidR="00317DC7" w:rsidRPr="000B3A92">
        <w:t xml:space="preserve"> atbilstoši </w:t>
      </w:r>
      <w:r w:rsidRPr="000B3A92">
        <w:t xml:space="preserve">normatīvajiem aktiem par </w:t>
      </w:r>
      <w:r w:rsidR="00317DC7" w:rsidRPr="000B3A92">
        <w:t>elektronisko dokumentu noformēšan</w:t>
      </w:r>
      <w:r w:rsidRPr="000B3A92">
        <w:t>u.</w:t>
      </w:r>
    </w:p>
    <w:p w14:paraId="6F3B82D6" w14:textId="5D8CB868" w:rsidR="00500345" w:rsidRPr="000B3A92" w:rsidRDefault="009C05C1" w:rsidP="00500345">
      <w:pPr>
        <w:jc w:val="both"/>
      </w:pPr>
      <w:r w:rsidRPr="000B3A92">
        <w:t xml:space="preserve">  </w:t>
      </w:r>
      <w:r w:rsidR="005636A0" w:rsidRPr="000B3A92">
        <w:t>Edgars Rubins</w:t>
      </w:r>
    </w:p>
    <w:tbl>
      <w:tblPr>
        <w:tblpPr w:leftFromText="180" w:rightFromText="180" w:vertAnchor="text" w:horzAnchor="margin" w:tblpY="86"/>
        <w:tblW w:w="0" w:type="auto"/>
        <w:tblLook w:val="00A0" w:firstRow="1" w:lastRow="0" w:firstColumn="1" w:lastColumn="0" w:noHBand="0" w:noVBand="0"/>
      </w:tblPr>
      <w:tblGrid>
        <w:gridCol w:w="8268"/>
      </w:tblGrid>
      <w:tr w:rsidR="005636A0" w:rsidRPr="000B3A92" w14:paraId="6B3CD1F1" w14:textId="77777777" w:rsidTr="00A130B6">
        <w:tc>
          <w:tcPr>
            <w:tcW w:w="8268" w:type="dxa"/>
            <w:tcBorders>
              <w:top w:val="single" w:sz="4" w:space="0" w:color="000000"/>
            </w:tcBorders>
          </w:tcPr>
          <w:p w14:paraId="59173AEF" w14:textId="77777777" w:rsidR="00500345" w:rsidRPr="000B3A92" w:rsidRDefault="00500345" w:rsidP="00A130B6">
            <w:pPr>
              <w:jc w:val="center"/>
            </w:pPr>
            <w:r w:rsidRPr="000B3A92">
              <w:t>(par projektu atbildīgās amatpersonas vārds un uzvārds)</w:t>
            </w:r>
          </w:p>
        </w:tc>
      </w:tr>
      <w:tr w:rsidR="005636A0" w:rsidRPr="000B3A92" w14:paraId="4AC1A973" w14:textId="77777777" w:rsidTr="00A130B6">
        <w:tc>
          <w:tcPr>
            <w:tcW w:w="8268" w:type="dxa"/>
            <w:tcBorders>
              <w:bottom w:val="single" w:sz="4" w:space="0" w:color="000000"/>
            </w:tcBorders>
          </w:tcPr>
          <w:p w14:paraId="174EF2B4" w14:textId="4DE614DF" w:rsidR="00500345" w:rsidRPr="000B3A92" w:rsidRDefault="005636A0" w:rsidP="00A130B6">
            <w:pPr>
              <w:jc w:val="both"/>
              <w:rPr>
                <w:rFonts w:eastAsia="Calibri"/>
              </w:rPr>
            </w:pPr>
            <w:r w:rsidRPr="000B3A92">
              <w:rPr>
                <w:rFonts w:eastAsia="Calibri"/>
              </w:rPr>
              <w:t>Integrētās sistēmas nodaļas vadītājs</w:t>
            </w:r>
          </w:p>
        </w:tc>
      </w:tr>
      <w:tr w:rsidR="005636A0" w:rsidRPr="000B3A92" w14:paraId="2E0E7C10" w14:textId="77777777" w:rsidTr="00A130B6">
        <w:tc>
          <w:tcPr>
            <w:tcW w:w="8268" w:type="dxa"/>
            <w:tcBorders>
              <w:top w:val="single" w:sz="4" w:space="0" w:color="000000"/>
            </w:tcBorders>
          </w:tcPr>
          <w:p w14:paraId="028E7440" w14:textId="77777777" w:rsidR="00500345" w:rsidRPr="000B3A92" w:rsidRDefault="00500345" w:rsidP="00A130B6">
            <w:pPr>
              <w:jc w:val="center"/>
            </w:pPr>
            <w:r w:rsidRPr="000B3A92">
              <w:t>(amats)</w:t>
            </w:r>
          </w:p>
        </w:tc>
      </w:tr>
      <w:tr w:rsidR="005636A0" w:rsidRPr="000B3A92" w14:paraId="12A48675" w14:textId="77777777" w:rsidTr="00A130B6">
        <w:tc>
          <w:tcPr>
            <w:tcW w:w="8268" w:type="dxa"/>
            <w:tcBorders>
              <w:bottom w:val="single" w:sz="4" w:space="0" w:color="000000"/>
            </w:tcBorders>
          </w:tcPr>
          <w:p w14:paraId="7CBA5039" w14:textId="0EBB92E5" w:rsidR="00500345" w:rsidRPr="000B3A92" w:rsidRDefault="00500345" w:rsidP="00A130B6">
            <w:r w:rsidRPr="000B3A92">
              <w:t xml:space="preserve">Tālr.: </w:t>
            </w:r>
            <w:r w:rsidR="005636A0" w:rsidRPr="000B3A92">
              <w:t>67208367</w:t>
            </w:r>
          </w:p>
        </w:tc>
      </w:tr>
      <w:tr w:rsidR="005636A0" w:rsidRPr="000B3A92" w14:paraId="07360669" w14:textId="77777777" w:rsidTr="00A130B6">
        <w:tc>
          <w:tcPr>
            <w:tcW w:w="8268" w:type="dxa"/>
            <w:tcBorders>
              <w:top w:val="single" w:sz="4" w:space="0" w:color="000000"/>
            </w:tcBorders>
          </w:tcPr>
          <w:p w14:paraId="4CC6F1C6" w14:textId="77777777" w:rsidR="00500345" w:rsidRPr="000B3A92" w:rsidRDefault="00500345" w:rsidP="00A130B6">
            <w:pPr>
              <w:jc w:val="center"/>
            </w:pPr>
            <w:r w:rsidRPr="000B3A92">
              <w:t>(tālruņa un faksa numurs)</w:t>
            </w:r>
          </w:p>
        </w:tc>
      </w:tr>
      <w:tr w:rsidR="005636A0" w:rsidRPr="000B3A92" w14:paraId="31BD7A97" w14:textId="77777777" w:rsidTr="00A130B6">
        <w:tc>
          <w:tcPr>
            <w:tcW w:w="8268" w:type="dxa"/>
            <w:tcBorders>
              <w:bottom w:val="single" w:sz="4" w:space="0" w:color="000000"/>
            </w:tcBorders>
          </w:tcPr>
          <w:p w14:paraId="3EA09694" w14:textId="0BEF8E88" w:rsidR="00500345" w:rsidRPr="000B3A92" w:rsidRDefault="005636A0" w:rsidP="00A130B6">
            <w:proofErr w:type="spellStart"/>
            <w:r w:rsidRPr="000B3A92">
              <w:t>edgars.rubins</w:t>
            </w:r>
            <w:proofErr w:type="spellEnd"/>
            <w:r w:rsidRPr="000B3A92">
              <w:t>@ ic.iem.gov.lv</w:t>
            </w:r>
          </w:p>
        </w:tc>
      </w:tr>
      <w:tr w:rsidR="005636A0" w:rsidRPr="000B3A92" w14:paraId="327C14A6" w14:textId="77777777" w:rsidTr="00A130B6">
        <w:tc>
          <w:tcPr>
            <w:tcW w:w="8268" w:type="dxa"/>
            <w:tcBorders>
              <w:top w:val="single" w:sz="4" w:space="0" w:color="000000"/>
            </w:tcBorders>
          </w:tcPr>
          <w:p w14:paraId="4D14CFFE" w14:textId="77777777" w:rsidR="00500345" w:rsidRPr="000B3A92" w:rsidRDefault="00500345" w:rsidP="00A130B6">
            <w:pPr>
              <w:jc w:val="center"/>
            </w:pPr>
            <w:r w:rsidRPr="000B3A92">
              <w:t>(e-pasta adrese)</w:t>
            </w:r>
          </w:p>
        </w:tc>
      </w:tr>
    </w:tbl>
    <w:p w14:paraId="5D30E1D2" w14:textId="77777777" w:rsidR="00500345" w:rsidRPr="000B3A92" w:rsidRDefault="00500345" w:rsidP="00500345">
      <w:pPr>
        <w:jc w:val="both"/>
        <w:rPr>
          <w:rFonts w:eastAsia="Calibri"/>
        </w:rPr>
      </w:pPr>
    </w:p>
    <w:p w14:paraId="37541400" w14:textId="77777777" w:rsidR="00500345" w:rsidRPr="000B3A92" w:rsidRDefault="00500345" w:rsidP="00500345">
      <w:pPr>
        <w:jc w:val="both"/>
        <w:rPr>
          <w:rFonts w:eastAsia="Calibri"/>
        </w:rPr>
      </w:pPr>
    </w:p>
    <w:p w14:paraId="2F900E41" w14:textId="77777777" w:rsidR="00500345" w:rsidRPr="000B3A92" w:rsidRDefault="00500345" w:rsidP="00500345">
      <w:pPr>
        <w:jc w:val="both"/>
        <w:rPr>
          <w:rFonts w:eastAsia="Calibri"/>
        </w:rPr>
      </w:pPr>
    </w:p>
    <w:p w14:paraId="447FADAD" w14:textId="77777777" w:rsidR="00500345" w:rsidRPr="000B3A92" w:rsidRDefault="00500345" w:rsidP="00500345">
      <w:pPr>
        <w:jc w:val="both"/>
        <w:rPr>
          <w:rFonts w:eastAsia="Calibri"/>
        </w:rPr>
      </w:pPr>
    </w:p>
    <w:p w14:paraId="7136AC6C" w14:textId="77777777" w:rsidR="00500345" w:rsidRPr="000B3A92" w:rsidRDefault="00500345" w:rsidP="00500345">
      <w:pPr>
        <w:jc w:val="both"/>
        <w:rPr>
          <w:rFonts w:eastAsia="Calibri"/>
        </w:rPr>
      </w:pPr>
    </w:p>
    <w:p w14:paraId="59819E9F" w14:textId="77777777" w:rsidR="00500345" w:rsidRPr="000B3A92" w:rsidRDefault="00500345" w:rsidP="00500345">
      <w:pPr>
        <w:jc w:val="both"/>
        <w:rPr>
          <w:rFonts w:eastAsia="Calibri"/>
        </w:rPr>
      </w:pPr>
    </w:p>
    <w:p w14:paraId="4E37F511" w14:textId="77777777" w:rsidR="00A130B6" w:rsidRPr="000B3A92" w:rsidRDefault="00A130B6" w:rsidP="0015414E">
      <w:pPr>
        <w:pStyle w:val="naisf"/>
        <w:spacing w:before="0" w:after="0"/>
        <w:ind w:firstLine="0"/>
        <w:jc w:val="left"/>
      </w:pPr>
    </w:p>
    <w:sectPr w:rsidR="00A130B6" w:rsidRPr="000B3A92" w:rsidSect="001A2553">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E161" w14:textId="77777777" w:rsidR="00967BA3" w:rsidRDefault="00967BA3">
      <w:r>
        <w:separator/>
      </w:r>
    </w:p>
  </w:endnote>
  <w:endnote w:type="continuationSeparator" w:id="0">
    <w:p w14:paraId="188DC3D2" w14:textId="77777777" w:rsidR="00967BA3" w:rsidRDefault="0096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BA14" w14:textId="7350564F" w:rsidR="007F6D9F" w:rsidRPr="0046325C" w:rsidRDefault="0046325C" w:rsidP="0046325C">
    <w:pPr>
      <w:pStyle w:val="Footer"/>
    </w:pPr>
    <w:r>
      <w:rPr>
        <w:sz w:val="20"/>
        <w:szCs w:val="20"/>
      </w:rPr>
      <w:fldChar w:fldCharType="begin"/>
    </w:r>
    <w:r>
      <w:rPr>
        <w:sz w:val="20"/>
        <w:szCs w:val="20"/>
      </w:rPr>
      <w:instrText xml:space="preserve"> FILENAME   \* MERGEFORMAT </w:instrText>
    </w:r>
    <w:r>
      <w:rPr>
        <w:sz w:val="20"/>
        <w:szCs w:val="20"/>
      </w:rPr>
      <w:fldChar w:fldCharType="separate"/>
    </w:r>
    <w:r w:rsidR="009E7B67">
      <w:rPr>
        <w:noProof/>
        <w:sz w:val="20"/>
        <w:szCs w:val="20"/>
      </w:rPr>
      <w:t>IEMIzz_191219_IR.docx</w:t>
    </w:r>
    <w:r>
      <w:rPr>
        <w:sz w:val="20"/>
        <w:szCs w:val="20"/>
      </w:rPr>
      <w:fldChar w:fldCharType="end"/>
    </w:r>
  </w:p>
  <w:p w14:paraId="12C1982E" w14:textId="03FD642E" w:rsidR="00BC08E1" w:rsidRDefault="00BC08E1">
    <w:pP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1ADB" w14:textId="072B434B" w:rsidR="007F6D9F" w:rsidRPr="0063736B" w:rsidRDefault="0063736B" w:rsidP="0063736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9E7B67">
      <w:rPr>
        <w:noProof/>
        <w:sz w:val="20"/>
        <w:szCs w:val="20"/>
      </w:rPr>
      <w:t>IEMIzz_191219_IR.docx</w:t>
    </w:r>
    <w:r>
      <w:rPr>
        <w:sz w:val="20"/>
        <w:szCs w:val="20"/>
      </w:rPr>
      <w:fldChar w:fldCharType="end"/>
    </w:r>
    <w:r w:rsidR="00B42A9D">
      <w:rPr>
        <w:sz w:val="20"/>
        <w:szCs w:val="20"/>
      </w:rPr>
      <w:t>_IR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B6F65" w14:textId="77777777" w:rsidR="00967BA3" w:rsidRDefault="00967BA3">
      <w:r>
        <w:separator/>
      </w:r>
    </w:p>
  </w:footnote>
  <w:footnote w:type="continuationSeparator" w:id="0">
    <w:p w14:paraId="4B9048AB" w14:textId="77777777" w:rsidR="00967BA3" w:rsidRDefault="0096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177B9" w14:textId="77777777" w:rsidR="007F6D9F" w:rsidRDefault="007F6D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AD949" w14:textId="77777777" w:rsidR="007F6D9F" w:rsidRDefault="007F6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53BE6" w14:textId="2879C716" w:rsidR="007F6D9F" w:rsidRDefault="007F6D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B67">
      <w:rPr>
        <w:rStyle w:val="PageNumber"/>
        <w:noProof/>
      </w:rPr>
      <w:t>15</w:t>
    </w:r>
    <w:r>
      <w:rPr>
        <w:rStyle w:val="PageNumber"/>
      </w:rPr>
      <w:fldChar w:fldCharType="end"/>
    </w:r>
  </w:p>
  <w:p w14:paraId="5A47A040" w14:textId="77777777" w:rsidR="007F6D9F" w:rsidRDefault="007F6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DBA"/>
    <w:multiLevelType w:val="hybridMultilevel"/>
    <w:tmpl w:val="F162CE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DC01FA"/>
    <w:multiLevelType w:val="hybridMultilevel"/>
    <w:tmpl w:val="A58C5ACE"/>
    <w:lvl w:ilvl="0" w:tplc="3134F6D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25211E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27E10BE8"/>
    <w:multiLevelType w:val="hybridMultilevel"/>
    <w:tmpl w:val="014C16BE"/>
    <w:lvl w:ilvl="0" w:tplc="91B2ED4C">
      <w:start w:val="1"/>
      <w:numFmt w:val="decimal"/>
      <w:lvlText w:val="%1."/>
      <w:lvlJc w:val="left"/>
      <w:pPr>
        <w:ind w:left="720" w:hanging="360"/>
      </w:pPr>
      <w:rPr>
        <w:rFonts w:hint="default"/>
      </w:rPr>
    </w:lvl>
    <w:lvl w:ilvl="1" w:tplc="3AC285A6" w:tentative="1">
      <w:start w:val="1"/>
      <w:numFmt w:val="lowerLetter"/>
      <w:lvlText w:val="%2."/>
      <w:lvlJc w:val="left"/>
      <w:pPr>
        <w:ind w:left="1440" w:hanging="360"/>
      </w:pPr>
    </w:lvl>
    <w:lvl w:ilvl="2" w:tplc="AD5ACF16" w:tentative="1">
      <w:start w:val="1"/>
      <w:numFmt w:val="lowerRoman"/>
      <w:lvlText w:val="%3."/>
      <w:lvlJc w:val="right"/>
      <w:pPr>
        <w:ind w:left="2160" w:hanging="180"/>
      </w:pPr>
    </w:lvl>
    <w:lvl w:ilvl="3" w:tplc="0C660D1E" w:tentative="1">
      <w:start w:val="1"/>
      <w:numFmt w:val="decimal"/>
      <w:lvlText w:val="%4."/>
      <w:lvlJc w:val="left"/>
      <w:pPr>
        <w:ind w:left="2880" w:hanging="360"/>
      </w:pPr>
    </w:lvl>
    <w:lvl w:ilvl="4" w:tplc="76EA9236" w:tentative="1">
      <w:start w:val="1"/>
      <w:numFmt w:val="lowerLetter"/>
      <w:lvlText w:val="%5."/>
      <w:lvlJc w:val="left"/>
      <w:pPr>
        <w:ind w:left="3600" w:hanging="360"/>
      </w:pPr>
    </w:lvl>
    <w:lvl w:ilvl="5" w:tplc="B1B05B0C" w:tentative="1">
      <w:start w:val="1"/>
      <w:numFmt w:val="lowerRoman"/>
      <w:lvlText w:val="%6."/>
      <w:lvlJc w:val="right"/>
      <w:pPr>
        <w:ind w:left="4320" w:hanging="180"/>
      </w:pPr>
    </w:lvl>
    <w:lvl w:ilvl="6" w:tplc="35FC8972" w:tentative="1">
      <w:start w:val="1"/>
      <w:numFmt w:val="decimal"/>
      <w:lvlText w:val="%7."/>
      <w:lvlJc w:val="left"/>
      <w:pPr>
        <w:ind w:left="5040" w:hanging="360"/>
      </w:pPr>
    </w:lvl>
    <w:lvl w:ilvl="7" w:tplc="453A47D2" w:tentative="1">
      <w:start w:val="1"/>
      <w:numFmt w:val="lowerLetter"/>
      <w:lvlText w:val="%8."/>
      <w:lvlJc w:val="left"/>
      <w:pPr>
        <w:ind w:left="5760" w:hanging="360"/>
      </w:pPr>
    </w:lvl>
    <w:lvl w:ilvl="8" w:tplc="D20C8D60" w:tentative="1">
      <w:start w:val="1"/>
      <w:numFmt w:val="lowerRoman"/>
      <w:lvlText w:val="%9."/>
      <w:lvlJc w:val="right"/>
      <w:pPr>
        <w:ind w:left="6480" w:hanging="180"/>
      </w:pPr>
    </w:lvl>
  </w:abstractNum>
  <w:abstractNum w:abstractNumId="4" w15:restartNumberingAfterBreak="0">
    <w:nsid w:val="2E832090"/>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4000E"/>
    <w:multiLevelType w:val="hybridMultilevel"/>
    <w:tmpl w:val="84E6D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8E5E94"/>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843E76"/>
    <w:multiLevelType w:val="hybridMultilevel"/>
    <w:tmpl w:val="C0C24E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8D50D9"/>
    <w:multiLevelType w:val="hybridMultilevel"/>
    <w:tmpl w:val="E31EB7CE"/>
    <w:lvl w:ilvl="0" w:tplc="0568D7F8">
      <w:start w:val="4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9E60B5"/>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702FA3"/>
    <w:multiLevelType w:val="hybridMultilevel"/>
    <w:tmpl w:val="5676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C203F2"/>
    <w:multiLevelType w:val="hybridMultilevel"/>
    <w:tmpl w:val="7DF475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AF6816"/>
    <w:multiLevelType w:val="hybridMultilevel"/>
    <w:tmpl w:val="E31AF8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5451CB1"/>
    <w:multiLevelType w:val="hybridMultilevel"/>
    <w:tmpl w:val="2D4AD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4145DA"/>
    <w:multiLevelType w:val="hybridMultilevel"/>
    <w:tmpl w:val="15F80A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A325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D3571A"/>
    <w:multiLevelType w:val="hybridMultilevel"/>
    <w:tmpl w:val="FD38FC5E"/>
    <w:lvl w:ilvl="0" w:tplc="0426000F">
      <w:start w:val="1"/>
      <w:numFmt w:val="decimal"/>
      <w:lvlText w:val="%1."/>
      <w:lvlJc w:val="left"/>
      <w:pPr>
        <w:ind w:left="1211" w:hanging="360"/>
      </w:p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BF0AB5"/>
    <w:multiLevelType w:val="multilevel"/>
    <w:tmpl w:val="0130EEF0"/>
    <w:lvl w:ilvl="0">
      <w:start w:val="1"/>
      <w:numFmt w:val="decimal"/>
      <w:lvlText w:val="%1."/>
      <w:lvlJc w:val="left"/>
      <w:pPr>
        <w:ind w:left="360" w:hanging="360"/>
      </w:pPr>
      <w:rPr>
        <w:b w:val="0"/>
        <w:bCs w:val="0"/>
        <w:color w:val="auto"/>
      </w:rPr>
    </w:lvl>
    <w:lvl w:ilvl="1">
      <w:start w:val="1"/>
      <w:numFmt w:val="decimal"/>
      <w:lvlText w:val="%1.%2."/>
      <w:lvlJc w:val="left"/>
      <w:pPr>
        <w:ind w:left="716" w:hanging="432"/>
      </w:pPr>
      <w:rPr>
        <w:color w:val="auto"/>
      </w:rPr>
    </w:lvl>
    <w:lvl w:ilvl="2">
      <w:start w:val="1"/>
      <w:numFmt w:val="decimal"/>
      <w:lvlText w:val="%1.%2.%3."/>
      <w:lvlJc w:val="left"/>
      <w:pPr>
        <w:ind w:left="1072"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213"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1A433A"/>
    <w:multiLevelType w:val="hybridMultilevel"/>
    <w:tmpl w:val="1E0ADA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021C85"/>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2D5414"/>
    <w:multiLevelType w:val="hybridMultilevel"/>
    <w:tmpl w:val="B6FEA71E"/>
    <w:lvl w:ilvl="0" w:tplc="D7D2154C">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6A6F20"/>
    <w:multiLevelType w:val="hybridMultilevel"/>
    <w:tmpl w:val="E9842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0928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6" w15:restartNumberingAfterBreak="0">
    <w:nsid w:val="7A96114F"/>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B261FE"/>
    <w:multiLevelType w:val="hybridMultilevel"/>
    <w:tmpl w:val="85627622"/>
    <w:lvl w:ilvl="0" w:tplc="ADD0A9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22"/>
  </w:num>
  <w:num w:numId="4">
    <w:abstractNumId w:val="18"/>
  </w:num>
  <w:num w:numId="5">
    <w:abstractNumId w:val="17"/>
  </w:num>
  <w:num w:numId="6">
    <w:abstractNumId w:val="12"/>
  </w:num>
  <w:num w:numId="7">
    <w:abstractNumId w:val="21"/>
  </w:num>
  <w:num w:numId="8">
    <w:abstractNumId w:val="3"/>
  </w:num>
  <w:num w:numId="9">
    <w:abstractNumId w:val="23"/>
  </w:num>
  <w:num w:numId="10">
    <w:abstractNumId w:val="16"/>
  </w:num>
  <w:num w:numId="11">
    <w:abstractNumId w:val="9"/>
  </w:num>
  <w:num w:numId="12">
    <w:abstractNumId w:val="26"/>
  </w:num>
  <w:num w:numId="13">
    <w:abstractNumId w:val="4"/>
  </w:num>
  <w:num w:numId="14">
    <w:abstractNumId w:val="7"/>
  </w:num>
  <w:num w:numId="15">
    <w:abstractNumId w:val="8"/>
  </w:num>
  <w:num w:numId="16">
    <w:abstractNumId w:val="0"/>
  </w:num>
  <w:num w:numId="17">
    <w:abstractNumId w:val="14"/>
  </w:num>
  <w:num w:numId="18">
    <w:abstractNumId w:val="20"/>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10"/>
  </w:num>
  <w:num w:numId="24">
    <w:abstractNumId w:val="5"/>
  </w:num>
  <w:num w:numId="25">
    <w:abstractNumId w:val="13"/>
  </w:num>
  <w:num w:numId="26">
    <w:abstractNumId w:val="2"/>
  </w:num>
  <w:num w:numId="27">
    <w:abstractNumId w:val="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3F32"/>
    <w:rsid w:val="0000456E"/>
    <w:rsid w:val="000051E8"/>
    <w:rsid w:val="000055EA"/>
    <w:rsid w:val="00006BF1"/>
    <w:rsid w:val="0001118D"/>
    <w:rsid w:val="000112E2"/>
    <w:rsid w:val="0001131F"/>
    <w:rsid w:val="00011663"/>
    <w:rsid w:val="0001249F"/>
    <w:rsid w:val="000125C0"/>
    <w:rsid w:val="0001270C"/>
    <w:rsid w:val="000136AA"/>
    <w:rsid w:val="00013B4C"/>
    <w:rsid w:val="00013BF6"/>
    <w:rsid w:val="0001554C"/>
    <w:rsid w:val="00015B94"/>
    <w:rsid w:val="00015C84"/>
    <w:rsid w:val="00015DE5"/>
    <w:rsid w:val="00016D9B"/>
    <w:rsid w:val="000172E2"/>
    <w:rsid w:val="00017449"/>
    <w:rsid w:val="00020249"/>
    <w:rsid w:val="00022338"/>
    <w:rsid w:val="0002296A"/>
    <w:rsid w:val="00022B0F"/>
    <w:rsid w:val="00022B9A"/>
    <w:rsid w:val="00023FD6"/>
    <w:rsid w:val="0002416A"/>
    <w:rsid w:val="00024CCD"/>
    <w:rsid w:val="00024D20"/>
    <w:rsid w:val="000253DB"/>
    <w:rsid w:val="000271C2"/>
    <w:rsid w:val="000278E7"/>
    <w:rsid w:val="00027A63"/>
    <w:rsid w:val="00027F9D"/>
    <w:rsid w:val="000300FA"/>
    <w:rsid w:val="000307B5"/>
    <w:rsid w:val="000317F1"/>
    <w:rsid w:val="00032457"/>
    <w:rsid w:val="0003413A"/>
    <w:rsid w:val="00034531"/>
    <w:rsid w:val="000349CA"/>
    <w:rsid w:val="0003557A"/>
    <w:rsid w:val="00035C06"/>
    <w:rsid w:val="00035EB0"/>
    <w:rsid w:val="000366DF"/>
    <w:rsid w:val="000376CD"/>
    <w:rsid w:val="00037DC0"/>
    <w:rsid w:val="00040A5C"/>
    <w:rsid w:val="0004145B"/>
    <w:rsid w:val="0004249E"/>
    <w:rsid w:val="00043005"/>
    <w:rsid w:val="0004345F"/>
    <w:rsid w:val="00044026"/>
    <w:rsid w:val="00046075"/>
    <w:rsid w:val="0004627A"/>
    <w:rsid w:val="00046CAD"/>
    <w:rsid w:val="00046F5C"/>
    <w:rsid w:val="00047385"/>
    <w:rsid w:val="00050554"/>
    <w:rsid w:val="00053706"/>
    <w:rsid w:val="00053E04"/>
    <w:rsid w:val="0005400B"/>
    <w:rsid w:val="00056279"/>
    <w:rsid w:val="0005720D"/>
    <w:rsid w:val="000579E6"/>
    <w:rsid w:val="000609F8"/>
    <w:rsid w:val="00060E03"/>
    <w:rsid w:val="00062865"/>
    <w:rsid w:val="000641CE"/>
    <w:rsid w:val="00065271"/>
    <w:rsid w:val="00066176"/>
    <w:rsid w:val="0006618D"/>
    <w:rsid w:val="00066885"/>
    <w:rsid w:val="0006694E"/>
    <w:rsid w:val="00066A37"/>
    <w:rsid w:val="00066F05"/>
    <w:rsid w:val="000677D6"/>
    <w:rsid w:val="00072628"/>
    <w:rsid w:val="000728ED"/>
    <w:rsid w:val="000733F5"/>
    <w:rsid w:val="000733FF"/>
    <w:rsid w:val="00074CF7"/>
    <w:rsid w:val="0007577A"/>
    <w:rsid w:val="000775D0"/>
    <w:rsid w:val="00081B0F"/>
    <w:rsid w:val="0008283D"/>
    <w:rsid w:val="00083090"/>
    <w:rsid w:val="00083214"/>
    <w:rsid w:val="00083858"/>
    <w:rsid w:val="00083B8F"/>
    <w:rsid w:val="00084B11"/>
    <w:rsid w:val="00085322"/>
    <w:rsid w:val="0008656F"/>
    <w:rsid w:val="00086AB9"/>
    <w:rsid w:val="00086BCE"/>
    <w:rsid w:val="00086F36"/>
    <w:rsid w:val="00090168"/>
    <w:rsid w:val="00090BDC"/>
    <w:rsid w:val="00090C76"/>
    <w:rsid w:val="00091033"/>
    <w:rsid w:val="00091F10"/>
    <w:rsid w:val="000927B9"/>
    <w:rsid w:val="0009302B"/>
    <w:rsid w:val="00093CE0"/>
    <w:rsid w:val="00093EC2"/>
    <w:rsid w:val="00094D67"/>
    <w:rsid w:val="00094F7B"/>
    <w:rsid w:val="000958A2"/>
    <w:rsid w:val="000965E7"/>
    <w:rsid w:val="00097B40"/>
    <w:rsid w:val="000A0041"/>
    <w:rsid w:val="000A00AB"/>
    <w:rsid w:val="000A06FC"/>
    <w:rsid w:val="000A0E64"/>
    <w:rsid w:val="000A1A02"/>
    <w:rsid w:val="000A39BF"/>
    <w:rsid w:val="000A4035"/>
    <w:rsid w:val="000A4393"/>
    <w:rsid w:val="000A483A"/>
    <w:rsid w:val="000A55D2"/>
    <w:rsid w:val="000A64D3"/>
    <w:rsid w:val="000A77B9"/>
    <w:rsid w:val="000A7D10"/>
    <w:rsid w:val="000A7EA7"/>
    <w:rsid w:val="000B0403"/>
    <w:rsid w:val="000B057B"/>
    <w:rsid w:val="000B06E7"/>
    <w:rsid w:val="000B0C94"/>
    <w:rsid w:val="000B15E5"/>
    <w:rsid w:val="000B2382"/>
    <w:rsid w:val="000B3171"/>
    <w:rsid w:val="000B34A5"/>
    <w:rsid w:val="000B3A92"/>
    <w:rsid w:val="000B4746"/>
    <w:rsid w:val="000B7966"/>
    <w:rsid w:val="000B7CB1"/>
    <w:rsid w:val="000C0949"/>
    <w:rsid w:val="000C0AE6"/>
    <w:rsid w:val="000C0D0D"/>
    <w:rsid w:val="000C2555"/>
    <w:rsid w:val="000C3545"/>
    <w:rsid w:val="000C3F31"/>
    <w:rsid w:val="000C498A"/>
    <w:rsid w:val="000C4A3E"/>
    <w:rsid w:val="000C4C16"/>
    <w:rsid w:val="000C56FC"/>
    <w:rsid w:val="000C7907"/>
    <w:rsid w:val="000C7A11"/>
    <w:rsid w:val="000C7E85"/>
    <w:rsid w:val="000C7F5E"/>
    <w:rsid w:val="000D00AC"/>
    <w:rsid w:val="000D0AED"/>
    <w:rsid w:val="000D3602"/>
    <w:rsid w:val="000D4D89"/>
    <w:rsid w:val="000D5017"/>
    <w:rsid w:val="000D6BBD"/>
    <w:rsid w:val="000D73E7"/>
    <w:rsid w:val="000D7751"/>
    <w:rsid w:val="000D7C23"/>
    <w:rsid w:val="000E0A16"/>
    <w:rsid w:val="000E1BFA"/>
    <w:rsid w:val="000E2142"/>
    <w:rsid w:val="000E21D0"/>
    <w:rsid w:val="000E2A38"/>
    <w:rsid w:val="000E2ACC"/>
    <w:rsid w:val="000E2BC8"/>
    <w:rsid w:val="000E2E32"/>
    <w:rsid w:val="000E40C2"/>
    <w:rsid w:val="000E5509"/>
    <w:rsid w:val="000E585F"/>
    <w:rsid w:val="000E66F8"/>
    <w:rsid w:val="000E76EC"/>
    <w:rsid w:val="000F054F"/>
    <w:rsid w:val="000F079D"/>
    <w:rsid w:val="000F0D9D"/>
    <w:rsid w:val="000F1D56"/>
    <w:rsid w:val="000F2534"/>
    <w:rsid w:val="000F28D9"/>
    <w:rsid w:val="000F2D43"/>
    <w:rsid w:val="000F2F9A"/>
    <w:rsid w:val="000F3AA0"/>
    <w:rsid w:val="000F3C9C"/>
    <w:rsid w:val="000F472D"/>
    <w:rsid w:val="000F4AEB"/>
    <w:rsid w:val="000F4B40"/>
    <w:rsid w:val="000F4C3B"/>
    <w:rsid w:val="000F4E7B"/>
    <w:rsid w:val="000F57C3"/>
    <w:rsid w:val="000F5C37"/>
    <w:rsid w:val="000F5DF0"/>
    <w:rsid w:val="000F6A0B"/>
    <w:rsid w:val="000F74F9"/>
    <w:rsid w:val="000F7695"/>
    <w:rsid w:val="001012E3"/>
    <w:rsid w:val="001014A2"/>
    <w:rsid w:val="00101EEB"/>
    <w:rsid w:val="00103088"/>
    <w:rsid w:val="001035A1"/>
    <w:rsid w:val="0010375A"/>
    <w:rsid w:val="001038ED"/>
    <w:rsid w:val="001042B0"/>
    <w:rsid w:val="00106C53"/>
    <w:rsid w:val="00106F4F"/>
    <w:rsid w:val="001071D3"/>
    <w:rsid w:val="001075A8"/>
    <w:rsid w:val="00110259"/>
    <w:rsid w:val="00110AA9"/>
    <w:rsid w:val="00110C66"/>
    <w:rsid w:val="0011254D"/>
    <w:rsid w:val="001139C2"/>
    <w:rsid w:val="00114559"/>
    <w:rsid w:val="00114EA9"/>
    <w:rsid w:val="00115ED0"/>
    <w:rsid w:val="0011683C"/>
    <w:rsid w:val="001179E8"/>
    <w:rsid w:val="00117DDF"/>
    <w:rsid w:val="0012021B"/>
    <w:rsid w:val="001208D8"/>
    <w:rsid w:val="00121EA1"/>
    <w:rsid w:val="0012222D"/>
    <w:rsid w:val="001255E6"/>
    <w:rsid w:val="00125DA1"/>
    <w:rsid w:val="0012644A"/>
    <w:rsid w:val="00127060"/>
    <w:rsid w:val="001276FA"/>
    <w:rsid w:val="00130326"/>
    <w:rsid w:val="0013053A"/>
    <w:rsid w:val="0013066A"/>
    <w:rsid w:val="001315EF"/>
    <w:rsid w:val="00131F39"/>
    <w:rsid w:val="00132375"/>
    <w:rsid w:val="00132E73"/>
    <w:rsid w:val="00133505"/>
    <w:rsid w:val="00134188"/>
    <w:rsid w:val="00136D0D"/>
    <w:rsid w:val="00136E83"/>
    <w:rsid w:val="00137403"/>
    <w:rsid w:val="0013767E"/>
    <w:rsid w:val="00140706"/>
    <w:rsid w:val="0014122A"/>
    <w:rsid w:val="00141E85"/>
    <w:rsid w:val="0014319C"/>
    <w:rsid w:val="0014357C"/>
    <w:rsid w:val="001436B3"/>
    <w:rsid w:val="00143976"/>
    <w:rsid w:val="00143DAC"/>
    <w:rsid w:val="00144622"/>
    <w:rsid w:val="00144781"/>
    <w:rsid w:val="00144917"/>
    <w:rsid w:val="00144BA1"/>
    <w:rsid w:val="0014702D"/>
    <w:rsid w:val="00147596"/>
    <w:rsid w:val="00152718"/>
    <w:rsid w:val="001530CF"/>
    <w:rsid w:val="00153F12"/>
    <w:rsid w:val="0015414E"/>
    <w:rsid w:val="001543DB"/>
    <w:rsid w:val="00154B38"/>
    <w:rsid w:val="00155473"/>
    <w:rsid w:val="00155DC2"/>
    <w:rsid w:val="00156D90"/>
    <w:rsid w:val="00156E9F"/>
    <w:rsid w:val="00157A57"/>
    <w:rsid w:val="00157DB6"/>
    <w:rsid w:val="00157EC2"/>
    <w:rsid w:val="00161850"/>
    <w:rsid w:val="00162A68"/>
    <w:rsid w:val="00162E08"/>
    <w:rsid w:val="001633F1"/>
    <w:rsid w:val="0016531E"/>
    <w:rsid w:val="0016565C"/>
    <w:rsid w:val="00166314"/>
    <w:rsid w:val="00166746"/>
    <w:rsid w:val="00167590"/>
    <w:rsid w:val="00167592"/>
    <w:rsid w:val="00167918"/>
    <w:rsid w:val="00167B44"/>
    <w:rsid w:val="00167C1E"/>
    <w:rsid w:val="0017043B"/>
    <w:rsid w:val="001706A1"/>
    <w:rsid w:val="00170914"/>
    <w:rsid w:val="00170DF2"/>
    <w:rsid w:val="00174097"/>
    <w:rsid w:val="00174841"/>
    <w:rsid w:val="001761FD"/>
    <w:rsid w:val="0017649E"/>
    <w:rsid w:val="00177161"/>
    <w:rsid w:val="00177D61"/>
    <w:rsid w:val="00180125"/>
    <w:rsid w:val="001808CA"/>
    <w:rsid w:val="00180923"/>
    <w:rsid w:val="00180CE5"/>
    <w:rsid w:val="00181B78"/>
    <w:rsid w:val="00181BAA"/>
    <w:rsid w:val="00181D2D"/>
    <w:rsid w:val="0018210A"/>
    <w:rsid w:val="00182DE0"/>
    <w:rsid w:val="001837FA"/>
    <w:rsid w:val="0018386C"/>
    <w:rsid w:val="00184479"/>
    <w:rsid w:val="0018455C"/>
    <w:rsid w:val="0018472C"/>
    <w:rsid w:val="00184838"/>
    <w:rsid w:val="00185755"/>
    <w:rsid w:val="00186CCE"/>
    <w:rsid w:val="00187398"/>
    <w:rsid w:val="00187F73"/>
    <w:rsid w:val="00187FB0"/>
    <w:rsid w:val="001902E9"/>
    <w:rsid w:val="00190327"/>
    <w:rsid w:val="00190A0A"/>
    <w:rsid w:val="001926F2"/>
    <w:rsid w:val="00193BCE"/>
    <w:rsid w:val="00193F50"/>
    <w:rsid w:val="00194B87"/>
    <w:rsid w:val="0019569A"/>
    <w:rsid w:val="00195962"/>
    <w:rsid w:val="00196157"/>
    <w:rsid w:val="00197533"/>
    <w:rsid w:val="001977E7"/>
    <w:rsid w:val="00197CCA"/>
    <w:rsid w:val="001A0D8A"/>
    <w:rsid w:val="001A192D"/>
    <w:rsid w:val="001A2553"/>
    <w:rsid w:val="001A3DB3"/>
    <w:rsid w:val="001A3F66"/>
    <w:rsid w:val="001A50E0"/>
    <w:rsid w:val="001A530F"/>
    <w:rsid w:val="001A71D3"/>
    <w:rsid w:val="001A7521"/>
    <w:rsid w:val="001A7C72"/>
    <w:rsid w:val="001B05B5"/>
    <w:rsid w:val="001B084B"/>
    <w:rsid w:val="001B0955"/>
    <w:rsid w:val="001B0CEC"/>
    <w:rsid w:val="001B0FFC"/>
    <w:rsid w:val="001B1CF2"/>
    <w:rsid w:val="001B268E"/>
    <w:rsid w:val="001B4170"/>
    <w:rsid w:val="001B4388"/>
    <w:rsid w:val="001B463E"/>
    <w:rsid w:val="001B49E0"/>
    <w:rsid w:val="001B5377"/>
    <w:rsid w:val="001B6553"/>
    <w:rsid w:val="001B6647"/>
    <w:rsid w:val="001B6A47"/>
    <w:rsid w:val="001B6B0A"/>
    <w:rsid w:val="001B6C3C"/>
    <w:rsid w:val="001B7AF4"/>
    <w:rsid w:val="001C0824"/>
    <w:rsid w:val="001C0B83"/>
    <w:rsid w:val="001C1510"/>
    <w:rsid w:val="001C1989"/>
    <w:rsid w:val="001C28FD"/>
    <w:rsid w:val="001C3349"/>
    <w:rsid w:val="001C47E2"/>
    <w:rsid w:val="001C4ABA"/>
    <w:rsid w:val="001C546B"/>
    <w:rsid w:val="001C5EA2"/>
    <w:rsid w:val="001C6608"/>
    <w:rsid w:val="001C6C7D"/>
    <w:rsid w:val="001D1CB1"/>
    <w:rsid w:val="001D2AC0"/>
    <w:rsid w:val="001D2DBA"/>
    <w:rsid w:val="001D2E22"/>
    <w:rsid w:val="001D2FD0"/>
    <w:rsid w:val="001D341B"/>
    <w:rsid w:val="001D3830"/>
    <w:rsid w:val="001D3BA6"/>
    <w:rsid w:val="001D5564"/>
    <w:rsid w:val="001D6FAA"/>
    <w:rsid w:val="001D70FA"/>
    <w:rsid w:val="001D7BA9"/>
    <w:rsid w:val="001E039D"/>
    <w:rsid w:val="001E0EEB"/>
    <w:rsid w:val="001E117A"/>
    <w:rsid w:val="001E16B5"/>
    <w:rsid w:val="001E22E7"/>
    <w:rsid w:val="001E2714"/>
    <w:rsid w:val="001E398C"/>
    <w:rsid w:val="001E4456"/>
    <w:rsid w:val="001E4DDC"/>
    <w:rsid w:val="001E7486"/>
    <w:rsid w:val="001E774F"/>
    <w:rsid w:val="001E7C1D"/>
    <w:rsid w:val="001F073F"/>
    <w:rsid w:val="001F1C44"/>
    <w:rsid w:val="001F3009"/>
    <w:rsid w:val="001F3358"/>
    <w:rsid w:val="001F35CB"/>
    <w:rsid w:val="001F360C"/>
    <w:rsid w:val="001F390F"/>
    <w:rsid w:val="001F4492"/>
    <w:rsid w:val="001F5CD1"/>
    <w:rsid w:val="001F7257"/>
    <w:rsid w:val="001F7739"/>
    <w:rsid w:val="001F7AB9"/>
    <w:rsid w:val="0020011B"/>
    <w:rsid w:val="00200D35"/>
    <w:rsid w:val="0020187E"/>
    <w:rsid w:val="00201D7C"/>
    <w:rsid w:val="00201DC6"/>
    <w:rsid w:val="00202375"/>
    <w:rsid w:val="002025EA"/>
    <w:rsid w:val="0020286A"/>
    <w:rsid w:val="00202884"/>
    <w:rsid w:val="00202E44"/>
    <w:rsid w:val="00203556"/>
    <w:rsid w:val="00204B72"/>
    <w:rsid w:val="00204D0F"/>
    <w:rsid w:val="00204DB6"/>
    <w:rsid w:val="002056ED"/>
    <w:rsid w:val="00205C3A"/>
    <w:rsid w:val="00210040"/>
    <w:rsid w:val="0021072C"/>
    <w:rsid w:val="00211793"/>
    <w:rsid w:val="00211C11"/>
    <w:rsid w:val="0021220C"/>
    <w:rsid w:val="00212345"/>
    <w:rsid w:val="00213E48"/>
    <w:rsid w:val="00214809"/>
    <w:rsid w:val="002149A1"/>
    <w:rsid w:val="00214E7A"/>
    <w:rsid w:val="00215BFE"/>
    <w:rsid w:val="00215C44"/>
    <w:rsid w:val="00216E73"/>
    <w:rsid w:val="0021774C"/>
    <w:rsid w:val="00217FF6"/>
    <w:rsid w:val="002209EF"/>
    <w:rsid w:val="00220AFE"/>
    <w:rsid w:val="00220D8A"/>
    <w:rsid w:val="00221101"/>
    <w:rsid w:val="00222386"/>
    <w:rsid w:val="00222F51"/>
    <w:rsid w:val="002230E1"/>
    <w:rsid w:val="00223361"/>
    <w:rsid w:val="002233DD"/>
    <w:rsid w:val="002244BA"/>
    <w:rsid w:val="002247AA"/>
    <w:rsid w:val="00224DA7"/>
    <w:rsid w:val="00225370"/>
    <w:rsid w:val="002261CB"/>
    <w:rsid w:val="002264A1"/>
    <w:rsid w:val="002268BF"/>
    <w:rsid w:val="00227BDE"/>
    <w:rsid w:val="00230045"/>
    <w:rsid w:val="0023014E"/>
    <w:rsid w:val="002308FA"/>
    <w:rsid w:val="0023129E"/>
    <w:rsid w:val="0023132F"/>
    <w:rsid w:val="00231AA5"/>
    <w:rsid w:val="00232F90"/>
    <w:rsid w:val="0023339B"/>
    <w:rsid w:val="0023469C"/>
    <w:rsid w:val="00234C71"/>
    <w:rsid w:val="00234D6C"/>
    <w:rsid w:val="00235511"/>
    <w:rsid w:val="00236414"/>
    <w:rsid w:val="002366E0"/>
    <w:rsid w:val="00236DE1"/>
    <w:rsid w:val="002372EE"/>
    <w:rsid w:val="002372FD"/>
    <w:rsid w:val="0023764D"/>
    <w:rsid w:val="002407CC"/>
    <w:rsid w:val="002415BC"/>
    <w:rsid w:val="002434B2"/>
    <w:rsid w:val="002442F4"/>
    <w:rsid w:val="002445EA"/>
    <w:rsid w:val="00244ECE"/>
    <w:rsid w:val="00244FC5"/>
    <w:rsid w:val="00245D1D"/>
    <w:rsid w:val="00250EDA"/>
    <w:rsid w:val="00251502"/>
    <w:rsid w:val="002518E8"/>
    <w:rsid w:val="00251C10"/>
    <w:rsid w:val="00252E1E"/>
    <w:rsid w:val="002538BA"/>
    <w:rsid w:val="00253AA3"/>
    <w:rsid w:val="0025469D"/>
    <w:rsid w:val="002552B1"/>
    <w:rsid w:val="00255D01"/>
    <w:rsid w:val="00256E55"/>
    <w:rsid w:val="002579DD"/>
    <w:rsid w:val="00257E0E"/>
    <w:rsid w:val="00257FF4"/>
    <w:rsid w:val="00260FCB"/>
    <w:rsid w:val="0026159C"/>
    <w:rsid w:val="002615F5"/>
    <w:rsid w:val="002616B9"/>
    <w:rsid w:val="0026217B"/>
    <w:rsid w:val="002629E4"/>
    <w:rsid w:val="00263FE3"/>
    <w:rsid w:val="00265436"/>
    <w:rsid w:val="00265593"/>
    <w:rsid w:val="002675EA"/>
    <w:rsid w:val="00267BC5"/>
    <w:rsid w:val="00267CBE"/>
    <w:rsid w:val="00267E0B"/>
    <w:rsid w:val="00270680"/>
    <w:rsid w:val="00271103"/>
    <w:rsid w:val="002721FA"/>
    <w:rsid w:val="0027230C"/>
    <w:rsid w:val="0027237D"/>
    <w:rsid w:val="00272B99"/>
    <w:rsid w:val="0027380D"/>
    <w:rsid w:val="00273DEE"/>
    <w:rsid w:val="002740D1"/>
    <w:rsid w:val="002742EB"/>
    <w:rsid w:val="0027468E"/>
    <w:rsid w:val="00274826"/>
    <w:rsid w:val="00275005"/>
    <w:rsid w:val="002752AB"/>
    <w:rsid w:val="002756D6"/>
    <w:rsid w:val="0027573C"/>
    <w:rsid w:val="00277AB0"/>
    <w:rsid w:val="002815D0"/>
    <w:rsid w:val="002819BF"/>
    <w:rsid w:val="002820A7"/>
    <w:rsid w:val="0028367C"/>
    <w:rsid w:val="00283B82"/>
    <w:rsid w:val="00283E13"/>
    <w:rsid w:val="00286478"/>
    <w:rsid w:val="00287EDD"/>
    <w:rsid w:val="0029141B"/>
    <w:rsid w:val="002927D3"/>
    <w:rsid w:val="00294BDE"/>
    <w:rsid w:val="00294EBA"/>
    <w:rsid w:val="00295DB6"/>
    <w:rsid w:val="0029788B"/>
    <w:rsid w:val="00297D1B"/>
    <w:rsid w:val="00297F4D"/>
    <w:rsid w:val="002A0226"/>
    <w:rsid w:val="002A0661"/>
    <w:rsid w:val="002A0A96"/>
    <w:rsid w:val="002A0E7B"/>
    <w:rsid w:val="002A1B37"/>
    <w:rsid w:val="002A1CF2"/>
    <w:rsid w:val="002A2ED0"/>
    <w:rsid w:val="002A3A84"/>
    <w:rsid w:val="002A3D43"/>
    <w:rsid w:val="002A404B"/>
    <w:rsid w:val="002A4101"/>
    <w:rsid w:val="002A4C3E"/>
    <w:rsid w:val="002A56BC"/>
    <w:rsid w:val="002A5C53"/>
    <w:rsid w:val="002A61AE"/>
    <w:rsid w:val="002A6AD6"/>
    <w:rsid w:val="002A72CC"/>
    <w:rsid w:val="002A76AB"/>
    <w:rsid w:val="002A7A4F"/>
    <w:rsid w:val="002A7AFE"/>
    <w:rsid w:val="002B01DB"/>
    <w:rsid w:val="002B09C0"/>
    <w:rsid w:val="002B0C4D"/>
    <w:rsid w:val="002B13B3"/>
    <w:rsid w:val="002B183D"/>
    <w:rsid w:val="002B1DBF"/>
    <w:rsid w:val="002B207F"/>
    <w:rsid w:val="002B2A48"/>
    <w:rsid w:val="002B2BEE"/>
    <w:rsid w:val="002B2DA3"/>
    <w:rsid w:val="002B31AD"/>
    <w:rsid w:val="002B3EA7"/>
    <w:rsid w:val="002B493E"/>
    <w:rsid w:val="002B4BAE"/>
    <w:rsid w:val="002B538B"/>
    <w:rsid w:val="002B581B"/>
    <w:rsid w:val="002C2892"/>
    <w:rsid w:val="002C4133"/>
    <w:rsid w:val="002C4BA3"/>
    <w:rsid w:val="002C58AB"/>
    <w:rsid w:val="002C6879"/>
    <w:rsid w:val="002C6D84"/>
    <w:rsid w:val="002C7D21"/>
    <w:rsid w:val="002D10A1"/>
    <w:rsid w:val="002D1564"/>
    <w:rsid w:val="002D1CA4"/>
    <w:rsid w:val="002D2C09"/>
    <w:rsid w:val="002D2C45"/>
    <w:rsid w:val="002D3121"/>
    <w:rsid w:val="002D4969"/>
    <w:rsid w:val="002D4EE1"/>
    <w:rsid w:val="002D4F49"/>
    <w:rsid w:val="002D5CC8"/>
    <w:rsid w:val="002D778E"/>
    <w:rsid w:val="002D7CA1"/>
    <w:rsid w:val="002E04D7"/>
    <w:rsid w:val="002E06DD"/>
    <w:rsid w:val="002E171A"/>
    <w:rsid w:val="002E2A24"/>
    <w:rsid w:val="002E3D66"/>
    <w:rsid w:val="002E3F11"/>
    <w:rsid w:val="002E4B11"/>
    <w:rsid w:val="002E4F70"/>
    <w:rsid w:val="002E5886"/>
    <w:rsid w:val="002E5AD3"/>
    <w:rsid w:val="002E635D"/>
    <w:rsid w:val="002E7562"/>
    <w:rsid w:val="002F071F"/>
    <w:rsid w:val="002F1378"/>
    <w:rsid w:val="002F16D5"/>
    <w:rsid w:val="002F1A90"/>
    <w:rsid w:val="002F1C2F"/>
    <w:rsid w:val="002F21F9"/>
    <w:rsid w:val="002F3D1C"/>
    <w:rsid w:val="002F4EA1"/>
    <w:rsid w:val="002F52DE"/>
    <w:rsid w:val="002F55C1"/>
    <w:rsid w:val="002F6F94"/>
    <w:rsid w:val="002F797A"/>
    <w:rsid w:val="00300483"/>
    <w:rsid w:val="00301C91"/>
    <w:rsid w:val="00303F2B"/>
    <w:rsid w:val="00304607"/>
    <w:rsid w:val="0030467A"/>
    <w:rsid w:val="0030467C"/>
    <w:rsid w:val="00304D4E"/>
    <w:rsid w:val="00304FFD"/>
    <w:rsid w:val="003055DB"/>
    <w:rsid w:val="00305608"/>
    <w:rsid w:val="00305B72"/>
    <w:rsid w:val="0030610A"/>
    <w:rsid w:val="00306237"/>
    <w:rsid w:val="00306627"/>
    <w:rsid w:val="003069DD"/>
    <w:rsid w:val="00306CAB"/>
    <w:rsid w:val="0031146E"/>
    <w:rsid w:val="0031146F"/>
    <w:rsid w:val="00311795"/>
    <w:rsid w:val="003117B1"/>
    <w:rsid w:val="00311B70"/>
    <w:rsid w:val="00311CBE"/>
    <w:rsid w:val="00312280"/>
    <w:rsid w:val="00312CD0"/>
    <w:rsid w:val="0031449F"/>
    <w:rsid w:val="003145A5"/>
    <w:rsid w:val="003148B9"/>
    <w:rsid w:val="00314A2E"/>
    <w:rsid w:val="00315266"/>
    <w:rsid w:val="003168DE"/>
    <w:rsid w:val="0031693B"/>
    <w:rsid w:val="003169CE"/>
    <w:rsid w:val="00316C5C"/>
    <w:rsid w:val="00316F0A"/>
    <w:rsid w:val="00317DC7"/>
    <w:rsid w:val="003200F9"/>
    <w:rsid w:val="0032014B"/>
    <w:rsid w:val="00320F38"/>
    <w:rsid w:val="00321183"/>
    <w:rsid w:val="00321694"/>
    <w:rsid w:val="00321F0A"/>
    <w:rsid w:val="003223CE"/>
    <w:rsid w:val="00322A2D"/>
    <w:rsid w:val="00322E80"/>
    <w:rsid w:val="00323DB4"/>
    <w:rsid w:val="00324D5B"/>
    <w:rsid w:val="00325011"/>
    <w:rsid w:val="00325045"/>
    <w:rsid w:val="00325CE2"/>
    <w:rsid w:val="00325D91"/>
    <w:rsid w:val="003267B4"/>
    <w:rsid w:val="00327DD8"/>
    <w:rsid w:val="00327E44"/>
    <w:rsid w:val="00331193"/>
    <w:rsid w:val="003333D4"/>
    <w:rsid w:val="00334951"/>
    <w:rsid w:val="00335569"/>
    <w:rsid w:val="00336411"/>
    <w:rsid w:val="0033678D"/>
    <w:rsid w:val="0033720D"/>
    <w:rsid w:val="003373E8"/>
    <w:rsid w:val="00341692"/>
    <w:rsid w:val="00341857"/>
    <w:rsid w:val="003443DD"/>
    <w:rsid w:val="00344D5A"/>
    <w:rsid w:val="00345DE1"/>
    <w:rsid w:val="0034631E"/>
    <w:rsid w:val="00346EB6"/>
    <w:rsid w:val="00347EDB"/>
    <w:rsid w:val="00350797"/>
    <w:rsid w:val="00351A85"/>
    <w:rsid w:val="003520FB"/>
    <w:rsid w:val="003522E8"/>
    <w:rsid w:val="00353989"/>
    <w:rsid w:val="00353DA3"/>
    <w:rsid w:val="00355B7A"/>
    <w:rsid w:val="00355EAD"/>
    <w:rsid w:val="0035617C"/>
    <w:rsid w:val="00356E7E"/>
    <w:rsid w:val="00356EB8"/>
    <w:rsid w:val="00357B83"/>
    <w:rsid w:val="003614A8"/>
    <w:rsid w:val="0036160E"/>
    <w:rsid w:val="00362610"/>
    <w:rsid w:val="003627A9"/>
    <w:rsid w:val="003628C9"/>
    <w:rsid w:val="00362C3A"/>
    <w:rsid w:val="00363234"/>
    <w:rsid w:val="00363830"/>
    <w:rsid w:val="00363D2D"/>
    <w:rsid w:val="00364BB6"/>
    <w:rsid w:val="00364D6B"/>
    <w:rsid w:val="00365408"/>
    <w:rsid w:val="00365CC0"/>
    <w:rsid w:val="003668DF"/>
    <w:rsid w:val="00367688"/>
    <w:rsid w:val="00372221"/>
    <w:rsid w:val="003727F5"/>
    <w:rsid w:val="00372CF2"/>
    <w:rsid w:val="00373843"/>
    <w:rsid w:val="00374C7E"/>
    <w:rsid w:val="003770F6"/>
    <w:rsid w:val="00377353"/>
    <w:rsid w:val="0037736B"/>
    <w:rsid w:val="0038062B"/>
    <w:rsid w:val="00381A9B"/>
    <w:rsid w:val="00381F57"/>
    <w:rsid w:val="0038216E"/>
    <w:rsid w:val="003822E5"/>
    <w:rsid w:val="003830B8"/>
    <w:rsid w:val="00383262"/>
    <w:rsid w:val="00384F16"/>
    <w:rsid w:val="00386FBF"/>
    <w:rsid w:val="00390CAF"/>
    <w:rsid w:val="0039265C"/>
    <w:rsid w:val="00393633"/>
    <w:rsid w:val="00394ABB"/>
    <w:rsid w:val="003A157A"/>
    <w:rsid w:val="003A283F"/>
    <w:rsid w:val="003A2A16"/>
    <w:rsid w:val="003A2FDD"/>
    <w:rsid w:val="003A31A8"/>
    <w:rsid w:val="003A3A79"/>
    <w:rsid w:val="003A3C43"/>
    <w:rsid w:val="003A5CCC"/>
    <w:rsid w:val="003A70FF"/>
    <w:rsid w:val="003A74D2"/>
    <w:rsid w:val="003A756B"/>
    <w:rsid w:val="003A75AC"/>
    <w:rsid w:val="003A7902"/>
    <w:rsid w:val="003B23D7"/>
    <w:rsid w:val="003B34CB"/>
    <w:rsid w:val="003B3AB4"/>
    <w:rsid w:val="003B3CA8"/>
    <w:rsid w:val="003B4096"/>
    <w:rsid w:val="003B45D5"/>
    <w:rsid w:val="003B52FE"/>
    <w:rsid w:val="003B571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388F"/>
    <w:rsid w:val="003D46A7"/>
    <w:rsid w:val="003D6376"/>
    <w:rsid w:val="003E1235"/>
    <w:rsid w:val="003E2A35"/>
    <w:rsid w:val="003E2B56"/>
    <w:rsid w:val="003E2CE1"/>
    <w:rsid w:val="003E2DCB"/>
    <w:rsid w:val="003E40BD"/>
    <w:rsid w:val="003E4C3F"/>
    <w:rsid w:val="003E4D7C"/>
    <w:rsid w:val="003E5092"/>
    <w:rsid w:val="003E5F48"/>
    <w:rsid w:val="003E5FA8"/>
    <w:rsid w:val="003E6252"/>
    <w:rsid w:val="003E69EE"/>
    <w:rsid w:val="003E78C5"/>
    <w:rsid w:val="003F1200"/>
    <w:rsid w:val="003F1224"/>
    <w:rsid w:val="003F1421"/>
    <w:rsid w:val="003F1844"/>
    <w:rsid w:val="003F241E"/>
    <w:rsid w:val="003F28C0"/>
    <w:rsid w:val="003F4594"/>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5FB"/>
    <w:rsid w:val="0040578B"/>
    <w:rsid w:val="004065D6"/>
    <w:rsid w:val="0040687D"/>
    <w:rsid w:val="00406D2D"/>
    <w:rsid w:val="0040709D"/>
    <w:rsid w:val="0040713F"/>
    <w:rsid w:val="0040749B"/>
    <w:rsid w:val="004075A3"/>
    <w:rsid w:val="004101F9"/>
    <w:rsid w:val="00410C48"/>
    <w:rsid w:val="00416277"/>
    <w:rsid w:val="00416E24"/>
    <w:rsid w:val="0042063D"/>
    <w:rsid w:val="00422362"/>
    <w:rsid w:val="00422B23"/>
    <w:rsid w:val="00423A60"/>
    <w:rsid w:val="00425413"/>
    <w:rsid w:val="004256F6"/>
    <w:rsid w:val="0042651C"/>
    <w:rsid w:val="00426E9B"/>
    <w:rsid w:val="00427615"/>
    <w:rsid w:val="00427D55"/>
    <w:rsid w:val="0043176C"/>
    <w:rsid w:val="0043233C"/>
    <w:rsid w:val="004345A6"/>
    <w:rsid w:val="00435B2F"/>
    <w:rsid w:val="00435E03"/>
    <w:rsid w:val="004373E1"/>
    <w:rsid w:val="004374A3"/>
    <w:rsid w:val="00437A7E"/>
    <w:rsid w:val="00437B6C"/>
    <w:rsid w:val="00440144"/>
    <w:rsid w:val="0044064E"/>
    <w:rsid w:val="00440805"/>
    <w:rsid w:val="004412E1"/>
    <w:rsid w:val="00441554"/>
    <w:rsid w:val="00442505"/>
    <w:rsid w:val="00442E48"/>
    <w:rsid w:val="00443DCD"/>
    <w:rsid w:val="00443E7E"/>
    <w:rsid w:val="00444C06"/>
    <w:rsid w:val="00444F71"/>
    <w:rsid w:val="004454DF"/>
    <w:rsid w:val="0044627D"/>
    <w:rsid w:val="0044671F"/>
    <w:rsid w:val="00446804"/>
    <w:rsid w:val="004478D4"/>
    <w:rsid w:val="00450380"/>
    <w:rsid w:val="004505C6"/>
    <w:rsid w:val="004520CD"/>
    <w:rsid w:val="00452DF3"/>
    <w:rsid w:val="004534F5"/>
    <w:rsid w:val="00453765"/>
    <w:rsid w:val="00453AA7"/>
    <w:rsid w:val="00454EC3"/>
    <w:rsid w:val="0045530A"/>
    <w:rsid w:val="004554AE"/>
    <w:rsid w:val="004554C3"/>
    <w:rsid w:val="00455FB6"/>
    <w:rsid w:val="00457197"/>
    <w:rsid w:val="00457555"/>
    <w:rsid w:val="00457971"/>
    <w:rsid w:val="00457DD8"/>
    <w:rsid w:val="004603D0"/>
    <w:rsid w:val="004624AE"/>
    <w:rsid w:val="0046250E"/>
    <w:rsid w:val="00462E9C"/>
    <w:rsid w:val="0046325C"/>
    <w:rsid w:val="00464B48"/>
    <w:rsid w:val="00465231"/>
    <w:rsid w:val="00465AC1"/>
    <w:rsid w:val="004662AD"/>
    <w:rsid w:val="00466516"/>
    <w:rsid w:val="00467B65"/>
    <w:rsid w:val="00471EA5"/>
    <w:rsid w:val="004720C9"/>
    <w:rsid w:val="00472257"/>
    <w:rsid w:val="00472C7E"/>
    <w:rsid w:val="00472E49"/>
    <w:rsid w:val="004732BB"/>
    <w:rsid w:val="00473789"/>
    <w:rsid w:val="00474C60"/>
    <w:rsid w:val="00475944"/>
    <w:rsid w:val="00475C04"/>
    <w:rsid w:val="00475DF0"/>
    <w:rsid w:val="00476525"/>
    <w:rsid w:val="004772E2"/>
    <w:rsid w:val="0047739F"/>
    <w:rsid w:val="00477500"/>
    <w:rsid w:val="00477C5D"/>
    <w:rsid w:val="00477F97"/>
    <w:rsid w:val="004804F6"/>
    <w:rsid w:val="00480646"/>
    <w:rsid w:val="004808E8"/>
    <w:rsid w:val="00480A2D"/>
    <w:rsid w:val="00480AFB"/>
    <w:rsid w:val="00481247"/>
    <w:rsid w:val="004828DC"/>
    <w:rsid w:val="00482FF7"/>
    <w:rsid w:val="00483098"/>
    <w:rsid w:val="00483AFB"/>
    <w:rsid w:val="0048402B"/>
    <w:rsid w:val="0048414A"/>
    <w:rsid w:val="004858ED"/>
    <w:rsid w:val="00485C56"/>
    <w:rsid w:val="00485DEF"/>
    <w:rsid w:val="00486B79"/>
    <w:rsid w:val="00486CA2"/>
    <w:rsid w:val="00490B25"/>
    <w:rsid w:val="00490FD6"/>
    <w:rsid w:val="004911C4"/>
    <w:rsid w:val="004930E4"/>
    <w:rsid w:val="0049455C"/>
    <w:rsid w:val="00494CC8"/>
    <w:rsid w:val="004955E7"/>
    <w:rsid w:val="0049589C"/>
    <w:rsid w:val="00495EF1"/>
    <w:rsid w:val="00496B31"/>
    <w:rsid w:val="00496ED4"/>
    <w:rsid w:val="00497D4A"/>
    <w:rsid w:val="004A0441"/>
    <w:rsid w:val="004A084C"/>
    <w:rsid w:val="004A15B3"/>
    <w:rsid w:val="004A1D01"/>
    <w:rsid w:val="004A2A54"/>
    <w:rsid w:val="004A2EF3"/>
    <w:rsid w:val="004A3B0D"/>
    <w:rsid w:val="004A52F5"/>
    <w:rsid w:val="004A5D3A"/>
    <w:rsid w:val="004A5DFF"/>
    <w:rsid w:val="004A6897"/>
    <w:rsid w:val="004A692B"/>
    <w:rsid w:val="004A6EB6"/>
    <w:rsid w:val="004A794C"/>
    <w:rsid w:val="004B0584"/>
    <w:rsid w:val="004B3EC7"/>
    <w:rsid w:val="004B486B"/>
    <w:rsid w:val="004B5664"/>
    <w:rsid w:val="004C17E6"/>
    <w:rsid w:val="004C2107"/>
    <w:rsid w:val="004C3C63"/>
    <w:rsid w:val="004C3FB5"/>
    <w:rsid w:val="004C5FC6"/>
    <w:rsid w:val="004C6435"/>
    <w:rsid w:val="004C649B"/>
    <w:rsid w:val="004C7B9C"/>
    <w:rsid w:val="004C7D55"/>
    <w:rsid w:val="004D0899"/>
    <w:rsid w:val="004D089A"/>
    <w:rsid w:val="004D0900"/>
    <w:rsid w:val="004D29F0"/>
    <w:rsid w:val="004D3184"/>
    <w:rsid w:val="004D5030"/>
    <w:rsid w:val="004D6045"/>
    <w:rsid w:val="004D6529"/>
    <w:rsid w:val="004D6D26"/>
    <w:rsid w:val="004D7546"/>
    <w:rsid w:val="004D7EC5"/>
    <w:rsid w:val="004E02B0"/>
    <w:rsid w:val="004E065E"/>
    <w:rsid w:val="004E0B29"/>
    <w:rsid w:val="004E0E11"/>
    <w:rsid w:val="004E0F08"/>
    <w:rsid w:val="004E1546"/>
    <w:rsid w:val="004E19DC"/>
    <w:rsid w:val="004E1F84"/>
    <w:rsid w:val="004E35E8"/>
    <w:rsid w:val="004E4B53"/>
    <w:rsid w:val="004E50F0"/>
    <w:rsid w:val="004E6A03"/>
    <w:rsid w:val="004F0070"/>
    <w:rsid w:val="004F0468"/>
    <w:rsid w:val="004F0C51"/>
    <w:rsid w:val="004F132E"/>
    <w:rsid w:val="004F263C"/>
    <w:rsid w:val="004F2BB1"/>
    <w:rsid w:val="004F2EC7"/>
    <w:rsid w:val="004F2FDB"/>
    <w:rsid w:val="004F3CE8"/>
    <w:rsid w:val="004F4A8F"/>
    <w:rsid w:val="004F5229"/>
    <w:rsid w:val="004F6BFB"/>
    <w:rsid w:val="004F7E4A"/>
    <w:rsid w:val="00500345"/>
    <w:rsid w:val="00500935"/>
    <w:rsid w:val="0050147C"/>
    <w:rsid w:val="0050182B"/>
    <w:rsid w:val="005021FF"/>
    <w:rsid w:val="00502579"/>
    <w:rsid w:val="005029F7"/>
    <w:rsid w:val="00502FA5"/>
    <w:rsid w:val="00503D4C"/>
    <w:rsid w:val="00504C0C"/>
    <w:rsid w:val="00504E48"/>
    <w:rsid w:val="005070FF"/>
    <w:rsid w:val="0051172B"/>
    <w:rsid w:val="00512BBC"/>
    <w:rsid w:val="00512CDD"/>
    <w:rsid w:val="00512E23"/>
    <w:rsid w:val="005133F4"/>
    <w:rsid w:val="005134FB"/>
    <w:rsid w:val="005135FD"/>
    <w:rsid w:val="0051366C"/>
    <w:rsid w:val="00513CF1"/>
    <w:rsid w:val="0051684F"/>
    <w:rsid w:val="00516A92"/>
    <w:rsid w:val="00516B9F"/>
    <w:rsid w:val="00517693"/>
    <w:rsid w:val="005205AB"/>
    <w:rsid w:val="00521B0C"/>
    <w:rsid w:val="00523378"/>
    <w:rsid w:val="00523384"/>
    <w:rsid w:val="005243A6"/>
    <w:rsid w:val="00524D5E"/>
    <w:rsid w:val="0052550F"/>
    <w:rsid w:val="00526C0F"/>
    <w:rsid w:val="0052702A"/>
    <w:rsid w:val="00527F7D"/>
    <w:rsid w:val="00530397"/>
    <w:rsid w:val="00530F73"/>
    <w:rsid w:val="00531D07"/>
    <w:rsid w:val="00531FFE"/>
    <w:rsid w:val="00533B8E"/>
    <w:rsid w:val="005344DF"/>
    <w:rsid w:val="00535417"/>
    <w:rsid w:val="00535833"/>
    <w:rsid w:val="00536BC8"/>
    <w:rsid w:val="00536D28"/>
    <w:rsid w:val="005372C5"/>
    <w:rsid w:val="005378CA"/>
    <w:rsid w:val="00537A26"/>
    <w:rsid w:val="00540E47"/>
    <w:rsid w:val="00543283"/>
    <w:rsid w:val="0054364C"/>
    <w:rsid w:val="005453DA"/>
    <w:rsid w:val="00545E9A"/>
    <w:rsid w:val="00546747"/>
    <w:rsid w:val="00546F25"/>
    <w:rsid w:val="00547510"/>
    <w:rsid w:val="00547CB7"/>
    <w:rsid w:val="00547ECC"/>
    <w:rsid w:val="00551D5A"/>
    <w:rsid w:val="00551EC3"/>
    <w:rsid w:val="00553C3D"/>
    <w:rsid w:val="00554A44"/>
    <w:rsid w:val="00554C53"/>
    <w:rsid w:val="00554F18"/>
    <w:rsid w:val="00554F73"/>
    <w:rsid w:val="0055512A"/>
    <w:rsid w:val="00555220"/>
    <w:rsid w:val="005555F0"/>
    <w:rsid w:val="00555739"/>
    <w:rsid w:val="005569D4"/>
    <w:rsid w:val="00556E75"/>
    <w:rsid w:val="00556F2D"/>
    <w:rsid w:val="00557729"/>
    <w:rsid w:val="0056069A"/>
    <w:rsid w:val="005609CC"/>
    <w:rsid w:val="00560C3B"/>
    <w:rsid w:val="00561D3C"/>
    <w:rsid w:val="00561EA1"/>
    <w:rsid w:val="00562799"/>
    <w:rsid w:val="005632DB"/>
    <w:rsid w:val="005636A0"/>
    <w:rsid w:val="00564804"/>
    <w:rsid w:val="00565598"/>
    <w:rsid w:val="00565B5A"/>
    <w:rsid w:val="00565FD3"/>
    <w:rsid w:val="00567E8F"/>
    <w:rsid w:val="00567ED7"/>
    <w:rsid w:val="005702D6"/>
    <w:rsid w:val="00572588"/>
    <w:rsid w:val="00573A50"/>
    <w:rsid w:val="005746D2"/>
    <w:rsid w:val="00574E8A"/>
    <w:rsid w:val="005767CE"/>
    <w:rsid w:val="00577775"/>
    <w:rsid w:val="00580421"/>
    <w:rsid w:val="0058121A"/>
    <w:rsid w:val="005816E0"/>
    <w:rsid w:val="00581863"/>
    <w:rsid w:val="00581EA3"/>
    <w:rsid w:val="0058205A"/>
    <w:rsid w:val="0058260B"/>
    <w:rsid w:val="00584D1E"/>
    <w:rsid w:val="0058585B"/>
    <w:rsid w:val="00586795"/>
    <w:rsid w:val="00586B82"/>
    <w:rsid w:val="00587E13"/>
    <w:rsid w:val="00591AD6"/>
    <w:rsid w:val="005933AA"/>
    <w:rsid w:val="005940AA"/>
    <w:rsid w:val="00594614"/>
    <w:rsid w:val="00594E10"/>
    <w:rsid w:val="00596306"/>
    <w:rsid w:val="00596487"/>
    <w:rsid w:val="005A0809"/>
    <w:rsid w:val="005A0B91"/>
    <w:rsid w:val="005A1494"/>
    <w:rsid w:val="005A3590"/>
    <w:rsid w:val="005A3C82"/>
    <w:rsid w:val="005A4A1C"/>
    <w:rsid w:val="005A5129"/>
    <w:rsid w:val="005A5BD8"/>
    <w:rsid w:val="005A619B"/>
    <w:rsid w:val="005A692A"/>
    <w:rsid w:val="005A6AB8"/>
    <w:rsid w:val="005A78DB"/>
    <w:rsid w:val="005B11C2"/>
    <w:rsid w:val="005B180A"/>
    <w:rsid w:val="005B382C"/>
    <w:rsid w:val="005B3C11"/>
    <w:rsid w:val="005B3FE1"/>
    <w:rsid w:val="005B40DA"/>
    <w:rsid w:val="005B4226"/>
    <w:rsid w:val="005B5AA4"/>
    <w:rsid w:val="005B656B"/>
    <w:rsid w:val="005B71B3"/>
    <w:rsid w:val="005B76A4"/>
    <w:rsid w:val="005C04A7"/>
    <w:rsid w:val="005C17A4"/>
    <w:rsid w:val="005C1FBB"/>
    <w:rsid w:val="005C249A"/>
    <w:rsid w:val="005C27CC"/>
    <w:rsid w:val="005C370D"/>
    <w:rsid w:val="005C504E"/>
    <w:rsid w:val="005C5AFE"/>
    <w:rsid w:val="005C6153"/>
    <w:rsid w:val="005C78B0"/>
    <w:rsid w:val="005C7B95"/>
    <w:rsid w:val="005D01EB"/>
    <w:rsid w:val="005D0DFB"/>
    <w:rsid w:val="005D1112"/>
    <w:rsid w:val="005D237C"/>
    <w:rsid w:val="005D25E2"/>
    <w:rsid w:val="005D25FF"/>
    <w:rsid w:val="005D2632"/>
    <w:rsid w:val="005D2BBF"/>
    <w:rsid w:val="005D38E0"/>
    <w:rsid w:val="005D3F32"/>
    <w:rsid w:val="005D4E3E"/>
    <w:rsid w:val="005D67F7"/>
    <w:rsid w:val="005D7424"/>
    <w:rsid w:val="005D74D7"/>
    <w:rsid w:val="005D7D7E"/>
    <w:rsid w:val="005E0B59"/>
    <w:rsid w:val="005E1105"/>
    <w:rsid w:val="005E162F"/>
    <w:rsid w:val="005E28F0"/>
    <w:rsid w:val="005E2C60"/>
    <w:rsid w:val="005E31F6"/>
    <w:rsid w:val="005E3622"/>
    <w:rsid w:val="005E3947"/>
    <w:rsid w:val="005E5544"/>
    <w:rsid w:val="005E5F74"/>
    <w:rsid w:val="005E60B3"/>
    <w:rsid w:val="005E676C"/>
    <w:rsid w:val="005E6CB9"/>
    <w:rsid w:val="005E7F14"/>
    <w:rsid w:val="005F0154"/>
    <w:rsid w:val="005F0176"/>
    <w:rsid w:val="005F021D"/>
    <w:rsid w:val="005F13E3"/>
    <w:rsid w:val="005F1E39"/>
    <w:rsid w:val="005F1EAC"/>
    <w:rsid w:val="005F257E"/>
    <w:rsid w:val="005F308F"/>
    <w:rsid w:val="005F4869"/>
    <w:rsid w:val="005F4BFD"/>
    <w:rsid w:val="005F56B4"/>
    <w:rsid w:val="005F5748"/>
    <w:rsid w:val="005F5834"/>
    <w:rsid w:val="005F5DED"/>
    <w:rsid w:val="005F5E11"/>
    <w:rsid w:val="006003E5"/>
    <w:rsid w:val="00600E63"/>
    <w:rsid w:val="00601561"/>
    <w:rsid w:val="00601E55"/>
    <w:rsid w:val="00602037"/>
    <w:rsid w:val="006029DD"/>
    <w:rsid w:val="00602C6A"/>
    <w:rsid w:val="00603474"/>
    <w:rsid w:val="00603AF5"/>
    <w:rsid w:val="00606517"/>
    <w:rsid w:val="00606C66"/>
    <w:rsid w:val="00606E2A"/>
    <w:rsid w:val="00610145"/>
    <w:rsid w:val="00610D1F"/>
    <w:rsid w:val="0061204C"/>
    <w:rsid w:val="006123C6"/>
    <w:rsid w:val="00612C02"/>
    <w:rsid w:val="00612CDD"/>
    <w:rsid w:val="0061337C"/>
    <w:rsid w:val="0061562E"/>
    <w:rsid w:val="00616D41"/>
    <w:rsid w:val="00617292"/>
    <w:rsid w:val="006200A9"/>
    <w:rsid w:val="00620D3C"/>
    <w:rsid w:val="00622225"/>
    <w:rsid w:val="00622D03"/>
    <w:rsid w:val="00622DCD"/>
    <w:rsid w:val="00622F57"/>
    <w:rsid w:val="00623DD5"/>
    <w:rsid w:val="00624269"/>
    <w:rsid w:val="00624A34"/>
    <w:rsid w:val="0062568D"/>
    <w:rsid w:val="006256D3"/>
    <w:rsid w:val="006258B8"/>
    <w:rsid w:val="00626502"/>
    <w:rsid w:val="006267F5"/>
    <w:rsid w:val="00627337"/>
    <w:rsid w:val="00630069"/>
    <w:rsid w:val="00630583"/>
    <w:rsid w:val="00630D2E"/>
    <w:rsid w:val="00630D39"/>
    <w:rsid w:val="00631545"/>
    <w:rsid w:val="00631E19"/>
    <w:rsid w:val="00631F54"/>
    <w:rsid w:val="00633E76"/>
    <w:rsid w:val="00633EC9"/>
    <w:rsid w:val="006340F5"/>
    <w:rsid w:val="00634542"/>
    <w:rsid w:val="00635E4D"/>
    <w:rsid w:val="0063620C"/>
    <w:rsid w:val="0063736B"/>
    <w:rsid w:val="00637E18"/>
    <w:rsid w:val="0064032E"/>
    <w:rsid w:val="0064038D"/>
    <w:rsid w:val="00640B14"/>
    <w:rsid w:val="00641A0B"/>
    <w:rsid w:val="00641B24"/>
    <w:rsid w:val="00641D5A"/>
    <w:rsid w:val="00641E06"/>
    <w:rsid w:val="00643007"/>
    <w:rsid w:val="006431D0"/>
    <w:rsid w:val="006432C5"/>
    <w:rsid w:val="006436FA"/>
    <w:rsid w:val="00643852"/>
    <w:rsid w:val="00643C27"/>
    <w:rsid w:val="006455E7"/>
    <w:rsid w:val="00645758"/>
    <w:rsid w:val="00645E7D"/>
    <w:rsid w:val="006461A1"/>
    <w:rsid w:val="00646F79"/>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6AC5"/>
    <w:rsid w:val="00667BBD"/>
    <w:rsid w:val="00670E8D"/>
    <w:rsid w:val="00671149"/>
    <w:rsid w:val="00671615"/>
    <w:rsid w:val="00671741"/>
    <w:rsid w:val="00671766"/>
    <w:rsid w:val="00672914"/>
    <w:rsid w:val="006744C3"/>
    <w:rsid w:val="0067537F"/>
    <w:rsid w:val="006754B7"/>
    <w:rsid w:val="00676410"/>
    <w:rsid w:val="006767FD"/>
    <w:rsid w:val="00676B07"/>
    <w:rsid w:val="00680509"/>
    <w:rsid w:val="006805CB"/>
    <w:rsid w:val="00681CC1"/>
    <w:rsid w:val="0068233B"/>
    <w:rsid w:val="00682E11"/>
    <w:rsid w:val="00683081"/>
    <w:rsid w:val="00684C95"/>
    <w:rsid w:val="006850D3"/>
    <w:rsid w:val="0068515F"/>
    <w:rsid w:val="00685249"/>
    <w:rsid w:val="006856B9"/>
    <w:rsid w:val="00685BDE"/>
    <w:rsid w:val="00686085"/>
    <w:rsid w:val="00686269"/>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709"/>
    <w:rsid w:val="006A5B5E"/>
    <w:rsid w:val="006A613C"/>
    <w:rsid w:val="006A67CB"/>
    <w:rsid w:val="006B0368"/>
    <w:rsid w:val="006B0F6E"/>
    <w:rsid w:val="006B1167"/>
    <w:rsid w:val="006B1302"/>
    <w:rsid w:val="006B1D7B"/>
    <w:rsid w:val="006B2049"/>
    <w:rsid w:val="006B27D4"/>
    <w:rsid w:val="006B2C9C"/>
    <w:rsid w:val="006B48EB"/>
    <w:rsid w:val="006B4C00"/>
    <w:rsid w:val="006B56FC"/>
    <w:rsid w:val="006B5B34"/>
    <w:rsid w:val="006B6056"/>
    <w:rsid w:val="006B6C5E"/>
    <w:rsid w:val="006B6DDA"/>
    <w:rsid w:val="006B73D9"/>
    <w:rsid w:val="006B7DF0"/>
    <w:rsid w:val="006B7E74"/>
    <w:rsid w:val="006C0361"/>
    <w:rsid w:val="006C0D75"/>
    <w:rsid w:val="006C1552"/>
    <w:rsid w:val="006C191D"/>
    <w:rsid w:val="006C1C48"/>
    <w:rsid w:val="006C3C1D"/>
    <w:rsid w:val="006C41FF"/>
    <w:rsid w:val="006C46CA"/>
    <w:rsid w:val="006C4723"/>
    <w:rsid w:val="006C5145"/>
    <w:rsid w:val="006C53FF"/>
    <w:rsid w:val="006C65A8"/>
    <w:rsid w:val="006D05AD"/>
    <w:rsid w:val="006D0EC1"/>
    <w:rsid w:val="006D16F8"/>
    <w:rsid w:val="006D1813"/>
    <w:rsid w:val="006D2368"/>
    <w:rsid w:val="006D24A9"/>
    <w:rsid w:val="006D2AF3"/>
    <w:rsid w:val="006D4D79"/>
    <w:rsid w:val="006D4FBD"/>
    <w:rsid w:val="006D5879"/>
    <w:rsid w:val="006D63FD"/>
    <w:rsid w:val="006D65B4"/>
    <w:rsid w:val="006D6F1D"/>
    <w:rsid w:val="006D754A"/>
    <w:rsid w:val="006D7B9C"/>
    <w:rsid w:val="006E01E7"/>
    <w:rsid w:val="006E04C6"/>
    <w:rsid w:val="006E0A65"/>
    <w:rsid w:val="006E1B01"/>
    <w:rsid w:val="006E1EBB"/>
    <w:rsid w:val="006E2B86"/>
    <w:rsid w:val="006E3E3D"/>
    <w:rsid w:val="006E4836"/>
    <w:rsid w:val="006E5DDD"/>
    <w:rsid w:val="006E7811"/>
    <w:rsid w:val="006E7E5D"/>
    <w:rsid w:val="006F04DA"/>
    <w:rsid w:val="006F0557"/>
    <w:rsid w:val="006F0EA3"/>
    <w:rsid w:val="006F1B5D"/>
    <w:rsid w:val="006F212B"/>
    <w:rsid w:val="006F37F7"/>
    <w:rsid w:val="006F4A61"/>
    <w:rsid w:val="006F4ADC"/>
    <w:rsid w:val="006F643D"/>
    <w:rsid w:val="006F675C"/>
    <w:rsid w:val="006F6D13"/>
    <w:rsid w:val="006F7359"/>
    <w:rsid w:val="006F7759"/>
    <w:rsid w:val="006F7D95"/>
    <w:rsid w:val="00700D41"/>
    <w:rsid w:val="00701B21"/>
    <w:rsid w:val="00702384"/>
    <w:rsid w:val="00704BAE"/>
    <w:rsid w:val="00704D63"/>
    <w:rsid w:val="00705807"/>
    <w:rsid w:val="00705B12"/>
    <w:rsid w:val="00705C74"/>
    <w:rsid w:val="00705C78"/>
    <w:rsid w:val="007060E1"/>
    <w:rsid w:val="00706824"/>
    <w:rsid w:val="00706B85"/>
    <w:rsid w:val="007071FC"/>
    <w:rsid w:val="00707C84"/>
    <w:rsid w:val="00707D3E"/>
    <w:rsid w:val="00710A59"/>
    <w:rsid w:val="00710FDE"/>
    <w:rsid w:val="007116C7"/>
    <w:rsid w:val="00711C5A"/>
    <w:rsid w:val="00712B66"/>
    <w:rsid w:val="007132EA"/>
    <w:rsid w:val="007133FA"/>
    <w:rsid w:val="00713C31"/>
    <w:rsid w:val="0071428D"/>
    <w:rsid w:val="007144C9"/>
    <w:rsid w:val="00716B3C"/>
    <w:rsid w:val="007170C2"/>
    <w:rsid w:val="0071733F"/>
    <w:rsid w:val="00717EE4"/>
    <w:rsid w:val="00717F2D"/>
    <w:rsid w:val="0072017C"/>
    <w:rsid w:val="00720453"/>
    <w:rsid w:val="00720853"/>
    <w:rsid w:val="00722129"/>
    <w:rsid w:val="00724173"/>
    <w:rsid w:val="007254AA"/>
    <w:rsid w:val="00726730"/>
    <w:rsid w:val="00727BD6"/>
    <w:rsid w:val="00730598"/>
    <w:rsid w:val="00731C24"/>
    <w:rsid w:val="0073257E"/>
    <w:rsid w:val="00732A32"/>
    <w:rsid w:val="00733066"/>
    <w:rsid w:val="00733469"/>
    <w:rsid w:val="00733539"/>
    <w:rsid w:val="00733832"/>
    <w:rsid w:val="00735557"/>
    <w:rsid w:val="00737108"/>
    <w:rsid w:val="007379CE"/>
    <w:rsid w:val="00737BE1"/>
    <w:rsid w:val="007419A7"/>
    <w:rsid w:val="00741B21"/>
    <w:rsid w:val="00741DD8"/>
    <w:rsid w:val="00741E49"/>
    <w:rsid w:val="0074250D"/>
    <w:rsid w:val="007445E2"/>
    <w:rsid w:val="00745496"/>
    <w:rsid w:val="00745E3B"/>
    <w:rsid w:val="007460DA"/>
    <w:rsid w:val="0074615B"/>
    <w:rsid w:val="0074705B"/>
    <w:rsid w:val="007470EC"/>
    <w:rsid w:val="00747D1A"/>
    <w:rsid w:val="0075020B"/>
    <w:rsid w:val="00751017"/>
    <w:rsid w:val="00751960"/>
    <w:rsid w:val="007535C7"/>
    <w:rsid w:val="00753776"/>
    <w:rsid w:val="00755CA3"/>
    <w:rsid w:val="00756551"/>
    <w:rsid w:val="00757769"/>
    <w:rsid w:val="0076067E"/>
    <w:rsid w:val="00761BFD"/>
    <w:rsid w:val="00761D5C"/>
    <w:rsid w:val="00761FE5"/>
    <w:rsid w:val="00762476"/>
    <w:rsid w:val="00762A18"/>
    <w:rsid w:val="00763AE2"/>
    <w:rsid w:val="00764005"/>
    <w:rsid w:val="0076467D"/>
    <w:rsid w:val="00766D90"/>
    <w:rsid w:val="00767BF3"/>
    <w:rsid w:val="00767C19"/>
    <w:rsid w:val="00767D4E"/>
    <w:rsid w:val="00770E9E"/>
    <w:rsid w:val="00771067"/>
    <w:rsid w:val="007710FA"/>
    <w:rsid w:val="007720DA"/>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944"/>
    <w:rsid w:val="00787D47"/>
    <w:rsid w:val="0079014E"/>
    <w:rsid w:val="007913BA"/>
    <w:rsid w:val="0079148B"/>
    <w:rsid w:val="00791B57"/>
    <w:rsid w:val="00792773"/>
    <w:rsid w:val="00792971"/>
    <w:rsid w:val="00792B2D"/>
    <w:rsid w:val="007935C6"/>
    <w:rsid w:val="00794129"/>
    <w:rsid w:val="00794516"/>
    <w:rsid w:val="00794878"/>
    <w:rsid w:val="007954B0"/>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12B"/>
    <w:rsid w:val="007A75B5"/>
    <w:rsid w:val="007A7985"/>
    <w:rsid w:val="007A7ABE"/>
    <w:rsid w:val="007B03C5"/>
    <w:rsid w:val="007B26E1"/>
    <w:rsid w:val="007B3045"/>
    <w:rsid w:val="007B4159"/>
    <w:rsid w:val="007B4C0F"/>
    <w:rsid w:val="007B5E25"/>
    <w:rsid w:val="007B6E0E"/>
    <w:rsid w:val="007C1A58"/>
    <w:rsid w:val="007C27FB"/>
    <w:rsid w:val="007C2CBB"/>
    <w:rsid w:val="007C309C"/>
    <w:rsid w:val="007C4209"/>
    <w:rsid w:val="007C5EB9"/>
    <w:rsid w:val="007C7449"/>
    <w:rsid w:val="007C7EA5"/>
    <w:rsid w:val="007D0870"/>
    <w:rsid w:val="007D1A95"/>
    <w:rsid w:val="007D1C2C"/>
    <w:rsid w:val="007D245E"/>
    <w:rsid w:val="007D3764"/>
    <w:rsid w:val="007D485A"/>
    <w:rsid w:val="007D54FF"/>
    <w:rsid w:val="007D57D4"/>
    <w:rsid w:val="007D6315"/>
    <w:rsid w:val="007D724A"/>
    <w:rsid w:val="007D75A3"/>
    <w:rsid w:val="007E16E2"/>
    <w:rsid w:val="007E19FE"/>
    <w:rsid w:val="007E1AAC"/>
    <w:rsid w:val="007E2D52"/>
    <w:rsid w:val="007E3B9C"/>
    <w:rsid w:val="007E44F6"/>
    <w:rsid w:val="007E4A2F"/>
    <w:rsid w:val="007E5C4A"/>
    <w:rsid w:val="007E6782"/>
    <w:rsid w:val="007E6915"/>
    <w:rsid w:val="007E74CA"/>
    <w:rsid w:val="007E7AD3"/>
    <w:rsid w:val="007F0070"/>
    <w:rsid w:val="007F0316"/>
    <w:rsid w:val="007F0441"/>
    <w:rsid w:val="007F0E99"/>
    <w:rsid w:val="007F20F1"/>
    <w:rsid w:val="007F4224"/>
    <w:rsid w:val="007F4DD2"/>
    <w:rsid w:val="007F4FB9"/>
    <w:rsid w:val="007F6049"/>
    <w:rsid w:val="007F6D9F"/>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3C92"/>
    <w:rsid w:val="00813CFF"/>
    <w:rsid w:val="00814207"/>
    <w:rsid w:val="00815321"/>
    <w:rsid w:val="008166DB"/>
    <w:rsid w:val="008173E0"/>
    <w:rsid w:val="008175C1"/>
    <w:rsid w:val="008200D4"/>
    <w:rsid w:val="00820370"/>
    <w:rsid w:val="00820CC6"/>
    <w:rsid w:val="00822C41"/>
    <w:rsid w:val="00823B0E"/>
    <w:rsid w:val="00823B7B"/>
    <w:rsid w:val="00825043"/>
    <w:rsid w:val="00825267"/>
    <w:rsid w:val="00825614"/>
    <w:rsid w:val="008264EC"/>
    <w:rsid w:val="00827C0D"/>
    <w:rsid w:val="0083018F"/>
    <w:rsid w:val="00830642"/>
    <w:rsid w:val="00831250"/>
    <w:rsid w:val="00831D8D"/>
    <w:rsid w:val="008333B7"/>
    <w:rsid w:val="008336EC"/>
    <w:rsid w:val="008337B9"/>
    <w:rsid w:val="00834FD2"/>
    <w:rsid w:val="00835084"/>
    <w:rsid w:val="00835184"/>
    <w:rsid w:val="00835569"/>
    <w:rsid w:val="00835802"/>
    <w:rsid w:val="00836295"/>
    <w:rsid w:val="008363A1"/>
    <w:rsid w:val="00836E30"/>
    <w:rsid w:val="008370EE"/>
    <w:rsid w:val="0084093F"/>
    <w:rsid w:val="0084098A"/>
    <w:rsid w:val="00840DB0"/>
    <w:rsid w:val="00840EDE"/>
    <w:rsid w:val="00841757"/>
    <w:rsid w:val="008418A5"/>
    <w:rsid w:val="00842493"/>
    <w:rsid w:val="00843548"/>
    <w:rsid w:val="0084383C"/>
    <w:rsid w:val="00843CC0"/>
    <w:rsid w:val="00844ADD"/>
    <w:rsid w:val="0084534E"/>
    <w:rsid w:val="00846062"/>
    <w:rsid w:val="008474C1"/>
    <w:rsid w:val="00847A47"/>
    <w:rsid w:val="00847C1C"/>
    <w:rsid w:val="0085017E"/>
    <w:rsid w:val="00850367"/>
    <w:rsid w:val="0085055E"/>
    <w:rsid w:val="00850C3B"/>
    <w:rsid w:val="00850DEA"/>
    <w:rsid w:val="00851605"/>
    <w:rsid w:val="00852CA0"/>
    <w:rsid w:val="00852D85"/>
    <w:rsid w:val="00852F6C"/>
    <w:rsid w:val="00854540"/>
    <w:rsid w:val="0085465C"/>
    <w:rsid w:val="00854967"/>
    <w:rsid w:val="0085540B"/>
    <w:rsid w:val="00855511"/>
    <w:rsid w:val="0085582C"/>
    <w:rsid w:val="00855868"/>
    <w:rsid w:val="00855FD3"/>
    <w:rsid w:val="008560A2"/>
    <w:rsid w:val="00857086"/>
    <w:rsid w:val="008572FD"/>
    <w:rsid w:val="00857572"/>
    <w:rsid w:val="008608FB"/>
    <w:rsid w:val="00860F4D"/>
    <w:rsid w:val="008611DE"/>
    <w:rsid w:val="008612E0"/>
    <w:rsid w:val="00861375"/>
    <w:rsid w:val="00861C56"/>
    <w:rsid w:val="00861F29"/>
    <w:rsid w:val="008620A2"/>
    <w:rsid w:val="00862741"/>
    <w:rsid w:val="00862BBD"/>
    <w:rsid w:val="00863C9F"/>
    <w:rsid w:val="008645D6"/>
    <w:rsid w:val="008653E6"/>
    <w:rsid w:val="0086552B"/>
    <w:rsid w:val="008655A2"/>
    <w:rsid w:val="0086584F"/>
    <w:rsid w:val="008667CC"/>
    <w:rsid w:val="008671C7"/>
    <w:rsid w:val="00867EB8"/>
    <w:rsid w:val="00870335"/>
    <w:rsid w:val="00870AA2"/>
    <w:rsid w:val="00871231"/>
    <w:rsid w:val="00873D3E"/>
    <w:rsid w:val="00873D88"/>
    <w:rsid w:val="0087433B"/>
    <w:rsid w:val="00874FCA"/>
    <w:rsid w:val="0087621E"/>
    <w:rsid w:val="008767B2"/>
    <w:rsid w:val="00877328"/>
    <w:rsid w:val="0087787A"/>
    <w:rsid w:val="008802F0"/>
    <w:rsid w:val="00880992"/>
    <w:rsid w:val="00881692"/>
    <w:rsid w:val="0088280A"/>
    <w:rsid w:val="00883143"/>
    <w:rsid w:val="00884EC8"/>
    <w:rsid w:val="008855E4"/>
    <w:rsid w:val="00886154"/>
    <w:rsid w:val="00890277"/>
    <w:rsid w:val="0089061A"/>
    <w:rsid w:val="008913C3"/>
    <w:rsid w:val="008915C6"/>
    <w:rsid w:val="00891677"/>
    <w:rsid w:val="00892DB5"/>
    <w:rsid w:val="00894403"/>
    <w:rsid w:val="00894B61"/>
    <w:rsid w:val="00895255"/>
    <w:rsid w:val="00895DF1"/>
    <w:rsid w:val="00896645"/>
    <w:rsid w:val="008975D2"/>
    <w:rsid w:val="008A035B"/>
    <w:rsid w:val="008A0378"/>
    <w:rsid w:val="008A0459"/>
    <w:rsid w:val="008A1218"/>
    <w:rsid w:val="008A15B6"/>
    <w:rsid w:val="008A1A6E"/>
    <w:rsid w:val="008A202A"/>
    <w:rsid w:val="008A36C9"/>
    <w:rsid w:val="008A5191"/>
    <w:rsid w:val="008A5AF9"/>
    <w:rsid w:val="008A60CA"/>
    <w:rsid w:val="008B16DE"/>
    <w:rsid w:val="008B251F"/>
    <w:rsid w:val="008B2602"/>
    <w:rsid w:val="008B2727"/>
    <w:rsid w:val="008B316B"/>
    <w:rsid w:val="008B41CA"/>
    <w:rsid w:val="008B4D71"/>
    <w:rsid w:val="008B5059"/>
    <w:rsid w:val="008B5BF2"/>
    <w:rsid w:val="008B6934"/>
    <w:rsid w:val="008B6CF8"/>
    <w:rsid w:val="008B72F6"/>
    <w:rsid w:val="008C119E"/>
    <w:rsid w:val="008C1E24"/>
    <w:rsid w:val="008C296B"/>
    <w:rsid w:val="008C2A46"/>
    <w:rsid w:val="008C4278"/>
    <w:rsid w:val="008C520E"/>
    <w:rsid w:val="008C5300"/>
    <w:rsid w:val="008C563B"/>
    <w:rsid w:val="008C567E"/>
    <w:rsid w:val="008C5DEE"/>
    <w:rsid w:val="008C6285"/>
    <w:rsid w:val="008C7182"/>
    <w:rsid w:val="008C7268"/>
    <w:rsid w:val="008C7CA5"/>
    <w:rsid w:val="008C7D9D"/>
    <w:rsid w:val="008D0416"/>
    <w:rsid w:val="008D0969"/>
    <w:rsid w:val="008D13C6"/>
    <w:rsid w:val="008D1B04"/>
    <w:rsid w:val="008D3235"/>
    <w:rsid w:val="008D33C8"/>
    <w:rsid w:val="008D3893"/>
    <w:rsid w:val="008D453C"/>
    <w:rsid w:val="008D45CD"/>
    <w:rsid w:val="008D55F1"/>
    <w:rsid w:val="008D5CD7"/>
    <w:rsid w:val="008D718E"/>
    <w:rsid w:val="008E09C5"/>
    <w:rsid w:val="008E0AA7"/>
    <w:rsid w:val="008E1372"/>
    <w:rsid w:val="008E1845"/>
    <w:rsid w:val="008E2355"/>
    <w:rsid w:val="008E3151"/>
    <w:rsid w:val="008E3386"/>
    <w:rsid w:val="008E5410"/>
    <w:rsid w:val="008E56F0"/>
    <w:rsid w:val="008E5A3F"/>
    <w:rsid w:val="008E7209"/>
    <w:rsid w:val="008E7448"/>
    <w:rsid w:val="008F11BB"/>
    <w:rsid w:val="008F16FF"/>
    <w:rsid w:val="008F182F"/>
    <w:rsid w:val="008F1E95"/>
    <w:rsid w:val="008F2304"/>
    <w:rsid w:val="008F508E"/>
    <w:rsid w:val="008F57DD"/>
    <w:rsid w:val="008F5AEE"/>
    <w:rsid w:val="008F6EAA"/>
    <w:rsid w:val="008F7800"/>
    <w:rsid w:val="008F7BCA"/>
    <w:rsid w:val="00900519"/>
    <w:rsid w:val="00900F4D"/>
    <w:rsid w:val="0090167B"/>
    <w:rsid w:val="0090248F"/>
    <w:rsid w:val="00902C42"/>
    <w:rsid w:val="00902DEC"/>
    <w:rsid w:val="0090342E"/>
    <w:rsid w:val="00903D3A"/>
    <w:rsid w:val="009044B9"/>
    <w:rsid w:val="009047B1"/>
    <w:rsid w:val="00904C86"/>
    <w:rsid w:val="0090680D"/>
    <w:rsid w:val="00910052"/>
    <w:rsid w:val="0091045D"/>
    <w:rsid w:val="00911D7C"/>
    <w:rsid w:val="0091281A"/>
    <w:rsid w:val="00912B24"/>
    <w:rsid w:val="009139B5"/>
    <w:rsid w:val="009143F8"/>
    <w:rsid w:val="00914514"/>
    <w:rsid w:val="00914549"/>
    <w:rsid w:val="00914C08"/>
    <w:rsid w:val="00914F2F"/>
    <w:rsid w:val="00916057"/>
    <w:rsid w:val="0091627F"/>
    <w:rsid w:val="00916AD1"/>
    <w:rsid w:val="00917025"/>
    <w:rsid w:val="00917637"/>
    <w:rsid w:val="00917FEE"/>
    <w:rsid w:val="0092023D"/>
    <w:rsid w:val="00920472"/>
    <w:rsid w:val="00920EB0"/>
    <w:rsid w:val="00921251"/>
    <w:rsid w:val="00921861"/>
    <w:rsid w:val="0092189E"/>
    <w:rsid w:val="009219FD"/>
    <w:rsid w:val="00921DF7"/>
    <w:rsid w:val="009257B0"/>
    <w:rsid w:val="009258BD"/>
    <w:rsid w:val="00925DEB"/>
    <w:rsid w:val="009263C0"/>
    <w:rsid w:val="0093014E"/>
    <w:rsid w:val="009302D4"/>
    <w:rsid w:val="009307F2"/>
    <w:rsid w:val="00930CEC"/>
    <w:rsid w:val="00930F4A"/>
    <w:rsid w:val="009310F4"/>
    <w:rsid w:val="009328AC"/>
    <w:rsid w:val="0093375E"/>
    <w:rsid w:val="00933BEF"/>
    <w:rsid w:val="00935317"/>
    <w:rsid w:val="009365D3"/>
    <w:rsid w:val="00937219"/>
    <w:rsid w:val="0093787E"/>
    <w:rsid w:val="0094018F"/>
    <w:rsid w:val="009412CC"/>
    <w:rsid w:val="009428E1"/>
    <w:rsid w:val="00942B47"/>
    <w:rsid w:val="0094388B"/>
    <w:rsid w:val="00943D09"/>
    <w:rsid w:val="00944826"/>
    <w:rsid w:val="009457A1"/>
    <w:rsid w:val="00945C6D"/>
    <w:rsid w:val="00946DC4"/>
    <w:rsid w:val="00947C5D"/>
    <w:rsid w:val="00947CA9"/>
    <w:rsid w:val="00950478"/>
    <w:rsid w:val="00950888"/>
    <w:rsid w:val="00950AF9"/>
    <w:rsid w:val="00950B5F"/>
    <w:rsid w:val="00950D35"/>
    <w:rsid w:val="00950EC8"/>
    <w:rsid w:val="0095144C"/>
    <w:rsid w:val="0095165B"/>
    <w:rsid w:val="009518F1"/>
    <w:rsid w:val="00951B17"/>
    <w:rsid w:val="00951B8D"/>
    <w:rsid w:val="00951D6E"/>
    <w:rsid w:val="009536A8"/>
    <w:rsid w:val="00953A17"/>
    <w:rsid w:val="00954596"/>
    <w:rsid w:val="00954962"/>
    <w:rsid w:val="00955851"/>
    <w:rsid w:val="00955C63"/>
    <w:rsid w:val="00957E23"/>
    <w:rsid w:val="009606DF"/>
    <w:rsid w:val="00960A3B"/>
    <w:rsid w:val="00961487"/>
    <w:rsid w:val="00961BA7"/>
    <w:rsid w:val="00961F01"/>
    <w:rsid w:val="00962162"/>
    <w:rsid w:val="009623BC"/>
    <w:rsid w:val="00962840"/>
    <w:rsid w:val="009628BE"/>
    <w:rsid w:val="009631C8"/>
    <w:rsid w:val="0096345A"/>
    <w:rsid w:val="00963649"/>
    <w:rsid w:val="00963AE4"/>
    <w:rsid w:val="00963C14"/>
    <w:rsid w:val="009645CD"/>
    <w:rsid w:val="00965940"/>
    <w:rsid w:val="00965A4E"/>
    <w:rsid w:val="00966BE5"/>
    <w:rsid w:val="00966D3E"/>
    <w:rsid w:val="00966EB0"/>
    <w:rsid w:val="00967BA3"/>
    <w:rsid w:val="00971116"/>
    <w:rsid w:val="00971803"/>
    <w:rsid w:val="00972E28"/>
    <w:rsid w:val="00973030"/>
    <w:rsid w:val="009733F3"/>
    <w:rsid w:val="009748E4"/>
    <w:rsid w:val="00975EC7"/>
    <w:rsid w:val="00976D65"/>
    <w:rsid w:val="00977CE6"/>
    <w:rsid w:val="009807AC"/>
    <w:rsid w:val="00980C18"/>
    <w:rsid w:val="009810E9"/>
    <w:rsid w:val="0098141C"/>
    <w:rsid w:val="00981AA9"/>
    <w:rsid w:val="00981C91"/>
    <w:rsid w:val="0098306D"/>
    <w:rsid w:val="00983132"/>
    <w:rsid w:val="00983314"/>
    <w:rsid w:val="00983DF2"/>
    <w:rsid w:val="0098433A"/>
    <w:rsid w:val="00984CA5"/>
    <w:rsid w:val="00984DEE"/>
    <w:rsid w:val="009851D3"/>
    <w:rsid w:val="00985675"/>
    <w:rsid w:val="00985939"/>
    <w:rsid w:val="0098637F"/>
    <w:rsid w:val="00986A9B"/>
    <w:rsid w:val="00986B9C"/>
    <w:rsid w:val="00987BAB"/>
    <w:rsid w:val="009906BF"/>
    <w:rsid w:val="00990B88"/>
    <w:rsid w:val="009913F3"/>
    <w:rsid w:val="00991BF8"/>
    <w:rsid w:val="00991DA1"/>
    <w:rsid w:val="0099230B"/>
    <w:rsid w:val="009927F1"/>
    <w:rsid w:val="009936C4"/>
    <w:rsid w:val="009948ED"/>
    <w:rsid w:val="00995ADA"/>
    <w:rsid w:val="0099643A"/>
    <w:rsid w:val="009968D1"/>
    <w:rsid w:val="00996DDF"/>
    <w:rsid w:val="009971C5"/>
    <w:rsid w:val="00997959"/>
    <w:rsid w:val="009A0BAF"/>
    <w:rsid w:val="009A1115"/>
    <w:rsid w:val="009A1431"/>
    <w:rsid w:val="009A153D"/>
    <w:rsid w:val="009A1634"/>
    <w:rsid w:val="009A3454"/>
    <w:rsid w:val="009A3A34"/>
    <w:rsid w:val="009A3FE2"/>
    <w:rsid w:val="009A400C"/>
    <w:rsid w:val="009A4B2C"/>
    <w:rsid w:val="009A5592"/>
    <w:rsid w:val="009A59BA"/>
    <w:rsid w:val="009A5C27"/>
    <w:rsid w:val="009A6417"/>
    <w:rsid w:val="009B01DF"/>
    <w:rsid w:val="009B020D"/>
    <w:rsid w:val="009B072F"/>
    <w:rsid w:val="009B07A1"/>
    <w:rsid w:val="009B09CC"/>
    <w:rsid w:val="009B173B"/>
    <w:rsid w:val="009B1A1A"/>
    <w:rsid w:val="009B2086"/>
    <w:rsid w:val="009B2608"/>
    <w:rsid w:val="009B2A71"/>
    <w:rsid w:val="009B4027"/>
    <w:rsid w:val="009B4975"/>
    <w:rsid w:val="009B561F"/>
    <w:rsid w:val="009B5773"/>
    <w:rsid w:val="009B5D2D"/>
    <w:rsid w:val="009B6EAD"/>
    <w:rsid w:val="009C058F"/>
    <w:rsid w:val="009C05C1"/>
    <w:rsid w:val="009C2B3E"/>
    <w:rsid w:val="009C2EA2"/>
    <w:rsid w:val="009C3721"/>
    <w:rsid w:val="009C4141"/>
    <w:rsid w:val="009C4B55"/>
    <w:rsid w:val="009C5FCC"/>
    <w:rsid w:val="009C61A2"/>
    <w:rsid w:val="009C65E9"/>
    <w:rsid w:val="009C6DF6"/>
    <w:rsid w:val="009C6E92"/>
    <w:rsid w:val="009D04F7"/>
    <w:rsid w:val="009D1589"/>
    <w:rsid w:val="009D2003"/>
    <w:rsid w:val="009D3274"/>
    <w:rsid w:val="009D38C2"/>
    <w:rsid w:val="009D417F"/>
    <w:rsid w:val="009D45E5"/>
    <w:rsid w:val="009D4B85"/>
    <w:rsid w:val="009D535B"/>
    <w:rsid w:val="009D61E0"/>
    <w:rsid w:val="009D630B"/>
    <w:rsid w:val="009D6CAA"/>
    <w:rsid w:val="009D6CF6"/>
    <w:rsid w:val="009D6E69"/>
    <w:rsid w:val="009D77A2"/>
    <w:rsid w:val="009E02DC"/>
    <w:rsid w:val="009E2040"/>
    <w:rsid w:val="009E4408"/>
    <w:rsid w:val="009E49AE"/>
    <w:rsid w:val="009E4DC7"/>
    <w:rsid w:val="009E5B13"/>
    <w:rsid w:val="009E5D24"/>
    <w:rsid w:val="009E62AB"/>
    <w:rsid w:val="009E660A"/>
    <w:rsid w:val="009E6B64"/>
    <w:rsid w:val="009E72E5"/>
    <w:rsid w:val="009E737A"/>
    <w:rsid w:val="009E7B67"/>
    <w:rsid w:val="009F46C8"/>
    <w:rsid w:val="009F4F2A"/>
    <w:rsid w:val="009F507E"/>
    <w:rsid w:val="009F632D"/>
    <w:rsid w:val="009F660B"/>
    <w:rsid w:val="009F671E"/>
    <w:rsid w:val="009F7ED1"/>
    <w:rsid w:val="00A0149B"/>
    <w:rsid w:val="00A01607"/>
    <w:rsid w:val="00A018D4"/>
    <w:rsid w:val="00A02F9D"/>
    <w:rsid w:val="00A03767"/>
    <w:rsid w:val="00A04834"/>
    <w:rsid w:val="00A050E5"/>
    <w:rsid w:val="00A05628"/>
    <w:rsid w:val="00A057C9"/>
    <w:rsid w:val="00A07DCF"/>
    <w:rsid w:val="00A12395"/>
    <w:rsid w:val="00A12979"/>
    <w:rsid w:val="00A130B6"/>
    <w:rsid w:val="00A131A9"/>
    <w:rsid w:val="00A1496E"/>
    <w:rsid w:val="00A14F84"/>
    <w:rsid w:val="00A16D6D"/>
    <w:rsid w:val="00A17080"/>
    <w:rsid w:val="00A173A9"/>
    <w:rsid w:val="00A17C75"/>
    <w:rsid w:val="00A207E4"/>
    <w:rsid w:val="00A211C8"/>
    <w:rsid w:val="00A2121E"/>
    <w:rsid w:val="00A21EAC"/>
    <w:rsid w:val="00A221DE"/>
    <w:rsid w:val="00A22CB2"/>
    <w:rsid w:val="00A23138"/>
    <w:rsid w:val="00A23940"/>
    <w:rsid w:val="00A23ECC"/>
    <w:rsid w:val="00A24CD3"/>
    <w:rsid w:val="00A24F9A"/>
    <w:rsid w:val="00A2530D"/>
    <w:rsid w:val="00A25461"/>
    <w:rsid w:val="00A26367"/>
    <w:rsid w:val="00A2678A"/>
    <w:rsid w:val="00A269E1"/>
    <w:rsid w:val="00A27C1C"/>
    <w:rsid w:val="00A30F6A"/>
    <w:rsid w:val="00A32AEA"/>
    <w:rsid w:val="00A32F32"/>
    <w:rsid w:val="00A33E80"/>
    <w:rsid w:val="00A33EFE"/>
    <w:rsid w:val="00A400A2"/>
    <w:rsid w:val="00A4148D"/>
    <w:rsid w:val="00A41546"/>
    <w:rsid w:val="00A41B07"/>
    <w:rsid w:val="00A44507"/>
    <w:rsid w:val="00A4451A"/>
    <w:rsid w:val="00A44D0E"/>
    <w:rsid w:val="00A4621D"/>
    <w:rsid w:val="00A47D68"/>
    <w:rsid w:val="00A509FB"/>
    <w:rsid w:val="00A51C19"/>
    <w:rsid w:val="00A51E04"/>
    <w:rsid w:val="00A522B5"/>
    <w:rsid w:val="00A52C31"/>
    <w:rsid w:val="00A52CB5"/>
    <w:rsid w:val="00A52F37"/>
    <w:rsid w:val="00A533C5"/>
    <w:rsid w:val="00A5388C"/>
    <w:rsid w:val="00A5397B"/>
    <w:rsid w:val="00A539A9"/>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4B69"/>
    <w:rsid w:val="00A65EA0"/>
    <w:rsid w:val="00A66517"/>
    <w:rsid w:val="00A67B0E"/>
    <w:rsid w:val="00A718EF"/>
    <w:rsid w:val="00A72134"/>
    <w:rsid w:val="00A726A8"/>
    <w:rsid w:val="00A72951"/>
    <w:rsid w:val="00A73505"/>
    <w:rsid w:val="00A75E02"/>
    <w:rsid w:val="00A76E79"/>
    <w:rsid w:val="00A7771B"/>
    <w:rsid w:val="00A77B53"/>
    <w:rsid w:val="00A811F1"/>
    <w:rsid w:val="00A82265"/>
    <w:rsid w:val="00A822C4"/>
    <w:rsid w:val="00A82887"/>
    <w:rsid w:val="00A83010"/>
    <w:rsid w:val="00A83299"/>
    <w:rsid w:val="00A8347E"/>
    <w:rsid w:val="00A83BF5"/>
    <w:rsid w:val="00A84CD1"/>
    <w:rsid w:val="00A84EBA"/>
    <w:rsid w:val="00A85164"/>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6E4"/>
    <w:rsid w:val="00AA17E2"/>
    <w:rsid w:val="00AA21B7"/>
    <w:rsid w:val="00AA3827"/>
    <w:rsid w:val="00AA382D"/>
    <w:rsid w:val="00AA4A2C"/>
    <w:rsid w:val="00AA59A6"/>
    <w:rsid w:val="00AA6299"/>
    <w:rsid w:val="00AA6E05"/>
    <w:rsid w:val="00AA6F0F"/>
    <w:rsid w:val="00AA78DC"/>
    <w:rsid w:val="00AB0262"/>
    <w:rsid w:val="00AB10E5"/>
    <w:rsid w:val="00AB14A1"/>
    <w:rsid w:val="00AB202A"/>
    <w:rsid w:val="00AB5555"/>
    <w:rsid w:val="00AB55AD"/>
    <w:rsid w:val="00AB5D1B"/>
    <w:rsid w:val="00AB64BE"/>
    <w:rsid w:val="00AB6918"/>
    <w:rsid w:val="00AB6B40"/>
    <w:rsid w:val="00AB7054"/>
    <w:rsid w:val="00AB740A"/>
    <w:rsid w:val="00AC06B4"/>
    <w:rsid w:val="00AC1DA5"/>
    <w:rsid w:val="00AC216B"/>
    <w:rsid w:val="00AC26B1"/>
    <w:rsid w:val="00AC42B8"/>
    <w:rsid w:val="00AC45C5"/>
    <w:rsid w:val="00AC4791"/>
    <w:rsid w:val="00AC4FB6"/>
    <w:rsid w:val="00AC4FD1"/>
    <w:rsid w:val="00AC5770"/>
    <w:rsid w:val="00AC5FEF"/>
    <w:rsid w:val="00AC6036"/>
    <w:rsid w:val="00AC6830"/>
    <w:rsid w:val="00AD0328"/>
    <w:rsid w:val="00AD07C1"/>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D7C6F"/>
    <w:rsid w:val="00AD7E40"/>
    <w:rsid w:val="00AE08B7"/>
    <w:rsid w:val="00AE0DBA"/>
    <w:rsid w:val="00AE160F"/>
    <w:rsid w:val="00AE21DC"/>
    <w:rsid w:val="00AE22CF"/>
    <w:rsid w:val="00AE239B"/>
    <w:rsid w:val="00AE25D2"/>
    <w:rsid w:val="00AE2B47"/>
    <w:rsid w:val="00AE2CAD"/>
    <w:rsid w:val="00AE3090"/>
    <w:rsid w:val="00AE363A"/>
    <w:rsid w:val="00AE380E"/>
    <w:rsid w:val="00AE3AAD"/>
    <w:rsid w:val="00AE3B32"/>
    <w:rsid w:val="00AE4189"/>
    <w:rsid w:val="00AE503A"/>
    <w:rsid w:val="00AE68E2"/>
    <w:rsid w:val="00AE70F0"/>
    <w:rsid w:val="00AE74A2"/>
    <w:rsid w:val="00AF0157"/>
    <w:rsid w:val="00AF0D2A"/>
    <w:rsid w:val="00AF1B2E"/>
    <w:rsid w:val="00AF2EC7"/>
    <w:rsid w:val="00AF3739"/>
    <w:rsid w:val="00AF3A36"/>
    <w:rsid w:val="00AF3AC0"/>
    <w:rsid w:val="00AF4F4A"/>
    <w:rsid w:val="00AF6392"/>
    <w:rsid w:val="00AF6F64"/>
    <w:rsid w:val="00B0015E"/>
    <w:rsid w:val="00B00C24"/>
    <w:rsid w:val="00B00F93"/>
    <w:rsid w:val="00B01BBE"/>
    <w:rsid w:val="00B024A9"/>
    <w:rsid w:val="00B02C61"/>
    <w:rsid w:val="00B03F92"/>
    <w:rsid w:val="00B042F1"/>
    <w:rsid w:val="00B05001"/>
    <w:rsid w:val="00B055D8"/>
    <w:rsid w:val="00B06CD6"/>
    <w:rsid w:val="00B06EBC"/>
    <w:rsid w:val="00B1092C"/>
    <w:rsid w:val="00B11D2D"/>
    <w:rsid w:val="00B123F0"/>
    <w:rsid w:val="00B12891"/>
    <w:rsid w:val="00B13413"/>
    <w:rsid w:val="00B146C1"/>
    <w:rsid w:val="00B146E7"/>
    <w:rsid w:val="00B15531"/>
    <w:rsid w:val="00B156DF"/>
    <w:rsid w:val="00B15ABB"/>
    <w:rsid w:val="00B16973"/>
    <w:rsid w:val="00B2036A"/>
    <w:rsid w:val="00B21057"/>
    <w:rsid w:val="00B2202B"/>
    <w:rsid w:val="00B23422"/>
    <w:rsid w:val="00B24948"/>
    <w:rsid w:val="00B24CBD"/>
    <w:rsid w:val="00B2528B"/>
    <w:rsid w:val="00B25CA3"/>
    <w:rsid w:val="00B25E5D"/>
    <w:rsid w:val="00B27D37"/>
    <w:rsid w:val="00B30028"/>
    <w:rsid w:val="00B31E8D"/>
    <w:rsid w:val="00B3313B"/>
    <w:rsid w:val="00B331E8"/>
    <w:rsid w:val="00B331EA"/>
    <w:rsid w:val="00B34592"/>
    <w:rsid w:val="00B34732"/>
    <w:rsid w:val="00B353B8"/>
    <w:rsid w:val="00B35C56"/>
    <w:rsid w:val="00B36F17"/>
    <w:rsid w:val="00B372ED"/>
    <w:rsid w:val="00B40603"/>
    <w:rsid w:val="00B40AF6"/>
    <w:rsid w:val="00B41071"/>
    <w:rsid w:val="00B421D2"/>
    <w:rsid w:val="00B425C0"/>
    <w:rsid w:val="00B42A9D"/>
    <w:rsid w:val="00B42DB6"/>
    <w:rsid w:val="00B46957"/>
    <w:rsid w:val="00B47B54"/>
    <w:rsid w:val="00B50D8A"/>
    <w:rsid w:val="00B50E99"/>
    <w:rsid w:val="00B51926"/>
    <w:rsid w:val="00B51F9A"/>
    <w:rsid w:val="00B52C77"/>
    <w:rsid w:val="00B54DA7"/>
    <w:rsid w:val="00B600C6"/>
    <w:rsid w:val="00B60167"/>
    <w:rsid w:val="00B60FC0"/>
    <w:rsid w:val="00B61665"/>
    <w:rsid w:val="00B63528"/>
    <w:rsid w:val="00B6381A"/>
    <w:rsid w:val="00B63DAF"/>
    <w:rsid w:val="00B63E98"/>
    <w:rsid w:val="00B65754"/>
    <w:rsid w:val="00B65D74"/>
    <w:rsid w:val="00B661AA"/>
    <w:rsid w:val="00B66242"/>
    <w:rsid w:val="00B670D3"/>
    <w:rsid w:val="00B67958"/>
    <w:rsid w:val="00B701D1"/>
    <w:rsid w:val="00B716BB"/>
    <w:rsid w:val="00B716FD"/>
    <w:rsid w:val="00B723B0"/>
    <w:rsid w:val="00B734C2"/>
    <w:rsid w:val="00B73BDA"/>
    <w:rsid w:val="00B74053"/>
    <w:rsid w:val="00B75906"/>
    <w:rsid w:val="00B75E1D"/>
    <w:rsid w:val="00B765A0"/>
    <w:rsid w:val="00B76C02"/>
    <w:rsid w:val="00B77BD2"/>
    <w:rsid w:val="00B814CB"/>
    <w:rsid w:val="00B81B6A"/>
    <w:rsid w:val="00B820F4"/>
    <w:rsid w:val="00B835E0"/>
    <w:rsid w:val="00B8396D"/>
    <w:rsid w:val="00B86FF8"/>
    <w:rsid w:val="00B90331"/>
    <w:rsid w:val="00B903ED"/>
    <w:rsid w:val="00B90B2D"/>
    <w:rsid w:val="00B9120B"/>
    <w:rsid w:val="00B935A1"/>
    <w:rsid w:val="00B95776"/>
    <w:rsid w:val="00B95DAD"/>
    <w:rsid w:val="00B96C0C"/>
    <w:rsid w:val="00B9734D"/>
    <w:rsid w:val="00B97732"/>
    <w:rsid w:val="00B97DAD"/>
    <w:rsid w:val="00BA27F4"/>
    <w:rsid w:val="00BA2E40"/>
    <w:rsid w:val="00BA3577"/>
    <w:rsid w:val="00BA3CB7"/>
    <w:rsid w:val="00BA41DE"/>
    <w:rsid w:val="00BA556C"/>
    <w:rsid w:val="00BA7FD1"/>
    <w:rsid w:val="00BB0F31"/>
    <w:rsid w:val="00BB15AB"/>
    <w:rsid w:val="00BB189B"/>
    <w:rsid w:val="00BB1D21"/>
    <w:rsid w:val="00BB2E51"/>
    <w:rsid w:val="00BB3776"/>
    <w:rsid w:val="00BB4BEA"/>
    <w:rsid w:val="00BB4C1A"/>
    <w:rsid w:val="00BB50AB"/>
    <w:rsid w:val="00BB5ACA"/>
    <w:rsid w:val="00BB6664"/>
    <w:rsid w:val="00BB7714"/>
    <w:rsid w:val="00BC00A4"/>
    <w:rsid w:val="00BC01FC"/>
    <w:rsid w:val="00BC08E1"/>
    <w:rsid w:val="00BC1F79"/>
    <w:rsid w:val="00BC2201"/>
    <w:rsid w:val="00BC2FF3"/>
    <w:rsid w:val="00BC32C6"/>
    <w:rsid w:val="00BC3BB2"/>
    <w:rsid w:val="00BC3C7A"/>
    <w:rsid w:val="00BC7DC6"/>
    <w:rsid w:val="00BD1039"/>
    <w:rsid w:val="00BD13B5"/>
    <w:rsid w:val="00BD21C4"/>
    <w:rsid w:val="00BD29D3"/>
    <w:rsid w:val="00BD2B9F"/>
    <w:rsid w:val="00BD2EFC"/>
    <w:rsid w:val="00BD340E"/>
    <w:rsid w:val="00BD60AD"/>
    <w:rsid w:val="00BD6174"/>
    <w:rsid w:val="00BD6C02"/>
    <w:rsid w:val="00BE1244"/>
    <w:rsid w:val="00BE165D"/>
    <w:rsid w:val="00BE2394"/>
    <w:rsid w:val="00BE2702"/>
    <w:rsid w:val="00BE3E7D"/>
    <w:rsid w:val="00BE4326"/>
    <w:rsid w:val="00BE5F4F"/>
    <w:rsid w:val="00BE60DB"/>
    <w:rsid w:val="00BF0191"/>
    <w:rsid w:val="00BF0A81"/>
    <w:rsid w:val="00BF0EC9"/>
    <w:rsid w:val="00BF13EC"/>
    <w:rsid w:val="00BF1C07"/>
    <w:rsid w:val="00BF3DEE"/>
    <w:rsid w:val="00BF54AC"/>
    <w:rsid w:val="00BF54BD"/>
    <w:rsid w:val="00BF6B8E"/>
    <w:rsid w:val="00BF7825"/>
    <w:rsid w:val="00C025A5"/>
    <w:rsid w:val="00C03C78"/>
    <w:rsid w:val="00C03FAC"/>
    <w:rsid w:val="00C04FD3"/>
    <w:rsid w:val="00C065A2"/>
    <w:rsid w:val="00C0697A"/>
    <w:rsid w:val="00C07919"/>
    <w:rsid w:val="00C103F9"/>
    <w:rsid w:val="00C104AC"/>
    <w:rsid w:val="00C110E1"/>
    <w:rsid w:val="00C1198F"/>
    <w:rsid w:val="00C11FA1"/>
    <w:rsid w:val="00C12B3F"/>
    <w:rsid w:val="00C12E21"/>
    <w:rsid w:val="00C12E65"/>
    <w:rsid w:val="00C13326"/>
    <w:rsid w:val="00C1366D"/>
    <w:rsid w:val="00C13C20"/>
    <w:rsid w:val="00C13F74"/>
    <w:rsid w:val="00C146D3"/>
    <w:rsid w:val="00C16BE0"/>
    <w:rsid w:val="00C21C39"/>
    <w:rsid w:val="00C22415"/>
    <w:rsid w:val="00C2325C"/>
    <w:rsid w:val="00C239ED"/>
    <w:rsid w:val="00C23D79"/>
    <w:rsid w:val="00C24D9D"/>
    <w:rsid w:val="00C25096"/>
    <w:rsid w:val="00C25686"/>
    <w:rsid w:val="00C25CF3"/>
    <w:rsid w:val="00C263E9"/>
    <w:rsid w:val="00C27019"/>
    <w:rsid w:val="00C2775A"/>
    <w:rsid w:val="00C3063A"/>
    <w:rsid w:val="00C30BAD"/>
    <w:rsid w:val="00C31E8F"/>
    <w:rsid w:val="00C335DA"/>
    <w:rsid w:val="00C33D3E"/>
    <w:rsid w:val="00C362E0"/>
    <w:rsid w:val="00C36ED4"/>
    <w:rsid w:val="00C376CC"/>
    <w:rsid w:val="00C400F7"/>
    <w:rsid w:val="00C40C6E"/>
    <w:rsid w:val="00C40EC6"/>
    <w:rsid w:val="00C419AD"/>
    <w:rsid w:val="00C41B5F"/>
    <w:rsid w:val="00C437BA"/>
    <w:rsid w:val="00C44395"/>
    <w:rsid w:val="00C443B3"/>
    <w:rsid w:val="00C450F2"/>
    <w:rsid w:val="00C454EE"/>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CC6"/>
    <w:rsid w:val="00C60585"/>
    <w:rsid w:val="00C61F3A"/>
    <w:rsid w:val="00C629CB"/>
    <w:rsid w:val="00C62B75"/>
    <w:rsid w:val="00C657B5"/>
    <w:rsid w:val="00C657BC"/>
    <w:rsid w:val="00C661E1"/>
    <w:rsid w:val="00C66474"/>
    <w:rsid w:val="00C66686"/>
    <w:rsid w:val="00C678C4"/>
    <w:rsid w:val="00C71215"/>
    <w:rsid w:val="00C7216B"/>
    <w:rsid w:val="00C727BE"/>
    <w:rsid w:val="00C732A9"/>
    <w:rsid w:val="00C73448"/>
    <w:rsid w:val="00C73E2E"/>
    <w:rsid w:val="00C74546"/>
    <w:rsid w:val="00C748E2"/>
    <w:rsid w:val="00C74E4D"/>
    <w:rsid w:val="00C74E5E"/>
    <w:rsid w:val="00C75DFA"/>
    <w:rsid w:val="00C7776C"/>
    <w:rsid w:val="00C81297"/>
    <w:rsid w:val="00C82575"/>
    <w:rsid w:val="00C8398D"/>
    <w:rsid w:val="00C84519"/>
    <w:rsid w:val="00C84BC2"/>
    <w:rsid w:val="00C85139"/>
    <w:rsid w:val="00C85657"/>
    <w:rsid w:val="00C91C88"/>
    <w:rsid w:val="00C928B2"/>
    <w:rsid w:val="00C939C3"/>
    <w:rsid w:val="00C94228"/>
    <w:rsid w:val="00C955AC"/>
    <w:rsid w:val="00C960F6"/>
    <w:rsid w:val="00C96D56"/>
    <w:rsid w:val="00C977E6"/>
    <w:rsid w:val="00CA0020"/>
    <w:rsid w:val="00CA08C6"/>
    <w:rsid w:val="00CA0B2E"/>
    <w:rsid w:val="00CA18CA"/>
    <w:rsid w:val="00CA2557"/>
    <w:rsid w:val="00CA278E"/>
    <w:rsid w:val="00CA5413"/>
    <w:rsid w:val="00CA5674"/>
    <w:rsid w:val="00CA5BDA"/>
    <w:rsid w:val="00CA5C1A"/>
    <w:rsid w:val="00CA633F"/>
    <w:rsid w:val="00CA641E"/>
    <w:rsid w:val="00CA7558"/>
    <w:rsid w:val="00CA785F"/>
    <w:rsid w:val="00CA792A"/>
    <w:rsid w:val="00CA7949"/>
    <w:rsid w:val="00CB0400"/>
    <w:rsid w:val="00CB0C6E"/>
    <w:rsid w:val="00CB0C89"/>
    <w:rsid w:val="00CB219A"/>
    <w:rsid w:val="00CB226B"/>
    <w:rsid w:val="00CB229B"/>
    <w:rsid w:val="00CB33B4"/>
    <w:rsid w:val="00CB3D93"/>
    <w:rsid w:val="00CB4441"/>
    <w:rsid w:val="00CB4B1A"/>
    <w:rsid w:val="00CB4E1F"/>
    <w:rsid w:val="00CB6A1E"/>
    <w:rsid w:val="00CC0ABE"/>
    <w:rsid w:val="00CC0EEE"/>
    <w:rsid w:val="00CC152E"/>
    <w:rsid w:val="00CC2493"/>
    <w:rsid w:val="00CC3222"/>
    <w:rsid w:val="00CC35F1"/>
    <w:rsid w:val="00CC35FF"/>
    <w:rsid w:val="00CC47A9"/>
    <w:rsid w:val="00CC4C08"/>
    <w:rsid w:val="00CC7BDB"/>
    <w:rsid w:val="00CD0E6E"/>
    <w:rsid w:val="00CD107E"/>
    <w:rsid w:val="00CD1636"/>
    <w:rsid w:val="00CD23AE"/>
    <w:rsid w:val="00CD27DF"/>
    <w:rsid w:val="00CD2D8A"/>
    <w:rsid w:val="00CD3BAC"/>
    <w:rsid w:val="00CD3FF2"/>
    <w:rsid w:val="00CD4A65"/>
    <w:rsid w:val="00CD531F"/>
    <w:rsid w:val="00CD6FA3"/>
    <w:rsid w:val="00CD728F"/>
    <w:rsid w:val="00CE2184"/>
    <w:rsid w:val="00CE3B7F"/>
    <w:rsid w:val="00CE3FA2"/>
    <w:rsid w:val="00CE41A0"/>
    <w:rsid w:val="00CE4958"/>
    <w:rsid w:val="00CE68E2"/>
    <w:rsid w:val="00CE706E"/>
    <w:rsid w:val="00CE70B1"/>
    <w:rsid w:val="00CE7AE4"/>
    <w:rsid w:val="00CF0A4C"/>
    <w:rsid w:val="00CF0DB6"/>
    <w:rsid w:val="00CF150A"/>
    <w:rsid w:val="00CF1F71"/>
    <w:rsid w:val="00CF2225"/>
    <w:rsid w:val="00CF25E7"/>
    <w:rsid w:val="00CF353A"/>
    <w:rsid w:val="00CF3C77"/>
    <w:rsid w:val="00CF415A"/>
    <w:rsid w:val="00CF45A2"/>
    <w:rsid w:val="00CF52E7"/>
    <w:rsid w:val="00CF64B5"/>
    <w:rsid w:val="00CF6A65"/>
    <w:rsid w:val="00CF7853"/>
    <w:rsid w:val="00D004ED"/>
    <w:rsid w:val="00D0260F"/>
    <w:rsid w:val="00D03708"/>
    <w:rsid w:val="00D0389F"/>
    <w:rsid w:val="00D04C82"/>
    <w:rsid w:val="00D0619E"/>
    <w:rsid w:val="00D06776"/>
    <w:rsid w:val="00D06E46"/>
    <w:rsid w:val="00D06F95"/>
    <w:rsid w:val="00D10DF3"/>
    <w:rsid w:val="00D1158C"/>
    <w:rsid w:val="00D11600"/>
    <w:rsid w:val="00D119A2"/>
    <w:rsid w:val="00D12E31"/>
    <w:rsid w:val="00D137F9"/>
    <w:rsid w:val="00D1458C"/>
    <w:rsid w:val="00D1620E"/>
    <w:rsid w:val="00D16867"/>
    <w:rsid w:val="00D16EEC"/>
    <w:rsid w:val="00D1704C"/>
    <w:rsid w:val="00D2047A"/>
    <w:rsid w:val="00D20631"/>
    <w:rsid w:val="00D207FC"/>
    <w:rsid w:val="00D2260B"/>
    <w:rsid w:val="00D22D49"/>
    <w:rsid w:val="00D23930"/>
    <w:rsid w:val="00D23A23"/>
    <w:rsid w:val="00D24D8A"/>
    <w:rsid w:val="00D24DA4"/>
    <w:rsid w:val="00D25235"/>
    <w:rsid w:val="00D25383"/>
    <w:rsid w:val="00D25670"/>
    <w:rsid w:val="00D26BCA"/>
    <w:rsid w:val="00D27D86"/>
    <w:rsid w:val="00D301FF"/>
    <w:rsid w:val="00D313BC"/>
    <w:rsid w:val="00D3257F"/>
    <w:rsid w:val="00D34093"/>
    <w:rsid w:val="00D340E2"/>
    <w:rsid w:val="00D36887"/>
    <w:rsid w:val="00D37563"/>
    <w:rsid w:val="00D379EB"/>
    <w:rsid w:val="00D400B8"/>
    <w:rsid w:val="00D4022C"/>
    <w:rsid w:val="00D41023"/>
    <w:rsid w:val="00D4185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5700"/>
    <w:rsid w:val="00D55924"/>
    <w:rsid w:val="00D564DF"/>
    <w:rsid w:val="00D576DD"/>
    <w:rsid w:val="00D57CB4"/>
    <w:rsid w:val="00D60A73"/>
    <w:rsid w:val="00D61477"/>
    <w:rsid w:val="00D619E2"/>
    <w:rsid w:val="00D61C5B"/>
    <w:rsid w:val="00D62036"/>
    <w:rsid w:val="00D620CC"/>
    <w:rsid w:val="00D634B8"/>
    <w:rsid w:val="00D63EF3"/>
    <w:rsid w:val="00D64441"/>
    <w:rsid w:val="00D64FB0"/>
    <w:rsid w:val="00D65497"/>
    <w:rsid w:val="00D654DA"/>
    <w:rsid w:val="00D6609E"/>
    <w:rsid w:val="00D67A9F"/>
    <w:rsid w:val="00D67C20"/>
    <w:rsid w:val="00D702F7"/>
    <w:rsid w:val="00D70C1B"/>
    <w:rsid w:val="00D70E5C"/>
    <w:rsid w:val="00D7146C"/>
    <w:rsid w:val="00D718CD"/>
    <w:rsid w:val="00D7416F"/>
    <w:rsid w:val="00D755F2"/>
    <w:rsid w:val="00D762AC"/>
    <w:rsid w:val="00D775E7"/>
    <w:rsid w:val="00D77B9E"/>
    <w:rsid w:val="00D80D41"/>
    <w:rsid w:val="00D810E0"/>
    <w:rsid w:val="00D81CA9"/>
    <w:rsid w:val="00D839D8"/>
    <w:rsid w:val="00D83F9E"/>
    <w:rsid w:val="00D840C2"/>
    <w:rsid w:val="00D84562"/>
    <w:rsid w:val="00D8459D"/>
    <w:rsid w:val="00D84FF8"/>
    <w:rsid w:val="00D85B75"/>
    <w:rsid w:val="00D85C16"/>
    <w:rsid w:val="00D86169"/>
    <w:rsid w:val="00D8732E"/>
    <w:rsid w:val="00D90198"/>
    <w:rsid w:val="00D91294"/>
    <w:rsid w:val="00D9186A"/>
    <w:rsid w:val="00D92D47"/>
    <w:rsid w:val="00D938A5"/>
    <w:rsid w:val="00D94213"/>
    <w:rsid w:val="00D94BEB"/>
    <w:rsid w:val="00D94EA5"/>
    <w:rsid w:val="00D95CBB"/>
    <w:rsid w:val="00D95F32"/>
    <w:rsid w:val="00DA024A"/>
    <w:rsid w:val="00DA07EE"/>
    <w:rsid w:val="00DA0A58"/>
    <w:rsid w:val="00DA1C85"/>
    <w:rsid w:val="00DA1CC9"/>
    <w:rsid w:val="00DA2E58"/>
    <w:rsid w:val="00DA328E"/>
    <w:rsid w:val="00DA3AA6"/>
    <w:rsid w:val="00DA46C1"/>
    <w:rsid w:val="00DA4FBE"/>
    <w:rsid w:val="00DA55A9"/>
    <w:rsid w:val="00DA6CAE"/>
    <w:rsid w:val="00DA70DD"/>
    <w:rsid w:val="00DB088F"/>
    <w:rsid w:val="00DB0B4A"/>
    <w:rsid w:val="00DB1487"/>
    <w:rsid w:val="00DB19B4"/>
    <w:rsid w:val="00DB19F1"/>
    <w:rsid w:val="00DB26AE"/>
    <w:rsid w:val="00DB4411"/>
    <w:rsid w:val="00DB466D"/>
    <w:rsid w:val="00DB56EA"/>
    <w:rsid w:val="00DB5FD0"/>
    <w:rsid w:val="00DB7395"/>
    <w:rsid w:val="00DB75C2"/>
    <w:rsid w:val="00DB7E2C"/>
    <w:rsid w:val="00DC027B"/>
    <w:rsid w:val="00DC0A64"/>
    <w:rsid w:val="00DC0FC4"/>
    <w:rsid w:val="00DC1B9A"/>
    <w:rsid w:val="00DC2344"/>
    <w:rsid w:val="00DC2E4F"/>
    <w:rsid w:val="00DC384C"/>
    <w:rsid w:val="00DC3EC6"/>
    <w:rsid w:val="00DC40C4"/>
    <w:rsid w:val="00DC4AFD"/>
    <w:rsid w:val="00DC4D87"/>
    <w:rsid w:val="00DC4D8A"/>
    <w:rsid w:val="00DC6DF6"/>
    <w:rsid w:val="00DC7BFE"/>
    <w:rsid w:val="00DD08C7"/>
    <w:rsid w:val="00DD1A10"/>
    <w:rsid w:val="00DD200D"/>
    <w:rsid w:val="00DD2990"/>
    <w:rsid w:val="00DD2FE9"/>
    <w:rsid w:val="00DD3A7E"/>
    <w:rsid w:val="00DD3F72"/>
    <w:rsid w:val="00DD434E"/>
    <w:rsid w:val="00DD4402"/>
    <w:rsid w:val="00DD59CC"/>
    <w:rsid w:val="00DD60D0"/>
    <w:rsid w:val="00DD6200"/>
    <w:rsid w:val="00DD67E0"/>
    <w:rsid w:val="00DD686C"/>
    <w:rsid w:val="00DD6E86"/>
    <w:rsid w:val="00DE0E5D"/>
    <w:rsid w:val="00DE447F"/>
    <w:rsid w:val="00DE48F0"/>
    <w:rsid w:val="00DE4A77"/>
    <w:rsid w:val="00DE5D7C"/>
    <w:rsid w:val="00DE68EE"/>
    <w:rsid w:val="00DE6D24"/>
    <w:rsid w:val="00DE7285"/>
    <w:rsid w:val="00DE7C40"/>
    <w:rsid w:val="00DF0EA5"/>
    <w:rsid w:val="00DF1F1D"/>
    <w:rsid w:val="00DF23A5"/>
    <w:rsid w:val="00DF4362"/>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65C"/>
    <w:rsid w:val="00E139EE"/>
    <w:rsid w:val="00E14D83"/>
    <w:rsid w:val="00E14FA6"/>
    <w:rsid w:val="00E159BA"/>
    <w:rsid w:val="00E15A0D"/>
    <w:rsid w:val="00E16640"/>
    <w:rsid w:val="00E171D7"/>
    <w:rsid w:val="00E1740F"/>
    <w:rsid w:val="00E200CF"/>
    <w:rsid w:val="00E20997"/>
    <w:rsid w:val="00E21602"/>
    <w:rsid w:val="00E23B55"/>
    <w:rsid w:val="00E24287"/>
    <w:rsid w:val="00E246B3"/>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3544"/>
    <w:rsid w:val="00E44D30"/>
    <w:rsid w:val="00E455B1"/>
    <w:rsid w:val="00E4597F"/>
    <w:rsid w:val="00E46CB7"/>
    <w:rsid w:val="00E4723D"/>
    <w:rsid w:val="00E5077C"/>
    <w:rsid w:val="00E50EC8"/>
    <w:rsid w:val="00E5159B"/>
    <w:rsid w:val="00E515C6"/>
    <w:rsid w:val="00E52E0D"/>
    <w:rsid w:val="00E52FE2"/>
    <w:rsid w:val="00E5415B"/>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400"/>
    <w:rsid w:val="00E66857"/>
    <w:rsid w:val="00E67556"/>
    <w:rsid w:val="00E67877"/>
    <w:rsid w:val="00E702A1"/>
    <w:rsid w:val="00E702E5"/>
    <w:rsid w:val="00E7252F"/>
    <w:rsid w:val="00E73FC2"/>
    <w:rsid w:val="00E74481"/>
    <w:rsid w:val="00E74517"/>
    <w:rsid w:val="00E755D7"/>
    <w:rsid w:val="00E7566D"/>
    <w:rsid w:val="00E757F9"/>
    <w:rsid w:val="00E76E91"/>
    <w:rsid w:val="00E774B4"/>
    <w:rsid w:val="00E778F5"/>
    <w:rsid w:val="00E80E7C"/>
    <w:rsid w:val="00E81779"/>
    <w:rsid w:val="00E8205B"/>
    <w:rsid w:val="00E82444"/>
    <w:rsid w:val="00E8341C"/>
    <w:rsid w:val="00E85D90"/>
    <w:rsid w:val="00E8602B"/>
    <w:rsid w:val="00E86B5F"/>
    <w:rsid w:val="00E870B7"/>
    <w:rsid w:val="00E87D05"/>
    <w:rsid w:val="00E91F96"/>
    <w:rsid w:val="00E92E44"/>
    <w:rsid w:val="00E92E99"/>
    <w:rsid w:val="00E93047"/>
    <w:rsid w:val="00E94364"/>
    <w:rsid w:val="00E94F2F"/>
    <w:rsid w:val="00E94F71"/>
    <w:rsid w:val="00E95C15"/>
    <w:rsid w:val="00E968FD"/>
    <w:rsid w:val="00E96D55"/>
    <w:rsid w:val="00E97993"/>
    <w:rsid w:val="00EA0D5D"/>
    <w:rsid w:val="00EA1126"/>
    <w:rsid w:val="00EA1192"/>
    <w:rsid w:val="00EA153F"/>
    <w:rsid w:val="00EA2788"/>
    <w:rsid w:val="00EA2C6E"/>
    <w:rsid w:val="00EA45E6"/>
    <w:rsid w:val="00EA4964"/>
    <w:rsid w:val="00EA4F1A"/>
    <w:rsid w:val="00EA6BE7"/>
    <w:rsid w:val="00EB02DE"/>
    <w:rsid w:val="00EB05D3"/>
    <w:rsid w:val="00EB0A07"/>
    <w:rsid w:val="00EB1B69"/>
    <w:rsid w:val="00EB1C78"/>
    <w:rsid w:val="00EB3B46"/>
    <w:rsid w:val="00EB4F08"/>
    <w:rsid w:val="00EB6336"/>
    <w:rsid w:val="00EC170D"/>
    <w:rsid w:val="00EC2863"/>
    <w:rsid w:val="00EC2E07"/>
    <w:rsid w:val="00EC43C7"/>
    <w:rsid w:val="00EC465D"/>
    <w:rsid w:val="00EC4F66"/>
    <w:rsid w:val="00EC5C89"/>
    <w:rsid w:val="00EC634D"/>
    <w:rsid w:val="00EC66D2"/>
    <w:rsid w:val="00EC67E7"/>
    <w:rsid w:val="00ED0A1B"/>
    <w:rsid w:val="00ED21BC"/>
    <w:rsid w:val="00ED2BC0"/>
    <w:rsid w:val="00ED2FEC"/>
    <w:rsid w:val="00ED3F67"/>
    <w:rsid w:val="00ED4047"/>
    <w:rsid w:val="00ED440A"/>
    <w:rsid w:val="00ED71F1"/>
    <w:rsid w:val="00ED768C"/>
    <w:rsid w:val="00ED7971"/>
    <w:rsid w:val="00EE0748"/>
    <w:rsid w:val="00EE08F7"/>
    <w:rsid w:val="00EE0ECC"/>
    <w:rsid w:val="00EE29A0"/>
    <w:rsid w:val="00EE2CEA"/>
    <w:rsid w:val="00EE3365"/>
    <w:rsid w:val="00EE4088"/>
    <w:rsid w:val="00EE4313"/>
    <w:rsid w:val="00EE453B"/>
    <w:rsid w:val="00EE48DF"/>
    <w:rsid w:val="00EE4AB3"/>
    <w:rsid w:val="00EE6085"/>
    <w:rsid w:val="00EE7405"/>
    <w:rsid w:val="00EF033E"/>
    <w:rsid w:val="00EF06EC"/>
    <w:rsid w:val="00EF14FF"/>
    <w:rsid w:val="00EF2BFE"/>
    <w:rsid w:val="00EF2D85"/>
    <w:rsid w:val="00EF402C"/>
    <w:rsid w:val="00EF412E"/>
    <w:rsid w:val="00EF45E0"/>
    <w:rsid w:val="00EF4E6F"/>
    <w:rsid w:val="00EF5C82"/>
    <w:rsid w:val="00EF5D3B"/>
    <w:rsid w:val="00EF7A15"/>
    <w:rsid w:val="00F01F8C"/>
    <w:rsid w:val="00F02B3C"/>
    <w:rsid w:val="00F035A6"/>
    <w:rsid w:val="00F04AD0"/>
    <w:rsid w:val="00F07CED"/>
    <w:rsid w:val="00F10033"/>
    <w:rsid w:val="00F10848"/>
    <w:rsid w:val="00F10B68"/>
    <w:rsid w:val="00F11F55"/>
    <w:rsid w:val="00F12DEC"/>
    <w:rsid w:val="00F13151"/>
    <w:rsid w:val="00F15128"/>
    <w:rsid w:val="00F15523"/>
    <w:rsid w:val="00F15DCE"/>
    <w:rsid w:val="00F16391"/>
    <w:rsid w:val="00F17334"/>
    <w:rsid w:val="00F20322"/>
    <w:rsid w:val="00F2062B"/>
    <w:rsid w:val="00F2171E"/>
    <w:rsid w:val="00F21A18"/>
    <w:rsid w:val="00F21E61"/>
    <w:rsid w:val="00F220EA"/>
    <w:rsid w:val="00F222CD"/>
    <w:rsid w:val="00F24EA4"/>
    <w:rsid w:val="00F261CE"/>
    <w:rsid w:val="00F2625A"/>
    <w:rsid w:val="00F316F7"/>
    <w:rsid w:val="00F31A03"/>
    <w:rsid w:val="00F3283C"/>
    <w:rsid w:val="00F32D0F"/>
    <w:rsid w:val="00F343F0"/>
    <w:rsid w:val="00F34620"/>
    <w:rsid w:val="00F34AAB"/>
    <w:rsid w:val="00F34C4D"/>
    <w:rsid w:val="00F350CF"/>
    <w:rsid w:val="00F3522F"/>
    <w:rsid w:val="00F35582"/>
    <w:rsid w:val="00F369AB"/>
    <w:rsid w:val="00F37004"/>
    <w:rsid w:val="00F376A1"/>
    <w:rsid w:val="00F3799F"/>
    <w:rsid w:val="00F37B8E"/>
    <w:rsid w:val="00F41341"/>
    <w:rsid w:val="00F41746"/>
    <w:rsid w:val="00F41A52"/>
    <w:rsid w:val="00F41E79"/>
    <w:rsid w:val="00F4315F"/>
    <w:rsid w:val="00F445F6"/>
    <w:rsid w:val="00F4512F"/>
    <w:rsid w:val="00F454EF"/>
    <w:rsid w:val="00F45763"/>
    <w:rsid w:val="00F45BCF"/>
    <w:rsid w:val="00F45BEA"/>
    <w:rsid w:val="00F45CFE"/>
    <w:rsid w:val="00F46654"/>
    <w:rsid w:val="00F46877"/>
    <w:rsid w:val="00F46B63"/>
    <w:rsid w:val="00F47F3E"/>
    <w:rsid w:val="00F523D7"/>
    <w:rsid w:val="00F52A45"/>
    <w:rsid w:val="00F530E6"/>
    <w:rsid w:val="00F532C7"/>
    <w:rsid w:val="00F54EE5"/>
    <w:rsid w:val="00F55358"/>
    <w:rsid w:val="00F55F9A"/>
    <w:rsid w:val="00F5603C"/>
    <w:rsid w:val="00F5605C"/>
    <w:rsid w:val="00F564B9"/>
    <w:rsid w:val="00F56D8E"/>
    <w:rsid w:val="00F57909"/>
    <w:rsid w:val="00F612D6"/>
    <w:rsid w:val="00F6255F"/>
    <w:rsid w:val="00F63400"/>
    <w:rsid w:val="00F636C6"/>
    <w:rsid w:val="00F63DAD"/>
    <w:rsid w:val="00F6433D"/>
    <w:rsid w:val="00F6573E"/>
    <w:rsid w:val="00F65BE3"/>
    <w:rsid w:val="00F662EB"/>
    <w:rsid w:val="00F67606"/>
    <w:rsid w:val="00F70327"/>
    <w:rsid w:val="00F70FEF"/>
    <w:rsid w:val="00F716CA"/>
    <w:rsid w:val="00F71AD0"/>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0DB7"/>
    <w:rsid w:val="00F91941"/>
    <w:rsid w:val="00F92E3F"/>
    <w:rsid w:val="00F92EB4"/>
    <w:rsid w:val="00F938D2"/>
    <w:rsid w:val="00F94605"/>
    <w:rsid w:val="00F95DA8"/>
    <w:rsid w:val="00F96389"/>
    <w:rsid w:val="00F9650E"/>
    <w:rsid w:val="00F96B73"/>
    <w:rsid w:val="00F977C7"/>
    <w:rsid w:val="00FA0890"/>
    <w:rsid w:val="00FA164A"/>
    <w:rsid w:val="00FA3F3E"/>
    <w:rsid w:val="00FA4272"/>
    <w:rsid w:val="00FA4855"/>
    <w:rsid w:val="00FA4ACD"/>
    <w:rsid w:val="00FA6428"/>
    <w:rsid w:val="00FA7093"/>
    <w:rsid w:val="00FA7144"/>
    <w:rsid w:val="00FA7184"/>
    <w:rsid w:val="00FB1D9D"/>
    <w:rsid w:val="00FB269F"/>
    <w:rsid w:val="00FB3304"/>
    <w:rsid w:val="00FB46B8"/>
    <w:rsid w:val="00FB4B38"/>
    <w:rsid w:val="00FB54BB"/>
    <w:rsid w:val="00FB5AC0"/>
    <w:rsid w:val="00FB6C91"/>
    <w:rsid w:val="00FB74E8"/>
    <w:rsid w:val="00FC0263"/>
    <w:rsid w:val="00FC0348"/>
    <w:rsid w:val="00FC0FB5"/>
    <w:rsid w:val="00FC102A"/>
    <w:rsid w:val="00FC154C"/>
    <w:rsid w:val="00FC1DBC"/>
    <w:rsid w:val="00FC1F79"/>
    <w:rsid w:val="00FC2637"/>
    <w:rsid w:val="00FC393B"/>
    <w:rsid w:val="00FC4052"/>
    <w:rsid w:val="00FC5252"/>
    <w:rsid w:val="00FC586A"/>
    <w:rsid w:val="00FC5ED7"/>
    <w:rsid w:val="00FC6356"/>
    <w:rsid w:val="00FC65FF"/>
    <w:rsid w:val="00FC67D2"/>
    <w:rsid w:val="00FC6F9A"/>
    <w:rsid w:val="00FC7725"/>
    <w:rsid w:val="00FC7D01"/>
    <w:rsid w:val="00FC7E7F"/>
    <w:rsid w:val="00FD0130"/>
    <w:rsid w:val="00FD0373"/>
    <w:rsid w:val="00FD0582"/>
    <w:rsid w:val="00FD0C93"/>
    <w:rsid w:val="00FD1062"/>
    <w:rsid w:val="00FD2589"/>
    <w:rsid w:val="00FD3C50"/>
    <w:rsid w:val="00FD4876"/>
    <w:rsid w:val="00FD52A3"/>
    <w:rsid w:val="00FD53E8"/>
    <w:rsid w:val="00FD68D4"/>
    <w:rsid w:val="00FE00D9"/>
    <w:rsid w:val="00FE1186"/>
    <w:rsid w:val="00FE177A"/>
    <w:rsid w:val="00FE17DA"/>
    <w:rsid w:val="00FE1D85"/>
    <w:rsid w:val="00FE240A"/>
    <w:rsid w:val="00FE3E3C"/>
    <w:rsid w:val="00FE43E7"/>
    <w:rsid w:val="00FE4B66"/>
    <w:rsid w:val="00FE4F6E"/>
    <w:rsid w:val="00FE583F"/>
    <w:rsid w:val="00FE5CC4"/>
    <w:rsid w:val="00FE62BF"/>
    <w:rsid w:val="00FE6B13"/>
    <w:rsid w:val="00FE6B2A"/>
    <w:rsid w:val="00FE7575"/>
    <w:rsid w:val="00FF1070"/>
    <w:rsid w:val="00FF13E2"/>
    <w:rsid w:val="00FF2237"/>
    <w:rsid w:val="00FF2296"/>
    <w:rsid w:val="00FF31FC"/>
    <w:rsid w:val="00FF4953"/>
    <w:rsid w:val="00FF4D40"/>
    <w:rsid w:val="00FF5FA3"/>
    <w:rsid w:val="00FF5FCE"/>
    <w:rsid w:val="00FF6177"/>
    <w:rsid w:val="00FF6A86"/>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F95AB"/>
  <w15:docId w15:val="{2FAAE0F7-B8C3-4BE9-8713-97E8A0C7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E0"/>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A2530D"/>
    <w:rPr>
      <w:vertAlign w:val="superscript"/>
    </w:rPr>
  </w:style>
  <w:style w:type="paragraph" w:customStyle="1" w:styleId="Char2">
    <w:name w:val="Char2"/>
    <w:aliases w:val="Char Char Char Char"/>
    <w:basedOn w:val="Normal"/>
    <w:next w:val="Normal"/>
    <w:link w:val="FootnoteReference"/>
    <w:rsid w:val="00A2530D"/>
    <w:pPr>
      <w:spacing w:after="160" w:line="240" w:lineRule="exact"/>
      <w:jc w:val="both"/>
      <w:textAlignment w:val="baseline"/>
    </w:pPr>
    <w:rPr>
      <w:sz w:val="20"/>
      <w:szCs w:val="20"/>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A2530D"/>
    <w:rPr>
      <w:rFonts w:ascii="Calibri" w:hAnsi="Calibri"/>
      <w:sz w:val="22"/>
      <w:szCs w:val="22"/>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A2530D"/>
    <w:rPr>
      <w:rFonts w:ascii="Calibri" w:eastAsia="Calibri" w:hAnsi="Calibri" w:cs="Calibr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A2530D"/>
    <w:rPr>
      <w:rFonts w:ascii="Calibri" w:eastAsia="Calibri" w:hAnsi="Calibri" w:cs="Calibri"/>
    </w:rPr>
  </w:style>
  <w:style w:type="paragraph" w:styleId="NoSpacing">
    <w:name w:val="No Spacing"/>
    <w:uiPriority w:val="1"/>
    <w:qFormat/>
    <w:rsid w:val="00D55924"/>
    <w:pPr>
      <w:widowControl w:val="0"/>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3055DB"/>
    <w:pPr>
      <w:spacing w:after="120"/>
      <w:ind w:left="283"/>
    </w:pPr>
  </w:style>
  <w:style w:type="character" w:customStyle="1" w:styleId="BodyTextIndentChar">
    <w:name w:val="Body Text Indent Char"/>
    <w:basedOn w:val="DefaultParagraphFont"/>
    <w:link w:val="BodyTextIndent"/>
    <w:uiPriority w:val="99"/>
    <w:rsid w:val="003055DB"/>
    <w:rPr>
      <w:sz w:val="24"/>
      <w:szCs w:val="24"/>
    </w:rPr>
  </w:style>
  <w:style w:type="paragraph" w:customStyle="1" w:styleId="tv213">
    <w:name w:val="tv213"/>
    <w:basedOn w:val="Normal"/>
    <w:rsid w:val="00A64B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23">
      <w:bodyDiv w:val="1"/>
      <w:marLeft w:val="0"/>
      <w:marRight w:val="0"/>
      <w:marTop w:val="0"/>
      <w:marBottom w:val="0"/>
      <w:divBdr>
        <w:top w:val="none" w:sz="0" w:space="0" w:color="auto"/>
        <w:left w:val="none" w:sz="0" w:space="0" w:color="auto"/>
        <w:bottom w:val="none" w:sz="0" w:space="0" w:color="auto"/>
        <w:right w:val="none" w:sz="0" w:space="0" w:color="auto"/>
      </w:divBdr>
    </w:div>
    <w:div w:id="7602193">
      <w:bodyDiv w:val="1"/>
      <w:marLeft w:val="0"/>
      <w:marRight w:val="0"/>
      <w:marTop w:val="0"/>
      <w:marBottom w:val="0"/>
      <w:divBdr>
        <w:top w:val="none" w:sz="0" w:space="0" w:color="auto"/>
        <w:left w:val="none" w:sz="0" w:space="0" w:color="auto"/>
        <w:bottom w:val="none" w:sz="0" w:space="0" w:color="auto"/>
        <w:right w:val="none" w:sz="0" w:space="0" w:color="auto"/>
      </w:divBdr>
    </w:div>
    <w:div w:id="23411827">
      <w:bodyDiv w:val="1"/>
      <w:marLeft w:val="0"/>
      <w:marRight w:val="0"/>
      <w:marTop w:val="0"/>
      <w:marBottom w:val="0"/>
      <w:divBdr>
        <w:top w:val="none" w:sz="0" w:space="0" w:color="auto"/>
        <w:left w:val="none" w:sz="0" w:space="0" w:color="auto"/>
        <w:bottom w:val="none" w:sz="0" w:space="0" w:color="auto"/>
        <w:right w:val="none" w:sz="0" w:space="0" w:color="auto"/>
      </w:divBdr>
    </w:div>
    <w:div w:id="119616769">
      <w:bodyDiv w:val="1"/>
      <w:marLeft w:val="0"/>
      <w:marRight w:val="0"/>
      <w:marTop w:val="0"/>
      <w:marBottom w:val="0"/>
      <w:divBdr>
        <w:top w:val="none" w:sz="0" w:space="0" w:color="auto"/>
        <w:left w:val="none" w:sz="0" w:space="0" w:color="auto"/>
        <w:bottom w:val="none" w:sz="0" w:space="0" w:color="auto"/>
        <w:right w:val="none" w:sz="0" w:space="0" w:color="auto"/>
      </w:divBdr>
    </w:div>
    <w:div w:id="176122540">
      <w:bodyDiv w:val="1"/>
      <w:marLeft w:val="0"/>
      <w:marRight w:val="0"/>
      <w:marTop w:val="0"/>
      <w:marBottom w:val="0"/>
      <w:divBdr>
        <w:top w:val="none" w:sz="0" w:space="0" w:color="auto"/>
        <w:left w:val="none" w:sz="0" w:space="0" w:color="auto"/>
        <w:bottom w:val="none" w:sz="0" w:space="0" w:color="auto"/>
        <w:right w:val="none" w:sz="0" w:space="0" w:color="auto"/>
      </w:divBdr>
    </w:div>
    <w:div w:id="217010904">
      <w:bodyDiv w:val="1"/>
      <w:marLeft w:val="0"/>
      <w:marRight w:val="0"/>
      <w:marTop w:val="0"/>
      <w:marBottom w:val="0"/>
      <w:divBdr>
        <w:top w:val="none" w:sz="0" w:space="0" w:color="auto"/>
        <w:left w:val="none" w:sz="0" w:space="0" w:color="auto"/>
        <w:bottom w:val="none" w:sz="0" w:space="0" w:color="auto"/>
        <w:right w:val="none" w:sz="0" w:space="0" w:color="auto"/>
      </w:divBdr>
    </w:div>
    <w:div w:id="263265088">
      <w:bodyDiv w:val="1"/>
      <w:marLeft w:val="0"/>
      <w:marRight w:val="0"/>
      <w:marTop w:val="0"/>
      <w:marBottom w:val="0"/>
      <w:divBdr>
        <w:top w:val="none" w:sz="0" w:space="0" w:color="auto"/>
        <w:left w:val="none" w:sz="0" w:space="0" w:color="auto"/>
        <w:bottom w:val="none" w:sz="0" w:space="0" w:color="auto"/>
        <w:right w:val="none" w:sz="0" w:space="0" w:color="auto"/>
      </w:divBdr>
    </w:div>
    <w:div w:id="281041433">
      <w:bodyDiv w:val="1"/>
      <w:marLeft w:val="0"/>
      <w:marRight w:val="0"/>
      <w:marTop w:val="0"/>
      <w:marBottom w:val="0"/>
      <w:divBdr>
        <w:top w:val="none" w:sz="0" w:space="0" w:color="auto"/>
        <w:left w:val="none" w:sz="0" w:space="0" w:color="auto"/>
        <w:bottom w:val="none" w:sz="0" w:space="0" w:color="auto"/>
        <w:right w:val="none" w:sz="0" w:space="0" w:color="auto"/>
      </w:divBdr>
    </w:div>
    <w:div w:id="308829216">
      <w:bodyDiv w:val="1"/>
      <w:marLeft w:val="0"/>
      <w:marRight w:val="0"/>
      <w:marTop w:val="0"/>
      <w:marBottom w:val="0"/>
      <w:divBdr>
        <w:top w:val="none" w:sz="0" w:space="0" w:color="auto"/>
        <w:left w:val="none" w:sz="0" w:space="0" w:color="auto"/>
        <w:bottom w:val="none" w:sz="0" w:space="0" w:color="auto"/>
        <w:right w:val="none" w:sz="0" w:space="0" w:color="auto"/>
      </w:divBdr>
    </w:div>
    <w:div w:id="385832919">
      <w:bodyDiv w:val="1"/>
      <w:marLeft w:val="0"/>
      <w:marRight w:val="0"/>
      <w:marTop w:val="0"/>
      <w:marBottom w:val="0"/>
      <w:divBdr>
        <w:top w:val="none" w:sz="0" w:space="0" w:color="auto"/>
        <w:left w:val="none" w:sz="0" w:space="0" w:color="auto"/>
        <w:bottom w:val="none" w:sz="0" w:space="0" w:color="auto"/>
        <w:right w:val="none" w:sz="0" w:space="0" w:color="auto"/>
      </w:divBdr>
    </w:div>
    <w:div w:id="400106955">
      <w:bodyDiv w:val="1"/>
      <w:marLeft w:val="0"/>
      <w:marRight w:val="0"/>
      <w:marTop w:val="0"/>
      <w:marBottom w:val="0"/>
      <w:divBdr>
        <w:top w:val="none" w:sz="0" w:space="0" w:color="auto"/>
        <w:left w:val="none" w:sz="0" w:space="0" w:color="auto"/>
        <w:bottom w:val="none" w:sz="0" w:space="0" w:color="auto"/>
        <w:right w:val="none" w:sz="0" w:space="0" w:color="auto"/>
      </w:divBdr>
    </w:div>
    <w:div w:id="42573384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3199037">
      <w:bodyDiv w:val="1"/>
      <w:marLeft w:val="0"/>
      <w:marRight w:val="0"/>
      <w:marTop w:val="0"/>
      <w:marBottom w:val="0"/>
      <w:divBdr>
        <w:top w:val="none" w:sz="0" w:space="0" w:color="auto"/>
        <w:left w:val="none" w:sz="0" w:space="0" w:color="auto"/>
        <w:bottom w:val="none" w:sz="0" w:space="0" w:color="auto"/>
        <w:right w:val="none" w:sz="0" w:space="0" w:color="auto"/>
      </w:divBdr>
    </w:div>
    <w:div w:id="58288330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78973069">
      <w:bodyDiv w:val="1"/>
      <w:marLeft w:val="0"/>
      <w:marRight w:val="0"/>
      <w:marTop w:val="0"/>
      <w:marBottom w:val="0"/>
      <w:divBdr>
        <w:top w:val="none" w:sz="0" w:space="0" w:color="auto"/>
        <w:left w:val="none" w:sz="0" w:space="0" w:color="auto"/>
        <w:bottom w:val="none" w:sz="0" w:space="0" w:color="auto"/>
        <w:right w:val="none" w:sz="0" w:space="0" w:color="auto"/>
      </w:divBdr>
    </w:div>
    <w:div w:id="750273844">
      <w:bodyDiv w:val="1"/>
      <w:marLeft w:val="0"/>
      <w:marRight w:val="0"/>
      <w:marTop w:val="0"/>
      <w:marBottom w:val="0"/>
      <w:divBdr>
        <w:top w:val="none" w:sz="0" w:space="0" w:color="auto"/>
        <w:left w:val="none" w:sz="0" w:space="0" w:color="auto"/>
        <w:bottom w:val="none" w:sz="0" w:space="0" w:color="auto"/>
        <w:right w:val="none" w:sz="0" w:space="0" w:color="auto"/>
      </w:divBdr>
    </w:div>
    <w:div w:id="751976869">
      <w:bodyDiv w:val="1"/>
      <w:marLeft w:val="0"/>
      <w:marRight w:val="0"/>
      <w:marTop w:val="0"/>
      <w:marBottom w:val="0"/>
      <w:divBdr>
        <w:top w:val="none" w:sz="0" w:space="0" w:color="auto"/>
        <w:left w:val="none" w:sz="0" w:space="0" w:color="auto"/>
        <w:bottom w:val="none" w:sz="0" w:space="0" w:color="auto"/>
        <w:right w:val="none" w:sz="0" w:space="0" w:color="auto"/>
      </w:divBdr>
    </w:div>
    <w:div w:id="804083222">
      <w:bodyDiv w:val="1"/>
      <w:marLeft w:val="0"/>
      <w:marRight w:val="0"/>
      <w:marTop w:val="0"/>
      <w:marBottom w:val="0"/>
      <w:divBdr>
        <w:top w:val="none" w:sz="0" w:space="0" w:color="auto"/>
        <w:left w:val="none" w:sz="0" w:space="0" w:color="auto"/>
        <w:bottom w:val="none" w:sz="0" w:space="0" w:color="auto"/>
        <w:right w:val="none" w:sz="0" w:space="0" w:color="auto"/>
      </w:divBdr>
    </w:div>
    <w:div w:id="826476958">
      <w:bodyDiv w:val="1"/>
      <w:marLeft w:val="0"/>
      <w:marRight w:val="0"/>
      <w:marTop w:val="0"/>
      <w:marBottom w:val="0"/>
      <w:divBdr>
        <w:top w:val="none" w:sz="0" w:space="0" w:color="auto"/>
        <w:left w:val="none" w:sz="0" w:space="0" w:color="auto"/>
        <w:bottom w:val="none" w:sz="0" w:space="0" w:color="auto"/>
        <w:right w:val="none" w:sz="0" w:space="0" w:color="auto"/>
      </w:divBdr>
    </w:div>
    <w:div w:id="843668118">
      <w:bodyDiv w:val="1"/>
      <w:marLeft w:val="0"/>
      <w:marRight w:val="0"/>
      <w:marTop w:val="0"/>
      <w:marBottom w:val="0"/>
      <w:divBdr>
        <w:top w:val="none" w:sz="0" w:space="0" w:color="auto"/>
        <w:left w:val="none" w:sz="0" w:space="0" w:color="auto"/>
        <w:bottom w:val="none" w:sz="0" w:space="0" w:color="auto"/>
        <w:right w:val="none" w:sz="0" w:space="0" w:color="auto"/>
      </w:divBdr>
    </w:div>
    <w:div w:id="868180496">
      <w:bodyDiv w:val="1"/>
      <w:marLeft w:val="0"/>
      <w:marRight w:val="0"/>
      <w:marTop w:val="0"/>
      <w:marBottom w:val="0"/>
      <w:divBdr>
        <w:top w:val="none" w:sz="0" w:space="0" w:color="auto"/>
        <w:left w:val="none" w:sz="0" w:space="0" w:color="auto"/>
        <w:bottom w:val="none" w:sz="0" w:space="0" w:color="auto"/>
        <w:right w:val="none" w:sz="0" w:space="0" w:color="auto"/>
      </w:divBdr>
    </w:div>
    <w:div w:id="931398490">
      <w:bodyDiv w:val="1"/>
      <w:marLeft w:val="0"/>
      <w:marRight w:val="0"/>
      <w:marTop w:val="0"/>
      <w:marBottom w:val="0"/>
      <w:divBdr>
        <w:top w:val="none" w:sz="0" w:space="0" w:color="auto"/>
        <w:left w:val="none" w:sz="0" w:space="0" w:color="auto"/>
        <w:bottom w:val="none" w:sz="0" w:space="0" w:color="auto"/>
        <w:right w:val="none" w:sz="0" w:space="0" w:color="auto"/>
      </w:divBdr>
    </w:div>
    <w:div w:id="1031153675">
      <w:bodyDiv w:val="1"/>
      <w:marLeft w:val="0"/>
      <w:marRight w:val="0"/>
      <w:marTop w:val="0"/>
      <w:marBottom w:val="0"/>
      <w:divBdr>
        <w:top w:val="none" w:sz="0" w:space="0" w:color="auto"/>
        <w:left w:val="none" w:sz="0" w:space="0" w:color="auto"/>
        <w:bottom w:val="none" w:sz="0" w:space="0" w:color="auto"/>
        <w:right w:val="none" w:sz="0" w:space="0" w:color="auto"/>
      </w:divBdr>
    </w:div>
    <w:div w:id="106741300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0658913">
      <w:bodyDiv w:val="1"/>
      <w:marLeft w:val="0"/>
      <w:marRight w:val="0"/>
      <w:marTop w:val="0"/>
      <w:marBottom w:val="0"/>
      <w:divBdr>
        <w:top w:val="none" w:sz="0" w:space="0" w:color="auto"/>
        <w:left w:val="none" w:sz="0" w:space="0" w:color="auto"/>
        <w:bottom w:val="none" w:sz="0" w:space="0" w:color="auto"/>
        <w:right w:val="none" w:sz="0" w:space="0" w:color="auto"/>
      </w:divBdr>
    </w:div>
    <w:div w:id="1164316036">
      <w:bodyDiv w:val="1"/>
      <w:marLeft w:val="0"/>
      <w:marRight w:val="0"/>
      <w:marTop w:val="0"/>
      <w:marBottom w:val="0"/>
      <w:divBdr>
        <w:top w:val="none" w:sz="0" w:space="0" w:color="auto"/>
        <w:left w:val="none" w:sz="0" w:space="0" w:color="auto"/>
        <w:bottom w:val="none" w:sz="0" w:space="0" w:color="auto"/>
        <w:right w:val="none" w:sz="0" w:space="0" w:color="auto"/>
      </w:divBdr>
    </w:div>
    <w:div w:id="1228952458">
      <w:bodyDiv w:val="1"/>
      <w:marLeft w:val="0"/>
      <w:marRight w:val="0"/>
      <w:marTop w:val="0"/>
      <w:marBottom w:val="0"/>
      <w:divBdr>
        <w:top w:val="none" w:sz="0" w:space="0" w:color="auto"/>
        <w:left w:val="none" w:sz="0" w:space="0" w:color="auto"/>
        <w:bottom w:val="none" w:sz="0" w:space="0" w:color="auto"/>
        <w:right w:val="none" w:sz="0" w:space="0" w:color="auto"/>
      </w:divBdr>
    </w:div>
    <w:div w:id="126808089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54570833">
      <w:bodyDiv w:val="1"/>
      <w:marLeft w:val="0"/>
      <w:marRight w:val="0"/>
      <w:marTop w:val="0"/>
      <w:marBottom w:val="0"/>
      <w:divBdr>
        <w:top w:val="none" w:sz="0" w:space="0" w:color="auto"/>
        <w:left w:val="none" w:sz="0" w:space="0" w:color="auto"/>
        <w:bottom w:val="none" w:sz="0" w:space="0" w:color="auto"/>
        <w:right w:val="none" w:sz="0" w:space="0" w:color="auto"/>
      </w:divBdr>
    </w:div>
    <w:div w:id="1381515458">
      <w:bodyDiv w:val="1"/>
      <w:marLeft w:val="0"/>
      <w:marRight w:val="0"/>
      <w:marTop w:val="0"/>
      <w:marBottom w:val="0"/>
      <w:divBdr>
        <w:top w:val="none" w:sz="0" w:space="0" w:color="auto"/>
        <w:left w:val="none" w:sz="0" w:space="0" w:color="auto"/>
        <w:bottom w:val="none" w:sz="0" w:space="0" w:color="auto"/>
        <w:right w:val="none" w:sz="0" w:space="0" w:color="auto"/>
      </w:divBdr>
    </w:div>
    <w:div w:id="1409812932">
      <w:bodyDiv w:val="1"/>
      <w:marLeft w:val="0"/>
      <w:marRight w:val="0"/>
      <w:marTop w:val="0"/>
      <w:marBottom w:val="0"/>
      <w:divBdr>
        <w:top w:val="none" w:sz="0" w:space="0" w:color="auto"/>
        <w:left w:val="none" w:sz="0" w:space="0" w:color="auto"/>
        <w:bottom w:val="none" w:sz="0" w:space="0" w:color="auto"/>
        <w:right w:val="none" w:sz="0" w:space="0" w:color="auto"/>
      </w:divBdr>
    </w:div>
    <w:div w:id="1449466152">
      <w:bodyDiv w:val="1"/>
      <w:marLeft w:val="0"/>
      <w:marRight w:val="0"/>
      <w:marTop w:val="0"/>
      <w:marBottom w:val="0"/>
      <w:divBdr>
        <w:top w:val="none" w:sz="0" w:space="0" w:color="auto"/>
        <w:left w:val="none" w:sz="0" w:space="0" w:color="auto"/>
        <w:bottom w:val="none" w:sz="0" w:space="0" w:color="auto"/>
        <w:right w:val="none" w:sz="0" w:space="0" w:color="auto"/>
      </w:divBdr>
    </w:div>
    <w:div w:id="148000188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4034305">
      <w:bodyDiv w:val="1"/>
      <w:marLeft w:val="0"/>
      <w:marRight w:val="0"/>
      <w:marTop w:val="0"/>
      <w:marBottom w:val="0"/>
      <w:divBdr>
        <w:top w:val="none" w:sz="0" w:space="0" w:color="auto"/>
        <w:left w:val="none" w:sz="0" w:space="0" w:color="auto"/>
        <w:bottom w:val="none" w:sz="0" w:space="0" w:color="auto"/>
        <w:right w:val="none" w:sz="0" w:space="0" w:color="auto"/>
      </w:divBdr>
    </w:div>
    <w:div w:id="1714304415">
      <w:bodyDiv w:val="1"/>
      <w:marLeft w:val="0"/>
      <w:marRight w:val="0"/>
      <w:marTop w:val="0"/>
      <w:marBottom w:val="0"/>
      <w:divBdr>
        <w:top w:val="none" w:sz="0" w:space="0" w:color="auto"/>
        <w:left w:val="none" w:sz="0" w:space="0" w:color="auto"/>
        <w:bottom w:val="none" w:sz="0" w:space="0" w:color="auto"/>
        <w:right w:val="none" w:sz="0" w:space="0" w:color="auto"/>
      </w:divBdr>
    </w:div>
    <w:div w:id="1721438966">
      <w:bodyDiv w:val="1"/>
      <w:marLeft w:val="0"/>
      <w:marRight w:val="0"/>
      <w:marTop w:val="0"/>
      <w:marBottom w:val="0"/>
      <w:divBdr>
        <w:top w:val="none" w:sz="0" w:space="0" w:color="auto"/>
        <w:left w:val="none" w:sz="0" w:space="0" w:color="auto"/>
        <w:bottom w:val="none" w:sz="0" w:space="0" w:color="auto"/>
        <w:right w:val="none" w:sz="0" w:space="0" w:color="auto"/>
      </w:divBdr>
    </w:div>
    <w:div w:id="1768890787">
      <w:bodyDiv w:val="1"/>
      <w:marLeft w:val="0"/>
      <w:marRight w:val="0"/>
      <w:marTop w:val="0"/>
      <w:marBottom w:val="0"/>
      <w:divBdr>
        <w:top w:val="none" w:sz="0" w:space="0" w:color="auto"/>
        <w:left w:val="none" w:sz="0" w:space="0" w:color="auto"/>
        <w:bottom w:val="none" w:sz="0" w:space="0" w:color="auto"/>
        <w:right w:val="none" w:sz="0" w:space="0" w:color="auto"/>
      </w:divBdr>
    </w:div>
    <w:div w:id="1776943920">
      <w:bodyDiv w:val="1"/>
      <w:marLeft w:val="0"/>
      <w:marRight w:val="0"/>
      <w:marTop w:val="0"/>
      <w:marBottom w:val="0"/>
      <w:divBdr>
        <w:top w:val="none" w:sz="0" w:space="0" w:color="auto"/>
        <w:left w:val="none" w:sz="0" w:space="0" w:color="auto"/>
        <w:bottom w:val="none" w:sz="0" w:space="0" w:color="auto"/>
        <w:right w:val="none" w:sz="0" w:space="0" w:color="auto"/>
      </w:divBdr>
    </w:div>
    <w:div w:id="1912814106">
      <w:bodyDiv w:val="1"/>
      <w:marLeft w:val="0"/>
      <w:marRight w:val="0"/>
      <w:marTop w:val="0"/>
      <w:marBottom w:val="0"/>
      <w:divBdr>
        <w:top w:val="none" w:sz="0" w:space="0" w:color="auto"/>
        <w:left w:val="none" w:sz="0" w:space="0" w:color="auto"/>
        <w:bottom w:val="none" w:sz="0" w:space="0" w:color="auto"/>
        <w:right w:val="none" w:sz="0" w:space="0" w:color="auto"/>
      </w:divBdr>
    </w:div>
    <w:div w:id="1940138141">
      <w:bodyDiv w:val="1"/>
      <w:marLeft w:val="0"/>
      <w:marRight w:val="0"/>
      <w:marTop w:val="0"/>
      <w:marBottom w:val="0"/>
      <w:divBdr>
        <w:top w:val="none" w:sz="0" w:space="0" w:color="auto"/>
        <w:left w:val="none" w:sz="0" w:space="0" w:color="auto"/>
        <w:bottom w:val="none" w:sz="0" w:space="0" w:color="auto"/>
        <w:right w:val="none" w:sz="0" w:space="0" w:color="auto"/>
      </w:divBdr>
    </w:div>
    <w:div w:id="2090997931">
      <w:bodyDiv w:val="1"/>
      <w:marLeft w:val="0"/>
      <w:marRight w:val="0"/>
      <w:marTop w:val="0"/>
      <w:marBottom w:val="0"/>
      <w:divBdr>
        <w:top w:val="none" w:sz="0" w:space="0" w:color="auto"/>
        <w:left w:val="none" w:sz="0" w:space="0" w:color="auto"/>
        <w:bottom w:val="none" w:sz="0" w:space="0" w:color="auto"/>
        <w:right w:val="none" w:sz="0" w:space="0" w:color="auto"/>
      </w:divBdr>
    </w:div>
    <w:div w:id="21209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0900-229C-4F30-B0A3-B8FD5F94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2221</Words>
  <Characters>16187</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Ministru kabineta noteikumi "Ieroču reģistra noteikumi"</vt:lpstr>
    </vt:vector>
  </TitlesOfParts>
  <Company>Iekšlietu ministrijas Informācijas centrs</Company>
  <LinksUpToDate>false</LinksUpToDate>
  <CharactersWithSpaces>18372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"Ieroču reģistra noteikumi"</dc:title>
  <dc:subject>Noteikumu projekta izziņa</dc:subject>
  <dc:creator>Edgars Rubins</dc:creator>
  <dc:description>67208367, edgars.rubins@ic.iem.gov.lv</dc:description>
  <cp:lastModifiedBy>Aigars Ignatjevs</cp:lastModifiedBy>
  <cp:revision>6</cp:revision>
  <cp:lastPrinted>2020-01-17T11:28:00Z</cp:lastPrinted>
  <dcterms:created xsi:type="dcterms:W3CDTF">2019-12-19T07:38:00Z</dcterms:created>
  <dcterms:modified xsi:type="dcterms:W3CDTF">2020-01-17T11:29:00Z</dcterms:modified>
</cp:coreProperties>
</file>