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112B" w14:textId="3DD3D722" w:rsidR="000E511D" w:rsidRDefault="00053C7D" w:rsidP="000E5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Likumprojekta </w:t>
      </w:r>
      <w:r w:rsidR="00CD79FE">
        <w:rPr>
          <w:rFonts w:ascii="Times New Roman" w:hAnsi="Times New Roman" w:cs="Times New Roman"/>
          <w:b/>
          <w:sz w:val="24"/>
          <w:szCs w:val="24"/>
        </w:rPr>
        <w:t>“</w:t>
      </w:r>
      <w:r w:rsidR="00CD79FE" w:rsidRPr="00CD79FE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 xml:space="preserve">Vienošanos par </w:t>
      </w:r>
      <w:r w:rsidR="00CD79FE" w:rsidRPr="00CD79FE">
        <w:rPr>
          <w:rFonts w:ascii="Times New Roman" w:hAnsi="Times New Roman" w:cs="Times New Roman"/>
          <w:b/>
          <w:sz w:val="24"/>
          <w:szCs w:val="24"/>
        </w:rPr>
        <w:t>Latvijas Republikas valdības un Eir</w:t>
      </w:r>
      <w:r w:rsidR="00CB700E">
        <w:rPr>
          <w:rFonts w:ascii="Times New Roman" w:hAnsi="Times New Roman" w:cs="Times New Roman"/>
          <w:b/>
          <w:sz w:val="24"/>
          <w:szCs w:val="24"/>
        </w:rPr>
        <w:t xml:space="preserve">opas Kosmosa aģentūras </w:t>
      </w:r>
      <w:r w:rsidR="00CD79FE" w:rsidRPr="00CD79FE">
        <w:rPr>
          <w:rFonts w:ascii="Times New Roman" w:hAnsi="Times New Roman" w:cs="Times New Roman"/>
          <w:b/>
          <w:sz w:val="24"/>
          <w:szCs w:val="24"/>
        </w:rPr>
        <w:t>Eiropas sadarbības valsts līguma termiņa pagarināšanu</w:t>
      </w:r>
      <w:r w:rsidR="00CD79F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0E511D" w:rsidRPr="00BE0A8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365838AC" w14:textId="77777777" w:rsidR="00A54879" w:rsidRDefault="00A54879" w:rsidP="000E5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646" w:type="pct"/>
        <w:tblCellSpacing w:w="15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9"/>
        <w:gridCol w:w="6312"/>
      </w:tblGrid>
      <w:tr w:rsidR="00A54879" w:rsidRPr="00E5323B" w14:paraId="7306AFD5" w14:textId="77777777" w:rsidTr="00FC2FE5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2B44" w14:textId="77777777" w:rsidR="00A54879" w:rsidRPr="00E5323B" w:rsidRDefault="00A54879" w:rsidP="00A5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6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54879" w:rsidRPr="00E5323B" w14:paraId="20643417" w14:textId="77777777" w:rsidTr="00FC2FE5">
        <w:trPr>
          <w:tblCellSpacing w:w="15" w:type="dxa"/>
        </w:trPr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804E" w14:textId="77777777" w:rsidR="00A54879" w:rsidRPr="00E5323B" w:rsidRDefault="00A54879" w:rsidP="00F255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E65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08F9" w14:textId="3F1D1FD5" w:rsidR="00EF47D4" w:rsidRPr="00E942B9" w:rsidRDefault="00EF47D4" w:rsidP="00053C7D">
            <w:pPr>
              <w:pStyle w:val="BodyText"/>
              <w:spacing w:after="0"/>
              <w:jc w:val="both"/>
              <w:rPr>
                <w:b w:val="0"/>
                <w:sz w:val="24"/>
                <w:szCs w:val="24"/>
                <w:lang w:val="lv-LV"/>
              </w:rPr>
            </w:pPr>
            <w:r w:rsidRPr="00EF47D4">
              <w:rPr>
                <w:b w:val="0"/>
                <w:sz w:val="24"/>
                <w:szCs w:val="24"/>
                <w:lang w:val="lv-LV"/>
              </w:rPr>
              <w:t xml:space="preserve">Likumprojekts </w:t>
            </w:r>
            <w:r w:rsidR="00CD79FE" w:rsidRPr="00CD79FE">
              <w:rPr>
                <w:b w:val="0"/>
                <w:sz w:val="24"/>
                <w:szCs w:val="24"/>
                <w:lang w:val="lv-LV"/>
              </w:rPr>
              <w:t xml:space="preserve">“Par </w:t>
            </w:r>
            <w:r w:rsidR="00053C7D">
              <w:rPr>
                <w:b w:val="0"/>
                <w:sz w:val="24"/>
                <w:szCs w:val="24"/>
                <w:lang w:val="lv-LV"/>
              </w:rPr>
              <w:t xml:space="preserve">Vienošanos par </w:t>
            </w:r>
            <w:r w:rsidR="00CD79FE" w:rsidRPr="00CD79FE">
              <w:rPr>
                <w:b w:val="0"/>
                <w:sz w:val="24"/>
                <w:szCs w:val="24"/>
                <w:lang w:val="lv-LV"/>
              </w:rPr>
              <w:t>Latvijas Republikas valdības un Eir</w:t>
            </w:r>
            <w:r w:rsidR="00CB700E">
              <w:rPr>
                <w:b w:val="0"/>
                <w:sz w:val="24"/>
                <w:szCs w:val="24"/>
                <w:lang w:val="lv-LV"/>
              </w:rPr>
              <w:t xml:space="preserve">opas Kosmosa aģentūras </w:t>
            </w:r>
            <w:r w:rsidR="00CD79FE" w:rsidRPr="00CD79FE">
              <w:rPr>
                <w:b w:val="0"/>
                <w:sz w:val="24"/>
                <w:szCs w:val="24"/>
                <w:lang w:val="lv-LV"/>
              </w:rPr>
              <w:t>Eiropas sadarbības valsts līguma termiņa pagarināšanu”</w:t>
            </w:r>
            <w:r w:rsidR="00CD79FE">
              <w:rPr>
                <w:b w:val="0"/>
                <w:sz w:val="24"/>
                <w:szCs w:val="24"/>
                <w:lang w:val="lv-LV"/>
              </w:rPr>
              <w:t xml:space="preserve"> (turpmāk – v</w:t>
            </w:r>
            <w:r w:rsidR="00883B5C">
              <w:rPr>
                <w:b w:val="0"/>
                <w:sz w:val="24"/>
                <w:szCs w:val="24"/>
                <w:lang w:val="lv-LV"/>
              </w:rPr>
              <w:t>ienošanās)</w:t>
            </w:r>
            <w:r>
              <w:rPr>
                <w:b w:val="0"/>
                <w:sz w:val="24"/>
                <w:szCs w:val="24"/>
                <w:lang w:val="lv-LV"/>
              </w:rPr>
              <w:t xml:space="preserve"> izstrādāts, lai nodrošinātu Latvijas Republikas valdības un Eiropas Kosmosa aģentūras </w:t>
            </w:r>
            <w:r w:rsidR="00982C66">
              <w:rPr>
                <w:b w:val="0"/>
                <w:sz w:val="24"/>
                <w:szCs w:val="24"/>
                <w:lang w:val="lv-LV"/>
              </w:rPr>
              <w:t xml:space="preserve">sadarbības </w:t>
            </w:r>
            <w:r>
              <w:rPr>
                <w:b w:val="0"/>
                <w:sz w:val="24"/>
                <w:szCs w:val="24"/>
                <w:lang w:val="lv-LV"/>
              </w:rPr>
              <w:t xml:space="preserve">tiesisko nepārtrauktību, ņemot vērā, ka 2020.gada 29.janvārī beidzas </w:t>
            </w:r>
            <w:r w:rsidR="00982C66">
              <w:rPr>
                <w:b w:val="0"/>
                <w:sz w:val="24"/>
                <w:szCs w:val="24"/>
                <w:lang w:val="lv-LV"/>
              </w:rPr>
              <w:t xml:space="preserve">Latvijas Republikas valdības un </w:t>
            </w:r>
            <w:r w:rsidRPr="00EF47D4">
              <w:rPr>
                <w:b w:val="0"/>
                <w:sz w:val="24"/>
                <w:szCs w:val="24"/>
                <w:lang w:val="lv-LV"/>
              </w:rPr>
              <w:t xml:space="preserve">Eiropas Kosmosa aģentūras </w:t>
            </w:r>
            <w:r>
              <w:rPr>
                <w:b w:val="0"/>
                <w:sz w:val="24"/>
                <w:szCs w:val="24"/>
                <w:lang w:val="lv-LV"/>
              </w:rPr>
              <w:t>Eir</w:t>
            </w:r>
            <w:r w:rsidR="00E942B9">
              <w:rPr>
                <w:b w:val="0"/>
                <w:sz w:val="24"/>
                <w:szCs w:val="24"/>
                <w:lang w:val="lv-LV"/>
              </w:rPr>
              <w:t>opas sadarbības valsts līguma (turpmāk – ESV līgums)</w:t>
            </w:r>
            <w:r w:rsidR="00E16448">
              <w:rPr>
                <w:b w:val="0"/>
                <w:sz w:val="24"/>
                <w:szCs w:val="24"/>
                <w:lang w:val="lv-LV"/>
              </w:rPr>
              <w:t xml:space="preserve"> darbības termiņš.</w:t>
            </w:r>
          </w:p>
        </w:tc>
      </w:tr>
    </w:tbl>
    <w:p w14:paraId="417F6C52" w14:textId="7E98F58A" w:rsidR="000E511D" w:rsidRPr="000E511D" w:rsidRDefault="000E511D" w:rsidP="00A54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46" w:type="pct"/>
        <w:tblCellSpacing w:w="15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2333"/>
        <w:gridCol w:w="6320"/>
      </w:tblGrid>
      <w:tr w:rsidR="00B471B7" w:rsidRPr="00B471B7" w14:paraId="44543D3C" w14:textId="77777777" w:rsidTr="00FC2FE5">
        <w:trPr>
          <w:trHeight w:val="40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6D7D" w14:textId="77777777" w:rsidR="00B471B7" w:rsidRPr="00B471B7" w:rsidRDefault="00B471B7" w:rsidP="00B4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471B7" w:rsidRPr="00B471B7" w14:paraId="5D54F29E" w14:textId="77777777" w:rsidTr="00FC2FE5">
        <w:trPr>
          <w:trHeight w:val="405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E050E" w14:textId="77777777" w:rsidR="00B471B7" w:rsidRPr="00B471B7" w:rsidRDefault="00B471B7" w:rsidP="00B4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4D743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6190C" w14:textId="78D644B2" w:rsidR="00B471B7" w:rsidRDefault="00E26BE4" w:rsidP="00FC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Likumprojekts sagatavots</w:t>
            </w:r>
            <w:r w:rsidR="00E942B9" w:rsidRPr="00E942B9">
              <w:rPr>
                <w:rFonts w:ascii="Times New Roman" w:hAnsi="Times New Roman"/>
                <w:sz w:val="24"/>
                <w:szCs w:val="24"/>
              </w:rPr>
              <w:t xml:space="preserve"> saskaņā 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ESV līguma 15. panta </w:t>
            </w:r>
            <w:r w:rsidR="007053F5">
              <w:rPr>
                <w:rFonts w:ascii="Times New Roman" w:hAnsi="Times New Roman"/>
                <w:sz w:val="24"/>
                <w:szCs w:val="24"/>
              </w:rPr>
              <w:t>otro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</w:t>
            </w:r>
            <w:r w:rsidR="007053F5">
              <w:rPr>
                <w:rFonts w:ascii="Times New Roman" w:hAnsi="Times New Roman"/>
                <w:sz w:val="24"/>
                <w:szCs w:val="24"/>
              </w:rPr>
              <w:t>ļu, kas paredz</w:t>
            </w:r>
            <w:r w:rsidR="00E16448">
              <w:rPr>
                <w:rFonts w:ascii="Times New Roman" w:hAnsi="Times New Roman"/>
                <w:sz w:val="24"/>
                <w:szCs w:val="24"/>
              </w:rPr>
              <w:t xml:space="preserve"> iespēju ESV </w:t>
            </w:r>
            <w:r w:rsidR="007053F5" w:rsidRPr="007053F5">
              <w:rPr>
                <w:rFonts w:ascii="Times New Roman" w:hAnsi="Times New Roman"/>
                <w:sz w:val="24"/>
                <w:szCs w:val="24"/>
              </w:rPr>
              <w:t xml:space="preserve">līguma darbības termiņu pagarināt ar </w:t>
            </w:r>
            <w:r w:rsidR="00E16448">
              <w:rPr>
                <w:rFonts w:ascii="Times New Roman" w:hAnsi="Times New Roman"/>
                <w:sz w:val="24"/>
                <w:szCs w:val="24"/>
              </w:rPr>
              <w:t>p</w:t>
            </w:r>
            <w:r w:rsidR="007053F5" w:rsidRPr="007053F5">
              <w:rPr>
                <w:rFonts w:ascii="Times New Roman" w:hAnsi="Times New Roman"/>
                <w:sz w:val="24"/>
                <w:szCs w:val="24"/>
              </w:rPr>
              <w:t>ušu savstarpēju rakstveida vienošanos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252CB7B" w14:textId="495329DA" w:rsidR="00E942B9" w:rsidRPr="00751B7E" w:rsidRDefault="00E942B9" w:rsidP="00CB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2B9">
              <w:rPr>
                <w:rFonts w:ascii="Times New Roman" w:hAnsi="Times New Roman"/>
                <w:sz w:val="24"/>
                <w:szCs w:val="24"/>
              </w:rPr>
              <w:t xml:space="preserve">Latvijas Republikas valdības un Eiropas Kosmosa aģentūras Asociētās dalībvalsts līguma (turpmāk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E16448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īgums) (Apstiprināts Ministru kabineta </w:t>
            </w:r>
            <w:r w:rsidR="00CB700E" w:rsidRPr="00E942B9">
              <w:rPr>
                <w:rFonts w:ascii="Times New Roman" w:hAnsi="Times New Roman"/>
                <w:sz w:val="24"/>
                <w:szCs w:val="24"/>
              </w:rPr>
              <w:t xml:space="preserve">2019.gada 6.novembra 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>sēdē (prot. Nr. 52 24.§)) spēkā stāšanos nav iespējams nodrošinā</w:t>
            </w:r>
            <w:r>
              <w:rPr>
                <w:rFonts w:ascii="Times New Roman" w:hAnsi="Times New Roman"/>
                <w:sz w:val="24"/>
                <w:szCs w:val="24"/>
              </w:rPr>
              <w:t>t līdz 2020.gada 29.janvārim, kad beidzas ESV līguma darbības termiņš.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448">
              <w:rPr>
                <w:rFonts w:ascii="Times New Roman" w:hAnsi="Times New Roman"/>
                <w:sz w:val="24"/>
                <w:szCs w:val="24"/>
              </w:rPr>
              <w:t xml:space="preserve">AD </w:t>
            </w:r>
            <w:r>
              <w:rPr>
                <w:rFonts w:ascii="Times New Roman" w:hAnsi="Times New Roman"/>
                <w:sz w:val="24"/>
                <w:szCs w:val="24"/>
              </w:rPr>
              <w:t>līgums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 vispirms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 jāapstiprina Eiropas Kosmosa aģentūras (turpmāk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EKA) Starptautisko lietu komitejā (turpmāk </w:t>
            </w:r>
            <w:r w:rsidR="00E164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 IRC),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EKA 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Administratīvajā un finanšu komitejā (turpmāk </w:t>
            </w:r>
            <w:r w:rsidR="00E1644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AFC)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EKA 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>padomē, kurai ir savs sanākša</w:t>
            </w:r>
            <w:r>
              <w:rPr>
                <w:rFonts w:ascii="Times New Roman" w:hAnsi="Times New Roman"/>
                <w:sz w:val="24"/>
                <w:szCs w:val="24"/>
              </w:rPr>
              <w:t>nas grafiks – tuvākā IRC notik</w:t>
            </w:r>
            <w:r w:rsidR="00E16448">
              <w:rPr>
                <w:rFonts w:ascii="Times New Roman" w:hAnsi="Times New Roman"/>
                <w:sz w:val="24"/>
                <w:szCs w:val="24"/>
              </w:rPr>
              <w:t>s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 2020.gada 22</w:t>
            </w:r>
            <w:r w:rsidR="00E16448">
              <w:rPr>
                <w:rFonts w:ascii="Times New Roman" w:hAnsi="Times New Roman"/>
                <w:sz w:val="24"/>
                <w:szCs w:val="24"/>
              </w:rPr>
              <w:t>.</w:t>
            </w:r>
            <w:r w:rsidR="00796011">
              <w:rPr>
                <w:rFonts w:ascii="Times New Roman" w:hAnsi="Times New Roman"/>
                <w:sz w:val="24"/>
                <w:szCs w:val="24"/>
              </w:rPr>
              <w:t xml:space="preserve"> – 23.janvārī, tuvākā AFC</w:t>
            </w:r>
            <w:r w:rsidR="00E1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>2020.gada 13.februārī un tuvākā EKA padome</w:t>
            </w:r>
            <w:r w:rsidR="00AA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>2020.gada 18</w:t>
            </w:r>
            <w:r w:rsidR="00E86E65">
              <w:rPr>
                <w:rFonts w:ascii="Times New Roman" w:hAnsi="Times New Roman"/>
                <w:sz w:val="24"/>
                <w:szCs w:val="24"/>
              </w:rPr>
              <w:t>.</w:t>
            </w:r>
            <w:r w:rsidRPr="00E942B9">
              <w:rPr>
                <w:rFonts w:ascii="Times New Roman" w:hAnsi="Times New Roman"/>
                <w:sz w:val="24"/>
                <w:szCs w:val="24"/>
              </w:rPr>
              <w:t xml:space="preserve"> – 19.martā.</w:t>
            </w:r>
          </w:p>
        </w:tc>
      </w:tr>
      <w:tr w:rsidR="00B471B7" w:rsidRPr="00B471B7" w14:paraId="7B4944A7" w14:textId="77777777" w:rsidTr="00FC2FE5">
        <w:trPr>
          <w:trHeight w:val="465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C7570" w14:textId="710BA59E" w:rsidR="00B471B7" w:rsidRPr="00B471B7" w:rsidRDefault="00B471B7" w:rsidP="00B4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1FB96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28947" w14:textId="2DB8061F" w:rsidR="000C7F3E" w:rsidRPr="00B471B7" w:rsidRDefault="00CD79FE" w:rsidP="009E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</w:t>
            </w:r>
            <w:r w:rsidR="00883B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ienošanos tiks pagarināts ESV līgum</w:t>
            </w:r>
            <w:r w:rsidR="00AA2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darbības termiņš</w:t>
            </w:r>
            <w:r w:rsidR="00883B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6 mēnešiem līdz 2020.gada 29.jūlijam, tādejādi</w:t>
            </w:r>
            <w:r w:rsidR="00CB70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83B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6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nodrošinot </w:t>
            </w:r>
            <w:r w:rsidR="00E26BE4" w:rsidRPr="00E26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Republikas valdības un Eiropas Kosmosa aģentūras sadarbības tiesisko nepārtrauktību</w:t>
            </w:r>
            <w:r w:rsidR="0079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C7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ESV līguma darbības termiņš </w:t>
            </w:r>
            <w:r w:rsidR="009E4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noteikts līdz 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2020.gada 29.janvār</w:t>
            </w:r>
            <w:r w:rsidR="009E4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atbildes vēstuli  nepieciešams nosūtīt Eiropas Kosmosa aģentūrai ne vēlāk, kā minētajā datumā. Atbildes vēstulē noteikts, ka vienošanās </w:t>
            </w:r>
            <w:r w:rsidR="00A5330C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stāsies spēkā dienā, kad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330C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Kosmosa aģentūra saņems</w:t>
            </w:r>
            <w:r w:rsidR="00BD1D2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330C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paziņojumu no Latvijas Republikas valdības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330C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iekšējo procedūru pabeigšan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A5330C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nepieciešamas, lai vienošanās stātos spēkā.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Ņemot vērā, ka  vienošanās mērķis ir ESV līguma termiņa pagarināšana un </w:t>
            </w:r>
            <w:r w:rsidR="0068066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1969. gada 23. maija Vīnes konvencijas par starptautisko līgumu tiesībām 18. pantā no</w:t>
            </w:r>
            <w:r w:rsidR="002A16F6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teikto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</w:t>
            </w:r>
            <w:r w:rsidR="002A16F6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valstīm 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nevērsties pret līguma mērķi pirms līguma spēkā stāšanās pēc</w:t>
            </w:r>
            <w:r w:rsidR="000C7F3E" w:rsidRPr="00341FED">
              <w:rPr>
                <w:rFonts w:ascii="Times New Roman" w:hAnsi="Times New Roman" w:cs="Times New Roman"/>
                <w:sz w:val="24"/>
                <w:szCs w:val="24"/>
              </w:rPr>
              <w:t xml:space="preserve"> līgumu</w:t>
            </w:r>
            <w:r w:rsidR="002A16F6" w:rsidRPr="0034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F3E" w:rsidRPr="00341FED">
              <w:rPr>
                <w:rFonts w:ascii="Times New Roman" w:hAnsi="Times New Roman" w:cs="Times New Roman"/>
                <w:sz w:val="24"/>
                <w:szCs w:val="24"/>
              </w:rPr>
              <w:t xml:space="preserve">sastādošo dokumentu </w:t>
            </w:r>
            <w:r w:rsidR="000C7F3E" w:rsidRPr="00341F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apmaiņas, nepieciešams virzīt Likumprojektu kā steidzamu, lai Vienošanās stātos spēkā pēc iespējas ātrāk</w:t>
            </w:r>
            <w:r w:rsidR="004C7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nosakot arī, ka  likums </w:t>
            </w:r>
            <w:r w:rsidR="004C7FBE" w:rsidRPr="004C7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stājas spēkā nākamajā dienā pēc tā izsludināšanas.</w:t>
            </w:r>
          </w:p>
        </w:tc>
      </w:tr>
      <w:tr w:rsidR="00B471B7" w:rsidRPr="00B471B7" w14:paraId="5F4EFBA8" w14:textId="77777777" w:rsidTr="00FC2FE5">
        <w:trPr>
          <w:trHeight w:val="465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AF08" w14:textId="5C0FE731" w:rsidR="00B471B7" w:rsidRPr="00B471B7" w:rsidRDefault="00B471B7" w:rsidP="00B4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6A331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F6E1C" w14:textId="77777777" w:rsidR="00A72C3F" w:rsidRPr="00BE0A8F" w:rsidRDefault="00A72C3F" w:rsidP="00A7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0A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ministrija.</w:t>
            </w:r>
          </w:p>
          <w:p w14:paraId="377003CF" w14:textId="4946B744" w:rsidR="00B471B7" w:rsidRPr="00B471B7" w:rsidRDefault="00B471B7" w:rsidP="00AA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71B7" w:rsidRPr="00B471B7" w14:paraId="5C284B89" w14:textId="77777777" w:rsidTr="00FC2FE5">
        <w:trPr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459A" w14:textId="77777777" w:rsidR="00B471B7" w:rsidRPr="00B471B7" w:rsidRDefault="00B471B7" w:rsidP="00B4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02287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5901" w14:textId="18B63A06" w:rsidR="00C41B9C" w:rsidRPr="00146CEB" w:rsidRDefault="0061513A" w:rsidP="0061513A">
            <w:pPr>
              <w:spacing w:before="100" w:beforeAutospacing="1" w:after="100" w:afterAutospacing="1" w:line="240" w:lineRule="auto"/>
            </w:pPr>
            <w:r w:rsidRPr="006151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0E6AE40" w14:textId="77777777" w:rsidR="00824072" w:rsidRDefault="00824072"/>
    <w:tbl>
      <w:tblPr>
        <w:tblW w:w="5862" w:type="pct"/>
        <w:tblCellSpacing w:w="15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2514"/>
        <w:gridCol w:w="6486"/>
      </w:tblGrid>
      <w:tr w:rsidR="00B471B7" w:rsidRPr="00B471B7" w14:paraId="25EF1B76" w14:textId="77777777" w:rsidTr="00FC2FE5">
        <w:trPr>
          <w:trHeight w:val="55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7ACE" w14:textId="77777777" w:rsidR="00B471B7" w:rsidRPr="00B471B7" w:rsidRDefault="00B471B7" w:rsidP="00B47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471B7" w:rsidRPr="00B471B7" w14:paraId="79F063DE" w14:textId="77777777" w:rsidTr="00FC2FE5">
        <w:trPr>
          <w:trHeight w:val="465"/>
          <w:tblCellSpacing w:w="15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D43A0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82F15" w14:textId="730F078A" w:rsidR="00B471B7" w:rsidRPr="00B471B7" w:rsidRDefault="00B471B7" w:rsidP="008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</w:t>
            </w:r>
            <w:r w:rsidR="00846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grupas</w:t>
            </w:r>
            <w:proofErr w:type="spellEnd"/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3304B" w14:textId="4C8F1131" w:rsidR="00B471B7" w:rsidRPr="00B471B7" w:rsidRDefault="00A72C3F" w:rsidP="0086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0A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Republikas </w:t>
            </w:r>
            <w:r w:rsidR="008655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zinātniskie institūti</w:t>
            </w:r>
            <w:r w:rsidR="00CB70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tajos nodarbinātie</w:t>
            </w:r>
            <w:r w:rsidR="008655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B70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uzņēmumi, </w:t>
            </w:r>
            <w:r w:rsidR="008655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iestādes, kā arī tajos </w:t>
            </w:r>
            <w:r w:rsidR="00C13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studējošie un nodarbinātie, tai</w:t>
            </w:r>
            <w:r w:rsidR="008655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skaitā </w:t>
            </w:r>
            <w:r w:rsidRPr="00BE0A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zinātnieki, pētnieki, inženieri, pētniecības tehniskais personāls, izglītojamie</w:t>
            </w:r>
            <w:r w:rsidR="00517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E0A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655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pedagogi, akadēmiskais personāls</w:t>
            </w:r>
            <w:r w:rsidRPr="00BE0A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471B7" w:rsidRPr="00B471B7" w14:paraId="46810A3B" w14:textId="77777777" w:rsidTr="00FC2FE5">
        <w:trPr>
          <w:trHeight w:val="510"/>
          <w:tblCellSpacing w:w="15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42573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7289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CFBA" w14:textId="77777777" w:rsidR="00B471B7" w:rsidRPr="00B471B7" w:rsidRDefault="00A72C3F" w:rsidP="00A7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0A8F">
              <w:rPr>
                <w:rFonts w:ascii="Times New Roman" w:hAnsi="Times New Roman" w:cs="Times New Roman"/>
                <w:bCs/>
                <w:sz w:val="24"/>
                <w:szCs w:val="24"/>
              </w:rPr>
              <w:t>Vērtējot projekt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E0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īstenošanas ietekmi uz administratīvajām procedūrām un to izmaksām, nav identificēts administratīvā sloga palielinājums.</w:t>
            </w:r>
          </w:p>
        </w:tc>
      </w:tr>
      <w:tr w:rsidR="00B471B7" w:rsidRPr="00B471B7" w14:paraId="79AEB47B" w14:textId="77777777" w:rsidTr="00FC2FE5">
        <w:trPr>
          <w:trHeight w:val="510"/>
          <w:tblCellSpacing w:w="15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2566B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A30AC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9FC3E" w14:textId="77CEB598" w:rsidR="00B471B7" w:rsidRPr="00CB700E" w:rsidRDefault="00CB700E" w:rsidP="00A72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B700E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F34224" w:rsidRPr="00B471B7" w14:paraId="4E85EB2E" w14:textId="77777777" w:rsidTr="00FC2FE5">
        <w:trPr>
          <w:trHeight w:val="510"/>
          <w:tblCellSpacing w:w="15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F919F" w14:textId="029C2B44" w:rsidR="00F34224" w:rsidRPr="00B471B7" w:rsidRDefault="00F34224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40F9" w14:textId="34741730" w:rsidR="00F34224" w:rsidRPr="00B471B7" w:rsidRDefault="00F34224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383D8" w14:textId="7428F13E" w:rsidR="00F34224" w:rsidRPr="00CB700E" w:rsidRDefault="00F34224" w:rsidP="00A7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471B7" w:rsidRPr="00B471B7" w14:paraId="0DDC64D0" w14:textId="77777777" w:rsidTr="00883B5C">
        <w:trPr>
          <w:trHeight w:val="327"/>
          <w:tblCellSpacing w:w="15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ECA58" w14:textId="45C18B93" w:rsidR="00B471B7" w:rsidRPr="00B471B7" w:rsidRDefault="00F34224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B471B7"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56EF4" w14:textId="77777777" w:rsidR="00B471B7" w:rsidRPr="00B471B7" w:rsidRDefault="00B471B7" w:rsidP="00B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7071" w14:textId="123823CA" w:rsidR="00CE3D3E" w:rsidRPr="00B471B7" w:rsidRDefault="00C022F6" w:rsidP="00F342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 nodrošinātu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ESV līguma</w:t>
            </w:r>
            <w:r w:rsidRPr="00C02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termiņa pagarināšanu 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C02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29.jūlijam</w:t>
            </w:r>
            <w:r w:rsidR="0079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EKA</w:t>
            </w:r>
            <w:r w:rsidR="00F342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2020.gada 15.janvārī ir </w:t>
            </w:r>
            <w:r w:rsidR="0079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nosūtī</w:t>
            </w:r>
            <w:r w:rsidR="00F342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jusi</w:t>
            </w:r>
            <w:r w:rsidR="00CB70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  <w:r w:rsidRPr="00C02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zglītības un zinātnes ministrei apmaiņas vēstuli</w:t>
            </w:r>
            <w:r w:rsidR="00F342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 kuru ir a</w:t>
            </w:r>
            <w:r w:rsidRPr="00C02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pstiprin</w:t>
            </w:r>
            <w:r w:rsidR="007960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F342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jusi </w:t>
            </w:r>
            <w:r w:rsidR="00CD79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C02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ienošanās noslēgšanas nepieciešamību.</w:t>
            </w:r>
          </w:p>
        </w:tc>
      </w:tr>
    </w:tbl>
    <w:p w14:paraId="3921F96A" w14:textId="77777777" w:rsidR="00FC2FE5" w:rsidRDefault="00FC2FE5" w:rsidP="009A61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57" w:type="dxa"/>
        <w:tblCellSpacing w:w="20" w:type="dxa"/>
        <w:tblInd w:w="-27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7"/>
      </w:tblGrid>
      <w:tr w:rsidR="0050375F" w:rsidRPr="0050375F" w14:paraId="28C1FFFD" w14:textId="77777777" w:rsidTr="009E60CB">
        <w:trPr>
          <w:tblCellSpacing w:w="20" w:type="dxa"/>
        </w:trPr>
        <w:tc>
          <w:tcPr>
            <w:tcW w:w="9877" w:type="dxa"/>
          </w:tcPr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4103"/>
              <w:gridCol w:w="5282"/>
            </w:tblGrid>
            <w:tr w:rsidR="0050375F" w:rsidRPr="0057591C" w14:paraId="671208A8" w14:textId="77777777" w:rsidTr="0089530F">
              <w:trPr>
                <w:jc w:val="center"/>
              </w:trPr>
              <w:tc>
                <w:tcPr>
                  <w:tcW w:w="9781" w:type="dxa"/>
                  <w:gridSpan w:val="3"/>
                </w:tcPr>
                <w:p w14:paraId="45C664B3" w14:textId="77777777" w:rsidR="0050375F" w:rsidRPr="0057591C" w:rsidRDefault="0050375F" w:rsidP="009A61C7">
                  <w:pPr>
                    <w:pStyle w:val="naisnod"/>
                    <w:widowControl w:val="0"/>
                    <w:spacing w:before="0" w:after="120"/>
                    <w:jc w:val="both"/>
                  </w:pPr>
                  <w:r w:rsidRPr="0057591C">
                    <w:t>V. Tiesību akta projekta atbilstība Latvijas Republikas starptautiskajām saistībām</w:t>
                  </w:r>
                </w:p>
              </w:tc>
            </w:tr>
            <w:tr w:rsidR="0050375F" w:rsidRPr="0057591C" w14:paraId="1077D452" w14:textId="77777777" w:rsidTr="0089530F">
              <w:trPr>
                <w:trHeight w:val="403"/>
                <w:jc w:val="center"/>
              </w:trPr>
              <w:tc>
                <w:tcPr>
                  <w:tcW w:w="259" w:type="dxa"/>
                </w:tcPr>
                <w:p w14:paraId="39E308DF" w14:textId="77777777" w:rsidR="0050375F" w:rsidRPr="0057591C" w:rsidRDefault="0050375F" w:rsidP="009A61C7">
                  <w:pPr>
                    <w:pStyle w:val="naiskr"/>
                    <w:widowControl w:val="0"/>
                    <w:tabs>
                      <w:tab w:val="left" w:pos="2628"/>
                    </w:tabs>
                    <w:spacing w:before="0" w:after="120"/>
                    <w:jc w:val="both"/>
                    <w:rPr>
                      <w:iCs/>
                    </w:rPr>
                  </w:pPr>
                  <w:r w:rsidRPr="0057591C">
                    <w:rPr>
                      <w:iCs/>
                    </w:rPr>
                    <w:t>1.</w:t>
                  </w:r>
                </w:p>
              </w:tc>
              <w:tc>
                <w:tcPr>
                  <w:tcW w:w="4157" w:type="dxa"/>
                </w:tcPr>
                <w:p w14:paraId="55D825CE" w14:textId="77777777" w:rsidR="0050375F" w:rsidRPr="0057591C" w:rsidRDefault="0050375F" w:rsidP="009A61C7">
                  <w:pPr>
                    <w:pStyle w:val="naiskr"/>
                    <w:widowControl w:val="0"/>
                    <w:tabs>
                      <w:tab w:val="left" w:pos="2628"/>
                    </w:tabs>
                    <w:spacing w:before="0" w:after="120"/>
                    <w:jc w:val="both"/>
                    <w:rPr>
                      <w:iCs/>
                    </w:rPr>
                  </w:pPr>
                  <w:r w:rsidRPr="0057591C">
                    <w:t>Saistības pret Eiropas Savienību</w:t>
                  </w:r>
                </w:p>
              </w:tc>
              <w:tc>
                <w:tcPr>
                  <w:tcW w:w="5365" w:type="dxa"/>
                </w:tcPr>
                <w:p w14:paraId="602F4506" w14:textId="77777777" w:rsidR="0050375F" w:rsidRPr="0057591C" w:rsidRDefault="0050375F" w:rsidP="009A61C7">
                  <w:pPr>
                    <w:pStyle w:val="naiskr"/>
                    <w:widowControl w:val="0"/>
                    <w:tabs>
                      <w:tab w:val="left" w:pos="2628"/>
                    </w:tabs>
                    <w:spacing w:before="0" w:after="120"/>
                    <w:jc w:val="both"/>
                    <w:rPr>
                      <w:iCs/>
                    </w:rPr>
                  </w:pPr>
                  <w:r w:rsidRPr="0057591C">
                    <w:rPr>
                      <w:lang w:eastAsia="en-US"/>
                    </w:rPr>
                    <w:t>Projekts šo jomu neskar.</w:t>
                  </w:r>
                </w:p>
              </w:tc>
            </w:tr>
            <w:tr w:rsidR="0050375F" w:rsidRPr="0057591C" w14:paraId="0603FB05" w14:textId="77777777" w:rsidTr="0089530F">
              <w:trPr>
                <w:trHeight w:val="325"/>
                <w:jc w:val="center"/>
              </w:trPr>
              <w:tc>
                <w:tcPr>
                  <w:tcW w:w="259" w:type="dxa"/>
                </w:tcPr>
                <w:p w14:paraId="6018F8CC" w14:textId="77777777" w:rsidR="0050375F" w:rsidRPr="0057591C" w:rsidRDefault="0050375F" w:rsidP="009A61C7">
                  <w:pPr>
                    <w:pStyle w:val="naiskr"/>
                    <w:widowControl w:val="0"/>
                    <w:tabs>
                      <w:tab w:val="left" w:pos="2628"/>
                    </w:tabs>
                    <w:spacing w:before="0" w:after="120"/>
                    <w:jc w:val="both"/>
                    <w:rPr>
                      <w:iCs/>
                    </w:rPr>
                  </w:pPr>
                  <w:r w:rsidRPr="0057591C">
                    <w:rPr>
                      <w:iCs/>
                    </w:rPr>
                    <w:t>2.</w:t>
                  </w:r>
                </w:p>
              </w:tc>
              <w:tc>
                <w:tcPr>
                  <w:tcW w:w="4157" w:type="dxa"/>
                </w:tcPr>
                <w:p w14:paraId="390D8DFD" w14:textId="77777777" w:rsidR="0050375F" w:rsidRPr="0057591C" w:rsidRDefault="0050375F" w:rsidP="009A61C7">
                  <w:pPr>
                    <w:pStyle w:val="naiskr"/>
                    <w:widowControl w:val="0"/>
                    <w:tabs>
                      <w:tab w:val="left" w:pos="2628"/>
                    </w:tabs>
                    <w:spacing w:before="0" w:after="120"/>
                    <w:jc w:val="both"/>
                    <w:rPr>
                      <w:iCs/>
                    </w:rPr>
                  </w:pPr>
                  <w:r w:rsidRPr="0057591C">
                    <w:t>Citas starptautiskās saistības</w:t>
                  </w:r>
                </w:p>
              </w:tc>
              <w:tc>
                <w:tcPr>
                  <w:tcW w:w="5365" w:type="dxa"/>
                </w:tcPr>
                <w:p w14:paraId="580D019E" w14:textId="4CF64BF2" w:rsidR="0050375F" w:rsidRPr="0057591C" w:rsidRDefault="00E26BE4" w:rsidP="009306D5">
                  <w:pPr>
                    <w:pStyle w:val="naiskr"/>
                    <w:widowControl w:val="0"/>
                    <w:tabs>
                      <w:tab w:val="left" w:pos="2628"/>
                    </w:tabs>
                    <w:spacing w:before="0" w:after="120"/>
                    <w:jc w:val="both"/>
                    <w:rPr>
                      <w:iCs/>
                    </w:rPr>
                  </w:pPr>
                  <w:r w:rsidRPr="00E26BE4">
                    <w:rPr>
                      <w:iCs/>
                    </w:rPr>
                    <w:t>ESV lī</w:t>
                  </w:r>
                  <w:r>
                    <w:rPr>
                      <w:iCs/>
                    </w:rPr>
                    <w:t xml:space="preserve">guma 15. panta </w:t>
                  </w:r>
                  <w:r w:rsidR="007053F5">
                    <w:rPr>
                      <w:iCs/>
                    </w:rPr>
                    <w:t>otr</w:t>
                  </w:r>
                  <w:r w:rsidR="000C7BF5">
                    <w:rPr>
                      <w:iCs/>
                    </w:rPr>
                    <w:t>ā</w:t>
                  </w:r>
                  <w:r>
                    <w:rPr>
                      <w:iCs/>
                    </w:rPr>
                    <w:t xml:space="preserve"> daļa</w:t>
                  </w:r>
                  <w:r w:rsidRPr="00E26BE4">
                    <w:rPr>
                      <w:iCs/>
                    </w:rPr>
                    <w:t xml:space="preserve"> paredz, ka  </w:t>
                  </w:r>
                  <w:r w:rsidR="009306D5">
                    <w:rPr>
                      <w:iCs/>
                    </w:rPr>
                    <w:t>ja</w:t>
                  </w:r>
                  <w:r w:rsidR="007053F5" w:rsidRPr="007053F5">
                    <w:rPr>
                      <w:iCs/>
                    </w:rPr>
                    <w:t xml:space="preserve"> tiek nolemts sadarbību turpināt, </w:t>
                  </w:r>
                  <w:r w:rsidR="009306D5">
                    <w:rPr>
                      <w:iCs/>
                    </w:rPr>
                    <w:t>ESV</w:t>
                  </w:r>
                  <w:r w:rsidR="009306D5" w:rsidRPr="007053F5">
                    <w:rPr>
                      <w:iCs/>
                    </w:rPr>
                    <w:t xml:space="preserve"> </w:t>
                  </w:r>
                  <w:r w:rsidR="007053F5" w:rsidRPr="007053F5">
                    <w:rPr>
                      <w:iCs/>
                    </w:rPr>
                    <w:t xml:space="preserve">līguma darbības termiņu var pagarināt ar </w:t>
                  </w:r>
                  <w:r w:rsidR="009306D5">
                    <w:rPr>
                      <w:iCs/>
                    </w:rPr>
                    <w:t>p</w:t>
                  </w:r>
                  <w:r w:rsidR="007053F5" w:rsidRPr="007053F5">
                    <w:rPr>
                      <w:iCs/>
                    </w:rPr>
                    <w:t>ušu savstarpēju rakstveida vienošanos</w:t>
                  </w:r>
                  <w:r w:rsidR="007053F5">
                    <w:rPr>
                      <w:iCs/>
                    </w:rPr>
                    <w:t xml:space="preserve">. </w:t>
                  </w:r>
                </w:p>
              </w:tc>
            </w:tr>
            <w:tr w:rsidR="0050375F" w:rsidRPr="0057591C" w14:paraId="5775EFAC" w14:textId="77777777" w:rsidTr="0089530F">
              <w:trPr>
                <w:jc w:val="center"/>
              </w:trPr>
              <w:tc>
                <w:tcPr>
                  <w:tcW w:w="259" w:type="dxa"/>
                </w:tcPr>
                <w:p w14:paraId="61C1A284" w14:textId="77777777" w:rsidR="0050375F" w:rsidRPr="0057591C" w:rsidRDefault="0050375F" w:rsidP="009A61C7">
                  <w:pPr>
                    <w:pStyle w:val="naiskr"/>
                    <w:widowControl w:val="0"/>
                    <w:tabs>
                      <w:tab w:val="left" w:pos="2628"/>
                    </w:tabs>
                    <w:spacing w:before="0" w:after="120"/>
                    <w:jc w:val="both"/>
                    <w:rPr>
                      <w:iCs/>
                    </w:rPr>
                  </w:pPr>
                  <w:r w:rsidRPr="0057591C">
                    <w:rPr>
                      <w:iCs/>
                    </w:rPr>
                    <w:t>3.</w:t>
                  </w:r>
                </w:p>
              </w:tc>
              <w:tc>
                <w:tcPr>
                  <w:tcW w:w="4157" w:type="dxa"/>
                </w:tcPr>
                <w:p w14:paraId="5C848887" w14:textId="77777777" w:rsidR="0050375F" w:rsidRPr="0057591C" w:rsidRDefault="0050375F" w:rsidP="009A61C7">
                  <w:pPr>
                    <w:pStyle w:val="naiskr"/>
                    <w:widowControl w:val="0"/>
                    <w:tabs>
                      <w:tab w:val="left" w:pos="2628"/>
                    </w:tabs>
                    <w:spacing w:before="0" w:after="120"/>
                    <w:jc w:val="both"/>
                  </w:pPr>
                  <w:r w:rsidRPr="0057591C">
                    <w:t>Cita informācija</w:t>
                  </w:r>
                </w:p>
              </w:tc>
              <w:tc>
                <w:tcPr>
                  <w:tcW w:w="5365" w:type="dxa"/>
                </w:tcPr>
                <w:p w14:paraId="6376966E" w14:textId="7ED9D6E2" w:rsidR="0050375F" w:rsidRPr="0057591C" w:rsidRDefault="003B3318" w:rsidP="009A61C7">
                  <w:pPr>
                    <w:pStyle w:val="naiskr"/>
                    <w:widowControl w:val="0"/>
                    <w:tabs>
                      <w:tab w:val="left" w:pos="2628"/>
                    </w:tabs>
                    <w:spacing w:before="0" w:after="120"/>
                    <w:jc w:val="both"/>
                  </w:pPr>
                  <w:r>
                    <w:t xml:space="preserve"> </w:t>
                  </w:r>
                  <w:r w:rsidRPr="0057591C">
                    <w:rPr>
                      <w:lang w:eastAsia="en-US"/>
                    </w:rPr>
                    <w:t>Projekts šo jomu neskar.</w:t>
                  </w:r>
                </w:p>
              </w:tc>
            </w:tr>
          </w:tbl>
          <w:p w14:paraId="59E10678" w14:textId="6B5F6584" w:rsidR="0050375F" w:rsidRPr="0050375F" w:rsidRDefault="0050375F" w:rsidP="009A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4F402EC2" w14:textId="1E6D1BF4" w:rsidR="0050375F" w:rsidRDefault="0050375F" w:rsidP="009E60C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971" w:type="pct"/>
        <w:tblCellSpacing w:w="15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3173"/>
        <w:gridCol w:w="6304"/>
      </w:tblGrid>
      <w:tr w:rsidR="00B471B7" w:rsidRPr="00B471B7" w14:paraId="4C04CB5A" w14:textId="77777777" w:rsidTr="009E60CB">
        <w:trPr>
          <w:trHeight w:val="37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480D" w14:textId="77777777" w:rsidR="00B471B7" w:rsidRPr="00B471B7" w:rsidRDefault="00B471B7" w:rsidP="009A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95FE3" w:rsidRPr="00B471B7" w14:paraId="4B3A132F" w14:textId="77777777" w:rsidTr="00794658">
        <w:trPr>
          <w:trHeight w:val="420"/>
          <w:tblCellSpacing w:w="15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A111C" w14:textId="77777777" w:rsidR="00195FE3" w:rsidRPr="00B471B7" w:rsidRDefault="00195FE3" w:rsidP="009A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6213" w14:textId="77777777" w:rsidR="00195FE3" w:rsidRPr="00B471B7" w:rsidRDefault="00195FE3" w:rsidP="009A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32F7" w14:textId="59988639" w:rsidR="00195FE3" w:rsidRPr="00296956" w:rsidRDefault="00296956" w:rsidP="009A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9695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Izglītības un zinātnes ministrija, zinātniskie institūti</w:t>
            </w:r>
            <w:r w:rsidR="00CB700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uzņēmumi</w:t>
            </w:r>
            <w:r w:rsidRPr="0029695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 augstākās izglītības iestādes un citas iestādes savas kompetences ietvaros.</w:t>
            </w:r>
          </w:p>
        </w:tc>
      </w:tr>
      <w:tr w:rsidR="00195FE3" w:rsidRPr="00B471B7" w14:paraId="3A0C7769" w14:textId="77777777" w:rsidTr="00794658">
        <w:trPr>
          <w:trHeight w:val="450"/>
          <w:tblCellSpacing w:w="15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C9D2" w14:textId="77777777" w:rsidR="00195FE3" w:rsidRPr="00B471B7" w:rsidRDefault="00195FE3" w:rsidP="009A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1254E" w14:textId="77777777" w:rsidR="00195FE3" w:rsidRPr="00B471B7" w:rsidRDefault="00195FE3" w:rsidP="009A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1550D4AA" w14:textId="77777777" w:rsidR="00195FE3" w:rsidRPr="00B471B7" w:rsidRDefault="00195FE3" w:rsidP="009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804C2" w14:textId="77777777" w:rsidR="00195FE3" w:rsidRPr="00BE0A8F" w:rsidRDefault="00195FE3" w:rsidP="009A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 izpilde notiks esošo pārvaldes funkciju ietvaros.</w:t>
            </w:r>
          </w:p>
          <w:p w14:paraId="2DDB4C76" w14:textId="77777777" w:rsidR="00195FE3" w:rsidRPr="00BE0A8F" w:rsidRDefault="00195FE3" w:rsidP="009A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F">
              <w:rPr>
                <w:rFonts w:ascii="Times New Roman" w:hAnsi="Times New Roman" w:cs="Times New Roman"/>
                <w:sz w:val="24"/>
                <w:szCs w:val="24"/>
              </w:rPr>
              <w:t>Jaunu institūciju izveide nav paredzēta.</w:t>
            </w:r>
          </w:p>
          <w:p w14:paraId="58FB417E" w14:textId="5111175E" w:rsidR="00195FE3" w:rsidRPr="00B471B7" w:rsidRDefault="00195FE3" w:rsidP="009A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0A8F">
              <w:rPr>
                <w:rFonts w:ascii="Times New Roman" w:hAnsi="Times New Roman" w:cs="Times New Roman"/>
                <w:iCs/>
                <w:sz w:val="24"/>
                <w:szCs w:val="24"/>
              </w:rPr>
              <w:t>Esošo institūciju likvidācija, reorganizācija nav paredzēta.</w:t>
            </w:r>
          </w:p>
        </w:tc>
      </w:tr>
      <w:tr w:rsidR="00195FE3" w:rsidRPr="00B471B7" w14:paraId="7FC0B4E5" w14:textId="77777777" w:rsidTr="00794658">
        <w:trPr>
          <w:trHeight w:val="417"/>
          <w:tblCellSpacing w:w="15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BB8F" w14:textId="77777777" w:rsidR="00195FE3" w:rsidRPr="00B471B7" w:rsidRDefault="00195FE3" w:rsidP="009A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0A35" w14:textId="77777777" w:rsidR="00195FE3" w:rsidRPr="00B471B7" w:rsidRDefault="00195FE3" w:rsidP="009A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1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99688" w14:textId="70F0A7C4" w:rsidR="009F2006" w:rsidRPr="00296956" w:rsidRDefault="0061513A" w:rsidP="009A61C7">
            <w:pPr>
              <w:pStyle w:val="naisc"/>
              <w:spacing w:before="0" w:after="0"/>
              <w:jc w:val="both"/>
              <w:rPr>
                <w:sz w:val="20"/>
                <w:szCs w:val="20"/>
              </w:rPr>
            </w:pPr>
            <w:r w:rsidRPr="0061513A">
              <w:rPr>
                <w:szCs w:val="20"/>
              </w:rPr>
              <w:t>Nav</w:t>
            </w:r>
          </w:p>
        </w:tc>
      </w:tr>
    </w:tbl>
    <w:p w14:paraId="5FF0FD29" w14:textId="77777777" w:rsidR="00367AAE" w:rsidRDefault="00367AAE" w:rsidP="00B471B7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F684AE" w14:textId="3DFD4224" w:rsidR="00B471B7" w:rsidRPr="00BE0A8F" w:rsidRDefault="0050375F" w:rsidP="00B471B7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Anotācijas </w:t>
      </w:r>
      <w:r w:rsidR="0079465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III,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 un</w:t>
      </w:r>
      <w:r w:rsidR="00B471B7" w:rsidRPr="00BE0A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 sadaļa – projekts šīs jomas neskar.</w:t>
      </w:r>
    </w:p>
    <w:p w14:paraId="494CE612" w14:textId="77777777" w:rsidR="00B471B7" w:rsidRPr="00BE0A8F" w:rsidRDefault="00B471B7" w:rsidP="00B471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2318BB" w14:textId="77777777" w:rsidR="00B471B7" w:rsidRPr="00BE0A8F" w:rsidRDefault="00B471B7" w:rsidP="00B471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788FC2" w14:textId="77777777" w:rsidR="00B471B7" w:rsidRPr="00BE0A8F" w:rsidRDefault="00B471B7" w:rsidP="00B471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0A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Iesniedzējs:                                                                                                                                   </w:t>
      </w:r>
    </w:p>
    <w:p w14:paraId="4B2FC670" w14:textId="1DF01F7F" w:rsidR="00B471B7" w:rsidRPr="00BE0A8F" w:rsidRDefault="00B471B7" w:rsidP="00B4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E0A8F">
        <w:rPr>
          <w:rFonts w:ascii="Times New Roman" w:eastAsia="Calibri" w:hAnsi="Times New Roman" w:cs="Times New Roman"/>
          <w:sz w:val="24"/>
          <w:szCs w:val="24"/>
          <w:lang w:eastAsia="lv-LV"/>
        </w:rPr>
        <w:t>izglī</w:t>
      </w:r>
      <w:r w:rsidR="0078464D">
        <w:rPr>
          <w:rFonts w:ascii="Times New Roman" w:eastAsia="Calibri" w:hAnsi="Times New Roman" w:cs="Times New Roman"/>
          <w:sz w:val="24"/>
          <w:szCs w:val="24"/>
          <w:lang w:eastAsia="lv-LV"/>
        </w:rPr>
        <w:t>tības un zinātnes ministre</w:t>
      </w:r>
      <w:r w:rsidR="000E511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0E511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0E511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0E511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0E511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78464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Ilga </w:t>
      </w:r>
      <w:proofErr w:type="spellStart"/>
      <w:r w:rsidR="0078464D">
        <w:rPr>
          <w:rFonts w:ascii="Times New Roman" w:eastAsia="Calibri" w:hAnsi="Times New Roman" w:cs="Times New Roman"/>
          <w:sz w:val="24"/>
          <w:szCs w:val="24"/>
          <w:lang w:eastAsia="lv-LV"/>
        </w:rPr>
        <w:t>Šuplinska</w:t>
      </w:r>
      <w:proofErr w:type="spellEnd"/>
    </w:p>
    <w:p w14:paraId="65675CC5" w14:textId="745E5564" w:rsidR="00B471B7" w:rsidRPr="00BE0A8F" w:rsidRDefault="00B471B7" w:rsidP="00B471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5EDCDE" w14:textId="77777777" w:rsidR="00B471B7" w:rsidRPr="00BE0A8F" w:rsidRDefault="00B471B7" w:rsidP="00B471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E0A8F">
        <w:rPr>
          <w:rFonts w:ascii="Times New Roman" w:hAnsi="Times New Roman" w:cs="Times New Roman"/>
          <w:sz w:val="24"/>
          <w:szCs w:val="24"/>
          <w:lang w:eastAsia="lv-LV"/>
        </w:rPr>
        <w:t xml:space="preserve">Vizē: </w:t>
      </w:r>
    </w:p>
    <w:p w14:paraId="574BFF52" w14:textId="6CC7E5A4" w:rsidR="00B471B7" w:rsidRDefault="00367AAE" w:rsidP="007846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32"/>
          <w:sz w:val="24"/>
          <w:szCs w:val="24"/>
          <w:lang w:eastAsia="lv-LV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lv-LV"/>
        </w:rPr>
        <w:t>Valsts sekretār</w:t>
      </w:r>
      <w:r w:rsidR="0078464D">
        <w:rPr>
          <w:rFonts w:ascii="Times New Roman" w:hAnsi="Times New Roman" w:cs="Times New Roman"/>
          <w:kern w:val="32"/>
          <w:sz w:val="24"/>
          <w:szCs w:val="24"/>
          <w:lang w:eastAsia="lv-LV"/>
        </w:rPr>
        <w:t>e</w:t>
      </w:r>
      <w:r>
        <w:rPr>
          <w:rFonts w:ascii="Times New Roman" w:hAnsi="Times New Roman" w:cs="Times New Roman"/>
          <w:kern w:val="32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kern w:val="32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kern w:val="32"/>
          <w:sz w:val="24"/>
          <w:szCs w:val="24"/>
          <w:lang w:eastAsia="lv-LV"/>
        </w:rPr>
        <w:tab/>
      </w:r>
      <w:r w:rsidR="0078464D">
        <w:rPr>
          <w:rFonts w:ascii="Times New Roman" w:hAnsi="Times New Roman" w:cs="Times New Roman"/>
          <w:kern w:val="32"/>
          <w:sz w:val="24"/>
          <w:szCs w:val="24"/>
          <w:lang w:eastAsia="lv-LV"/>
        </w:rPr>
        <w:tab/>
      </w:r>
      <w:r w:rsidR="0078464D">
        <w:rPr>
          <w:rFonts w:ascii="Times New Roman" w:hAnsi="Times New Roman" w:cs="Times New Roman"/>
          <w:kern w:val="32"/>
          <w:sz w:val="24"/>
          <w:szCs w:val="24"/>
          <w:lang w:eastAsia="lv-LV"/>
        </w:rPr>
        <w:tab/>
      </w:r>
      <w:r w:rsidR="0078464D">
        <w:rPr>
          <w:rFonts w:ascii="Times New Roman" w:hAnsi="Times New Roman" w:cs="Times New Roman"/>
          <w:kern w:val="32"/>
          <w:sz w:val="24"/>
          <w:szCs w:val="24"/>
          <w:lang w:eastAsia="lv-LV"/>
        </w:rPr>
        <w:tab/>
        <w:t>Līga Lejiņa</w:t>
      </w:r>
    </w:p>
    <w:p w14:paraId="606843DA" w14:textId="77777777" w:rsidR="0078464D" w:rsidRDefault="0078464D" w:rsidP="000E511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B621F49" w14:textId="3ABCCA36" w:rsidR="00CB700E" w:rsidRDefault="0078464D" w:rsidP="00E76868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Karolis</w:t>
      </w:r>
      <w:proofErr w:type="spellEnd"/>
      <w:r w:rsidR="000E511D" w:rsidRPr="00BE0A8F">
        <w:rPr>
          <w:rFonts w:ascii="Times New Roman" w:hAnsi="Times New Roman" w:cs="Times New Roman"/>
          <w:sz w:val="20"/>
          <w:szCs w:val="20"/>
        </w:rPr>
        <w:t>, 6704</w:t>
      </w:r>
      <w:r>
        <w:rPr>
          <w:rFonts w:ascii="Times New Roman" w:hAnsi="Times New Roman" w:cs="Times New Roman"/>
          <w:sz w:val="20"/>
          <w:szCs w:val="20"/>
        </w:rPr>
        <w:t>7996</w:t>
      </w:r>
      <w:r w:rsidR="00B128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9F7302" w14:textId="0E57008D" w:rsidR="00B471B7" w:rsidRPr="00E76868" w:rsidRDefault="00562CE6" w:rsidP="00E76868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8464D" w:rsidRPr="006F0C07">
          <w:rPr>
            <w:rStyle w:val="Hyperlink"/>
            <w:rFonts w:ascii="Times New Roman" w:hAnsi="Times New Roman" w:cs="Times New Roman"/>
          </w:rPr>
          <w:t>kaspars.karolis@izm.gov.lv</w:t>
        </w:r>
      </w:hyperlink>
      <w:r w:rsidR="009C12E9">
        <w:rPr>
          <w:rFonts w:ascii="Times New Roman" w:hAnsi="Times New Roman" w:cs="Times New Roman"/>
          <w:sz w:val="24"/>
          <w:szCs w:val="24"/>
          <w:lang w:eastAsia="lv-LV"/>
        </w:rPr>
        <w:tab/>
      </w:r>
    </w:p>
    <w:sectPr w:rsidR="00B471B7" w:rsidRPr="00E76868" w:rsidSect="00B128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3BA6" w14:textId="77777777" w:rsidR="00562CE6" w:rsidRDefault="00562CE6" w:rsidP="00A72C3F">
      <w:pPr>
        <w:spacing w:after="0" w:line="240" w:lineRule="auto"/>
      </w:pPr>
      <w:r>
        <w:separator/>
      </w:r>
    </w:p>
  </w:endnote>
  <w:endnote w:type="continuationSeparator" w:id="0">
    <w:p w14:paraId="7CAADE90" w14:textId="77777777" w:rsidR="00562CE6" w:rsidRDefault="00562CE6" w:rsidP="00A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DC64" w14:textId="67E5B4BC" w:rsidR="00E65B0A" w:rsidRPr="00260177" w:rsidRDefault="00E65B0A" w:rsidP="00E65B0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E65B0A">
      <w:rPr>
        <w:rFonts w:ascii="Times New Roman" w:hAnsi="Times New Roman" w:cs="Times New Roman"/>
        <w:sz w:val="20"/>
        <w:szCs w:val="20"/>
      </w:rPr>
      <w:t>IZMAnot_</w:t>
    </w:r>
    <w:r w:rsidR="00CD79FE">
      <w:rPr>
        <w:rFonts w:ascii="Times New Roman" w:hAnsi="Times New Roman" w:cs="Times New Roman"/>
        <w:sz w:val="20"/>
        <w:szCs w:val="20"/>
      </w:rPr>
      <w:t>170120</w:t>
    </w:r>
    <w:r w:rsidRPr="00E65B0A">
      <w:rPr>
        <w:rFonts w:ascii="Times New Roman" w:hAnsi="Times New Roman" w:cs="Times New Roman"/>
        <w:sz w:val="20"/>
        <w:szCs w:val="20"/>
      </w:rPr>
      <w:t>_ESV</w:t>
    </w:r>
  </w:p>
  <w:p w14:paraId="39F5BA8C" w14:textId="77777777" w:rsidR="00E65B0A" w:rsidRDefault="00E65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6281" w14:textId="77777777" w:rsidR="00E65B0A" w:rsidRDefault="00E65B0A" w:rsidP="00890658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ECB32C6" w14:textId="39865661" w:rsidR="00E65B0A" w:rsidRPr="00260177" w:rsidRDefault="00E65B0A" w:rsidP="00E65B0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E65B0A">
      <w:rPr>
        <w:rFonts w:ascii="Times New Roman" w:hAnsi="Times New Roman" w:cs="Times New Roman"/>
        <w:sz w:val="20"/>
        <w:szCs w:val="20"/>
      </w:rPr>
      <w:t>IZMAnot_</w:t>
    </w:r>
    <w:r w:rsidR="00CD79FE">
      <w:rPr>
        <w:rFonts w:ascii="Times New Roman" w:hAnsi="Times New Roman" w:cs="Times New Roman"/>
        <w:sz w:val="20"/>
        <w:szCs w:val="20"/>
      </w:rPr>
      <w:t>170120</w:t>
    </w:r>
    <w:r w:rsidRPr="00E65B0A">
      <w:rPr>
        <w:rFonts w:ascii="Times New Roman" w:hAnsi="Times New Roman" w:cs="Times New Roman"/>
        <w:sz w:val="20"/>
        <w:szCs w:val="20"/>
      </w:rPr>
      <w:t>_ESV</w:t>
    </w:r>
  </w:p>
  <w:p w14:paraId="109899CC" w14:textId="364C89BE" w:rsidR="00DA5E83" w:rsidRDefault="00DA5E83" w:rsidP="00E65B0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28025" w14:textId="77777777" w:rsidR="00562CE6" w:rsidRDefault="00562CE6" w:rsidP="00A72C3F">
      <w:pPr>
        <w:spacing w:after="0" w:line="240" w:lineRule="auto"/>
      </w:pPr>
      <w:r>
        <w:separator/>
      </w:r>
    </w:p>
  </w:footnote>
  <w:footnote w:type="continuationSeparator" w:id="0">
    <w:p w14:paraId="1C651DA5" w14:textId="77777777" w:rsidR="00562CE6" w:rsidRDefault="00562CE6" w:rsidP="00A7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805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15D234" w14:textId="536401AF" w:rsidR="00DA5E83" w:rsidRDefault="00DA5E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AB10CF" w14:textId="77777777" w:rsidR="00DA5E83" w:rsidRDefault="00DA5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3DB5" w14:textId="77777777" w:rsidR="00DA5E83" w:rsidRDefault="00DA5E83" w:rsidP="00BA5B2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37BB"/>
    <w:multiLevelType w:val="hybridMultilevel"/>
    <w:tmpl w:val="8CF0486C"/>
    <w:lvl w:ilvl="0" w:tplc="49546B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010BB"/>
    <w:multiLevelType w:val="hybridMultilevel"/>
    <w:tmpl w:val="7FF8AC58"/>
    <w:lvl w:ilvl="0" w:tplc="28025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7243"/>
    <w:multiLevelType w:val="hybridMultilevel"/>
    <w:tmpl w:val="CD409148"/>
    <w:lvl w:ilvl="0" w:tplc="D60C2E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B7"/>
    <w:rsid w:val="00003B9F"/>
    <w:rsid w:val="0003311A"/>
    <w:rsid w:val="00036D00"/>
    <w:rsid w:val="00047F41"/>
    <w:rsid w:val="00053C7D"/>
    <w:rsid w:val="0007168B"/>
    <w:rsid w:val="00085CD3"/>
    <w:rsid w:val="00093950"/>
    <w:rsid w:val="000A697C"/>
    <w:rsid w:val="000B1D90"/>
    <w:rsid w:val="000B78C7"/>
    <w:rsid w:val="000C7BF5"/>
    <w:rsid w:val="000C7F3E"/>
    <w:rsid w:val="000E511D"/>
    <w:rsid w:val="001366F1"/>
    <w:rsid w:val="00146CEB"/>
    <w:rsid w:val="00163451"/>
    <w:rsid w:val="001648F6"/>
    <w:rsid w:val="00166CD5"/>
    <w:rsid w:val="00176BD9"/>
    <w:rsid w:val="00184120"/>
    <w:rsid w:val="001848DB"/>
    <w:rsid w:val="001915EA"/>
    <w:rsid w:val="00195FE3"/>
    <w:rsid w:val="001A57EC"/>
    <w:rsid w:val="001B09DF"/>
    <w:rsid w:val="001B5DB5"/>
    <w:rsid w:val="001C4791"/>
    <w:rsid w:val="001F10D8"/>
    <w:rsid w:val="001F3206"/>
    <w:rsid w:val="00223A5D"/>
    <w:rsid w:val="0024467D"/>
    <w:rsid w:val="00260177"/>
    <w:rsid w:val="00275D30"/>
    <w:rsid w:val="00286509"/>
    <w:rsid w:val="00287A87"/>
    <w:rsid w:val="00296956"/>
    <w:rsid w:val="002A09D4"/>
    <w:rsid w:val="002A16F6"/>
    <w:rsid w:val="00320532"/>
    <w:rsid w:val="003234C8"/>
    <w:rsid w:val="00331401"/>
    <w:rsid w:val="00331DF3"/>
    <w:rsid w:val="003376A2"/>
    <w:rsid w:val="00341FED"/>
    <w:rsid w:val="00342CC1"/>
    <w:rsid w:val="00345581"/>
    <w:rsid w:val="0034579F"/>
    <w:rsid w:val="00362A3D"/>
    <w:rsid w:val="00367AAE"/>
    <w:rsid w:val="00375960"/>
    <w:rsid w:val="00384C7C"/>
    <w:rsid w:val="00387888"/>
    <w:rsid w:val="003A38B1"/>
    <w:rsid w:val="003B3318"/>
    <w:rsid w:val="003B7AAB"/>
    <w:rsid w:val="003C4717"/>
    <w:rsid w:val="003E1524"/>
    <w:rsid w:val="003E41C0"/>
    <w:rsid w:val="003E69F6"/>
    <w:rsid w:val="00460667"/>
    <w:rsid w:val="004651E1"/>
    <w:rsid w:val="00473F96"/>
    <w:rsid w:val="00486A1D"/>
    <w:rsid w:val="00497082"/>
    <w:rsid w:val="004A63D4"/>
    <w:rsid w:val="004C1A6B"/>
    <w:rsid w:val="004C6C7A"/>
    <w:rsid w:val="004C7FBE"/>
    <w:rsid w:val="004D7C15"/>
    <w:rsid w:val="004F1556"/>
    <w:rsid w:val="004F7218"/>
    <w:rsid w:val="0050375F"/>
    <w:rsid w:val="00504B79"/>
    <w:rsid w:val="005175DC"/>
    <w:rsid w:val="00520720"/>
    <w:rsid w:val="00521E68"/>
    <w:rsid w:val="005251CD"/>
    <w:rsid w:val="00537B03"/>
    <w:rsid w:val="0055102A"/>
    <w:rsid w:val="00562CE6"/>
    <w:rsid w:val="005650E3"/>
    <w:rsid w:val="00573991"/>
    <w:rsid w:val="00573A29"/>
    <w:rsid w:val="00586393"/>
    <w:rsid w:val="00587B0B"/>
    <w:rsid w:val="0059016B"/>
    <w:rsid w:val="005A6CA3"/>
    <w:rsid w:val="005B0020"/>
    <w:rsid w:val="005B32CA"/>
    <w:rsid w:val="005B4F7D"/>
    <w:rsid w:val="005B5F49"/>
    <w:rsid w:val="005D4130"/>
    <w:rsid w:val="005F0DAC"/>
    <w:rsid w:val="00610D18"/>
    <w:rsid w:val="0061513A"/>
    <w:rsid w:val="00617E89"/>
    <w:rsid w:val="00623C7E"/>
    <w:rsid w:val="00647145"/>
    <w:rsid w:val="006605DC"/>
    <w:rsid w:val="0067240D"/>
    <w:rsid w:val="0068066E"/>
    <w:rsid w:val="006A1642"/>
    <w:rsid w:val="006A1BD3"/>
    <w:rsid w:val="006B50E5"/>
    <w:rsid w:val="006C6196"/>
    <w:rsid w:val="006F7BDF"/>
    <w:rsid w:val="007053F5"/>
    <w:rsid w:val="0070564C"/>
    <w:rsid w:val="0071416D"/>
    <w:rsid w:val="0073137B"/>
    <w:rsid w:val="00751B7E"/>
    <w:rsid w:val="00764953"/>
    <w:rsid w:val="00774D4B"/>
    <w:rsid w:val="0078464D"/>
    <w:rsid w:val="0079422E"/>
    <w:rsid w:val="00794658"/>
    <w:rsid w:val="00796011"/>
    <w:rsid w:val="00796656"/>
    <w:rsid w:val="007B6154"/>
    <w:rsid w:val="007B6366"/>
    <w:rsid w:val="007C3372"/>
    <w:rsid w:val="007D0D0E"/>
    <w:rsid w:val="007D1F07"/>
    <w:rsid w:val="007E14FA"/>
    <w:rsid w:val="007E26FA"/>
    <w:rsid w:val="007E3A25"/>
    <w:rsid w:val="008133A6"/>
    <w:rsid w:val="00824072"/>
    <w:rsid w:val="008343E4"/>
    <w:rsid w:val="008429BF"/>
    <w:rsid w:val="008456DF"/>
    <w:rsid w:val="00846A31"/>
    <w:rsid w:val="00846AAA"/>
    <w:rsid w:val="00850E63"/>
    <w:rsid w:val="00857D99"/>
    <w:rsid w:val="00865505"/>
    <w:rsid w:val="00873F8C"/>
    <w:rsid w:val="00883B5C"/>
    <w:rsid w:val="00886CA4"/>
    <w:rsid w:val="00890658"/>
    <w:rsid w:val="008A416D"/>
    <w:rsid w:val="008D7A9F"/>
    <w:rsid w:val="009020CB"/>
    <w:rsid w:val="00914856"/>
    <w:rsid w:val="00925F8C"/>
    <w:rsid w:val="00926230"/>
    <w:rsid w:val="009306D5"/>
    <w:rsid w:val="00962338"/>
    <w:rsid w:val="009771A8"/>
    <w:rsid w:val="00982C66"/>
    <w:rsid w:val="009921A8"/>
    <w:rsid w:val="009A61C7"/>
    <w:rsid w:val="009A6B5E"/>
    <w:rsid w:val="009C12E9"/>
    <w:rsid w:val="009C42DB"/>
    <w:rsid w:val="009C43CE"/>
    <w:rsid w:val="009D3DCB"/>
    <w:rsid w:val="009E28B4"/>
    <w:rsid w:val="009E4752"/>
    <w:rsid w:val="009E60CB"/>
    <w:rsid w:val="009F2006"/>
    <w:rsid w:val="00A14686"/>
    <w:rsid w:val="00A20305"/>
    <w:rsid w:val="00A2118D"/>
    <w:rsid w:val="00A22436"/>
    <w:rsid w:val="00A3663B"/>
    <w:rsid w:val="00A51731"/>
    <w:rsid w:val="00A53212"/>
    <w:rsid w:val="00A5330C"/>
    <w:rsid w:val="00A54879"/>
    <w:rsid w:val="00A57D59"/>
    <w:rsid w:val="00A61ACB"/>
    <w:rsid w:val="00A72054"/>
    <w:rsid w:val="00A72C3F"/>
    <w:rsid w:val="00A77BC0"/>
    <w:rsid w:val="00AA22AE"/>
    <w:rsid w:val="00AA24DA"/>
    <w:rsid w:val="00AA2560"/>
    <w:rsid w:val="00AB77D3"/>
    <w:rsid w:val="00AE61E3"/>
    <w:rsid w:val="00B06AF7"/>
    <w:rsid w:val="00B128AB"/>
    <w:rsid w:val="00B160E3"/>
    <w:rsid w:val="00B41773"/>
    <w:rsid w:val="00B471B7"/>
    <w:rsid w:val="00B47566"/>
    <w:rsid w:val="00B628F0"/>
    <w:rsid w:val="00B90891"/>
    <w:rsid w:val="00B94F90"/>
    <w:rsid w:val="00BA5B2E"/>
    <w:rsid w:val="00BB28DF"/>
    <w:rsid w:val="00BD1D2E"/>
    <w:rsid w:val="00BD62E6"/>
    <w:rsid w:val="00BE0A91"/>
    <w:rsid w:val="00BE3D93"/>
    <w:rsid w:val="00BF5A61"/>
    <w:rsid w:val="00C022F6"/>
    <w:rsid w:val="00C02D4B"/>
    <w:rsid w:val="00C0538D"/>
    <w:rsid w:val="00C13ACB"/>
    <w:rsid w:val="00C3648B"/>
    <w:rsid w:val="00C41B9C"/>
    <w:rsid w:val="00C5574B"/>
    <w:rsid w:val="00C70D4B"/>
    <w:rsid w:val="00C83E7D"/>
    <w:rsid w:val="00CA18C8"/>
    <w:rsid w:val="00CB0C56"/>
    <w:rsid w:val="00CB1D4B"/>
    <w:rsid w:val="00CB700E"/>
    <w:rsid w:val="00CC2898"/>
    <w:rsid w:val="00CD79FE"/>
    <w:rsid w:val="00CD7BE4"/>
    <w:rsid w:val="00CE370F"/>
    <w:rsid w:val="00CE3D3E"/>
    <w:rsid w:val="00CF301E"/>
    <w:rsid w:val="00CF6990"/>
    <w:rsid w:val="00D22419"/>
    <w:rsid w:val="00D60727"/>
    <w:rsid w:val="00D60E6D"/>
    <w:rsid w:val="00D64F61"/>
    <w:rsid w:val="00D771FB"/>
    <w:rsid w:val="00D82CC5"/>
    <w:rsid w:val="00D83B1D"/>
    <w:rsid w:val="00D855AD"/>
    <w:rsid w:val="00D86767"/>
    <w:rsid w:val="00DA5E83"/>
    <w:rsid w:val="00DC581B"/>
    <w:rsid w:val="00DE5353"/>
    <w:rsid w:val="00DF7C72"/>
    <w:rsid w:val="00E01A5E"/>
    <w:rsid w:val="00E01EF4"/>
    <w:rsid w:val="00E0296F"/>
    <w:rsid w:val="00E15532"/>
    <w:rsid w:val="00E16448"/>
    <w:rsid w:val="00E26BE4"/>
    <w:rsid w:val="00E271A4"/>
    <w:rsid w:val="00E316F7"/>
    <w:rsid w:val="00E35D00"/>
    <w:rsid w:val="00E432D8"/>
    <w:rsid w:val="00E53FDC"/>
    <w:rsid w:val="00E63DE2"/>
    <w:rsid w:val="00E6517A"/>
    <w:rsid w:val="00E65B0A"/>
    <w:rsid w:val="00E75FA8"/>
    <w:rsid w:val="00E76868"/>
    <w:rsid w:val="00E86E65"/>
    <w:rsid w:val="00E901ED"/>
    <w:rsid w:val="00E942B9"/>
    <w:rsid w:val="00E95482"/>
    <w:rsid w:val="00ED3F14"/>
    <w:rsid w:val="00EE7398"/>
    <w:rsid w:val="00EF47D4"/>
    <w:rsid w:val="00EF58EC"/>
    <w:rsid w:val="00F3298F"/>
    <w:rsid w:val="00F34224"/>
    <w:rsid w:val="00F41E1F"/>
    <w:rsid w:val="00F435EB"/>
    <w:rsid w:val="00F606BD"/>
    <w:rsid w:val="00F613B0"/>
    <w:rsid w:val="00F81752"/>
    <w:rsid w:val="00FA77D8"/>
    <w:rsid w:val="00FC1E1C"/>
    <w:rsid w:val="00FC2FE5"/>
    <w:rsid w:val="00FF300D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97E6"/>
  <w15:chartTrackingRefBased/>
  <w15:docId w15:val="{D42D106B-9A77-4244-BB8C-7004818F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CB"/>
  </w:style>
  <w:style w:type="paragraph" w:styleId="Heading3">
    <w:name w:val="heading 3"/>
    <w:basedOn w:val="Normal"/>
    <w:link w:val="Heading3Char"/>
    <w:uiPriority w:val="9"/>
    <w:qFormat/>
    <w:rsid w:val="000C7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A72C3F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72C3F"/>
    <w:rPr>
      <w:rFonts w:ascii="Times New Roman" w:eastAsia="Times New Roman" w:hAnsi="Times New Roman" w:cs="Times New Roman"/>
      <w:b/>
      <w:bCs/>
      <w:noProof/>
      <w:sz w:val="28"/>
      <w:szCs w:val="28"/>
      <w:lang w:val="en-GB"/>
    </w:rPr>
  </w:style>
  <w:style w:type="paragraph" w:styleId="FootnoteText">
    <w:name w:val="footnote text"/>
    <w:basedOn w:val="Normal"/>
    <w:link w:val="CommentReference"/>
    <w:uiPriority w:val="99"/>
    <w:rsid w:val="00A72C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lv-LV"/>
    </w:rPr>
  </w:style>
  <w:style w:type="character" w:customStyle="1" w:styleId="FootnoteTextChar">
    <w:name w:val="Footnote Text Char"/>
    <w:basedOn w:val="DefaultParagraphFont"/>
    <w:uiPriority w:val="99"/>
    <w:semiHidden/>
    <w:rsid w:val="00A72C3F"/>
    <w:rPr>
      <w:sz w:val="20"/>
      <w:szCs w:val="20"/>
    </w:rPr>
  </w:style>
  <w:style w:type="character" w:styleId="CommentReference">
    <w:name w:val="annotation reference"/>
    <w:aliases w:val="Footnote Text Char1"/>
    <w:basedOn w:val="DefaultParagraphFont"/>
    <w:link w:val="FootnoteText"/>
    <w:uiPriority w:val="99"/>
    <w:rsid w:val="00A72C3F"/>
    <w:rPr>
      <w:rFonts w:ascii="Times New Roman" w:eastAsiaTheme="minorEastAsia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Times 10 Point,de nota al pie,ftref"/>
    <w:basedOn w:val="DefaultParagraphFont"/>
    <w:uiPriority w:val="99"/>
    <w:rsid w:val="00A72C3F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A7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3F"/>
    <w:rPr>
      <w:sz w:val="20"/>
      <w:szCs w:val="20"/>
    </w:rPr>
  </w:style>
  <w:style w:type="character" w:styleId="Hyperlink">
    <w:name w:val="Hyperlink"/>
    <w:uiPriority w:val="99"/>
    <w:rsid w:val="000E5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1D"/>
  </w:style>
  <w:style w:type="paragraph" w:styleId="Footer">
    <w:name w:val="footer"/>
    <w:basedOn w:val="Normal"/>
    <w:link w:val="FooterChar"/>
    <w:uiPriority w:val="99"/>
    <w:unhideWhenUsed/>
    <w:rsid w:val="000E5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1D"/>
  </w:style>
  <w:style w:type="paragraph" w:styleId="ListParagraph">
    <w:name w:val="List Paragraph"/>
    <w:basedOn w:val="Normal"/>
    <w:uiPriority w:val="34"/>
    <w:qFormat/>
    <w:rsid w:val="00345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296956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C8"/>
    <w:rPr>
      <w:rFonts w:ascii="Segoe UI" w:hAnsi="Segoe UI" w:cs="Segoe UI"/>
      <w:sz w:val="18"/>
      <w:szCs w:val="18"/>
    </w:rPr>
  </w:style>
  <w:style w:type="paragraph" w:customStyle="1" w:styleId="naisnod">
    <w:name w:val="naisnod"/>
    <w:basedOn w:val="Normal"/>
    <w:rsid w:val="0050375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50375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F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C7F3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arolis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9012-A732-4A1B-AA19-D4230759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3510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Paune</dc:creator>
  <cp:keywords/>
  <dc:description/>
  <cp:lastModifiedBy>Ginta Grīnvalde</cp:lastModifiedBy>
  <cp:revision>2</cp:revision>
  <cp:lastPrinted>2019-12-05T12:04:00Z</cp:lastPrinted>
  <dcterms:created xsi:type="dcterms:W3CDTF">2020-01-27T13:27:00Z</dcterms:created>
  <dcterms:modified xsi:type="dcterms:W3CDTF">2020-01-27T13:27:00Z</dcterms:modified>
</cp:coreProperties>
</file>