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7197" w:rsidR="00F80FC5" w:rsidRDefault="003A223B" w14:paraId="1ADAE0B4" w14:textId="77777777">
      <w:pPr>
        <w:shd w:val="clear" w:color="auto" w:fill="FFFFFF"/>
        <w:spacing w:after="0" w:line="240" w:lineRule="auto"/>
        <w:jc w:val="center"/>
        <w:rPr>
          <w:rFonts w:ascii="Times New Roman" w:hAnsi="Times New Roman" w:eastAsia="Times New Roman" w:cs="Times New Roman"/>
          <w:b/>
          <w:sz w:val="24"/>
          <w:szCs w:val="24"/>
        </w:rPr>
      </w:pPr>
      <w:r w:rsidRPr="00371557">
        <w:rPr>
          <w:rFonts w:ascii="Times New Roman" w:hAnsi="Times New Roman" w:eastAsia="Times New Roman" w:cs="Times New Roman"/>
          <w:b/>
          <w:sz w:val="24"/>
          <w:szCs w:val="24"/>
        </w:rPr>
        <w:t xml:space="preserve"> </w:t>
      </w:r>
      <w:r w:rsidRPr="00327197">
        <w:rPr>
          <w:rFonts w:ascii="Times New Roman" w:hAnsi="Times New Roman" w:eastAsia="Times New Roman" w:cs="Times New Roman"/>
          <w:b/>
          <w:sz w:val="24"/>
          <w:szCs w:val="24"/>
        </w:rPr>
        <w:t>Ministru kabineta noteikumu projekta "Grozījumi Ministru kabineta 2012. gada 15. maija noteikumos Nr. 339 "Noteikumi par ostu formalitātēm"" sākotnējās ietekmes novērtējuma ziņojums (anotācija)</w:t>
      </w:r>
    </w:p>
    <w:p w:rsidRPr="00327197" w:rsidR="00F80FC5" w:rsidRDefault="00F80FC5" w14:paraId="59EB0E97" w14:textId="77777777">
      <w:pPr>
        <w:shd w:val="clear" w:color="auto" w:fill="FFFFFF"/>
        <w:spacing w:after="0" w:line="240" w:lineRule="auto"/>
        <w:jc w:val="center"/>
        <w:rPr>
          <w:rFonts w:ascii="Times New Roman" w:hAnsi="Times New Roman" w:eastAsia="Times New Roman" w:cs="Times New Roman"/>
          <w:b/>
          <w:sz w:val="28"/>
          <w:szCs w:val="28"/>
        </w:rPr>
      </w:pP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3631"/>
        <w:gridCol w:w="5424"/>
      </w:tblGrid>
      <w:tr w:rsidRPr="00327197" w:rsidR="00371557" w:rsidTr="005562B3" w14:paraId="4FD710AA" w14:textId="77777777">
        <w:tc>
          <w:tcPr>
            <w:tcW w:w="905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99B8F59" w14:textId="77777777">
            <w:pPr>
              <w:spacing w:after="0" w:line="240" w:lineRule="auto"/>
              <w:jc w:val="center"/>
              <w:rPr>
                <w:rFonts w:ascii="Times New Roman" w:hAnsi="Times New Roman" w:eastAsia="Times New Roman" w:cs="Times New Roman"/>
                <w:b/>
                <w:sz w:val="24"/>
                <w:szCs w:val="24"/>
              </w:rPr>
            </w:pPr>
            <w:r w:rsidRPr="00327197">
              <w:rPr>
                <w:rFonts w:ascii="Times New Roman" w:hAnsi="Times New Roman" w:eastAsia="Times New Roman" w:cs="Times New Roman"/>
                <w:b/>
                <w:sz w:val="24"/>
                <w:szCs w:val="24"/>
              </w:rPr>
              <w:t>Tiesību akta projekta anotācijas kopsavilkums</w:t>
            </w:r>
          </w:p>
        </w:tc>
      </w:tr>
      <w:tr w:rsidRPr="00327197" w:rsidR="00371557" w:rsidTr="005562B3" w14:paraId="146EED7B" w14:textId="77777777">
        <w:tc>
          <w:tcPr>
            <w:tcW w:w="363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8A7209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Mērķis, risinājums un projekta spēkā stāšanās laiks (500 zīmes bez atstarpēm)</w:t>
            </w:r>
          </w:p>
        </w:tc>
        <w:tc>
          <w:tcPr>
            <w:tcW w:w="5424"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E9A7B6E"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Ministru kabineta noteikumu projekts "Grozījumi Ministru kabineta 2012. gada 15. maija noteikumos Nr. 339 "Noteikumi par ostu formalitātēm""</w:t>
            </w:r>
            <w:r w:rsidRPr="00327197">
              <w:rPr>
                <w:rFonts w:ascii="Times New Roman" w:hAnsi="Times New Roman" w:eastAsia="Times New Roman" w:cs="Times New Roman"/>
                <w:b/>
                <w:sz w:val="24"/>
                <w:szCs w:val="24"/>
              </w:rPr>
              <w:t xml:space="preserve"> </w:t>
            </w:r>
            <w:r w:rsidRPr="00327197">
              <w:rPr>
                <w:rFonts w:ascii="Times New Roman" w:hAnsi="Times New Roman" w:eastAsia="Times New Roman" w:cs="Times New Roman"/>
                <w:sz w:val="24"/>
                <w:szCs w:val="24"/>
              </w:rPr>
              <w:t>(turpmāk – projekts) izstrādāts, lai pārņemtu un ieviestu Eiropas Parlamenta un Padomes 2017. gada 15. novembra Direktīvas (ES) 2017/2109, ar ko groza Padomes Direktīvu 98/41/EK par to personu reģistrāciju, kas atrodas uz pasažieru kuģiem, kuri kursē uz Kopienas dalībvalstu ostām vai no tām, un Eiropas Parlamenta un Padomes Direktīvu 2010/65/ES par ziņošanas formalitātēm kuģiem, kuri ienāk dalībvalstu ostās un/vai iziet no tām (turpmāk – Direktīva (ES) 2017/2109),</w:t>
            </w:r>
            <w:r w:rsidRPr="00327197" w:rsidR="00F56DE5">
              <w:rPr>
                <w:rFonts w:ascii="Times New Roman" w:hAnsi="Times New Roman" w:eastAsia="Times New Roman" w:cs="Times New Roman"/>
                <w:sz w:val="24"/>
                <w:szCs w:val="24"/>
              </w:rPr>
              <w:t xml:space="preserve"> </w:t>
            </w:r>
            <w:r w:rsidRPr="00327197">
              <w:rPr>
                <w:rFonts w:ascii="Times New Roman" w:hAnsi="Times New Roman" w:eastAsia="Times New Roman" w:cs="Times New Roman"/>
                <w:sz w:val="24"/>
                <w:szCs w:val="24"/>
              </w:rPr>
              <w:t>prasības nacionālajos normatīvajos aktos.</w:t>
            </w:r>
          </w:p>
          <w:p w:rsidRPr="00327197" w:rsidR="00F80FC5" w:rsidP="0099556F" w:rsidRDefault="003A223B" w14:paraId="577DE960"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w:t>
            </w:r>
            <w:r w:rsidRPr="006973A8" w:rsidR="0099556F">
              <w:rPr>
                <w:rFonts w:ascii="Times New Roman" w:hAnsi="Times New Roman" w:eastAsia="Times New Roman" w:cs="Times New Roman"/>
                <w:iCs/>
                <w:sz w:val="24"/>
                <w:szCs w:val="24"/>
              </w:rPr>
              <w:t>Projekts stāsies spēkā Oficiālo publikāciju un tiesiskās informācijas likuma 7. panta otrajā daļā noteiktajā kārtībā, proti, nākamajā dienā pēc tā izsludināšanas.</w:t>
            </w:r>
          </w:p>
        </w:tc>
      </w:tr>
    </w:tbl>
    <w:p w:rsidRPr="00327197" w:rsidR="00F80FC5" w:rsidRDefault="003A223B" w14:paraId="7E9946D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w:t>
      </w: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327197" w:rsidR="00371557" w:rsidTr="005562B3" w14:paraId="0050CC2A"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93FD164" w14:textId="77777777">
            <w:pPr>
              <w:spacing w:after="0" w:line="240" w:lineRule="auto"/>
              <w:jc w:val="center"/>
              <w:rPr>
                <w:rFonts w:ascii="Times New Roman" w:hAnsi="Times New Roman" w:eastAsia="Times New Roman" w:cs="Times New Roman"/>
                <w:b/>
                <w:sz w:val="24"/>
                <w:szCs w:val="24"/>
              </w:rPr>
            </w:pPr>
            <w:r w:rsidRPr="00327197">
              <w:rPr>
                <w:rFonts w:ascii="Times New Roman" w:hAnsi="Times New Roman" w:eastAsia="Times New Roman" w:cs="Times New Roman"/>
                <w:b/>
                <w:sz w:val="24"/>
                <w:szCs w:val="24"/>
              </w:rPr>
              <w:t>I. Tiesību akta projekta izstrādes nepieciešamība</w:t>
            </w:r>
          </w:p>
        </w:tc>
      </w:tr>
      <w:tr w:rsidRPr="00327197" w:rsidR="00371557" w:rsidTr="005562B3" w14:paraId="0136CD42"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6B50AC6"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A6B2B84"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Pamatojums</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264844" w:rsidRDefault="00652367" w14:paraId="5C714A28"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Jūrlietu pārvaldes un jūras drošības likuma 35. panta otrā daļa un 41.</w:t>
            </w:r>
            <w:r w:rsidRPr="00327197">
              <w:rPr>
                <w:rFonts w:ascii="Times New Roman" w:hAnsi="Times New Roman" w:eastAsia="Times New Roman" w:cs="Times New Roman"/>
                <w:sz w:val="24"/>
                <w:szCs w:val="24"/>
                <w:vertAlign w:val="superscript"/>
              </w:rPr>
              <w:t>1</w:t>
            </w:r>
            <w:r w:rsidRPr="00327197">
              <w:rPr>
                <w:rFonts w:ascii="Times New Roman" w:hAnsi="Times New Roman" w:eastAsia="Times New Roman" w:cs="Times New Roman"/>
                <w:sz w:val="24"/>
                <w:szCs w:val="24"/>
              </w:rPr>
              <w:t xml:space="preserve"> panta trešā daļa</w:t>
            </w:r>
            <w:r w:rsidRPr="00327197" w:rsidR="00264844">
              <w:rPr>
                <w:rFonts w:ascii="Times New Roman" w:hAnsi="Times New Roman" w:eastAsia="Times New Roman" w:cs="Times New Roman"/>
                <w:sz w:val="24"/>
                <w:szCs w:val="24"/>
              </w:rPr>
              <w:t>, Latvijas Republikas valsts robežas likuma 22. panta astotā daļa</w:t>
            </w:r>
            <w:r w:rsidRPr="00327197">
              <w:rPr>
                <w:rFonts w:ascii="Times New Roman" w:hAnsi="Times New Roman" w:eastAsia="Times New Roman" w:cs="Times New Roman"/>
                <w:sz w:val="24"/>
                <w:szCs w:val="24"/>
              </w:rPr>
              <w:t xml:space="preserve"> </w:t>
            </w:r>
            <w:r w:rsidRPr="00327197" w:rsidR="003A223B">
              <w:rPr>
                <w:rFonts w:ascii="Times New Roman" w:hAnsi="Times New Roman" w:eastAsia="Times New Roman" w:cs="Times New Roman"/>
                <w:sz w:val="24"/>
                <w:szCs w:val="24"/>
              </w:rPr>
              <w:t>un Direktīva (ES) 2017/2109</w:t>
            </w:r>
            <w:r w:rsidRPr="00327197" w:rsidR="009856FB">
              <w:rPr>
                <w:rFonts w:ascii="Times New Roman" w:hAnsi="Times New Roman" w:eastAsia="Times New Roman" w:cs="Times New Roman"/>
                <w:sz w:val="24"/>
                <w:szCs w:val="24"/>
              </w:rPr>
              <w:t>.</w:t>
            </w:r>
          </w:p>
        </w:tc>
      </w:tr>
      <w:tr w:rsidRPr="00327197" w:rsidR="00371557" w:rsidTr="005562B3" w14:paraId="54667508" w14:textId="77777777">
        <w:trPr>
          <w:trHeight w:val="522"/>
        </w:trPr>
        <w:tc>
          <w:tcPr>
            <w:tcW w:w="581" w:type="dxa"/>
            <w:tcBorders>
              <w:top w:val="single" w:color="000000" w:sz="6" w:space="0"/>
              <w:left w:val="single" w:color="000000" w:sz="6" w:space="0"/>
              <w:bottom w:val="single" w:color="000000" w:sz="6" w:space="0"/>
              <w:right w:val="single" w:color="000000" w:sz="6" w:space="0"/>
            </w:tcBorders>
            <w:shd w:val="clear" w:color="auto" w:fill="auto"/>
          </w:tcPr>
          <w:p w:rsidR="00F80FC5" w:rsidP="005562B3" w:rsidRDefault="003A223B" w14:paraId="5B5C61AD"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w:t>
            </w:r>
          </w:p>
          <w:p w:rsidRPr="005C2412" w:rsidR="005C2412" w:rsidP="005C2412" w:rsidRDefault="005C2412" w14:paraId="0B444064" w14:textId="77777777">
            <w:pPr>
              <w:rPr>
                <w:rFonts w:ascii="Times New Roman" w:hAnsi="Times New Roman" w:eastAsia="Times New Roman" w:cs="Times New Roman"/>
                <w:sz w:val="24"/>
                <w:szCs w:val="24"/>
              </w:rPr>
            </w:pPr>
          </w:p>
          <w:p w:rsidRPr="005C2412" w:rsidR="005C2412" w:rsidP="005C2412" w:rsidRDefault="005C2412" w14:paraId="0F605418" w14:textId="77777777">
            <w:pPr>
              <w:rPr>
                <w:rFonts w:ascii="Times New Roman" w:hAnsi="Times New Roman" w:eastAsia="Times New Roman" w:cs="Times New Roman"/>
                <w:sz w:val="24"/>
                <w:szCs w:val="24"/>
              </w:rPr>
            </w:pPr>
          </w:p>
          <w:p w:rsidRPr="005C2412" w:rsidR="005C2412" w:rsidP="005C2412" w:rsidRDefault="005C2412" w14:paraId="3A830217" w14:textId="77777777">
            <w:pPr>
              <w:rPr>
                <w:rFonts w:ascii="Times New Roman" w:hAnsi="Times New Roman" w:eastAsia="Times New Roman" w:cs="Times New Roman"/>
                <w:sz w:val="24"/>
                <w:szCs w:val="24"/>
              </w:rPr>
            </w:pPr>
          </w:p>
          <w:p w:rsidRPr="005C2412" w:rsidR="005C2412" w:rsidP="005C2412" w:rsidRDefault="005C2412" w14:paraId="043C6B38" w14:textId="77777777">
            <w:pPr>
              <w:rPr>
                <w:rFonts w:ascii="Times New Roman" w:hAnsi="Times New Roman" w:eastAsia="Times New Roman" w:cs="Times New Roman"/>
                <w:sz w:val="24"/>
                <w:szCs w:val="24"/>
              </w:rPr>
            </w:pPr>
          </w:p>
          <w:p w:rsidRPr="005C2412" w:rsidR="005C2412" w:rsidP="005C2412" w:rsidRDefault="005C2412" w14:paraId="53EB87C6" w14:textId="77777777">
            <w:pPr>
              <w:rPr>
                <w:rFonts w:ascii="Times New Roman" w:hAnsi="Times New Roman" w:eastAsia="Times New Roman" w:cs="Times New Roman"/>
                <w:sz w:val="24"/>
                <w:szCs w:val="24"/>
              </w:rPr>
            </w:pPr>
          </w:p>
          <w:p w:rsidRPr="005C2412" w:rsidR="005C2412" w:rsidP="005C2412" w:rsidRDefault="005C2412" w14:paraId="4B540BD2" w14:textId="77777777">
            <w:pPr>
              <w:rPr>
                <w:rFonts w:ascii="Times New Roman" w:hAnsi="Times New Roman" w:eastAsia="Times New Roman" w:cs="Times New Roman"/>
                <w:sz w:val="24"/>
                <w:szCs w:val="24"/>
              </w:rPr>
            </w:pPr>
          </w:p>
          <w:p w:rsidRPr="005C2412" w:rsidR="005C2412" w:rsidP="005C2412" w:rsidRDefault="005C2412" w14:paraId="75AF626E" w14:textId="77777777">
            <w:pPr>
              <w:rPr>
                <w:rFonts w:ascii="Times New Roman" w:hAnsi="Times New Roman" w:eastAsia="Times New Roman" w:cs="Times New Roman"/>
                <w:sz w:val="24"/>
                <w:szCs w:val="24"/>
              </w:rPr>
            </w:pPr>
          </w:p>
          <w:p w:rsidRPr="005C2412" w:rsidR="005C2412" w:rsidP="005C2412" w:rsidRDefault="005C2412" w14:paraId="563C0F9F" w14:textId="77777777">
            <w:pPr>
              <w:rPr>
                <w:rFonts w:ascii="Times New Roman" w:hAnsi="Times New Roman" w:eastAsia="Times New Roman" w:cs="Times New Roman"/>
                <w:sz w:val="24"/>
                <w:szCs w:val="24"/>
              </w:rPr>
            </w:pPr>
          </w:p>
          <w:p w:rsidRPr="005C2412" w:rsidR="005C2412" w:rsidP="005C2412" w:rsidRDefault="005C2412" w14:paraId="2A7E7628" w14:textId="77777777">
            <w:pPr>
              <w:rPr>
                <w:rFonts w:ascii="Times New Roman" w:hAnsi="Times New Roman" w:eastAsia="Times New Roman" w:cs="Times New Roman"/>
                <w:sz w:val="24"/>
                <w:szCs w:val="24"/>
              </w:rPr>
            </w:pPr>
          </w:p>
          <w:p w:rsidRPr="005C2412" w:rsidR="005C2412" w:rsidP="005C2412" w:rsidRDefault="005C2412" w14:paraId="7EEB2905" w14:textId="77777777">
            <w:pPr>
              <w:rPr>
                <w:rFonts w:ascii="Times New Roman" w:hAnsi="Times New Roman" w:eastAsia="Times New Roman" w:cs="Times New Roman"/>
                <w:sz w:val="24"/>
                <w:szCs w:val="24"/>
              </w:rPr>
            </w:pPr>
          </w:p>
          <w:p w:rsidRPr="005C2412" w:rsidR="005C2412" w:rsidP="005C2412" w:rsidRDefault="005C2412" w14:paraId="54212663" w14:textId="77777777">
            <w:pPr>
              <w:rPr>
                <w:rFonts w:ascii="Times New Roman" w:hAnsi="Times New Roman" w:eastAsia="Times New Roman" w:cs="Times New Roman"/>
                <w:sz w:val="24"/>
                <w:szCs w:val="24"/>
              </w:rPr>
            </w:pPr>
          </w:p>
          <w:p w:rsidRPr="005C2412" w:rsidR="005C2412" w:rsidP="005C2412" w:rsidRDefault="005C2412" w14:paraId="73F81A99" w14:textId="77777777">
            <w:pPr>
              <w:rPr>
                <w:rFonts w:ascii="Times New Roman" w:hAnsi="Times New Roman" w:eastAsia="Times New Roman" w:cs="Times New Roman"/>
                <w:sz w:val="24"/>
                <w:szCs w:val="24"/>
              </w:rPr>
            </w:pPr>
          </w:p>
          <w:p w:rsidRPr="005C2412" w:rsidR="005C2412" w:rsidP="005C2412" w:rsidRDefault="005C2412" w14:paraId="2E6CFF98" w14:textId="16CA8FB7">
            <w:pPr>
              <w:rPr>
                <w:rFonts w:ascii="Times New Roman" w:hAnsi="Times New Roman" w:eastAsia="Times New Roman" w:cs="Times New Roman"/>
                <w:sz w:val="24"/>
                <w:szCs w:val="24"/>
              </w:rPr>
            </w:pP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69640E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Pašreizējā situācija un problēmas, kuru risināšanai tiesību akta projekts izstrādāts, tiesiskā regulējuma mērķis un būtība</w:t>
            </w:r>
          </w:p>
          <w:p w:rsidRPr="00327197" w:rsidR="004F1D58" w:rsidP="004F1D58" w:rsidRDefault="004F1D58" w14:paraId="6D45160D" w14:textId="77777777">
            <w:pPr>
              <w:rPr>
                <w:rFonts w:ascii="Times New Roman" w:hAnsi="Times New Roman" w:eastAsia="Times New Roman" w:cs="Times New Roman"/>
                <w:sz w:val="24"/>
                <w:szCs w:val="24"/>
              </w:rPr>
            </w:pPr>
          </w:p>
          <w:p w:rsidRPr="00327197" w:rsidR="004F1D58" w:rsidP="004F1D58" w:rsidRDefault="004F1D58" w14:paraId="0E6BEC65" w14:textId="77777777">
            <w:pPr>
              <w:rPr>
                <w:rFonts w:ascii="Times New Roman" w:hAnsi="Times New Roman" w:eastAsia="Times New Roman" w:cs="Times New Roman"/>
                <w:sz w:val="24"/>
                <w:szCs w:val="24"/>
              </w:rPr>
            </w:pPr>
          </w:p>
          <w:p w:rsidRPr="00327197" w:rsidR="004F1D58" w:rsidP="004F1D58" w:rsidRDefault="004F1D58" w14:paraId="5D589DB4" w14:textId="77777777">
            <w:pPr>
              <w:rPr>
                <w:rFonts w:ascii="Times New Roman" w:hAnsi="Times New Roman" w:eastAsia="Times New Roman" w:cs="Times New Roman"/>
                <w:sz w:val="24"/>
                <w:szCs w:val="24"/>
              </w:rPr>
            </w:pPr>
          </w:p>
          <w:p w:rsidRPr="00327197" w:rsidR="004F1D58" w:rsidP="004F1D58" w:rsidRDefault="004F1D58" w14:paraId="2BA6F961" w14:textId="77777777">
            <w:pPr>
              <w:rPr>
                <w:rFonts w:ascii="Times New Roman" w:hAnsi="Times New Roman" w:eastAsia="Times New Roman" w:cs="Times New Roman"/>
                <w:sz w:val="24"/>
                <w:szCs w:val="24"/>
              </w:rPr>
            </w:pPr>
          </w:p>
          <w:p w:rsidRPr="00327197" w:rsidR="004F1D58" w:rsidP="004F1D58" w:rsidRDefault="004F1D58" w14:paraId="3FB9C2CC" w14:textId="77777777">
            <w:pPr>
              <w:rPr>
                <w:rFonts w:ascii="Times New Roman" w:hAnsi="Times New Roman" w:eastAsia="Times New Roman" w:cs="Times New Roman"/>
                <w:sz w:val="24"/>
                <w:szCs w:val="24"/>
              </w:rPr>
            </w:pPr>
          </w:p>
          <w:p w:rsidRPr="00327197" w:rsidR="004F1D58" w:rsidP="004F1D58" w:rsidRDefault="004F1D58" w14:paraId="5472EDAA" w14:textId="77777777">
            <w:pPr>
              <w:rPr>
                <w:rFonts w:ascii="Times New Roman" w:hAnsi="Times New Roman" w:eastAsia="Times New Roman" w:cs="Times New Roman"/>
                <w:sz w:val="24"/>
                <w:szCs w:val="24"/>
              </w:rPr>
            </w:pPr>
          </w:p>
          <w:p w:rsidRPr="00327197" w:rsidR="004F1D58" w:rsidP="004F1D58" w:rsidRDefault="004F1D58" w14:paraId="58147FA1" w14:textId="77777777">
            <w:pPr>
              <w:rPr>
                <w:rFonts w:ascii="Times New Roman" w:hAnsi="Times New Roman" w:eastAsia="Times New Roman" w:cs="Times New Roman"/>
                <w:sz w:val="24"/>
                <w:szCs w:val="24"/>
              </w:rPr>
            </w:pPr>
          </w:p>
          <w:p w:rsidRPr="00327197" w:rsidR="004F1D58" w:rsidP="004F1D58" w:rsidRDefault="004F1D58" w14:paraId="25711A68" w14:textId="77777777">
            <w:pPr>
              <w:rPr>
                <w:rFonts w:ascii="Times New Roman" w:hAnsi="Times New Roman" w:eastAsia="Times New Roman" w:cs="Times New Roman"/>
                <w:sz w:val="24"/>
                <w:szCs w:val="24"/>
              </w:rPr>
            </w:pPr>
          </w:p>
          <w:p w:rsidRPr="00327197" w:rsidR="004F1D58" w:rsidP="004F1D58" w:rsidRDefault="004F1D58" w14:paraId="7F0ED63A" w14:textId="77777777">
            <w:pPr>
              <w:rPr>
                <w:rFonts w:ascii="Times New Roman" w:hAnsi="Times New Roman" w:eastAsia="Times New Roman" w:cs="Times New Roman"/>
                <w:sz w:val="24"/>
                <w:szCs w:val="24"/>
              </w:rPr>
            </w:pPr>
          </w:p>
          <w:p w:rsidRPr="00327197" w:rsidR="004F1D58" w:rsidP="004F1D58" w:rsidRDefault="004F1D58" w14:paraId="773D7617" w14:textId="77777777">
            <w:pPr>
              <w:rPr>
                <w:rFonts w:ascii="Times New Roman" w:hAnsi="Times New Roman" w:eastAsia="Times New Roman" w:cs="Times New Roman"/>
                <w:sz w:val="24"/>
                <w:szCs w:val="24"/>
              </w:rPr>
            </w:pPr>
          </w:p>
          <w:p w:rsidRPr="00327197" w:rsidR="004F1D58" w:rsidP="004F1D58" w:rsidRDefault="004F1D58" w14:paraId="0BE8367C" w14:textId="77777777">
            <w:pPr>
              <w:rPr>
                <w:rFonts w:ascii="Times New Roman" w:hAnsi="Times New Roman" w:eastAsia="Times New Roman" w:cs="Times New Roman"/>
                <w:sz w:val="24"/>
                <w:szCs w:val="24"/>
              </w:rPr>
            </w:pPr>
          </w:p>
          <w:p w:rsidRPr="00327197" w:rsidR="004F1D58" w:rsidP="004F1D58" w:rsidRDefault="004F1D58" w14:paraId="667EFCB3" w14:textId="77777777">
            <w:pPr>
              <w:rPr>
                <w:rFonts w:ascii="Times New Roman" w:hAnsi="Times New Roman" w:eastAsia="Times New Roman" w:cs="Times New Roman"/>
                <w:sz w:val="24"/>
                <w:szCs w:val="24"/>
              </w:rPr>
            </w:pP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0B14E13"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Šobrīd pasažieru, kuri atrodas uz pasažieru kuģa, reģistrācijas kārtību un attiecīgās informācijas paziņošanas kārtību nosaka Ministru kabineta 2012. gada 15. maija noteikumu Nr. 339 "Noteikumi par ostu formalitātēm"" (turpmāk – noteikumi) 9.</w:t>
            </w:r>
            <w:r w:rsidRPr="00327197">
              <w:rPr>
                <w:rFonts w:ascii="Times New Roman" w:hAnsi="Times New Roman" w:eastAsia="Times New Roman" w:cs="Times New Roman"/>
                <w:sz w:val="24"/>
                <w:szCs w:val="24"/>
                <w:vertAlign w:val="superscript"/>
              </w:rPr>
              <w:t>1</w:t>
            </w:r>
            <w:r w:rsidRPr="00327197" w:rsidR="00652367">
              <w:rPr>
                <w:rFonts w:ascii="Times New Roman" w:hAnsi="Times New Roman" w:eastAsia="Times New Roman" w:cs="Times New Roman"/>
                <w:sz w:val="24"/>
                <w:szCs w:val="24"/>
                <w:vertAlign w:val="superscript"/>
              </w:rPr>
              <w:t> </w:t>
            </w:r>
            <w:r w:rsidRPr="00327197">
              <w:rPr>
                <w:rFonts w:ascii="Times New Roman" w:hAnsi="Times New Roman" w:eastAsia="Times New Roman" w:cs="Times New Roman"/>
                <w:sz w:val="24"/>
                <w:szCs w:val="24"/>
              </w:rPr>
              <w:t>nodaļa.</w:t>
            </w:r>
          </w:p>
          <w:p w:rsidRPr="00327197" w:rsidR="00F80FC5" w:rsidP="005562B3" w:rsidRDefault="003A223B" w14:paraId="1D0CE9B9"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Kopumā esošais tiesiskais regulējums paredz, ka uz pasažieru kuģa, kas veic reisus no Latvijas ostas 20 jūras jūdžu attālumā un tālāk, pirms iziešanas no ostas reģistrē </w:t>
            </w:r>
            <w:r w:rsidRPr="00327197" w:rsidR="00437C97">
              <w:rPr>
                <w:rFonts w:ascii="Times New Roman" w:hAnsi="Times New Roman" w:eastAsia="Times New Roman" w:cs="Times New Roman"/>
                <w:sz w:val="24"/>
                <w:szCs w:val="24"/>
              </w:rPr>
              <w:t xml:space="preserve">šādu </w:t>
            </w:r>
            <w:r w:rsidRPr="00327197">
              <w:rPr>
                <w:rFonts w:ascii="Times New Roman" w:hAnsi="Times New Roman" w:eastAsia="Times New Roman" w:cs="Times New Roman"/>
                <w:sz w:val="24"/>
                <w:szCs w:val="24"/>
              </w:rPr>
              <w:t>informāciju par pasažieriem:</w:t>
            </w:r>
          </w:p>
          <w:p w:rsidRPr="00327197" w:rsidR="00F80FC5" w:rsidP="005562B3" w:rsidRDefault="003A223B" w14:paraId="136F283D"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pasažiera vārds vai vārda pirmais burts (iniciālis) un uzvārds;</w:t>
            </w:r>
          </w:p>
          <w:p w:rsidRPr="00327197" w:rsidR="00F80FC5" w:rsidP="005562B3" w:rsidRDefault="003A223B" w14:paraId="2A677152"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 dzimums;</w:t>
            </w:r>
          </w:p>
          <w:p w:rsidRPr="00327197" w:rsidR="00F80FC5" w:rsidP="005562B3" w:rsidRDefault="003A223B" w14:paraId="5D73235D"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 vecuma grupa (pieaugušais, bērns vai zīdainis), pie kuras pieder attiecīgā persona, vecums vai dzimšanas gads;</w:t>
            </w:r>
          </w:p>
          <w:p w:rsidRPr="00327197" w:rsidR="00F80FC5" w:rsidP="005562B3" w:rsidRDefault="003A223B" w14:paraId="2520990E"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4) pēc pasažiera pieprasījuma – informācija par īpašas aprūpes vai palīdzības nepieciešamību avārijas gadījumā.</w:t>
            </w:r>
          </w:p>
          <w:p w:rsidRPr="00327197" w:rsidR="00F80FC5" w:rsidP="005562B3" w:rsidRDefault="003A223B" w14:paraId="6E9C61A2" w14:textId="77777777">
            <w:pPr>
              <w:spacing w:after="0" w:line="240" w:lineRule="auto"/>
              <w:ind w:firstLine="284"/>
              <w:jc w:val="both"/>
              <w:rPr>
                <w:rFonts w:ascii="Times New Roman" w:hAnsi="Times New Roman" w:eastAsia="Times New Roman" w:cs="Times New Roman"/>
                <w:b/>
                <w:sz w:val="24"/>
                <w:szCs w:val="24"/>
              </w:rPr>
            </w:pPr>
            <w:r w:rsidRPr="00327197">
              <w:rPr>
                <w:rFonts w:ascii="Times New Roman" w:hAnsi="Times New Roman" w:eastAsia="Times New Roman" w:cs="Times New Roman"/>
                <w:sz w:val="24"/>
                <w:szCs w:val="24"/>
              </w:rPr>
              <w:t xml:space="preserve">Meklēšanas un glābšanas vajadzībām par pasažieriem reģistrēto informāciju paziņo Nacionālo bruņoto spēku Jūras spēku Krasta apsardzes dienestam, izmantojot Starptautisko kravu loģistikas un ostu </w:t>
            </w:r>
            <w:r w:rsidRPr="00327197">
              <w:rPr>
                <w:rFonts w:ascii="Times New Roman" w:hAnsi="Times New Roman" w:eastAsia="Times New Roman" w:cs="Times New Roman"/>
                <w:sz w:val="24"/>
                <w:szCs w:val="24"/>
              </w:rPr>
              <w:lastRenderedPageBreak/>
              <w:t>informācijas sistēmu (SKLOIS) vai jebkurus citus pieejamos saziņas līdzekļus, ja pasažieru saraksts nav paziņots, kārtojot citas ostas formalitātes – ziņojot saskaņā 1965. gada Konvenciju par starptautiskās jūras satiksmes atvieglošanu (</w:t>
            </w:r>
            <w:r w:rsidRPr="00327197" w:rsidR="003D7FA4">
              <w:rPr>
                <w:rFonts w:ascii="Times New Roman" w:hAnsi="Times New Roman" w:eastAsia="Times New Roman" w:cs="Times New Roman"/>
                <w:sz w:val="24"/>
                <w:szCs w:val="24"/>
              </w:rPr>
              <w:t xml:space="preserve">turpmāk – </w:t>
            </w:r>
            <w:r w:rsidRPr="00327197">
              <w:rPr>
                <w:rFonts w:ascii="Times New Roman" w:hAnsi="Times New Roman" w:eastAsia="Times New Roman" w:cs="Times New Roman"/>
                <w:sz w:val="24"/>
                <w:szCs w:val="24"/>
              </w:rPr>
              <w:t>FAL konvencija) (noteikumu 7. nodaļa) vai ziņojot saskaņā ar robežpārbaudes speciālajām prasībām (noteikumu 8.</w:t>
            </w:r>
            <w:r w:rsidRPr="00327197" w:rsidR="00D973CE">
              <w:rPr>
                <w:rFonts w:ascii="Times New Roman" w:hAnsi="Times New Roman" w:eastAsia="Times New Roman" w:cs="Times New Roman"/>
                <w:sz w:val="24"/>
                <w:szCs w:val="24"/>
              </w:rPr>
              <w:t> </w:t>
            </w:r>
            <w:r w:rsidRPr="00327197">
              <w:rPr>
                <w:rFonts w:ascii="Times New Roman" w:hAnsi="Times New Roman" w:eastAsia="Times New Roman" w:cs="Times New Roman"/>
                <w:sz w:val="24"/>
                <w:szCs w:val="24"/>
              </w:rPr>
              <w:t>nodaļa).</w:t>
            </w:r>
          </w:p>
          <w:p w:rsidRPr="00327197" w:rsidR="00F80FC5" w:rsidP="005562B3" w:rsidRDefault="003A223B" w14:paraId="005A82DC"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Šobrīd meklēšanas un glābšanas vajadzībām par pasažieriem reģistrētā informācija var glabāties gan Starptautiskajā kravu loģistikas un ostu informācijas sistēmā (SKLOIS), gan Nacionālo bruņoto spēku Jūras spēku Krasta apsardzes dienestā (ja tā ir paziņota, izmantojot jebkurus citus pieejamos saziņas līdzekļus), gan pašas kuģošanas kompānijas pasažieru reģistrācijas sistēmā, kuras saturētā informācija nepieciešamības gadījumā ir pieejama Nacionālo bruņoto spēku Jūras spēku Krasta apsardzes dienestam un citu valstu atbildīgajām institūcijām, kas veic meklēšanas un glābšanas operācijas.</w:t>
            </w:r>
          </w:p>
          <w:p w:rsidRPr="00327197" w:rsidR="00F80FC5" w:rsidP="005562B3" w:rsidRDefault="003A223B" w14:paraId="2B5AE0E7"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Noteikumos ir pārņemtas Padomes 1998. gada 18.</w:t>
            </w:r>
            <w:r w:rsidRPr="00327197" w:rsidR="00D973CE">
              <w:rPr>
                <w:rFonts w:ascii="Times New Roman" w:hAnsi="Times New Roman" w:eastAsia="Times New Roman" w:cs="Times New Roman"/>
                <w:sz w:val="24"/>
                <w:szCs w:val="24"/>
              </w:rPr>
              <w:t> </w:t>
            </w:r>
            <w:r w:rsidRPr="00327197">
              <w:rPr>
                <w:rFonts w:ascii="Times New Roman" w:hAnsi="Times New Roman" w:eastAsia="Times New Roman" w:cs="Times New Roman"/>
                <w:sz w:val="24"/>
                <w:szCs w:val="24"/>
              </w:rPr>
              <w:t>jūnija Direktīvas 98/41/EK par to personu reģistrāciju, kas atrodas uz pasažieru kuģiem, kuri kursē uz Kopienas dalībvalstu ostām vai no tām (turpmāk – Direktīva 98/41/EK), tiesību normas.</w:t>
            </w:r>
          </w:p>
          <w:p w:rsidRPr="00327197" w:rsidR="00F80FC5" w:rsidP="005562B3" w:rsidRDefault="003A223B" w14:paraId="5872D37D"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Ņemot vērā, ka pieņemot Direktīvu (ES) 2017/2109, tika izdarīti grozījumi Direktīvā 98/41/EK, Direktīvas (ES) 2017/2109 pārņemšanai un ieviešanai nepieciešams veikt atbilstošus grozījumus noteikumos, kā arī noteikumos nepieciešami redakcionāli grozījumi, lai nodrošinātu Direktīvas 98/41/EK vienotu un mērķim atbilstošu piemērošanu.</w:t>
            </w:r>
          </w:p>
          <w:p w:rsidRPr="00327197" w:rsidR="00F80FC5" w:rsidP="005562B3" w:rsidRDefault="003A223B" w14:paraId="482834E8"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Projekta tiesiskā regulējuma būtība:</w:t>
            </w:r>
          </w:p>
          <w:p w:rsidRPr="00327197" w:rsidR="00F80FC5" w:rsidP="005562B3" w:rsidRDefault="003A223B" w14:paraId="49828198" w14:textId="2444EC29">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Ņemot vērā tehnoloģisko progresu kuģu ziņošana</w:t>
            </w:r>
            <w:r w:rsidR="00DB0D79">
              <w:rPr>
                <w:rFonts w:ascii="Times New Roman" w:hAnsi="Times New Roman" w:eastAsia="Times New Roman" w:cs="Times New Roman"/>
                <w:sz w:val="24"/>
                <w:szCs w:val="24"/>
              </w:rPr>
              <w:t>s</w:t>
            </w:r>
            <w:r w:rsidRPr="00327197">
              <w:rPr>
                <w:rFonts w:ascii="Times New Roman" w:hAnsi="Times New Roman" w:eastAsia="Times New Roman" w:cs="Times New Roman"/>
                <w:sz w:val="24"/>
                <w:szCs w:val="24"/>
              </w:rPr>
              <w:t xml:space="preserve"> sistēmās, ir nepieciešams panākt, ka ar kuģiem saistītu datu paziņošana ir darīta iespējama Eiropas Parlamenta un Padomes 2010.  gada 20.  oktobra Direktīvā 2010/65/ES par ziņošanas formalitātēm kuģiem, kuri ienāk dalībvalstu ostās un/vai iziet no tām, un ar ko atceļ Direktīvu 2002/6/EK, minētajā vienotajā valsts kontaktpunktā (ar vienoto kontaktpunktu tiek saprasta Starptautiskā kravu loģistikas un ostu informācijas sistēma (SKLOIS)), un tāpēc informācija par personām uz pasažieru kuģa būtu jāpaziņo vienotajam valsts kontaktpunktam, kas ļautu viegli piekļūt datiem ārkārtas </w:t>
            </w:r>
            <w:r w:rsidRPr="00327197" w:rsidR="00ED3BA6">
              <w:rPr>
                <w:rFonts w:ascii="Times New Roman" w:hAnsi="Times New Roman" w:eastAsia="Times New Roman" w:cs="Times New Roman"/>
                <w:sz w:val="24"/>
                <w:szCs w:val="24"/>
              </w:rPr>
              <w:t>situācijai</w:t>
            </w:r>
            <w:r w:rsidRPr="00327197">
              <w:rPr>
                <w:rFonts w:ascii="Times New Roman" w:hAnsi="Times New Roman" w:eastAsia="Times New Roman" w:cs="Times New Roman"/>
                <w:sz w:val="24"/>
                <w:szCs w:val="24"/>
              </w:rPr>
              <w:t xml:space="preserve"> vai pēc negadījuma, izslēdzot nepieciešamību glabāt informāciju kuģošanas kompāniju pasažieru reģistrācijas sistēmās. Lai dotu pietiekamu laiku, lai vienoto valsts kontaktpunktu papildinātu ar jaunām funkcionalitātēm, ir lietderīgi paredzēt pārejas laiku (proti, līdz 2023. gada 19. decembrim), kurā būtu iespēja </w:t>
            </w:r>
            <w:r w:rsidRPr="00327197">
              <w:rPr>
                <w:rFonts w:ascii="Times New Roman" w:hAnsi="Times New Roman" w:eastAsia="Times New Roman" w:cs="Times New Roman"/>
                <w:sz w:val="24"/>
                <w:szCs w:val="24"/>
              </w:rPr>
              <w:lastRenderedPageBreak/>
              <w:t xml:space="preserve">saglabāt spēkā esošās kuģošanas kompāniju pasažieru </w:t>
            </w:r>
            <w:r w:rsidRPr="00327197" w:rsidR="00ED3BA6">
              <w:rPr>
                <w:rFonts w:ascii="Times New Roman" w:hAnsi="Times New Roman" w:eastAsia="Times New Roman" w:cs="Times New Roman"/>
                <w:sz w:val="24"/>
                <w:szCs w:val="24"/>
              </w:rPr>
              <w:t>reģistratorus</w:t>
            </w:r>
            <w:r w:rsidRPr="00327197">
              <w:rPr>
                <w:rFonts w:ascii="Times New Roman" w:hAnsi="Times New Roman" w:eastAsia="Times New Roman" w:cs="Times New Roman"/>
                <w:sz w:val="24"/>
                <w:szCs w:val="24"/>
              </w:rPr>
              <w:t xml:space="preserve"> vai krastā esošās kuģošanas kompānijas sistēmas, kas pilda tās pašas funkcijas kā reģistrators.</w:t>
            </w:r>
          </w:p>
          <w:p w:rsidRPr="00327197" w:rsidR="00F80FC5" w:rsidP="005562B3" w:rsidRDefault="003A223B" w14:paraId="2EB291D7"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 Lai piederīgajiem sniegtu savlaicīgu un uzticamu informāciju gadījumā, kad ir notikusi ārkā</w:t>
            </w:r>
            <w:r w:rsidRPr="00327197" w:rsidR="00ED3BA6">
              <w:rPr>
                <w:rFonts w:ascii="Times New Roman" w:hAnsi="Times New Roman" w:eastAsia="Times New Roman" w:cs="Times New Roman"/>
                <w:sz w:val="24"/>
                <w:szCs w:val="24"/>
              </w:rPr>
              <w:t>r</w:t>
            </w:r>
            <w:r w:rsidRPr="00327197">
              <w:rPr>
                <w:rFonts w:ascii="Times New Roman" w:hAnsi="Times New Roman" w:eastAsia="Times New Roman" w:cs="Times New Roman"/>
                <w:sz w:val="24"/>
                <w:szCs w:val="24"/>
              </w:rPr>
              <w:t>tas situācija, mazinātu lieku kavēšanos konsulārās palīdzības un citu pakalpojumu sniegšanā un atvieglotu identificēšanas procedūras, tiek precizēts paziņojamās informācijas apjoms, nosakot par obligātu norādīt arī personas pilnu vārdu, personas valstspiederību, kā arī, ja pasažieris vēlas – personas, ar kuru sazināties ārkārtas situācijā, kontakttālruni.</w:t>
            </w:r>
          </w:p>
          <w:p w:rsidRPr="00327197" w:rsidR="00F80FC5" w:rsidP="005562B3" w:rsidRDefault="003A223B" w14:paraId="1391B4FB" w14:textId="03249845">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 Atbilstoši Direktīvai (ES) 2017/2109 tiek precizēt</w:t>
            </w:r>
            <w:r w:rsidRPr="00327197" w:rsidR="00652367">
              <w:rPr>
                <w:rFonts w:ascii="Times New Roman" w:hAnsi="Times New Roman" w:eastAsia="Times New Roman" w:cs="Times New Roman"/>
                <w:sz w:val="24"/>
                <w:szCs w:val="24"/>
              </w:rPr>
              <w:t>s</w:t>
            </w:r>
            <w:r w:rsidRPr="00327197">
              <w:rPr>
                <w:rFonts w:ascii="Times New Roman" w:hAnsi="Times New Roman" w:eastAsia="Times New Roman" w:cs="Times New Roman"/>
                <w:sz w:val="24"/>
                <w:szCs w:val="24"/>
              </w:rPr>
              <w:t xml:space="preserve"> informācija</w:t>
            </w:r>
            <w:r w:rsidRPr="00327197" w:rsidR="00652367">
              <w:rPr>
                <w:rFonts w:ascii="Times New Roman" w:hAnsi="Times New Roman" w:eastAsia="Times New Roman" w:cs="Times New Roman"/>
                <w:sz w:val="24"/>
                <w:szCs w:val="24"/>
              </w:rPr>
              <w:t>s</w:t>
            </w:r>
            <w:r w:rsidRPr="00327197">
              <w:rPr>
                <w:rFonts w:ascii="Times New Roman" w:hAnsi="Times New Roman" w:eastAsia="Times New Roman" w:cs="Times New Roman"/>
                <w:sz w:val="24"/>
                <w:szCs w:val="24"/>
              </w:rPr>
              <w:t>, kura jebkurā gadījumā tiek vākta pirms pasažieru kuģa atiešanas, paziņošanas termiņš, nosakot par pienākumu paziņot uz pasažieru kuģa esošo personu datus</w:t>
            </w:r>
            <w:r w:rsidRPr="00327197" w:rsidR="00652367">
              <w:rPr>
                <w:rFonts w:ascii="Times New Roman" w:hAnsi="Times New Roman" w:eastAsia="Times New Roman" w:cs="Times New Roman"/>
                <w:sz w:val="24"/>
                <w:szCs w:val="24"/>
              </w:rPr>
              <w:t xml:space="preserve"> </w:t>
            </w:r>
            <w:r w:rsidRPr="00327197" w:rsidR="0004593B">
              <w:rPr>
                <w:rFonts w:ascii="Times New Roman" w:hAnsi="Times New Roman" w:eastAsia="Times New Roman" w:cs="Times New Roman"/>
                <w:sz w:val="24"/>
                <w:szCs w:val="24"/>
              </w:rPr>
              <w:t xml:space="preserve">nekavējoties, bet ne vēlāk kā 15 minūtes pēc pasažieru kuģa atiešanas </w:t>
            </w:r>
            <w:r w:rsidRPr="00327197">
              <w:rPr>
                <w:rFonts w:ascii="Times New Roman" w:hAnsi="Times New Roman" w:eastAsia="Times New Roman" w:cs="Times New Roman"/>
                <w:sz w:val="24"/>
                <w:szCs w:val="24"/>
              </w:rPr>
              <w:t>no piestātnes ostā.</w:t>
            </w:r>
          </w:p>
          <w:p w:rsidRPr="00327197" w:rsidR="00F80FC5" w:rsidP="005562B3" w:rsidRDefault="003A223B" w14:paraId="57D8CCC9"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4. </w:t>
            </w:r>
            <w:r w:rsidRPr="00327197">
              <w:rPr>
                <w:rFonts w:ascii="Times New Roman" w:hAnsi="Times New Roman" w:eastAsia="Times New Roman" w:cs="Times New Roman"/>
                <w:sz w:val="24"/>
                <w:szCs w:val="24"/>
              </w:rPr>
              <w:tab/>
              <w:t xml:space="preserve">Ar Direktīvu (ES) 2017/2109 tiek uzlabota juridiskā skaidrība un veicināta konsekvence ar saistītajiem </w:t>
            </w:r>
            <w:r w:rsidRPr="00327197" w:rsidR="008B696E">
              <w:rPr>
                <w:rFonts w:ascii="Times New Roman" w:hAnsi="Times New Roman" w:eastAsia="Times New Roman" w:cs="Times New Roman"/>
                <w:sz w:val="24"/>
                <w:szCs w:val="24"/>
              </w:rPr>
              <w:t xml:space="preserve">Eiropas </w:t>
            </w:r>
            <w:r w:rsidRPr="00327197">
              <w:rPr>
                <w:rFonts w:ascii="Times New Roman" w:hAnsi="Times New Roman" w:eastAsia="Times New Roman" w:cs="Times New Roman"/>
                <w:sz w:val="24"/>
                <w:szCs w:val="24"/>
              </w:rPr>
              <w:t>Savienības tiesību aktiem, kā arī precizēti kuģi, uz kuriem attiecas pienākums paziņot par personām uz pasažieru kuģa. Ar projektu tas tiek pārņemts nacionālajā tiesību aktā.</w:t>
            </w:r>
          </w:p>
          <w:p w:rsidRPr="00327197" w:rsidR="00F80FC5" w:rsidP="005562B3" w:rsidRDefault="003A223B" w14:paraId="33351F6D"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5. Projekts sevī ietver arī noteikumu redakcionālus grozījumus, lai nodrošinātu Direktīvas 98/41/EK vienotu un mērķim atbilstošu izpratni un piemērošanu, p</w:t>
            </w:r>
            <w:r w:rsidRPr="00327197" w:rsidR="00ED3BA6">
              <w:rPr>
                <w:rFonts w:ascii="Times New Roman" w:hAnsi="Times New Roman" w:eastAsia="Times New Roman" w:cs="Times New Roman"/>
                <w:sz w:val="24"/>
                <w:szCs w:val="24"/>
              </w:rPr>
              <w:t>i</w:t>
            </w:r>
            <w:r w:rsidRPr="00327197">
              <w:rPr>
                <w:rFonts w:ascii="Times New Roman" w:hAnsi="Times New Roman" w:eastAsia="Times New Roman" w:cs="Times New Roman"/>
                <w:sz w:val="24"/>
                <w:szCs w:val="24"/>
              </w:rPr>
              <w:t>emēram:</w:t>
            </w:r>
          </w:p>
          <w:p w:rsidRPr="00327197" w:rsidR="00F80FC5" w:rsidP="005562B3" w:rsidRDefault="003A223B" w14:paraId="18035B5D"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a) </w:t>
            </w:r>
            <w:r w:rsidRPr="00327197" w:rsidR="002D13E3">
              <w:rPr>
                <w:rFonts w:ascii="Times New Roman" w:hAnsi="Times New Roman" w:eastAsia="Times New Roman" w:cs="Times New Roman"/>
                <w:sz w:val="24"/>
                <w:szCs w:val="24"/>
              </w:rPr>
              <w:t xml:space="preserve">nosakot, ka </w:t>
            </w:r>
            <w:r w:rsidRPr="00327197">
              <w:rPr>
                <w:rFonts w:ascii="Times New Roman" w:hAnsi="Times New Roman" w:eastAsia="Times New Roman" w:cs="Times New Roman"/>
                <w:sz w:val="24"/>
                <w:szCs w:val="24"/>
              </w:rPr>
              <w:t>noteiktas informācijas paziņošanas pienākums tiešā veidā tiek noteikts attiecībā par visām personām uz pasažieru kuģa, ne tikai pasažieriem;</w:t>
            </w:r>
          </w:p>
          <w:p w:rsidRPr="00327197" w:rsidR="00F80FC5" w:rsidP="005562B3" w:rsidRDefault="003A223B" w14:paraId="53D4AC31"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b) </w:t>
            </w:r>
            <w:r w:rsidRPr="00327197" w:rsidR="002D13E3">
              <w:rPr>
                <w:rFonts w:ascii="Times New Roman" w:hAnsi="Times New Roman" w:eastAsia="Times New Roman" w:cs="Times New Roman"/>
                <w:sz w:val="24"/>
                <w:szCs w:val="24"/>
              </w:rPr>
              <w:t xml:space="preserve">nosakot, ka </w:t>
            </w:r>
            <w:r w:rsidRPr="00327197">
              <w:rPr>
                <w:rFonts w:ascii="Times New Roman" w:hAnsi="Times New Roman" w:eastAsia="Times New Roman" w:cs="Times New Roman"/>
                <w:sz w:val="24"/>
                <w:szCs w:val="24"/>
              </w:rPr>
              <w:t>paziņošanas pienākums gulstas arī uz pasažieru kuģi, kurš kuģo ar valsts, kas nav Eiropas Savienības dalībvalsts, karogu un iziet no ostas, kas atrodas ārpus Eiropas Savienības, un tā reisa nākamā mērķa osta ir osta Latvijā;</w:t>
            </w:r>
          </w:p>
          <w:p w:rsidRPr="00327197" w:rsidR="00F80FC5" w:rsidP="005562B3" w:rsidRDefault="003A223B" w14:paraId="20DEB07D"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c) </w:t>
            </w:r>
            <w:r w:rsidRPr="00327197" w:rsidR="002D13E3">
              <w:rPr>
                <w:rFonts w:ascii="Times New Roman" w:hAnsi="Times New Roman" w:eastAsia="Times New Roman" w:cs="Times New Roman"/>
                <w:sz w:val="24"/>
                <w:szCs w:val="24"/>
              </w:rPr>
              <w:t xml:space="preserve">nosakot, ka </w:t>
            </w:r>
            <w:r w:rsidRPr="00327197">
              <w:rPr>
                <w:rFonts w:ascii="Times New Roman" w:hAnsi="Times New Roman" w:eastAsia="Times New Roman" w:cs="Times New Roman"/>
                <w:sz w:val="24"/>
                <w:szCs w:val="24"/>
              </w:rPr>
              <w:t>kuģošanas kompānija nodrošina informācijas paziņošanu saskaņā ar attiecīgās Eiropas Savienības dalībvalsts tiesību aktiem, kas pārņem Direktīvu 98/41/EK, ja tās pasažieru kuģis, kurš kuģo ar Latvijas karogu, iziet no ostas, kas atrodas ārpus Eiropas Savienības, un tā reisa nākamā mērķa osta ir osta Eiropas Savienībā;</w:t>
            </w:r>
          </w:p>
          <w:p w:rsidRPr="00327197" w:rsidR="00F80FC5" w:rsidP="005562B3" w:rsidRDefault="003A223B" w14:paraId="1A257957"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d) </w:t>
            </w:r>
            <w:r w:rsidRPr="00327197" w:rsidR="002D13E3">
              <w:rPr>
                <w:rFonts w:ascii="Times New Roman" w:hAnsi="Times New Roman" w:eastAsia="Times New Roman" w:cs="Times New Roman"/>
                <w:sz w:val="24"/>
                <w:szCs w:val="24"/>
              </w:rPr>
              <w:t xml:space="preserve">nosakot, ka </w:t>
            </w:r>
            <w:r w:rsidRPr="00327197">
              <w:rPr>
                <w:rFonts w:ascii="Times New Roman" w:hAnsi="Times New Roman" w:eastAsia="Times New Roman" w:cs="Times New Roman"/>
                <w:sz w:val="24"/>
                <w:szCs w:val="24"/>
              </w:rPr>
              <w:t>paziņošanas pienākums gulstas ne tikai, ja pasažieru kuģis atiet no piestātnes Latvijas ostā, lai dotos līdz nākamajai ienākšanas ostai, bet arī, ja pasažieru kuģa reiss sākas un beidzas vienā un tajā pašā Latvijas ostā, jo tas netieši izriet no Direktīvas 98/41/EK 9. panta 2. punkta;</w:t>
            </w:r>
          </w:p>
          <w:p w:rsidRPr="00327197" w:rsidR="003A223B" w:rsidP="005562B3" w:rsidRDefault="003A223B" w14:paraId="2AACAE7C" w14:textId="77777777">
            <w:pPr>
              <w:spacing w:after="0" w:line="240" w:lineRule="auto"/>
              <w:ind w:firstLine="284"/>
              <w:jc w:val="both"/>
              <w:rPr>
                <w:rFonts w:ascii="Times New Roman" w:hAnsi="Times New Roman" w:eastAsia="Times New Roman" w:cs="Times New Roman"/>
                <w:sz w:val="24"/>
                <w:szCs w:val="24"/>
                <w:lang w:bidi="lv-LV"/>
              </w:rPr>
            </w:pPr>
            <w:r w:rsidRPr="00327197">
              <w:rPr>
                <w:rFonts w:ascii="Times New Roman" w:hAnsi="Times New Roman" w:eastAsia="Times New Roman" w:cs="Times New Roman"/>
                <w:sz w:val="24"/>
                <w:szCs w:val="24"/>
              </w:rPr>
              <w:t xml:space="preserve">e) </w:t>
            </w:r>
            <w:r w:rsidRPr="00327197" w:rsidR="00F63EC4">
              <w:rPr>
                <w:rFonts w:ascii="Times New Roman" w:hAnsi="Times New Roman" w:eastAsia="Times New Roman" w:cs="Times New Roman"/>
                <w:sz w:val="24"/>
                <w:szCs w:val="24"/>
              </w:rPr>
              <w:t>svītrojot</w:t>
            </w:r>
            <w:r w:rsidRPr="00327197" w:rsidR="003D7FA4">
              <w:rPr>
                <w:rFonts w:ascii="Times New Roman" w:hAnsi="Times New Roman" w:eastAsia="Times New Roman" w:cs="Times New Roman"/>
                <w:sz w:val="24"/>
                <w:szCs w:val="24"/>
              </w:rPr>
              <w:t xml:space="preserve"> lietoto terminu </w:t>
            </w:r>
            <w:r w:rsidRPr="00327197" w:rsidR="003D7FA4">
              <w:rPr>
                <w:rFonts w:ascii="Times New Roman" w:hAnsi="Times New Roman" w:eastAsia="Times New Roman" w:cs="Times New Roman"/>
                <w:sz w:val="24"/>
                <w:szCs w:val="24"/>
                <w:lang w:bidi="lv-LV"/>
              </w:rPr>
              <w:t xml:space="preserve">"kuģa pasažieru reģistrācijas informācija", </w:t>
            </w:r>
            <w:r w:rsidRPr="00327197" w:rsidR="00F63EC4">
              <w:rPr>
                <w:rFonts w:ascii="Times New Roman" w:hAnsi="Times New Roman" w:eastAsia="Times New Roman" w:cs="Times New Roman"/>
                <w:sz w:val="24"/>
                <w:szCs w:val="24"/>
                <w:lang w:bidi="lv-LV"/>
              </w:rPr>
              <w:t xml:space="preserve">jo tas kļūdaini norāda un </w:t>
            </w:r>
            <w:r w:rsidRPr="00327197" w:rsidR="00F63EC4">
              <w:rPr>
                <w:rFonts w:ascii="Times New Roman" w:hAnsi="Times New Roman" w:eastAsia="Times New Roman" w:cs="Times New Roman"/>
                <w:sz w:val="24"/>
                <w:szCs w:val="24"/>
                <w:lang w:bidi="lv-LV"/>
              </w:rPr>
              <w:lastRenderedPageBreak/>
              <w:t>sasaistās ar informāciju par pasažieru reģistrāciju noteikumu 9.</w:t>
            </w:r>
            <w:r w:rsidRPr="00327197" w:rsidR="00F63EC4">
              <w:rPr>
                <w:rFonts w:ascii="Times New Roman" w:hAnsi="Times New Roman" w:eastAsia="Times New Roman" w:cs="Times New Roman"/>
                <w:sz w:val="24"/>
                <w:szCs w:val="24"/>
                <w:vertAlign w:val="superscript"/>
                <w:lang w:bidi="lv-LV"/>
              </w:rPr>
              <w:t>1</w:t>
            </w:r>
            <w:r w:rsidRPr="00327197" w:rsidR="00F63EC4">
              <w:rPr>
                <w:rFonts w:ascii="Times New Roman" w:hAnsi="Times New Roman" w:eastAsia="Times New Roman" w:cs="Times New Roman"/>
                <w:sz w:val="24"/>
                <w:szCs w:val="24"/>
                <w:lang w:bidi="lv-LV"/>
              </w:rPr>
              <w:t xml:space="preserve"> nodaļas izpratnē, lai gan faktiski ar to tika domāts FAL konvencijas pielikuma 2.7.4. ieteicamajā praksē atrunātais </w:t>
            </w:r>
            <w:r w:rsidRPr="00327197" w:rsidR="003D7FA4">
              <w:rPr>
                <w:rFonts w:ascii="Times New Roman" w:hAnsi="Times New Roman" w:eastAsia="Times New Roman" w:cs="Times New Roman"/>
                <w:sz w:val="24"/>
                <w:szCs w:val="24"/>
                <w:lang w:bidi="lv-LV"/>
              </w:rPr>
              <w:t>kuģa īpašnieka iekšējai lietošanai sagatavot</w:t>
            </w:r>
            <w:r w:rsidRPr="00327197" w:rsidR="00F63EC4">
              <w:rPr>
                <w:rFonts w:ascii="Times New Roman" w:hAnsi="Times New Roman" w:eastAsia="Times New Roman" w:cs="Times New Roman"/>
                <w:sz w:val="24"/>
                <w:szCs w:val="24"/>
                <w:lang w:bidi="lv-LV"/>
              </w:rPr>
              <w:t>ai</w:t>
            </w:r>
            <w:r w:rsidRPr="00327197" w:rsidR="003D7FA4">
              <w:rPr>
                <w:rFonts w:ascii="Times New Roman" w:hAnsi="Times New Roman" w:eastAsia="Times New Roman" w:cs="Times New Roman"/>
                <w:sz w:val="24"/>
                <w:szCs w:val="24"/>
                <w:lang w:bidi="lv-LV"/>
              </w:rPr>
              <w:t>s saraksts.</w:t>
            </w:r>
          </w:p>
          <w:p w:rsidRPr="00327197" w:rsidR="00563507" w:rsidP="00563507" w:rsidRDefault="00563507" w14:paraId="3DAEA782" w14:textId="77777777">
            <w:pPr>
              <w:spacing w:after="0" w:line="240" w:lineRule="auto"/>
              <w:ind w:firstLine="284"/>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Fizisko personu datu apstrāde notiek, pamatojoties uz Eiropas Parlamenta un Padomes 2016. gada 27. aprīļa regulas (ES) 2016/679 par fizisku personu aizsardzību attiecībā uz personas datu apstrādi un šādu datu brīvu apriti un ar ko atceļ direktīvu 95/46/EK (Vispārīgā datu aizsardzības regula) 6. panta 1. punkta d) apakšpunktā minēto datu apstrādes pamatu – apstrāde ir vajadzīga, lai aizsargātu datu subjekta vai citas fiziskas personas vitālas intereses.</w:t>
            </w:r>
          </w:p>
          <w:p w:rsidRPr="00327197" w:rsidR="00563507" w:rsidP="00563507" w:rsidRDefault="00563507" w14:paraId="705D059C" w14:textId="77777777">
            <w:pPr>
              <w:spacing w:after="0" w:line="240" w:lineRule="auto"/>
              <w:ind w:firstLine="284"/>
              <w:jc w:val="both"/>
              <w:rPr>
                <w:rFonts w:ascii="Times New Roman" w:hAnsi="Times New Roman" w:eastAsia="Times New Roman" w:cs="Times New Roman"/>
                <w:bCs/>
                <w:sz w:val="24"/>
                <w:szCs w:val="24"/>
              </w:rPr>
            </w:pPr>
            <w:r w:rsidRPr="00327197">
              <w:rPr>
                <w:rFonts w:ascii="Times New Roman" w:hAnsi="Times New Roman" w:eastAsia="Times New Roman" w:cs="Times New Roman"/>
                <w:sz w:val="24"/>
                <w:szCs w:val="24"/>
              </w:rPr>
              <w:t xml:space="preserve">Šis tiesiskais pamats izriet no Direktīvas </w:t>
            </w:r>
            <w:r w:rsidRPr="00327197">
              <w:rPr>
                <w:rFonts w:ascii="Times New Roman" w:hAnsi="Times New Roman" w:eastAsia="Times New Roman" w:cs="Times New Roman"/>
                <w:bCs/>
                <w:sz w:val="24"/>
                <w:szCs w:val="24"/>
              </w:rPr>
              <w:t>98/41/EK un Direktīvas (ES) 2017/2109 preambulas, kurā ir uzsvērts, ka personām, kas Eiropas Savienībā izmanto pasažieru kuģus un ātrgaitas pasažieru kuģus, ir tiesības saņemt un paļauties, ka saņems attiecīga līmeņa drošību un pienācīgu informācijas sistēmu, kas sekmē meklēšanas un glābšanas darbus un negadījuma seku efektīvu likvidēšanu.</w:t>
            </w:r>
            <w:r w:rsidRPr="00327197">
              <w:rPr>
                <w:rFonts w:ascii="Times New Roman" w:hAnsi="Times New Roman" w:eastAsia="Times New Roman" w:cs="Times New Roman"/>
                <w:sz w:val="24"/>
                <w:szCs w:val="24"/>
              </w:rPr>
              <w:t xml:space="preserve"> </w:t>
            </w:r>
            <w:r w:rsidRPr="00327197">
              <w:rPr>
                <w:rFonts w:ascii="Times New Roman" w:hAnsi="Times New Roman" w:eastAsia="Times New Roman" w:cs="Times New Roman"/>
                <w:bCs/>
                <w:sz w:val="24"/>
                <w:szCs w:val="24"/>
              </w:rPr>
              <w:t>Precīza un laikus pieejama informācija par personu skaitu uz kuģa vai to identitāti ir būtiska meklēšanas un glābšanas operāciju sagatavošanai un efektivitātei.</w:t>
            </w:r>
          </w:p>
          <w:p w:rsidRPr="00327197" w:rsidR="00563507" w:rsidP="00563507" w:rsidRDefault="00563507" w14:paraId="3BAD1447" w14:textId="77777777">
            <w:pPr>
              <w:spacing w:after="0" w:line="240" w:lineRule="auto"/>
              <w:ind w:firstLine="284"/>
              <w:jc w:val="both"/>
              <w:rPr>
                <w:rFonts w:ascii="Times New Roman" w:hAnsi="Times New Roman" w:eastAsia="Times New Roman" w:cs="Times New Roman"/>
                <w:bCs/>
                <w:sz w:val="24"/>
                <w:szCs w:val="24"/>
              </w:rPr>
            </w:pPr>
            <w:r w:rsidRPr="00327197">
              <w:rPr>
                <w:rFonts w:ascii="Times New Roman" w:hAnsi="Times New Roman" w:eastAsia="Times New Roman" w:cs="Times New Roman"/>
                <w:bCs/>
                <w:sz w:val="24"/>
                <w:szCs w:val="24"/>
              </w:rPr>
              <w:t>Ievērojot pārņemamās un ieviešamās Direktīvās (ES) 2017/2109 prasības, projekts un saistītais Ministru kabineta noteikumu projekts "Starptautiskās kravu loģistikas un ostu informācijas sistēmas noteikumi" cita starpā nodrošina apstrādājamo datu veidu, datu subjektu, datu izpaušanas kārtības un mērķu, glabāšanas termiņu un citu prasību atbilstību normatīvajiem aktiem datu aizsardzības jomā.</w:t>
            </w:r>
          </w:p>
          <w:p w:rsidR="0004593B" w:rsidP="00563507" w:rsidRDefault="00563507" w14:paraId="79EFC321" w14:textId="77777777">
            <w:pPr>
              <w:spacing w:after="0" w:line="240" w:lineRule="auto"/>
              <w:ind w:firstLine="284"/>
              <w:jc w:val="both"/>
              <w:rPr>
                <w:rFonts w:ascii="Times New Roman" w:hAnsi="Times New Roman" w:eastAsia="Times New Roman" w:cs="Times New Roman"/>
                <w:bCs/>
                <w:sz w:val="24"/>
                <w:szCs w:val="24"/>
              </w:rPr>
            </w:pPr>
            <w:r w:rsidRPr="00327197">
              <w:rPr>
                <w:rFonts w:ascii="Times New Roman" w:hAnsi="Times New Roman" w:eastAsia="Times New Roman" w:cs="Times New Roman"/>
                <w:bCs/>
                <w:sz w:val="24"/>
                <w:szCs w:val="24"/>
              </w:rPr>
              <w:t>Personas datu apstrādes mērķis ir ārkārtas situācijā vai negadījumā sekmēt meklēšanas un glābšanas darbus, nodrošināt jebkura negadījuma seku likvidēšanu. Ar ārkārtas situāciju vai negadījumu 1979. gada Starptautiskās konvencijas par meklēšanu un glābšanu uz jūras izpratnē būtu jāsaprot stāvoklis, kad personas atrodas briesmās uz jūras. Glābšanas darbi saskaņā ar minēto konvenciju ir operācija, lai izglābtu personas, kuras atrodas briesmās uz jūras, sniegtu tām pirmo medicīnisko vai citu palīdzību un nogādātu tās drošā vietā, tāpēc ar jebkura negadījuma seku likvidēšanu būtu jāsaprot arī turpmāk nepieciešamās palīdzības un aprūpes sniegšana izglābtajām un citām saistītām personām, līdz tiek novērsti draudi  personām, kuri ir jūras negadījuma sekas, piemēram, epidemioloģiskā apdraudējuma novēršana.</w:t>
            </w:r>
          </w:p>
          <w:p w:rsidRPr="0099556F" w:rsidR="0099556F" w:rsidP="0099556F" w:rsidRDefault="0099556F" w14:paraId="7E1DB2EF" w14:textId="639BBB00">
            <w:pPr>
              <w:spacing w:after="0" w:line="240" w:lineRule="auto"/>
              <w:ind w:firstLine="284"/>
              <w:jc w:val="both"/>
              <w:rPr>
                <w:rFonts w:ascii="Times New Roman" w:hAnsi="Times New Roman" w:eastAsia="Times New Roman" w:cs="Times New Roman"/>
                <w:bCs/>
                <w:sz w:val="24"/>
                <w:szCs w:val="24"/>
              </w:rPr>
            </w:pPr>
            <w:r w:rsidRPr="006973A8">
              <w:rPr>
                <w:rFonts w:ascii="Times New Roman" w:hAnsi="Times New Roman" w:eastAsia="Times New Roman" w:cs="Times New Roman"/>
                <w:bCs/>
                <w:sz w:val="24"/>
                <w:szCs w:val="24"/>
              </w:rPr>
              <w:t xml:space="preserve">Papildus iepriekš minētajam kompetentajām iestādēm – Veselības inspekcijai un Slimību profilakses </w:t>
            </w:r>
            <w:r w:rsidRPr="006973A8">
              <w:rPr>
                <w:rFonts w:ascii="Times New Roman" w:hAnsi="Times New Roman" w:eastAsia="Times New Roman" w:cs="Times New Roman"/>
                <w:bCs/>
                <w:sz w:val="24"/>
                <w:szCs w:val="24"/>
              </w:rPr>
              <w:lastRenderedPageBreak/>
              <w:t>un kontroles centram, kuras atbilstoši Ministru kabineta 2010.</w:t>
            </w:r>
            <w:r w:rsidRPr="006973A8" w:rsidR="00436419">
              <w:rPr>
                <w:rFonts w:ascii="Times New Roman" w:hAnsi="Times New Roman" w:eastAsia="Times New Roman" w:cs="Times New Roman"/>
                <w:bCs/>
                <w:sz w:val="24"/>
                <w:szCs w:val="24"/>
              </w:rPr>
              <w:t> </w:t>
            </w:r>
            <w:r w:rsidRPr="006973A8">
              <w:rPr>
                <w:rFonts w:ascii="Times New Roman" w:hAnsi="Times New Roman" w:eastAsia="Times New Roman" w:cs="Times New Roman"/>
                <w:bCs/>
                <w:sz w:val="24"/>
                <w:szCs w:val="24"/>
              </w:rPr>
              <w:t>gada 16.</w:t>
            </w:r>
            <w:r w:rsidRPr="006973A8" w:rsidR="00436419">
              <w:rPr>
                <w:rFonts w:ascii="Times New Roman" w:hAnsi="Times New Roman" w:eastAsia="Times New Roman" w:cs="Times New Roman"/>
                <w:bCs/>
                <w:sz w:val="24"/>
                <w:szCs w:val="24"/>
              </w:rPr>
              <w:t> </w:t>
            </w:r>
            <w:r w:rsidRPr="006973A8">
              <w:rPr>
                <w:rFonts w:ascii="Times New Roman" w:hAnsi="Times New Roman" w:eastAsia="Times New Roman" w:cs="Times New Roman"/>
                <w:bCs/>
                <w:sz w:val="24"/>
                <w:szCs w:val="24"/>
              </w:rPr>
              <w:t>novembra noteikumiem Nr. 1050 “Sabiedrības veselības aizsardzības pasākumu veikšanas kārtība” īsteno reaģēšanas un izmeklēšanas pasākumus sabiedrības veselības apdraudējuma gadījumā,</w:t>
            </w:r>
            <w:r w:rsidR="00DB0D79">
              <w:rPr>
                <w:rFonts w:ascii="Times New Roman" w:hAnsi="Times New Roman" w:eastAsia="Times New Roman" w:cs="Times New Roman"/>
                <w:bCs/>
                <w:sz w:val="24"/>
                <w:szCs w:val="24"/>
              </w:rPr>
              <w:t xml:space="preserve"> -</w:t>
            </w:r>
            <w:bookmarkStart w:name="_GoBack" w:id="0"/>
            <w:bookmarkEnd w:id="0"/>
            <w:r w:rsidRPr="006973A8">
              <w:rPr>
                <w:rFonts w:ascii="Times New Roman" w:hAnsi="Times New Roman" w:eastAsia="Times New Roman" w:cs="Times New Roman"/>
                <w:bCs/>
                <w:sz w:val="24"/>
                <w:szCs w:val="24"/>
              </w:rPr>
              <w:t xml:space="preserve"> normatīvajos aktos noteikto funkciju izpildei </w:t>
            </w:r>
            <w:r w:rsidRPr="006973A8" w:rsidR="00436419">
              <w:rPr>
                <w:rFonts w:ascii="Times New Roman" w:hAnsi="Times New Roman" w:eastAsia="Times New Roman" w:cs="Times New Roman"/>
                <w:bCs/>
                <w:sz w:val="24"/>
                <w:szCs w:val="24"/>
              </w:rPr>
              <w:t xml:space="preserve">ir </w:t>
            </w:r>
            <w:r w:rsidRPr="006973A8">
              <w:rPr>
                <w:rFonts w:ascii="Times New Roman" w:hAnsi="Times New Roman" w:eastAsia="Times New Roman" w:cs="Times New Roman"/>
                <w:bCs/>
                <w:sz w:val="24"/>
                <w:szCs w:val="24"/>
              </w:rPr>
              <w:t xml:space="preserve">nosakāmas piekļuves tiesības Starptautiskajā kravu loģistikas un ostu informācijas sistēmā </w:t>
            </w:r>
            <w:r w:rsidRPr="006973A8" w:rsidR="00A53061">
              <w:rPr>
                <w:rFonts w:ascii="Times New Roman" w:hAnsi="Times New Roman" w:eastAsia="Times New Roman" w:cs="Times New Roman"/>
                <w:bCs/>
                <w:sz w:val="24"/>
                <w:szCs w:val="24"/>
              </w:rPr>
              <w:t xml:space="preserve">(SKLOIS) </w:t>
            </w:r>
            <w:r w:rsidRPr="006973A8">
              <w:rPr>
                <w:rFonts w:ascii="Times New Roman" w:hAnsi="Times New Roman" w:eastAsia="Times New Roman" w:cs="Times New Roman"/>
                <w:bCs/>
                <w:sz w:val="24"/>
                <w:szCs w:val="24"/>
              </w:rPr>
              <w:t>iesniegtajiem apkalpes un pasažieru sarakstiem (</w:t>
            </w:r>
            <w:r w:rsidRPr="006973A8">
              <w:rPr>
                <w:rFonts w:ascii="Times New Roman" w:hAnsi="Times New Roman" w:eastAsia="Times New Roman" w:cs="Times New Roman"/>
                <w:bCs/>
                <w:i/>
                <w:sz w:val="24"/>
                <w:szCs w:val="24"/>
              </w:rPr>
              <w:t>FAL</w:t>
            </w:r>
            <w:r w:rsidRPr="006973A8">
              <w:rPr>
                <w:rFonts w:ascii="Times New Roman" w:hAnsi="Times New Roman" w:eastAsia="Times New Roman" w:cs="Times New Roman"/>
                <w:bCs/>
                <w:sz w:val="24"/>
                <w:szCs w:val="24"/>
              </w:rPr>
              <w:t xml:space="preserve"> 5. un 6. veidlapa) (Ministru kabineta noteikumu projekts "Starptautiskās kravu loģistikas un ostu informācijas sistēmas noteikumi" (VSS-1077)).</w:t>
            </w:r>
          </w:p>
        </w:tc>
      </w:tr>
      <w:tr w:rsidRPr="00327197" w:rsidR="00371557" w:rsidTr="005562B3" w14:paraId="40ED52D6"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9A497A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A5A18FD"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Projekta izstrādē iesaistītās institūcijas un publiskas personas kapitālsabiedrības</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D7D748F"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Satiksmes ministrija un valsts akciju sabiedrība "Latvijas Jūras administrācija"</w:t>
            </w:r>
            <w:r w:rsidRPr="00327197" w:rsidR="00B907D4">
              <w:rPr>
                <w:rFonts w:ascii="Times New Roman" w:hAnsi="Times New Roman" w:eastAsia="Times New Roman" w:cs="Times New Roman"/>
                <w:sz w:val="24"/>
                <w:szCs w:val="24"/>
              </w:rPr>
              <w:t>.</w:t>
            </w:r>
          </w:p>
        </w:tc>
      </w:tr>
      <w:tr w:rsidRPr="00327197" w:rsidR="00371557" w:rsidTr="005562B3" w14:paraId="578F6EBC"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B8FC11E"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4.</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4F092E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C3FD30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w:t>
            </w:r>
            <w:r w:rsidRPr="00327197" w:rsidR="00B907D4">
              <w:rPr>
                <w:rFonts w:ascii="Times New Roman" w:hAnsi="Times New Roman" w:eastAsia="Times New Roman" w:cs="Times New Roman"/>
                <w:sz w:val="24"/>
                <w:szCs w:val="24"/>
              </w:rPr>
              <w:t>.</w:t>
            </w:r>
          </w:p>
        </w:tc>
      </w:tr>
    </w:tbl>
    <w:p w:rsidRPr="00327197" w:rsidR="00F80FC5" w:rsidRDefault="003A223B" w14:paraId="34980F2B"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w:t>
      </w: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327197" w:rsidR="00371557" w:rsidTr="005562B3" w14:paraId="0D496B96"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88ABB8A" w14:textId="77777777">
            <w:pPr>
              <w:spacing w:after="0" w:line="240" w:lineRule="auto"/>
              <w:jc w:val="center"/>
              <w:rPr>
                <w:rFonts w:ascii="Times New Roman" w:hAnsi="Times New Roman" w:eastAsia="Times New Roman" w:cs="Times New Roman"/>
                <w:b/>
                <w:sz w:val="24"/>
                <w:szCs w:val="24"/>
              </w:rPr>
            </w:pPr>
            <w:r w:rsidRPr="00327197">
              <w:rPr>
                <w:rFonts w:ascii="Times New Roman" w:hAnsi="Times New Roman" w:eastAsia="Times New Roman" w:cs="Times New Roman"/>
                <w:b/>
                <w:sz w:val="24"/>
                <w:szCs w:val="24"/>
              </w:rPr>
              <w:t>II. Tiesību akta projekta ietekme uz sabiedrību, tautsaimniecības attīstību un administratīvo slogu</w:t>
            </w:r>
          </w:p>
        </w:tc>
      </w:tr>
      <w:tr w:rsidRPr="00327197" w:rsidR="00371557" w:rsidTr="005562B3" w14:paraId="4C4CBEE5"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4B113C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850EC0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Sabiedrības mērķgrupas, kura</w:t>
            </w:r>
            <w:r w:rsidRPr="00327197" w:rsidR="003D7FA4">
              <w:rPr>
                <w:rFonts w:ascii="Times New Roman" w:hAnsi="Times New Roman" w:eastAsia="Times New Roman" w:cs="Times New Roman"/>
                <w:sz w:val="24"/>
                <w:szCs w:val="24"/>
              </w:rPr>
              <w:t xml:space="preserve">s tiesiskais regulējums ietekmē </w:t>
            </w:r>
            <w:r w:rsidRPr="00327197">
              <w:rPr>
                <w:rFonts w:ascii="Times New Roman" w:hAnsi="Times New Roman" w:eastAsia="Times New Roman" w:cs="Times New Roman"/>
                <w:sz w:val="24"/>
                <w:szCs w:val="24"/>
              </w:rPr>
              <w:t>vai varētu ietekmēt</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37A77A5"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Projekta tiesiskais regulējums attiecas uz pasažieru kuģu īpašniekiem vai citām juridiskām vai fiziskām personām (piemēram, pārvaldnieks vai berbouta fraktētājs), kuras no pasažieru kuģa īpašnieka ir pārņēmušas ar kuģa ekspluatāciju saistītos pienākumus un atbildību.</w:t>
            </w:r>
          </w:p>
        </w:tc>
      </w:tr>
      <w:tr w:rsidRPr="00327197" w:rsidR="00371557" w:rsidTr="005562B3" w14:paraId="4792DBFF"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7443BBF"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FB4DF1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Tiesiskā regulējuma ietekme uz tautsaimniecību un administratīvo slogu</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E1556C" w:rsidRDefault="009217DD" w14:paraId="68DF1A85"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w:t>
            </w:r>
            <w:r w:rsidRPr="00327197" w:rsidR="003A223B">
              <w:rPr>
                <w:rFonts w:ascii="Times New Roman" w:hAnsi="Times New Roman" w:eastAsia="Times New Roman" w:cs="Times New Roman"/>
                <w:sz w:val="24"/>
                <w:szCs w:val="24"/>
              </w:rPr>
              <w:t>Projekt</w:t>
            </w:r>
            <w:r w:rsidRPr="00327197" w:rsidR="00E1556C">
              <w:rPr>
                <w:rFonts w:ascii="Times New Roman" w:hAnsi="Times New Roman" w:eastAsia="Times New Roman" w:cs="Times New Roman"/>
                <w:sz w:val="24"/>
                <w:szCs w:val="24"/>
              </w:rPr>
              <w:t>s</w:t>
            </w:r>
            <w:r w:rsidRPr="00327197" w:rsidR="003A223B">
              <w:rPr>
                <w:rFonts w:ascii="Times New Roman" w:hAnsi="Times New Roman" w:eastAsia="Times New Roman" w:cs="Times New Roman"/>
                <w:sz w:val="24"/>
                <w:szCs w:val="24"/>
              </w:rPr>
              <w:t xml:space="preserve"> n</w:t>
            </w:r>
            <w:r w:rsidRPr="00327197" w:rsidR="00E1556C">
              <w:rPr>
                <w:rFonts w:ascii="Times New Roman" w:hAnsi="Times New Roman" w:eastAsia="Times New Roman" w:cs="Times New Roman"/>
                <w:sz w:val="24"/>
                <w:szCs w:val="24"/>
              </w:rPr>
              <w:t xml:space="preserve">ebūtiski palielinās </w:t>
            </w:r>
            <w:r w:rsidRPr="00327197" w:rsidR="003A223B">
              <w:rPr>
                <w:rFonts w:ascii="Times New Roman" w:hAnsi="Times New Roman" w:eastAsia="Times New Roman" w:cs="Times New Roman"/>
                <w:sz w:val="24"/>
                <w:szCs w:val="24"/>
              </w:rPr>
              <w:t>administratīvo slogu</w:t>
            </w:r>
            <w:r w:rsidRPr="00327197" w:rsidR="00E1556C">
              <w:rPr>
                <w:rFonts w:ascii="Times New Roman" w:hAnsi="Times New Roman" w:eastAsia="Times New Roman" w:cs="Times New Roman"/>
                <w:sz w:val="24"/>
                <w:szCs w:val="24"/>
              </w:rPr>
              <w:t xml:space="preserve"> </w:t>
            </w:r>
            <w:r w:rsidRPr="00327197">
              <w:rPr>
                <w:rFonts w:ascii="Times New Roman" w:hAnsi="Times New Roman" w:eastAsia="Times New Roman" w:cs="Times New Roman"/>
                <w:sz w:val="24"/>
                <w:szCs w:val="24"/>
              </w:rPr>
              <w:t xml:space="preserve">kuģošanas kompānijām – </w:t>
            </w:r>
            <w:r w:rsidRPr="00327197" w:rsidR="00E1556C">
              <w:rPr>
                <w:rFonts w:ascii="Times New Roman" w:hAnsi="Times New Roman" w:eastAsia="Times New Roman" w:cs="Times New Roman"/>
                <w:sz w:val="24"/>
                <w:szCs w:val="24"/>
              </w:rPr>
              <w:t>pasažieru kuģu īpašniekiem vai citām juridiskām vai fiziskām personām (piemēram, pārvaldnieks vai berbouta fraktētājs), kuras no pasažieru kuģa īpašnieka ir pārņēmušas ar kuģa ekspluatāciju saistītos pienākumus un atbildību</w:t>
            </w:r>
            <w:r w:rsidRPr="00327197">
              <w:rPr>
                <w:rFonts w:ascii="Times New Roman" w:hAnsi="Times New Roman" w:eastAsia="Times New Roman" w:cs="Times New Roman"/>
                <w:sz w:val="24"/>
                <w:szCs w:val="24"/>
              </w:rPr>
              <w:t>, par cik</w:t>
            </w:r>
            <w:r w:rsidRPr="00327197" w:rsidR="003A223B">
              <w:rPr>
                <w:rFonts w:ascii="Times New Roman" w:hAnsi="Times New Roman" w:eastAsia="Times New Roman" w:cs="Times New Roman"/>
                <w:sz w:val="24"/>
                <w:szCs w:val="24"/>
              </w:rPr>
              <w:t xml:space="preserve"> jau šobrīd </w:t>
            </w:r>
            <w:r w:rsidRPr="00327197" w:rsidR="00E1556C">
              <w:rPr>
                <w:rFonts w:ascii="Times New Roman" w:hAnsi="Times New Roman" w:eastAsia="Times New Roman" w:cs="Times New Roman"/>
                <w:sz w:val="24"/>
                <w:szCs w:val="24"/>
              </w:rPr>
              <w:t xml:space="preserve">kuģošanas kompānijām ir ieviesta pasažieru reģistrācijas sistēma un </w:t>
            </w:r>
            <w:r w:rsidRPr="00327197" w:rsidR="003A223B">
              <w:rPr>
                <w:rFonts w:ascii="Times New Roman" w:hAnsi="Times New Roman" w:eastAsia="Times New Roman" w:cs="Times New Roman"/>
                <w:sz w:val="24"/>
                <w:szCs w:val="24"/>
              </w:rPr>
              <w:t>pastāv tiesisks pienākums uzskaitīt un paziņot informāciju par personām uz pasažieru kuģa</w:t>
            </w:r>
            <w:r w:rsidRPr="00327197" w:rsidR="00E1556C">
              <w:rPr>
                <w:rFonts w:ascii="Times New Roman" w:hAnsi="Times New Roman" w:eastAsia="Times New Roman" w:cs="Times New Roman"/>
                <w:sz w:val="24"/>
                <w:szCs w:val="24"/>
              </w:rPr>
              <w:t>, tostarp izpildot arī citas ostas formalitātes (piemēram, paz</w:t>
            </w:r>
            <w:r w:rsidRPr="00327197" w:rsidR="00E1556C">
              <w:rPr>
                <w:rFonts w:ascii="Times New Roman" w:hAnsi="Times New Roman" w:eastAsia="Times New Roman" w:cs="Times New Roman"/>
                <w:bCs/>
                <w:sz w:val="24"/>
                <w:szCs w:val="24"/>
              </w:rPr>
              <w:t>iņošanu saskaņā ar </w:t>
            </w:r>
            <w:r w:rsidRPr="00327197" w:rsidR="00E1556C">
              <w:rPr>
                <w:rFonts w:ascii="Times New Roman" w:hAnsi="Times New Roman" w:eastAsia="Times New Roman" w:cs="Times New Roman"/>
                <w:bCs/>
                <w:i/>
                <w:iCs/>
                <w:sz w:val="24"/>
                <w:szCs w:val="24"/>
              </w:rPr>
              <w:t>FAL</w:t>
            </w:r>
            <w:r w:rsidRPr="00327197" w:rsidR="00E1556C">
              <w:rPr>
                <w:rFonts w:ascii="Times New Roman" w:hAnsi="Times New Roman" w:eastAsia="Times New Roman" w:cs="Times New Roman"/>
                <w:bCs/>
                <w:sz w:val="24"/>
                <w:szCs w:val="24"/>
              </w:rPr>
              <w:t> konvenciju)</w:t>
            </w:r>
            <w:r w:rsidRPr="00327197" w:rsidR="003A223B">
              <w:rPr>
                <w:rFonts w:ascii="Times New Roman" w:hAnsi="Times New Roman" w:eastAsia="Times New Roman" w:cs="Times New Roman"/>
                <w:sz w:val="24"/>
                <w:szCs w:val="24"/>
              </w:rPr>
              <w:t>.</w:t>
            </w:r>
          </w:p>
          <w:p w:rsidRPr="00327197" w:rsidR="00E1556C" w:rsidP="009217DD" w:rsidRDefault="009217DD" w14:paraId="52093DC0"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w:t>
            </w:r>
            <w:r w:rsidRPr="00327197" w:rsidR="00E1556C">
              <w:rPr>
                <w:rFonts w:ascii="Times New Roman" w:hAnsi="Times New Roman" w:eastAsia="Times New Roman" w:cs="Times New Roman"/>
                <w:sz w:val="24"/>
                <w:szCs w:val="24"/>
              </w:rPr>
              <w:t xml:space="preserve">Administratīvā sloga nebūtiska palielināšanās ir saistīta ar papildus datu apstrādi, kas skar pasažiera tiesības paziņot personas, ar kuru sazināties ārkārtas situācijā, kontakttālruni, un </w:t>
            </w:r>
            <w:r w:rsidRPr="00327197">
              <w:rPr>
                <w:rFonts w:ascii="Times New Roman" w:hAnsi="Times New Roman" w:eastAsia="Times New Roman" w:cs="Times New Roman"/>
                <w:sz w:val="24"/>
                <w:szCs w:val="24"/>
              </w:rPr>
              <w:t>atkarībā no tā</w:t>
            </w:r>
            <w:r w:rsidRPr="00327197" w:rsidR="00E1556C">
              <w:rPr>
                <w:rFonts w:ascii="Times New Roman" w:hAnsi="Times New Roman" w:eastAsia="Times New Roman" w:cs="Times New Roman"/>
                <w:sz w:val="24"/>
                <w:szCs w:val="24"/>
              </w:rPr>
              <w:t>, vai pasažieru kuģa reiss ir droši noslēdzies, izdarīt atbilstošas atzīmes sistēmā.</w:t>
            </w:r>
            <w:r w:rsidRPr="00327197">
              <w:rPr>
                <w:rFonts w:ascii="Times New Roman" w:hAnsi="Times New Roman" w:eastAsia="Times New Roman" w:cs="Times New Roman"/>
                <w:sz w:val="24"/>
                <w:szCs w:val="24"/>
              </w:rPr>
              <w:t xml:space="preserve"> Jau šobrīd no Direktīvas 98/41/EK 8. panta izriet pienākums glabāt personas datus</w:t>
            </w:r>
            <w:r w:rsidRPr="00327197">
              <w:rPr>
                <w:rFonts w:hint="eastAsia" w:ascii="Arial Unicode MS" w:hAnsi="Arial Unicode MS" w:eastAsia="Arial Unicode MS" w:cs="Arial Unicode MS"/>
                <w:color w:val="000000"/>
                <w:sz w:val="24"/>
                <w:szCs w:val="24"/>
              </w:rPr>
              <w:t xml:space="preserve"> </w:t>
            </w:r>
            <w:r w:rsidRPr="00327197">
              <w:rPr>
                <w:rFonts w:hint="eastAsia" w:ascii="Times New Roman" w:hAnsi="Times New Roman" w:eastAsia="Times New Roman" w:cs="Times New Roman"/>
                <w:sz w:val="24"/>
                <w:szCs w:val="24"/>
              </w:rPr>
              <w:t>tik ilgi, cik tas ir vajadzīgs šīs direktīvas nolūkiem</w:t>
            </w:r>
            <w:r w:rsidRPr="00327197">
              <w:rPr>
                <w:rFonts w:ascii="Times New Roman" w:hAnsi="Times New Roman" w:eastAsia="Times New Roman" w:cs="Times New Roman"/>
                <w:sz w:val="24"/>
                <w:szCs w:val="24"/>
              </w:rPr>
              <w:t>, un attiecīgi sekot līdzi, vai pasažieru kuģa reiss ir droši noslēdzies.</w:t>
            </w:r>
          </w:p>
        </w:tc>
      </w:tr>
      <w:tr w:rsidRPr="00327197" w:rsidR="00371557" w:rsidTr="005562B3" w14:paraId="58F8B78B"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80E990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311A81E"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Administratīvo izmaksu monetārs novērtējums</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76B4311"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Projekts šo jomu neskar</w:t>
            </w:r>
            <w:r w:rsidRPr="00327197" w:rsidR="00B907D4">
              <w:rPr>
                <w:rFonts w:ascii="Times New Roman" w:hAnsi="Times New Roman" w:eastAsia="Times New Roman" w:cs="Times New Roman"/>
                <w:sz w:val="24"/>
                <w:szCs w:val="24"/>
              </w:rPr>
              <w:t>.</w:t>
            </w:r>
          </w:p>
        </w:tc>
      </w:tr>
      <w:tr w:rsidRPr="00327197" w:rsidR="00371557" w:rsidTr="005562B3" w14:paraId="7615D119"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8A63D91"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4.</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C94B6FE"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Atbilstības izmaksu monetārs novērtējums</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03D2DE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Projekts šo jomu neskar</w:t>
            </w:r>
            <w:r w:rsidRPr="00327197" w:rsidR="00B907D4">
              <w:rPr>
                <w:rFonts w:ascii="Times New Roman" w:hAnsi="Times New Roman" w:eastAsia="Times New Roman" w:cs="Times New Roman"/>
                <w:sz w:val="24"/>
                <w:szCs w:val="24"/>
              </w:rPr>
              <w:t>.</w:t>
            </w:r>
          </w:p>
        </w:tc>
      </w:tr>
      <w:tr w:rsidRPr="00327197" w:rsidR="00371557" w:rsidTr="005562B3" w14:paraId="7A0F0E28"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E03AD7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5.</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E233C3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8C9355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w:t>
            </w:r>
            <w:r w:rsidRPr="00327197" w:rsidR="00B907D4">
              <w:rPr>
                <w:rFonts w:ascii="Times New Roman" w:hAnsi="Times New Roman" w:eastAsia="Times New Roman" w:cs="Times New Roman"/>
                <w:sz w:val="24"/>
                <w:szCs w:val="24"/>
              </w:rPr>
              <w:t>.</w:t>
            </w:r>
          </w:p>
        </w:tc>
      </w:tr>
    </w:tbl>
    <w:p w:rsidRPr="00327197" w:rsidR="00F80FC5" w:rsidRDefault="003A223B" w14:paraId="2E9F1B6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w:t>
      </w: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1791"/>
        <w:gridCol w:w="960"/>
        <w:gridCol w:w="1064"/>
        <w:gridCol w:w="997"/>
        <w:gridCol w:w="1134"/>
        <w:gridCol w:w="850"/>
        <w:gridCol w:w="1134"/>
        <w:gridCol w:w="1125"/>
      </w:tblGrid>
      <w:tr w:rsidRPr="00327197" w:rsidR="00371557" w:rsidTr="005562B3" w14:paraId="5DC970C0" w14:textId="77777777">
        <w:tc>
          <w:tcPr>
            <w:tcW w:w="9055" w:type="dxa"/>
            <w:gridSpan w:val="8"/>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8EB1676" w14:textId="77777777">
            <w:pPr>
              <w:spacing w:after="0" w:line="240" w:lineRule="auto"/>
              <w:jc w:val="center"/>
              <w:rPr>
                <w:rFonts w:ascii="Times New Roman" w:hAnsi="Times New Roman" w:eastAsia="Times New Roman" w:cs="Times New Roman"/>
                <w:b/>
                <w:sz w:val="24"/>
                <w:szCs w:val="24"/>
              </w:rPr>
            </w:pPr>
            <w:r w:rsidRPr="00327197">
              <w:rPr>
                <w:rFonts w:ascii="Times New Roman" w:hAnsi="Times New Roman" w:eastAsia="Times New Roman" w:cs="Times New Roman"/>
                <w:b/>
                <w:sz w:val="24"/>
                <w:szCs w:val="24"/>
              </w:rPr>
              <w:t>III. Tiesību akta projekta ietekme uz valsts budžetu un pašvaldību budžetiem</w:t>
            </w:r>
          </w:p>
        </w:tc>
      </w:tr>
      <w:tr w:rsidRPr="00327197" w:rsidR="00371557" w:rsidTr="005562B3" w14:paraId="5A179C5A" w14:textId="77777777">
        <w:tc>
          <w:tcPr>
            <w:tcW w:w="179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3F7655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Rādītāji</w:t>
            </w:r>
          </w:p>
        </w:tc>
        <w:tc>
          <w:tcPr>
            <w:tcW w:w="2024" w:type="dxa"/>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4F6C007"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2019</w:t>
            </w:r>
            <w:r w:rsidRPr="00327197" w:rsidR="0026450F">
              <w:rPr>
                <w:rFonts w:ascii="Times New Roman" w:hAnsi="Times New Roman" w:eastAsia="Times New Roman" w:cs="Times New Roman"/>
                <w:sz w:val="24"/>
                <w:szCs w:val="24"/>
              </w:rPr>
              <w:t>. gads</w:t>
            </w:r>
          </w:p>
        </w:tc>
        <w:tc>
          <w:tcPr>
            <w:tcW w:w="5240"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93179B9"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Turpmākie trīs gadi (</w:t>
            </w:r>
            <w:r w:rsidRPr="00327197">
              <w:rPr>
                <w:rFonts w:ascii="Times New Roman" w:hAnsi="Times New Roman" w:eastAsia="Times New Roman" w:cs="Times New Roman"/>
                <w:i/>
                <w:sz w:val="24"/>
                <w:szCs w:val="24"/>
              </w:rPr>
              <w:t>euro</w:t>
            </w:r>
            <w:r w:rsidRPr="00327197">
              <w:rPr>
                <w:rFonts w:ascii="Times New Roman" w:hAnsi="Times New Roman" w:eastAsia="Times New Roman" w:cs="Times New Roman"/>
                <w:sz w:val="24"/>
                <w:szCs w:val="24"/>
              </w:rPr>
              <w:t>)</w:t>
            </w:r>
          </w:p>
        </w:tc>
      </w:tr>
      <w:tr w:rsidRPr="00327197" w:rsidR="00371557" w:rsidTr="005562B3" w14:paraId="0E22E52B" w14:textId="77777777">
        <w:tc>
          <w:tcPr>
            <w:tcW w:w="1791"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56D602FC"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2024" w:type="dxa"/>
            <w:gridSpan w:val="2"/>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6B3D52AA"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2131"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A992AC9"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2020</w:t>
            </w:r>
            <w:r w:rsidRPr="00327197" w:rsidR="0026450F">
              <w:rPr>
                <w:rFonts w:ascii="Times New Roman" w:hAnsi="Times New Roman" w:eastAsia="Times New Roman" w:cs="Times New Roman"/>
                <w:sz w:val="24"/>
                <w:szCs w:val="24"/>
              </w:rPr>
              <w:t>. gads</w:t>
            </w:r>
          </w:p>
        </w:tc>
        <w:tc>
          <w:tcPr>
            <w:tcW w:w="1984"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10B3191"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2021</w:t>
            </w:r>
            <w:r w:rsidRPr="00327197" w:rsidR="0026450F">
              <w:rPr>
                <w:rFonts w:ascii="Times New Roman" w:hAnsi="Times New Roman" w:eastAsia="Times New Roman" w:cs="Times New Roman"/>
                <w:sz w:val="24"/>
                <w:szCs w:val="24"/>
              </w:rPr>
              <w:t>. gads</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5796BA2"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2022</w:t>
            </w:r>
            <w:r w:rsidRPr="00327197" w:rsidR="0026450F">
              <w:rPr>
                <w:rFonts w:ascii="Times New Roman" w:hAnsi="Times New Roman" w:eastAsia="Times New Roman" w:cs="Times New Roman"/>
                <w:sz w:val="24"/>
                <w:szCs w:val="24"/>
              </w:rPr>
              <w:t>. gads</w:t>
            </w:r>
          </w:p>
        </w:tc>
      </w:tr>
      <w:tr w:rsidRPr="00327197" w:rsidR="00371557" w:rsidTr="005562B3" w14:paraId="6954B3D0" w14:textId="77777777">
        <w:tc>
          <w:tcPr>
            <w:tcW w:w="1791"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6BBE68C0"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2C58E8E"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saskaņā ar valsts budžetu kārtējam gadam</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FFA9A5A"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izmaiņas kārtējā gadā, salīdzinot ar valsts budžetu kārtējam gadam</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C005472"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saskaņā ar vidēja termiņa budžeta ietvaru</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0A71CD" w:rsidRDefault="003A223B" w14:paraId="33B4A3F5"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izmaiņas, salīdzinot ar </w:t>
            </w:r>
            <w:r w:rsidRPr="00327197" w:rsidR="000A71CD">
              <w:rPr>
                <w:rFonts w:ascii="Times New Roman" w:hAnsi="Times New Roman" w:eastAsia="Times New Roman" w:cs="Times New Roman"/>
                <w:sz w:val="24"/>
                <w:szCs w:val="24"/>
              </w:rPr>
              <w:t xml:space="preserve">vidēja termiņa budžeta ietvaru 2020. </w:t>
            </w:r>
            <w:r w:rsidRPr="00327197">
              <w:rPr>
                <w:rFonts w:ascii="Times New Roman" w:hAnsi="Times New Roman" w:eastAsia="Times New Roman" w:cs="Times New Roman"/>
                <w:sz w:val="24"/>
                <w:szCs w:val="24"/>
              </w:rPr>
              <w:t>gadam</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402C24D"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saskaņā ar vidēja termiņa budžeta ietvaru</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0A71CD" w:rsidRDefault="003A223B" w14:paraId="68E4C4B5"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izmaiņas, salīdzinot ar vidēja termiņa budžeta ietvaru </w:t>
            </w:r>
            <w:r w:rsidRPr="00327197" w:rsidR="000A71CD">
              <w:rPr>
                <w:rFonts w:ascii="Times New Roman" w:hAnsi="Times New Roman" w:eastAsia="Times New Roman" w:cs="Times New Roman"/>
                <w:sz w:val="24"/>
                <w:szCs w:val="24"/>
              </w:rPr>
              <w:t>2021.</w:t>
            </w:r>
            <w:r w:rsidRPr="00327197">
              <w:rPr>
                <w:rFonts w:ascii="Times New Roman" w:hAnsi="Times New Roman" w:eastAsia="Times New Roman" w:cs="Times New Roman"/>
                <w:sz w:val="24"/>
                <w:szCs w:val="24"/>
              </w:rPr>
              <w:t xml:space="preserve"> gadam</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B5B518F"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izmaiņas, salīdzinot ar vidēja termiņa budžeta ietvaru </w:t>
            </w:r>
            <w:r w:rsidRPr="00327197" w:rsidR="000A71CD">
              <w:rPr>
                <w:rFonts w:ascii="Times New Roman" w:hAnsi="Times New Roman" w:eastAsia="Times New Roman" w:cs="Times New Roman"/>
                <w:sz w:val="24"/>
                <w:szCs w:val="24"/>
              </w:rPr>
              <w:t xml:space="preserve">2021. </w:t>
            </w:r>
            <w:r w:rsidRPr="00327197">
              <w:rPr>
                <w:rFonts w:ascii="Times New Roman" w:hAnsi="Times New Roman" w:eastAsia="Times New Roman" w:cs="Times New Roman"/>
                <w:sz w:val="24"/>
                <w:szCs w:val="24"/>
              </w:rPr>
              <w:t>gadam</w:t>
            </w:r>
          </w:p>
        </w:tc>
      </w:tr>
      <w:tr w:rsidRPr="00327197" w:rsidR="00371557" w:rsidTr="005562B3" w14:paraId="6BDA08FF"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1831CBC"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DF240E5"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1B080E8"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B4E3DD1"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4</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3A6463B"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5</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CE10DF6"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6</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0E18FFB"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7</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85D3C2B"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8</w:t>
            </w:r>
          </w:p>
        </w:tc>
      </w:tr>
      <w:tr w:rsidRPr="00327197" w:rsidR="00371557" w:rsidTr="005562B3" w14:paraId="78765E75"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698148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Budžeta ieņēmumi</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35741B3"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58049A4"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595FBB6"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5E63482"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B792C54"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2A668D5"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51096CF"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r>
      <w:tr w:rsidRPr="00327197" w:rsidR="00371557" w:rsidTr="005562B3" w14:paraId="378A4CAB"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012B7D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1.1. valsts pamatbudžets, tai skaitā ieņēmumi no maksas pakalpojumiem un citi pašu ieņēmumi</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923D7BA"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F17B099"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ADE8FA3"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7392094"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5A3A8BB"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28CD50A"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FD5C8EF"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r>
      <w:tr w:rsidRPr="00327197" w:rsidR="00371557" w:rsidTr="005562B3" w14:paraId="1FDBBBA7"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FAC1FC6"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1.2. valsts speciālais 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94BDF1A"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EBA98B4"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780E3F8"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6B66BE0"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F552E7D"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1E56181"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7DA6183"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r>
      <w:tr w:rsidRPr="00327197" w:rsidR="00371557" w:rsidTr="005562B3" w14:paraId="7510EAB2"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BBAC01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1.3. pašvaldību 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6675A8A"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6093E77"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BAE4F5F"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927B7D2"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3C3B1A0"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5824C20"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2AF2AFC"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r>
      <w:tr w:rsidRPr="00327197" w:rsidR="00371557" w:rsidTr="005562B3" w14:paraId="70B8A6F9"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508B71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 Budžeta izdevumi</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A657E2B"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2A61F07"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15E1D" w14:paraId="3A00F622"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15E1D" w14:paraId="51EF3EBC"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2468E9B"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7D9C81E"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8DF11C0"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r>
      <w:tr w:rsidRPr="00327197" w:rsidR="00371557" w:rsidTr="005562B3" w14:paraId="76A2AC0D"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6EA8F7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2.1. valsts pamatbudžets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F8E0552"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66EECD6"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15E1D" w14:paraId="0880A39D"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15E1D" w14:paraId="4A1177A8"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r w:rsidRPr="00327197" w:rsidR="003A223B">
              <w:rPr>
                <w:rFonts w:ascii="Times New Roman" w:hAnsi="Times New Roman" w:eastAsia="Times New Roman" w:cs="Times New Roman"/>
                <w:sz w:val="24"/>
                <w:szCs w:val="24"/>
              </w:rPr>
              <w:t>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B2835A9"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09F4EC3"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A9D7BCA"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r>
      <w:tr w:rsidRPr="00327197" w:rsidR="00371557" w:rsidTr="005562B3" w14:paraId="2323699C"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9AF6D5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2.2. valsts speciālais 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A02EEA3"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D89ADFF"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5E4CDC1"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5B62ED7"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92FE41E"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D4F3008"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1F29AA5"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r>
      <w:tr w:rsidRPr="00327197" w:rsidR="00371557" w:rsidTr="005562B3" w14:paraId="60A91493"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0974BF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2.3. pašvaldību 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749B803"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2254C45"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BEBAC3D"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B3B6A56"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16B5EB4"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F1CE3B9"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2592338"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r>
      <w:tr w:rsidRPr="00327197" w:rsidR="00371557" w:rsidTr="005562B3" w14:paraId="76F06B6A"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18747B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 Finansiālā ietekme</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DD6D1B4"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537D642"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15E1D" w14:paraId="0A238316"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15E1D" w14:paraId="0F68A60E"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CB7305E"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AC75259"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BAF161F"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r>
      <w:tr w:rsidRPr="00327197" w:rsidR="00371557" w:rsidTr="005562B3" w14:paraId="61145A5A"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055BEA4"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3.1. valsts pamatbudžets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47F5A3D"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4B5CCFF"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15E1D" w14:paraId="5D863E02"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15E1D" w14:paraId="0205B7BC"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30665514"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0DAB96E"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208A7A6"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r>
      <w:tr w:rsidRPr="00327197" w:rsidR="00371557" w:rsidTr="005562B3" w14:paraId="76D5AB48"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4DB20B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3.2. speciālais 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583B7AB"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92A001F"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B539FC6"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22521BC"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58BE29F"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2819F83"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1D155CF"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r>
      <w:tr w:rsidRPr="00327197" w:rsidR="00371557" w:rsidTr="005562B3" w14:paraId="19C136F3"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E18D52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3.3. pašvaldību 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9B52317"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50FE393"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D9A5D69"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5FE6B47"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C662603"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5CD02CD"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4F157C6"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r>
      <w:tr w:rsidRPr="00327197" w:rsidR="00371557" w:rsidTr="005562B3" w14:paraId="42DA19BC"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465D0F6"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4. Finanšu līdzekļi papildu izdevumu finansēšanai (kompensējošu izdevumu samazinājumu norāda ar "+" zīmi)</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10E282F"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X</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7288377"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84857C0"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X</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A5B53B2"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CA6795A"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X</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98A598C"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B9A2068"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r>
      <w:tr w:rsidRPr="00327197" w:rsidR="00371557" w:rsidTr="005562B3" w14:paraId="7CEB1A41"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41A26F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5. Precizēta finansiālā ietekme</w:t>
            </w:r>
          </w:p>
        </w:tc>
        <w:tc>
          <w:tcPr>
            <w:tcW w:w="96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3A560AF4"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F80FC5" w14:paraId="11EF0D15"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F80FC5" w14:paraId="1AD59B53"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F80FC5" w14:paraId="0FB47794"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F80FC5" w14:paraId="195C13A1"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3A223B" w14:paraId="7C69B710"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X</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EA0EE20"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99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7EDC31A4"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F80FC5" w14:paraId="60694FB2"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F80FC5" w14:paraId="432347E4"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F80FC5" w14:paraId="3B89C2B5"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F80FC5" w14:paraId="2EFF5B2B"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3A223B" w14:paraId="15594A0E"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X</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D7AAEDD"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w:t>
            </w:r>
          </w:p>
        </w:tc>
        <w:tc>
          <w:tcPr>
            <w:tcW w:w="85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06931B79"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F80FC5" w14:paraId="54919380"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F80FC5" w14:paraId="6FD46539"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F80FC5" w14:paraId="423C1FBD"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F80FC5" w14:paraId="179A5C05" w14:textId="77777777">
            <w:pPr>
              <w:spacing w:after="0" w:line="240" w:lineRule="auto"/>
              <w:jc w:val="center"/>
              <w:rPr>
                <w:rFonts w:ascii="Times New Roman" w:hAnsi="Times New Roman" w:eastAsia="Times New Roman" w:cs="Times New Roman"/>
                <w:sz w:val="24"/>
                <w:szCs w:val="24"/>
              </w:rPr>
            </w:pPr>
          </w:p>
          <w:p w:rsidRPr="00327197" w:rsidR="00F80FC5" w:rsidP="005562B3" w:rsidRDefault="003A223B" w14:paraId="17C8F4CD"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X</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3640CCE"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04BF463"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r>
      <w:tr w:rsidRPr="00327197" w:rsidR="00371557" w:rsidTr="005562B3" w14:paraId="78228B9E"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25B3AD4"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5.1. valsts pamatbudžets</w:t>
            </w:r>
          </w:p>
        </w:tc>
        <w:tc>
          <w:tcPr>
            <w:tcW w:w="96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60ECD1F9"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8401A11"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997"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4E34EB7F"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F3B4193"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85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7F4F8774"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90C724A"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D89522E"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r>
      <w:tr w:rsidRPr="00327197" w:rsidR="00371557" w:rsidTr="005562B3" w14:paraId="1EEDABC1"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053359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5.2. speciālais budžets</w:t>
            </w:r>
          </w:p>
        </w:tc>
        <w:tc>
          <w:tcPr>
            <w:tcW w:w="96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733BD22C"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58FAC689"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997"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279F6CFB"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A24B2A6"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85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5CE65F7F"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CEA7923"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A35D9B5"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r>
      <w:tr w:rsidRPr="00327197" w:rsidR="00371557" w:rsidTr="005562B3" w14:paraId="4B964EBC"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EE2CB0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5.3. pašvaldību budžets</w:t>
            </w:r>
          </w:p>
        </w:tc>
        <w:tc>
          <w:tcPr>
            <w:tcW w:w="96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7D93A30E"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3E35649"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997"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6371EE48"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4CF301A"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85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3B751728"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6063ED6" w14:textId="77777777">
            <w:pPr>
              <w:spacing w:after="0" w:line="240" w:lineRule="auto"/>
              <w:jc w:val="cente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8A56167" w14:textId="77777777">
            <w:pPr>
              <w:spacing w:after="0" w:line="240" w:lineRule="auto"/>
              <w:jc w:val="center"/>
              <w:rPr>
                <w:rFonts w:ascii="Times New Roman" w:hAnsi="Times New Roman" w:eastAsia="Times New Roman" w:cs="Times New Roman"/>
                <w:sz w:val="24"/>
                <w:szCs w:val="24"/>
              </w:rPr>
            </w:pPr>
            <w:bookmarkStart w:name="_gjdgxs" w:colFirst="0" w:colLast="0" w:id="1"/>
            <w:bookmarkEnd w:id="1"/>
            <w:r w:rsidRPr="00327197">
              <w:rPr>
                <w:rFonts w:ascii="Times New Roman" w:hAnsi="Times New Roman" w:eastAsia="Times New Roman" w:cs="Times New Roman"/>
                <w:sz w:val="24"/>
                <w:szCs w:val="24"/>
              </w:rPr>
              <w:t>0 </w:t>
            </w:r>
          </w:p>
        </w:tc>
      </w:tr>
      <w:tr w:rsidRPr="00327197" w:rsidR="00371557" w:rsidTr="005562B3" w14:paraId="1D8344A4"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057637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6. Detalizēts ieņēmumu un izdevumu aprēķins (ja nepieciešams, detalizētu ieņēmumu un izdevumu aprēķinu var pievienot anotācijas pielikumā)</w:t>
            </w:r>
          </w:p>
        </w:tc>
        <w:tc>
          <w:tcPr>
            <w:tcW w:w="7264" w:type="dxa"/>
            <w:gridSpan w:val="7"/>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3902FB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Projekts šo jomu neskar</w:t>
            </w:r>
          </w:p>
        </w:tc>
      </w:tr>
      <w:tr w:rsidRPr="00327197" w:rsidR="00371557" w:rsidTr="005562B3" w14:paraId="6FD5923C"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FED142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6.1. detalizēts ieņēmumu aprēķins</w:t>
            </w:r>
          </w:p>
        </w:tc>
        <w:tc>
          <w:tcPr>
            <w:tcW w:w="7264" w:type="dxa"/>
            <w:gridSpan w:val="7"/>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552B0E6F"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r>
      <w:tr w:rsidRPr="00327197" w:rsidR="00371557" w:rsidTr="005562B3" w14:paraId="53771691"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F5806C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6.2. detalizēts izdevumu aprēķins</w:t>
            </w:r>
          </w:p>
        </w:tc>
        <w:tc>
          <w:tcPr>
            <w:tcW w:w="7264" w:type="dxa"/>
            <w:gridSpan w:val="7"/>
            <w:vMerge/>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F80FC5" w14:paraId="1F09BBD1"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r>
      <w:tr w:rsidRPr="00327197" w:rsidR="00371557" w:rsidTr="005562B3" w14:paraId="0B445614"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AA9AA1F"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7. Amata vietu skaita izmaiņas</w:t>
            </w:r>
          </w:p>
        </w:tc>
        <w:tc>
          <w:tcPr>
            <w:tcW w:w="7264" w:type="dxa"/>
            <w:gridSpan w:val="7"/>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9F01AE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Projekts šo jomu neskar</w:t>
            </w:r>
          </w:p>
        </w:tc>
      </w:tr>
      <w:tr w:rsidRPr="00327197" w:rsidR="00371557" w:rsidTr="005562B3" w14:paraId="437DDCBD"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7A6E80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8. Cita informācija</w:t>
            </w:r>
          </w:p>
        </w:tc>
        <w:tc>
          <w:tcPr>
            <w:tcW w:w="7264" w:type="dxa"/>
            <w:gridSpan w:val="7"/>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E877CA" w:rsidRDefault="00377B04" w14:paraId="392109B3"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Projekta īstenošanas izmaksas tiks segtas Satiksmes ministrijas budžeta programmas 05.00.00 “Starptautiskās kravu loģistikas un ostu informācijas sistēmas u</w:t>
            </w:r>
            <w:r w:rsidRPr="00327197" w:rsidR="008E3011">
              <w:rPr>
                <w:rFonts w:ascii="Times New Roman" w:hAnsi="Times New Roman" w:eastAsia="Times New Roman" w:cs="Times New Roman"/>
                <w:sz w:val="24"/>
                <w:szCs w:val="24"/>
              </w:rPr>
              <w:t>zturēšana” finansējuma ietvaros</w:t>
            </w:r>
            <w:r w:rsidRPr="00327197" w:rsidR="00E877CA">
              <w:rPr>
                <w:rFonts w:ascii="Times New Roman" w:hAnsi="Times New Roman" w:eastAsia="Times New Roman" w:cs="Times New Roman"/>
                <w:sz w:val="24"/>
                <w:szCs w:val="24"/>
              </w:rPr>
              <w:t>.</w:t>
            </w:r>
          </w:p>
        </w:tc>
      </w:tr>
    </w:tbl>
    <w:p w:rsidRPr="00327197" w:rsidR="00F80FC5" w:rsidRDefault="003A223B" w14:paraId="4E8A07C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w:t>
      </w: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327197" w:rsidR="00371557" w:rsidTr="005562B3" w14:paraId="2C820BC2"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059B504" w14:textId="77777777">
            <w:pPr>
              <w:spacing w:after="0" w:line="240" w:lineRule="auto"/>
              <w:jc w:val="center"/>
              <w:rPr>
                <w:rFonts w:ascii="Times New Roman" w:hAnsi="Times New Roman" w:eastAsia="Times New Roman" w:cs="Times New Roman"/>
                <w:b/>
                <w:sz w:val="24"/>
                <w:szCs w:val="24"/>
              </w:rPr>
            </w:pPr>
            <w:r w:rsidRPr="00327197">
              <w:rPr>
                <w:rFonts w:ascii="Times New Roman" w:hAnsi="Times New Roman" w:eastAsia="Times New Roman" w:cs="Times New Roman"/>
                <w:b/>
                <w:sz w:val="24"/>
                <w:szCs w:val="24"/>
              </w:rPr>
              <w:t>IV. Tiesību akta projekta ietekme uz spēkā esošo tiesību normu sistēmu</w:t>
            </w:r>
          </w:p>
        </w:tc>
      </w:tr>
      <w:tr w:rsidRPr="00327197" w:rsidR="00371557" w:rsidTr="005562B3" w14:paraId="0EA40A4E"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409D8E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8D233E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Saistītie tiesību aktu projekti</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652367" w14:paraId="131E5B5F"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Ministru kabineta noteikumu projekts "Starptautiskās kravu loģistikas un ostu informācijas sistēmas noteikumi", kurā tiks noteikta informācijas aprites kārtība, tostarp glabāšanas termiņi.</w:t>
            </w:r>
          </w:p>
        </w:tc>
      </w:tr>
      <w:tr w:rsidRPr="00327197" w:rsidR="00371557" w:rsidTr="005562B3" w14:paraId="0ECE4EF8"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62C0E0E"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324000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Atbildīgā institūcija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7212D2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Satiksmes ministrija</w:t>
            </w:r>
            <w:r w:rsidRPr="00327197" w:rsidR="00B907D4">
              <w:rPr>
                <w:rFonts w:ascii="Times New Roman" w:hAnsi="Times New Roman" w:eastAsia="Times New Roman" w:cs="Times New Roman"/>
                <w:sz w:val="24"/>
                <w:szCs w:val="24"/>
              </w:rPr>
              <w:t>.</w:t>
            </w:r>
          </w:p>
        </w:tc>
      </w:tr>
      <w:tr w:rsidRPr="00327197" w:rsidR="00371557" w:rsidTr="005562B3" w14:paraId="2A142503"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BB8481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7B2D64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652367" w14:paraId="72D32A8C"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w:t>
            </w:r>
            <w:r w:rsidRPr="00327197" w:rsidR="00B907D4">
              <w:rPr>
                <w:rFonts w:ascii="Times New Roman" w:hAnsi="Times New Roman" w:eastAsia="Times New Roman" w:cs="Times New Roman"/>
                <w:sz w:val="24"/>
                <w:szCs w:val="24"/>
              </w:rPr>
              <w:t>.</w:t>
            </w:r>
          </w:p>
        </w:tc>
      </w:tr>
    </w:tbl>
    <w:p w:rsidRPr="00327197" w:rsidR="00F80FC5" w:rsidRDefault="003A223B" w14:paraId="61DCAA2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w:t>
      </w: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327197" w:rsidR="00371557" w:rsidTr="005562B3" w14:paraId="46532F9B"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9784746" w14:textId="77777777">
            <w:pPr>
              <w:spacing w:after="0" w:line="240" w:lineRule="auto"/>
              <w:jc w:val="center"/>
              <w:rPr>
                <w:rFonts w:ascii="Times New Roman" w:hAnsi="Times New Roman" w:eastAsia="Times New Roman" w:cs="Times New Roman"/>
                <w:b/>
                <w:sz w:val="24"/>
                <w:szCs w:val="24"/>
              </w:rPr>
            </w:pPr>
            <w:r w:rsidRPr="00327197">
              <w:rPr>
                <w:rFonts w:ascii="Times New Roman" w:hAnsi="Times New Roman" w:eastAsia="Times New Roman" w:cs="Times New Roman"/>
                <w:b/>
                <w:sz w:val="24"/>
                <w:szCs w:val="24"/>
              </w:rPr>
              <w:t>V. Tiesību akta projekta atbilstība Latvijas Republikas starptautiskajām saistībām</w:t>
            </w:r>
          </w:p>
        </w:tc>
      </w:tr>
      <w:tr w:rsidRPr="00327197" w:rsidR="00371557" w:rsidTr="005562B3" w14:paraId="2EA53D75"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0562BB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4D8069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Saistības pret Eiropas Savienību</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BF2DA14" w14:textId="4FD5BCFF">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Ar projektu tiek pārņemtas un ieviestas Direktīvas (ES) 2017/2109 prasības.</w:t>
            </w:r>
          </w:p>
        </w:tc>
      </w:tr>
      <w:tr w:rsidRPr="00327197" w:rsidR="00371557" w:rsidTr="005562B3" w14:paraId="7EEBE4E8"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43385A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79B0A7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Citas starptautiskās saistības</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1ED7D4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w:t>
            </w:r>
            <w:r w:rsidRPr="00327197" w:rsidR="00B907D4">
              <w:rPr>
                <w:rFonts w:ascii="Times New Roman" w:hAnsi="Times New Roman" w:eastAsia="Times New Roman" w:cs="Times New Roman"/>
                <w:sz w:val="24"/>
                <w:szCs w:val="24"/>
              </w:rPr>
              <w:t>.</w:t>
            </w:r>
          </w:p>
        </w:tc>
      </w:tr>
      <w:tr w:rsidRPr="00327197" w:rsidR="00371557" w:rsidTr="005562B3" w14:paraId="53C9D782"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AB9898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ADCB8A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100E3E" w:rsidRDefault="00563507" w14:paraId="00A4F7FA"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Projektā minētās saistības, kas izriet no citiem starptautiskiem jūrniecības dokumentiem, Latvija jau ir uzņēmusies un pilda. Ar projektu jaunas saistības uzņemtas netiek. Projektā tiek veidotas atsauces uz starptautiskajiem jūrniecības tiesību aktiem, lai skaidrotu jēdzienus noteikumu piemērošanas nolūkā.</w:t>
            </w:r>
          </w:p>
        </w:tc>
      </w:tr>
    </w:tbl>
    <w:p w:rsidRPr="00327197" w:rsidR="00F80FC5" w:rsidRDefault="003A223B" w14:paraId="015D7E1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w:t>
      </w: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1994"/>
        <w:gridCol w:w="117"/>
        <w:gridCol w:w="1896"/>
        <w:gridCol w:w="1182"/>
        <w:gridCol w:w="860"/>
        <w:gridCol w:w="3006"/>
      </w:tblGrid>
      <w:tr w:rsidRPr="00327197" w:rsidR="00371557" w:rsidTr="005562B3" w14:paraId="64C43CFD" w14:textId="77777777">
        <w:tc>
          <w:tcPr>
            <w:tcW w:w="905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ABAA120" w14:textId="77777777">
            <w:pPr>
              <w:spacing w:after="0" w:line="240" w:lineRule="auto"/>
              <w:jc w:val="center"/>
              <w:rPr>
                <w:rFonts w:ascii="Times New Roman" w:hAnsi="Times New Roman" w:eastAsia="Times New Roman" w:cs="Times New Roman"/>
                <w:b/>
                <w:sz w:val="24"/>
                <w:szCs w:val="24"/>
              </w:rPr>
            </w:pPr>
            <w:r w:rsidRPr="00327197">
              <w:rPr>
                <w:rFonts w:ascii="Times New Roman" w:hAnsi="Times New Roman" w:eastAsia="Times New Roman" w:cs="Times New Roman"/>
                <w:b/>
                <w:sz w:val="24"/>
                <w:szCs w:val="24"/>
              </w:rPr>
              <w:t>1. tabula</w:t>
            </w:r>
            <w:r w:rsidRPr="00327197">
              <w:rPr>
                <w:rFonts w:ascii="Times New Roman" w:hAnsi="Times New Roman" w:eastAsia="Times New Roman" w:cs="Times New Roman"/>
                <w:b/>
                <w:sz w:val="24"/>
                <w:szCs w:val="24"/>
              </w:rPr>
              <w:br/>
              <w:t>Tiesību akta projekta atbilstība ES tiesību aktiem</w:t>
            </w:r>
          </w:p>
        </w:tc>
      </w:tr>
      <w:tr w:rsidRPr="00327197" w:rsidR="00371557" w:rsidTr="005562B3" w14:paraId="592CE4C1"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7649EB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Attiecīgā ES tiesību akta datums, numurs un nosaukums</w:t>
            </w:r>
          </w:p>
        </w:tc>
        <w:tc>
          <w:tcPr>
            <w:tcW w:w="6944" w:type="dxa"/>
            <w:gridSpan w:val="4"/>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A2A708E"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Eiropas Parlamenta un Padomes 2017. gada 15. novembra Direktīva (ES) 2017/2109, ar ko groza Padomes Direktīvu 98/41/EK par to personu reģistrāciju, kas atrodas uz pasažieru kuģiem, kuri kursē uz Kopienas dalībvalstu ostām vai no tām, un Eiropas Parlamenta un Padomes Direktīvu 2010/65/ES par ziņošanas formalitātēm kuģiem, kuri ienāk dalībvalstu ostās un/vai iziet no tām</w:t>
            </w:r>
            <w:r w:rsidRPr="00327197" w:rsidR="00EF2AAF">
              <w:t xml:space="preserve"> </w:t>
            </w:r>
            <w:r w:rsidRPr="00327197" w:rsidR="00EF2AAF">
              <w:rPr>
                <w:rFonts w:ascii="Times New Roman" w:hAnsi="Times New Roman" w:eastAsia="Times New Roman" w:cs="Times New Roman"/>
                <w:sz w:val="24"/>
                <w:szCs w:val="24"/>
              </w:rPr>
              <w:t>(publicēta “Eiropas Savienības Oficiālajā Vēstnesī” 2017. gada 30. novembris, L 315/</w:t>
            </w:r>
            <w:r w:rsidRPr="00327197" w:rsidR="00D75ACE">
              <w:rPr>
                <w:rFonts w:ascii="Times New Roman" w:hAnsi="Times New Roman" w:eastAsia="Times New Roman" w:cs="Times New Roman"/>
                <w:sz w:val="24"/>
                <w:szCs w:val="24"/>
              </w:rPr>
              <w:t>52</w:t>
            </w:r>
            <w:r w:rsidRPr="00327197" w:rsidR="00EF2AAF">
              <w:rPr>
                <w:rFonts w:ascii="Times New Roman" w:hAnsi="Times New Roman" w:eastAsia="Times New Roman" w:cs="Times New Roman"/>
                <w:sz w:val="24"/>
                <w:szCs w:val="24"/>
              </w:rPr>
              <w:t>).</w:t>
            </w:r>
          </w:p>
        </w:tc>
      </w:tr>
      <w:tr w:rsidRPr="00327197" w:rsidR="00371557" w:rsidTr="005562B3" w14:paraId="51D11084"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A50B2E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A</w:t>
            </w:r>
          </w:p>
        </w:tc>
        <w:tc>
          <w:tcPr>
            <w:tcW w:w="189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74EC2C3E"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B</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36A4F0B"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C</w:t>
            </w:r>
          </w:p>
        </w:tc>
        <w:tc>
          <w:tcPr>
            <w:tcW w:w="300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4067310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w:t>
            </w:r>
          </w:p>
        </w:tc>
      </w:tr>
      <w:tr w:rsidRPr="00327197" w:rsidR="00371557" w:rsidTr="005562B3" w14:paraId="3670DB96"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C73878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Attiecīgā ES tiesību akta panta numurs (uzskaitot katru tiesību akta vienību – pantu, daļu, punktu, apakšpunktu)</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722E4E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0B4B88D"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Informācija par to, vai šīs tabulas A ailē minētās ES tiesību akta vienības tiek pārņemtas vai ieviestas pilnībā vai daļēji.</w:t>
            </w:r>
            <w:r w:rsidRPr="00327197">
              <w:rPr>
                <w:rFonts w:ascii="Times New Roman" w:hAnsi="Times New Roman" w:eastAsia="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327197">
              <w:rPr>
                <w:rFonts w:ascii="Times New Roman" w:hAnsi="Times New Roman" w:eastAsia="Times New Roman" w:cs="Times New Roman"/>
                <w:sz w:val="24"/>
                <w:szCs w:val="24"/>
              </w:rPr>
              <w:br/>
              <w:t>Norāda institūciju, kas ir atbildīga par šo saistību izpildi pilnībā</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018E75E"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Informācija par to, vai šīs tabulas B ailē minētās projekta vienības paredz stingrākas prasības nekā šīs tabulas A ailē minētās ES tiesību akta vienības.</w:t>
            </w:r>
            <w:r w:rsidRPr="00327197">
              <w:rPr>
                <w:rFonts w:ascii="Times New Roman" w:hAnsi="Times New Roman" w:eastAsia="Times New Roman" w:cs="Times New Roman"/>
                <w:sz w:val="24"/>
                <w:szCs w:val="24"/>
              </w:rPr>
              <w:br/>
              <w:t>Ja projekts satur stingrākas prasības nekā attiecīgais ES tiesību akts, norāda pamatojumu un samērīgumu.</w:t>
            </w:r>
            <w:r w:rsidRPr="00327197">
              <w:rPr>
                <w:rFonts w:ascii="Times New Roman" w:hAnsi="Times New Roman" w:eastAsia="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Pr="00327197" w:rsidR="00371557" w:rsidTr="005562B3" w14:paraId="00C39EA0"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22A4EC8D"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Direktīvas (ES) 2017/2109 </w:t>
            </w:r>
          </w:p>
          <w:p w:rsidRPr="00327197" w:rsidR="00F80FC5" w:rsidP="005562B3" w:rsidRDefault="003A223B" w14:paraId="2C1395A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1. panta 1. punkta a) apakšpunkts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99556F" w:rsidRDefault="00CF0CB6" w14:paraId="0660AC2B"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 xml:space="preserve">Projekta </w:t>
            </w:r>
            <w:r w:rsidRPr="00327197" w:rsidR="00652367">
              <w:rPr>
                <w:rFonts w:ascii="Times New Roman" w:hAnsi="Times New Roman" w:eastAsia="Times New Roman" w:cs="Times New Roman"/>
                <w:sz w:val="24"/>
                <w:szCs w:val="24"/>
              </w:rPr>
              <w:t>1</w:t>
            </w:r>
            <w:r w:rsidRPr="00327197" w:rsidR="003A223B">
              <w:rPr>
                <w:rFonts w:ascii="Times New Roman" w:hAnsi="Times New Roman" w:eastAsia="Times New Roman" w:cs="Times New Roman"/>
                <w:sz w:val="24"/>
                <w:szCs w:val="24"/>
              </w:rPr>
              <w:t>. punkts</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5B99D3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CD0947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p w:rsidRPr="00327197" w:rsidR="00F80FC5" w:rsidP="005562B3" w:rsidRDefault="00F80FC5" w14:paraId="68DCFC30" w14:textId="77777777">
            <w:pPr>
              <w:spacing w:after="0" w:line="240" w:lineRule="auto"/>
              <w:rPr>
                <w:rFonts w:ascii="Times New Roman" w:hAnsi="Times New Roman" w:eastAsia="Times New Roman" w:cs="Times New Roman"/>
                <w:sz w:val="24"/>
                <w:szCs w:val="24"/>
              </w:rPr>
            </w:pPr>
          </w:p>
        </w:tc>
      </w:tr>
      <w:tr w:rsidRPr="00327197" w:rsidR="00371557" w:rsidTr="005562B3" w14:paraId="078D17E4"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6BA903C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4E0347E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1. punkta b) apakšpunkts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99556F" w:rsidRDefault="003A223B" w14:paraId="6EEA677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652367">
              <w:rPr>
                <w:rFonts w:ascii="Times New Roman" w:hAnsi="Times New Roman" w:eastAsia="Times New Roman" w:cs="Times New Roman"/>
                <w:sz w:val="24"/>
                <w:szCs w:val="24"/>
              </w:rPr>
              <w:t>3</w:t>
            </w:r>
            <w:r w:rsidRPr="00327197">
              <w:rPr>
                <w:rFonts w:ascii="Times New Roman" w:hAnsi="Times New Roman" w:eastAsia="Times New Roman" w:cs="Times New Roman"/>
                <w:sz w:val="24"/>
                <w:szCs w:val="24"/>
              </w:rPr>
              <w:t>. punkts</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1905EC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A90DF9F"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p w:rsidRPr="00327197" w:rsidR="00F80FC5" w:rsidP="005562B3" w:rsidRDefault="00F80FC5" w14:paraId="72DF9CBE" w14:textId="77777777">
            <w:pPr>
              <w:spacing w:after="0" w:line="240" w:lineRule="auto"/>
              <w:rPr>
                <w:rFonts w:ascii="Times New Roman" w:hAnsi="Times New Roman" w:eastAsia="Times New Roman" w:cs="Times New Roman"/>
                <w:sz w:val="24"/>
                <w:szCs w:val="24"/>
              </w:rPr>
            </w:pPr>
          </w:p>
        </w:tc>
      </w:tr>
      <w:tr w:rsidRPr="00327197" w:rsidR="00371557" w:rsidTr="005562B3" w14:paraId="382FA502"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4ADA4AD6"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3375D8BF"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1. punkta c) apakšpunkts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EE0A71" w:rsidP="00EE0A71" w:rsidRDefault="00CF0CB6" w14:paraId="4B08EB8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14207B">
              <w:rPr>
                <w:rFonts w:ascii="Times New Roman" w:hAnsi="Times New Roman" w:eastAsia="Times New Roman" w:cs="Times New Roman"/>
                <w:sz w:val="24"/>
                <w:szCs w:val="24"/>
              </w:rPr>
              <w:t>8</w:t>
            </w:r>
            <w:r w:rsidRPr="00327197">
              <w:rPr>
                <w:rFonts w:ascii="Times New Roman" w:hAnsi="Times New Roman" w:eastAsia="Times New Roman" w:cs="Times New Roman"/>
                <w:sz w:val="24"/>
                <w:szCs w:val="24"/>
              </w:rPr>
              <w:t>. </w:t>
            </w:r>
            <w:r w:rsidRPr="00327197" w:rsidR="004F1D58">
              <w:rPr>
                <w:rFonts w:ascii="Times New Roman" w:hAnsi="Times New Roman" w:eastAsia="Times New Roman" w:cs="Times New Roman"/>
                <w:sz w:val="24"/>
                <w:szCs w:val="24"/>
              </w:rPr>
              <w:t>p</w:t>
            </w:r>
            <w:r w:rsidRPr="00327197">
              <w:rPr>
                <w:rFonts w:ascii="Times New Roman" w:hAnsi="Times New Roman" w:eastAsia="Times New Roman" w:cs="Times New Roman"/>
                <w:sz w:val="24"/>
                <w:szCs w:val="24"/>
              </w:rPr>
              <w:t>unkts</w:t>
            </w:r>
          </w:p>
          <w:p w:rsidRPr="00327197" w:rsidR="00F80FC5" w:rsidP="002851DB" w:rsidRDefault="00EE0A71" w14:paraId="3040999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(110.</w:t>
            </w:r>
            <w:r w:rsidRPr="00327197">
              <w:rPr>
                <w:rFonts w:ascii="Times New Roman" w:hAnsi="Times New Roman" w:eastAsia="Times New Roman" w:cs="Times New Roman"/>
                <w:sz w:val="24"/>
                <w:szCs w:val="24"/>
                <w:vertAlign w:val="superscript"/>
              </w:rPr>
              <w:t>13</w:t>
            </w:r>
            <w:r w:rsidRPr="00327197" w:rsidR="002851DB">
              <w:rPr>
                <w:rFonts w:ascii="Times New Roman" w:hAnsi="Times New Roman" w:eastAsia="Times New Roman" w:cs="Times New Roman"/>
                <w:sz w:val="24"/>
                <w:szCs w:val="24"/>
              </w:rPr>
              <w:t xml:space="preserve">, </w:t>
            </w:r>
            <w:r w:rsidRPr="00327197">
              <w:rPr>
                <w:rFonts w:ascii="Times New Roman" w:hAnsi="Times New Roman" w:eastAsia="Times New Roman" w:cs="Times New Roman"/>
                <w:sz w:val="24"/>
                <w:szCs w:val="24"/>
              </w:rPr>
              <w:t>124.4.)</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95055B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9F5725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tc>
      </w:tr>
      <w:tr w:rsidRPr="00327197" w:rsidR="00371557" w:rsidTr="005562B3" w14:paraId="2D79DD29"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16DA02D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44AAAB2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1. punkta d) apakšpunkts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62758702"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1C93144"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jo noteikumos šī norma vēsturiski netika pārņemta, par cik Latvijā nav definēto aizsargāto jūras rajonu</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2E73D9DE" w14:textId="77777777">
            <w:pPr>
              <w:spacing w:after="0" w:line="240" w:lineRule="auto"/>
              <w:rPr>
                <w:rFonts w:ascii="Times New Roman" w:hAnsi="Times New Roman" w:eastAsia="Times New Roman" w:cs="Times New Roman"/>
                <w:sz w:val="24"/>
                <w:szCs w:val="24"/>
              </w:rPr>
            </w:pPr>
          </w:p>
        </w:tc>
      </w:tr>
      <w:tr w:rsidRPr="00327197" w:rsidR="00371557" w:rsidTr="005562B3" w14:paraId="085AB16E"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37263A9F"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50A3BF9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1. punkta e) apakšpunkts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34FA489E"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0C0AECB"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jo Direktīvas (ES) 2017/2109 9. pantā paredzētā rīcības brīvība piešķirt paziņošanas atbrīvojumu netiek izmantota</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7AFE499B" w14:textId="77777777">
            <w:pPr>
              <w:spacing w:after="0" w:line="240" w:lineRule="auto"/>
              <w:rPr>
                <w:rFonts w:ascii="Times New Roman" w:hAnsi="Times New Roman" w:eastAsia="Times New Roman" w:cs="Times New Roman"/>
                <w:sz w:val="24"/>
                <w:szCs w:val="24"/>
              </w:rPr>
            </w:pPr>
          </w:p>
        </w:tc>
      </w:tr>
      <w:tr w:rsidRPr="00327197" w:rsidR="00371557" w:rsidTr="005562B3" w14:paraId="2D08AA8D"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1A557A31"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5C3D6A3D"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1. punkta f) apakšpunkts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14207B" w:rsidRDefault="003A223B" w14:paraId="3B21881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14207B">
              <w:rPr>
                <w:rFonts w:ascii="Times New Roman" w:hAnsi="Times New Roman" w:eastAsia="Times New Roman" w:cs="Times New Roman"/>
                <w:sz w:val="24"/>
                <w:szCs w:val="24"/>
              </w:rPr>
              <w:t>8</w:t>
            </w:r>
            <w:r w:rsidRPr="00327197" w:rsidR="00CF0CB6">
              <w:rPr>
                <w:rFonts w:ascii="Times New Roman" w:hAnsi="Times New Roman" w:eastAsia="Times New Roman" w:cs="Times New Roman"/>
                <w:sz w:val="24"/>
                <w:szCs w:val="24"/>
              </w:rPr>
              <w:t xml:space="preserve">. </w:t>
            </w:r>
            <w:r w:rsidRPr="00327197" w:rsidR="004F1D58">
              <w:rPr>
                <w:rFonts w:ascii="Times New Roman" w:hAnsi="Times New Roman" w:eastAsia="Times New Roman" w:cs="Times New Roman"/>
                <w:sz w:val="24"/>
                <w:szCs w:val="24"/>
              </w:rPr>
              <w:t>p</w:t>
            </w:r>
            <w:r w:rsidRPr="00327197" w:rsidR="00CF0CB6">
              <w:rPr>
                <w:rFonts w:ascii="Times New Roman" w:hAnsi="Times New Roman" w:eastAsia="Times New Roman" w:cs="Times New Roman"/>
                <w:sz w:val="24"/>
                <w:szCs w:val="24"/>
              </w:rPr>
              <w:t>unkts</w:t>
            </w:r>
          </w:p>
          <w:p w:rsidRPr="00327197" w:rsidR="00EE0A71" w:rsidP="002851DB" w:rsidRDefault="00EE0A71" w14:paraId="106EC3B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(110.</w:t>
            </w:r>
            <w:r w:rsidRPr="00327197">
              <w:rPr>
                <w:rFonts w:ascii="Times New Roman" w:hAnsi="Times New Roman" w:eastAsia="Times New Roman" w:cs="Times New Roman"/>
                <w:sz w:val="24"/>
                <w:szCs w:val="24"/>
                <w:vertAlign w:val="superscript"/>
              </w:rPr>
              <w:t>1</w:t>
            </w:r>
            <w:r w:rsidRPr="00327197">
              <w:rPr>
                <w:rFonts w:ascii="Times New Roman" w:hAnsi="Times New Roman" w:eastAsia="Times New Roman" w:cs="Times New Roman"/>
                <w:sz w:val="24"/>
                <w:szCs w:val="24"/>
              </w:rPr>
              <w:t> 1.)</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456B91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E069181"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tc>
      </w:tr>
      <w:tr w:rsidRPr="00327197" w:rsidR="00371557" w:rsidTr="005562B3" w14:paraId="738A577F"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4083AEE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16D998EE"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1. punkta g) apakšpunkts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99556F" w:rsidRDefault="00FA2643" w14:paraId="34CCA11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14207B">
              <w:rPr>
                <w:rFonts w:ascii="Times New Roman" w:hAnsi="Times New Roman" w:eastAsia="Times New Roman" w:cs="Times New Roman"/>
                <w:sz w:val="24"/>
                <w:szCs w:val="24"/>
              </w:rPr>
              <w:t>8</w:t>
            </w:r>
            <w:r w:rsidRPr="00327197">
              <w:rPr>
                <w:rFonts w:ascii="Times New Roman" w:hAnsi="Times New Roman" w:eastAsia="Times New Roman" w:cs="Times New Roman"/>
                <w:sz w:val="24"/>
                <w:szCs w:val="24"/>
              </w:rPr>
              <w:t>. </w:t>
            </w:r>
            <w:r w:rsidRPr="00327197" w:rsidR="004F1D58">
              <w:rPr>
                <w:rFonts w:ascii="Times New Roman" w:hAnsi="Times New Roman" w:eastAsia="Times New Roman" w:cs="Times New Roman"/>
                <w:sz w:val="24"/>
                <w:szCs w:val="24"/>
              </w:rPr>
              <w:t>p</w:t>
            </w:r>
            <w:r w:rsidRPr="00327197">
              <w:rPr>
                <w:rFonts w:ascii="Times New Roman" w:hAnsi="Times New Roman" w:eastAsia="Times New Roman" w:cs="Times New Roman"/>
                <w:sz w:val="24"/>
                <w:szCs w:val="24"/>
              </w:rPr>
              <w:t>unkts</w:t>
            </w:r>
            <w:r w:rsidRPr="00327197" w:rsidR="00EE0A71">
              <w:rPr>
                <w:rFonts w:ascii="Times New Roman" w:hAnsi="Times New Roman" w:eastAsia="Times New Roman" w:cs="Times New Roman"/>
                <w:sz w:val="24"/>
                <w:szCs w:val="24"/>
              </w:rPr>
              <w:t xml:space="preserve"> (110.</w:t>
            </w:r>
            <w:r w:rsidRPr="00327197" w:rsidR="00EE0A71">
              <w:rPr>
                <w:rFonts w:ascii="Times New Roman" w:hAnsi="Times New Roman" w:eastAsia="Times New Roman" w:cs="Times New Roman"/>
                <w:sz w:val="24"/>
                <w:szCs w:val="24"/>
                <w:vertAlign w:val="superscript"/>
              </w:rPr>
              <w:t>2</w:t>
            </w:r>
            <w:r w:rsidRPr="00327197" w:rsidR="00EE0A71">
              <w:rPr>
                <w:rFonts w:ascii="Times New Roman" w:hAnsi="Times New Roman" w:eastAsia="Times New Roman" w:cs="Times New Roman"/>
                <w:sz w:val="24"/>
                <w:szCs w:val="24"/>
              </w:rPr>
              <w:t> 2.)</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94D369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2341806"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tc>
      </w:tr>
      <w:tr w:rsidRPr="00327197" w:rsidR="00371557" w:rsidTr="005562B3" w14:paraId="7FD4E17A"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1D4BA19E"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7983F54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2. 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99556F" w:rsidRDefault="003A223B" w14:paraId="566483B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14207B">
              <w:rPr>
                <w:rFonts w:ascii="Times New Roman" w:hAnsi="Times New Roman" w:eastAsia="Times New Roman" w:cs="Times New Roman"/>
                <w:sz w:val="24"/>
                <w:szCs w:val="24"/>
              </w:rPr>
              <w:t>8</w:t>
            </w:r>
            <w:r w:rsidRPr="00327197" w:rsidR="00FA2643">
              <w:rPr>
                <w:rFonts w:ascii="Times New Roman" w:hAnsi="Times New Roman" w:eastAsia="Times New Roman" w:cs="Times New Roman"/>
                <w:sz w:val="24"/>
                <w:szCs w:val="24"/>
              </w:rPr>
              <w:t>. </w:t>
            </w:r>
            <w:r w:rsidRPr="00327197" w:rsidR="004F1D58">
              <w:rPr>
                <w:rFonts w:ascii="Times New Roman" w:hAnsi="Times New Roman" w:eastAsia="Times New Roman" w:cs="Times New Roman"/>
                <w:sz w:val="24"/>
                <w:szCs w:val="24"/>
              </w:rPr>
              <w:t>p</w:t>
            </w:r>
            <w:r w:rsidRPr="00327197" w:rsidR="00FA2643">
              <w:rPr>
                <w:rFonts w:ascii="Times New Roman" w:hAnsi="Times New Roman" w:eastAsia="Times New Roman" w:cs="Times New Roman"/>
                <w:sz w:val="24"/>
                <w:szCs w:val="24"/>
              </w:rPr>
              <w:t>unkts</w:t>
            </w:r>
            <w:r w:rsidRPr="00327197" w:rsidR="00EE0A71">
              <w:rPr>
                <w:rFonts w:ascii="Times New Roman" w:hAnsi="Times New Roman" w:eastAsia="Times New Roman" w:cs="Times New Roman"/>
                <w:sz w:val="24"/>
                <w:szCs w:val="24"/>
              </w:rPr>
              <w:t xml:space="preserve"> (110.</w:t>
            </w:r>
            <w:r w:rsidRPr="00327197" w:rsidR="00EE0A71">
              <w:rPr>
                <w:rFonts w:ascii="Times New Roman" w:hAnsi="Times New Roman" w:eastAsia="Times New Roman" w:cs="Times New Roman"/>
                <w:sz w:val="24"/>
                <w:szCs w:val="24"/>
                <w:vertAlign w:val="superscript"/>
              </w:rPr>
              <w:t>2</w:t>
            </w:r>
            <w:r w:rsidRPr="00327197" w:rsidR="00EE0A71">
              <w:rPr>
                <w:rFonts w:ascii="Times New Roman" w:hAnsi="Times New Roman" w:eastAsia="Times New Roman" w:cs="Times New Roman"/>
                <w:sz w:val="24"/>
                <w:szCs w:val="24"/>
              </w:rPr>
              <w:t>)</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91D2FC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FBF0FFB"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tc>
      </w:tr>
      <w:tr w:rsidRPr="00327197" w:rsidR="00371557" w:rsidTr="005562B3" w14:paraId="55153519"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RDefault="00A37DA0" w14:paraId="24DB0899"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RDefault="003A223B" w14:paraId="01E5920E"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3. 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F20C69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14207B">
              <w:rPr>
                <w:rFonts w:ascii="Times New Roman" w:hAnsi="Times New Roman" w:eastAsia="Times New Roman" w:cs="Times New Roman"/>
                <w:sz w:val="24"/>
                <w:szCs w:val="24"/>
              </w:rPr>
              <w:t>8</w:t>
            </w:r>
            <w:r w:rsidRPr="00327197">
              <w:rPr>
                <w:rFonts w:ascii="Times New Roman" w:hAnsi="Times New Roman" w:eastAsia="Times New Roman" w:cs="Times New Roman"/>
                <w:sz w:val="24"/>
                <w:szCs w:val="24"/>
              </w:rPr>
              <w:t xml:space="preserve">. </w:t>
            </w:r>
            <w:r w:rsidRPr="00327197" w:rsidR="00EE0A71">
              <w:rPr>
                <w:rFonts w:ascii="Times New Roman" w:hAnsi="Times New Roman" w:eastAsia="Times New Roman" w:cs="Times New Roman"/>
                <w:sz w:val="24"/>
                <w:szCs w:val="24"/>
              </w:rPr>
              <w:t>punkts (110.</w:t>
            </w:r>
            <w:r w:rsidRPr="00327197" w:rsidR="00EE0A71">
              <w:rPr>
                <w:rFonts w:ascii="Times New Roman" w:hAnsi="Times New Roman" w:eastAsia="Times New Roman" w:cs="Times New Roman"/>
                <w:sz w:val="24"/>
                <w:szCs w:val="24"/>
                <w:vertAlign w:val="superscript"/>
              </w:rPr>
              <w:t>3</w:t>
            </w:r>
            <w:r w:rsidRPr="00327197" w:rsidR="00EE0A71">
              <w:rPr>
                <w:rFonts w:ascii="Times New Roman" w:hAnsi="Times New Roman" w:eastAsia="Times New Roman" w:cs="Times New Roman"/>
                <w:sz w:val="24"/>
                <w:szCs w:val="24"/>
              </w:rPr>
              <w:t>)</w:t>
            </w:r>
          </w:p>
          <w:p w:rsidRPr="00327197" w:rsidR="00F80FC5" w:rsidP="0099556F" w:rsidRDefault="00FA2643" w14:paraId="076FDF8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un </w:t>
            </w:r>
            <w:r w:rsidRPr="00327197" w:rsidR="0014207B">
              <w:rPr>
                <w:rFonts w:ascii="Times New Roman" w:hAnsi="Times New Roman" w:eastAsia="Times New Roman" w:cs="Times New Roman"/>
                <w:sz w:val="24"/>
                <w:szCs w:val="24"/>
              </w:rPr>
              <w:t>9</w:t>
            </w:r>
            <w:r w:rsidRPr="00327197" w:rsidR="003A223B">
              <w:rPr>
                <w:rFonts w:ascii="Times New Roman" w:hAnsi="Times New Roman" w:eastAsia="Times New Roman" w:cs="Times New Roman"/>
                <w:sz w:val="24"/>
                <w:szCs w:val="24"/>
              </w:rPr>
              <w:t>. </w:t>
            </w:r>
            <w:r w:rsidRPr="00327197" w:rsidR="004F1D58">
              <w:rPr>
                <w:rFonts w:ascii="Times New Roman" w:hAnsi="Times New Roman" w:eastAsia="Times New Roman" w:cs="Times New Roman"/>
                <w:sz w:val="24"/>
                <w:szCs w:val="24"/>
              </w:rPr>
              <w:t>p</w:t>
            </w:r>
            <w:r w:rsidRPr="00327197" w:rsidR="003A223B">
              <w:rPr>
                <w:rFonts w:ascii="Times New Roman" w:hAnsi="Times New Roman" w:eastAsia="Times New Roman" w:cs="Times New Roman"/>
                <w:sz w:val="24"/>
                <w:szCs w:val="24"/>
              </w:rPr>
              <w:t>unkts</w:t>
            </w:r>
            <w:r w:rsidRPr="00327197" w:rsidR="00EE0A71">
              <w:rPr>
                <w:rFonts w:ascii="Times New Roman" w:hAnsi="Times New Roman" w:eastAsia="Times New Roman" w:cs="Times New Roman"/>
                <w:sz w:val="24"/>
                <w:szCs w:val="24"/>
              </w:rPr>
              <w:t xml:space="preserve"> </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9DF503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715A98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tc>
      </w:tr>
      <w:tr w:rsidRPr="00327197" w:rsidR="00371557" w:rsidTr="005562B3" w14:paraId="7BF48CFC"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RDefault="00A37DA0" w14:paraId="29A2DB7F"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RDefault="003A223B" w14:paraId="67CB61B0"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4. 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99556F" w:rsidRDefault="003A223B" w14:paraId="006F92E1"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14207B">
              <w:rPr>
                <w:rFonts w:ascii="Times New Roman" w:hAnsi="Times New Roman" w:eastAsia="Times New Roman" w:cs="Times New Roman"/>
                <w:sz w:val="24"/>
                <w:szCs w:val="24"/>
              </w:rPr>
              <w:t>8</w:t>
            </w:r>
            <w:r w:rsidRPr="00327197">
              <w:rPr>
                <w:rFonts w:ascii="Times New Roman" w:hAnsi="Times New Roman" w:eastAsia="Times New Roman" w:cs="Times New Roman"/>
                <w:sz w:val="24"/>
                <w:szCs w:val="24"/>
              </w:rPr>
              <w:t xml:space="preserve">. </w:t>
            </w:r>
            <w:r w:rsidRPr="00327197" w:rsidR="00EE0A71">
              <w:rPr>
                <w:rFonts w:ascii="Times New Roman" w:hAnsi="Times New Roman" w:eastAsia="Times New Roman" w:cs="Times New Roman"/>
                <w:sz w:val="24"/>
                <w:szCs w:val="24"/>
              </w:rPr>
              <w:t xml:space="preserve">punkts </w:t>
            </w:r>
            <w:r w:rsidRPr="00327197" w:rsidR="005E2616">
              <w:rPr>
                <w:rFonts w:ascii="Times New Roman" w:hAnsi="Times New Roman" w:eastAsia="Times New Roman" w:cs="Times New Roman"/>
                <w:sz w:val="24"/>
                <w:szCs w:val="24"/>
              </w:rPr>
              <w:t>(110.</w:t>
            </w:r>
            <w:r w:rsidRPr="00327197" w:rsidR="005E2616">
              <w:rPr>
                <w:rFonts w:ascii="Times New Roman" w:hAnsi="Times New Roman" w:eastAsia="Times New Roman" w:cs="Times New Roman"/>
                <w:sz w:val="24"/>
                <w:szCs w:val="24"/>
                <w:vertAlign w:val="superscript"/>
              </w:rPr>
              <w:t>4</w:t>
            </w:r>
            <w:r w:rsidRPr="00327197" w:rsidR="005E2616">
              <w:rPr>
                <w:rFonts w:ascii="Times New Roman" w:hAnsi="Times New Roman" w:eastAsia="Times New Roman" w:cs="Times New Roman"/>
                <w:sz w:val="24"/>
                <w:szCs w:val="24"/>
              </w:rPr>
              <w:t>, 110.</w:t>
            </w:r>
            <w:r w:rsidRPr="00327197" w:rsidR="005E2616">
              <w:rPr>
                <w:rFonts w:ascii="Times New Roman" w:hAnsi="Times New Roman" w:eastAsia="Times New Roman" w:cs="Times New Roman"/>
                <w:sz w:val="24"/>
                <w:szCs w:val="24"/>
                <w:vertAlign w:val="superscript"/>
              </w:rPr>
              <w:t>6</w:t>
            </w:r>
            <w:r w:rsidRPr="00327197" w:rsidR="005E2616">
              <w:rPr>
                <w:rFonts w:ascii="Times New Roman" w:hAnsi="Times New Roman" w:eastAsia="Times New Roman" w:cs="Times New Roman"/>
                <w:sz w:val="24"/>
                <w:szCs w:val="24"/>
              </w:rPr>
              <w:t>, 110.</w:t>
            </w:r>
            <w:r w:rsidRPr="00327197" w:rsidR="005E2616">
              <w:rPr>
                <w:rFonts w:ascii="Times New Roman" w:hAnsi="Times New Roman" w:eastAsia="Times New Roman" w:cs="Times New Roman"/>
                <w:sz w:val="24"/>
                <w:szCs w:val="24"/>
                <w:vertAlign w:val="superscript"/>
              </w:rPr>
              <w:t>7</w:t>
            </w:r>
            <w:r w:rsidRPr="00327197" w:rsidR="005E2616">
              <w:rPr>
                <w:rFonts w:ascii="Times New Roman" w:hAnsi="Times New Roman" w:eastAsia="Times New Roman" w:cs="Times New Roman"/>
                <w:sz w:val="24"/>
                <w:szCs w:val="24"/>
              </w:rPr>
              <w:t>, 110.</w:t>
            </w:r>
            <w:r w:rsidRPr="00327197" w:rsidR="005E2616">
              <w:rPr>
                <w:rFonts w:ascii="Times New Roman" w:hAnsi="Times New Roman" w:eastAsia="Times New Roman" w:cs="Times New Roman"/>
                <w:sz w:val="24"/>
                <w:szCs w:val="24"/>
                <w:vertAlign w:val="superscript"/>
              </w:rPr>
              <w:t>14</w:t>
            </w:r>
            <w:r w:rsidRPr="00327197" w:rsidR="005E2616">
              <w:rPr>
                <w:rFonts w:ascii="Times New Roman" w:hAnsi="Times New Roman" w:eastAsia="Times New Roman" w:cs="Times New Roman"/>
                <w:sz w:val="24"/>
                <w:szCs w:val="24"/>
              </w:rPr>
              <w:t xml:space="preserve">) </w:t>
            </w:r>
            <w:r w:rsidRPr="00327197">
              <w:rPr>
                <w:rFonts w:ascii="Times New Roman" w:hAnsi="Times New Roman" w:eastAsia="Times New Roman" w:cs="Times New Roman"/>
                <w:sz w:val="24"/>
                <w:szCs w:val="24"/>
              </w:rPr>
              <w:t xml:space="preserve">un </w:t>
            </w:r>
            <w:r w:rsidRPr="00327197" w:rsidR="0014207B">
              <w:rPr>
                <w:rFonts w:ascii="Times New Roman" w:hAnsi="Times New Roman" w:eastAsia="Times New Roman" w:cs="Times New Roman"/>
                <w:sz w:val="24"/>
                <w:szCs w:val="24"/>
              </w:rPr>
              <w:t>9</w:t>
            </w:r>
            <w:r w:rsidRPr="00327197">
              <w:rPr>
                <w:rFonts w:ascii="Times New Roman" w:hAnsi="Times New Roman" w:eastAsia="Times New Roman" w:cs="Times New Roman"/>
                <w:sz w:val="24"/>
                <w:szCs w:val="24"/>
              </w:rPr>
              <w:t>. </w:t>
            </w:r>
            <w:r w:rsidRPr="00327197" w:rsidR="004F1D58">
              <w:rPr>
                <w:rFonts w:ascii="Times New Roman" w:hAnsi="Times New Roman" w:eastAsia="Times New Roman" w:cs="Times New Roman"/>
                <w:sz w:val="24"/>
                <w:szCs w:val="24"/>
              </w:rPr>
              <w:t>p</w:t>
            </w:r>
            <w:r w:rsidRPr="00327197">
              <w:rPr>
                <w:rFonts w:ascii="Times New Roman" w:hAnsi="Times New Roman" w:eastAsia="Times New Roman" w:cs="Times New Roman"/>
                <w:sz w:val="24"/>
                <w:szCs w:val="24"/>
              </w:rPr>
              <w:t>unkts</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362717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2A7D72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tc>
      </w:tr>
      <w:tr w:rsidRPr="00327197" w:rsidR="00371557" w:rsidTr="005562B3" w14:paraId="1E6C703E"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RDefault="00A37DA0" w14:paraId="6FD19FC0"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RDefault="003A223B" w14:paraId="57EA716C"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1. panta 5. 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99556F" w:rsidRDefault="003A223B" w14:paraId="580E32FF"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 xml:space="preserve">Projekta </w:t>
            </w:r>
            <w:r w:rsidRPr="00327197" w:rsidR="0014207B">
              <w:rPr>
                <w:rFonts w:ascii="Times New Roman" w:hAnsi="Times New Roman" w:eastAsia="Times New Roman" w:cs="Times New Roman"/>
                <w:sz w:val="24"/>
                <w:szCs w:val="24"/>
              </w:rPr>
              <w:t>8</w:t>
            </w:r>
            <w:r w:rsidRPr="00327197" w:rsidR="00FA2643">
              <w:rPr>
                <w:rFonts w:ascii="Times New Roman" w:hAnsi="Times New Roman" w:eastAsia="Times New Roman" w:cs="Times New Roman"/>
                <w:sz w:val="24"/>
                <w:szCs w:val="24"/>
              </w:rPr>
              <w:t>. </w:t>
            </w:r>
            <w:r w:rsidRPr="00327197" w:rsidR="004F1D58">
              <w:rPr>
                <w:rFonts w:ascii="Times New Roman" w:hAnsi="Times New Roman" w:eastAsia="Times New Roman" w:cs="Times New Roman"/>
                <w:sz w:val="24"/>
                <w:szCs w:val="24"/>
              </w:rPr>
              <w:t>p</w:t>
            </w:r>
            <w:r w:rsidRPr="00327197" w:rsidR="00FA2643">
              <w:rPr>
                <w:rFonts w:ascii="Times New Roman" w:hAnsi="Times New Roman" w:eastAsia="Times New Roman" w:cs="Times New Roman"/>
                <w:sz w:val="24"/>
                <w:szCs w:val="24"/>
              </w:rPr>
              <w:t>unkts</w:t>
            </w:r>
            <w:r w:rsidRPr="00327197" w:rsidR="005E2616">
              <w:rPr>
                <w:rFonts w:ascii="Times New Roman" w:hAnsi="Times New Roman" w:eastAsia="Times New Roman" w:cs="Times New Roman"/>
                <w:sz w:val="24"/>
                <w:szCs w:val="24"/>
              </w:rPr>
              <w:t xml:space="preserve"> (110.</w:t>
            </w:r>
            <w:r w:rsidRPr="00327197" w:rsidR="005E2616">
              <w:rPr>
                <w:rFonts w:ascii="Times New Roman" w:hAnsi="Times New Roman" w:eastAsia="Times New Roman" w:cs="Times New Roman"/>
                <w:sz w:val="24"/>
                <w:szCs w:val="24"/>
                <w:vertAlign w:val="superscript"/>
              </w:rPr>
              <w:t>9</w:t>
            </w:r>
            <w:r w:rsidRPr="00327197" w:rsidR="005E2616">
              <w:rPr>
                <w:rFonts w:ascii="Times New Roman" w:hAnsi="Times New Roman" w:eastAsia="Times New Roman" w:cs="Times New Roman"/>
                <w:sz w:val="24"/>
                <w:szCs w:val="24"/>
              </w:rPr>
              <w:t>)</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3C736A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C889296"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tc>
      </w:tr>
      <w:tr w:rsidRPr="00327197" w:rsidR="00371557" w:rsidTr="005562B3" w14:paraId="68623946"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RDefault="00A37DA0" w14:paraId="411AB5CB"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RDefault="003A223B" w14:paraId="38BCFA39"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6. 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99556F" w:rsidRDefault="003A223B" w14:paraId="44D82F81"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14207B">
              <w:rPr>
                <w:rFonts w:ascii="Times New Roman" w:hAnsi="Times New Roman" w:eastAsia="Times New Roman" w:cs="Times New Roman"/>
                <w:sz w:val="24"/>
                <w:szCs w:val="24"/>
              </w:rPr>
              <w:t>8</w:t>
            </w:r>
            <w:r w:rsidRPr="00327197">
              <w:rPr>
                <w:rFonts w:ascii="Times New Roman" w:hAnsi="Times New Roman" w:eastAsia="Times New Roman" w:cs="Times New Roman"/>
                <w:sz w:val="24"/>
                <w:szCs w:val="24"/>
              </w:rPr>
              <w:t>.</w:t>
            </w:r>
            <w:r w:rsidRPr="00327197" w:rsidR="00FA2643">
              <w:rPr>
                <w:rFonts w:ascii="Times New Roman" w:hAnsi="Times New Roman" w:eastAsia="Times New Roman" w:cs="Times New Roman"/>
                <w:sz w:val="24"/>
                <w:szCs w:val="24"/>
              </w:rPr>
              <w:t> </w:t>
            </w:r>
            <w:r w:rsidRPr="00327197" w:rsidR="004F1D58">
              <w:rPr>
                <w:rFonts w:ascii="Times New Roman" w:hAnsi="Times New Roman" w:eastAsia="Times New Roman" w:cs="Times New Roman"/>
                <w:sz w:val="24"/>
                <w:szCs w:val="24"/>
              </w:rPr>
              <w:t>p</w:t>
            </w:r>
            <w:r w:rsidRPr="00327197" w:rsidR="00FA2643">
              <w:rPr>
                <w:rFonts w:ascii="Times New Roman" w:hAnsi="Times New Roman" w:eastAsia="Times New Roman" w:cs="Times New Roman"/>
                <w:sz w:val="24"/>
                <w:szCs w:val="24"/>
              </w:rPr>
              <w:t>unkts</w:t>
            </w:r>
            <w:r w:rsidRPr="00327197" w:rsidR="005E2616">
              <w:rPr>
                <w:rFonts w:ascii="Times New Roman" w:hAnsi="Times New Roman" w:eastAsia="Times New Roman" w:cs="Times New Roman"/>
                <w:sz w:val="24"/>
                <w:szCs w:val="24"/>
              </w:rPr>
              <w:t xml:space="preserve"> (</w:t>
            </w:r>
            <w:r w:rsidRPr="00327197" w:rsidR="00972606">
              <w:rPr>
                <w:rFonts w:ascii="Times New Roman" w:hAnsi="Times New Roman" w:eastAsia="Times New Roman" w:cs="Times New Roman"/>
                <w:sz w:val="24"/>
                <w:szCs w:val="24"/>
              </w:rPr>
              <w:t>110.</w:t>
            </w:r>
            <w:r w:rsidRPr="00327197" w:rsidR="00972606">
              <w:rPr>
                <w:rFonts w:ascii="Times New Roman" w:hAnsi="Times New Roman" w:eastAsia="Times New Roman" w:cs="Times New Roman"/>
                <w:sz w:val="24"/>
                <w:szCs w:val="24"/>
                <w:vertAlign w:val="superscript"/>
              </w:rPr>
              <w:t>5</w:t>
            </w:r>
            <w:r w:rsidRPr="00327197" w:rsidR="00972606">
              <w:rPr>
                <w:rFonts w:ascii="Times New Roman" w:hAnsi="Times New Roman" w:eastAsia="Times New Roman" w:cs="Times New Roman"/>
                <w:sz w:val="24"/>
                <w:szCs w:val="24"/>
              </w:rPr>
              <w:t xml:space="preserve">, </w:t>
            </w:r>
            <w:r w:rsidRPr="00327197" w:rsidR="005E2616">
              <w:rPr>
                <w:rFonts w:ascii="Times New Roman" w:hAnsi="Times New Roman" w:eastAsia="Times New Roman" w:cs="Times New Roman"/>
                <w:sz w:val="24"/>
                <w:szCs w:val="24"/>
              </w:rPr>
              <w:t>110.</w:t>
            </w:r>
            <w:r w:rsidRPr="00327197" w:rsidR="005E2616">
              <w:rPr>
                <w:rFonts w:ascii="Times New Roman" w:hAnsi="Times New Roman" w:eastAsia="Times New Roman" w:cs="Times New Roman"/>
                <w:sz w:val="24"/>
                <w:szCs w:val="24"/>
                <w:vertAlign w:val="superscript"/>
              </w:rPr>
              <w:t>11</w:t>
            </w:r>
            <w:r w:rsidRPr="00327197" w:rsidR="005E2616">
              <w:rPr>
                <w:rFonts w:ascii="Times New Roman" w:hAnsi="Times New Roman" w:eastAsia="Times New Roman" w:cs="Times New Roman"/>
                <w:sz w:val="24"/>
                <w:szCs w:val="24"/>
              </w:rPr>
              <w:t> 1., 110.</w:t>
            </w:r>
            <w:r w:rsidRPr="00327197" w:rsidR="005E2616">
              <w:rPr>
                <w:rFonts w:ascii="Times New Roman" w:hAnsi="Times New Roman" w:eastAsia="Times New Roman" w:cs="Times New Roman"/>
                <w:sz w:val="24"/>
                <w:szCs w:val="24"/>
                <w:vertAlign w:val="superscript"/>
              </w:rPr>
              <w:t>14</w:t>
            </w:r>
            <w:r w:rsidRPr="00327197" w:rsidR="005E2616">
              <w:rPr>
                <w:rFonts w:ascii="Times New Roman" w:hAnsi="Times New Roman" w:eastAsia="Times New Roman" w:cs="Times New Roman"/>
                <w:sz w:val="24"/>
                <w:szCs w:val="24"/>
              </w:rPr>
              <w:t>)</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4A336B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475DB1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tc>
      </w:tr>
      <w:tr w:rsidRPr="00327197" w:rsidR="00371557" w:rsidTr="005562B3" w14:paraId="1DD67EF6"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RDefault="00A37DA0" w14:paraId="1B3C1676"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RDefault="003A223B" w14:paraId="6B367326"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7. punkta a) apakšpunkta pirmais ievilkums</w:t>
            </w:r>
          </w:p>
          <w:tbl>
            <w:tblPr>
              <w:tblW w:w="1976" w:type="dxa"/>
              <w:tblLayout w:type="fixed"/>
              <w:tblCellMar>
                <w:top w:w="30" w:type="dxa"/>
                <w:left w:w="30" w:type="dxa"/>
                <w:bottom w:w="30" w:type="dxa"/>
                <w:right w:w="30" w:type="dxa"/>
              </w:tblCellMar>
              <w:tblLook w:val="0400" w:firstRow="0" w:lastRow="0" w:firstColumn="0" w:lastColumn="0" w:noHBand="0" w:noVBand="1"/>
            </w:tblPr>
            <w:tblGrid>
              <w:gridCol w:w="988"/>
              <w:gridCol w:w="988"/>
            </w:tblGrid>
            <w:tr w:rsidRPr="00327197" w:rsidR="00371557" w:rsidTr="005562B3" w14:paraId="2DDF6016" w14:textId="77777777">
              <w:tc>
                <w:tcPr>
                  <w:tcW w:w="988" w:type="dxa"/>
                  <w:shd w:val="clear" w:color="auto" w:fill="FFFFFF"/>
                </w:tcPr>
                <w:p w:rsidRPr="00327197" w:rsidR="00F80FC5" w:rsidP="005562B3" w:rsidRDefault="00F80FC5" w14:paraId="22EC612F" w14:textId="77777777">
                  <w:pPr>
                    <w:spacing w:after="0" w:line="240" w:lineRule="auto"/>
                    <w:jc w:val="both"/>
                    <w:rPr>
                      <w:rFonts w:ascii="Times New Roman" w:hAnsi="Times New Roman" w:eastAsia="Times New Roman" w:cs="Times New Roman"/>
                      <w:sz w:val="16"/>
                      <w:szCs w:val="16"/>
                    </w:rPr>
                  </w:pPr>
                </w:p>
              </w:tc>
              <w:tc>
                <w:tcPr>
                  <w:tcW w:w="988" w:type="dxa"/>
                  <w:shd w:val="clear" w:color="auto" w:fill="FFFFFF"/>
                </w:tcPr>
                <w:p w:rsidRPr="00327197" w:rsidR="00F80FC5" w:rsidP="005562B3" w:rsidRDefault="00F80FC5" w14:paraId="6158FC99" w14:textId="77777777">
                  <w:pPr>
                    <w:spacing w:after="0" w:line="240" w:lineRule="auto"/>
                    <w:rPr>
                      <w:rFonts w:ascii="Times New Roman" w:hAnsi="Times New Roman" w:eastAsia="Times New Roman" w:cs="Times New Roman"/>
                      <w:sz w:val="16"/>
                      <w:szCs w:val="16"/>
                    </w:rPr>
                  </w:pPr>
                </w:p>
              </w:tc>
            </w:tr>
          </w:tbl>
          <w:p w:rsidRPr="00327197" w:rsidR="00F80FC5" w:rsidP="005562B3" w:rsidRDefault="00F80FC5" w14:paraId="6D75F20C" w14:textId="77777777">
            <w:pPr>
              <w:spacing w:after="0" w:line="240" w:lineRule="auto"/>
              <w:rPr>
                <w:rFonts w:ascii="Times New Roman" w:hAnsi="Times New Roman" w:eastAsia="Times New Roman" w:cs="Times New Roman"/>
                <w:sz w:val="24"/>
                <w:szCs w:val="24"/>
              </w:rPr>
            </w:pP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60D3B031"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41B2F21"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jo noteikumos šī norma vēsturiski netika pārņemta, par cik neattiecās uz Latviju</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11EBCAF9" w14:textId="77777777">
            <w:pPr>
              <w:spacing w:after="0" w:line="240" w:lineRule="auto"/>
              <w:rPr>
                <w:rFonts w:ascii="Times New Roman" w:hAnsi="Times New Roman" w:eastAsia="Times New Roman" w:cs="Times New Roman"/>
                <w:sz w:val="24"/>
                <w:szCs w:val="24"/>
              </w:rPr>
            </w:pPr>
          </w:p>
        </w:tc>
      </w:tr>
      <w:tr w:rsidRPr="00327197" w:rsidR="00371557" w:rsidTr="005562B3" w14:paraId="1135683A"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RDefault="00A37DA0" w14:paraId="48D1684D"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RDefault="003A223B" w14:paraId="249B3002"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7. punkta a) apakšpunkta otrais ievilkums</w:t>
            </w:r>
          </w:p>
          <w:p w:rsidRPr="00327197" w:rsidR="00F80FC5" w:rsidRDefault="00F80FC5" w14:paraId="708D94FD" w14:textId="77777777">
            <w:pPr>
              <w:rPr>
                <w:rFonts w:ascii="Times New Roman" w:hAnsi="Times New Roman" w:eastAsia="Times New Roman" w:cs="Times New Roman"/>
                <w:sz w:val="24"/>
                <w:szCs w:val="24"/>
              </w:rPr>
            </w:pP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0299AD11"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C91221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jo netiek izmantota tiesību normā paredzētā rīcības brīvība, atbrīvot no paziņošanas pienākuma, par cik nav kuģošanas rajonu, kuros ir nodrošināts meklēšanas un glābšanas iespēju tuvums. Arī vēsturiski šī paredzētā rīcības netika pārņemta, par cik nebija aizsargāto jūras rajonu</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46D5C00C" w14:textId="77777777">
            <w:pPr>
              <w:spacing w:after="0" w:line="240" w:lineRule="auto"/>
              <w:rPr>
                <w:rFonts w:ascii="Times New Roman" w:hAnsi="Times New Roman" w:eastAsia="Times New Roman" w:cs="Times New Roman"/>
                <w:sz w:val="24"/>
                <w:szCs w:val="24"/>
              </w:rPr>
            </w:pPr>
          </w:p>
        </w:tc>
      </w:tr>
      <w:tr w:rsidRPr="00327197" w:rsidR="00371557" w:rsidTr="005562B3" w14:paraId="74C2B765"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RDefault="00A37DA0" w14:paraId="48EC20B5"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RDefault="003A223B" w14:paraId="25AF9CF7"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7. punkta a) apakšpunkta trešais ievilkums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5D258812"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3E1FA4D"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(regulē citu dalībvalstu kompetenci)</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0F4C14B2" w14:textId="77777777">
            <w:pPr>
              <w:spacing w:after="0" w:line="240" w:lineRule="auto"/>
              <w:rPr>
                <w:rFonts w:ascii="Times New Roman" w:hAnsi="Times New Roman" w:eastAsia="Times New Roman" w:cs="Times New Roman"/>
                <w:sz w:val="24"/>
                <w:szCs w:val="24"/>
              </w:rPr>
            </w:pPr>
          </w:p>
        </w:tc>
      </w:tr>
      <w:tr w:rsidRPr="00327197" w:rsidR="00371557" w:rsidTr="005562B3" w14:paraId="48AE1EC5"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RDefault="00A37DA0" w14:paraId="6D028983"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RDefault="003A223B" w14:paraId="15624F1E"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7. punkta b) apakšpunkts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7781F45B"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F884BAE"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jo netiek izmantota tiesību normā paredzētā rīcības brīvība, atbrīvot no paziņošanas pienākuma</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3ACC3F88" w14:textId="77777777">
            <w:pPr>
              <w:spacing w:after="0" w:line="240" w:lineRule="auto"/>
              <w:rPr>
                <w:rFonts w:ascii="Times New Roman" w:hAnsi="Times New Roman" w:eastAsia="Times New Roman" w:cs="Times New Roman"/>
                <w:sz w:val="24"/>
                <w:szCs w:val="24"/>
              </w:rPr>
            </w:pPr>
          </w:p>
        </w:tc>
      </w:tr>
      <w:tr w:rsidRPr="00327197" w:rsidR="00371557" w:rsidTr="005562B3" w14:paraId="05B36D7C"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RDefault="00A37DA0" w14:paraId="5ADF47A7"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RDefault="003A223B" w14:paraId="42CCB493" w14:textId="77777777">
            <w:pPr>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1. panta 7. punkta c) apakšpunkts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42383C40"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26C3CB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Nav attiecināma, jo netiek izmantota tiesību normā paredzētā rīcības </w:t>
            </w:r>
            <w:r w:rsidRPr="00327197">
              <w:rPr>
                <w:rFonts w:ascii="Times New Roman" w:hAnsi="Times New Roman" w:eastAsia="Times New Roman" w:cs="Times New Roman"/>
                <w:sz w:val="24"/>
                <w:szCs w:val="24"/>
              </w:rPr>
              <w:lastRenderedPageBreak/>
              <w:t>brīvība, atbrīvot no paziņošanas pienākuma</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0D620DAD" w14:textId="77777777">
            <w:pPr>
              <w:spacing w:after="0" w:line="240" w:lineRule="auto"/>
              <w:rPr>
                <w:rFonts w:ascii="Times New Roman" w:hAnsi="Times New Roman" w:eastAsia="Times New Roman" w:cs="Times New Roman"/>
                <w:sz w:val="24"/>
                <w:szCs w:val="24"/>
              </w:rPr>
            </w:pPr>
          </w:p>
        </w:tc>
      </w:tr>
      <w:tr w:rsidRPr="00327197" w:rsidR="00371557" w:rsidTr="005562B3" w14:paraId="425AAA64"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4F7BEB0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5FF4B2ED"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8. punkts</w:t>
            </w:r>
          </w:p>
          <w:tbl>
            <w:tblPr>
              <w:tblW w:w="1976" w:type="dxa"/>
              <w:tblLayout w:type="fixed"/>
              <w:tblCellMar>
                <w:top w:w="30" w:type="dxa"/>
                <w:left w:w="30" w:type="dxa"/>
                <w:bottom w:w="30" w:type="dxa"/>
                <w:right w:w="30" w:type="dxa"/>
              </w:tblCellMar>
              <w:tblLook w:val="0400" w:firstRow="0" w:lastRow="0" w:firstColumn="0" w:lastColumn="0" w:noHBand="0" w:noVBand="1"/>
            </w:tblPr>
            <w:tblGrid>
              <w:gridCol w:w="988"/>
              <w:gridCol w:w="988"/>
            </w:tblGrid>
            <w:tr w:rsidRPr="00327197" w:rsidR="00371557" w:rsidTr="005562B3" w14:paraId="29BF2EF6" w14:textId="77777777">
              <w:tc>
                <w:tcPr>
                  <w:tcW w:w="988" w:type="dxa"/>
                  <w:shd w:val="clear" w:color="auto" w:fill="FFFFFF"/>
                </w:tcPr>
                <w:p w:rsidRPr="00327197" w:rsidR="00F80FC5" w:rsidP="005562B3" w:rsidRDefault="00F80FC5" w14:paraId="49811533" w14:textId="77777777">
                  <w:pPr>
                    <w:spacing w:after="0" w:line="240" w:lineRule="auto"/>
                    <w:jc w:val="both"/>
                    <w:rPr>
                      <w:rFonts w:ascii="Times New Roman" w:hAnsi="Times New Roman" w:eastAsia="Times New Roman" w:cs="Times New Roman"/>
                      <w:sz w:val="16"/>
                      <w:szCs w:val="16"/>
                    </w:rPr>
                  </w:pPr>
                </w:p>
              </w:tc>
              <w:tc>
                <w:tcPr>
                  <w:tcW w:w="988" w:type="dxa"/>
                  <w:shd w:val="clear" w:color="auto" w:fill="FFFFFF"/>
                </w:tcPr>
                <w:p w:rsidRPr="00327197" w:rsidR="00F80FC5" w:rsidP="005562B3" w:rsidRDefault="00F80FC5" w14:paraId="78171CF7" w14:textId="77777777">
                  <w:pPr>
                    <w:spacing w:after="0" w:line="240" w:lineRule="auto"/>
                    <w:jc w:val="both"/>
                    <w:rPr>
                      <w:rFonts w:ascii="Times New Roman" w:hAnsi="Times New Roman" w:eastAsia="Times New Roman" w:cs="Times New Roman"/>
                      <w:sz w:val="16"/>
                      <w:szCs w:val="16"/>
                    </w:rPr>
                  </w:pPr>
                </w:p>
              </w:tc>
            </w:tr>
          </w:tbl>
          <w:p w:rsidRPr="00327197" w:rsidR="00F80FC5" w:rsidP="005562B3" w:rsidRDefault="00F80FC5" w14:paraId="26795754" w14:textId="77777777">
            <w:pPr>
              <w:spacing w:after="0" w:line="240" w:lineRule="auto"/>
              <w:rPr>
                <w:rFonts w:ascii="Times New Roman" w:hAnsi="Times New Roman" w:eastAsia="Times New Roman" w:cs="Times New Roman"/>
                <w:sz w:val="24"/>
                <w:szCs w:val="24"/>
              </w:rPr>
            </w:pP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99556F" w:rsidRDefault="003A223B" w14:paraId="181801B1"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14207B">
              <w:rPr>
                <w:rFonts w:ascii="Times New Roman" w:hAnsi="Times New Roman" w:eastAsia="Times New Roman" w:cs="Times New Roman"/>
                <w:sz w:val="24"/>
                <w:szCs w:val="24"/>
              </w:rPr>
              <w:t>8</w:t>
            </w:r>
            <w:r w:rsidRPr="00327197" w:rsidR="00FA2643">
              <w:rPr>
                <w:rFonts w:ascii="Times New Roman" w:hAnsi="Times New Roman" w:eastAsia="Times New Roman" w:cs="Times New Roman"/>
                <w:sz w:val="24"/>
                <w:szCs w:val="24"/>
              </w:rPr>
              <w:t>.</w:t>
            </w:r>
            <w:r w:rsidRPr="00327197" w:rsidR="00FA2643">
              <w:t> </w:t>
            </w:r>
            <w:r w:rsidRPr="00327197" w:rsidR="004F1D58">
              <w:rPr>
                <w:rFonts w:ascii="Times New Roman" w:hAnsi="Times New Roman" w:eastAsia="Times New Roman" w:cs="Times New Roman"/>
                <w:sz w:val="24"/>
                <w:szCs w:val="24"/>
              </w:rPr>
              <w:t>p</w:t>
            </w:r>
            <w:r w:rsidRPr="00327197">
              <w:rPr>
                <w:rFonts w:ascii="Times New Roman" w:hAnsi="Times New Roman" w:eastAsia="Times New Roman" w:cs="Times New Roman"/>
                <w:sz w:val="24"/>
                <w:szCs w:val="24"/>
              </w:rPr>
              <w:t>unkts</w:t>
            </w:r>
            <w:r w:rsidRPr="00327197" w:rsidR="000D6728">
              <w:rPr>
                <w:rFonts w:ascii="Times New Roman" w:hAnsi="Times New Roman" w:eastAsia="Times New Roman" w:cs="Times New Roman"/>
                <w:sz w:val="24"/>
                <w:szCs w:val="24"/>
              </w:rPr>
              <w:t xml:space="preserve"> </w:t>
            </w:r>
            <w:r w:rsidRPr="00327197" w:rsidR="00972606">
              <w:rPr>
                <w:rFonts w:ascii="Times New Roman" w:hAnsi="Times New Roman" w:eastAsia="Times New Roman" w:cs="Times New Roman"/>
                <w:sz w:val="24"/>
                <w:szCs w:val="24"/>
              </w:rPr>
              <w:t>(110.</w:t>
            </w:r>
            <w:r w:rsidRPr="00327197" w:rsidR="00972606">
              <w:rPr>
                <w:rFonts w:ascii="Times New Roman" w:hAnsi="Times New Roman" w:eastAsia="Times New Roman" w:cs="Times New Roman"/>
                <w:sz w:val="24"/>
                <w:szCs w:val="24"/>
                <w:vertAlign w:val="superscript"/>
              </w:rPr>
              <w:t>7</w:t>
            </w:r>
            <w:r w:rsidRPr="00327197" w:rsidR="00972606">
              <w:rPr>
                <w:rFonts w:ascii="Times New Roman" w:hAnsi="Times New Roman" w:eastAsia="Times New Roman" w:cs="Times New Roman"/>
                <w:sz w:val="24"/>
                <w:szCs w:val="24"/>
              </w:rPr>
              <w:t>, 110.</w:t>
            </w:r>
            <w:r w:rsidRPr="00327197" w:rsidR="00972606">
              <w:rPr>
                <w:rFonts w:ascii="Times New Roman" w:hAnsi="Times New Roman" w:eastAsia="Times New Roman" w:cs="Times New Roman"/>
                <w:sz w:val="24"/>
                <w:szCs w:val="24"/>
                <w:vertAlign w:val="superscript"/>
              </w:rPr>
              <w:t>8</w:t>
            </w:r>
            <w:r w:rsidRPr="00327197" w:rsidR="00972606">
              <w:rPr>
                <w:rFonts w:ascii="Times New Roman" w:hAnsi="Times New Roman" w:eastAsia="Times New Roman" w:cs="Times New Roman"/>
                <w:sz w:val="24"/>
                <w:szCs w:val="24"/>
              </w:rPr>
              <w:t>, 110.</w:t>
            </w:r>
            <w:r w:rsidRPr="00327197" w:rsidR="00972606">
              <w:rPr>
                <w:rFonts w:ascii="Times New Roman" w:hAnsi="Times New Roman" w:eastAsia="Times New Roman" w:cs="Times New Roman"/>
                <w:sz w:val="24"/>
                <w:szCs w:val="24"/>
                <w:vertAlign w:val="superscript"/>
              </w:rPr>
              <w:t>11</w:t>
            </w:r>
            <w:r w:rsidRPr="00327197" w:rsidR="00972606">
              <w:rPr>
                <w:rFonts w:ascii="Times New Roman" w:hAnsi="Times New Roman" w:eastAsia="Times New Roman" w:cs="Times New Roman"/>
                <w:sz w:val="24"/>
                <w:szCs w:val="24"/>
              </w:rPr>
              <w:t> 2., 110.</w:t>
            </w:r>
            <w:r w:rsidRPr="00327197" w:rsidR="00972606">
              <w:rPr>
                <w:rFonts w:ascii="Times New Roman" w:hAnsi="Times New Roman" w:eastAsia="Times New Roman" w:cs="Times New Roman"/>
                <w:sz w:val="24"/>
                <w:szCs w:val="24"/>
                <w:vertAlign w:val="superscript"/>
              </w:rPr>
              <w:t>12</w:t>
            </w:r>
            <w:r w:rsidRPr="00327197" w:rsidR="00972606">
              <w:rPr>
                <w:rFonts w:ascii="Times New Roman" w:hAnsi="Times New Roman" w:eastAsia="Times New Roman" w:cs="Times New Roman"/>
                <w:sz w:val="24"/>
                <w:szCs w:val="24"/>
              </w:rPr>
              <w:t>, 110.</w:t>
            </w:r>
            <w:r w:rsidRPr="00327197" w:rsidR="00972606">
              <w:rPr>
                <w:rFonts w:ascii="Times New Roman" w:hAnsi="Times New Roman" w:eastAsia="Times New Roman" w:cs="Times New Roman"/>
                <w:sz w:val="24"/>
                <w:szCs w:val="24"/>
                <w:vertAlign w:val="superscript"/>
              </w:rPr>
              <w:t>13</w:t>
            </w:r>
            <w:r w:rsidRPr="00327197" w:rsidR="00972606">
              <w:rPr>
                <w:rFonts w:ascii="Times New Roman" w:hAnsi="Times New Roman" w:eastAsia="Times New Roman" w:cs="Times New Roman"/>
                <w:sz w:val="24"/>
                <w:szCs w:val="24"/>
              </w:rPr>
              <w:t xml:space="preserve">) </w:t>
            </w:r>
            <w:r w:rsidRPr="00327197" w:rsidR="000D6728">
              <w:rPr>
                <w:rFonts w:ascii="Times New Roman" w:hAnsi="Times New Roman" w:eastAsia="Times New Roman" w:cs="Times New Roman"/>
                <w:sz w:val="24"/>
                <w:szCs w:val="24"/>
              </w:rPr>
              <w:t>(s</w:t>
            </w:r>
            <w:r w:rsidRPr="00327197" w:rsidR="00652367">
              <w:rPr>
                <w:rFonts w:ascii="Times New Roman" w:hAnsi="Times New Roman" w:eastAsia="Times New Roman" w:cs="Times New Roman"/>
                <w:sz w:val="24"/>
                <w:szCs w:val="24"/>
              </w:rPr>
              <w:t xml:space="preserve">k. arī anotācijas IV sadaļas </w:t>
            </w:r>
            <w:r w:rsidRPr="00327197" w:rsidR="00371557">
              <w:rPr>
                <w:rFonts w:ascii="Times New Roman" w:hAnsi="Times New Roman" w:eastAsia="Times New Roman" w:cs="Times New Roman"/>
                <w:sz w:val="24"/>
                <w:szCs w:val="24"/>
              </w:rPr>
              <w:t>1</w:t>
            </w:r>
            <w:r w:rsidRPr="00327197" w:rsidR="00652367">
              <w:rPr>
                <w:rFonts w:ascii="Times New Roman" w:hAnsi="Times New Roman" w:eastAsia="Times New Roman" w:cs="Times New Roman"/>
                <w:sz w:val="24"/>
                <w:szCs w:val="24"/>
              </w:rPr>
              <w:t>. </w:t>
            </w:r>
            <w:r w:rsidRPr="00327197" w:rsidR="000D6728">
              <w:rPr>
                <w:rFonts w:ascii="Times New Roman" w:hAnsi="Times New Roman" w:eastAsia="Times New Roman" w:cs="Times New Roman"/>
                <w:sz w:val="24"/>
                <w:szCs w:val="24"/>
              </w:rPr>
              <w:t>punktu)</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C05A46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F814A6E"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p w:rsidRPr="00327197" w:rsidR="00F80FC5" w:rsidP="005562B3" w:rsidRDefault="00F80FC5" w14:paraId="0E112239" w14:textId="77777777">
            <w:pPr>
              <w:spacing w:after="0" w:line="240" w:lineRule="auto"/>
              <w:rPr>
                <w:rFonts w:ascii="Times New Roman" w:hAnsi="Times New Roman" w:eastAsia="Times New Roman" w:cs="Times New Roman"/>
                <w:sz w:val="24"/>
                <w:szCs w:val="24"/>
              </w:rPr>
            </w:pPr>
          </w:p>
        </w:tc>
      </w:tr>
      <w:tr w:rsidRPr="00327197" w:rsidR="00371557" w:rsidTr="005562B3" w14:paraId="09B5E443"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2B47955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74384034"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9. 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99556F" w:rsidRDefault="003A223B" w14:paraId="2D040DCB"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14207B">
              <w:rPr>
                <w:rFonts w:ascii="Times New Roman" w:hAnsi="Times New Roman" w:eastAsia="Times New Roman" w:cs="Times New Roman"/>
                <w:sz w:val="24"/>
                <w:szCs w:val="24"/>
              </w:rPr>
              <w:t>8</w:t>
            </w:r>
            <w:r w:rsidRPr="00327197" w:rsidR="000D6728">
              <w:rPr>
                <w:rFonts w:ascii="Times New Roman" w:hAnsi="Times New Roman" w:eastAsia="Times New Roman" w:cs="Times New Roman"/>
                <w:sz w:val="24"/>
                <w:szCs w:val="24"/>
              </w:rPr>
              <w:t>. punkts</w:t>
            </w:r>
            <w:r w:rsidRPr="00327197" w:rsidR="00972606">
              <w:rPr>
                <w:rFonts w:ascii="Times New Roman" w:hAnsi="Times New Roman" w:eastAsia="Times New Roman" w:cs="Times New Roman"/>
                <w:sz w:val="24"/>
                <w:szCs w:val="24"/>
              </w:rPr>
              <w:t xml:space="preserve"> (110.</w:t>
            </w:r>
            <w:r w:rsidRPr="00327197" w:rsidR="00972606">
              <w:rPr>
                <w:rFonts w:ascii="Times New Roman" w:hAnsi="Times New Roman" w:eastAsia="Times New Roman" w:cs="Times New Roman"/>
                <w:sz w:val="24"/>
                <w:szCs w:val="24"/>
                <w:vertAlign w:val="superscript"/>
              </w:rPr>
              <w:t>11</w:t>
            </w:r>
            <w:r w:rsidRPr="00327197" w:rsidR="00972606">
              <w:rPr>
                <w:rFonts w:ascii="Times New Roman" w:hAnsi="Times New Roman" w:eastAsia="Times New Roman" w:cs="Times New Roman"/>
                <w:sz w:val="24"/>
                <w:szCs w:val="24"/>
              </w:rPr>
              <w:t> 3., 110.</w:t>
            </w:r>
            <w:r w:rsidRPr="00327197" w:rsidR="00972606">
              <w:rPr>
                <w:rFonts w:ascii="Times New Roman" w:hAnsi="Times New Roman" w:eastAsia="Times New Roman" w:cs="Times New Roman"/>
                <w:sz w:val="24"/>
                <w:szCs w:val="24"/>
                <w:vertAlign w:val="superscript"/>
              </w:rPr>
              <w:t>11</w:t>
            </w:r>
            <w:r w:rsidRPr="00327197" w:rsidR="00972606">
              <w:rPr>
                <w:rFonts w:ascii="Times New Roman" w:hAnsi="Times New Roman" w:eastAsia="Times New Roman" w:cs="Times New Roman"/>
                <w:sz w:val="24"/>
                <w:szCs w:val="24"/>
              </w:rPr>
              <w:t> 4.)</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F91E4D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B03BEA6"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tc>
      </w:tr>
      <w:tr w:rsidRPr="00327197" w:rsidR="00371557" w:rsidTr="005562B3" w14:paraId="1F61E937"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22029EDB"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5994FA1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10. 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99556F" w:rsidRDefault="003A223B" w14:paraId="434B4FF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14207B">
              <w:rPr>
                <w:rFonts w:ascii="Times New Roman" w:hAnsi="Times New Roman" w:eastAsia="Times New Roman" w:cs="Times New Roman"/>
                <w:sz w:val="24"/>
                <w:szCs w:val="24"/>
              </w:rPr>
              <w:t>8</w:t>
            </w:r>
            <w:r w:rsidRPr="00327197" w:rsidR="000D6728">
              <w:rPr>
                <w:rFonts w:ascii="Times New Roman" w:hAnsi="Times New Roman" w:eastAsia="Times New Roman" w:cs="Times New Roman"/>
                <w:sz w:val="24"/>
                <w:szCs w:val="24"/>
              </w:rPr>
              <w:t>. </w:t>
            </w:r>
            <w:r w:rsidRPr="00327197" w:rsidR="004F1D58">
              <w:rPr>
                <w:rFonts w:ascii="Times New Roman" w:hAnsi="Times New Roman" w:eastAsia="Times New Roman" w:cs="Times New Roman"/>
                <w:sz w:val="24"/>
                <w:szCs w:val="24"/>
              </w:rPr>
              <w:t>p</w:t>
            </w:r>
            <w:r w:rsidRPr="00327197" w:rsidR="000D6728">
              <w:rPr>
                <w:rFonts w:ascii="Times New Roman" w:hAnsi="Times New Roman" w:eastAsia="Times New Roman" w:cs="Times New Roman"/>
                <w:sz w:val="24"/>
                <w:szCs w:val="24"/>
              </w:rPr>
              <w:t>unkts</w:t>
            </w:r>
            <w:r w:rsidRPr="00327197" w:rsidR="00972606">
              <w:rPr>
                <w:rFonts w:ascii="Times New Roman" w:hAnsi="Times New Roman" w:eastAsia="Times New Roman" w:cs="Times New Roman"/>
                <w:sz w:val="24"/>
                <w:szCs w:val="24"/>
              </w:rPr>
              <w:t xml:space="preserve"> (110.</w:t>
            </w:r>
            <w:r w:rsidRPr="00327197" w:rsidR="00972606">
              <w:rPr>
                <w:rFonts w:ascii="Times New Roman" w:hAnsi="Times New Roman" w:eastAsia="Times New Roman" w:cs="Times New Roman"/>
                <w:sz w:val="24"/>
                <w:szCs w:val="24"/>
                <w:vertAlign w:val="superscript"/>
              </w:rPr>
              <w:t>14</w:t>
            </w:r>
            <w:r w:rsidRPr="00327197" w:rsidR="00972606">
              <w:rPr>
                <w:rFonts w:ascii="Times New Roman" w:hAnsi="Times New Roman" w:eastAsia="Times New Roman" w:cs="Times New Roman"/>
                <w:sz w:val="24"/>
                <w:szCs w:val="24"/>
              </w:rPr>
              <w:t>)</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B46DFF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90AD38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tc>
      </w:tr>
      <w:tr w:rsidRPr="00327197" w:rsidR="00371557" w:rsidTr="005562B3" w14:paraId="397A1EC3"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0A3CB08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554D2B2B"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11. 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0C7E01B1"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9139A7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(regulē Eiropas Komisijas kompetenci)</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6018FBA0" w14:textId="77777777">
            <w:pPr>
              <w:spacing w:after="0" w:line="240" w:lineRule="auto"/>
              <w:rPr>
                <w:rFonts w:ascii="Times New Roman" w:hAnsi="Times New Roman" w:eastAsia="Times New Roman" w:cs="Times New Roman"/>
                <w:sz w:val="24"/>
                <w:szCs w:val="24"/>
              </w:rPr>
            </w:pPr>
          </w:p>
        </w:tc>
      </w:tr>
      <w:tr w:rsidRPr="00327197" w:rsidR="00371557" w:rsidTr="005562B3" w14:paraId="288B7BAC"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1CFAFF6D"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6425B13E"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12. 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150D7DA7"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19A393F"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(regulē Eiropas Komisijas kompetenci)</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54930DF6" w14:textId="77777777">
            <w:pPr>
              <w:spacing w:after="0" w:line="240" w:lineRule="auto"/>
              <w:rPr>
                <w:rFonts w:ascii="Times New Roman" w:hAnsi="Times New Roman" w:eastAsia="Times New Roman" w:cs="Times New Roman"/>
                <w:sz w:val="24"/>
                <w:szCs w:val="24"/>
              </w:rPr>
            </w:pPr>
          </w:p>
        </w:tc>
      </w:tr>
      <w:tr w:rsidRPr="00327197" w:rsidR="00371557" w:rsidTr="005562B3" w14:paraId="038BF085"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0A143F24"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45C710C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13. punkta a) apakšpunkts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00DAC3AA"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390F46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(regulē Eiropas Komisijas kompetenci)</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4AFDBEC2" w14:textId="77777777">
            <w:pPr>
              <w:spacing w:after="0" w:line="240" w:lineRule="auto"/>
              <w:rPr>
                <w:rFonts w:ascii="Times New Roman" w:hAnsi="Times New Roman" w:eastAsia="Times New Roman" w:cs="Times New Roman"/>
                <w:sz w:val="24"/>
                <w:szCs w:val="24"/>
              </w:rPr>
            </w:pPr>
          </w:p>
        </w:tc>
      </w:tr>
      <w:tr w:rsidRPr="00327197" w:rsidR="00371557" w:rsidTr="005562B3" w14:paraId="1F855E52"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2A96E234"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7970AE1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13. punkta a) apakšpunkts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72D3BA50"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F9F88F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(regulē Eiropas Komisijas kompetenci)</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66568050" w14:textId="77777777">
            <w:pPr>
              <w:spacing w:after="0" w:line="240" w:lineRule="auto"/>
              <w:rPr>
                <w:rFonts w:ascii="Times New Roman" w:hAnsi="Times New Roman" w:eastAsia="Times New Roman" w:cs="Times New Roman"/>
                <w:sz w:val="24"/>
                <w:szCs w:val="24"/>
              </w:rPr>
            </w:pPr>
          </w:p>
        </w:tc>
      </w:tr>
      <w:tr w:rsidRPr="00327197" w:rsidR="00371557" w:rsidTr="005562B3" w14:paraId="697D8418"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5A8040C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0542466D"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 panta 14. 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5A946A2F"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ABA7BD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(regulē Eiropas Komisijas kompetenci)</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2F2CEC99" w14:textId="77777777">
            <w:pPr>
              <w:spacing w:after="0" w:line="240" w:lineRule="auto"/>
              <w:rPr>
                <w:rFonts w:ascii="Times New Roman" w:hAnsi="Times New Roman" w:eastAsia="Times New Roman" w:cs="Times New Roman"/>
                <w:sz w:val="24"/>
                <w:szCs w:val="24"/>
              </w:rPr>
            </w:pPr>
          </w:p>
        </w:tc>
      </w:tr>
      <w:tr w:rsidRPr="00327197" w:rsidR="00371557" w:rsidTr="005562B3" w14:paraId="62575DB9"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0F4176BF"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0D6728" w:rsidP="005562B3" w:rsidRDefault="000D6728" w14:paraId="5D7531AF"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2. pants </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0D6728" w:rsidP="0099556F" w:rsidRDefault="000D6728" w14:paraId="73FFFE8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14207B">
              <w:rPr>
                <w:rFonts w:ascii="Times New Roman" w:hAnsi="Times New Roman" w:eastAsia="Times New Roman" w:cs="Times New Roman"/>
                <w:sz w:val="24"/>
                <w:szCs w:val="24"/>
              </w:rPr>
              <w:t>8</w:t>
            </w:r>
            <w:r w:rsidRPr="00327197">
              <w:rPr>
                <w:rFonts w:ascii="Times New Roman" w:hAnsi="Times New Roman" w:eastAsia="Times New Roman" w:cs="Times New Roman"/>
                <w:sz w:val="24"/>
                <w:szCs w:val="24"/>
              </w:rPr>
              <w:t>.</w:t>
            </w:r>
            <w:r w:rsidRPr="00327197">
              <w:rPr>
                <w:rFonts w:ascii="Times New Roman" w:hAnsi="Times New Roman" w:cs="Times New Roman"/>
                <w:sz w:val="24"/>
                <w:szCs w:val="24"/>
              </w:rPr>
              <w:t> </w:t>
            </w:r>
            <w:r w:rsidRPr="00327197">
              <w:rPr>
                <w:rFonts w:ascii="Times New Roman" w:hAnsi="Times New Roman" w:eastAsia="Times New Roman" w:cs="Times New Roman"/>
                <w:sz w:val="24"/>
                <w:szCs w:val="24"/>
              </w:rPr>
              <w:t xml:space="preserve">punkts </w:t>
            </w:r>
            <w:r w:rsidRPr="00327197" w:rsidR="00972606">
              <w:rPr>
                <w:rFonts w:ascii="Times New Roman" w:hAnsi="Times New Roman" w:eastAsia="Times New Roman" w:cs="Times New Roman"/>
                <w:sz w:val="24"/>
                <w:szCs w:val="24"/>
              </w:rPr>
              <w:t>(9.</w:t>
            </w:r>
            <w:r w:rsidRPr="00327197" w:rsidR="00972606">
              <w:rPr>
                <w:rFonts w:ascii="Times New Roman" w:hAnsi="Times New Roman" w:eastAsia="Times New Roman" w:cs="Times New Roman"/>
                <w:sz w:val="24"/>
                <w:szCs w:val="24"/>
                <w:vertAlign w:val="superscript"/>
              </w:rPr>
              <w:t>1</w:t>
            </w:r>
            <w:r w:rsidRPr="00327197" w:rsidR="00972606">
              <w:rPr>
                <w:rFonts w:ascii="Times New Roman" w:hAnsi="Times New Roman" w:eastAsia="Times New Roman" w:cs="Times New Roman"/>
                <w:sz w:val="24"/>
                <w:szCs w:val="24"/>
              </w:rPr>
              <w:t xml:space="preserve"> nodaļa) </w:t>
            </w:r>
            <w:r w:rsidRPr="00327197">
              <w:rPr>
                <w:rFonts w:ascii="Times New Roman" w:hAnsi="Times New Roman" w:eastAsia="Times New Roman" w:cs="Times New Roman"/>
                <w:sz w:val="24"/>
                <w:szCs w:val="24"/>
              </w:rPr>
              <w:t>(s</w:t>
            </w:r>
            <w:r w:rsidRPr="00327197" w:rsidR="00652367">
              <w:rPr>
                <w:rFonts w:ascii="Times New Roman" w:hAnsi="Times New Roman" w:eastAsia="Times New Roman" w:cs="Times New Roman"/>
                <w:sz w:val="24"/>
                <w:szCs w:val="24"/>
              </w:rPr>
              <w:t xml:space="preserve">k. arī anotācijas IV sadaļas </w:t>
            </w:r>
            <w:r w:rsidRPr="00327197" w:rsidR="00371557">
              <w:rPr>
                <w:rFonts w:ascii="Times New Roman" w:hAnsi="Times New Roman" w:eastAsia="Times New Roman" w:cs="Times New Roman"/>
                <w:sz w:val="24"/>
                <w:szCs w:val="24"/>
              </w:rPr>
              <w:t>1</w:t>
            </w:r>
            <w:r w:rsidRPr="00327197" w:rsidR="00652367">
              <w:rPr>
                <w:rFonts w:ascii="Times New Roman" w:hAnsi="Times New Roman" w:eastAsia="Times New Roman" w:cs="Times New Roman"/>
                <w:sz w:val="24"/>
                <w:szCs w:val="24"/>
              </w:rPr>
              <w:t>. </w:t>
            </w:r>
            <w:r w:rsidRPr="00327197">
              <w:rPr>
                <w:rFonts w:ascii="Times New Roman" w:hAnsi="Times New Roman" w:eastAsia="Times New Roman" w:cs="Times New Roman"/>
                <w:sz w:val="24"/>
                <w:szCs w:val="24"/>
              </w:rPr>
              <w:t>punktu)</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0D6728" w:rsidP="005562B3" w:rsidRDefault="000D6728" w14:paraId="3ED4A031"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0D6728" w:rsidP="005562B3" w:rsidRDefault="000D6728" w14:paraId="7E124A2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p w:rsidRPr="00327197" w:rsidR="000D6728" w:rsidP="005562B3" w:rsidRDefault="000D6728" w14:paraId="1EB35F2F" w14:textId="77777777">
            <w:pPr>
              <w:spacing w:after="0" w:line="240" w:lineRule="auto"/>
              <w:rPr>
                <w:rFonts w:ascii="Times New Roman" w:hAnsi="Times New Roman" w:eastAsia="Times New Roman" w:cs="Times New Roman"/>
                <w:sz w:val="24"/>
                <w:szCs w:val="24"/>
              </w:rPr>
            </w:pPr>
          </w:p>
        </w:tc>
      </w:tr>
      <w:tr w:rsidRPr="00327197" w:rsidR="00371557" w:rsidTr="005562B3" w14:paraId="72DECBCC"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4CB35F44"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185AA47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 panta 1. 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99556F" w:rsidRDefault="003A223B" w14:paraId="6864779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Projekta </w:t>
            </w:r>
            <w:r w:rsidRPr="00327197" w:rsidR="00ED6564">
              <w:rPr>
                <w:rFonts w:ascii="Times New Roman" w:hAnsi="Times New Roman" w:eastAsia="Times New Roman" w:cs="Times New Roman"/>
                <w:sz w:val="24"/>
                <w:szCs w:val="24"/>
              </w:rPr>
              <w:t>10.</w:t>
            </w:r>
            <w:r w:rsidR="0099556F">
              <w:rPr>
                <w:rFonts w:ascii="Times New Roman" w:hAnsi="Times New Roman" w:eastAsia="Times New Roman" w:cs="Times New Roman"/>
                <w:sz w:val="24"/>
                <w:szCs w:val="24"/>
              </w:rPr>
              <w:t> punkts</w:t>
            </w: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14CE08D"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Pārņemta pilnībā  </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D4F755D"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Neparedz stingrākas prasības</w:t>
            </w:r>
          </w:p>
          <w:p w:rsidRPr="00327197" w:rsidR="00F80FC5" w:rsidP="005562B3" w:rsidRDefault="00F80FC5" w14:paraId="5C56393D" w14:textId="77777777">
            <w:pPr>
              <w:spacing w:after="0" w:line="240" w:lineRule="auto"/>
              <w:rPr>
                <w:rFonts w:ascii="Times New Roman" w:hAnsi="Times New Roman" w:eastAsia="Times New Roman" w:cs="Times New Roman"/>
                <w:sz w:val="24"/>
                <w:szCs w:val="24"/>
              </w:rPr>
            </w:pPr>
          </w:p>
        </w:tc>
      </w:tr>
      <w:tr w:rsidRPr="00327197" w:rsidR="00371557" w:rsidTr="005562B3" w14:paraId="7E77CDBD"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683D4DDD"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12E101C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 panta 2. punkts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5D0D4D96"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26652B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uz projektu</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0A807E3E" w14:textId="77777777">
            <w:pPr>
              <w:spacing w:after="0" w:line="240" w:lineRule="auto"/>
              <w:rPr>
                <w:rFonts w:ascii="Times New Roman" w:hAnsi="Times New Roman" w:eastAsia="Times New Roman" w:cs="Times New Roman"/>
                <w:sz w:val="24"/>
                <w:szCs w:val="24"/>
              </w:rPr>
            </w:pPr>
          </w:p>
        </w:tc>
      </w:tr>
      <w:tr w:rsidRPr="00327197" w:rsidR="00371557" w:rsidTr="005562B3" w14:paraId="294EC054"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551CB4D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Direktīvas (ES) 2017/2109</w:t>
            </w:r>
          </w:p>
          <w:p w:rsidRPr="00327197" w:rsidR="00F80FC5" w:rsidP="005562B3" w:rsidRDefault="003A223B" w14:paraId="495336A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4. pants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1864C9F6"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DA4B0A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uz projektu</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621A62D7" w14:textId="77777777">
            <w:pPr>
              <w:spacing w:after="0" w:line="240" w:lineRule="auto"/>
              <w:rPr>
                <w:rFonts w:ascii="Times New Roman" w:hAnsi="Times New Roman" w:eastAsia="Times New Roman" w:cs="Times New Roman"/>
                <w:sz w:val="24"/>
                <w:szCs w:val="24"/>
              </w:rPr>
            </w:pPr>
          </w:p>
        </w:tc>
      </w:tr>
      <w:tr w:rsidRPr="00327197" w:rsidR="00371557" w:rsidTr="005562B3" w14:paraId="12FC9CE5"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A37DA0" w:rsidP="005562B3" w:rsidRDefault="00A37DA0" w14:paraId="4D35116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Direktīvas (ES) 2017/2109</w:t>
            </w:r>
          </w:p>
          <w:p w:rsidRPr="00327197" w:rsidR="00F80FC5" w:rsidP="005562B3" w:rsidRDefault="003A223B" w14:paraId="07E9BA2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5. pants</w:t>
            </w:r>
          </w:p>
        </w:tc>
        <w:tc>
          <w:tcPr>
            <w:tcW w:w="189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2C96DE7B" w14:textId="77777777">
            <w:pPr>
              <w:spacing w:after="0" w:line="240" w:lineRule="auto"/>
              <w:rPr>
                <w:rFonts w:ascii="Times New Roman" w:hAnsi="Times New Roman" w:eastAsia="Times New Roman" w:cs="Times New Roman"/>
                <w:sz w:val="24"/>
                <w:szCs w:val="24"/>
              </w:rPr>
            </w:pPr>
          </w:p>
        </w:tc>
        <w:tc>
          <w:tcPr>
            <w:tcW w:w="2042"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2E1E1A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 attiecināma uz projektu</w:t>
            </w:r>
          </w:p>
        </w:tc>
        <w:tc>
          <w:tcPr>
            <w:tcW w:w="30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F80FC5" w14:paraId="1E99F299" w14:textId="77777777">
            <w:pPr>
              <w:spacing w:after="0" w:line="240" w:lineRule="auto"/>
              <w:rPr>
                <w:rFonts w:ascii="Times New Roman" w:hAnsi="Times New Roman" w:eastAsia="Times New Roman" w:cs="Times New Roman"/>
                <w:sz w:val="24"/>
                <w:szCs w:val="24"/>
              </w:rPr>
            </w:pPr>
          </w:p>
        </w:tc>
      </w:tr>
      <w:tr w:rsidRPr="00327197" w:rsidR="00371557" w:rsidTr="005562B3" w14:paraId="3781D56D"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01BB159"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Kā ir izmantota ES tiesību aktā paredzētā rīcības brīvība dalībvalstij pārņemt vai ieviest noteiktas ES tiesību akta normas? Kādēļ?</w:t>
            </w:r>
          </w:p>
        </w:tc>
        <w:tc>
          <w:tcPr>
            <w:tcW w:w="6944" w:type="dxa"/>
            <w:gridSpan w:val="4"/>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16F40A1"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1. Direktīvas (ES) 2017/2109 1. panta 2. punk</w:t>
            </w:r>
            <w:r w:rsidRPr="00327197" w:rsidR="000D6728">
              <w:rPr>
                <w:rFonts w:ascii="Times New Roman" w:hAnsi="Times New Roman" w:eastAsia="Times New Roman" w:cs="Times New Roman"/>
                <w:sz w:val="24"/>
                <w:szCs w:val="24"/>
              </w:rPr>
              <w:t>ts</w:t>
            </w:r>
            <w:r w:rsidRPr="00327197">
              <w:rPr>
                <w:rFonts w:ascii="Times New Roman" w:hAnsi="Times New Roman" w:eastAsia="Times New Roman" w:cs="Times New Roman"/>
                <w:sz w:val="24"/>
                <w:szCs w:val="24"/>
              </w:rPr>
              <w:t xml:space="preserve"> no</w:t>
            </w:r>
            <w:r w:rsidRPr="00327197" w:rsidR="00B907D4">
              <w:rPr>
                <w:rFonts w:ascii="Times New Roman" w:hAnsi="Times New Roman" w:eastAsia="Times New Roman" w:cs="Times New Roman"/>
                <w:sz w:val="24"/>
                <w:szCs w:val="24"/>
              </w:rPr>
              <w:t>teic</w:t>
            </w:r>
            <w:r w:rsidRPr="00327197">
              <w:rPr>
                <w:rFonts w:ascii="Times New Roman" w:hAnsi="Times New Roman" w:eastAsia="Times New Roman" w:cs="Times New Roman"/>
                <w:sz w:val="24"/>
                <w:szCs w:val="24"/>
              </w:rPr>
              <w:t>, ka dalībvalstis, kurām nav jūras ostu un kurām nav pasažieru kuģu, kas kuģo ar to karogu un kas ietilpst šīs direktīvas darbības jomā, var atkāpties no šīs direktīvas prasībām, izņemot otrajā daļā izklāstīto pienākumu.</w:t>
            </w:r>
          </w:p>
          <w:p w:rsidRPr="00327197" w:rsidR="00F80FC5" w:rsidP="005562B3" w:rsidRDefault="003A223B" w14:paraId="640F3B27"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Šāda </w:t>
            </w:r>
            <w:r w:rsidRPr="00327197" w:rsidR="00A32B5A">
              <w:rPr>
                <w:rFonts w:ascii="Times New Roman" w:hAnsi="Times New Roman" w:eastAsia="Times New Roman" w:cs="Times New Roman"/>
                <w:sz w:val="24"/>
                <w:szCs w:val="24"/>
              </w:rPr>
              <w:t xml:space="preserve">Direktīvā (ES) 2017/2109 </w:t>
            </w:r>
            <w:r w:rsidRPr="00327197">
              <w:rPr>
                <w:rFonts w:ascii="Times New Roman" w:hAnsi="Times New Roman" w:eastAsia="Times New Roman" w:cs="Times New Roman"/>
                <w:sz w:val="24"/>
                <w:szCs w:val="24"/>
              </w:rPr>
              <w:t>paredzētā rīcības brīv</w:t>
            </w:r>
            <w:r w:rsidRPr="00327197" w:rsidR="006A502C">
              <w:rPr>
                <w:rFonts w:ascii="Times New Roman" w:hAnsi="Times New Roman" w:eastAsia="Times New Roman" w:cs="Times New Roman"/>
                <w:sz w:val="24"/>
                <w:szCs w:val="24"/>
              </w:rPr>
              <w:t>ība netiek izmantota, jo Latvijā</w:t>
            </w:r>
            <w:r w:rsidRPr="00327197">
              <w:rPr>
                <w:rFonts w:ascii="Times New Roman" w:hAnsi="Times New Roman" w:eastAsia="Times New Roman" w:cs="Times New Roman"/>
                <w:sz w:val="24"/>
                <w:szCs w:val="24"/>
              </w:rPr>
              <w:t xml:space="preserve"> </w:t>
            </w:r>
            <w:r w:rsidRPr="00327197" w:rsidR="006A502C">
              <w:rPr>
                <w:rFonts w:ascii="Times New Roman" w:hAnsi="Times New Roman" w:eastAsia="Times New Roman" w:cs="Times New Roman"/>
                <w:sz w:val="24"/>
                <w:szCs w:val="24"/>
              </w:rPr>
              <w:t>ir</w:t>
            </w:r>
            <w:r w:rsidRPr="00327197">
              <w:rPr>
                <w:rFonts w:ascii="Times New Roman" w:hAnsi="Times New Roman" w:eastAsia="Times New Roman" w:cs="Times New Roman"/>
                <w:sz w:val="24"/>
                <w:szCs w:val="24"/>
              </w:rPr>
              <w:t xml:space="preserve"> jūras ost</w:t>
            </w:r>
            <w:r w:rsidRPr="00327197" w:rsidR="006A502C">
              <w:rPr>
                <w:rFonts w:ascii="Times New Roman" w:hAnsi="Times New Roman" w:eastAsia="Times New Roman" w:cs="Times New Roman"/>
                <w:sz w:val="24"/>
                <w:szCs w:val="24"/>
              </w:rPr>
              <w:t>as</w:t>
            </w:r>
            <w:r w:rsidRPr="00327197">
              <w:rPr>
                <w:rFonts w:ascii="Times New Roman" w:hAnsi="Times New Roman" w:eastAsia="Times New Roman" w:cs="Times New Roman"/>
                <w:sz w:val="24"/>
                <w:szCs w:val="24"/>
              </w:rPr>
              <w:t>.</w:t>
            </w:r>
          </w:p>
          <w:p w:rsidRPr="00327197" w:rsidR="00F80FC5" w:rsidP="005562B3" w:rsidRDefault="003A223B" w14:paraId="375D2727"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2. Direktīvas (E</w:t>
            </w:r>
            <w:r w:rsidRPr="00327197" w:rsidR="000D6728">
              <w:rPr>
                <w:rFonts w:ascii="Times New Roman" w:hAnsi="Times New Roman" w:eastAsia="Times New Roman" w:cs="Times New Roman"/>
                <w:sz w:val="24"/>
                <w:szCs w:val="24"/>
              </w:rPr>
              <w:t>S) 2017/2109 1. panta 3. punkts</w:t>
            </w:r>
            <w:r w:rsidRPr="00327197">
              <w:rPr>
                <w:rFonts w:ascii="Times New Roman" w:hAnsi="Times New Roman" w:eastAsia="Times New Roman" w:cs="Times New Roman"/>
                <w:sz w:val="24"/>
                <w:szCs w:val="24"/>
              </w:rPr>
              <w:t xml:space="preserve"> no</w:t>
            </w:r>
            <w:r w:rsidRPr="00327197" w:rsidR="00B907D4">
              <w:rPr>
                <w:rFonts w:ascii="Times New Roman" w:hAnsi="Times New Roman" w:eastAsia="Times New Roman" w:cs="Times New Roman"/>
                <w:sz w:val="24"/>
                <w:szCs w:val="24"/>
              </w:rPr>
              <w:t>teic</w:t>
            </w:r>
            <w:r w:rsidRPr="00327197">
              <w:rPr>
                <w:rFonts w:ascii="Times New Roman" w:hAnsi="Times New Roman" w:eastAsia="Times New Roman" w:cs="Times New Roman"/>
                <w:sz w:val="24"/>
                <w:szCs w:val="24"/>
              </w:rPr>
              <w:t>, ka uz kuģa esošo personu skaitu paziņo vienotajam kontaktpunktam (ar vienoto kontaktpunktu tiek saprasta Starptautiskā kravu loģistikas un ostu informācijas sistēma (SKLOIS)), kas izveidots saskaņā ar Eiropas Parlamenta un Padomes 2010. gada 20. oktobra Direktīvas 2010/65/ES 5. pantu, vai, ja dalībvalsts ir izdarījusi tādu izvēli, – paziņo atbildīgajai iestādei, izmantojot automātiskās identifikācijas sistēmu (ar automātiskās identifikācijas sistēmu tiek saprasta Automātiskās identifikācijas sistēma (AIS) krasta sakaru tīkla darbības nodrošināšanas).</w:t>
            </w:r>
          </w:p>
          <w:p w:rsidRPr="00327197" w:rsidR="00F80FC5" w:rsidP="005562B3" w:rsidRDefault="003A223B" w14:paraId="0BB3D0CC"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Šāda </w:t>
            </w:r>
            <w:r w:rsidRPr="00327197" w:rsidR="00A32B5A">
              <w:rPr>
                <w:rFonts w:ascii="Times New Roman" w:hAnsi="Times New Roman" w:eastAsia="Times New Roman" w:cs="Times New Roman"/>
                <w:sz w:val="24"/>
                <w:szCs w:val="24"/>
              </w:rPr>
              <w:t xml:space="preserve">Direktīvā (ES) 2017/2109 </w:t>
            </w:r>
            <w:r w:rsidRPr="00327197">
              <w:rPr>
                <w:rFonts w:ascii="Times New Roman" w:hAnsi="Times New Roman" w:eastAsia="Times New Roman" w:cs="Times New Roman"/>
                <w:sz w:val="24"/>
                <w:szCs w:val="24"/>
              </w:rPr>
              <w:t xml:space="preserve">paredzētā rīcības brīvība noteikt, ka uz </w:t>
            </w:r>
            <w:r w:rsidRPr="00327197" w:rsidR="00A32B5A">
              <w:rPr>
                <w:rFonts w:ascii="Times New Roman" w:hAnsi="Times New Roman" w:eastAsia="Times New Roman" w:cs="Times New Roman"/>
                <w:sz w:val="24"/>
                <w:szCs w:val="24"/>
              </w:rPr>
              <w:t xml:space="preserve">pasažieru </w:t>
            </w:r>
            <w:r w:rsidRPr="00327197">
              <w:rPr>
                <w:rFonts w:ascii="Times New Roman" w:hAnsi="Times New Roman" w:eastAsia="Times New Roman" w:cs="Times New Roman"/>
                <w:sz w:val="24"/>
                <w:szCs w:val="24"/>
              </w:rPr>
              <w:t>kuģa esošo personu skaitu var paziņot, izmantojot Automātiskās identifikācijas sistēmu (AIS), netiek izvēlēta, jo:</w:t>
            </w:r>
          </w:p>
          <w:p w:rsidRPr="00327197" w:rsidR="00F80FC5" w:rsidP="005562B3" w:rsidRDefault="003A223B" w14:paraId="0C5DDC7B"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a) tas veidotu atkāpi no izvirzītā un dažādos tiesību aktos definētā mērķa, veidot vienloga sistēmu, kurā ērti un centralizēti tiek iesniegti un ir pieejami ar kuģošanas un ostas formalitātēm saistītie ziņojumi;</w:t>
            </w:r>
          </w:p>
          <w:p w:rsidRPr="00327197" w:rsidR="00F80FC5" w:rsidP="005562B3" w:rsidRDefault="003A223B" w14:paraId="07E02145"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b) tas savā veidā dublētu jau šobrīd Starptautiskajā kravu loģistikas un ostu informācijas sistēmā (SKLOIS) nodrošināto funkcionalitāti deklarēt uz kuģa esošo personu skaitu;</w:t>
            </w:r>
          </w:p>
          <w:p w:rsidRPr="00327197" w:rsidR="00F80FC5" w:rsidP="005562B3" w:rsidRDefault="003A223B" w14:paraId="3C690B97"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c) Automātiskās identifikācijas sistēma (AIS) nesatur speciālu datu laiku par pasažieru skaitu, kā arī atsevišķas klases kuģiem šī sistēma vispār var nenodrošināt šādu opciju - paziņot par </w:t>
            </w:r>
            <w:r w:rsidRPr="00327197" w:rsidR="00A32B5A">
              <w:rPr>
                <w:rFonts w:ascii="Times New Roman" w:hAnsi="Times New Roman" w:eastAsia="Times New Roman" w:cs="Times New Roman"/>
                <w:sz w:val="24"/>
                <w:szCs w:val="24"/>
              </w:rPr>
              <w:t>personu</w:t>
            </w:r>
            <w:r w:rsidRPr="00327197">
              <w:rPr>
                <w:rFonts w:ascii="Times New Roman" w:hAnsi="Times New Roman" w:eastAsia="Times New Roman" w:cs="Times New Roman"/>
                <w:sz w:val="24"/>
                <w:szCs w:val="24"/>
              </w:rPr>
              <w:t xml:space="preserve"> skaitu.</w:t>
            </w:r>
          </w:p>
          <w:p w:rsidRPr="00327197" w:rsidR="00F80FC5" w:rsidP="005562B3" w:rsidRDefault="003A223B" w14:paraId="24EE6A30"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3. Direktīvas (ES) 2017/2109 1. panta 3. punkts no</w:t>
            </w:r>
            <w:r w:rsidRPr="00327197" w:rsidR="00B907D4">
              <w:rPr>
                <w:rFonts w:ascii="Times New Roman" w:hAnsi="Times New Roman" w:eastAsia="Times New Roman" w:cs="Times New Roman"/>
                <w:sz w:val="24"/>
                <w:szCs w:val="24"/>
              </w:rPr>
              <w:t>teic</w:t>
            </w:r>
            <w:r w:rsidRPr="00327197">
              <w:rPr>
                <w:rFonts w:ascii="Times New Roman" w:hAnsi="Times New Roman" w:eastAsia="Times New Roman" w:cs="Times New Roman"/>
                <w:sz w:val="24"/>
                <w:szCs w:val="24"/>
              </w:rPr>
              <w:t>, ka sešu gadu pārejas laikā no 2017. gada 20. decembra (proti, līdz 2023. gada 19.</w:t>
            </w:r>
            <w:r w:rsidRPr="00327197" w:rsidR="00A32B5A">
              <w:rPr>
                <w:rFonts w:ascii="Times New Roman" w:hAnsi="Times New Roman" w:eastAsia="Times New Roman" w:cs="Times New Roman"/>
                <w:sz w:val="24"/>
                <w:szCs w:val="24"/>
              </w:rPr>
              <w:t> </w:t>
            </w:r>
            <w:r w:rsidRPr="00327197">
              <w:rPr>
                <w:rFonts w:ascii="Times New Roman" w:hAnsi="Times New Roman" w:eastAsia="Times New Roman" w:cs="Times New Roman"/>
                <w:sz w:val="24"/>
                <w:szCs w:val="24"/>
              </w:rPr>
              <w:t>decembrim) dalībvalstis var turpināt ļaut uz kuģa esošo personu skaitu paziņot kuģošanas kompānijas pasažieru reģistratoram vai kuģošanas kompānijas reģistrācijas sistēmai krastā, kura pilda tādas pašas funkcijas, neprasot to paziņot vienotajam kontaktpunktam (Starptautiskajai kravu loģistikas un ostu informācijas sistēmai (SKLOIS)) vai atbildīgajai iestādei, izmantojot Automātiskās identifikācijas sistēmu (AIS).</w:t>
            </w:r>
          </w:p>
          <w:p w:rsidRPr="00327197" w:rsidR="00F80FC5" w:rsidP="005562B3" w:rsidRDefault="003A223B" w14:paraId="696C6E1B"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Šāda </w:t>
            </w:r>
            <w:r w:rsidRPr="00327197" w:rsidR="00A32B5A">
              <w:rPr>
                <w:rFonts w:ascii="Times New Roman" w:hAnsi="Times New Roman" w:eastAsia="Times New Roman" w:cs="Times New Roman"/>
                <w:sz w:val="24"/>
                <w:szCs w:val="24"/>
              </w:rPr>
              <w:t xml:space="preserve">Direktīvā (ES) 2017/2109 </w:t>
            </w:r>
            <w:r w:rsidRPr="00327197">
              <w:rPr>
                <w:rFonts w:ascii="Times New Roman" w:hAnsi="Times New Roman" w:eastAsia="Times New Roman" w:cs="Times New Roman"/>
                <w:sz w:val="24"/>
                <w:szCs w:val="24"/>
              </w:rPr>
              <w:t>paredzētā rīcības brīvība noteikt pārejas periodu tiek izmantota vairāku apsvērumu dēļ:</w:t>
            </w:r>
          </w:p>
          <w:p w:rsidRPr="00327197" w:rsidR="00F80FC5" w:rsidP="005562B3" w:rsidRDefault="003A223B" w14:paraId="7FC8E443"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a) lai nodrošinātu iespēju kuģošanas kompānijām, kuras p</w:t>
            </w:r>
            <w:r w:rsidRPr="00327197" w:rsidR="00A32B5A">
              <w:rPr>
                <w:rFonts w:ascii="Times New Roman" w:hAnsi="Times New Roman" w:eastAsia="Times New Roman" w:cs="Times New Roman"/>
                <w:sz w:val="24"/>
                <w:szCs w:val="24"/>
              </w:rPr>
              <w:t>aziņojamās</w:t>
            </w:r>
            <w:r w:rsidRPr="00327197">
              <w:rPr>
                <w:rFonts w:ascii="Times New Roman" w:hAnsi="Times New Roman" w:eastAsia="Times New Roman" w:cs="Times New Roman"/>
                <w:sz w:val="24"/>
                <w:szCs w:val="24"/>
              </w:rPr>
              <w:t xml:space="preserve"> informācijas </w:t>
            </w:r>
            <w:r w:rsidRPr="00327197" w:rsidR="00A32B5A">
              <w:rPr>
                <w:rFonts w:ascii="Times New Roman" w:hAnsi="Times New Roman" w:eastAsia="Times New Roman" w:cs="Times New Roman"/>
                <w:sz w:val="24"/>
                <w:szCs w:val="24"/>
              </w:rPr>
              <w:t xml:space="preserve">apritei </w:t>
            </w:r>
            <w:r w:rsidRPr="00327197">
              <w:rPr>
                <w:rFonts w:ascii="Times New Roman" w:hAnsi="Times New Roman" w:eastAsia="Times New Roman" w:cs="Times New Roman"/>
                <w:sz w:val="24"/>
                <w:szCs w:val="24"/>
              </w:rPr>
              <w:t>izmanto pasažieru reģistratorus vai kuģošanas kompānijas reģistrācijas sistēmas</w:t>
            </w:r>
            <w:r w:rsidRPr="00327197" w:rsidR="00A32B5A">
              <w:rPr>
                <w:rFonts w:ascii="Times New Roman" w:hAnsi="Times New Roman" w:eastAsia="Times New Roman" w:cs="Times New Roman"/>
                <w:sz w:val="24"/>
                <w:szCs w:val="24"/>
              </w:rPr>
              <w:t xml:space="preserve"> krastā</w:t>
            </w:r>
            <w:r w:rsidRPr="00327197">
              <w:rPr>
                <w:rFonts w:ascii="Times New Roman" w:hAnsi="Times New Roman" w:eastAsia="Times New Roman" w:cs="Times New Roman"/>
                <w:sz w:val="24"/>
                <w:szCs w:val="24"/>
              </w:rPr>
              <w:t>, pārkārtot savu darbību;</w:t>
            </w:r>
          </w:p>
          <w:p w:rsidRPr="00327197" w:rsidR="00F80FC5" w:rsidP="005562B3" w:rsidRDefault="003A223B" w14:paraId="58E9D21A"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b) apzināt problemātiku un pilnveidot esošo Starptautisk</w:t>
            </w:r>
            <w:r w:rsidRPr="00327197" w:rsidR="00A32B5A">
              <w:rPr>
                <w:rFonts w:ascii="Times New Roman" w:hAnsi="Times New Roman" w:eastAsia="Times New Roman" w:cs="Times New Roman"/>
                <w:sz w:val="24"/>
                <w:szCs w:val="24"/>
              </w:rPr>
              <w:t>ās</w:t>
            </w:r>
            <w:r w:rsidRPr="00327197">
              <w:rPr>
                <w:rFonts w:ascii="Times New Roman" w:hAnsi="Times New Roman" w:eastAsia="Times New Roman" w:cs="Times New Roman"/>
                <w:sz w:val="24"/>
                <w:szCs w:val="24"/>
              </w:rPr>
              <w:t xml:space="preserve"> kravu loģistikas un ostu informācijas sistēm</w:t>
            </w:r>
            <w:r w:rsidRPr="00327197" w:rsidR="00A32B5A">
              <w:rPr>
                <w:rFonts w:ascii="Times New Roman" w:hAnsi="Times New Roman" w:eastAsia="Times New Roman" w:cs="Times New Roman"/>
                <w:sz w:val="24"/>
                <w:szCs w:val="24"/>
              </w:rPr>
              <w:t>as</w:t>
            </w:r>
            <w:r w:rsidRPr="00327197">
              <w:rPr>
                <w:rFonts w:ascii="Times New Roman" w:hAnsi="Times New Roman" w:eastAsia="Times New Roman" w:cs="Times New Roman"/>
                <w:sz w:val="24"/>
                <w:szCs w:val="24"/>
              </w:rPr>
              <w:t xml:space="preserve"> (SKLOIS)</w:t>
            </w:r>
            <w:r w:rsidRPr="00327197" w:rsidR="00A32B5A">
              <w:rPr>
                <w:rFonts w:ascii="Times New Roman" w:hAnsi="Times New Roman" w:eastAsia="Times New Roman" w:cs="Times New Roman"/>
                <w:sz w:val="24"/>
                <w:szCs w:val="24"/>
              </w:rPr>
              <w:t xml:space="preserve"> funkcionalitāti.</w:t>
            </w:r>
          </w:p>
          <w:p w:rsidRPr="00327197" w:rsidR="00F80FC5" w:rsidP="005562B3" w:rsidRDefault="003A223B" w14:paraId="1D2E21B7"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4. Direktīvas (ES) 2017/</w:t>
            </w:r>
            <w:r w:rsidRPr="00327197" w:rsidR="00A32B5A">
              <w:rPr>
                <w:rFonts w:ascii="Times New Roman" w:hAnsi="Times New Roman" w:eastAsia="Times New Roman" w:cs="Times New Roman"/>
                <w:sz w:val="24"/>
                <w:szCs w:val="24"/>
              </w:rPr>
              <w:t>2109 1. panta 4. punkts</w:t>
            </w:r>
            <w:r w:rsidRPr="00327197">
              <w:rPr>
                <w:rFonts w:ascii="Times New Roman" w:hAnsi="Times New Roman" w:eastAsia="Times New Roman" w:cs="Times New Roman"/>
                <w:sz w:val="24"/>
                <w:szCs w:val="24"/>
              </w:rPr>
              <w:t xml:space="preserve"> no</w:t>
            </w:r>
            <w:r w:rsidRPr="00327197" w:rsidR="00B907D4">
              <w:rPr>
                <w:rFonts w:ascii="Times New Roman" w:hAnsi="Times New Roman" w:eastAsia="Times New Roman" w:cs="Times New Roman"/>
                <w:sz w:val="24"/>
                <w:szCs w:val="24"/>
              </w:rPr>
              <w:t>teic</w:t>
            </w:r>
            <w:r w:rsidRPr="00327197">
              <w:rPr>
                <w:rFonts w:ascii="Times New Roman" w:hAnsi="Times New Roman" w:eastAsia="Times New Roman" w:cs="Times New Roman"/>
                <w:sz w:val="24"/>
                <w:szCs w:val="24"/>
              </w:rPr>
              <w:t>, ja dalībvalsts tā vēlas un ja pasažieris ir brīvprātīgi šādu informāciju sniedzis, – uzskaita un paziņo kontakttālruni ārkārtas situācijas gadījumā.</w:t>
            </w:r>
          </w:p>
          <w:p w:rsidRPr="00327197" w:rsidR="00F80FC5" w:rsidP="005562B3" w:rsidRDefault="003A223B" w14:paraId="0DD01D09"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 xml:space="preserve">   Šāda </w:t>
            </w:r>
            <w:r w:rsidRPr="00327197" w:rsidR="00A32B5A">
              <w:rPr>
                <w:rFonts w:ascii="Times New Roman" w:hAnsi="Times New Roman" w:eastAsia="Times New Roman" w:cs="Times New Roman"/>
                <w:sz w:val="24"/>
                <w:szCs w:val="24"/>
              </w:rPr>
              <w:t xml:space="preserve">Direktīvā (ES) 2017/2109 </w:t>
            </w:r>
            <w:r w:rsidRPr="00327197">
              <w:rPr>
                <w:rFonts w:ascii="Times New Roman" w:hAnsi="Times New Roman" w:eastAsia="Times New Roman" w:cs="Times New Roman"/>
                <w:sz w:val="24"/>
                <w:szCs w:val="24"/>
              </w:rPr>
              <w:t xml:space="preserve">paredzētā rīcības </w:t>
            </w:r>
            <w:r w:rsidRPr="00327197" w:rsidR="00A32B5A">
              <w:rPr>
                <w:rFonts w:ascii="Times New Roman" w:hAnsi="Times New Roman" w:eastAsia="Times New Roman" w:cs="Times New Roman"/>
                <w:sz w:val="24"/>
                <w:szCs w:val="24"/>
              </w:rPr>
              <w:t>brīvība ļaut pasažierim norādīt</w:t>
            </w:r>
            <w:r w:rsidRPr="00327197">
              <w:rPr>
                <w:rFonts w:ascii="Times New Roman" w:hAnsi="Times New Roman" w:eastAsia="Times New Roman" w:cs="Times New Roman"/>
                <w:sz w:val="24"/>
                <w:szCs w:val="24"/>
              </w:rPr>
              <w:t xml:space="preserve"> </w:t>
            </w:r>
            <w:r w:rsidRPr="00327197" w:rsidR="00A32B5A">
              <w:rPr>
                <w:rFonts w:ascii="Times New Roman" w:hAnsi="Times New Roman" w:eastAsia="Times New Roman" w:cs="Times New Roman"/>
                <w:sz w:val="24"/>
                <w:szCs w:val="24"/>
              </w:rPr>
              <w:t xml:space="preserve">personas, ar kuru sazināties ārkārtas situācijā, kontakttālruni, </w:t>
            </w:r>
            <w:r w:rsidRPr="00327197">
              <w:rPr>
                <w:rFonts w:ascii="Times New Roman" w:hAnsi="Times New Roman" w:eastAsia="Times New Roman" w:cs="Times New Roman"/>
                <w:sz w:val="24"/>
                <w:szCs w:val="24"/>
              </w:rPr>
              <w:t>ir atbalstāma gan humānu apsvērumu dēļ, gan pielīdzinot to cita veida pasažieru starptautisko pārvadājumu īstenotajiem standartiem (piemēram, gaisa pārvadājumi).</w:t>
            </w:r>
          </w:p>
          <w:p w:rsidRPr="00327197" w:rsidR="00F80FC5" w:rsidP="005562B3" w:rsidRDefault="003A223B" w14:paraId="03F6948D"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5. Direktīvas (ES</w:t>
            </w:r>
            <w:r w:rsidRPr="00327197" w:rsidR="00A32B5A">
              <w:rPr>
                <w:rFonts w:ascii="Times New Roman" w:hAnsi="Times New Roman" w:eastAsia="Times New Roman" w:cs="Times New Roman"/>
                <w:sz w:val="24"/>
                <w:szCs w:val="24"/>
              </w:rPr>
              <w:t xml:space="preserve">) 2017/2109 1. panta 4. punkts </w:t>
            </w:r>
            <w:r w:rsidRPr="00327197">
              <w:rPr>
                <w:rFonts w:ascii="Times New Roman" w:hAnsi="Times New Roman" w:eastAsia="Times New Roman" w:cs="Times New Roman"/>
                <w:sz w:val="24"/>
                <w:szCs w:val="24"/>
              </w:rPr>
              <w:t>no</w:t>
            </w:r>
            <w:r w:rsidRPr="00327197" w:rsidR="00B907D4">
              <w:rPr>
                <w:rFonts w:ascii="Times New Roman" w:hAnsi="Times New Roman" w:eastAsia="Times New Roman" w:cs="Times New Roman"/>
                <w:sz w:val="24"/>
                <w:szCs w:val="24"/>
              </w:rPr>
              <w:t>teic</w:t>
            </w:r>
            <w:r w:rsidRPr="00327197">
              <w:rPr>
                <w:rFonts w:ascii="Times New Roman" w:hAnsi="Times New Roman" w:eastAsia="Times New Roman" w:cs="Times New Roman"/>
                <w:sz w:val="24"/>
                <w:szCs w:val="24"/>
              </w:rPr>
              <w:t>, ka sešu gadu pārejas laikā no 2017. gada 20. decembra (proti, līdz 2023. gada 19.</w:t>
            </w:r>
            <w:r w:rsidRPr="00327197" w:rsidR="00A32B5A">
              <w:rPr>
                <w:rFonts w:ascii="Times New Roman" w:hAnsi="Times New Roman" w:eastAsia="Times New Roman" w:cs="Times New Roman"/>
                <w:sz w:val="24"/>
                <w:szCs w:val="24"/>
              </w:rPr>
              <w:t> </w:t>
            </w:r>
            <w:r w:rsidRPr="00327197">
              <w:rPr>
                <w:rFonts w:ascii="Times New Roman" w:hAnsi="Times New Roman" w:eastAsia="Times New Roman" w:cs="Times New Roman"/>
                <w:sz w:val="24"/>
                <w:szCs w:val="24"/>
              </w:rPr>
              <w:t>decembrim) dalībvalstis var turpināt ļaut informāciju par personām un pasažieru kuģa paziņot kuģošanas kompānijas pasažieru reģistratoram vai kuģošanas kompānijas reģistrācijas sistēmai krastā, kura pilda tādas pašas funkcijas, neprasot to paziņot vienotajam kontaktpunktam (Starptautiskajai kravu loģistikas un ostu informācijas sistēmai (SKLOIS)).</w:t>
            </w:r>
          </w:p>
          <w:p w:rsidRPr="00327197" w:rsidR="00F80FC5" w:rsidP="005562B3" w:rsidRDefault="003A223B" w14:paraId="25AD9421"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Šāda </w:t>
            </w:r>
            <w:r w:rsidRPr="00327197" w:rsidR="00A32B5A">
              <w:rPr>
                <w:rFonts w:ascii="Times New Roman" w:hAnsi="Times New Roman" w:eastAsia="Times New Roman" w:cs="Times New Roman"/>
                <w:sz w:val="24"/>
                <w:szCs w:val="24"/>
              </w:rPr>
              <w:t xml:space="preserve">Direktīvā (ES) 2017/2109 </w:t>
            </w:r>
            <w:r w:rsidRPr="00327197">
              <w:rPr>
                <w:rFonts w:ascii="Times New Roman" w:hAnsi="Times New Roman" w:eastAsia="Times New Roman" w:cs="Times New Roman"/>
                <w:sz w:val="24"/>
                <w:szCs w:val="24"/>
              </w:rPr>
              <w:t>paredzētā rīcības brīvība noteikt pārejas periodu tiek izmantota vairāku apsvērumu dēļ:</w:t>
            </w:r>
          </w:p>
          <w:p w:rsidRPr="00327197" w:rsidR="00D973CE" w:rsidP="005562B3" w:rsidRDefault="003A223B" w14:paraId="0F188497"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w:t>
            </w:r>
            <w:r w:rsidRPr="00327197" w:rsidR="00D973CE">
              <w:rPr>
                <w:rFonts w:ascii="Times New Roman" w:hAnsi="Times New Roman" w:eastAsia="Times New Roman" w:cs="Times New Roman"/>
                <w:sz w:val="24"/>
                <w:szCs w:val="24"/>
              </w:rPr>
              <w:t>a) lai nodrošinātu iespēju kuģošanas kompānijām, kuras paziņojamās informācijas apritei izmanto pasažieru reģistratorus vai kuģošanas kompānijas reģistrācijas sistēmas krastā, pārkārtot savu darbību;</w:t>
            </w:r>
          </w:p>
          <w:p w:rsidRPr="00327197" w:rsidR="00D973CE" w:rsidP="005562B3" w:rsidRDefault="00D973CE" w14:paraId="3AA35D16"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b) apzināt problemātiku un pilnveidot esošo Starptautiskās kravu loģistikas un ostu informācijas sistēmas (SKLOIS) funkcionalitāti.</w:t>
            </w:r>
          </w:p>
          <w:p w:rsidRPr="00327197" w:rsidR="00F80FC5" w:rsidP="005562B3" w:rsidRDefault="003A223B" w14:paraId="2836F2BB"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6. Direktīvas (ES) 2017/2109 1. panta 7. punkta a) apakšpunkta otrais ievilkums no</w:t>
            </w:r>
            <w:r w:rsidRPr="00327197" w:rsidR="00B907D4">
              <w:rPr>
                <w:rFonts w:ascii="Times New Roman" w:hAnsi="Times New Roman" w:eastAsia="Times New Roman" w:cs="Times New Roman"/>
                <w:sz w:val="24"/>
                <w:szCs w:val="24"/>
              </w:rPr>
              <w:t>teic</w:t>
            </w:r>
            <w:r w:rsidRPr="00327197">
              <w:rPr>
                <w:rFonts w:ascii="Times New Roman" w:hAnsi="Times New Roman" w:eastAsia="Times New Roman" w:cs="Times New Roman"/>
                <w:sz w:val="24"/>
                <w:szCs w:val="24"/>
              </w:rPr>
              <w:t>, ka dalībvalsts, no kuras ostas pasažieru kuģis atiet, var tam paredzēt atbrīvojumu no pienākuma ziņot uz kuģa esošo personu skaitu vienotajam kontaktpunktam, kā arī atbrīvojumu no šīs direktīvas 5. pantā noteiktajiem paziņošanas pienākumiem, un kā vienu no atbrīvošanas nosacījumiem min noteikumu, ka kuģo</w:t>
            </w:r>
            <w:r w:rsidRPr="00327197" w:rsidR="00D973CE">
              <w:rPr>
                <w:rFonts w:ascii="Times New Roman" w:hAnsi="Times New Roman" w:eastAsia="Times New Roman" w:cs="Times New Roman"/>
                <w:sz w:val="24"/>
                <w:szCs w:val="24"/>
              </w:rPr>
              <w:t>šana notiek</w:t>
            </w:r>
            <w:r w:rsidRPr="00327197">
              <w:rPr>
                <w:rFonts w:ascii="Times New Roman" w:hAnsi="Times New Roman" w:eastAsia="Times New Roman" w:cs="Times New Roman"/>
                <w:sz w:val="24"/>
                <w:szCs w:val="24"/>
              </w:rPr>
              <w:t xml:space="preserve"> D</w:t>
            </w:r>
            <w:r w:rsidRPr="00327197" w:rsidR="00D973CE">
              <w:rPr>
                <w:rFonts w:ascii="Times New Roman" w:hAnsi="Times New Roman" w:eastAsia="Times New Roman" w:cs="Times New Roman"/>
                <w:sz w:val="24"/>
                <w:szCs w:val="24"/>
              </w:rPr>
              <w:t> </w:t>
            </w:r>
            <w:r w:rsidRPr="00327197">
              <w:rPr>
                <w:rFonts w:ascii="Times New Roman" w:hAnsi="Times New Roman" w:eastAsia="Times New Roman" w:cs="Times New Roman"/>
                <w:sz w:val="24"/>
                <w:szCs w:val="24"/>
              </w:rPr>
              <w:t>kategorijas kuģošanas rajon</w:t>
            </w:r>
            <w:r w:rsidRPr="00327197" w:rsidR="00D973CE">
              <w:rPr>
                <w:rFonts w:ascii="Times New Roman" w:hAnsi="Times New Roman" w:eastAsia="Times New Roman" w:cs="Times New Roman"/>
                <w:sz w:val="24"/>
                <w:szCs w:val="24"/>
              </w:rPr>
              <w:t>ā</w:t>
            </w:r>
            <w:r w:rsidRPr="00327197">
              <w:rPr>
                <w:rFonts w:ascii="Times New Roman" w:hAnsi="Times New Roman" w:eastAsia="Times New Roman" w:cs="Times New Roman"/>
                <w:sz w:val="24"/>
                <w:szCs w:val="24"/>
              </w:rPr>
              <w:t>, kurā ir nodrošināt</w:t>
            </w:r>
            <w:r w:rsidRPr="00327197" w:rsidR="00777EFB">
              <w:rPr>
                <w:rFonts w:ascii="Times New Roman" w:hAnsi="Times New Roman" w:eastAsia="Times New Roman" w:cs="Times New Roman"/>
                <w:sz w:val="24"/>
                <w:szCs w:val="24"/>
              </w:rPr>
              <w:t>s</w:t>
            </w:r>
            <w:r w:rsidRPr="00327197">
              <w:rPr>
                <w:rFonts w:ascii="Times New Roman" w:hAnsi="Times New Roman" w:eastAsia="Times New Roman" w:cs="Times New Roman"/>
                <w:sz w:val="24"/>
                <w:szCs w:val="24"/>
              </w:rPr>
              <w:t xml:space="preserve"> meklēšanas un glābšanas iespēju tuvums.</w:t>
            </w:r>
          </w:p>
          <w:p w:rsidRPr="00327197" w:rsidR="00F80FC5" w:rsidP="005562B3" w:rsidRDefault="003A223B" w14:paraId="5F0AAC53"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Šāda </w:t>
            </w:r>
            <w:r w:rsidRPr="00327197" w:rsidR="00D973CE">
              <w:rPr>
                <w:rFonts w:ascii="Times New Roman" w:hAnsi="Times New Roman" w:eastAsia="Times New Roman" w:cs="Times New Roman"/>
                <w:sz w:val="24"/>
                <w:szCs w:val="24"/>
              </w:rPr>
              <w:t xml:space="preserve">Direktīvā (ES) 2017/2109 </w:t>
            </w:r>
            <w:r w:rsidRPr="00327197">
              <w:rPr>
                <w:rFonts w:ascii="Times New Roman" w:hAnsi="Times New Roman" w:eastAsia="Times New Roman" w:cs="Times New Roman"/>
                <w:sz w:val="24"/>
                <w:szCs w:val="24"/>
              </w:rPr>
              <w:t>paredzētā rīcības brīvība netiek izmantota, jo pa</w:t>
            </w:r>
            <w:r w:rsidRPr="00327197" w:rsidR="00D973CE">
              <w:rPr>
                <w:rFonts w:ascii="Times New Roman" w:hAnsi="Times New Roman" w:eastAsia="Times New Roman" w:cs="Times New Roman"/>
                <w:sz w:val="24"/>
                <w:szCs w:val="24"/>
              </w:rPr>
              <w:t>s</w:t>
            </w:r>
            <w:r w:rsidRPr="00327197">
              <w:rPr>
                <w:rFonts w:ascii="Times New Roman" w:hAnsi="Times New Roman" w:eastAsia="Times New Roman" w:cs="Times New Roman"/>
                <w:sz w:val="24"/>
                <w:szCs w:val="24"/>
              </w:rPr>
              <w:t>tāvīgi nodrošināt</w:t>
            </w:r>
            <w:r w:rsidRPr="00327197" w:rsidR="00777EFB">
              <w:rPr>
                <w:rFonts w:ascii="Times New Roman" w:hAnsi="Times New Roman" w:eastAsia="Times New Roman" w:cs="Times New Roman"/>
                <w:sz w:val="24"/>
                <w:szCs w:val="24"/>
              </w:rPr>
              <w:t>a</w:t>
            </w:r>
            <w:r w:rsidRPr="00327197">
              <w:rPr>
                <w:rFonts w:ascii="Times New Roman" w:hAnsi="Times New Roman" w:eastAsia="Times New Roman" w:cs="Times New Roman"/>
                <w:sz w:val="24"/>
                <w:szCs w:val="24"/>
              </w:rPr>
              <w:t xml:space="preserve"> meklēšanas un glābšanas iespēju tuvum</w:t>
            </w:r>
            <w:r w:rsidRPr="00327197" w:rsidR="00777EFB">
              <w:rPr>
                <w:rFonts w:ascii="Times New Roman" w:hAnsi="Times New Roman" w:eastAsia="Times New Roman" w:cs="Times New Roman"/>
                <w:sz w:val="24"/>
                <w:szCs w:val="24"/>
              </w:rPr>
              <w:t xml:space="preserve">a </w:t>
            </w:r>
            <w:r w:rsidRPr="00327197" w:rsidR="006A502C">
              <w:rPr>
                <w:rFonts w:ascii="Times New Roman" w:hAnsi="Times New Roman" w:eastAsia="Times New Roman" w:cs="Times New Roman"/>
                <w:sz w:val="24"/>
                <w:szCs w:val="24"/>
              </w:rPr>
              <w:t>nosacījums</w:t>
            </w:r>
            <w:r w:rsidRPr="00327197" w:rsidR="00777EFB">
              <w:rPr>
                <w:rFonts w:ascii="Times New Roman" w:hAnsi="Times New Roman" w:eastAsia="Times New Roman" w:cs="Times New Roman"/>
                <w:sz w:val="24"/>
                <w:szCs w:val="24"/>
              </w:rPr>
              <w:t xml:space="preserve"> </w:t>
            </w:r>
            <w:r w:rsidRPr="00327197">
              <w:rPr>
                <w:rFonts w:ascii="Times New Roman" w:hAnsi="Times New Roman" w:eastAsia="Times New Roman" w:cs="Times New Roman"/>
                <w:sz w:val="24"/>
                <w:szCs w:val="24"/>
              </w:rPr>
              <w:t xml:space="preserve">ir samērā nekonkretizēts un mainīgs </w:t>
            </w:r>
            <w:r w:rsidRPr="00327197" w:rsidR="006A502C">
              <w:rPr>
                <w:rFonts w:ascii="Times New Roman" w:hAnsi="Times New Roman" w:eastAsia="Times New Roman" w:cs="Times New Roman"/>
                <w:sz w:val="24"/>
                <w:szCs w:val="24"/>
              </w:rPr>
              <w:t>lielums</w:t>
            </w:r>
            <w:r w:rsidRPr="00327197">
              <w:rPr>
                <w:rFonts w:ascii="Times New Roman" w:hAnsi="Times New Roman" w:eastAsia="Times New Roman" w:cs="Times New Roman"/>
                <w:sz w:val="24"/>
                <w:szCs w:val="24"/>
              </w:rPr>
              <w:t>.</w:t>
            </w:r>
          </w:p>
        </w:tc>
      </w:tr>
      <w:tr w:rsidRPr="00327197" w:rsidR="00371557" w:rsidTr="005562B3" w14:paraId="0E271356"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AE5984F"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4" w:type="dxa"/>
            <w:gridSpan w:val="4"/>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510BCC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Projekts šo jomu neskar</w:t>
            </w:r>
            <w:r w:rsidRPr="00327197" w:rsidR="00B907D4">
              <w:rPr>
                <w:rFonts w:ascii="Times New Roman" w:hAnsi="Times New Roman" w:eastAsia="Times New Roman" w:cs="Times New Roman"/>
                <w:sz w:val="24"/>
                <w:szCs w:val="24"/>
              </w:rPr>
              <w:t>.</w:t>
            </w:r>
          </w:p>
        </w:tc>
      </w:tr>
      <w:tr w:rsidRPr="00327197" w:rsidR="00371557" w:rsidTr="005562B3" w14:paraId="58065DDE" w14:textId="77777777">
        <w:tc>
          <w:tcPr>
            <w:tcW w:w="2111"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C1D731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Cita informācija</w:t>
            </w:r>
          </w:p>
        </w:tc>
        <w:tc>
          <w:tcPr>
            <w:tcW w:w="6944" w:type="dxa"/>
            <w:gridSpan w:val="4"/>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60D49FE1"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w:t>
            </w:r>
            <w:r w:rsidRPr="00327197" w:rsidR="00B907D4">
              <w:rPr>
                <w:rFonts w:ascii="Times New Roman" w:hAnsi="Times New Roman" w:eastAsia="Times New Roman" w:cs="Times New Roman"/>
                <w:sz w:val="24"/>
                <w:szCs w:val="24"/>
              </w:rPr>
              <w:t>.</w:t>
            </w:r>
          </w:p>
        </w:tc>
      </w:tr>
      <w:tr w:rsidRPr="00327197" w:rsidR="00371557" w:rsidTr="005562B3" w14:paraId="07C58386" w14:textId="77777777">
        <w:tc>
          <w:tcPr>
            <w:tcW w:w="9055"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074BF368" w14:textId="77777777">
            <w:pPr>
              <w:spacing w:after="0" w:line="240" w:lineRule="auto"/>
              <w:jc w:val="center"/>
              <w:rPr>
                <w:rFonts w:ascii="Times New Roman" w:hAnsi="Times New Roman" w:eastAsia="Times New Roman" w:cs="Times New Roman"/>
                <w:b/>
                <w:sz w:val="24"/>
                <w:szCs w:val="24"/>
              </w:rPr>
            </w:pPr>
            <w:r w:rsidRPr="00327197">
              <w:rPr>
                <w:rFonts w:ascii="Times New Roman" w:hAnsi="Times New Roman" w:eastAsia="Times New Roman" w:cs="Times New Roman"/>
                <w:b/>
                <w:sz w:val="24"/>
                <w:szCs w:val="24"/>
              </w:rPr>
              <w:t>2. tabula</w:t>
            </w:r>
            <w:r w:rsidRPr="00327197">
              <w:rPr>
                <w:rFonts w:ascii="Times New Roman" w:hAnsi="Times New Roman" w:eastAsia="Times New Roman" w:cs="Times New Roman"/>
                <w:b/>
                <w:sz w:val="24"/>
                <w:szCs w:val="24"/>
              </w:rPr>
              <w:br/>
              <w:t xml:space="preserve">Ar tiesību akta projektu izpildītās vai uzņemtās saistības, kas izriet no </w:t>
            </w:r>
            <w:r w:rsidRPr="00327197">
              <w:rPr>
                <w:rFonts w:ascii="Times New Roman" w:hAnsi="Times New Roman" w:eastAsia="Times New Roman" w:cs="Times New Roman"/>
                <w:b/>
                <w:sz w:val="24"/>
                <w:szCs w:val="24"/>
              </w:rPr>
              <w:lastRenderedPageBreak/>
              <w:t>starptautiskajiem tiesību aktiem vai starptautiskas institūcijas vai organizācijas dokumentiem.</w:t>
            </w:r>
            <w:r w:rsidRPr="00327197">
              <w:rPr>
                <w:rFonts w:ascii="Times New Roman" w:hAnsi="Times New Roman" w:eastAsia="Times New Roman" w:cs="Times New Roman"/>
                <w:b/>
                <w:sz w:val="24"/>
                <w:szCs w:val="24"/>
              </w:rPr>
              <w:br/>
              <w:t>Pasākumi šo saistību izpildei</w:t>
            </w:r>
          </w:p>
        </w:tc>
      </w:tr>
      <w:tr w:rsidRPr="00327197" w:rsidR="00371557" w:rsidTr="005562B3" w14:paraId="23755A6C" w14:textId="77777777">
        <w:tc>
          <w:tcPr>
            <w:tcW w:w="1994"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F535BA2"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Attiecīgā starptautiskā tiesību akta vai starptautiskas institūcijas vai organizācijas dokumenta (turpmāk – starptautiskais dokuments) datums, numurs un nosaukums</w:t>
            </w:r>
          </w:p>
        </w:tc>
        <w:tc>
          <w:tcPr>
            <w:tcW w:w="7061" w:type="dxa"/>
            <w:gridSpan w:val="5"/>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BEF3947"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Projekts šo jomu neskar</w:t>
            </w:r>
            <w:r w:rsidRPr="00327197" w:rsidR="00B907D4">
              <w:rPr>
                <w:rFonts w:ascii="Times New Roman" w:hAnsi="Times New Roman" w:eastAsia="Times New Roman" w:cs="Times New Roman"/>
                <w:sz w:val="24"/>
                <w:szCs w:val="24"/>
              </w:rPr>
              <w:t>.</w:t>
            </w:r>
          </w:p>
        </w:tc>
      </w:tr>
      <w:tr w:rsidRPr="00327197" w:rsidR="00371557" w:rsidTr="005562B3" w14:paraId="55D92C4C" w14:textId="77777777">
        <w:tc>
          <w:tcPr>
            <w:tcW w:w="19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81A9E0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A</w:t>
            </w:r>
          </w:p>
        </w:tc>
        <w:tc>
          <w:tcPr>
            <w:tcW w:w="319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602C4BC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B</w:t>
            </w:r>
          </w:p>
        </w:tc>
        <w:tc>
          <w:tcPr>
            <w:tcW w:w="386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1E62F83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C</w:t>
            </w:r>
          </w:p>
        </w:tc>
      </w:tr>
      <w:tr w:rsidRPr="00327197" w:rsidR="00371557" w:rsidTr="005562B3" w14:paraId="749A4CCC" w14:textId="77777777">
        <w:tc>
          <w:tcPr>
            <w:tcW w:w="1994"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785430B"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Starptautiskās saistības (pēc būtības), kas izriet no norādītā starptautiskā dokumenta.</w:t>
            </w:r>
            <w:r w:rsidRPr="00327197">
              <w:rPr>
                <w:rFonts w:ascii="Times New Roman" w:hAnsi="Times New Roman" w:eastAsia="Times New Roman" w:cs="Times New Roman"/>
                <w:sz w:val="24"/>
                <w:szCs w:val="24"/>
              </w:rPr>
              <w:br/>
              <w:t>Konkrēti veicamie pasākumi vai uzdevumi, kas nepieciešami šo starptautisko saistību izpildei</w:t>
            </w:r>
          </w:p>
        </w:tc>
        <w:tc>
          <w:tcPr>
            <w:tcW w:w="3195" w:type="dxa"/>
            <w:gridSpan w:val="3"/>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E69B1E6"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866"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7DA812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Informācija par to, vai starptautiskās saistības, kas minētas šīs tabulas A ailē, tiek izpildītas pilnībā vai daļēji.</w:t>
            </w:r>
            <w:r w:rsidRPr="00327197">
              <w:rPr>
                <w:rFonts w:ascii="Times New Roman" w:hAnsi="Times New Roman" w:eastAsia="Times New Roman" w:cs="Times New Roman"/>
                <w:sz w:val="24"/>
                <w:szCs w:val="24"/>
              </w:rPr>
              <w:br/>
              <w:t>Ja attiecīgās starptautiskās saistības tiek izpildītas daļēji, sniedz skaidrojumu, kā arī precīzi norāda, kad un kādā veidā starptautiskās saistības tiks izpildītas pilnībā.</w:t>
            </w:r>
            <w:r w:rsidRPr="00327197">
              <w:rPr>
                <w:rFonts w:ascii="Times New Roman" w:hAnsi="Times New Roman" w:eastAsia="Times New Roman" w:cs="Times New Roman"/>
                <w:sz w:val="24"/>
                <w:szCs w:val="24"/>
              </w:rPr>
              <w:br/>
              <w:t>Norāda institūciju, kas ir atbildīga par šo saistību izpildi pilnībā</w:t>
            </w:r>
          </w:p>
        </w:tc>
      </w:tr>
      <w:tr w:rsidRPr="00327197" w:rsidR="00371557" w:rsidTr="005562B3" w14:paraId="2F3540E3" w14:textId="77777777">
        <w:tc>
          <w:tcPr>
            <w:tcW w:w="1994"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E8129D0"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Projekts šo jomu neskar</w:t>
            </w:r>
          </w:p>
        </w:tc>
        <w:tc>
          <w:tcPr>
            <w:tcW w:w="3195" w:type="dxa"/>
            <w:gridSpan w:val="3"/>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C2E0C92"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Projekts šo jomu neskar</w:t>
            </w:r>
            <w:r w:rsidRPr="00327197" w:rsidR="00B907D4">
              <w:rPr>
                <w:rFonts w:ascii="Times New Roman" w:hAnsi="Times New Roman" w:eastAsia="Times New Roman" w:cs="Times New Roman"/>
                <w:sz w:val="24"/>
                <w:szCs w:val="24"/>
              </w:rPr>
              <w:t>.</w:t>
            </w:r>
          </w:p>
        </w:tc>
        <w:tc>
          <w:tcPr>
            <w:tcW w:w="3866" w:type="dxa"/>
            <w:gridSpan w:val="2"/>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DA5081E"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Projekts šo jomu neskar</w:t>
            </w:r>
            <w:r w:rsidRPr="00327197" w:rsidR="00B907D4">
              <w:rPr>
                <w:rFonts w:ascii="Times New Roman" w:hAnsi="Times New Roman" w:eastAsia="Times New Roman" w:cs="Times New Roman"/>
                <w:sz w:val="24"/>
                <w:szCs w:val="24"/>
              </w:rPr>
              <w:t>.</w:t>
            </w:r>
          </w:p>
        </w:tc>
      </w:tr>
      <w:tr w:rsidRPr="00327197" w:rsidR="00371557" w:rsidTr="005562B3" w14:paraId="1B2AC7B3" w14:textId="77777777">
        <w:tc>
          <w:tcPr>
            <w:tcW w:w="1994"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907241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Vai starptautiskajā dokumentā paredzētās saistības nav pretrunā ar jau esošajām Latvijas Republikas starptautiskajām saistībām</w:t>
            </w:r>
          </w:p>
        </w:tc>
        <w:tc>
          <w:tcPr>
            <w:tcW w:w="7061" w:type="dxa"/>
            <w:gridSpan w:val="5"/>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1FFBE0E"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Projekts šo jomu neskar</w:t>
            </w:r>
            <w:r w:rsidRPr="00327197" w:rsidR="00B907D4">
              <w:rPr>
                <w:rFonts w:ascii="Times New Roman" w:hAnsi="Times New Roman" w:eastAsia="Times New Roman" w:cs="Times New Roman"/>
                <w:sz w:val="24"/>
                <w:szCs w:val="24"/>
              </w:rPr>
              <w:t>.</w:t>
            </w:r>
          </w:p>
        </w:tc>
      </w:tr>
      <w:tr w:rsidRPr="00327197" w:rsidR="00371557" w:rsidTr="005562B3" w14:paraId="40FA6B03" w14:textId="77777777">
        <w:tc>
          <w:tcPr>
            <w:tcW w:w="1994"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33BE2B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Cita informācija</w:t>
            </w:r>
          </w:p>
        </w:tc>
        <w:tc>
          <w:tcPr>
            <w:tcW w:w="7061" w:type="dxa"/>
            <w:gridSpan w:val="5"/>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B7635CA"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w:t>
            </w:r>
            <w:r w:rsidRPr="00327197" w:rsidR="00B907D4">
              <w:rPr>
                <w:rFonts w:ascii="Times New Roman" w:hAnsi="Times New Roman" w:eastAsia="Times New Roman" w:cs="Times New Roman"/>
                <w:sz w:val="24"/>
                <w:szCs w:val="24"/>
              </w:rPr>
              <w:t>.</w:t>
            </w:r>
          </w:p>
        </w:tc>
      </w:tr>
    </w:tbl>
    <w:p w:rsidR="00F80FC5" w:rsidRDefault="003A223B" w14:paraId="61E829C1" w14:textId="552BF711">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w:t>
      </w:r>
    </w:p>
    <w:p w:rsidR="005C2412" w:rsidRDefault="005C2412" w14:paraId="12B22B5C" w14:textId="58361647">
      <w:pPr>
        <w:spacing w:after="0" w:line="240" w:lineRule="auto"/>
        <w:rPr>
          <w:rFonts w:ascii="Times New Roman" w:hAnsi="Times New Roman" w:eastAsia="Times New Roman" w:cs="Times New Roman"/>
          <w:sz w:val="24"/>
          <w:szCs w:val="24"/>
        </w:rPr>
      </w:pPr>
    </w:p>
    <w:p w:rsidR="005C2412" w:rsidRDefault="005C2412" w14:paraId="2E0181ED" w14:textId="0AE23CAA">
      <w:pPr>
        <w:spacing w:after="0" w:line="240" w:lineRule="auto"/>
        <w:rPr>
          <w:rFonts w:ascii="Times New Roman" w:hAnsi="Times New Roman" w:eastAsia="Times New Roman" w:cs="Times New Roman"/>
          <w:sz w:val="24"/>
          <w:szCs w:val="24"/>
        </w:rPr>
      </w:pPr>
    </w:p>
    <w:p w:rsidRPr="00327197" w:rsidR="005C2412" w:rsidRDefault="005C2412" w14:paraId="243DF7E3" w14:textId="77777777">
      <w:pPr>
        <w:spacing w:after="0" w:line="240" w:lineRule="auto"/>
        <w:rPr>
          <w:rFonts w:ascii="Times New Roman" w:hAnsi="Times New Roman" w:eastAsia="Times New Roman" w:cs="Times New Roman"/>
          <w:sz w:val="24"/>
          <w:szCs w:val="24"/>
        </w:rPr>
      </w:pP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327197" w:rsidR="00371557" w:rsidTr="005562B3" w14:paraId="0C25C1EA"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296BEE3" w14:textId="77777777">
            <w:pPr>
              <w:spacing w:after="0" w:line="240" w:lineRule="auto"/>
              <w:jc w:val="center"/>
              <w:rPr>
                <w:rFonts w:ascii="Times New Roman" w:hAnsi="Times New Roman" w:eastAsia="Times New Roman" w:cs="Times New Roman"/>
                <w:b/>
                <w:sz w:val="24"/>
                <w:szCs w:val="24"/>
              </w:rPr>
            </w:pPr>
            <w:r w:rsidRPr="00327197">
              <w:rPr>
                <w:rFonts w:ascii="Times New Roman" w:hAnsi="Times New Roman" w:eastAsia="Times New Roman" w:cs="Times New Roman"/>
                <w:b/>
                <w:sz w:val="24"/>
                <w:szCs w:val="24"/>
              </w:rPr>
              <w:t>VI. Sabiedrības līdzdalība un komunikācijas aktivitātes</w:t>
            </w:r>
          </w:p>
        </w:tc>
      </w:tr>
      <w:tr w:rsidRPr="00327197" w:rsidR="00371557" w:rsidTr="005562B3" w14:paraId="687CEE15"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F8CF15F"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D14884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Plānotās sabiedrības līdzdalības un komunikācijas aktivitātes saistībā ar projektu</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7BDD40E"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Atbilstoši Ministru kabineta 2009. gada 25. augusta noteikumu Nr. 970 "Sabiedrības līdzdalības kārtība attīstības plānošanas procesā" 7.4.</w:t>
            </w:r>
            <w:r w:rsidRPr="00327197">
              <w:rPr>
                <w:rFonts w:ascii="Times New Roman" w:hAnsi="Times New Roman" w:eastAsia="Times New Roman" w:cs="Times New Roman"/>
                <w:sz w:val="24"/>
                <w:szCs w:val="24"/>
                <w:vertAlign w:val="superscript"/>
              </w:rPr>
              <w:t>1</w:t>
            </w:r>
            <w:r w:rsidRPr="00327197">
              <w:rPr>
                <w:rFonts w:ascii="Times New Roman" w:hAnsi="Times New Roman" w:eastAsia="Times New Roman" w:cs="Times New Roman"/>
                <w:sz w:val="24"/>
                <w:szCs w:val="24"/>
              </w:rPr>
              <w:t xml:space="preserve"> apakšpunktam sabiedrībai tika dota iespēja rakstiski sniegt viedokli par noteikumu projektu tā izstrādes stadijā.</w:t>
            </w:r>
          </w:p>
        </w:tc>
      </w:tr>
      <w:tr w:rsidRPr="00327197" w:rsidR="00371557" w:rsidTr="005562B3" w14:paraId="33AFFBA5"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BC6830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lastRenderedPageBreak/>
              <w:t>2.</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99D96DC"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Sabiedrības līdzdalība projekta izstrādē</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1DB13E4E"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2019.</w:t>
            </w:r>
            <w:r w:rsidRPr="00327197" w:rsidR="001A517D">
              <w:rPr>
                <w:rFonts w:ascii="Times New Roman" w:hAnsi="Times New Roman" w:eastAsia="Times New Roman" w:cs="Times New Roman"/>
                <w:sz w:val="24"/>
                <w:szCs w:val="24"/>
              </w:rPr>
              <w:t> </w:t>
            </w:r>
            <w:r w:rsidRPr="00327197">
              <w:rPr>
                <w:rFonts w:ascii="Times New Roman" w:hAnsi="Times New Roman" w:eastAsia="Times New Roman" w:cs="Times New Roman"/>
                <w:sz w:val="24"/>
                <w:szCs w:val="24"/>
              </w:rPr>
              <w:t xml:space="preserve">gada </w:t>
            </w:r>
            <w:r w:rsidRPr="00327197" w:rsidR="001A517D">
              <w:rPr>
                <w:rFonts w:ascii="Times New Roman" w:hAnsi="Times New Roman" w:eastAsia="Times New Roman" w:cs="Times New Roman"/>
                <w:sz w:val="24"/>
                <w:szCs w:val="24"/>
              </w:rPr>
              <w:t>16. </w:t>
            </w:r>
            <w:r w:rsidRPr="00327197" w:rsidR="000B2488">
              <w:rPr>
                <w:rFonts w:ascii="Times New Roman" w:hAnsi="Times New Roman" w:eastAsia="Times New Roman" w:cs="Times New Roman"/>
                <w:sz w:val="24"/>
                <w:szCs w:val="24"/>
              </w:rPr>
              <w:t>septembrī p</w:t>
            </w:r>
            <w:r w:rsidRPr="00327197">
              <w:rPr>
                <w:rFonts w:ascii="Times New Roman" w:hAnsi="Times New Roman" w:eastAsia="Times New Roman" w:cs="Times New Roman"/>
                <w:sz w:val="24"/>
                <w:szCs w:val="24"/>
              </w:rPr>
              <w:t>rojekts tika publicēts Satiksmes ministrijas tīmekļa vietnē, sadaļā "Sabiedrības līdzdalība" (</w:t>
            </w:r>
            <w:hyperlink w:history="1" r:id="rId7">
              <w:r w:rsidRPr="00327197" w:rsidR="000B2488">
                <w:rPr>
                  <w:rStyle w:val="Hyperlink"/>
                  <w:rFonts w:ascii="Times New Roman" w:hAnsi="Times New Roman" w:eastAsia="Times New Roman" w:cs="Times New Roman"/>
                  <w:sz w:val="24"/>
                  <w:szCs w:val="24"/>
                </w:rPr>
                <w:t>http://www.sam.gov.lv/satmin/content/?cat=553</w:t>
              </w:r>
            </w:hyperlink>
            <w:r w:rsidRPr="00327197">
              <w:rPr>
                <w:rFonts w:ascii="Times New Roman" w:hAnsi="Times New Roman" w:eastAsia="Times New Roman" w:cs="Times New Roman"/>
                <w:sz w:val="24"/>
                <w:szCs w:val="24"/>
              </w:rPr>
              <w:t>).</w:t>
            </w:r>
          </w:p>
        </w:tc>
      </w:tr>
      <w:tr w:rsidRPr="00327197" w:rsidR="00371557" w:rsidTr="005562B3" w14:paraId="658D26CB"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155C37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238232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Sabiedrības līdzdalības rezultāti</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2F0073" w14:paraId="4EA9DCEC"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Iebildumi vai priekšlikumi netika saņemti.</w:t>
            </w:r>
          </w:p>
        </w:tc>
      </w:tr>
      <w:tr w:rsidRPr="00327197" w:rsidR="00371557" w:rsidTr="005562B3" w14:paraId="72C2AB93"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3162A8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4.</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469CB97"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FF0B04" w:rsidRDefault="009E28AA" w14:paraId="59B43E30"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Projekts tika nosūtīts saskaņošanai projekta “Starptautiskās kravu loģistikas un ostu informācijas sistēmas attīstība (SKLOIS 2)” Uzraudzības padomes locekļiem. Saņemtie iebildumi un priekšlikumi </w:t>
            </w:r>
            <w:r w:rsidRPr="00327197" w:rsidR="00165282">
              <w:rPr>
                <w:rFonts w:ascii="Times New Roman" w:hAnsi="Times New Roman" w:eastAsia="Times New Roman" w:cs="Times New Roman"/>
                <w:sz w:val="24"/>
                <w:szCs w:val="24"/>
              </w:rPr>
              <w:t xml:space="preserve">ir izvērtēti un </w:t>
            </w:r>
            <w:r w:rsidRPr="00327197">
              <w:rPr>
                <w:rFonts w:ascii="Times New Roman" w:hAnsi="Times New Roman" w:eastAsia="Times New Roman" w:cs="Times New Roman"/>
                <w:sz w:val="24"/>
                <w:szCs w:val="24"/>
              </w:rPr>
              <w:t>daļēji ņemti vērā</w:t>
            </w:r>
            <w:r w:rsidRPr="00327197" w:rsidR="00165282">
              <w:rPr>
                <w:rFonts w:ascii="Times New Roman" w:hAnsi="Times New Roman" w:eastAsia="Times New Roman" w:cs="Times New Roman"/>
                <w:sz w:val="24"/>
                <w:szCs w:val="24"/>
              </w:rPr>
              <w:t>.</w:t>
            </w:r>
            <w:r w:rsidRPr="00327197">
              <w:rPr>
                <w:rFonts w:ascii="Times New Roman" w:hAnsi="Times New Roman" w:eastAsia="Times New Roman" w:cs="Times New Roman"/>
                <w:sz w:val="24"/>
                <w:szCs w:val="24"/>
              </w:rPr>
              <w:t xml:space="preserve"> </w:t>
            </w:r>
          </w:p>
        </w:tc>
      </w:tr>
    </w:tbl>
    <w:p w:rsidRPr="00327197" w:rsidR="00F80FC5" w:rsidRDefault="003A223B" w14:paraId="313D151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 xml:space="preserve">  </w:t>
      </w:r>
    </w:p>
    <w:p w:rsidRPr="00327197" w:rsidR="00165282" w:rsidRDefault="00165282" w14:paraId="0F5E3852" w14:textId="77777777">
      <w:pPr>
        <w:spacing w:after="0" w:line="240" w:lineRule="auto"/>
        <w:rPr>
          <w:rFonts w:ascii="Times New Roman" w:hAnsi="Times New Roman" w:eastAsia="Times New Roman" w:cs="Times New Roman"/>
          <w:sz w:val="24"/>
          <w:szCs w:val="24"/>
        </w:rPr>
      </w:pP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327197" w:rsidR="00371557" w:rsidTr="005562B3" w14:paraId="12CE2F13"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327197" w:rsidR="00F80FC5" w:rsidP="005562B3" w:rsidRDefault="003A223B" w14:paraId="2CA36108" w14:textId="77777777">
            <w:pPr>
              <w:spacing w:after="0" w:line="240" w:lineRule="auto"/>
              <w:jc w:val="center"/>
              <w:rPr>
                <w:rFonts w:ascii="Times New Roman" w:hAnsi="Times New Roman" w:eastAsia="Times New Roman" w:cs="Times New Roman"/>
                <w:b/>
                <w:sz w:val="24"/>
                <w:szCs w:val="24"/>
              </w:rPr>
            </w:pPr>
            <w:r w:rsidRPr="00327197">
              <w:rPr>
                <w:rFonts w:ascii="Times New Roman" w:hAnsi="Times New Roman" w:eastAsia="Times New Roman" w:cs="Times New Roman"/>
                <w:b/>
                <w:sz w:val="24"/>
                <w:szCs w:val="24"/>
              </w:rPr>
              <w:t>VII. Tiesību akta projekta izpildes nodrošināšana un tās ietekme uz institūcijām</w:t>
            </w:r>
          </w:p>
        </w:tc>
      </w:tr>
      <w:tr w:rsidRPr="00327197" w:rsidR="00371557" w:rsidTr="005562B3" w14:paraId="421EDD45"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0AF0A41A"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4CD435C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Projekta izpildē iesaistītās institūcijas</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100E3E" w:rsidRDefault="003A223B" w14:paraId="041F5C26" w14:textId="77777777">
            <w:pPr>
              <w:spacing w:after="0" w:line="240" w:lineRule="auto"/>
              <w:jc w:val="both"/>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Satiksmes ministrija, valsts akciju sabiedrība "Latvijas Jūras administrācija"</w:t>
            </w:r>
            <w:r w:rsidRPr="00327197" w:rsidR="00100E3E">
              <w:rPr>
                <w:rFonts w:ascii="Times New Roman" w:hAnsi="Times New Roman" w:eastAsia="Times New Roman" w:cs="Times New Roman"/>
                <w:sz w:val="24"/>
                <w:szCs w:val="24"/>
              </w:rPr>
              <w:t>,</w:t>
            </w:r>
            <w:r w:rsidRPr="00327197">
              <w:rPr>
                <w:rFonts w:ascii="Times New Roman" w:hAnsi="Times New Roman" w:eastAsia="Times New Roman" w:cs="Times New Roman"/>
                <w:sz w:val="24"/>
                <w:szCs w:val="24"/>
              </w:rPr>
              <w:t xml:space="preserve"> Nacionālo bruņoto spēku Jūras spēku Krasta apsardzes dienests</w:t>
            </w:r>
            <w:r w:rsidRPr="00327197" w:rsidR="00100E3E">
              <w:rPr>
                <w:rFonts w:ascii="Times New Roman" w:hAnsi="Times New Roman" w:eastAsia="Times New Roman" w:cs="Times New Roman"/>
                <w:sz w:val="24"/>
                <w:szCs w:val="24"/>
              </w:rPr>
              <w:t xml:space="preserve"> un Valsts robežsardze</w:t>
            </w:r>
            <w:r w:rsidRPr="00327197">
              <w:rPr>
                <w:rFonts w:ascii="Times New Roman" w:hAnsi="Times New Roman" w:eastAsia="Times New Roman" w:cs="Times New Roman"/>
                <w:sz w:val="24"/>
                <w:szCs w:val="24"/>
              </w:rPr>
              <w:t>.</w:t>
            </w:r>
          </w:p>
        </w:tc>
      </w:tr>
      <w:tr w:rsidRPr="00327197" w:rsidR="00371557" w:rsidTr="005562B3" w14:paraId="3337BD85"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51B742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2.</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94334E8"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Projekta izpildes ietekme uz pārvaldes funkcijām un institucionālo struktūru.</w:t>
            </w:r>
            <w:r w:rsidRPr="00327197">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2251B273"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Projekts šo jomu neskar</w:t>
            </w:r>
            <w:r w:rsidRPr="00327197" w:rsidR="004F1D58">
              <w:rPr>
                <w:rFonts w:ascii="Times New Roman" w:hAnsi="Times New Roman" w:eastAsia="Times New Roman" w:cs="Times New Roman"/>
                <w:sz w:val="24"/>
                <w:szCs w:val="24"/>
              </w:rPr>
              <w:t>.</w:t>
            </w:r>
          </w:p>
        </w:tc>
      </w:tr>
      <w:tr w:rsidRPr="00327197" w:rsidR="00F80FC5" w:rsidTr="005562B3" w14:paraId="381BA23B"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7C6E65B0"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324010FE"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27197" w:rsidR="00F80FC5" w:rsidP="005562B3" w:rsidRDefault="003A223B" w14:paraId="5ED8A415" w14:textId="77777777">
            <w:pPr>
              <w:spacing w:after="0" w:line="240" w:lineRule="auto"/>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Nav</w:t>
            </w:r>
            <w:r w:rsidRPr="00327197" w:rsidR="00B907D4">
              <w:rPr>
                <w:rFonts w:ascii="Times New Roman" w:hAnsi="Times New Roman" w:eastAsia="Times New Roman" w:cs="Times New Roman"/>
                <w:sz w:val="24"/>
                <w:szCs w:val="24"/>
              </w:rPr>
              <w:t>.</w:t>
            </w:r>
          </w:p>
        </w:tc>
      </w:tr>
    </w:tbl>
    <w:p w:rsidRPr="00327197" w:rsidR="00F80FC5" w:rsidRDefault="00F80FC5" w14:paraId="172B7ACB" w14:textId="77777777">
      <w:pPr>
        <w:spacing w:after="0" w:line="240" w:lineRule="auto"/>
        <w:rPr>
          <w:rFonts w:ascii="Times New Roman" w:hAnsi="Times New Roman" w:eastAsia="Times New Roman" w:cs="Times New Roman"/>
          <w:sz w:val="28"/>
          <w:szCs w:val="28"/>
        </w:rPr>
      </w:pPr>
    </w:p>
    <w:p w:rsidRPr="00327197" w:rsidR="00F80FC5" w:rsidRDefault="00F80FC5" w14:paraId="7A126A8D" w14:textId="77777777">
      <w:pPr>
        <w:spacing w:after="0" w:line="240" w:lineRule="auto"/>
        <w:rPr>
          <w:rFonts w:ascii="Times New Roman" w:hAnsi="Times New Roman" w:eastAsia="Times New Roman" w:cs="Times New Roman"/>
          <w:sz w:val="28"/>
          <w:szCs w:val="28"/>
        </w:rPr>
      </w:pPr>
    </w:p>
    <w:p w:rsidRPr="00327197" w:rsidR="00F80FC5" w:rsidRDefault="003A223B" w14:paraId="2F8E94E4" w14:textId="77777777">
      <w:pPr>
        <w:tabs>
          <w:tab w:val="left" w:pos="6237"/>
        </w:tabs>
        <w:spacing w:after="0" w:line="240" w:lineRule="auto"/>
        <w:ind w:firstLine="720"/>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Satiksmes ministrs</w:t>
      </w:r>
      <w:r w:rsidRPr="00327197">
        <w:rPr>
          <w:rFonts w:ascii="Times New Roman" w:hAnsi="Times New Roman" w:eastAsia="Times New Roman" w:cs="Times New Roman"/>
          <w:sz w:val="24"/>
          <w:szCs w:val="24"/>
        </w:rPr>
        <w:tab/>
        <w:t>T. Linkaits</w:t>
      </w:r>
    </w:p>
    <w:p w:rsidRPr="00327197" w:rsidR="00F80FC5" w:rsidRDefault="00F80FC5" w14:paraId="0BF2B770" w14:textId="77777777">
      <w:pPr>
        <w:tabs>
          <w:tab w:val="left" w:pos="6237"/>
        </w:tabs>
        <w:spacing w:after="0" w:line="240" w:lineRule="auto"/>
        <w:ind w:firstLine="720"/>
        <w:rPr>
          <w:rFonts w:ascii="Times New Roman" w:hAnsi="Times New Roman" w:eastAsia="Times New Roman" w:cs="Times New Roman"/>
          <w:sz w:val="24"/>
          <w:szCs w:val="24"/>
        </w:rPr>
      </w:pPr>
    </w:p>
    <w:p w:rsidRPr="00327197" w:rsidR="00F80FC5" w:rsidRDefault="00F80FC5" w14:paraId="7973F789" w14:textId="77777777">
      <w:pPr>
        <w:tabs>
          <w:tab w:val="left" w:pos="6237"/>
        </w:tabs>
        <w:spacing w:after="0" w:line="240" w:lineRule="auto"/>
        <w:ind w:firstLine="720"/>
        <w:rPr>
          <w:rFonts w:ascii="Times New Roman" w:hAnsi="Times New Roman" w:eastAsia="Times New Roman" w:cs="Times New Roman"/>
          <w:sz w:val="24"/>
          <w:szCs w:val="24"/>
        </w:rPr>
      </w:pPr>
    </w:p>
    <w:p w:rsidRPr="00327197" w:rsidR="00F80FC5" w:rsidRDefault="003A223B" w14:paraId="70EC3748" w14:textId="77777777">
      <w:pPr>
        <w:tabs>
          <w:tab w:val="left" w:pos="6237"/>
        </w:tabs>
        <w:spacing w:after="0" w:line="240" w:lineRule="auto"/>
        <w:ind w:firstLine="720"/>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Vīza:</w:t>
      </w:r>
    </w:p>
    <w:p w:rsidRPr="00371557" w:rsidR="00F80FC5" w:rsidP="002F0073" w:rsidRDefault="003A223B" w14:paraId="3111B061" w14:textId="77777777">
      <w:pPr>
        <w:tabs>
          <w:tab w:val="left" w:pos="6237"/>
        </w:tabs>
        <w:spacing w:after="0" w:line="240" w:lineRule="auto"/>
        <w:ind w:firstLine="720"/>
        <w:rPr>
          <w:rFonts w:ascii="Times New Roman" w:hAnsi="Times New Roman" w:eastAsia="Times New Roman" w:cs="Times New Roman"/>
          <w:sz w:val="24"/>
          <w:szCs w:val="24"/>
        </w:rPr>
      </w:pPr>
      <w:r w:rsidRPr="00327197">
        <w:rPr>
          <w:rFonts w:ascii="Times New Roman" w:hAnsi="Times New Roman" w:eastAsia="Times New Roman" w:cs="Times New Roman"/>
          <w:sz w:val="24"/>
          <w:szCs w:val="24"/>
        </w:rPr>
        <w:t>valsts sekretāra</w:t>
      </w:r>
      <w:r w:rsidRPr="00327197" w:rsidR="002F0073">
        <w:rPr>
          <w:rFonts w:ascii="Times New Roman" w:hAnsi="Times New Roman" w:eastAsia="Times New Roman" w:cs="Times New Roman"/>
          <w:sz w:val="24"/>
          <w:szCs w:val="24"/>
        </w:rPr>
        <w:t xml:space="preserve"> p.i.</w:t>
      </w:r>
      <w:r w:rsidRPr="00327197">
        <w:rPr>
          <w:rFonts w:ascii="Times New Roman" w:hAnsi="Times New Roman" w:eastAsia="Times New Roman" w:cs="Times New Roman"/>
          <w:sz w:val="24"/>
          <w:szCs w:val="24"/>
        </w:rPr>
        <w:tab/>
        <w:t>Dž. Innusa</w:t>
      </w:r>
      <w:r w:rsidRPr="00371557">
        <w:rPr>
          <w:rFonts w:ascii="Times New Roman" w:hAnsi="Times New Roman" w:eastAsia="Times New Roman" w:cs="Times New Roman"/>
          <w:sz w:val="24"/>
          <w:szCs w:val="24"/>
        </w:rPr>
        <w:t xml:space="preserve"> </w:t>
      </w:r>
    </w:p>
    <w:p w:rsidRPr="00371557" w:rsidR="00F80FC5" w:rsidRDefault="00F80FC5" w14:paraId="0EA85062" w14:textId="77777777">
      <w:pPr>
        <w:tabs>
          <w:tab w:val="left" w:pos="6521"/>
          <w:tab w:val="left" w:pos="6840"/>
        </w:tabs>
        <w:spacing w:after="0" w:line="240" w:lineRule="auto"/>
        <w:ind w:firstLine="720"/>
        <w:rPr>
          <w:rFonts w:ascii="Times New Roman" w:hAnsi="Times New Roman" w:eastAsia="Times New Roman" w:cs="Times New Roman"/>
          <w:sz w:val="24"/>
          <w:szCs w:val="24"/>
        </w:rPr>
      </w:pPr>
    </w:p>
    <w:sectPr w:rsidRPr="00371557" w:rsidR="00F80FC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5BB6B" w14:textId="77777777" w:rsidR="00A03869" w:rsidRDefault="00A03869">
      <w:pPr>
        <w:spacing w:after="0" w:line="240" w:lineRule="auto"/>
      </w:pPr>
      <w:r>
        <w:separator/>
      </w:r>
    </w:p>
  </w:endnote>
  <w:endnote w:type="continuationSeparator" w:id="0">
    <w:p w14:paraId="7C7BDC61" w14:textId="77777777" w:rsidR="00A03869" w:rsidRDefault="00A0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020A" w14:textId="77777777" w:rsidR="0099556F" w:rsidRDefault="0099556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7D66" w14:textId="67738115" w:rsidR="0099556F" w:rsidRDefault="0099556F">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bookmarkStart w:id="2" w:name="_30j0zll" w:colFirst="0" w:colLast="0"/>
    <w:bookmarkEnd w:id="2"/>
    <w:r>
      <w:rPr>
        <w:rFonts w:ascii="Times New Roman" w:eastAsia="Times New Roman" w:hAnsi="Times New Roman" w:cs="Times New Roman"/>
        <w:color w:val="000000"/>
        <w:sz w:val="20"/>
        <w:szCs w:val="20"/>
      </w:rPr>
      <w:t>S</w:t>
    </w:r>
    <w:r w:rsidR="006973A8">
      <w:rPr>
        <w:rFonts w:ascii="Times New Roman" w:eastAsia="Times New Roman" w:hAnsi="Times New Roman" w:cs="Times New Roman"/>
        <w:color w:val="000000"/>
        <w:sz w:val="20"/>
        <w:szCs w:val="20"/>
      </w:rPr>
      <w:t>Manot_13</w:t>
    </w:r>
    <w:r>
      <w:rPr>
        <w:rFonts w:ascii="Times New Roman" w:eastAsia="Times New Roman" w:hAnsi="Times New Roman" w:cs="Times New Roman"/>
        <w:color w:val="000000"/>
        <w:sz w:val="20"/>
        <w:szCs w:val="20"/>
      </w:rPr>
      <w:t>1219_</w:t>
    </w:r>
    <w:r>
      <w:rPr>
        <w:rFonts w:ascii="Times New Roman" w:eastAsia="Times New Roman" w:hAnsi="Times New Roman" w:cs="Times New Roman"/>
        <w:sz w:val="20"/>
        <w:szCs w:val="20"/>
      </w:rPr>
      <w:t>G</w:t>
    </w:r>
    <w:r>
      <w:rPr>
        <w:rFonts w:ascii="Times New Roman" w:eastAsia="Times New Roman" w:hAnsi="Times New Roman" w:cs="Times New Roman"/>
        <w:color w:val="000000"/>
        <w:sz w:val="20"/>
        <w:szCs w:val="20"/>
      </w:rPr>
      <w:t>roz</w:t>
    </w:r>
    <w:r w:rsidR="006973A8">
      <w:rPr>
        <w:rFonts w:ascii="Times New Roman" w:eastAsia="Times New Roman" w:hAnsi="Times New Roman" w:cs="Times New Roman"/>
        <w:color w:val="000000"/>
        <w:sz w:val="20"/>
        <w:szCs w:val="20"/>
      </w:rPr>
      <w:t>MK</w:t>
    </w:r>
    <w:r>
      <w:rPr>
        <w:rFonts w:ascii="Times New Roman" w:eastAsia="Times New Roman" w:hAnsi="Times New Roman" w:cs="Times New Roman"/>
        <w:color w:val="000000"/>
        <w:sz w:val="20"/>
        <w:szCs w:val="20"/>
      </w:rPr>
      <w:t>339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52C6" w14:textId="1021457D" w:rsidR="0099556F" w:rsidRPr="00054F2C" w:rsidRDefault="0099556F" w:rsidP="00054F2C">
    <w:pPr>
      <w:pStyle w:val="Footer"/>
      <w:rPr>
        <w:rFonts w:ascii="Times New Roman" w:eastAsia="Times New Roman" w:hAnsi="Times New Roman" w:cs="Times New Roman"/>
        <w:sz w:val="20"/>
        <w:szCs w:val="20"/>
      </w:rPr>
    </w:pPr>
    <w:r w:rsidRPr="00054F2C">
      <w:rPr>
        <w:rFonts w:ascii="Times New Roman" w:eastAsia="Times New Roman" w:hAnsi="Times New Roman" w:cs="Times New Roman"/>
        <w:sz w:val="20"/>
        <w:szCs w:val="20"/>
      </w:rPr>
      <w:t>SManot_</w:t>
    </w:r>
    <w:r>
      <w:rPr>
        <w:rFonts w:ascii="Times New Roman" w:eastAsia="Times New Roman" w:hAnsi="Times New Roman" w:cs="Times New Roman"/>
        <w:sz w:val="20"/>
        <w:szCs w:val="20"/>
      </w:rPr>
      <w:t>1</w:t>
    </w:r>
    <w:r w:rsidR="006973A8">
      <w:rPr>
        <w:rFonts w:ascii="Times New Roman" w:eastAsia="Times New Roman" w:hAnsi="Times New Roman" w:cs="Times New Roman"/>
        <w:sz w:val="20"/>
        <w:szCs w:val="20"/>
      </w:rPr>
      <w:t>3</w:t>
    </w:r>
    <w:r>
      <w:rPr>
        <w:rFonts w:ascii="Times New Roman" w:eastAsia="Times New Roman" w:hAnsi="Times New Roman" w:cs="Times New Roman"/>
        <w:sz w:val="20"/>
        <w:szCs w:val="20"/>
      </w:rPr>
      <w:t>12</w:t>
    </w:r>
    <w:r w:rsidRPr="00054F2C">
      <w:rPr>
        <w:rFonts w:ascii="Times New Roman" w:eastAsia="Times New Roman" w:hAnsi="Times New Roman" w:cs="Times New Roman"/>
        <w:sz w:val="20"/>
        <w:szCs w:val="20"/>
      </w:rPr>
      <w:t>19_Groz</w:t>
    </w:r>
    <w:r w:rsidR="006973A8">
      <w:rPr>
        <w:rFonts w:ascii="Times New Roman" w:eastAsia="Times New Roman" w:hAnsi="Times New Roman" w:cs="Times New Roman"/>
        <w:sz w:val="20"/>
        <w:szCs w:val="20"/>
      </w:rPr>
      <w:t>MK</w:t>
    </w:r>
    <w:r w:rsidRPr="00054F2C">
      <w:rPr>
        <w:rFonts w:ascii="Times New Roman" w:eastAsia="Times New Roman" w:hAnsi="Times New Roman" w:cs="Times New Roman"/>
        <w:sz w:val="20"/>
        <w:szCs w:val="20"/>
      </w:rPr>
      <w:t>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2A5DD" w14:textId="77777777" w:rsidR="00A03869" w:rsidRDefault="00A03869">
      <w:pPr>
        <w:spacing w:after="0" w:line="240" w:lineRule="auto"/>
      </w:pPr>
      <w:r>
        <w:separator/>
      </w:r>
    </w:p>
  </w:footnote>
  <w:footnote w:type="continuationSeparator" w:id="0">
    <w:p w14:paraId="2DD2B54F" w14:textId="77777777" w:rsidR="00A03869" w:rsidRDefault="00A0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6F" w:rsidRDefault="0099556F" w14:paraId="11960454" w14:textId="7777777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6F" w:rsidRDefault="0099556F" w14:paraId="4387A1D2" w14:textId="77777777">
    <w:pPr>
      <w:pBdr>
        <w:top w:val="nil"/>
        <w:left w:val="nil"/>
        <w:bottom w:val="nil"/>
        <w:right w:val="nil"/>
        <w:between w:val="nil"/>
      </w:pBdr>
      <w:tabs>
        <w:tab w:val="center" w:pos="4153"/>
        <w:tab w:val="right" w:pos="8306"/>
      </w:tabs>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PAGE</w:instrText>
    </w:r>
    <w:r>
      <w:rPr>
        <w:rFonts w:ascii="Times New Roman" w:hAnsi="Times New Roman" w:eastAsia="Times New Roman" w:cs="Times New Roman"/>
        <w:color w:val="000000"/>
        <w:sz w:val="24"/>
        <w:szCs w:val="24"/>
      </w:rPr>
      <w:fldChar w:fldCharType="separate"/>
    </w:r>
    <w:r w:rsidR="006973A8">
      <w:rPr>
        <w:rFonts w:ascii="Times New Roman" w:hAnsi="Times New Roman" w:eastAsia="Times New Roman" w:cs="Times New Roman"/>
        <w:noProof/>
        <w:color w:val="000000"/>
        <w:sz w:val="24"/>
        <w:szCs w:val="24"/>
      </w:rPr>
      <w:t>15</w:t>
    </w:r>
    <w:r>
      <w:rPr>
        <w:rFonts w:ascii="Times New Roman" w:hAnsi="Times New Roman" w:eastAsia="Times New Roman" w:cs="Times New Roman"/>
        <w:color w:val="00000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6F" w:rsidRDefault="0099556F" w14:paraId="5209F2DD" w14:textId="77777777">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C5"/>
    <w:rsid w:val="00032F4D"/>
    <w:rsid w:val="0004593B"/>
    <w:rsid w:val="00054F2C"/>
    <w:rsid w:val="000A1123"/>
    <w:rsid w:val="000A71CD"/>
    <w:rsid w:val="000B2488"/>
    <w:rsid w:val="000D6728"/>
    <w:rsid w:val="00100E3E"/>
    <w:rsid w:val="0014207B"/>
    <w:rsid w:val="00165282"/>
    <w:rsid w:val="001A517D"/>
    <w:rsid w:val="0026450F"/>
    <w:rsid w:val="00264844"/>
    <w:rsid w:val="002851DB"/>
    <w:rsid w:val="002D13E3"/>
    <w:rsid w:val="002F0073"/>
    <w:rsid w:val="00327197"/>
    <w:rsid w:val="00371557"/>
    <w:rsid w:val="00377B04"/>
    <w:rsid w:val="003A223B"/>
    <w:rsid w:val="003D7FA4"/>
    <w:rsid w:val="00413BE3"/>
    <w:rsid w:val="00436419"/>
    <w:rsid w:val="00437C97"/>
    <w:rsid w:val="004C35F6"/>
    <w:rsid w:val="004C46E2"/>
    <w:rsid w:val="004F1D58"/>
    <w:rsid w:val="005511D3"/>
    <w:rsid w:val="005562B3"/>
    <w:rsid w:val="00563507"/>
    <w:rsid w:val="005C2412"/>
    <w:rsid w:val="005D4E8A"/>
    <w:rsid w:val="005E2616"/>
    <w:rsid w:val="00652367"/>
    <w:rsid w:val="006973A8"/>
    <w:rsid w:val="006A502C"/>
    <w:rsid w:val="006D1338"/>
    <w:rsid w:val="00732E5A"/>
    <w:rsid w:val="0073567D"/>
    <w:rsid w:val="00735EC0"/>
    <w:rsid w:val="00777EFB"/>
    <w:rsid w:val="007C4ADB"/>
    <w:rsid w:val="007F4A62"/>
    <w:rsid w:val="00815F41"/>
    <w:rsid w:val="00817149"/>
    <w:rsid w:val="00847777"/>
    <w:rsid w:val="008B062A"/>
    <w:rsid w:val="008B696E"/>
    <w:rsid w:val="008E0D91"/>
    <w:rsid w:val="008E3011"/>
    <w:rsid w:val="00912E6F"/>
    <w:rsid w:val="0091696B"/>
    <w:rsid w:val="009217DD"/>
    <w:rsid w:val="00941D76"/>
    <w:rsid w:val="00970F26"/>
    <w:rsid w:val="00972606"/>
    <w:rsid w:val="009856FB"/>
    <w:rsid w:val="0099556F"/>
    <w:rsid w:val="009B557B"/>
    <w:rsid w:val="009D37E5"/>
    <w:rsid w:val="009E28AA"/>
    <w:rsid w:val="00A03869"/>
    <w:rsid w:val="00A32B5A"/>
    <w:rsid w:val="00A37DA0"/>
    <w:rsid w:val="00A5030C"/>
    <w:rsid w:val="00A53061"/>
    <w:rsid w:val="00A75FBA"/>
    <w:rsid w:val="00AF0285"/>
    <w:rsid w:val="00AF78C5"/>
    <w:rsid w:val="00B36705"/>
    <w:rsid w:val="00B907D4"/>
    <w:rsid w:val="00BA2D79"/>
    <w:rsid w:val="00BC75B4"/>
    <w:rsid w:val="00BE792E"/>
    <w:rsid w:val="00C01D7B"/>
    <w:rsid w:val="00C07753"/>
    <w:rsid w:val="00C13603"/>
    <w:rsid w:val="00C93CFA"/>
    <w:rsid w:val="00CD08B2"/>
    <w:rsid w:val="00CF0CB6"/>
    <w:rsid w:val="00D57BFA"/>
    <w:rsid w:val="00D66F77"/>
    <w:rsid w:val="00D75ACE"/>
    <w:rsid w:val="00D973CE"/>
    <w:rsid w:val="00DB0D79"/>
    <w:rsid w:val="00DB30E2"/>
    <w:rsid w:val="00E1556C"/>
    <w:rsid w:val="00E32CA6"/>
    <w:rsid w:val="00E877CA"/>
    <w:rsid w:val="00EA0671"/>
    <w:rsid w:val="00EA16C3"/>
    <w:rsid w:val="00EC48DB"/>
    <w:rsid w:val="00ED3BA6"/>
    <w:rsid w:val="00ED6564"/>
    <w:rsid w:val="00EE0A71"/>
    <w:rsid w:val="00EF2AAF"/>
    <w:rsid w:val="00EF4AB7"/>
    <w:rsid w:val="00F07A29"/>
    <w:rsid w:val="00F15E1D"/>
    <w:rsid w:val="00F56DE5"/>
    <w:rsid w:val="00F63EC4"/>
    <w:rsid w:val="00F80FC5"/>
    <w:rsid w:val="00FA2643"/>
    <w:rsid w:val="00FF0B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F281"/>
  <w15:docId w15:val="{97506087-0B7B-4611-998A-037087B9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table" w:customStyle="1" w:styleId="a8">
    <w:basedOn w:val="TableNormal"/>
    <w:tblPr>
      <w:tblStyleRowBandSize w:val="1"/>
      <w:tblStyleColBandSize w:val="1"/>
      <w:tblCellMar>
        <w:top w:w="30" w:type="dxa"/>
        <w:left w:w="30" w:type="dxa"/>
        <w:bottom w:w="30" w:type="dxa"/>
        <w:right w:w="30" w:type="dxa"/>
      </w:tblCellMar>
    </w:tblPr>
  </w:style>
  <w:style w:type="table" w:customStyle="1" w:styleId="a9">
    <w:basedOn w:val="TableNormal"/>
    <w:tblPr>
      <w:tblStyleRowBandSize w:val="1"/>
      <w:tblStyleColBandSize w:val="1"/>
      <w:tblCellMar>
        <w:top w:w="30" w:type="dxa"/>
        <w:left w:w="30" w:type="dxa"/>
        <w:bottom w:w="30" w:type="dxa"/>
        <w:right w:w="30" w:type="dxa"/>
      </w:tblCellMar>
    </w:tblPr>
  </w:style>
  <w:style w:type="table" w:customStyle="1" w:styleId="aa">
    <w:basedOn w:val="TableNormal"/>
    <w:tblPr>
      <w:tblStyleRowBandSize w:val="1"/>
      <w:tblStyleColBandSize w:val="1"/>
      <w:tblCellMar>
        <w:top w:w="30" w:type="dxa"/>
        <w:left w:w="30" w:type="dxa"/>
        <w:bottom w:w="30" w:type="dxa"/>
        <w:right w:w="30" w:type="dxa"/>
      </w:tblCellMar>
    </w:tblPr>
  </w:style>
  <w:style w:type="character" w:styleId="Hyperlink">
    <w:name w:val="Hyperlink"/>
    <w:uiPriority w:val="99"/>
    <w:unhideWhenUsed/>
    <w:rsid w:val="000B2488"/>
    <w:rPr>
      <w:color w:val="0000FF"/>
      <w:u w:val="single"/>
    </w:rPr>
  </w:style>
  <w:style w:type="character" w:customStyle="1" w:styleId="UnresolvedMention1">
    <w:name w:val="Unresolved Mention1"/>
    <w:uiPriority w:val="99"/>
    <w:semiHidden/>
    <w:unhideWhenUsed/>
    <w:rsid w:val="000B2488"/>
    <w:rPr>
      <w:color w:val="605E5C"/>
      <w:shd w:val="clear" w:color="auto" w:fill="E1DFDD"/>
    </w:rPr>
  </w:style>
  <w:style w:type="character" w:styleId="FollowedHyperlink">
    <w:name w:val="FollowedHyperlink"/>
    <w:uiPriority w:val="99"/>
    <w:semiHidden/>
    <w:unhideWhenUsed/>
    <w:rsid w:val="000B2488"/>
    <w:rPr>
      <w:color w:val="800080"/>
      <w:u w:val="single"/>
    </w:rPr>
  </w:style>
  <w:style w:type="paragraph" w:styleId="BalloonText">
    <w:name w:val="Balloon Text"/>
    <w:basedOn w:val="Normal"/>
    <w:link w:val="BalloonTextChar"/>
    <w:uiPriority w:val="99"/>
    <w:semiHidden/>
    <w:unhideWhenUsed/>
    <w:rsid w:val="009856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56FB"/>
    <w:rPr>
      <w:rFonts w:ascii="Segoe UI" w:hAnsi="Segoe UI" w:cs="Segoe UI"/>
      <w:sz w:val="18"/>
      <w:szCs w:val="18"/>
      <w:lang w:val="lv-LV" w:eastAsia="lv-LV"/>
    </w:rPr>
  </w:style>
  <w:style w:type="paragraph" w:styleId="Footer">
    <w:name w:val="footer"/>
    <w:basedOn w:val="Normal"/>
    <w:link w:val="FooterChar"/>
    <w:uiPriority w:val="99"/>
    <w:semiHidden/>
    <w:unhideWhenUsed/>
    <w:rsid w:val="00054F2C"/>
    <w:pPr>
      <w:tabs>
        <w:tab w:val="center" w:pos="4513"/>
        <w:tab w:val="right" w:pos="9026"/>
      </w:tabs>
    </w:pPr>
  </w:style>
  <w:style w:type="character" w:customStyle="1" w:styleId="FooterChar">
    <w:name w:val="Footer Char"/>
    <w:link w:val="Footer"/>
    <w:uiPriority w:val="99"/>
    <w:semiHidden/>
    <w:rsid w:val="00054F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m.gov.lv/satmin/content/?cat=55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E2DA-0864-4E04-8B37-6BCB1895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19152</Words>
  <Characters>10918</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Grozījumi Ministru kabineta 2012. gada 15. maija noteikumos Nr. 339 "Noteikumi par ostu formalitātēm"</vt:lpstr>
    </vt:vector>
  </TitlesOfParts>
  <Company>Satiksmes ministrija</Company>
  <LinksUpToDate>false</LinksUpToDate>
  <CharactersWithSpaces>30010</CharactersWithSpaces>
  <SharedDoc>false</SharedDoc>
  <HLinks>
    <vt:vector size="6" baseType="variant">
      <vt:variant>
        <vt:i4>5177361</vt:i4>
      </vt:variant>
      <vt:variant>
        <vt:i4>0</vt:i4>
      </vt:variant>
      <vt:variant>
        <vt:i4>0</vt:i4>
      </vt:variant>
      <vt:variant>
        <vt:i4>5</vt:i4>
      </vt:variant>
      <vt:variant>
        <vt:lpwstr>http://www.sam.gov.lv/satmin/content/?cat=553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15. maija noteikumos Nr. 339 "Noteikumi par ostu formalitātēm"</dc:title>
  <dc:subject>Anotācija</dc:subject>
  <dc:creator>Viesturs Ruško</dc:creator>
  <cp:keywords/>
  <dc:description>67062127, viesturs.rusko@lja.lv</dc:description>
  <cp:lastModifiedBy>Baiba Jirgena</cp:lastModifiedBy>
  <cp:revision>5</cp:revision>
  <dcterms:created xsi:type="dcterms:W3CDTF">2019-12-13T12:35:00Z</dcterms:created>
  <dcterms:modified xsi:type="dcterms:W3CDTF">2019-12-30T07:27:00Z</dcterms:modified>
</cp:coreProperties>
</file>