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10A" w:rsidP="00AF192B" w:rsidRDefault="0068210A" w14:paraId="68B04971" w14:textId="316C624A">
      <w:pPr>
        <w:rPr>
          <w:b/>
          <w:sz w:val="28"/>
          <w:szCs w:val="28"/>
        </w:rPr>
      </w:pPr>
    </w:p>
    <w:p w:rsidRPr="00B05446" w:rsidR="0068210A" w:rsidP="00841975" w:rsidRDefault="0068210A" w14:paraId="68B04972" w14:textId="77777777">
      <w:pPr>
        <w:jc w:val="center"/>
        <w:rPr>
          <w:b/>
          <w:sz w:val="28"/>
          <w:szCs w:val="28"/>
        </w:rPr>
      </w:pPr>
      <w:smartTag w:uri="schemas-tilde-lv/tildestengine" w:element="veidnes">
        <w:smartTagPr>
          <w:attr w:name="text" w:val="Izziņa"/>
          <w:attr w:name="baseform" w:val="Izziņa"/>
          <w:attr w:name="id" w:val="-1"/>
        </w:smartTagPr>
        <w:r w:rsidRPr="00B05446">
          <w:rPr>
            <w:b/>
            <w:sz w:val="28"/>
            <w:szCs w:val="28"/>
          </w:rPr>
          <w:t>Izziņa</w:t>
        </w:r>
      </w:smartTag>
      <w:r w:rsidRPr="00B05446">
        <w:rPr>
          <w:b/>
          <w:sz w:val="28"/>
          <w:szCs w:val="28"/>
        </w:rPr>
        <w:t xml:space="preserve"> par atzinumos sniegtajiem iebildumiem</w:t>
      </w:r>
    </w:p>
    <w:p w:rsidR="00381E94" w:rsidP="0025179D" w:rsidRDefault="0068210A" w14:paraId="2239089D" w14:textId="77777777">
      <w:pPr>
        <w:jc w:val="center"/>
        <w:rPr>
          <w:b/>
          <w:sz w:val="28"/>
          <w:szCs w:val="28"/>
        </w:rPr>
      </w:pPr>
      <w:bookmarkStart w:name="_Hlk524528487" w:id="0"/>
      <w:r w:rsidRPr="00B05446">
        <w:rPr>
          <w:b/>
          <w:sz w:val="28"/>
          <w:szCs w:val="28"/>
        </w:rPr>
        <w:t>Ministru kabineta rīkojuma projekt</w:t>
      </w:r>
      <w:r w:rsidR="00381E94">
        <w:rPr>
          <w:b/>
          <w:sz w:val="28"/>
          <w:szCs w:val="28"/>
        </w:rPr>
        <w:t>am</w:t>
      </w:r>
      <w:r w:rsidRPr="00B05446">
        <w:rPr>
          <w:b/>
          <w:sz w:val="28"/>
          <w:szCs w:val="28"/>
        </w:rPr>
        <w:t xml:space="preserve"> </w:t>
      </w:r>
    </w:p>
    <w:p w:rsidR="004C4030" w:rsidP="009C16FA" w:rsidRDefault="0068210A" w14:paraId="2E8E6986" w14:textId="77777777">
      <w:pPr>
        <w:ind w:firstLine="720"/>
        <w:jc w:val="center"/>
        <w:rPr>
          <w:b/>
          <w:bCs/>
          <w:sz w:val="28"/>
          <w:szCs w:val="28"/>
          <w:lang w:eastAsia="ko-KR"/>
        </w:rPr>
      </w:pPr>
      <w:r w:rsidRPr="009C16FA">
        <w:rPr>
          <w:b/>
          <w:sz w:val="28"/>
          <w:szCs w:val="28"/>
        </w:rPr>
        <w:t>„</w:t>
      </w:r>
      <w:r w:rsidRPr="009C16FA" w:rsidR="009C16FA">
        <w:rPr>
          <w:b/>
          <w:bCs/>
          <w:sz w:val="28"/>
          <w:szCs w:val="28"/>
          <w:lang w:eastAsia="ko-KR"/>
        </w:rPr>
        <w:t>Par valstij piederošā nekustamā īpašuma “</w:t>
      </w:r>
      <w:r w:rsidR="004C4030">
        <w:rPr>
          <w:b/>
          <w:bCs/>
          <w:sz w:val="28"/>
          <w:szCs w:val="28"/>
          <w:lang w:eastAsia="ko-KR"/>
        </w:rPr>
        <w:t xml:space="preserve">V880” Bērzaunes pagastā, Madonas novadā, </w:t>
      </w:r>
    </w:p>
    <w:p w:rsidRPr="009C16FA" w:rsidR="0068210A" w:rsidP="009C16FA" w:rsidRDefault="009C16FA" w14:paraId="68B04973" w14:textId="6441368C">
      <w:pPr>
        <w:ind w:firstLine="720"/>
        <w:jc w:val="center"/>
        <w:rPr>
          <w:b/>
          <w:bCs/>
          <w:sz w:val="28"/>
          <w:szCs w:val="28"/>
          <w:lang w:eastAsia="ko-KR"/>
        </w:rPr>
      </w:pPr>
      <w:r w:rsidRPr="009C16FA">
        <w:rPr>
          <w:b/>
          <w:bCs/>
          <w:sz w:val="28"/>
          <w:szCs w:val="28"/>
          <w:lang w:eastAsia="ko-KR"/>
        </w:rPr>
        <w:t xml:space="preserve">nodošanu </w:t>
      </w:r>
      <w:r w:rsidR="004C4030">
        <w:rPr>
          <w:b/>
          <w:bCs/>
          <w:sz w:val="28"/>
          <w:szCs w:val="28"/>
          <w:lang w:eastAsia="ko-KR"/>
        </w:rPr>
        <w:t xml:space="preserve">Madonas novada </w:t>
      </w:r>
      <w:r w:rsidRPr="009C16FA">
        <w:rPr>
          <w:b/>
          <w:bCs/>
          <w:sz w:val="28"/>
          <w:szCs w:val="28"/>
          <w:lang w:eastAsia="ko-KR"/>
        </w:rPr>
        <w:t>pašvaldības īpašumā</w:t>
      </w:r>
      <w:r w:rsidRPr="009C16FA">
        <w:rPr>
          <w:b/>
          <w:sz w:val="28"/>
          <w:szCs w:val="28"/>
          <w:lang w:eastAsia="ko-KR"/>
        </w:rPr>
        <w:t>”</w:t>
      </w:r>
    </w:p>
    <w:bookmarkEnd w:id="0"/>
    <w:p w:rsidR="0068210A" w:rsidP="00841975" w:rsidRDefault="0068210A" w14:paraId="68B04974" w14:textId="77777777">
      <w:pPr>
        <w:jc w:val="center"/>
        <w:rPr>
          <w:b/>
          <w:sz w:val="28"/>
          <w:szCs w:val="28"/>
        </w:rPr>
      </w:pPr>
    </w:p>
    <w:p w:rsidRPr="00381E94" w:rsidR="004D04CA" w:rsidP="00381E94" w:rsidRDefault="0068210A" w14:paraId="1CE60FCC" w14:textId="17673C63">
      <w:pPr>
        <w:pStyle w:val="ListParagraph"/>
        <w:numPr>
          <w:ilvl w:val="0"/>
          <w:numId w:val="6"/>
        </w:numPr>
        <w:jc w:val="center"/>
        <w:rPr>
          <w:b/>
          <w:sz w:val="28"/>
          <w:szCs w:val="28"/>
        </w:rPr>
      </w:pPr>
      <w:r w:rsidRPr="00381E94">
        <w:rPr>
          <w:b/>
          <w:sz w:val="28"/>
          <w:szCs w:val="28"/>
        </w:rPr>
        <w:t>Jautājumi, par kuriem saskaņošanā vienošanās nav panākta</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90"/>
        <w:gridCol w:w="1946"/>
        <w:gridCol w:w="4526"/>
        <w:gridCol w:w="3050"/>
        <w:gridCol w:w="1604"/>
        <w:gridCol w:w="1932"/>
      </w:tblGrid>
      <w:tr w:rsidRPr="008F6980" w:rsidR="0068210A" w:rsidTr="00EC3695" w14:paraId="68B0497D" w14:textId="77777777">
        <w:tc>
          <w:tcPr>
            <w:tcW w:w="890" w:type="dxa"/>
            <w:vAlign w:val="center"/>
          </w:tcPr>
          <w:p w:rsidRPr="008F6980" w:rsidR="0068210A" w:rsidP="00EC3695" w:rsidRDefault="0068210A" w14:paraId="68B04977" w14:textId="77777777">
            <w:pPr>
              <w:jc w:val="center"/>
            </w:pPr>
            <w:proofErr w:type="spellStart"/>
            <w:r w:rsidRPr="008F6980">
              <w:t>Nr.p.k</w:t>
            </w:r>
            <w:proofErr w:type="spellEnd"/>
            <w:r w:rsidRPr="008F6980">
              <w:t>.</w:t>
            </w:r>
          </w:p>
        </w:tc>
        <w:tc>
          <w:tcPr>
            <w:tcW w:w="1963" w:type="dxa"/>
            <w:vAlign w:val="center"/>
          </w:tcPr>
          <w:p w:rsidRPr="008F6980" w:rsidR="0068210A" w:rsidP="00EC3695" w:rsidRDefault="0068210A" w14:paraId="68B04978" w14:textId="77777777">
            <w:pPr>
              <w:jc w:val="center"/>
            </w:pPr>
            <w:r w:rsidRPr="008F6980">
              <w:t>Saskaņošanai nosūtītā projekta redakcija (konkrēta punkta (panta) redakcija)</w:t>
            </w:r>
          </w:p>
        </w:tc>
        <w:tc>
          <w:tcPr>
            <w:tcW w:w="4642" w:type="dxa"/>
            <w:vAlign w:val="center"/>
          </w:tcPr>
          <w:p w:rsidRPr="008F6980" w:rsidR="0068210A" w:rsidP="00EC3695" w:rsidRDefault="0068210A" w14:paraId="68B04979" w14:textId="77777777">
            <w:pPr>
              <w:jc w:val="center"/>
            </w:pPr>
            <w:r w:rsidRPr="008F6980">
              <w:t>Atzinumā norādītais ministrijas (citas institūcijas) iebildums, kā arī saskaņošanā papildus izteiktais iebildums par projekta konkrēto punktu (pantu)</w:t>
            </w:r>
          </w:p>
        </w:tc>
        <w:tc>
          <w:tcPr>
            <w:tcW w:w="3105" w:type="dxa"/>
            <w:vAlign w:val="center"/>
          </w:tcPr>
          <w:p w:rsidRPr="008F6980" w:rsidR="0068210A" w:rsidP="00EC3695" w:rsidRDefault="0068210A" w14:paraId="68B0497A" w14:textId="77777777">
            <w:pPr>
              <w:jc w:val="center"/>
            </w:pPr>
            <w:r w:rsidRPr="008F6980">
              <w:t>Atbildīgās ministrijas pamatojums iebilduma noraidījumam</w:t>
            </w:r>
          </w:p>
        </w:tc>
        <w:tc>
          <w:tcPr>
            <w:tcW w:w="1611" w:type="dxa"/>
            <w:vAlign w:val="center"/>
          </w:tcPr>
          <w:p w:rsidRPr="008F6980" w:rsidR="0068210A" w:rsidP="00EC3695" w:rsidRDefault="0068210A" w14:paraId="68B0497B" w14:textId="77777777">
            <w:pPr>
              <w:jc w:val="center"/>
            </w:pPr>
            <w:r w:rsidRPr="008F6980">
              <w:t>Atzinuma sniedzēja uzturētais iebildums, ja tas atšķiras no atzinumā norādītā iebilduma pamatojuma</w:t>
            </w:r>
          </w:p>
        </w:tc>
        <w:tc>
          <w:tcPr>
            <w:tcW w:w="1963" w:type="dxa"/>
            <w:vAlign w:val="center"/>
          </w:tcPr>
          <w:p w:rsidRPr="008F6980" w:rsidR="0068210A" w:rsidP="00EC3695" w:rsidRDefault="0068210A" w14:paraId="68B0497C" w14:textId="77777777">
            <w:pPr>
              <w:jc w:val="center"/>
            </w:pPr>
            <w:r w:rsidRPr="008F6980">
              <w:t>Projekta attiecīgā punkta (panta) galīgā redakcija</w:t>
            </w:r>
          </w:p>
        </w:tc>
      </w:tr>
      <w:tr w:rsidRPr="00B945F5" w:rsidR="0068210A" w:rsidTr="00EC3695" w14:paraId="68B04984" w14:textId="77777777">
        <w:tc>
          <w:tcPr>
            <w:tcW w:w="890" w:type="dxa"/>
          </w:tcPr>
          <w:p w:rsidR="0068210A" w:rsidP="00EC3695" w:rsidRDefault="0068210A" w14:paraId="68B0497E" w14:textId="77777777">
            <w:pPr>
              <w:jc w:val="center"/>
            </w:pPr>
            <w:r>
              <w:t>1.</w:t>
            </w:r>
          </w:p>
        </w:tc>
        <w:tc>
          <w:tcPr>
            <w:tcW w:w="1963" w:type="dxa"/>
          </w:tcPr>
          <w:p w:rsidR="0068210A" w:rsidP="00EC3695" w:rsidRDefault="0068210A" w14:paraId="68B0497F" w14:textId="77777777">
            <w:pPr>
              <w:jc w:val="center"/>
            </w:pPr>
            <w:r>
              <w:t>2.</w:t>
            </w:r>
          </w:p>
        </w:tc>
        <w:tc>
          <w:tcPr>
            <w:tcW w:w="4642" w:type="dxa"/>
          </w:tcPr>
          <w:p w:rsidR="0068210A" w:rsidP="00EC3695" w:rsidRDefault="0068210A" w14:paraId="68B04980" w14:textId="77777777">
            <w:pPr>
              <w:jc w:val="center"/>
            </w:pPr>
            <w:r>
              <w:t>3.</w:t>
            </w:r>
          </w:p>
        </w:tc>
        <w:tc>
          <w:tcPr>
            <w:tcW w:w="3105" w:type="dxa"/>
          </w:tcPr>
          <w:p w:rsidR="0068210A" w:rsidP="00EC3695" w:rsidRDefault="0068210A" w14:paraId="68B04981" w14:textId="77777777">
            <w:pPr>
              <w:jc w:val="center"/>
            </w:pPr>
            <w:r>
              <w:t>4.</w:t>
            </w:r>
          </w:p>
        </w:tc>
        <w:tc>
          <w:tcPr>
            <w:tcW w:w="1611" w:type="dxa"/>
          </w:tcPr>
          <w:p w:rsidR="0068210A" w:rsidP="00EC3695" w:rsidRDefault="0068210A" w14:paraId="68B04982" w14:textId="77777777">
            <w:pPr>
              <w:jc w:val="center"/>
            </w:pPr>
            <w:r>
              <w:t>5.</w:t>
            </w:r>
          </w:p>
        </w:tc>
        <w:tc>
          <w:tcPr>
            <w:tcW w:w="1963" w:type="dxa"/>
          </w:tcPr>
          <w:p w:rsidR="0068210A" w:rsidP="00EC3695" w:rsidRDefault="0068210A" w14:paraId="68B04983" w14:textId="77777777">
            <w:pPr>
              <w:jc w:val="center"/>
            </w:pPr>
            <w:r>
              <w:t>6.</w:t>
            </w:r>
          </w:p>
        </w:tc>
      </w:tr>
    </w:tbl>
    <w:p w:rsidRPr="00430D1E" w:rsidR="004D04CA" w:rsidP="00841975" w:rsidRDefault="0068210A" w14:paraId="5180E829" w14:textId="2340D601">
      <w:pPr>
        <w:rPr>
          <w:b/>
          <w:sz w:val="28"/>
          <w:szCs w:val="28"/>
        </w:rPr>
      </w:pPr>
      <w:r w:rsidRPr="00B05446">
        <w:rPr>
          <w:b/>
          <w:sz w:val="28"/>
          <w:szCs w:val="28"/>
        </w:rPr>
        <w:t xml:space="preserve">Informācija par </w:t>
      </w:r>
      <w:proofErr w:type="spellStart"/>
      <w:r w:rsidRPr="00B05446">
        <w:rPr>
          <w:b/>
          <w:sz w:val="28"/>
          <w:szCs w:val="28"/>
        </w:rPr>
        <w:t>starpministriju</w:t>
      </w:r>
      <w:proofErr w:type="spellEnd"/>
      <w:r w:rsidRPr="00B05446">
        <w:rPr>
          <w:b/>
          <w:sz w:val="28"/>
          <w:szCs w:val="28"/>
        </w:rPr>
        <w:t xml:space="preserve"> (starpinstitūciju) sanāksmi vai elektronisko saskaņošanu</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64"/>
        <w:gridCol w:w="2468"/>
        <w:gridCol w:w="7816"/>
      </w:tblGrid>
      <w:tr w:rsidRPr="003A7944" w:rsidR="0068210A" w:rsidTr="00EC3695" w14:paraId="68B04988" w14:textId="77777777">
        <w:trPr>
          <w:trHeight w:val="258"/>
        </w:trPr>
        <w:tc>
          <w:tcPr>
            <w:tcW w:w="3708" w:type="dxa"/>
            <w:vAlign w:val="bottom"/>
          </w:tcPr>
          <w:p w:rsidRPr="003A7944" w:rsidR="0068210A" w:rsidP="00EC3695" w:rsidRDefault="0068210A" w14:paraId="68B04986" w14:textId="77777777">
            <w:r w:rsidRPr="003A7944">
              <w:t>Datums</w:t>
            </w:r>
          </w:p>
        </w:tc>
        <w:tc>
          <w:tcPr>
            <w:tcW w:w="10466" w:type="dxa"/>
            <w:gridSpan w:val="2"/>
            <w:vAlign w:val="bottom"/>
          </w:tcPr>
          <w:p w:rsidR="0068210A" w:rsidP="00EC3695" w:rsidRDefault="00381E94" w14:paraId="65700CAA" w14:textId="1E5C6AE1">
            <w:r w:rsidRPr="00666C80">
              <w:t>201</w:t>
            </w:r>
            <w:r w:rsidR="00666C80">
              <w:t>9</w:t>
            </w:r>
            <w:r w:rsidRPr="00666C80">
              <w:t xml:space="preserve">.gada </w:t>
            </w:r>
            <w:r w:rsidR="00666C80">
              <w:t xml:space="preserve">25.oktobra </w:t>
            </w:r>
            <w:r w:rsidRPr="00666C80">
              <w:t xml:space="preserve"> (elektroniskā saskaņošana)</w:t>
            </w:r>
          </w:p>
          <w:p w:rsidRPr="003A7944" w:rsidR="00666C80" w:rsidP="00EC3695" w:rsidRDefault="00666C80" w14:paraId="68B04987" w14:textId="3382073C">
            <w:r>
              <w:t>2019.gada 13.novembra (elektroniskā saskaņošana)</w:t>
            </w:r>
          </w:p>
        </w:tc>
      </w:tr>
      <w:tr w:rsidRPr="003A7944" w:rsidR="0068210A" w:rsidTr="00EC3695" w14:paraId="68B0498B" w14:textId="77777777">
        <w:trPr>
          <w:trHeight w:val="340"/>
        </w:trPr>
        <w:tc>
          <w:tcPr>
            <w:tcW w:w="3708" w:type="dxa"/>
            <w:vMerge w:val="restart"/>
          </w:tcPr>
          <w:p w:rsidRPr="003A7944" w:rsidR="0068210A" w:rsidP="00EC3695" w:rsidRDefault="0068210A" w14:paraId="68B04989" w14:textId="77777777">
            <w:r w:rsidRPr="003A7944">
              <w:t>Saskaņošanas dalībnieki</w:t>
            </w:r>
          </w:p>
        </w:tc>
        <w:tc>
          <w:tcPr>
            <w:tcW w:w="10466" w:type="dxa"/>
            <w:gridSpan w:val="2"/>
            <w:vAlign w:val="bottom"/>
          </w:tcPr>
          <w:p w:rsidRPr="003A7944" w:rsidR="0068210A" w:rsidP="00EC3695" w:rsidRDefault="0068210A" w14:paraId="68B0498A" w14:textId="77777777">
            <w:pPr>
              <w:ind w:left="72"/>
            </w:pPr>
            <w:r w:rsidRPr="003A7944">
              <w:t>Tieslietu ministrija</w:t>
            </w:r>
          </w:p>
        </w:tc>
      </w:tr>
      <w:tr w:rsidRPr="003A7944" w:rsidR="0025179D" w:rsidTr="00EC3695" w14:paraId="5576DDE9" w14:textId="77777777">
        <w:trPr>
          <w:trHeight w:val="340"/>
        </w:trPr>
        <w:tc>
          <w:tcPr>
            <w:tcW w:w="3708" w:type="dxa"/>
            <w:vMerge/>
          </w:tcPr>
          <w:p w:rsidRPr="003A7944" w:rsidR="0025179D" w:rsidP="00EC3695" w:rsidRDefault="0025179D" w14:paraId="38641655" w14:textId="77777777"/>
        </w:tc>
        <w:tc>
          <w:tcPr>
            <w:tcW w:w="10466" w:type="dxa"/>
            <w:gridSpan w:val="2"/>
            <w:vAlign w:val="bottom"/>
          </w:tcPr>
          <w:p w:rsidRPr="003A7944" w:rsidR="0025179D" w:rsidP="00EC3695" w:rsidRDefault="0025179D" w14:paraId="72B99ADC" w14:textId="506578D8">
            <w:pPr>
              <w:ind w:left="72"/>
            </w:pPr>
            <w:r w:rsidRPr="003A7944">
              <w:t>Finanšu ministrija</w:t>
            </w:r>
          </w:p>
        </w:tc>
      </w:tr>
      <w:tr w:rsidRPr="003A7944" w:rsidR="0025179D" w:rsidTr="00EC3695" w14:paraId="38BFF5C6" w14:textId="77777777">
        <w:trPr>
          <w:trHeight w:val="340"/>
        </w:trPr>
        <w:tc>
          <w:tcPr>
            <w:tcW w:w="3708" w:type="dxa"/>
            <w:vMerge/>
          </w:tcPr>
          <w:p w:rsidRPr="003A7944" w:rsidR="0025179D" w:rsidP="00EC3695" w:rsidRDefault="0025179D" w14:paraId="72005B09" w14:textId="77777777"/>
        </w:tc>
        <w:tc>
          <w:tcPr>
            <w:tcW w:w="10466" w:type="dxa"/>
            <w:gridSpan w:val="2"/>
            <w:vAlign w:val="bottom"/>
          </w:tcPr>
          <w:p w:rsidR="0025179D" w:rsidP="00EC3695" w:rsidRDefault="0025179D" w14:paraId="12B1596A" w14:textId="4C955FFF">
            <w:pPr>
              <w:ind w:left="72"/>
            </w:pPr>
            <w:r>
              <w:t>Vides aizsardzības un reģionālās attīstības ministrija</w:t>
            </w:r>
          </w:p>
        </w:tc>
      </w:tr>
      <w:tr w:rsidRPr="003A7944" w:rsidR="0068210A" w:rsidTr="00EC3695" w14:paraId="68B0498E" w14:textId="77777777">
        <w:trPr>
          <w:trHeight w:val="340"/>
        </w:trPr>
        <w:tc>
          <w:tcPr>
            <w:tcW w:w="3708" w:type="dxa"/>
            <w:vMerge/>
          </w:tcPr>
          <w:p w:rsidRPr="003A7944" w:rsidR="0068210A" w:rsidP="00EC3695" w:rsidRDefault="0068210A" w14:paraId="68B0498C" w14:textId="77777777"/>
        </w:tc>
        <w:tc>
          <w:tcPr>
            <w:tcW w:w="10466" w:type="dxa"/>
            <w:gridSpan w:val="2"/>
            <w:vAlign w:val="bottom"/>
          </w:tcPr>
          <w:p w:rsidRPr="003A7944" w:rsidR="0068210A" w:rsidP="00EC3695" w:rsidRDefault="0025179D" w14:paraId="68B0498D" w14:textId="4B0A29B0">
            <w:pPr>
              <w:ind w:left="72"/>
            </w:pPr>
            <w:r>
              <w:t>Latvijas Pašvaldību savienību</w:t>
            </w:r>
          </w:p>
        </w:tc>
      </w:tr>
      <w:tr w:rsidRPr="003A7944" w:rsidR="0068210A" w:rsidTr="00EC3695" w14:paraId="68B04993" w14:textId="77777777">
        <w:trPr>
          <w:trHeight w:val="629"/>
        </w:trPr>
        <w:tc>
          <w:tcPr>
            <w:tcW w:w="6228" w:type="dxa"/>
            <w:gridSpan w:val="2"/>
            <w:vAlign w:val="bottom"/>
          </w:tcPr>
          <w:p w:rsidRPr="003A7944" w:rsidR="0068210A" w:rsidP="00EC3695" w:rsidRDefault="0068210A" w14:paraId="68B0498F" w14:textId="77777777">
            <w:r w:rsidRPr="003A7944">
              <w:t>Saskaņošanas dalībnieki izskatīja šādu ministrij</w:t>
            </w:r>
            <w:r>
              <w:t xml:space="preserve">u (citu </w:t>
            </w:r>
            <w:r w:rsidRPr="003A7944">
              <w:t>institūciju) iebildumus</w:t>
            </w:r>
          </w:p>
        </w:tc>
        <w:tc>
          <w:tcPr>
            <w:tcW w:w="7946" w:type="dxa"/>
            <w:vAlign w:val="bottom"/>
          </w:tcPr>
          <w:p w:rsidR="0025179D" w:rsidP="00EC3695" w:rsidRDefault="001F3F83" w14:paraId="6EF11F4D" w14:textId="598C7804">
            <w:r>
              <w:t>Finanšu</w:t>
            </w:r>
            <w:r w:rsidR="000D01C0">
              <w:t xml:space="preserve"> ministrijas </w:t>
            </w:r>
            <w:r w:rsidR="0025179D">
              <w:t>201</w:t>
            </w:r>
            <w:r w:rsidR="00450A28">
              <w:t>9</w:t>
            </w:r>
            <w:r w:rsidR="0025179D">
              <w:t xml:space="preserve">. gada </w:t>
            </w:r>
            <w:r w:rsidR="00314D88">
              <w:t>1</w:t>
            </w:r>
            <w:r w:rsidR="00450A28">
              <w:t>1</w:t>
            </w:r>
            <w:r w:rsidR="0025179D">
              <w:t>.</w:t>
            </w:r>
            <w:r w:rsidR="00450A28">
              <w:t>oktobra</w:t>
            </w:r>
            <w:r w:rsidR="0025179D">
              <w:t xml:space="preserve"> atzinums Nr.1</w:t>
            </w:r>
            <w:r w:rsidR="00450A28">
              <w:t>2/A-7/4811</w:t>
            </w:r>
          </w:p>
          <w:p w:rsidR="00A234BB" w:rsidP="00EC3695" w:rsidRDefault="00A234BB" w14:paraId="7CE52045" w14:textId="065D588F">
            <w:r>
              <w:t>Finanšu ministrijas 2019.gada 1.novembra atzinums Nr.10.1-6/7-1/1236</w:t>
            </w:r>
          </w:p>
          <w:p w:rsidRPr="003A7944" w:rsidR="00314D88" w:rsidP="00EC3695" w:rsidRDefault="004B49F0" w14:paraId="68B04992" w14:textId="1B37E083">
            <w:r w:rsidRPr="004B49F0">
              <w:t xml:space="preserve">Finanšu ministrijas 2019.gada 2.decembra atzinums Nr. 10.1-6/7-1/1410 </w:t>
            </w:r>
            <w:r>
              <w:t>(</w:t>
            </w:r>
            <w:r w:rsidRPr="004B49F0">
              <w:t>priekšlikum</w:t>
            </w:r>
            <w:r>
              <w:t>s).</w:t>
            </w:r>
          </w:p>
        </w:tc>
      </w:tr>
      <w:tr w:rsidRPr="003A7944" w:rsidR="0068210A" w:rsidTr="00EC3695" w14:paraId="68B04997" w14:textId="77777777">
        <w:trPr>
          <w:trHeight w:val="80"/>
        </w:trPr>
        <w:tc>
          <w:tcPr>
            <w:tcW w:w="6228" w:type="dxa"/>
            <w:gridSpan w:val="2"/>
            <w:vAlign w:val="bottom"/>
          </w:tcPr>
          <w:p w:rsidRPr="003A7944" w:rsidR="0068210A" w:rsidP="00EC3695" w:rsidRDefault="0068210A" w14:paraId="68B04994" w14:textId="77777777"/>
          <w:p w:rsidRPr="003A7944" w:rsidR="0068210A" w:rsidP="00EC3695" w:rsidRDefault="0068210A" w14:paraId="68B04995" w14:textId="77777777">
            <w:r w:rsidRPr="003A7944">
              <w:lastRenderedPageBreak/>
              <w:t>Ministrijas (citas institūcijas), kuras nav ieradušās uz sanāksmi vai kuras nav atbildējušas uz uzaicinājumu piedalīties elektroniskajā saskaņošanā</w:t>
            </w:r>
          </w:p>
        </w:tc>
        <w:tc>
          <w:tcPr>
            <w:tcW w:w="7946" w:type="dxa"/>
          </w:tcPr>
          <w:p w:rsidRPr="0073295B" w:rsidR="0068210A" w:rsidP="00EC3695" w:rsidRDefault="0068210A" w14:paraId="68B04996" w14:textId="77777777"/>
        </w:tc>
      </w:tr>
    </w:tbl>
    <w:p w:rsidR="0068210A" w:rsidP="00AC53E8" w:rsidRDefault="0068210A" w14:paraId="68B04998" w14:textId="77777777">
      <w:pPr>
        <w:rPr>
          <w:b/>
          <w:sz w:val="28"/>
          <w:szCs w:val="28"/>
        </w:rPr>
      </w:pPr>
    </w:p>
    <w:p w:rsidRPr="00AC53E8" w:rsidR="0068210A" w:rsidP="00AC53E8" w:rsidRDefault="0068210A" w14:paraId="68B04999" w14:textId="77777777">
      <w:pPr>
        <w:jc w:val="center"/>
        <w:rPr>
          <w:b/>
          <w:sz w:val="28"/>
          <w:szCs w:val="28"/>
        </w:rPr>
      </w:pPr>
      <w:r w:rsidRPr="00B05446">
        <w:rPr>
          <w:b/>
          <w:sz w:val="28"/>
          <w:szCs w:val="28"/>
        </w:rPr>
        <w:t>II. Jautājumi, par kuriem saskaņošanā vienošanās ir panākta</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91"/>
        <w:gridCol w:w="3281"/>
        <w:gridCol w:w="4054"/>
        <w:gridCol w:w="2805"/>
        <w:gridCol w:w="2917"/>
      </w:tblGrid>
      <w:tr w:rsidRPr="00B945F5" w:rsidR="00761AC0" w:rsidTr="00744DA3" w14:paraId="68B0499F" w14:textId="77777777">
        <w:tc>
          <w:tcPr>
            <w:tcW w:w="891" w:type="dxa"/>
            <w:vAlign w:val="center"/>
          </w:tcPr>
          <w:p w:rsidRPr="00B945F5" w:rsidR="0068210A" w:rsidP="00EC3695" w:rsidRDefault="0068210A" w14:paraId="68B0499A" w14:textId="77777777">
            <w:pPr>
              <w:jc w:val="center"/>
            </w:pPr>
            <w:proofErr w:type="spellStart"/>
            <w:r w:rsidRPr="00B945F5">
              <w:t>Nr.p.k</w:t>
            </w:r>
            <w:proofErr w:type="spellEnd"/>
            <w:r w:rsidRPr="00B945F5">
              <w:t>.</w:t>
            </w:r>
          </w:p>
        </w:tc>
        <w:tc>
          <w:tcPr>
            <w:tcW w:w="3281" w:type="dxa"/>
            <w:vAlign w:val="center"/>
          </w:tcPr>
          <w:p w:rsidRPr="00B945F5" w:rsidR="0068210A" w:rsidP="00EC3695" w:rsidRDefault="0068210A" w14:paraId="68B0499B" w14:textId="77777777">
            <w:pPr>
              <w:jc w:val="center"/>
            </w:pPr>
            <w:r w:rsidRPr="00B945F5">
              <w:t>Saskaņošanai nosūtītā projekta redakcija (konkrēta punkta (panta) redakcija)</w:t>
            </w:r>
          </w:p>
        </w:tc>
        <w:tc>
          <w:tcPr>
            <w:tcW w:w="4054" w:type="dxa"/>
            <w:vAlign w:val="center"/>
          </w:tcPr>
          <w:p w:rsidRPr="00B945F5" w:rsidR="0068210A" w:rsidP="00EC3695" w:rsidRDefault="0068210A" w14:paraId="68B0499C" w14:textId="77777777">
            <w:pPr>
              <w:jc w:val="center"/>
            </w:pPr>
            <w:r w:rsidRPr="00B945F5">
              <w:t>Atzinumā norādītais ministrijas (citas institūcijas) iebildums, kā arī saskaņošanā papildus izteiktais iebildums par projekta konkrēto punktu (pantu)</w:t>
            </w:r>
          </w:p>
        </w:tc>
        <w:tc>
          <w:tcPr>
            <w:tcW w:w="2805" w:type="dxa"/>
            <w:vAlign w:val="center"/>
          </w:tcPr>
          <w:p w:rsidRPr="00B945F5" w:rsidR="0068210A" w:rsidP="00EC3695" w:rsidRDefault="0068210A" w14:paraId="68B0499D" w14:textId="77777777">
            <w:pPr>
              <w:jc w:val="center"/>
            </w:pPr>
            <w:r w:rsidRPr="00B945F5">
              <w:t>Atbildīgās ministrijas norāde par to, ka iebildums ir ņemts vērā, vai informācija par saskaņošanā panākto alternatīvo risinājumu</w:t>
            </w:r>
          </w:p>
        </w:tc>
        <w:tc>
          <w:tcPr>
            <w:tcW w:w="2917" w:type="dxa"/>
            <w:vAlign w:val="center"/>
          </w:tcPr>
          <w:p w:rsidRPr="00B945F5" w:rsidR="0068210A" w:rsidP="00EC3695" w:rsidRDefault="0068210A" w14:paraId="68B0499E" w14:textId="77777777">
            <w:pPr>
              <w:jc w:val="center"/>
            </w:pPr>
            <w:r w:rsidRPr="00B945F5">
              <w:t>Projekta attiecīgā punkta (panta) galīgā redakcija</w:t>
            </w:r>
          </w:p>
        </w:tc>
      </w:tr>
      <w:tr w:rsidRPr="00B945F5" w:rsidR="00761AC0" w:rsidTr="00744DA3" w14:paraId="68B049A5" w14:textId="77777777">
        <w:tc>
          <w:tcPr>
            <w:tcW w:w="891" w:type="dxa"/>
          </w:tcPr>
          <w:p w:rsidRPr="00B945F5" w:rsidR="0068210A" w:rsidP="00EC3695" w:rsidRDefault="0068210A" w14:paraId="68B049A0" w14:textId="77777777">
            <w:pPr>
              <w:jc w:val="center"/>
            </w:pPr>
            <w:r w:rsidRPr="00B945F5">
              <w:t>1</w:t>
            </w:r>
          </w:p>
        </w:tc>
        <w:tc>
          <w:tcPr>
            <w:tcW w:w="3281" w:type="dxa"/>
          </w:tcPr>
          <w:p w:rsidRPr="00B945F5" w:rsidR="0068210A" w:rsidP="00EC3695" w:rsidRDefault="0068210A" w14:paraId="68B049A1" w14:textId="77777777">
            <w:pPr>
              <w:jc w:val="center"/>
            </w:pPr>
            <w:r w:rsidRPr="00B945F5">
              <w:t>2</w:t>
            </w:r>
          </w:p>
        </w:tc>
        <w:tc>
          <w:tcPr>
            <w:tcW w:w="4054" w:type="dxa"/>
          </w:tcPr>
          <w:p w:rsidRPr="00B945F5" w:rsidR="0068210A" w:rsidP="00EC3695" w:rsidRDefault="0068210A" w14:paraId="68B049A2" w14:textId="77777777">
            <w:pPr>
              <w:jc w:val="center"/>
            </w:pPr>
            <w:r w:rsidRPr="00B945F5">
              <w:t>3</w:t>
            </w:r>
          </w:p>
        </w:tc>
        <w:tc>
          <w:tcPr>
            <w:tcW w:w="2805" w:type="dxa"/>
          </w:tcPr>
          <w:p w:rsidRPr="00B945F5" w:rsidR="0068210A" w:rsidP="00EC3695" w:rsidRDefault="0068210A" w14:paraId="68B049A3" w14:textId="77777777">
            <w:pPr>
              <w:jc w:val="center"/>
            </w:pPr>
            <w:r w:rsidRPr="00B945F5">
              <w:t>4</w:t>
            </w:r>
          </w:p>
        </w:tc>
        <w:tc>
          <w:tcPr>
            <w:tcW w:w="2917" w:type="dxa"/>
          </w:tcPr>
          <w:p w:rsidRPr="00B945F5" w:rsidR="0068210A" w:rsidP="00EC3695" w:rsidRDefault="0068210A" w14:paraId="68B049A4" w14:textId="77777777">
            <w:pPr>
              <w:jc w:val="center"/>
            </w:pPr>
            <w:r w:rsidRPr="00B945F5">
              <w:t>5</w:t>
            </w:r>
          </w:p>
        </w:tc>
      </w:tr>
      <w:tr w:rsidRPr="00B945F5" w:rsidR="001F3F83" w:rsidTr="00744DA3" w14:paraId="1A145208" w14:textId="77777777">
        <w:tc>
          <w:tcPr>
            <w:tcW w:w="891" w:type="dxa"/>
          </w:tcPr>
          <w:p w:rsidRPr="00B945F5" w:rsidR="001F3F83" w:rsidP="00EC3695" w:rsidRDefault="001F3F83" w14:paraId="4BE24627" w14:textId="3F5F1B9C">
            <w:pPr>
              <w:jc w:val="center"/>
            </w:pPr>
            <w:r>
              <w:t xml:space="preserve">1. </w:t>
            </w:r>
          </w:p>
        </w:tc>
        <w:tc>
          <w:tcPr>
            <w:tcW w:w="3281" w:type="dxa"/>
          </w:tcPr>
          <w:p w:rsidRPr="00B945F5" w:rsidR="001F3F83" w:rsidP="00A16009" w:rsidRDefault="001F3F83" w14:paraId="42AA142B" w14:textId="237ED130">
            <w:pPr>
              <w:jc w:val="both"/>
            </w:pPr>
          </w:p>
        </w:tc>
        <w:tc>
          <w:tcPr>
            <w:tcW w:w="4054" w:type="dxa"/>
          </w:tcPr>
          <w:p w:rsidR="001F3F83" w:rsidP="001F3F83" w:rsidRDefault="001F3F83" w14:paraId="51C1552C" w14:textId="40F65936">
            <w:pPr>
              <w:autoSpaceDE w:val="0"/>
              <w:autoSpaceDN w:val="0"/>
              <w:adjustRightInd w:val="0"/>
              <w:contextualSpacing/>
              <w:jc w:val="both"/>
              <w:rPr>
                <w:b/>
                <w:lang w:eastAsia="en-US"/>
              </w:rPr>
            </w:pPr>
            <w:r>
              <w:rPr>
                <w:b/>
              </w:rPr>
              <w:t>Finanšu</w:t>
            </w:r>
            <w:r w:rsidRPr="001F3F83">
              <w:rPr>
                <w:b/>
              </w:rPr>
              <w:t xml:space="preserve"> ministrijas</w:t>
            </w:r>
            <w:r>
              <w:rPr>
                <w:b/>
              </w:rPr>
              <w:t xml:space="preserve"> </w:t>
            </w:r>
            <w:r w:rsidRPr="00BB0D9E">
              <w:t>201</w:t>
            </w:r>
            <w:r>
              <w:t>9</w:t>
            </w:r>
            <w:r w:rsidRPr="00BB0D9E">
              <w:t>. gada 1</w:t>
            </w:r>
            <w:r>
              <w:t>1</w:t>
            </w:r>
            <w:r w:rsidRPr="00BB0D9E">
              <w:t xml:space="preserve">. </w:t>
            </w:r>
            <w:r>
              <w:t>oktobra</w:t>
            </w:r>
            <w:r w:rsidRPr="00BB0D9E">
              <w:t xml:space="preserve"> atzinum</w:t>
            </w:r>
            <w:r>
              <w:t>s</w:t>
            </w:r>
            <w:r w:rsidRPr="00BB0D9E">
              <w:t xml:space="preserve"> Nr.</w:t>
            </w:r>
            <w:r w:rsidR="006C0BE3">
              <w:t>12/A-7/4811</w:t>
            </w:r>
            <w:r w:rsidRPr="00BB0D9E">
              <w:t xml:space="preserve"> </w:t>
            </w:r>
            <w:r>
              <w:t>1</w:t>
            </w:r>
            <w:r w:rsidRPr="00BB0D9E">
              <w:t>.punkts</w:t>
            </w:r>
            <w:r>
              <w:t>.</w:t>
            </w:r>
          </w:p>
          <w:p w:rsidRPr="001F3F83" w:rsidR="001F3F83" w:rsidP="001F3F83" w:rsidRDefault="001F3F83" w14:paraId="25EEA7B2" w14:textId="31277507">
            <w:pPr>
              <w:jc w:val="both"/>
              <w:rPr>
                <w:lang w:eastAsia="en-US"/>
              </w:rPr>
            </w:pPr>
            <w:r w:rsidRPr="001F3F83">
              <w:rPr>
                <w:b/>
                <w:bCs/>
                <w:lang w:eastAsia="en-US"/>
              </w:rPr>
              <w:t xml:space="preserve"> </w:t>
            </w:r>
            <w:r w:rsidRPr="001F3F83">
              <w:rPr>
                <w:lang w:eastAsia="en-US"/>
              </w:rPr>
              <w:t>Saskaņā ar Publiskas personas mantas atsavināšanas likuma 42.</w:t>
            </w:r>
            <w:r w:rsidRPr="001F3F83">
              <w:rPr>
                <w:vertAlign w:val="superscript"/>
                <w:lang w:eastAsia="en-US"/>
              </w:rPr>
              <w:t>1</w:t>
            </w:r>
            <w:r w:rsidRPr="001F3F83">
              <w:rPr>
                <w:lang w:eastAsia="en-US"/>
              </w:rPr>
              <w:t xml:space="preserve"> panta pirmo daļu valstij vai pašvaldībai piekrītošo nekustamo īpašumu, ievērojot normatīvajos aktos noteiktos ierobežojumus rīcībai ar piekritīgo nekustamo īpašumu un šā likuma 42. panta nosacījumus, var nodot īpašumā bez atlīdzības, ja valstij vai pašvaldībai piekrītošais nekustamais īpašums tiek ierakstīts zemesgrāmatā uz valsts vai pašvaldības vārda vienlaikus ar ieguvēja īpašuma tiesību nostiprināšanu uz attiecīgo īpašumu. Ievērojot minēto, lūdzam papildināt rīkojuma projekta jaunu 4.1.apakšpunktu šādā redakcijā: </w:t>
            </w:r>
          </w:p>
          <w:p w:rsidRPr="001F3F83" w:rsidR="001F3F83" w:rsidP="001F3F83" w:rsidRDefault="001F3F83" w14:paraId="4FA41328" w14:textId="77777777">
            <w:pPr>
              <w:ind w:firstLine="567"/>
              <w:jc w:val="both"/>
              <w:rPr>
                <w:lang w:eastAsia="en-US"/>
              </w:rPr>
            </w:pPr>
            <w:r w:rsidRPr="001F3F83">
              <w:rPr>
                <w:lang w:eastAsia="en-US"/>
              </w:rPr>
              <w:lastRenderedPageBreak/>
              <w:t xml:space="preserve">“4.1. ierakstīt nekustamo īpašumu zemesgrāmatā uz valsts vārda Satiksmes ministrijas personā vienlaikus ar Madonas novada pašvaldības īpašuma tiesību nostiprināšanu;” </w:t>
            </w:r>
          </w:p>
          <w:p w:rsidRPr="00B945F5" w:rsidR="001F3F83" w:rsidP="001F3F83" w:rsidRDefault="001F3F83" w14:paraId="11D492D6" w14:textId="7DBEE569">
            <w:pPr>
              <w:jc w:val="both"/>
            </w:pPr>
            <w:r w:rsidRPr="001F3F83">
              <w:rPr>
                <w:lang w:eastAsia="en-US"/>
              </w:rPr>
              <w:t>un attiecīgi līdzšinējo 4.1. un 4.2.apakšpunktu pārsaucot par 4.2. un  4.3.apakšpunktu.</w:t>
            </w:r>
          </w:p>
        </w:tc>
        <w:tc>
          <w:tcPr>
            <w:tcW w:w="2805" w:type="dxa"/>
          </w:tcPr>
          <w:p w:rsidR="001F3F83" w:rsidP="001F3F83" w:rsidRDefault="001F3F83" w14:paraId="058DD510" w14:textId="77777777">
            <w:pPr>
              <w:jc w:val="both"/>
              <w:rPr>
                <w:b/>
              </w:rPr>
            </w:pPr>
            <w:r w:rsidRPr="00E05122">
              <w:rPr>
                <w:b/>
              </w:rPr>
              <w:lastRenderedPageBreak/>
              <w:t xml:space="preserve">Iebildums </w:t>
            </w:r>
            <w:r>
              <w:rPr>
                <w:b/>
              </w:rPr>
              <w:t xml:space="preserve">ir </w:t>
            </w:r>
            <w:r w:rsidRPr="00E05122">
              <w:rPr>
                <w:b/>
              </w:rPr>
              <w:t>ņemts vērā</w:t>
            </w:r>
            <w:r>
              <w:rPr>
                <w:b/>
              </w:rPr>
              <w:t>.</w:t>
            </w:r>
          </w:p>
          <w:p w:rsidRPr="00B945F5" w:rsidR="001F3F83" w:rsidP="001F3F83" w:rsidRDefault="001F3F83" w14:paraId="2311CDB9" w14:textId="63EA983B">
            <w:r>
              <w:rPr>
                <w:b/>
              </w:rPr>
              <w:t>Attiecīgi precizēts rīkojuma projekts</w:t>
            </w:r>
            <w:r w:rsidR="00340FF7">
              <w:rPr>
                <w:b/>
              </w:rPr>
              <w:t>.</w:t>
            </w:r>
          </w:p>
        </w:tc>
        <w:tc>
          <w:tcPr>
            <w:tcW w:w="2917" w:type="dxa"/>
          </w:tcPr>
          <w:p w:rsidR="00340FF7" w:rsidP="00EA2F56" w:rsidRDefault="00340FF7" w14:paraId="46F7175B" w14:textId="77777777">
            <w:pPr>
              <w:jc w:val="both"/>
              <w:rPr>
                <w:b/>
                <w:bCs/>
                <w:lang w:eastAsia="ko-KR"/>
              </w:rPr>
            </w:pPr>
            <w:r>
              <w:rPr>
                <w:b/>
                <w:bCs/>
                <w:lang w:eastAsia="ko-KR"/>
              </w:rPr>
              <w:t xml:space="preserve">Rīkojuma projekta </w:t>
            </w:r>
            <w:r w:rsidRPr="004B1DA0" w:rsidR="00EA2F56">
              <w:rPr>
                <w:b/>
                <w:bCs/>
                <w:lang w:eastAsia="ko-KR"/>
              </w:rPr>
              <w:t>4.1.</w:t>
            </w:r>
            <w:r>
              <w:rPr>
                <w:b/>
                <w:bCs/>
                <w:lang w:eastAsia="ko-KR"/>
              </w:rPr>
              <w:t>apakšpunkts:</w:t>
            </w:r>
          </w:p>
          <w:p w:rsidRPr="004B1DA0" w:rsidR="00EA2F56" w:rsidP="00EA2F56" w:rsidRDefault="00340FF7" w14:paraId="09371DB3" w14:textId="7A10A668">
            <w:pPr>
              <w:jc w:val="both"/>
              <w:rPr>
                <w:b/>
                <w:bCs/>
                <w:lang w:eastAsia="ko-KR"/>
              </w:rPr>
            </w:pPr>
            <w:r>
              <w:rPr>
                <w:b/>
                <w:bCs/>
                <w:lang w:eastAsia="ko-KR"/>
              </w:rPr>
              <w:t>“4.1.</w:t>
            </w:r>
            <w:r w:rsidRPr="004B1DA0" w:rsidR="00EA2F56">
              <w:rPr>
                <w:b/>
                <w:bCs/>
                <w:lang w:eastAsia="ko-KR"/>
              </w:rPr>
              <w:t xml:space="preserve"> </w:t>
            </w:r>
            <w:bookmarkStart w:name="_Hlk29382945" w:id="1"/>
            <w:r w:rsidRPr="004B1DA0" w:rsidR="00EA2F56">
              <w:rPr>
                <w:b/>
                <w:bCs/>
                <w:lang w:eastAsia="ko-KR"/>
              </w:rPr>
              <w:t xml:space="preserve">ierakstīt nekustamo īpašumu zemesgrāmatā uz valsts vārda </w:t>
            </w:r>
            <w:r>
              <w:rPr>
                <w:b/>
                <w:bCs/>
                <w:lang w:eastAsia="ko-KR"/>
              </w:rPr>
              <w:t xml:space="preserve">Satiksmes ministrijas personā </w:t>
            </w:r>
            <w:r w:rsidRPr="004B1DA0" w:rsidR="00EA2F56">
              <w:rPr>
                <w:b/>
                <w:bCs/>
                <w:lang w:eastAsia="ko-KR"/>
              </w:rPr>
              <w:t>vienlaikus ar Madonas novada pašvaldības īpašuma tiesību nostiprināšanu</w:t>
            </w:r>
            <w:r>
              <w:rPr>
                <w:b/>
                <w:bCs/>
                <w:lang w:eastAsia="ko-KR"/>
              </w:rPr>
              <w:t xml:space="preserve">;” </w:t>
            </w:r>
            <w:bookmarkEnd w:id="1"/>
          </w:p>
          <w:p w:rsidRPr="00B945F5" w:rsidR="001F3F83" w:rsidP="00595CF0" w:rsidRDefault="001F3F83" w14:paraId="7D0DEB99" w14:textId="50FEB0B1">
            <w:pPr>
              <w:jc w:val="both"/>
            </w:pPr>
          </w:p>
        </w:tc>
      </w:tr>
      <w:tr w:rsidRPr="00B945F5" w:rsidR="001F3F83" w:rsidTr="00744DA3" w14:paraId="02266890" w14:textId="77777777">
        <w:tc>
          <w:tcPr>
            <w:tcW w:w="891" w:type="dxa"/>
          </w:tcPr>
          <w:p w:rsidR="001F3F83" w:rsidP="00EC3695" w:rsidRDefault="001F3F83" w14:paraId="5B3B1D67" w14:textId="2E5F1FE8">
            <w:pPr>
              <w:jc w:val="center"/>
            </w:pPr>
            <w:r>
              <w:t>2.</w:t>
            </w:r>
          </w:p>
        </w:tc>
        <w:tc>
          <w:tcPr>
            <w:tcW w:w="3281" w:type="dxa"/>
          </w:tcPr>
          <w:p w:rsidRPr="00B945F5" w:rsidR="001F3F83" w:rsidP="00EC3695" w:rsidRDefault="001F3F83" w14:paraId="05E3D781" w14:textId="77777777">
            <w:pPr>
              <w:jc w:val="center"/>
            </w:pPr>
          </w:p>
        </w:tc>
        <w:tc>
          <w:tcPr>
            <w:tcW w:w="4054" w:type="dxa"/>
          </w:tcPr>
          <w:p w:rsidR="001F3F83" w:rsidP="001F3F83" w:rsidRDefault="001F3F83" w14:paraId="23661F45" w14:textId="5A4D9ED8">
            <w:pPr>
              <w:autoSpaceDE w:val="0"/>
              <w:autoSpaceDN w:val="0"/>
              <w:adjustRightInd w:val="0"/>
              <w:contextualSpacing/>
              <w:jc w:val="both"/>
              <w:rPr>
                <w:b/>
                <w:lang w:eastAsia="en-US"/>
              </w:rPr>
            </w:pPr>
            <w:r>
              <w:rPr>
                <w:b/>
              </w:rPr>
              <w:t>Finanšu</w:t>
            </w:r>
            <w:r w:rsidRPr="001F3F83">
              <w:rPr>
                <w:b/>
              </w:rPr>
              <w:t xml:space="preserve"> ministrijas</w:t>
            </w:r>
            <w:r>
              <w:rPr>
                <w:b/>
              </w:rPr>
              <w:t xml:space="preserve"> </w:t>
            </w:r>
            <w:r w:rsidRPr="00BB0D9E">
              <w:t>201</w:t>
            </w:r>
            <w:r>
              <w:t>9</w:t>
            </w:r>
            <w:r w:rsidRPr="00BB0D9E">
              <w:t>. gada 1</w:t>
            </w:r>
            <w:r>
              <w:t>1</w:t>
            </w:r>
            <w:r w:rsidRPr="00BB0D9E">
              <w:t xml:space="preserve">. </w:t>
            </w:r>
            <w:r>
              <w:t>oktobra</w:t>
            </w:r>
            <w:r w:rsidRPr="00BB0D9E">
              <w:t xml:space="preserve"> atzinum</w:t>
            </w:r>
            <w:r>
              <w:t>s</w:t>
            </w:r>
            <w:r w:rsidRPr="00BB0D9E">
              <w:t xml:space="preserve"> </w:t>
            </w:r>
            <w:r w:rsidRPr="00BB0D9E" w:rsidR="006C0BE3">
              <w:t>Nr.</w:t>
            </w:r>
            <w:r w:rsidR="006C0BE3">
              <w:t>12/A-7/4811</w:t>
            </w:r>
            <w:r w:rsidRPr="00BB0D9E" w:rsidR="006C0BE3">
              <w:t xml:space="preserve"> </w:t>
            </w:r>
            <w:r w:rsidRPr="00BB0D9E">
              <w:t xml:space="preserve"> </w:t>
            </w:r>
            <w:r>
              <w:t>2</w:t>
            </w:r>
            <w:r w:rsidRPr="00BB0D9E">
              <w:t>.punkts</w:t>
            </w:r>
            <w:r>
              <w:t>.</w:t>
            </w:r>
          </w:p>
          <w:p w:rsidRPr="001F3F83" w:rsidR="001F3F83" w:rsidP="001F3F83" w:rsidRDefault="001F3F83" w14:paraId="1257D6EF" w14:textId="77777777">
            <w:pPr>
              <w:jc w:val="both"/>
              <w:rPr>
                <w:lang w:eastAsia="en-US"/>
              </w:rPr>
            </w:pPr>
            <w:r w:rsidRPr="001F3F83">
              <w:rPr>
                <w:lang w:eastAsia="en-US"/>
              </w:rPr>
              <w:t>Anotācijas I sadaļas 2.punktā ir norādīts, ka nekustamais īpašums “V880”, Bērzaunes pagastā, Madonas novadā (nekustamā īpašuma kadastra Nr.7046 008 0433, turpmāk – Nekustamais īpašums) nav ierakstīts zemesgrāmatā, tādēļ lūdzam izvērtēt, vai nekustamais īpašums ir valstij piederošs vai piekrītošs un nepieciešamības gadījumā atbilstoši precizēt rīkojuma projektu.</w:t>
            </w:r>
          </w:p>
          <w:p w:rsidRPr="001F3F83" w:rsidR="001F3F83" w:rsidP="001F3F83" w:rsidRDefault="001F3F83" w14:paraId="10CF3699" w14:textId="77777777">
            <w:pPr>
              <w:jc w:val="both"/>
              <w:rPr>
                <w:b/>
              </w:rPr>
            </w:pPr>
          </w:p>
        </w:tc>
        <w:tc>
          <w:tcPr>
            <w:tcW w:w="2805" w:type="dxa"/>
          </w:tcPr>
          <w:p w:rsidR="001F3F83" w:rsidP="00EC3695" w:rsidRDefault="007F0988" w14:paraId="103055A4" w14:textId="26BE17DA">
            <w:pPr>
              <w:jc w:val="center"/>
              <w:rPr>
                <w:b/>
              </w:rPr>
            </w:pPr>
            <w:r>
              <w:rPr>
                <w:b/>
              </w:rPr>
              <w:t>Panākta vienošanās</w:t>
            </w:r>
            <w:r w:rsidR="00340FF7">
              <w:rPr>
                <w:b/>
              </w:rPr>
              <w:t>.</w:t>
            </w:r>
          </w:p>
          <w:p w:rsidRPr="00340FF7" w:rsidR="00340FF7" w:rsidP="00340FF7" w:rsidRDefault="00340FF7" w14:paraId="1F780E06" w14:textId="30B4A1EB">
            <w:pPr>
              <w:jc w:val="both"/>
              <w:rPr>
                <w:bCs/>
              </w:rPr>
            </w:pPr>
            <w:r>
              <w:rPr>
                <w:bCs/>
              </w:rPr>
              <w:t>Atbilstoši Anotācijas I sadaļas 2.punktā minētajam par nekustamā īpašuma piederības fakta konstatēšanu valstij pēc likuma rīkojuma projekts ir saglabāts saskaņošanai piedāvātajā redakcijā.</w:t>
            </w:r>
          </w:p>
          <w:p w:rsidR="00340FF7" w:rsidP="00EC3695" w:rsidRDefault="00340FF7" w14:paraId="6DB922FB" w14:textId="77777777">
            <w:pPr>
              <w:jc w:val="center"/>
              <w:rPr>
                <w:b/>
              </w:rPr>
            </w:pPr>
          </w:p>
          <w:p w:rsidRPr="00B945F5" w:rsidR="00652CF4" w:rsidP="00652CF4" w:rsidRDefault="00652CF4" w14:paraId="786E510A" w14:textId="7A708D15">
            <w:pPr>
              <w:jc w:val="both"/>
            </w:pPr>
          </w:p>
        </w:tc>
        <w:tc>
          <w:tcPr>
            <w:tcW w:w="2917" w:type="dxa"/>
          </w:tcPr>
          <w:p w:rsidRPr="004B1DA0" w:rsidR="001F3F83" w:rsidP="001F3F83" w:rsidRDefault="001F3F83" w14:paraId="3B27D515" w14:textId="518A8FC9">
            <w:pPr>
              <w:jc w:val="both"/>
              <w:rPr>
                <w:b/>
                <w:bCs/>
                <w:lang w:eastAsia="ko-KR"/>
              </w:rPr>
            </w:pPr>
          </w:p>
        </w:tc>
      </w:tr>
      <w:tr w:rsidRPr="00B945F5" w:rsidR="001F3F83" w:rsidTr="00744DA3" w14:paraId="097BA16B" w14:textId="77777777">
        <w:tc>
          <w:tcPr>
            <w:tcW w:w="891" w:type="dxa"/>
          </w:tcPr>
          <w:p w:rsidR="001F3F83" w:rsidP="00EC3695" w:rsidRDefault="00652CF4" w14:paraId="6DBE5ACD" w14:textId="1676AD79">
            <w:pPr>
              <w:jc w:val="center"/>
            </w:pPr>
            <w:r>
              <w:t>3.</w:t>
            </w:r>
          </w:p>
        </w:tc>
        <w:tc>
          <w:tcPr>
            <w:tcW w:w="3281" w:type="dxa"/>
          </w:tcPr>
          <w:p w:rsidRPr="00B945F5" w:rsidR="001F3F83" w:rsidP="00A16009" w:rsidRDefault="001F3F83" w14:paraId="3AAE57A5" w14:textId="4BBAF646">
            <w:pPr>
              <w:jc w:val="both"/>
            </w:pPr>
          </w:p>
        </w:tc>
        <w:tc>
          <w:tcPr>
            <w:tcW w:w="4054" w:type="dxa"/>
          </w:tcPr>
          <w:p w:rsidR="00652CF4" w:rsidP="00652CF4" w:rsidRDefault="00652CF4" w14:paraId="1CB3D60B" w14:textId="563D36BA">
            <w:pPr>
              <w:autoSpaceDE w:val="0"/>
              <w:autoSpaceDN w:val="0"/>
              <w:adjustRightInd w:val="0"/>
              <w:contextualSpacing/>
              <w:jc w:val="both"/>
              <w:rPr>
                <w:b/>
                <w:lang w:eastAsia="en-US"/>
              </w:rPr>
            </w:pPr>
            <w:r>
              <w:rPr>
                <w:b/>
              </w:rPr>
              <w:t>Finanšu</w:t>
            </w:r>
            <w:r w:rsidRPr="001F3F83">
              <w:rPr>
                <w:b/>
              </w:rPr>
              <w:t xml:space="preserve"> ministrijas</w:t>
            </w:r>
            <w:r>
              <w:rPr>
                <w:b/>
              </w:rPr>
              <w:t xml:space="preserve"> </w:t>
            </w:r>
            <w:r w:rsidRPr="00BB0D9E">
              <w:t>201</w:t>
            </w:r>
            <w:r>
              <w:t>9</w:t>
            </w:r>
            <w:r w:rsidRPr="00BB0D9E">
              <w:t>. gada 1</w:t>
            </w:r>
            <w:r>
              <w:t>1</w:t>
            </w:r>
            <w:r w:rsidRPr="00BB0D9E">
              <w:t xml:space="preserve">. </w:t>
            </w:r>
            <w:r>
              <w:t>oktobra</w:t>
            </w:r>
            <w:r w:rsidRPr="00BB0D9E">
              <w:t xml:space="preserve"> atzinum</w:t>
            </w:r>
            <w:r>
              <w:t>s</w:t>
            </w:r>
            <w:r w:rsidRPr="00BB0D9E">
              <w:t xml:space="preserve"> </w:t>
            </w:r>
            <w:r w:rsidRPr="00BB0D9E" w:rsidR="006C0BE3">
              <w:t>Nr.</w:t>
            </w:r>
            <w:r w:rsidR="006C0BE3">
              <w:t>12/A-7/4811</w:t>
            </w:r>
            <w:r w:rsidRPr="00BB0D9E" w:rsidR="006C0BE3">
              <w:t xml:space="preserve"> </w:t>
            </w:r>
            <w:r>
              <w:t>3</w:t>
            </w:r>
            <w:r w:rsidRPr="00BB0D9E">
              <w:t>.punkts</w:t>
            </w:r>
            <w:r>
              <w:t>.</w:t>
            </w:r>
          </w:p>
          <w:p w:rsidRPr="00340FF7" w:rsidR="001F3F83" w:rsidP="001F3F83" w:rsidRDefault="00652CF4" w14:paraId="4D652171" w14:textId="5E86B69E">
            <w:pPr>
              <w:jc w:val="both"/>
              <w:rPr>
                <w:lang w:eastAsia="en-US"/>
              </w:rPr>
            </w:pPr>
            <w:r w:rsidRPr="00652CF4">
              <w:rPr>
                <w:lang w:eastAsia="en-US"/>
              </w:rPr>
              <w:t xml:space="preserve">Atbilstoši Ministru kabineta 2009.gada 15.decembra instrukcijai Nr.19 “Tiesību akta projekta sākotnējās ietekmes izvērtēšanas kārtība instrukcija” anotācijas III sadaļas ailē “izmaiņas, salīdzinot ar vidēja termiņa budžeta </w:t>
            </w:r>
            <w:r w:rsidRPr="00652CF4">
              <w:rPr>
                <w:lang w:eastAsia="en-US"/>
              </w:rPr>
              <w:lastRenderedPageBreak/>
              <w:t>ietvaru” n+1 vietā jābūt 2020.gadam un n+2 gadam – 2021.gadam.</w:t>
            </w:r>
          </w:p>
        </w:tc>
        <w:tc>
          <w:tcPr>
            <w:tcW w:w="2805" w:type="dxa"/>
          </w:tcPr>
          <w:p w:rsidRPr="00B945F5" w:rsidR="001F3F83" w:rsidP="00652CF4" w:rsidRDefault="00652CF4" w14:paraId="3BC0D759" w14:textId="65C6725B">
            <w:pPr>
              <w:jc w:val="both"/>
            </w:pPr>
            <w:r w:rsidRPr="00E05122">
              <w:rPr>
                <w:b/>
              </w:rPr>
              <w:lastRenderedPageBreak/>
              <w:t xml:space="preserve">Iebildums </w:t>
            </w:r>
            <w:r>
              <w:rPr>
                <w:b/>
              </w:rPr>
              <w:t xml:space="preserve">ir </w:t>
            </w:r>
            <w:r w:rsidRPr="00E05122">
              <w:rPr>
                <w:b/>
              </w:rPr>
              <w:t>ņemts vērā</w:t>
            </w:r>
            <w:r>
              <w:rPr>
                <w:b/>
              </w:rPr>
              <w:t xml:space="preserve">. </w:t>
            </w:r>
          </w:p>
        </w:tc>
        <w:tc>
          <w:tcPr>
            <w:tcW w:w="2917" w:type="dxa"/>
          </w:tcPr>
          <w:p w:rsidRPr="004B1DA0" w:rsidR="00EA2F56" w:rsidP="001F3F83" w:rsidRDefault="007F0988" w14:paraId="70124F5D" w14:textId="091DF18B">
            <w:pPr>
              <w:jc w:val="both"/>
              <w:rPr>
                <w:b/>
                <w:bCs/>
                <w:lang w:eastAsia="ko-KR"/>
              </w:rPr>
            </w:pPr>
            <w:r w:rsidRPr="00340FF7">
              <w:rPr>
                <w:b/>
                <w:bCs/>
              </w:rPr>
              <w:t>Attiecīgi precizēta anotācija.</w:t>
            </w:r>
          </w:p>
        </w:tc>
      </w:tr>
      <w:tr w:rsidRPr="00B945F5" w:rsidR="00652CF4" w:rsidTr="00744DA3" w14:paraId="449D05D2" w14:textId="77777777">
        <w:tc>
          <w:tcPr>
            <w:tcW w:w="891" w:type="dxa"/>
          </w:tcPr>
          <w:p w:rsidR="00652CF4" w:rsidP="00EC3695" w:rsidRDefault="00EA2F56" w14:paraId="0AEA5EF9" w14:textId="6B860564">
            <w:pPr>
              <w:jc w:val="center"/>
            </w:pPr>
            <w:r>
              <w:t>4.</w:t>
            </w:r>
          </w:p>
        </w:tc>
        <w:tc>
          <w:tcPr>
            <w:tcW w:w="3281" w:type="dxa"/>
          </w:tcPr>
          <w:p w:rsidRPr="00B945F5" w:rsidR="00652CF4" w:rsidP="00340FF7" w:rsidRDefault="00652CF4" w14:paraId="5C4A37F1" w14:textId="77777777">
            <w:pPr>
              <w:ind w:firstLine="276"/>
              <w:jc w:val="both"/>
            </w:pPr>
          </w:p>
        </w:tc>
        <w:tc>
          <w:tcPr>
            <w:tcW w:w="4054" w:type="dxa"/>
          </w:tcPr>
          <w:p w:rsidR="00652CF4" w:rsidP="00652CF4" w:rsidRDefault="00652CF4" w14:paraId="32315DAE" w14:textId="719A4707">
            <w:pPr>
              <w:autoSpaceDE w:val="0"/>
              <w:autoSpaceDN w:val="0"/>
              <w:adjustRightInd w:val="0"/>
              <w:contextualSpacing/>
              <w:jc w:val="both"/>
              <w:rPr>
                <w:b/>
                <w:lang w:eastAsia="en-US"/>
              </w:rPr>
            </w:pPr>
            <w:r>
              <w:rPr>
                <w:b/>
              </w:rPr>
              <w:t>Finanšu</w:t>
            </w:r>
            <w:r w:rsidRPr="001F3F83">
              <w:rPr>
                <w:b/>
              </w:rPr>
              <w:t xml:space="preserve"> ministrijas</w:t>
            </w:r>
            <w:r>
              <w:rPr>
                <w:b/>
              </w:rPr>
              <w:t xml:space="preserve"> </w:t>
            </w:r>
            <w:r w:rsidRPr="00BB0D9E">
              <w:t>201</w:t>
            </w:r>
            <w:r>
              <w:t>9</w:t>
            </w:r>
            <w:r w:rsidRPr="00BB0D9E">
              <w:t>. gada 1</w:t>
            </w:r>
            <w:r>
              <w:t>1</w:t>
            </w:r>
            <w:r w:rsidRPr="00BB0D9E">
              <w:t xml:space="preserve">. </w:t>
            </w:r>
            <w:r>
              <w:t>oktobra</w:t>
            </w:r>
            <w:r w:rsidRPr="00BB0D9E">
              <w:t xml:space="preserve"> atzinum</w:t>
            </w:r>
            <w:r>
              <w:t>s</w:t>
            </w:r>
            <w:r w:rsidRPr="00BB0D9E">
              <w:t xml:space="preserve"> </w:t>
            </w:r>
            <w:r w:rsidRPr="00BB0D9E" w:rsidR="006C0BE3">
              <w:t>Nr.</w:t>
            </w:r>
            <w:r w:rsidR="006C0BE3">
              <w:t>12/A-7/4811</w:t>
            </w:r>
            <w:r w:rsidRPr="00BB0D9E" w:rsidR="006C0BE3">
              <w:t xml:space="preserve"> </w:t>
            </w:r>
            <w:r w:rsidRPr="00BB0D9E">
              <w:t xml:space="preserve"> </w:t>
            </w:r>
            <w:r>
              <w:t>4</w:t>
            </w:r>
            <w:r w:rsidRPr="00BB0D9E">
              <w:t>.punkts</w:t>
            </w:r>
            <w:r>
              <w:t>.</w:t>
            </w:r>
          </w:p>
          <w:p w:rsidRPr="001F3F83" w:rsidR="00652CF4" w:rsidP="001F3F83" w:rsidRDefault="00652CF4" w14:paraId="26510F50" w14:textId="2B6E31BE">
            <w:pPr>
              <w:jc w:val="both"/>
              <w:rPr>
                <w:b/>
              </w:rPr>
            </w:pPr>
            <w:r w:rsidRPr="00057E64">
              <w:t>Anotācijas III sadaļā 8.punktā jāprecizē norādītās valsts budžeta apakšprogrammas 23.06.00 nosaukums, kas ir “Valsts autoceļu uzturēšana un atjaunošana”.</w:t>
            </w:r>
          </w:p>
        </w:tc>
        <w:tc>
          <w:tcPr>
            <w:tcW w:w="2805" w:type="dxa"/>
          </w:tcPr>
          <w:p w:rsidRPr="00B945F5" w:rsidR="00652CF4" w:rsidP="00652CF4" w:rsidRDefault="00652CF4" w14:paraId="0EC54615" w14:textId="65FB3A9A">
            <w:pPr>
              <w:jc w:val="both"/>
            </w:pPr>
            <w:r w:rsidRPr="00E05122">
              <w:rPr>
                <w:b/>
              </w:rPr>
              <w:t xml:space="preserve">Iebildums </w:t>
            </w:r>
            <w:r>
              <w:rPr>
                <w:b/>
              </w:rPr>
              <w:t xml:space="preserve">ir </w:t>
            </w:r>
            <w:r w:rsidRPr="00E05122">
              <w:rPr>
                <w:b/>
              </w:rPr>
              <w:t>ņemts vērā</w:t>
            </w:r>
            <w:r>
              <w:rPr>
                <w:b/>
              </w:rPr>
              <w:t xml:space="preserve">. </w:t>
            </w:r>
            <w:r w:rsidRPr="001E5F92">
              <w:rPr>
                <w:b/>
                <w:bCs/>
              </w:rPr>
              <w:t xml:space="preserve">Attiecīgi </w:t>
            </w:r>
            <w:r w:rsidRPr="001E5F92" w:rsidR="00EA2F56">
              <w:rPr>
                <w:b/>
                <w:bCs/>
              </w:rPr>
              <w:t>precizēta</w:t>
            </w:r>
            <w:r w:rsidRPr="001E5F92">
              <w:rPr>
                <w:b/>
                <w:bCs/>
              </w:rPr>
              <w:t xml:space="preserve"> anotācija.</w:t>
            </w:r>
          </w:p>
        </w:tc>
        <w:tc>
          <w:tcPr>
            <w:tcW w:w="2917" w:type="dxa"/>
          </w:tcPr>
          <w:p w:rsidRPr="006E61E3" w:rsidR="00652CF4" w:rsidP="00652CF4" w:rsidRDefault="00652CF4" w14:paraId="396F2368" w14:textId="77777777">
            <w:pPr>
              <w:ind w:firstLine="276"/>
              <w:jc w:val="both"/>
              <w:rPr>
                <w:bCs/>
                <w:color w:val="000000"/>
              </w:rPr>
            </w:pPr>
            <w:r w:rsidRPr="006E61E3">
              <w:rPr>
                <w:bCs/>
                <w:color w:val="000000"/>
              </w:rPr>
              <w:t>Nekustamā īpašuma nodošana tiks organizēta esošā valsts akciju sabiedrības „Latvijas Valsts ceļi” budžeta ietvaros un izdevumi tiks segti no valsts budžeta programmas 23.00.00 „Valsts autoceļu fonds” apakšprogrammas 23.06.00 „</w:t>
            </w:r>
            <w:r w:rsidRPr="00D81A2A">
              <w:rPr>
                <w:b/>
                <w:color w:val="000000"/>
              </w:rPr>
              <w:t>Valsts autoceļu uzturēšana un atjaunošana</w:t>
            </w:r>
            <w:r w:rsidRPr="006E61E3">
              <w:rPr>
                <w:bCs/>
                <w:color w:val="000000"/>
              </w:rPr>
              <w:t>” līdzekļiem.</w:t>
            </w:r>
          </w:p>
          <w:p w:rsidRPr="004B1DA0" w:rsidR="00652CF4" w:rsidP="001F3F83" w:rsidRDefault="00652CF4" w14:paraId="411E5B30" w14:textId="77777777">
            <w:pPr>
              <w:jc w:val="both"/>
              <w:rPr>
                <w:b/>
                <w:bCs/>
                <w:lang w:eastAsia="ko-KR"/>
              </w:rPr>
            </w:pPr>
          </w:p>
        </w:tc>
      </w:tr>
      <w:tr w:rsidRPr="00B945F5" w:rsidR="001E5F92" w:rsidTr="00744DA3" w14:paraId="4246CF99" w14:textId="77777777">
        <w:tc>
          <w:tcPr>
            <w:tcW w:w="891" w:type="dxa"/>
          </w:tcPr>
          <w:p w:rsidR="001E5F92" w:rsidP="00EC3695" w:rsidRDefault="001E5F92" w14:paraId="3895DB04" w14:textId="7D584000">
            <w:pPr>
              <w:jc w:val="center"/>
            </w:pPr>
            <w:r>
              <w:t>5.</w:t>
            </w:r>
          </w:p>
        </w:tc>
        <w:tc>
          <w:tcPr>
            <w:tcW w:w="3281" w:type="dxa"/>
          </w:tcPr>
          <w:p w:rsidRPr="00B945F5" w:rsidR="001E5F92" w:rsidP="00340FF7" w:rsidRDefault="001E5F92" w14:paraId="67FFEBE3" w14:textId="77777777">
            <w:pPr>
              <w:ind w:firstLine="276"/>
              <w:jc w:val="both"/>
            </w:pPr>
          </w:p>
        </w:tc>
        <w:tc>
          <w:tcPr>
            <w:tcW w:w="4054" w:type="dxa"/>
          </w:tcPr>
          <w:p w:rsidRPr="001E5F92" w:rsidR="001E5F92" w:rsidP="00652CF4" w:rsidRDefault="001E5F92" w14:paraId="3DD984E1" w14:textId="360F2434">
            <w:pPr>
              <w:autoSpaceDE w:val="0"/>
              <w:autoSpaceDN w:val="0"/>
              <w:adjustRightInd w:val="0"/>
              <w:contextualSpacing/>
              <w:jc w:val="both"/>
              <w:rPr>
                <w:bCs/>
              </w:rPr>
            </w:pPr>
            <w:r w:rsidRPr="001E5F92">
              <w:rPr>
                <w:b/>
              </w:rPr>
              <w:t xml:space="preserve">Finanšu ministrijas </w:t>
            </w:r>
            <w:r w:rsidRPr="001E5F92">
              <w:rPr>
                <w:bCs/>
              </w:rPr>
              <w:t xml:space="preserve">2019. gada 11. oktobra atzinums Nr.12/A-7/4811  </w:t>
            </w:r>
            <w:r>
              <w:rPr>
                <w:bCs/>
              </w:rPr>
              <w:t>priekšlikumi.</w:t>
            </w:r>
          </w:p>
          <w:p w:rsidRPr="001E5F92" w:rsidR="001E5F92" w:rsidP="00652CF4" w:rsidRDefault="001E5F92" w14:paraId="60094F96" w14:textId="41F06182">
            <w:pPr>
              <w:autoSpaceDE w:val="0"/>
              <w:autoSpaceDN w:val="0"/>
              <w:adjustRightInd w:val="0"/>
              <w:contextualSpacing/>
              <w:jc w:val="both"/>
              <w:rPr>
                <w:bCs/>
              </w:rPr>
            </w:pPr>
            <w:r w:rsidRPr="001E5F92">
              <w:rPr>
                <w:bCs/>
              </w:rPr>
              <w:t xml:space="preserve">Papildus izsakām priekšlikumu precizēt rīkojuma projekta 1.punktu atbilstoši Ministru kabineta 2018.gada 12.jūnija sēdes protokola Nr.28, 31.§, 2.punktam, kurš nosaka, ja valsts nekustamo īpašumu plānots nodot bez atlīdzības pašvaldības īpašumā kādai no likuma “Par pašvaldībām” 15.panta pirmajā daļā minētajām pašvaldību autonomajām funkcijām, Ministru kabineta rīkojumā jāietver vispārīga atsauce uz likuma “Par pašvaldībām” 15.panta pirmo daļu, bet anotācijā jāiekļauj pamatojums, kādai atvasinātas </w:t>
            </w:r>
            <w:r w:rsidRPr="001E5F92">
              <w:rPr>
                <w:bCs/>
              </w:rPr>
              <w:lastRenderedPageBreak/>
              <w:t>publiskas personas funkcijai nekustamais īpašums tiks izmantots. Minētā kārtība nav attiecināma, ja valsts nekustamo īpašumu plānots nodot bez atlīdzības pašvaldības īpašumā palīdzības sniegšanai dzīvokļa jautājumu risināšanā likumā “Par palīdzību dzīvokļa jautājumu risināšanā” noteiktajos gadījumos.</w:t>
            </w:r>
          </w:p>
        </w:tc>
        <w:tc>
          <w:tcPr>
            <w:tcW w:w="2805" w:type="dxa"/>
          </w:tcPr>
          <w:p w:rsidR="001E5F92" w:rsidP="00652CF4" w:rsidRDefault="001E5F92" w14:paraId="4BD1B592" w14:textId="77777777">
            <w:pPr>
              <w:jc w:val="both"/>
              <w:rPr>
                <w:b/>
              </w:rPr>
            </w:pPr>
            <w:r>
              <w:rPr>
                <w:b/>
              </w:rPr>
              <w:lastRenderedPageBreak/>
              <w:t xml:space="preserve">Priekšlikums ir ņemts vērā. </w:t>
            </w:r>
          </w:p>
          <w:p w:rsidRPr="00E05122" w:rsidR="001E5F92" w:rsidP="00652CF4" w:rsidRDefault="001E5F92" w14:paraId="603F0B73" w14:textId="4C0CEAE2">
            <w:pPr>
              <w:jc w:val="both"/>
              <w:rPr>
                <w:b/>
              </w:rPr>
            </w:pPr>
          </w:p>
        </w:tc>
        <w:tc>
          <w:tcPr>
            <w:tcW w:w="2917" w:type="dxa"/>
          </w:tcPr>
          <w:p w:rsidRPr="006E61E3" w:rsidR="001E5F92" w:rsidP="00652CF4" w:rsidRDefault="007F0988" w14:paraId="6DA7326F" w14:textId="269BD0DF">
            <w:pPr>
              <w:ind w:firstLine="276"/>
              <w:jc w:val="both"/>
              <w:rPr>
                <w:bCs/>
                <w:color w:val="000000"/>
              </w:rPr>
            </w:pPr>
            <w:r>
              <w:rPr>
                <w:b/>
              </w:rPr>
              <w:t>Attiecīgi precizēts rīkojuma projekts un papildināta anotācija.</w:t>
            </w:r>
          </w:p>
        </w:tc>
      </w:tr>
      <w:tr w:rsidRPr="00B945F5" w:rsidR="00DB7D79" w:rsidTr="00744DA3" w14:paraId="2726F3BB" w14:textId="77777777">
        <w:tc>
          <w:tcPr>
            <w:tcW w:w="891" w:type="dxa"/>
          </w:tcPr>
          <w:p w:rsidR="00DB7D79" w:rsidP="00EC3695" w:rsidRDefault="00DB7D79" w14:paraId="725BC922" w14:textId="54B4DBA3">
            <w:pPr>
              <w:jc w:val="center"/>
            </w:pPr>
            <w:r>
              <w:t>6.</w:t>
            </w:r>
          </w:p>
        </w:tc>
        <w:tc>
          <w:tcPr>
            <w:tcW w:w="3281" w:type="dxa"/>
          </w:tcPr>
          <w:p w:rsidRPr="00B945F5" w:rsidR="00DB7D79" w:rsidP="00340FF7" w:rsidRDefault="00DB7D79" w14:paraId="464003B4" w14:textId="77777777">
            <w:pPr>
              <w:ind w:firstLine="276"/>
              <w:jc w:val="both"/>
            </w:pPr>
          </w:p>
        </w:tc>
        <w:tc>
          <w:tcPr>
            <w:tcW w:w="4054" w:type="dxa"/>
          </w:tcPr>
          <w:p w:rsidR="00DB7D79" w:rsidP="00652CF4" w:rsidRDefault="00DB7D79" w14:paraId="7453985E" w14:textId="77777777">
            <w:pPr>
              <w:autoSpaceDE w:val="0"/>
              <w:autoSpaceDN w:val="0"/>
              <w:adjustRightInd w:val="0"/>
              <w:contextualSpacing/>
              <w:jc w:val="both"/>
              <w:rPr>
                <w:bCs/>
              </w:rPr>
            </w:pPr>
            <w:r w:rsidRPr="00DB7D79">
              <w:rPr>
                <w:b/>
              </w:rPr>
              <w:t xml:space="preserve">Finanšu ministrijas </w:t>
            </w:r>
            <w:r w:rsidRPr="00DB7D79">
              <w:rPr>
                <w:bCs/>
              </w:rPr>
              <w:t>2019. gada 11. oktobra atzinums Nr.12/A-7/4811  priekšlikumi.</w:t>
            </w:r>
          </w:p>
          <w:p w:rsidRPr="00DB7D79" w:rsidR="00DB7D79" w:rsidP="00DB7D79" w:rsidRDefault="00DB7D79" w14:paraId="20DAEF07" w14:textId="1CAE357B">
            <w:pPr>
              <w:jc w:val="both"/>
              <w:rPr>
                <w:lang w:eastAsia="en-US"/>
              </w:rPr>
            </w:pPr>
            <w:r w:rsidRPr="00DB7D79">
              <w:rPr>
                <w:lang w:eastAsia="en-US"/>
              </w:rPr>
              <w:t xml:space="preserve">Vienlaikus vēršam uzmanību, ka saskaņā ar Madonas novada pašvaldības domes 2019.gada 28.marta lēmumu Nr.123 “Par valsts vietējā autoceļa V880 “Bērzaune – </w:t>
            </w:r>
            <w:proofErr w:type="spellStart"/>
            <w:r w:rsidRPr="00DB7D79">
              <w:rPr>
                <w:lang w:eastAsia="en-US"/>
              </w:rPr>
              <w:t>Viesūnēni</w:t>
            </w:r>
            <w:proofErr w:type="spellEnd"/>
            <w:r w:rsidRPr="00DB7D79">
              <w:rPr>
                <w:lang w:eastAsia="en-US"/>
              </w:rPr>
              <w:t xml:space="preserve"> -Zīdiņi” posma no km 0,11 līdz km 0,45 pārņemšanu bez atlīdzības Madonas novada pašvaldības īpašumā” rīkojuma projektā norādītā nekustamā īpašuma nepieciešamību Madonas novada pašvaldība pamatojusi arī ar likuma “Par pašvaldībām” 15.panta pirmās daļas 10.punktā noteikto pašvaldības autonomo funkciju - sekmēt saimniecisko darbību attiecīgajā administratīvajā teritorijā, rūpēties par bezdarba samazināšanu. Ievērojot minēto, lūdzam precizēt anotācijas I sadaļas 1.punktā norādīto pamatojumu, kā arī anotācijas I sadaļas 2.punktā un II </w:t>
            </w:r>
            <w:r w:rsidRPr="00DB7D79">
              <w:rPr>
                <w:lang w:eastAsia="en-US"/>
              </w:rPr>
              <w:lastRenderedPageBreak/>
              <w:t>sadaļas 1. un 2.punktā ietverto  informāciju.</w:t>
            </w:r>
          </w:p>
        </w:tc>
        <w:tc>
          <w:tcPr>
            <w:tcW w:w="2805" w:type="dxa"/>
          </w:tcPr>
          <w:p w:rsidR="00DB7D79" w:rsidP="00DB7D79" w:rsidRDefault="00DB7D79" w14:paraId="404D85B8" w14:textId="77777777">
            <w:pPr>
              <w:jc w:val="both"/>
              <w:rPr>
                <w:b/>
              </w:rPr>
            </w:pPr>
            <w:r>
              <w:rPr>
                <w:b/>
              </w:rPr>
              <w:lastRenderedPageBreak/>
              <w:t xml:space="preserve">Priekšlikums ir ņemts vērā. </w:t>
            </w:r>
          </w:p>
          <w:p w:rsidR="00DB7D79" w:rsidP="00DB7D79" w:rsidRDefault="00DB7D79" w14:paraId="0A10A2D5" w14:textId="0B3EC5F3">
            <w:pPr>
              <w:jc w:val="both"/>
              <w:rPr>
                <w:b/>
              </w:rPr>
            </w:pPr>
          </w:p>
        </w:tc>
        <w:tc>
          <w:tcPr>
            <w:tcW w:w="2917" w:type="dxa"/>
          </w:tcPr>
          <w:p w:rsidRPr="006E61E3" w:rsidR="00DB7D79" w:rsidP="00652CF4" w:rsidRDefault="007F0988" w14:paraId="3B437D33" w14:textId="023CACBC">
            <w:pPr>
              <w:ind w:firstLine="276"/>
              <w:jc w:val="both"/>
              <w:rPr>
                <w:bCs/>
                <w:color w:val="000000"/>
              </w:rPr>
            </w:pPr>
            <w:r>
              <w:rPr>
                <w:b/>
              </w:rPr>
              <w:t>Attiecīgi papildināta anotācija.</w:t>
            </w:r>
          </w:p>
        </w:tc>
      </w:tr>
      <w:tr w:rsidRPr="00B945F5" w:rsidR="009705CD" w:rsidTr="00744DA3" w14:paraId="05C48192" w14:textId="77777777">
        <w:tc>
          <w:tcPr>
            <w:tcW w:w="891" w:type="dxa"/>
          </w:tcPr>
          <w:p w:rsidR="009705CD" w:rsidP="00EC3695" w:rsidRDefault="00DB7D79" w14:paraId="39C769CA" w14:textId="42FD7A8E">
            <w:pPr>
              <w:jc w:val="center"/>
            </w:pPr>
            <w:r>
              <w:t>7</w:t>
            </w:r>
            <w:r w:rsidR="009705CD">
              <w:t>.</w:t>
            </w:r>
          </w:p>
        </w:tc>
        <w:tc>
          <w:tcPr>
            <w:tcW w:w="3281" w:type="dxa"/>
          </w:tcPr>
          <w:p w:rsidRPr="00B945F5" w:rsidR="009705CD" w:rsidP="003A6D60" w:rsidRDefault="009705CD" w14:paraId="32323204" w14:textId="37492A83">
            <w:pPr>
              <w:jc w:val="both"/>
            </w:pPr>
          </w:p>
        </w:tc>
        <w:tc>
          <w:tcPr>
            <w:tcW w:w="4054" w:type="dxa"/>
          </w:tcPr>
          <w:p w:rsidR="009705CD" w:rsidP="00DB7D79" w:rsidRDefault="009705CD" w14:paraId="23672E7D" w14:textId="17743D54">
            <w:pPr>
              <w:jc w:val="both"/>
            </w:pPr>
            <w:r>
              <w:rPr>
                <w:b/>
              </w:rPr>
              <w:t>Finanšu</w:t>
            </w:r>
            <w:r w:rsidRPr="001F3F83">
              <w:rPr>
                <w:b/>
              </w:rPr>
              <w:t xml:space="preserve"> ministrijas</w:t>
            </w:r>
            <w:r>
              <w:rPr>
                <w:b/>
              </w:rPr>
              <w:t xml:space="preserve"> </w:t>
            </w:r>
            <w:r w:rsidRPr="009705CD">
              <w:rPr>
                <w:bCs/>
              </w:rPr>
              <w:t>2019.gada 1.novembra atzinums</w:t>
            </w:r>
            <w:r>
              <w:t>  Nr. 10.1-6/7-1/1236 1.punkts.</w:t>
            </w:r>
          </w:p>
          <w:p w:rsidR="009705CD" w:rsidP="009705CD" w:rsidRDefault="009705CD" w14:paraId="54D81452" w14:textId="77777777">
            <w:pPr>
              <w:jc w:val="both"/>
              <w:rPr>
                <w:sz w:val="22"/>
                <w:szCs w:val="22"/>
              </w:rPr>
            </w:pPr>
            <w:r>
              <w:t>Izziņā ir norādīts, ka atbilstoši likuma „Par autoceļiem” 4. panta pirmajā daļā noteiktajam un uz šā likuma pamata izdoto Ministru kabineta 2009. gada 29. septembra noteikumu Nr.1104 “Noteikumi par valsts autoceļu un valsts autoceļu maršrutā ietverto pašvaldībām piederošo autoceļu posmu sarakstiem” 3.pielikumā “Vietējie autoceļi” norādītajam valsts autoceļš V880 “Bērzaune-</w:t>
            </w:r>
            <w:proofErr w:type="spellStart"/>
            <w:r>
              <w:t>Viesūnēni</w:t>
            </w:r>
            <w:proofErr w:type="spellEnd"/>
            <w:r>
              <w:t>-Zīdiņi” 13,5 km kopgarumā ir Latvijas Republikas īpašums (nekustamais īpašums ir valstij piederošs nevis piekrītošs).</w:t>
            </w:r>
          </w:p>
          <w:p w:rsidR="009705CD" w:rsidP="009705CD" w:rsidRDefault="009705CD" w14:paraId="00906FE0" w14:textId="77777777">
            <w:pPr>
              <w:jc w:val="both"/>
            </w:pPr>
            <w:r>
              <w:t xml:space="preserve">Publiskas personas mantas atsavināšanas likuma (turpmāk – Likums) 42.1 panta pirmajā daļā ir noteikts, ka valstij vai pašvaldībai piekrītošo nekustamo īpašumu, ievērojot normatīvajos aktos noteiktos ierobežojumus rīcībai ar piekritīgo nekustamo īpašumu un šā likuma 42. panta nosacījumus, var nodot īpašumā bez atlīdzības, ja valstij vai pašvaldībai piekrītošais nekustamais īpašums tiek ierakstīts zemesgrāmatā uz valsts vai pašvaldības vārda vienlaikus ar ieguvēja </w:t>
            </w:r>
            <w:r>
              <w:lastRenderedPageBreak/>
              <w:t>īpašuma tiesību nostiprināšanu uz attiecīgo īpašumu.</w:t>
            </w:r>
          </w:p>
          <w:p w:rsidRPr="004B49F0" w:rsidR="009705CD" w:rsidP="004B49F0" w:rsidRDefault="009705CD" w14:paraId="4AB58FCE" w14:textId="6AB7BFB2">
            <w:pPr>
              <w:jc w:val="both"/>
            </w:pPr>
            <w:r>
              <w:t>Ņemot vērā iepriekš minēto lūdzam precizēt Rīkojuma projektu un anotāciju neatsaucoties uz Likuma 42.1 pantu.</w:t>
            </w:r>
          </w:p>
        </w:tc>
        <w:tc>
          <w:tcPr>
            <w:tcW w:w="2805" w:type="dxa"/>
          </w:tcPr>
          <w:p w:rsidR="009705CD" w:rsidP="00652CF4" w:rsidRDefault="009705CD" w14:paraId="439A2A09" w14:textId="77777777">
            <w:pPr>
              <w:jc w:val="both"/>
              <w:rPr>
                <w:b/>
              </w:rPr>
            </w:pPr>
            <w:r w:rsidRPr="00E05122">
              <w:rPr>
                <w:b/>
              </w:rPr>
              <w:lastRenderedPageBreak/>
              <w:t xml:space="preserve">Iebildums </w:t>
            </w:r>
            <w:r>
              <w:rPr>
                <w:b/>
              </w:rPr>
              <w:t xml:space="preserve">ir </w:t>
            </w:r>
            <w:r w:rsidRPr="00E05122">
              <w:rPr>
                <w:b/>
              </w:rPr>
              <w:t>ņemts vērā</w:t>
            </w:r>
            <w:r>
              <w:rPr>
                <w:b/>
              </w:rPr>
              <w:t>.</w:t>
            </w:r>
          </w:p>
          <w:p w:rsidRPr="00731B04" w:rsidR="009705CD" w:rsidP="00652CF4" w:rsidRDefault="009705CD" w14:paraId="325AAF33" w14:textId="25228D3B">
            <w:pPr>
              <w:jc w:val="both"/>
              <w:rPr>
                <w:b/>
              </w:rPr>
            </w:pPr>
          </w:p>
        </w:tc>
        <w:tc>
          <w:tcPr>
            <w:tcW w:w="2917" w:type="dxa"/>
          </w:tcPr>
          <w:p w:rsidRPr="006E61E3" w:rsidR="009705CD" w:rsidP="009705CD" w:rsidRDefault="007F0988" w14:paraId="5BFFF771" w14:textId="3990C99B">
            <w:pPr>
              <w:jc w:val="both"/>
              <w:rPr>
                <w:bCs/>
                <w:color w:val="000000"/>
              </w:rPr>
            </w:pPr>
            <w:r>
              <w:rPr>
                <w:b/>
              </w:rPr>
              <w:t>Attiecīgi p</w:t>
            </w:r>
            <w:r w:rsidRPr="00731B04">
              <w:rPr>
                <w:b/>
              </w:rPr>
              <w:t>recizēts rīkojuma projekts un anotācija.</w:t>
            </w:r>
          </w:p>
        </w:tc>
      </w:tr>
      <w:tr w:rsidRPr="00B945F5" w:rsidR="003A6D60" w:rsidTr="00744DA3" w14:paraId="067AD182" w14:textId="77777777">
        <w:tc>
          <w:tcPr>
            <w:tcW w:w="891" w:type="dxa"/>
          </w:tcPr>
          <w:p w:rsidR="003A6D60" w:rsidP="003A6D60" w:rsidRDefault="004B49F0" w14:paraId="3B39C105" w14:textId="3EC6EEF2">
            <w:pPr>
              <w:jc w:val="center"/>
            </w:pPr>
            <w:r>
              <w:t>8</w:t>
            </w:r>
            <w:r w:rsidR="003A6D60">
              <w:t>.</w:t>
            </w:r>
          </w:p>
        </w:tc>
        <w:tc>
          <w:tcPr>
            <w:tcW w:w="3281" w:type="dxa"/>
          </w:tcPr>
          <w:p w:rsidRPr="00B945F5" w:rsidR="003A6D60" w:rsidP="004B49F0" w:rsidRDefault="003A6D60" w14:paraId="31AEBFB9" w14:textId="1A15AC2E">
            <w:pPr>
              <w:jc w:val="both"/>
            </w:pPr>
          </w:p>
        </w:tc>
        <w:tc>
          <w:tcPr>
            <w:tcW w:w="4054" w:type="dxa"/>
          </w:tcPr>
          <w:p w:rsidR="003A6D60" w:rsidP="003A6D60" w:rsidRDefault="003A6D60" w14:paraId="12B5313A" w14:textId="2568BFED">
            <w:r>
              <w:rPr>
                <w:b/>
              </w:rPr>
              <w:t>Finanšu</w:t>
            </w:r>
            <w:r w:rsidRPr="001F3F83">
              <w:rPr>
                <w:b/>
              </w:rPr>
              <w:t xml:space="preserve"> ministrijas</w:t>
            </w:r>
            <w:r>
              <w:rPr>
                <w:b/>
              </w:rPr>
              <w:t xml:space="preserve"> </w:t>
            </w:r>
            <w:r w:rsidRPr="009705CD">
              <w:rPr>
                <w:bCs/>
              </w:rPr>
              <w:t>2019.gada 1.novembra atzinums</w:t>
            </w:r>
            <w:r>
              <w:t>  Nr. 10.1-6/7-1/1236 2.punkts.</w:t>
            </w:r>
          </w:p>
          <w:p w:rsidRPr="004B49F0" w:rsidR="003A6D60" w:rsidP="004B49F0" w:rsidRDefault="003A6D60" w14:paraId="17FDED0F" w14:textId="33934DD2">
            <w:pPr>
              <w:jc w:val="both"/>
              <w:rPr>
                <w:rFonts w:ascii="Segoe UI" w:hAnsi="Segoe UI" w:cs="Segoe UI"/>
                <w:sz w:val="18"/>
                <w:szCs w:val="18"/>
                <w:shd w:val="clear" w:color="auto" w:fill="FFFFFF"/>
              </w:rPr>
            </w:pPr>
            <w:r>
              <w:t xml:space="preserve">Lūdzam precizēt Rīkojuma projektā minēto atsauci uz likumu “Par pašvaldībām”  atbilstoši  Ministru kabineta 2018.gada 12.jūnija sēdes protokola Nr.28, 31.§, 2.punktam, kas nosaka: “…ja valsts nekustamo īpašumu plānots nodot bez atlīdzības pašvaldības īpašumā kādai no likuma “Par pašvaldībām” 15.panta pirmajā daļā minētajām pašvaldību autonomajām funkcijām, Ministru kabineta rīkojumā jāietver vispārīga atsauce uz likuma “Par pašvaldībām” 15.panta pirmo daļu, bet Ministru kabineta rīkojuma projekta sākotnējās ietekmes novērtējuma ziņojumā (anotācijā) jāiekļauj pamatojums, kādai atvasinātas publiskas personas funkcijai nekustamais īpašums tiks izmantots. Minētā kārtība nav attiecināma, ja valsts nekustamo īpašumu plānots nodot bez atlīdzības pašvaldības īpašumā palīdzības sniegšanai dzīvokļa jautājumu risināšanā likumā “Par </w:t>
            </w:r>
            <w:r>
              <w:lastRenderedPageBreak/>
              <w:t>palīdzību dzīvokļa jautājumu risināšanā” noteiktajos gadījumos.”</w:t>
            </w:r>
            <w:r>
              <w:rPr>
                <w:rFonts w:ascii="Segoe UI" w:hAnsi="Segoe UI" w:cs="Segoe UI"/>
                <w:sz w:val="18"/>
                <w:szCs w:val="18"/>
                <w:shd w:val="clear" w:color="auto" w:fill="FFFFFF"/>
              </w:rPr>
              <w:t xml:space="preserve"> </w:t>
            </w:r>
          </w:p>
        </w:tc>
        <w:tc>
          <w:tcPr>
            <w:tcW w:w="2805" w:type="dxa"/>
          </w:tcPr>
          <w:p w:rsidR="003A6D60" w:rsidP="003A6D60" w:rsidRDefault="003A6D60" w14:paraId="24381D7E" w14:textId="77777777">
            <w:pPr>
              <w:jc w:val="both"/>
              <w:rPr>
                <w:b/>
              </w:rPr>
            </w:pPr>
            <w:r w:rsidRPr="00E05122">
              <w:rPr>
                <w:b/>
              </w:rPr>
              <w:lastRenderedPageBreak/>
              <w:t xml:space="preserve">Iebildums </w:t>
            </w:r>
            <w:r>
              <w:rPr>
                <w:b/>
              </w:rPr>
              <w:t xml:space="preserve">ir </w:t>
            </w:r>
            <w:r w:rsidRPr="00E05122">
              <w:rPr>
                <w:b/>
              </w:rPr>
              <w:t>ņemts vērā</w:t>
            </w:r>
            <w:r>
              <w:rPr>
                <w:b/>
              </w:rPr>
              <w:t>.</w:t>
            </w:r>
          </w:p>
          <w:p w:rsidRPr="004B49F0" w:rsidR="003A6D60" w:rsidP="003A6D60" w:rsidRDefault="003A6D60" w14:paraId="037C0B8E" w14:textId="6EC1E690">
            <w:pPr>
              <w:jc w:val="both"/>
              <w:rPr>
                <w:b/>
              </w:rPr>
            </w:pPr>
          </w:p>
        </w:tc>
        <w:tc>
          <w:tcPr>
            <w:tcW w:w="2917" w:type="dxa"/>
          </w:tcPr>
          <w:p w:rsidR="003A6D60" w:rsidP="007F0988" w:rsidRDefault="007F0988" w14:paraId="48D3F56A" w14:textId="1FB705F8">
            <w:pPr>
              <w:jc w:val="both"/>
            </w:pPr>
            <w:bookmarkStart w:name="_GoBack" w:id="2"/>
            <w:bookmarkEnd w:id="2"/>
            <w:r w:rsidRPr="004B49F0">
              <w:rPr>
                <w:b/>
              </w:rPr>
              <w:t>Attiecīgi precizēts rīkojuma projekts.</w:t>
            </w:r>
          </w:p>
        </w:tc>
      </w:tr>
      <w:tr w:rsidRPr="00B945F5" w:rsidR="004B49F0" w:rsidTr="00744DA3" w14:paraId="78C84108" w14:textId="77777777">
        <w:tc>
          <w:tcPr>
            <w:tcW w:w="891" w:type="dxa"/>
          </w:tcPr>
          <w:p w:rsidR="004B49F0" w:rsidP="003A6D60" w:rsidRDefault="004B49F0" w14:paraId="433976D6" w14:textId="3600EB19">
            <w:pPr>
              <w:jc w:val="center"/>
            </w:pPr>
            <w:r>
              <w:t>9.</w:t>
            </w:r>
          </w:p>
        </w:tc>
        <w:tc>
          <w:tcPr>
            <w:tcW w:w="3281" w:type="dxa"/>
          </w:tcPr>
          <w:p w:rsidRPr="00B945F5" w:rsidR="004B49F0" w:rsidP="004B49F0" w:rsidRDefault="004B49F0" w14:paraId="0E90B607" w14:textId="77777777">
            <w:pPr>
              <w:jc w:val="both"/>
            </w:pPr>
          </w:p>
        </w:tc>
        <w:tc>
          <w:tcPr>
            <w:tcW w:w="4054" w:type="dxa"/>
          </w:tcPr>
          <w:p w:rsidR="004B49F0" w:rsidP="004B49F0" w:rsidRDefault="004B49F0" w14:paraId="6CE6711C" w14:textId="77777777">
            <w:pPr>
              <w:jc w:val="both"/>
              <w:rPr>
                <w:bCs/>
              </w:rPr>
            </w:pPr>
            <w:r w:rsidRPr="004B49F0">
              <w:rPr>
                <w:b/>
              </w:rPr>
              <w:t>Finanšu ministrijas</w:t>
            </w:r>
            <w:r>
              <w:rPr>
                <w:bCs/>
              </w:rPr>
              <w:t xml:space="preserve"> 2019.gada 2.decembra atzinums </w:t>
            </w:r>
            <w:r w:rsidRPr="004B49F0">
              <w:rPr>
                <w:bCs/>
              </w:rPr>
              <w:t>Nr. 10.1-6/7-1/1410</w:t>
            </w:r>
            <w:r>
              <w:rPr>
                <w:bCs/>
              </w:rPr>
              <w:t xml:space="preserve"> priekšlikumi.</w:t>
            </w:r>
          </w:p>
          <w:p w:rsidRPr="004B49F0" w:rsidR="004B49F0" w:rsidP="004B49F0" w:rsidRDefault="004B49F0" w14:paraId="1FD84C81" w14:textId="77777777">
            <w:pPr>
              <w:jc w:val="both"/>
              <w:rPr>
                <w:bCs/>
              </w:rPr>
            </w:pPr>
            <w:r w:rsidRPr="004B49F0">
              <w:rPr>
                <w:bCs/>
              </w:rPr>
              <w:t>Likuma „Par autoceļiem” 4. panta pirmā daļa noteic, ka valsts autoceļi un to zemes, tai skaitā ceļu zemes nodalījuma joslas, ar visām šo autoceļu kompleksā ietilpstošajām būvēm ir Latvijas Republikas īpašums, kas nodots valsts akciju sabiedrības „Latvijas Valsts ceļi” pārziņā. Savukārt Ministru kabineta 2009.gada 29.septembra noteikumi Nr.1104 „Noteikumi par valsts autoceļu un valsts autoceļu maršrutā ietverto pašvaldībām piederošo autoceļu posmu sarakstiem” precizē konkrēti, kuri autoceļi vai to posmi pieder valstij. Līdz ar to konkrētais autoceļš pieder valstij uz likuma pamata. Civillikuma 1477.panta otrā daļa noteic, ka lietu tiesības, kas pastāv uz likuma pamata, ir spēkā arī bez ierakstīšanas zemes grāmatās. Tādējādi secināms, ka konkrētais autoceļš var nebūt ierakstīts zemesgrāmatā, jo ikviens var konstatēt, vai tas pieder vai nepieder valstij.</w:t>
            </w:r>
          </w:p>
          <w:p w:rsidRPr="004B49F0" w:rsidR="004B49F0" w:rsidP="004B49F0" w:rsidRDefault="004B49F0" w14:paraId="47FBA863" w14:textId="77777777">
            <w:pPr>
              <w:jc w:val="both"/>
              <w:rPr>
                <w:bCs/>
              </w:rPr>
            </w:pPr>
            <w:r w:rsidRPr="004B49F0">
              <w:rPr>
                <w:bCs/>
              </w:rPr>
              <w:t xml:space="preserve">Kad valsts autoceļi tiek atsavināti pašvaldībai bez atlīdzības, ir piemērojams Publiskas personas mantas atsavināšanas likuma (turpmāk – </w:t>
            </w:r>
            <w:r w:rsidRPr="004B49F0">
              <w:rPr>
                <w:bCs/>
              </w:rPr>
              <w:lastRenderedPageBreak/>
              <w:t>Atsavināšanas likums) regulējums, proti, šī likuma 42.un 43.pants. Ņemot vērā, ka valsts autoceļiem mainīsies īpašnieks, lai nodrošinātu tiesisko skaidrību, kā arī darījumu secīgumu zemesgrāmatā, valsts autoceļi ir ierakstāmi zemesgrāmatā. Civillikuma 927.pants nosaka, ka īpašums ir pilnīgas varas tiesība par lietu, t. i. tiesība valdīt un lietot to, iegūt no tās visus iespējamos labumus, ar to rīkoties un noteiktā kārtā atprasīt to atpakaļ no katras trešās personas ar īpašuma prasību. Līdz ar to secināms, ka valsts kā īpašnieks ar savu nekustamo īpašumu var rīkoties jebkādā veidā, kas nav aizliegts ar likumu. Savukārt ņemot vērā Zemesgrāmatu likuma 5.pantu, kas noteic, ka lietu tiesības, kas pastāv uz likuma pamata (</w:t>
            </w:r>
            <w:proofErr w:type="spellStart"/>
            <w:r w:rsidRPr="004B49F0">
              <w:rPr>
                <w:bCs/>
              </w:rPr>
              <w:t>Civillik</w:t>
            </w:r>
            <w:proofErr w:type="spellEnd"/>
            <w:r w:rsidRPr="004B49F0">
              <w:rPr>
                <w:bCs/>
              </w:rPr>
              <w:t xml:space="preserve">. 1477.p.), var arī nostiprināt zemesgrāmatās pēc to personu vēlēšanās, kam šīs tiesības pieder. Līdz ar to secināms, ka valsts kā īpašnieks var pilnvarot pašvaldību ierakstīt autoceļus zemesgrāmatā. Ņemot vērā minēto, ierakstīšanu zemesgrāmatā var veikt gan pati valsts, gan arī pilnvarot to darīt pašvaldību, ja pašvaldībai bez atlīdzības tiek atsavināts valsts nekustamais īpašums, kas pieder valstij uz likuma pamata. Saskaņā ar Atsavināšanas likuma 42.panta 2.7 daļā </w:t>
            </w:r>
            <w:r w:rsidRPr="004B49F0">
              <w:rPr>
                <w:bCs/>
              </w:rPr>
              <w:lastRenderedPageBreak/>
              <w:t xml:space="preserve">noteikto šajā pantā minētajos gadījumos publiskas personas vai atvasinātas publiskas personas iestādes ir atbrīvojamas no kancelejas nodevas samaksas par īpašuma tiesību nostiprināšanu zemesgrāmatā. </w:t>
            </w:r>
          </w:p>
          <w:p w:rsidRPr="004B49F0" w:rsidR="004B49F0" w:rsidP="00D72CAA" w:rsidRDefault="004B49F0" w14:paraId="60A3EC8E" w14:textId="1C77A84C">
            <w:pPr>
              <w:jc w:val="both"/>
              <w:rPr>
                <w:bCs/>
              </w:rPr>
            </w:pPr>
            <w:r w:rsidRPr="004B49F0">
              <w:rPr>
                <w:bCs/>
              </w:rPr>
              <w:t>Ņemot vērā visu iepriekš minēto, lūdzam anotāciju papildināt ar detalizētāku informāciju par pilnvarojumu pašvaldībai veikt valsts nekustamā īpašuma ierakstīšanu zemesgrāmatā.</w:t>
            </w:r>
          </w:p>
        </w:tc>
        <w:tc>
          <w:tcPr>
            <w:tcW w:w="2805" w:type="dxa"/>
          </w:tcPr>
          <w:p w:rsidRPr="00E05122" w:rsidR="004B49F0" w:rsidP="003A6D60" w:rsidRDefault="004B49F0" w14:paraId="0BB6DE67" w14:textId="589AB44D">
            <w:pPr>
              <w:jc w:val="both"/>
              <w:rPr>
                <w:b/>
              </w:rPr>
            </w:pPr>
            <w:r>
              <w:rPr>
                <w:b/>
              </w:rPr>
              <w:lastRenderedPageBreak/>
              <w:t>Priekšlikums ir ņemts vērā. Attiecīgi papildināta anotācija.</w:t>
            </w:r>
          </w:p>
        </w:tc>
        <w:tc>
          <w:tcPr>
            <w:tcW w:w="2917" w:type="dxa"/>
          </w:tcPr>
          <w:p w:rsidR="004B49F0" w:rsidP="004B49F0" w:rsidRDefault="004B49F0" w14:paraId="4DFB0565" w14:textId="0863F0E6">
            <w:pPr>
              <w:jc w:val="both"/>
            </w:pPr>
            <w:r>
              <w:t>Anotācijas I sadaļas 2.punkts.</w:t>
            </w:r>
          </w:p>
          <w:p w:rsidRPr="00D72CAA" w:rsidR="00D72CAA" w:rsidP="00D72CAA" w:rsidRDefault="00D72CAA" w14:paraId="3C77CD6C" w14:textId="77777777">
            <w:pPr>
              <w:ind w:firstLine="373"/>
              <w:jc w:val="both"/>
              <w:rPr>
                <w:rFonts w:eastAsia="Calibri"/>
                <w:bCs/>
                <w:color w:val="000000"/>
                <w:lang w:eastAsia="en-US"/>
              </w:rPr>
            </w:pPr>
            <w:r w:rsidRPr="00D72CAA">
              <w:rPr>
                <w:rFonts w:eastAsia="Calibri"/>
                <w:bCs/>
                <w:color w:val="000000"/>
                <w:lang w:eastAsia="en-US"/>
              </w:rPr>
              <w:t xml:space="preserve">Ievērojot Civillikuma 927.pantu, kas nosaka, </w:t>
            </w:r>
            <w:r w:rsidRPr="00D72CAA">
              <w:rPr>
                <w:rFonts w:eastAsia="Calibri"/>
                <w:bCs/>
                <w:i/>
                <w:iCs/>
                <w:color w:val="000000"/>
                <w:lang w:eastAsia="en-US"/>
              </w:rPr>
              <w:t>ka īpašums ir pilnīgas varas tiesība par lietu, t. i. tiesība valdīt un lietot to, iegūt no tās visus iespējamos labumus, ar to rīkoties un noteiktā kārtā atprasīt to atpakaļ no katras trešās personas ar īpašuma prasību</w:t>
            </w:r>
            <w:r w:rsidRPr="00D72CAA">
              <w:rPr>
                <w:rFonts w:eastAsia="Calibri"/>
                <w:bCs/>
                <w:color w:val="000000"/>
                <w:lang w:eastAsia="en-US"/>
              </w:rPr>
              <w:t xml:space="preserve">, valsts kā īpašnieks var pilnvarot pašvaldību ierakstīt nekustamo īpašumu zemesgrāmatā. </w:t>
            </w:r>
          </w:p>
          <w:p w:rsidRPr="00D72CAA" w:rsidR="00D72CAA" w:rsidP="00D72CAA" w:rsidRDefault="00D72CAA" w14:paraId="5B108AEA" w14:textId="77777777">
            <w:pPr>
              <w:ind w:firstLine="373"/>
              <w:jc w:val="both"/>
              <w:rPr>
                <w:rFonts w:eastAsia="Calibri"/>
                <w:bCs/>
                <w:color w:val="000000"/>
                <w:lang w:eastAsia="en-US"/>
              </w:rPr>
            </w:pPr>
            <w:r w:rsidRPr="00D72CAA">
              <w:rPr>
                <w:rFonts w:eastAsia="Calibri"/>
                <w:bCs/>
                <w:color w:val="000000"/>
                <w:lang w:eastAsia="en-US"/>
              </w:rPr>
              <w:t xml:space="preserve">Zemesgrāmatu likuma 5.pants noteic, </w:t>
            </w:r>
            <w:r w:rsidRPr="00D72CAA">
              <w:rPr>
                <w:rFonts w:eastAsia="Calibri"/>
                <w:bCs/>
                <w:i/>
                <w:iCs/>
                <w:color w:val="000000"/>
                <w:lang w:eastAsia="en-US"/>
              </w:rPr>
              <w:t>ka lietu tiesības, kas pastāv uz likuma pamata (</w:t>
            </w:r>
            <w:proofErr w:type="spellStart"/>
            <w:r w:rsidRPr="00D72CAA">
              <w:rPr>
                <w:rFonts w:eastAsia="Calibri"/>
                <w:bCs/>
                <w:i/>
                <w:iCs/>
                <w:color w:val="000000"/>
                <w:lang w:eastAsia="en-US"/>
              </w:rPr>
              <w:t>Civillik</w:t>
            </w:r>
            <w:proofErr w:type="spellEnd"/>
            <w:r w:rsidRPr="00D72CAA">
              <w:rPr>
                <w:rFonts w:eastAsia="Calibri"/>
                <w:bCs/>
                <w:i/>
                <w:iCs/>
                <w:color w:val="000000"/>
                <w:lang w:eastAsia="en-US"/>
              </w:rPr>
              <w:t>. 1477.p.), var arī nostiprināt zemesgrāmatās pēc to personu vēlēšanās, kam šīs tiesības pieder.</w:t>
            </w:r>
            <w:r w:rsidRPr="00D72CAA">
              <w:rPr>
                <w:rFonts w:eastAsia="Calibri"/>
                <w:bCs/>
                <w:color w:val="000000"/>
                <w:lang w:eastAsia="en-US"/>
              </w:rPr>
              <w:t xml:space="preserve"> Tādējādi ar rīkojuma projektu Madonas novada pašvaldība tiek pilnvarota valsts vārdā veikt nekustamā īpašuma ierakstīšanu zemesgrāmatā </w:t>
            </w:r>
            <w:r w:rsidRPr="00D72CAA">
              <w:rPr>
                <w:rFonts w:eastAsia="Calibri"/>
                <w:bCs/>
                <w:color w:val="000000"/>
                <w:lang w:eastAsia="en-US"/>
              </w:rPr>
              <w:lastRenderedPageBreak/>
              <w:t xml:space="preserve">uz valsts vārda Satiksmes ministrijas personā.  </w:t>
            </w:r>
          </w:p>
          <w:p w:rsidR="004B49F0" w:rsidP="004B49F0" w:rsidRDefault="004B49F0" w14:paraId="017ECE98" w14:textId="6334D88A">
            <w:pPr>
              <w:jc w:val="both"/>
            </w:pPr>
          </w:p>
        </w:tc>
      </w:tr>
    </w:tbl>
    <w:p w:rsidR="0029560D" w:rsidP="0029560D" w:rsidRDefault="0029560D" w14:paraId="5DDA0BA1" w14:textId="77777777">
      <w:pPr>
        <w:jc w:val="both"/>
        <w:rPr>
          <w:sz w:val="28"/>
          <w:szCs w:val="28"/>
        </w:rPr>
      </w:pPr>
    </w:p>
    <w:p w:rsidRPr="00B05446" w:rsidR="0029560D" w:rsidP="0029560D" w:rsidRDefault="0029560D" w14:paraId="5946D82A" w14:textId="3F027F4A">
      <w:pPr>
        <w:jc w:val="both"/>
        <w:rPr>
          <w:sz w:val="28"/>
          <w:szCs w:val="28"/>
        </w:rPr>
      </w:pPr>
      <w:r w:rsidRPr="00B05446">
        <w:rPr>
          <w:sz w:val="28"/>
          <w:szCs w:val="28"/>
        </w:rPr>
        <w:t>Atbildīgā amatpersona __________________________________________</w:t>
      </w:r>
    </w:p>
    <w:p w:rsidR="0029560D" w:rsidP="0029560D" w:rsidRDefault="00D72CAA" w14:paraId="0DDFB766" w14:textId="5FABBDF7">
      <w:pPr>
        <w:jc w:val="both"/>
        <w:rPr>
          <w:sz w:val="28"/>
          <w:szCs w:val="28"/>
        </w:rPr>
      </w:pPr>
      <w:r>
        <w:rPr>
          <w:sz w:val="28"/>
          <w:szCs w:val="28"/>
        </w:rPr>
        <w:t>Sandra Siliņa</w:t>
      </w:r>
      <w:r w:rsidRPr="00B05446" w:rsidR="0029560D">
        <w:rPr>
          <w:sz w:val="28"/>
          <w:szCs w:val="28"/>
        </w:rPr>
        <w:t xml:space="preserve">, </w:t>
      </w:r>
      <w:r w:rsidR="0029560D">
        <w:rPr>
          <w:sz w:val="28"/>
          <w:szCs w:val="28"/>
        </w:rPr>
        <w:t>Satiksmes ministrijas Juridiskā departamenta</w:t>
      </w:r>
    </w:p>
    <w:p w:rsidRPr="00B05446" w:rsidR="0029560D" w:rsidP="0029560D" w:rsidRDefault="0029560D" w14:paraId="5A8B8C5C" w14:textId="4509589B">
      <w:pPr>
        <w:jc w:val="both"/>
        <w:rPr>
          <w:sz w:val="28"/>
          <w:szCs w:val="28"/>
        </w:rPr>
      </w:pPr>
      <w:r>
        <w:rPr>
          <w:sz w:val="28"/>
          <w:szCs w:val="28"/>
        </w:rPr>
        <w:t>Nekustamo īpašumu nodaļas vecā</w:t>
      </w:r>
      <w:r w:rsidR="004B4273">
        <w:rPr>
          <w:sz w:val="28"/>
          <w:szCs w:val="28"/>
        </w:rPr>
        <w:t>k</w:t>
      </w:r>
      <w:r w:rsidR="00D72CAA">
        <w:rPr>
          <w:sz w:val="28"/>
          <w:szCs w:val="28"/>
        </w:rPr>
        <w:t>ā</w:t>
      </w:r>
      <w:r w:rsidR="004B4273">
        <w:rPr>
          <w:sz w:val="28"/>
          <w:szCs w:val="28"/>
        </w:rPr>
        <w:t xml:space="preserve"> referent</w:t>
      </w:r>
      <w:r w:rsidR="00D72CAA">
        <w:rPr>
          <w:sz w:val="28"/>
          <w:szCs w:val="28"/>
        </w:rPr>
        <w:t>e</w:t>
      </w:r>
    </w:p>
    <w:p w:rsidRPr="00805C04" w:rsidR="0029560D" w:rsidP="0029560D" w:rsidRDefault="004B4273" w14:paraId="36948A20" w14:textId="55007679">
      <w:pPr>
        <w:jc w:val="both"/>
        <w:rPr>
          <w:sz w:val="28"/>
          <w:szCs w:val="28"/>
        </w:rPr>
      </w:pPr>
      <w:r>
        <w:rPr>
          <w:sz w:val="28"/>
          <w:szCs w:val="28"/>
        </w:rPr>
        <w:t>Tālr.6702803</w:t>
      </w:r>
      <w:r w:rsidR="00D72CAA">
        <w:rPr>
          <w:sz w:val="28"/>
          <w:szCs w:val="28"/>
        </w:rPr>
        <w:t>1</w:t>
      </w:r>
      <w:r w:rsidR="0029560D">
        <w:rPr>
          <w:sz w:val="28"/>
          <w:szCs w:val="28"/>
        </w:rPr>
        <w:t xml:space="preserve">, </w:t>
      </w:r>
      <w:r w:rsidRPr="00B05446" w:rsidR="0029560D">
        <w:rPr>
          <w:sz w:val="28"/>
          <w:szCs w:val="28"/>
        </w:rPr>
        <w:t xml:space="preserve">e-pasts: </w:t>
      </w:r>
      <w:r w:rsidR="00D72CAA">
        <w:rPr>
          <w:sz w:val="28"/>
          <w:szCs w:val="28"/>
        </w:rPr>
        <w:t>sandra.silina</w:t>
      </w:r>
      <w:r w:rsidR="0029560D">
        <w:rPr>
          <w:sz w:val="28"/>
          <w:szCs w:val="28"/>
        </w:rPr>
        <w:t>@sam.gov.lv</w:t>
      </w:r>
      <w:r w:rsidRPr="00B05446" w:rsidR="0029560D">
        <w:rPr>
          <w:sz w:val="28"/>
          <w:szCs w:val="28"/>
        </w:rPr>
        <w:t xml:space="preserve"> </w:t>
      </w:r>
    </w:p>
    <w:p w:rsidRPr="00805C04" w:rsidR="0029560D" w:rsidP="0029560D" w:rsidRDefault="0029560D" w14:paraId="7B83CC42" w14:textId="77777777">
      <w:pPr>
        <w:jc w:val="both"/>
        <w:rPr>
          <w:sz w:val="28"/>
          <w:szCs w:val="28"/>
        </w:rPr>
      </w:pPr>
    </w:p>
    <w:p w:rsidRPr="00805C04" w:rsidR="0068210A" w:rsidP="0029560D" w:rsidRDefault="0068210A" w14:paraId="68B049D8" w14:textId="5958C8A1">
      <w:pPr>
        <w:jc w:val="both"/>
        <w:rPr>
          <w:sz w:val="28"/>
          <w:szCs w:val="28"/>
        </w:rPr>
      </w:pPr>
    </w:p>
    <w:sectPr w:rsidRPr="00805C04" w:rsidR="0068210A" w:rsidSect="002A4998">
      <w:headerReference w:type="even" r:id="rId8"/>
      <w:headerReference w:type="default" r:id="rId9"/>
      <w:footerReference w:type="default" r:id="rId10"/>
      <w:footerReference w:type="first" r:id="rId11"/>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52C94" w14:textId="77777777" w:rsidR="00E91A63" w:rsidRDefault="00E91A63" w:rsidP="00841975">
      <w:r>
        <w:separator/>
      </w:r>
    </w:p>
  </w:endnote>
  <w:endnote w:type="continuationSeparator" w:id="0">
    <w:p w14:paraId="40E53BC1" w14:textId="77777777" w:rsidR="00E91A63" w:rsidRDefault="00E91A63" w:rsidP="0084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5E4CA" w14:textId="510B3A34" w:rsidR="00820B94" w:rsidRPr="00CB6C0C" w:rsidRDefault="0025179D" w:rsidP="00820B94">
    <w:pPr>
      <w:jc w:val="both"/>
      <w:rPr>
        <w:b/>
        <w:bCs/>
      </w:rPr>
    </w:pPr>
    <w:r>
      <w:rPr>
        <w:sz w:val="20"/>
        <w:szCs w:val="20"/>
      </w:rPr>
      <w:t>SMizz_</w:t>
    </w:r>
    <w:r w:rsidR="007507B0">
      <w:rPr>
        <w:sz w:val="20"/>
        <w:szCs w:val="20"/>
      </w:rPr>
      <w:t>0</w:t>
    </w:r>
    <w:r w:rsidR="00CF5350">
      <w:rPr>
        <w:sz w:val="20"/>
        <w:szCs w:val="20"/>
      </w:rPr>
      <w:t>9</w:t>
    </w:r>
    <w:r w:rsidR="007507B0">
      <w:rPr>
        <w:sz w:val="20"/>
        <w:szCs w:val="20"/>
      </w:rPr>
      <w:t>12</w:t>
    </w:r>
    <w:r w:rsidR="00595CF0">
      <w:rPr>
        <w:sz w:val="20"/>
        <w:szCs w:val="20"/>
      </w:rPr>
      <w:t>19</w:t>
    </w:r>
    <w:r>
      <w:rPr>
        <w:sz w:val="20"/>
        <w:szCs w:val="20"/>
      </w:rPr>
      <w:t>_VSS</w:t>
    </w:r>
    <w:r w:rsidR="008C5363">
      <w:rPr>
        <w:sz w:val="20"/>
        <w:szCs w:val="20"/>
      </w:rPr>
      <w:t>-</w:t>
    </w:r>
    <w:r w:rsidR="00595CF0">
      <w:rPr>
        <w:sz w:val="20"/>
        <w:szCs w:val="20"/>
      </w:rPr>
      <w:t>946</w:t>
    </w:r>
  </w:p>
  <w:p w14:paraId="68B049E2" w14:textId="77777777" w:rsidR="0068210A" w:rsidRDefault="006821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049E3" w14:textId="62690F28" w:rsidR="0068210A" w:rsidRPr="00CB6C0C" w:rsidRDefault="0025179D" w:rsidP="005C4E99">
    <w:pPr>
      <w:jc w:val="both"/>
      <w:rPr>
        <w:b/>
        <w:bCs/>
      </w:rPr>
    </w:pPr>
    <w:r>
      <w:rPr>
        <w:sz w:val="20"/>
        <w:szCs w:val="20"/>
      </w:rPr>
      <w:t>SMizz_</w:t>
    </w:r>
    <w:r w:rsidR="007507B0">
      <w:rPr>
        <w:sz w:val="20"/>
        <w:szCs w:val="20"/>
      </w:rPr>
      <w:t>0</w:t>
    </w:r>
    <w:r w:rsidR="00CF5350">
      <w:rPr>
        <w:sz w:val="20"/>
        <w:szCs w:val="20"/>
      </w:rPr>
      <w:t>9</w:t>
    </w:r>
    <w:r w:rsidR="007507B0">
      <w:rPr>
        <w:sz w:val="20"/>
        <w:szCs w:val="20"/>
      </w:rPr>
      <w:t>12</w:t>
    </w:r>
    <w:r>
      <w:rPr>
        <w:sz w:val="20"/>
        <w:szCs w:val="20"/>
      </w:rPr>
      <w:t>1</w:t>
    </w:r>
    <w:r w:rsidR="004C4030">
      <w:rPr>
        <w:sz w:val="20"/>
        <w:szCs w:val="20"/>
      </w:rPr>
      <w:t>9</w:t>
    </w:r>
    <w:r>
      <w:rPr>
        <w:sz w:val="20"/>
        <w:szCs w:val="20"/>
      </w:rPr>
      <w:t>_VSS</w:t>
    </w:r>
    <w:r w:rsidR="002C7762">
      <w:rPr>
        <w:sz w:val="20"/>
        <w:szCs w:val="20"/>
      </w:rPr>
      <w:t>-</w:t>
    </w:r>
    <w:r w:rsidR="00450A28">
      <w:rPr>
        <w:sz w:val="20"/>
        <w:szCs w:val="20"/>
      </w:rPr>
      <w:t>946</w:t>
    </w:r>
  </w:p>
  <w:p w14:paraId="68B049E4" w14:textId="77777777" w:rsidR="0068210A" w:rsidRPr="00080D28" w:rsidRDefault="0068210A" w:rsidP="00C5513E">
    <w:pPr>
      <w:jc w:val="both"/>
      <w:rPr>
        <w:b/>
        <w:bCs/>
        <w:szCs w:val="28"/>
      </w:rPr>
    </w:pPr>
  </w:p>
  <w:p w14:paraId="68B049E5" w14:textId="77777777" w:rsidR="0068210A" w:rsidRPr="005C0C7D" w:rsidRDefault="0068210A" w:rsidP="005C0C7D">
    <w:pPr>
      <w:jc w:val="both"/>
      <w:rPr>
        <w:b/>
        <w:bCs/>
        <w:szCs w:val="28"/>
      </w:rPr>
    </w:pPr>
  </w:p>
  <w:p w14:paraId="68B049E6" w14:textId="77777777" w:rsidR="0068210A" w:rsidRPr="004367A2" w:rsidRDefault="0068210A" w:rsidP="004367A2">
    <w:pP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103C9" w14:textId="77777777" w:rsidR="00E91A63" w:rsidRDefault="00E91A63" w:rsidP="00841975">
      <w:r>
        <w:separator/>
      </w:r>
    </w:p>
  </w:footnote>
  <w:footnote w:type="continuationSeparator" w:id="0">
    <w:p w14:paraId="1E6C7CE9" w14:textId="77777777" w:rsidR="00E91A63" w:rsidRDefault="00E91A63" w:rsidP="00841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10A" w:rsidP="00215750" w:rsidRDefault="0068210A" w14:paraId="68B049DD"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210A" w:rsidRDefault="0068210A" w14:paraId="68B049D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10A" w:rsidP="00052AD6" w:rsidRDefault="0068210A" w14:paraId="68B049DF" w14:textId="4E9CC638">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04CA">
      <w:rPr>
        <w:rStyle w:val="PageNumber"/>
        <w:noProof/>
      </w:rPr>
      <w:t>2</w:t>
    </w:r>
    <w:r>
      <w:rPr>
        <w:rStyle w:val="PageNumber"/>
      </w:rPr>
      <w:fldChar w:fldCharType="end"/>
    </w:r>
  </w:p>
  <w:p w:rsidR="0068210A" w:rsidRDefault="0068210A" w14:paraId="68B049E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613F6"/>
    <w:multiLevelType w:val="hybridMultilevel"/>
    <w:tmpl w:val="AC76A514"/>
    <w:lvl w:ilvl="0" w:tplc="E2E89676">
      <w:start w:val="2"/>
      <w:numFmt w:val="decimal"/>
      <w:lvlText w:val="%1."/>
      <w:lvlJc w:val="left"/>
      <w:pPr>
        <w:tabs>
          <w:tab w:val="num" w:pos="1069"/>
        </w:tabs>
        <w:ind w:left="1069" w:hanging="360"/>
      </w:pPr>
      <w:rPr>
        <w:rFonts w:cs="Times New Roman" w:hint="default"/>
      </w:rPr>
    </w:lvl>
    <w:lvl w:ilvl="1" w:tplc="04260019" w:tentative="1">
      <w:start w:val="1"/>
      <w:numFmt w:val="lowerLetter"/>
      <w:lvlText w:val="%2."/>
      <w:lvlJc w:val="left"/>
      <w:pPr>
        <w:tabs>
          <w:tab w:val="num" w:pos="1789"/>
        </w:tabs>
        <w:ind w:left="1789" w:hanging="360"/>
      </w:pPr>
      <w:rPr>
        <w:rFonts w:cs="Times New Roman"/>
      </w:rPr>
    </w:lvl>
    <w:lvl w:ilvl="2" w:tplc="0426001B" w:tentative="1">
      <w:start w:val="1"/>
      <w:numFmt w:val="lowerRoman"/>
      <w:lvlText w:val="%3."/>
      <w:lvlJc w:val="right"/>
      <w:pPr>
        <w:tabs>
          <w:tab w:val="num" w:pos="2509"/>
        </w:tabs>
        <w:ind w:left="2509" w:hanging="180"/>
      </w:pPr>
      <w:rPr>
        <w:rFonts w:cs="Times New Roman"/>
      </w:rPr>
    </w:lvl>
    <w:lvl w:ilvl="3" w:tplc="0426000F" w:tentative="1">
      <w:start w:val="1"/>
      <w:numFmt w:val="decimal"/>
      <w:lvlText w:val="%4."/>
      <w:lvlJc w:val="left"/>
      <w:pPr>
        <w:tabs>
          <w:tab w:val="num" w:pos="3229"/>
        </w:tabs>
        <w:ind w:left="3229" w:hanging="360"/>
      </w:pPr>
      <w:rPr>
        <w:rFonts w:cs="Times New Roman"/>
      </w:rPr>
    </w:lvl>
    <w:lvl w:ilvl="4" w:tplc="04260019" w:tentative="1">
      <w:start w:val="1"/>
      <w:numFmt w:val="lowerLetter"/>
      <w:lvlText w:val="%5."/>
      <w:lvlJc w:val="left"/>
      <w:pPr>
        <w:tabs>
          <w:tab w:val="num" w:pos="3949"/>
        </w:tabs>
        <w:ind w:left="3949" w:hanging="360"/>
      </w:pPr>
      <w:rPr>
        <w:rFonts w:cs="Times New Roman"/>
      </w:rPr>
    </w:lvl>
    <w:lvl w:ilvl="5" w:tplc="0426001B" w:tentative="1">
      <w:start w:val="1"/>
      <w:numFmt w:val="lowerRoman"/>
      <w:lvlText w:val="%6."/>
      <w:lvlJc w:val="right"/>
      <w:pPr>
        <w:tabs>
          <w:tab w:val="num" w:pos="4669"/>
        </w:tabs>
        <w:ind w:left="4669" w:hanging="180"/>
      </w:pPr>
      <w:rPr>
        <w:rFonts w:cs="Times New Roman"/>
      </w:rPr>
    </w:lvl>
    <w:lvl w:ilvl="6" w:tplc="0426000F" w:tentative="1">
      <w:start w:val="1"/>
      <w:numFmt w:val="decimal"/>
      <w:lvlText w:val="%7."/>
      <w:lvlJc w:val="left"/>
      <w:pPr>
        <w:tabs>
          <w:tab w:val="num" w:pos="5389"/>
        </w:tabs>
        <w:ind w:left="5389" w:hanging="360"/>
      </w:pPr>
      <w:rPr>
        <w:rFonts w:cs="Times New Roman"/>
      </w:rPr>
    </w:lvl>
    <w:lvl w:ilvl="7" w:tplc="04260019" w:tentative="1">
      <w:start w:val="1"/>
      <w:numFmt w:val="lowerLetter"/>
      <w:lvlText w:val="%8."/>
      <w:lvlJc w:val="left"/>
      <w:pPr>
        <w:tabs>
          <w:tab w:val="num" w:pos="6109"/>
        </w:tabs>
        <w:ind w:left="6109" w:hanging="360"/>
      </w:pPr>
      <w:rPr>
        <w:rFonts w:cs="Times New Roman"/>
      </w:rPr>
    </w:lvl>
    <w:lvl w:ilvl="8" w:tplc="0426001B" w:tentative="1">
      <w:start w:val="1"/>
      <w:numFmt w:val="lowerRoman"/>
      <w:lvlText w:val="%9."/>
      <w:lvlJc w:val="right"/>
      <w:pPr>
        <w:tabs>
          <w:tab w:val="num" w:pos="6829"/>
        </w:tabs>
        <w:ind w:left="6829" w:hanging="180"/>
      </w:pPr>
      <w:rPr>
        <w:rFonts w:cs="Times New Roman"/>
      </w:rPr>
    </w:lvl>
  </w:abstractNum>
  <w:abstractNum w:abstractNumId="1" w15:restartNumberingAfterBreak="0">
    <w:nsid w:val="2B5477F3"/>
    <w:multiLevelType w:val="multilevel"/>
    <w:tmpl w:val="396AFD42"/>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3D0907"/>
    <w:multiLevelType w:val="hybridMultilevel"/>
    <w:tmpl w:val="EBFE34B0"/>
    <w:lvl w:ilvl="0" w:tplc="43BE1C52">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330238F"/>
    <w:multiLevelType w:val="hybridMultilevel"/>
    <w:tmpl w:val="11A07400"/>
    <w:lvl w:ilvl="0" w:tplc="DEE813BA">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4" w15:restartNumberingAfterBreak="0">
    <w:nsid w:val="62F060C9"/>
    <w:multiLevelType w:val="hybridMultilevel"/>
    <w:tmpl w:val="2F0C5EA2"/>
    <w:lvl w:ilvl="0" w:tplc="F072CB3A">
      <w:start w:val="1"/>
      <w:numFmt w:val="decimal"/>
      <w:suff w:val="space"/>
      <w:lvlText w:val="%1."/>
      <w:lvlJc w:val="left"/>
      <w:pPr>
        <w:ind w:firstLine="72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 w15:restartNumberingAfterBreak="0">
    <w:nsid w:val="6E8364B4"/>
    <w:multiLevelType w:val="hybridMultilevel"/>
    <w:tmpl w:val="9BDCAD50"/>
    <w:lvl w:ilvl="0" w:tplc="1B96D28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5076D65"/>
    <w:multiLevelType w:val="hybridMultilevel"/>
    <w:tmpl w:val="462437FA"/>
    <w:lvl w:ilvl="0" w:tplc="B86C8C1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75"/>
    <w:rsid w:val="0000636B"/>
    <w:rsid w:val="00017F32"/>
    <w:rsid w:val="0002418D"/>
    <w:rsid w:val="00024524"/>
    <w:rsid w:val="00047209"/>
    <w:rsid w:val="00052AD6"/>
    <w:rsid w:val="00080D28"/>
    <w:rsid w:val="000A6627"/>
    <w:rsid w:val="000A7339"/>
    <w:rsid w:val="000C7895"/>
    <w:rsid w:val="000D01C0"/>
    <w:rsid w:val="000F1EDE"/>
    <w:rsid w:val="001078AE"/>
    <w:rsid w:val="00107C74"/>
    <w:rsid w:val="001112E8"/>
    <w:rsid w:val="00121634"/>
    <w:rsid w:val="00135528"/>
    <w:rsid w:val="00167144"/>
    <w:rsid w:val="001718BC"/>
    <w:rsid w:val="00172D67"/>
    <w:rsid w:val="001B0B36"/>
    <w:rsid w:val="001B5A73"/>
    <w:rsid w:val="001C696E"/>
    <w:rsid w:val="001E47DA"/>
    <w:rsid w:val="001E5F92"/>
    <w:rsid w:val="001F3F83"/>
    <w:rsid w:val="001F49E7"/>
    <w:rsid w:val="001F6918"/>
    <w:rsid w:val="00215750"/>
    <w:rsid w:val="00216DDA"/>
    <w:rsid w:val="002266D0"/>
    <w:rsid w:val="0025179D"/>
    <w:rsid w:val="002544C1"/>
    <w:rsid w:val="00255F45"/>
    <w:rsid w:val="002733FE"/>
    <w:rsid w:val="00275808"/>
    <w:rsid w:val="0028454C"/>
    <w:rsid w:val="0029560D"/>
    <w:rsid w:val="00296045"/>
    <w:rsid w:val="002A0F81"/>
    <w:rsid w:val="002A4998"/>
    <w:rsid w:val="002B4092"/>
    <w:rsid w:val="002B4E5F"/>
    <w:rsid w:val="002B5E9C"/>
    <w:rsid w:val="002C7762"/>
    <w:rsid w:val="002D64ED"/>
    <w:rsid w:val="002E367A"/>
    <w:rsid w:val="002E4D7E"/>
    <w:rsid w:val="0031149E"/>
    <w:rsid w:val="00314D88"/>
    <w:rsid w:val="0032499F"/>
    <w:rsid w:val="00326D0F"/>
    <w:rsid w:val="00340DB7"/>
    <w:rsid w:val="00340FF7"/>
    <w:rsid w:val="00346C9A"/>
    <w:rsid w:val="00381E94"/>
    <w:rsid w:val="00386295"/>
    <w:rsid w:val="0038776F"/>
    <w:rsid w:val="003A6D60"/>
    <w:rsid w:val="003A7944"/>
    <w:rsid w:val="003B5D23"/>
    <w:rsid w:val="003C5F70"/>
    <w:rsid w:val="003C76DB"/>
    <w:rsid w:val="003F5362"/>
    <w:rsid w:val="0040746B"/>
    <w:rsid w:val="00410DBA"/>
    <w:rsid w:val="00430D1E"/>
    <w:rsid w:val="004367A2"/>
    <w:rsid w:val="00441655"/>
    <w:rsid w:val="00441C35"/>
    <w:rsid w:val="00450A28"/>
    <w:rsid w:val="00451C34"/>
    <w:rsid w:val="00452A52"/>
    <w:rsid w:val="00456A6E"/>
    <w:rsid w:val="004619C5"/>
    <w:rsid w:val="0046367D"/>
    <w:rsid w:val="004729EE"/>
    <w:rsid w:val="00491473"/>
    <w:rsid w:val="004B140A"/>
    <w:rsid w:val="004B4273"/>
    <w:rsid w:val="004B49F0"/>
    <w:rsid w:val="004C0205"/>
    <w:rsid w:val="004C1C0E"/>
    <w:rsid w:val="004C4030"/>
    <w:rsid w:val="004D04CA"/>
    <w:rsid w:val="004D0931"/>
    <w:rsid w:val="004E0794"/>
    <w:rsid w:val="004E5F8B"/>
    <w:rsid w:val="004E7614"/>
    <w:rsid w:val="004F6722"/>
    <w:rsid w:val="00502B17"/>
    <w:rsid w:val="00503658"/>
    <w:rsid w:val="005053D9"/>
    <w:rsid w:val="005073BD"/>
    <w:rsid w:val="00510C41"/>
    <w:rsid w:val="00522199"/>
    <w:rsid w:val="005268FA"/>
    <w:rsid w:val="00562841"/>
    <w:rsid w:val="005671A4"/>
    <w:rsid w:val="005909EC"/>
    <w:rsid w:val="00595CF0"/>
    <w:rsid w:val="0059642C"/>
    <w:rsid w:val="005A71A2"/>
    <w:rsid w:val="005B12C6"/>
    <w:rsid w:val="005C0C7D"/>
    <w:rsid w:val="005C2643"/>
    <w:rsid w:val="005C4E99"/>
    <w:rsid w:val="005C5BCB"/>
    <w:rsid w:val="005E5E7C"/>
    <w:rsid w:val="005F4D7E"/>
    <w:rsid w:val="006162F8"/>
    <w:rsid w:val="0061755B"/>
    <w:rsid w:val="00630E69"/>
    <w:rsid w:val="00631190"/>
    <w:rsid w:val="0063189D"/>
    <w:rsid w:val="00636D41"/>
    <w:rsid w:val="0064205E"/>
    <w:rsid w:val="00642776"/>
    <w:rsid w:val="0064321B"/>
    <w:rsid w:val="00652CF4"/>
    <w:rsid w:val="00661F2F"/>
    <w:rsid w:val="00666C80"/>
    <w:rsid w:val="0068210A"/>
    <w:rsid w:val="00692E5C"/>
    <w:rsid w:val="006B0106"/>
    <w:rsid w:val="006C0BE3"/>
    <w:rsid w:val="006C2B1A"/>
    <w:rsid w:val="006E7E5E"/>
    <w:rsid w:val="006F50D7"/>
    <w:rsid w:val="006F6498"/>
    <w:rsid w:val="0070645B"/>
    <w:rsid w:val="00706D1E"/>
    <w:rsid w:val="007102BB"/>
    <w:rsid w:val="00731A46"/>
    <w:rsid w:val="00731B04"/>
    <w:rsid w:val="0073295B"/>
    <w:rsid w:val="00744864"/>
    <w:rsid w:val="00744DA3"/>
    <w:rsid w:val="007507B0"/>
    <w:rsid w:val="00751DA1"/>
    <w:rsid w:val="0075263B"/>
    <w:rsid w:val="00761AC0"/>
    <w:rsid w:val="0078287E"/>
    <w:rsid w:val="0079663B"/>
    <w:rsid w:val="007A4BA7"/>
    <w:rsid w:val="007B76C2"/>
    <w:rsid w:val="007E367E"/>
    <w:rsid w:val="007F0988"/>
    <w:rsid w:val="00802ACD"/>
    <w:rsid w:val="00805C04"/>
    <w:rsid w:val="00817DA6"/>
    <w:rsid w:val="00820B94"/>
    <w:rsid w:val="008259A3"/>
    <w:rsid w:val="00830BB7"/>
    <w:rsid w:val="00831C40"/>
    <w:rsid w:val="00841975"/>
    <w:rsid w:val="00853D15"/>
    <w:rsid w:val="00864313"/>
    <w:rsid w:val="00865A0D"/>
    <w:rsid w:val="008A0B69"/>
    <w:rsid w:val="008B0334"/>
    <w:rsid w:val="008B058B"/>
    <w:rsid w:val="008B1096"/>
    <w:rsid w:val="008B182F"/>
    <w:rsid w:val="008B2270"/>
    <w:rsid w:val="008C39BA"/>
    <w:rsid w:val="008C4091"/>
    <w:rsid w:val="008C5363"/>
    <w:rsid w:val="008D1C11"/>
    <w:rsid w:val="008F6980"/>
    <w:rsid w:val="008F7A8B"/>
    <w:rsid w:val="00902BF4"/>
    <w:rsid w:val="00904B1D"/>
    <w:rsid w:val="00906E0E"/>
    <w:rsid w:val="009268E9"/>
    <w:rsid w:val="0094359C"/>
    <w:rsid w:val="0094453B"/>
    <w:rsid w:val="00946ED2"/>
    <w:rsid w:val="0095004F"/>
    <w:rsid w:val="009509E6"/>
    <w:rsid w:val="00953F01"/>
    <w:rsid w:val="009705CD"/>
    <w:rsid w:val="00976870"/>
    <w:rsid w:val="00981DD3"/>
    <w:rsid w:val="00987E46"/>
    <w:rsid w:val="00995BC1"/>
    <w:rsid w:val="009A3BFF"/>
    <w:rsid w:val="009A3C1E"/>
    <w:rsid w:val="009A4936"/>
    <w:rsid w:val="009A553B"/>
    <w:rsid w:val="009A5D68"/>
    <w:rsid w:val="009B1FAA"/>
    <w:rsid w:val="009C16FA"/>
    <w:rsid w:val="009C5FB8"/>
    <w:rsid w:val="009C7E86"/>
    <w:rsid w:val="009E6DC9"/>
    <w:rsid w:val="009F1322"/>
    <w:rsid w:val="009F32D7"/>
    <w:rsid w:val="00A043D2"/>
    <w:rsid w:val="00A16009"/>
    <w:rsid w:val="00A17F33"/>
    <w:rsid w:val="00A234BB"/>
    <w:rsid w:val="00A24952"/>
    <w:rsid w:val="00A37E6A"/>
    <w:rsid w:val="00A62DD3"/>
    <w:rsid w:val="00A63D85"/>
    <w:rsid w:val="00A9701B"/>
    <w:rsid w:val="00AA5727"/>
    <w:rsid w:val="00AA5BC8"/>
    <w:rsid w:val="00AB1CF2"/>
    <w:rsid w:val="00AB44DD"/>
    <w:rsid w:val="00AB5C23"/>
    <w:rsid w:val="00AB68B7"/>
    <w:rsid w:val="00AC53E8"/>
    <w:rsid w:val="00AE23E1"/>
    <w:rsid w:val="00AF0856"/>
    <w:rsid w:val="00AF192B"/>
    <w:rsid w:val="00AF5BF9"/>
    <w:rsid w:val="00B02AC1"/>
    <w:rsid w:val="00B05446"/>
    <w:rsid w:val="00B166CD"/>
    <w:rsid w:val="00B502CF"/>
    <w:rsid w:val="00B5593C"/>
    <w:rsid w:val="00B67729"/>
    <w:rsid w:val="00B841EB"/>
    <w:rsid w:val="00B945F5"/>
    <w:rsid w:val="00BA2F92"/>
    <w:rsid w:val="00BB0D9E"/>
    <w:rsid w:val="00BB537A"/>
    <w:rsid w:val="00BD4F73"/>
    <w:rsid w:val="00C03E8F"/>
    <w:rsid w:val="00C2020A"/>
    <w:rsid w:val="00C30B10"/>
    <w:rsid w:val="00C311CE"/>
    <w:rsid w:val="00C5513E"/>
    <w:rsid w:val="00C5586B"/>
    <w:rsid w:val="00C674BE"/>
    <w:rsid w:val="00C84F57"/>
    <w:rsid w:val="00CB4763"/>
    <w:rsid w:val="00CB6C0C"/>
    <w:rsid w:val="00CD16BE"/>
    <w:rsid w:val="00CE2262"/>
    <w:rsid w:val="00CF02A6"/>
    <w:rsid w:val="00CF5350"/>
    <w:rsid w:val="00CF569B"/>
    <w:rsid w:val="00D12707"/>
    <w:rsid w:val="00D345E0"/>
    <w:rsid w:val="00D64B76"/>
    <w:rsid w:val="00D65961"/>
    <w:rsid w:val="00D72CAA"/>
    <w:rsid w:val="00D746DB"/>
    <w:rsid w:val="00D82929"/>
    <w:rsid w:val="00D949A8"/>
    <w:rsid w:val="00DA29A8"/>
    <w:rsid w:val="00DB7D79"/>
    <w:rsid w:val="00DE3DE3"/>
    <w:rsid w:val="00DE512E"/>
    <w:rsid w:val="00E20784"/>
    <w:rsid w:val="00E34BC3"/>
    <w:rsid w:val="00E45F72"/>
    <w:rsid w:val="00E7000B"/>
    <w:rsid w:val="00E90105"/>
    <w:rsid w:val="00E91A63"/>
    <w:rsid w:val="00EA2F56"/>
    <w:rsid w:val="00EA7DA9"/>
    <w:rsid w:val="00EB5FF5"/>
    <w:rsid w:val="00EC3695"/>
    <w:rsid w:val="00EE6B69"/>
    <w:rsid w:val="00F03150"/>
    <w:rsid w:val="00F22AC2"/>
    <w:rsid w:val="00F259DC"/>
    <w:rsid w:val="00F40F96"/>
    <w:rsid w:val="00F56C69"/>
    <w:rsid w:val="00F7128A"/>
    <w:rsid w:val="00F9132F"/>
    <w:rsid w:val="00F944EE"/>
    <w:rsid w:val="00FA0F54"/>
    <w:rsid w:val="00FA7C35"/>
    <w:rsid w:val="00FC7CD0"/>
    <w:rsid w:val="00FD4A5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4337"/>
    <o:shapelayout v:ext="edit">
      <o:idmap v:ext="edit" data="1"/>
    </o:shapelayout>
  </w:shapeDefaults>
  <w:decimalSymbol w:val=","/>
  <w:listSeparator w:val=";"/>
  <w14:docId w14:val="68B0496F"/>
  <w15:docId w15:val="{E4AD86F2-362D-4B7C-8392-D6CB1539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975"/>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1975"/>
    <w:pPr>
      <w:tabs>
        <w:tab w:val="center" w:pos="4153"/>
        <w:tab w:val="right" w:pos="8306"/>
      </w:tabs>
    </w:pPr>
  </w:style>
  <w:style w:type="character" w:customStyle="1" w:styleId="HeaderChar">
    <w:name w:val="Header Char"/>
    <w:link w:val="Header"/>
    <w:uiPriority w:val="99"/>
    <w:locked/>
    <w:rsid w:val="00841975"/>
    <w:rPr>
      <w:rFonts w:eastAsia="Times New Roman" w:cs="Times New Roman"/>
      <w:sz w:val="24"/>
      <w:szCs w:val="24"/>
      <w:lang w:eastAsia="lv-LV"/>
    </w:rPr>
  </w:style>
  <w:style w:type="character" w:styleId="PageNumber">
    <w:name w:val="page number"/>
    <w:uiPriority w:val="99"/>
    <w:rsid w:val="00841975"/>
    <w:rPr>
      <w:rFonts w:cs="Times New Roman"/>
    </w:rPr>
  </w:style>
  <w:style w:type="paragraph" w:styleId="Footer">
    <w:name w:val="footer"/>
    <w:basedOn w:val="Normal"/>
    <w:link w:val="FooterChar"/>
    <w:uiPriority w:val="99"/>
    <w:rsid w:val="00841975"/>
    <w:pPr>
      <w:tabs>
        <w:tab w:val="center" w:pos="4153"/>
        <w:tab w:val="right" w:pos="8306"/>
      </w:tabs>
    </w:pPr>
  </w:style>
  <w:style w:type="character" w:customStyle="1" w:styleId="FooterChar">
    <w:name w:val="Footer Char"/>
    <w:link w:val="Footer"/>
    <w:uiPriority w:val="99"/>
    <w:locked/>
    <w:rsid w:val="00841975"/>
    <w:rPr>
      <w:rFonts w:eastAsia="Times New Roman" w:cs="Times New Roman"/>
      <w:sz w:val="24"/>
      <w:szCs w:val="24"/>
      <w:lang w:eastAsia="lv-LV"/>
    </w:rPr>
  </w:style>
  <w:style w:type="paragraph" w:styleId="ListParagraph">
    <w:name w:val="List Paragraph"/>
    <w:basedOn w:val="Normal"/>
    <w:uiPriority w:val="34"/>
    <w:qFormat/>
    <w:rsid w:val="00841975"/>
    <w:pPr>
      <w:ind w:left="720"/>
      <w:contextualSpacing/>
    </w:pPr>
    <w:rPr>
      <w:rFonts w:eastAsia="Calibri"/>
    </w:rPr>
  </w:style>
  <w:style w:type="paragraph" w:styleId="FootnoteText">
    <w:name w:val="footnote text"/>
    <w:basedOn w:val="Normal"/>
    <w:link w:val="FootnoteTextChar"/>
    <w:uiPriority w:val="99"/>
    <w:rsid w:val="00841975"/>
    <w:pPr>
      <w:widowControl w:val="0"/>
      <w:spacing w:before="60" w:after="60"/>
      <w:ind w:firstLine="720"/>
      <w:jc w:val="both"/>
    </w:pPr>
    <w:rPr>
      <w:sz w:val="20"/>
      <w:szCs w:val="20"/>
      <w:lang w:eastAsia="en-US"/>
    </w:rPr>
  </w:style>
  <w:style w:type="character" w:customStyle="1" w:styleId="FootnoteTextChar">
    <w:name w:val="Footnote Text Char"/>
    <w:link w:val="FootnoteText"/>
    <w:uiPriority w:val="99"/>
    <w:locked/>
    <w:rsid w:val="00841975"/>
    <w:rPr>
      <w:rFonts w:eastAsia="Times New Roman" w:cs="Times New Roman"/>
      <w:sz w:val="20"/>
      <w:szCs w:val="20"/>
    </w:rPr>
  </w:style>
  <w:style w:type="character" w:styleId="FootnoteReference">
    <w:name w:val="footnote reference"/>
    <w:uiPriority w:val="99"/>
    <w:rsid w:val="00841975"/>
    <w:rPr>
      <w:rFonts w:cs="Times New Roman"/>
      <w:vertAlign w:val="superscript"/>
    </w:rPr>
  </w:style>
  <w:style w:type="paragraph" w:styleId="BalloonText">
    <w:name w:val="Balloon Text"/>
    <w:basedOn w:val="Normal"/>
    <w:link w:val="BalloonTextChar"/>
    <w:uiPriority w:val="99"/>
    <w:semiHidden/>
    <w:rsid w:val="009A3BFF"/>
    <w:rPr>
      <w:rFonts w:ascii="Tahoma" w:hAnsi="Tahoma" w:cs="Tahoma"/>
      <w:sz w:val="16"/>
      <w:szCs w:val="16"/>
    </w:rPr>
  </w:style>
  <w:style w:type="character" w:customStyle="1" w:styleId="BalloonTextChar">
    <w:name w:val="Balloon Text Char"/>
    <w:link w:val="BalloonText"/>
    <w:uiPriority w:val="99"/>
    <w:semiHidden/>
    <w:locked/>
    <w:rsid w:val="009A3BFF"/>
    <w:rPr>
      <w:rFonts w:ascii="Tahoma" w:hAnsi="Tahoma" w:cs="Tahoma"/>
      <w:sz w:val="16"/>
      <w:szCs w:val="16"/>
      <w:lang w:eastAsia="lv-LV"/>
    </w:rPr>
  </w:style>
  <w:style w:type="paragraph" w:styleId="Subtitle">
    <w:name w:val="Subtitle"/>
    <w:basedOn w:val="Normal"/>
    <w:next w:val="Normal"/>
    <w:link w:val="SubtitleChar"/>
    <w:qFormat/>
    <w:locked/>
    <w:rsid w:val="005B12C6"/>
    <w:pPr>
      <w:spacing w:after="60"/>
      <w:jc w:val="center"/>
      <w:outlineLvl w:val="1"/>
    </w:pPr>
    <w:rPr>
      <w:rFonts w:ascii="Cambria" w:hAnsi="Cambria"/>
    </w:rPr>
  </w:style>
  <w:style w:type="character" w:customStyle="1" w:styleId="SubtitleChar">
    <w:name w:val="Subtitle Char"/>
    <w:link w:val="Subtitle"/>
    <w:rsid w:val="005B12C6"/>
    <w:rPr>
      <w:rFonts w:ascii="Cambria" w:eastAsia="Times New Roman" w:hAnsi="Cambria" w:cs="Times New Roman"/>
      <w:sz w:val="24"/>
      <w:szCs w:val="24"/>
    </w:rPr>
  </w:style>
  <w:style w:type="character" w:styleId="Emphasis">
    <w:name w:val="Emphasis"/>
    <w:qFormat/>
    <w:locked/>
    <w:rsid w:val="005B12C6"/>
    <w:rPr>
      <w:i/>
      <w:iCs/>
    </w:rPr>
  </w:style>
  <w:style w:type="character" w:styleId="Strong">
    <w:name w:val="Strong"/>
    <w:qFormat/>
    <w:locked/>
    <w:rsid w:val="005B12C6"/>
    <w:rPr>
      <w:b/>
      <w:bCs/>
    </w:rPr>
  </w:style>
  <w:style w:type="paragraph" w:styleId="Title">
    <w:name w:val="Title"/>
    <w:basedOn w:val="Normal"/>
    <w:next w:val="Normal"/>
    <w:link w:val="TitleChar"/>
    <w:qFormat/>
    <w:locked/>
    <w:rsid w:val="005B12C6"/>
    <w:pPr>
      <w:spacing w:before="240" w:after="60"/>
      <w:jc w:val="center"/>
      <w:outlineLvl w:val="0"/>
    </w:pPr>
    <w:rPr>
      <w:rFonts w:ascii="Cambria" w:hAnsi="Cambria"/>
      <w:b/>
      <w:bCs/>
      <w:kern w:val="28"/>
      <w:sz w:val="32"/>
      <w:szCs w:val="32"/>
    </w:rPr>
  </w:style>
  <w:style w:type="character" w:customStyle="1" w:styleId="TitleChar">
    <w:name w:val="Title Char"/>
    <w:link w:val="Title"/>
    <w:rsid w:val="005B12C6"/>
    <w:rPr>
      <w:rFonts w:ascii="Cambria" w:eastAsia="Times New Roman" w:hAnsi="Cambria" w:cs="Times New Roman"/>
      <w:b/>
      <w:bCs/>
      <w:kern w:val="28"/>
      <w:sz w:val="32"/>
      <w:szCs w:val="32"/>
    </w:rPr>
  </w:style>
  <w:style w:type="paragraph" w:styleId="NoSpacing">
    <w:name w:val="No Spacing"/>
    <w:basedOn w:val="Normal"/>
    <w:uiPriority w:val="1"/>
    <w:qFormat/>
    <w:rsid w:val="00744DA3"/>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28229">
      <w:bodyDiv w:val="1"/>
      <w:marLeft w:val="0"/>
      <w:marRight w:val="0"/>
      <w:marTop w:val="0"/>
      <w:marBottom w:val="0"/>
      <w:divBdr>
        <w:top w:val="none" w:sz="0" w:space="0" w:color="auto"/>
        <w:left w:val="none" w:sz="0" w:space="0" w:color="auto"/>
        <w:bottom w:val="none" w:sz="0" w:space="0" w:color="auto"/>
        <w:right w:val="none" w:sz="0" w:space="0" w:color="auto"/>
      </w:divBdr>
    </w:div>
    <w:div w:id="613365427">
      <w:bodyDiv w:val="1"/>
      <w:marLeft w:val="0"/>
      <w:marRight w:val="0"/>
      <w:marTop w:val="0"/>
      <w:marBottom w:val="0"/>
      <w:divBdr>
        <w:top w:val="none" w:sz="0" w:space="0" w:color="auto"/>
        <w:left w:val="none" w:sz="0" w:space="0" w:color="auto"/>
        <w:bottom w:val="none" w:sz="0" w:space="0" w:color="auto"/>
        <w:right w:val="none" w:sz="0" w:space="0" w:color="auto"/>
      </w:divBdr>
    </w:div>
    <w:div w:id="636567575">
      <w:bodyDiv w:val="1"/>
      <w:marLeft w:val="0"/>
      <w:marRight w:val="0"/>
      <w:marTop w:val="0"/>
      <w:marBottom w:val="0"/>
      <w:divBdr>
        <w:top w:val="none" w:sz="0" w:space="0" w:color="auto"/>
        <w:left w:val="none" w:sz="0" w:space="0" w:color="auto"/>
        <w:bottom w:val="none" w:sz="0" w:space="0" w:color="auto"/>
        <w:right w:val="none" w:sz="0" w:space="0" w:color="auto"/>
      </w:divBdr>
    </w:div>
    <w:div w:id="1142040191">
      <w:bodyDiv w:val="1"/>
      <w:marLeft w:val="0"/>
      <w:marRight w:val="0"/>
      <w:marTop w:val="0"/>
      <w:marBottom w:val="0"/>
      <w:divBdr>
        <w:top w:val="none" w:sz="0" w:space="0" w:color="auto"/>
        <w:left w:val="none" w:sz="0" w:space="0" w:color="auto"/>
        <w:bottom w:val="none" w:sz="0" w:space="0" w:color="auto"/>
        <w:right w:val="none" w:sz="0" w:space="0" w:color="auto"/>
      </w:divBdr>
    </w:div>
    <w:div w:id="1855805276">
      <w:bodyDiv w:val="1"/>
      <w:marLeft w:val="0"/>
      <w:marRight w:val="0"/>
      <w:marTop w:val="0"/>
      <w:marBottom w:val="0"/>
      <w:divBdr>
        <w:top w:val="none" w:sz="0" w:space="0" w:color="auto"/>
        <w:left w:val="none" w:sz="0" w:space="0" w:color="auto"/>
        <w:bottom w:val="none" w:sz="0" w:space="0" w:color="auto"/>
        <w:right w:val="none" w:sz="0" w:space="0" w:color="auto"/>
      </w:divBdr>
    </w:div>
    <w:div w:id="2025547738">
      <w:bodyDiv w:val="1"/>
      <w:marLeft w:val="0"/>
      <w:marRight w:val="0"/>
      <w:marTop w:val="0"/>
      <w:marBottom w:val="0"/>
      <w:divBdr>
        <w:top w:val="none" w:sz="0" w:space="0" w:color="auto"/>
        <w:left w:val="none" w:sz="0" w:space="0" w:color="auto"/>
        <w:bottom w:val="none" w:sz="0" w:space="0" w:color="auto"/>
        <w:right w:val="none" w:sz="0" w:space="0" w:color="auto"/>
      </w:divBdr>
    </w:div>
    <w:div w:id="202593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8778C-A4ED-4AD8-9E5C-B6025762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1564</Words>
  <Characters>11258</Characters>
  <Application>Microsoft Office Word</Application>
  <DocSecurity>0</DocSecurity>
  <Lines>93</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valstij piederošā nekustamā īpašuma "Brīvības iela", Salas pagastā, Salas novadā, nodošanu Jēkabpils pilsētas pašvaldības īpašumā</vt:lpstr>
      <vt:lpstr>„Par nekustamā īpašuma pirkšanu valsts autoceļa P121 Tukums–Kuldīga rekonstrukcijas projekta īstenošanai”</vt:lpstr>
    </vt:vector>
  </TitlesOfParts>
  <Company>Satiksmes ministrija</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piederošā nekustamā īpašuma “V880” Bērzaunes pagastā, Madonas novadā, nodošanu Madonas novada pašvaldības īpašumā</dc:title>
  <dc:subject>izziņa</dc:subject>
  <dc:creator>VAS "Latvijas Valsts ceļi" juriste Anita Bojāre;67028380;Satiksmes ministrijas Juridiskā departamenta Nekustamo īpašumu nodaļas vecākā referente Sandra Siliņa;Sandra.Silina@sam.gov.lv</dc:creator>
  <cp:keywords>Miistru kabineta rīkojuma projekts</cp:keywords>
  <dc:description>sandra.silina@sam.gov.lv, 67028031, anita.bojare@lvceli.lv, 67028380</dc:description>
  <cp:lastModifiedBy>Baiba Jirgena</cp:lastModifiedBy>
  <cp:revision>7</cp:revision>
  <cp:lastPrinted>2019-11-13T11:11:00Z</cp:lastPrinted>
  <dcterms:created xsi:type="dcterms:W3CDTF">2020-01-08T10:44:00Z</dcterms:created>
  <dcterms:modified xsi:type="dcterms:W3CDTF">2020-01-15T07:42:00Z</dcterms:modified>
</cp:coreProperties>
</file>