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54491" w:rsidR="00D41F3C" w:rsidRDefault="00A94AFD" w14:paraId="106A5688" w14:textId="77777777">
      <w:pPr>
        <w:pBdr>
          <w:top w:val="nil"/>
          <w:left w:val="nil"/>
          <w:bottom w:val="nil"/>
          <w:right w:val="nil"/>
          <w:between w:val="nil"/>
        </w:pBdr>
        <w:ind w:firstLine="720"/>
        <w:jc w:val="center"/>
        <w:rPr>
          <w:b/>
          <w:color w:val="000000"/>
        </w:rPr>
      </w:pPr>
      <w:r w:rsidRPr="00854491">
        <w:rPr>
          <w:b/>
          <w:color w:val="000000"/>
        </w:rPr>
        <w:t>Izziņa par atzinumos sniegtajiem iebildumiem par Ministru kabineta noteikumu projektu</w:t>
      </w:r>
    </w:p>
    <w:p w:rsidRPr="00854491" w:rsidR="00D41F3C" w:rsidRDefault="00A94AFD" w14:paraId="5A865A39" w14:textId="77777777">
      <w:pPr>
        <w:pBdr>
          <w:top w:val="nil"/>
          <w:left w:val="nil"/>
          <w:bottom w:val="nil"/>
          <w:right w:val="nil"/>
          <w:between w:val="nil"/>
        </w:pBdr>
        <w:ind w:firstLine="720"/>
        <w:jc w:val="center"/>
        <w:rPr>
          <w:b/>
          <w:color w:val="000000"/>
        </w:rPr>
      </w:pPr>
      <w:r w:rsidRPr="00854491">
        <w:rPr>
          <w:b/>
          <w:color w:val="000000"/>
        </w:rPr>
        <w:t>"Grozījumi Ministru kabineta 2012. gada 15. maija noteikumos Nr. 339 "Noteikumi par ostu formalitātēm"" (VSS-1035)</w:t>
      </w:r>
    </w:p>
    <w:p w:rsidRPr="0045095C" w:rsidR="00D41F3C" w:rsidRDefault="00D41F3C" w14:paraId="6F402D19" w14:textId="77777777">
      <w:pPr>
        <w:pBdr>
          <w:top w:val="nil"/>
          <w:left w:val="nil"/>
          <w:bottom w:val="nil"/>
          <w:right w:val="nil"/>
          <w:between w:val="nil"/>
        </w:pBdr>
        <w:jc w:val="both"/>
        <w:rPr>
          <w:color w:val="000000"/>
        </w:rPr>
      </w:pPr>
    </w:p>
    <w:p w:rsidRPr="0045095C" w:rsidR="00D41F3C" w:rsidRDefault="00A94AFD" w14:paraId="0C0F039C" w14:textId="77777777">
      <w:pPr>
        <w:numPr>
          <w:ilvl w:val="0"/>
          <w:numId w:val="1"/>
        </w:numPr>
        <w:pBdr>
          <w:top w:val="nil"/>
          <w:left w:val="nil"/>
          <w:bottom w:val="nil"/>
          <w:right w:val="nil"/>
          <w:between w:val="nil"/>
        </w:pBdr>
        <w:jc w:val="center"/>
        <w:rPr>
          <w:b/>
          <w:color w:val="000000"/>
        </w:rPr>
      </w:pPr>
      <w:r w:rsidRPr="0045095C">
        <w:rPr>
          <w:b/>
          <w:color w:val="000000"/>
        </w:rPr>
        <w:t>Jautājumi, par kuriem saskaņošanā vienošanās nav panākta</w:t>
      </w:r>
    </w:p>
    <w:p w:rsidRPr="0045095C" w:rsidR="00D41F3C" w:rsidRDefault="00D41F3C" w14:paraId="370A1DF6" w14:textId="77777777">
      <w:pPr>
        <w:pBdr>
          <w:top w:val="nil"/>
          <w:left w:val="nil"/>
          <w:bottom w:val="nil"/>
          <w:right w:val="nil"/>
          <w:between w:val="nil"/>
        </w:pBdr>
        <w:jc w:val="both"/>
        <w:rPr>
          <w:b/>
          <w:color w:val="000000"/>
        </w:rPr>
      </w:pPr>
    </w:p>
    <w:tbl>
      <w:tblPr>
        <w:tblStyle w:val="a"/>
        <w:tblW w:w="14167"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576"/>
        <w:gridCol w:w="2626"/>
        <w:gridCol w:w="2596"/>
        <w:gridCol w:w="2643"/>
        <w:gridCol w:w="2234"/>
        <w:gridCol w:w="3492"/>
      </w:tblGrid>
      <w:tr w:rsidRPr="0045095C" w:rsidR="00D41F3C" w14:paraId="7D95F918" w14:textId="77777777">
        <w:tc>
          <w:tcPr>
            <w:tcW w:w="57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1A2C393E" w14:textId="77777777">
            <w:pPr>
              <w:pBdr>
                <w:top w:val="nil"/>
                <w:left w:val="nil"/>
                <w:bottom w:val="nil"/>
                <w:right w:val="nil"/>
                <w:between w:val="nil"/>
              </w:pBdr>
              <w:jc w:val="both"/>
              <w:rPr>
                <w:color w:val="000000"/>
              </w:rPr>
            </w:pPr>
            <w:r w:rsidRPr="0045095C">
              <w:rPr>
                <w:color w:val="000000"/>
              </w:rPr>
              <w:t>Nr. p.k.</w:t>
            </w:r>
          </w:p>
        </w:tc>
        <w:tc>
          <w:tcPr>
            <w:tcW w:w="262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2D9CAEF4" w14:textId="77777777">
            <w:pPr>
              <w:pBdr>
                <w:top w:val="nil"/>
                <w:left w:val="nil"/>
                <w:bottom w:val="nil"/>
                <w:right w:val="nil"/>
                <w:between w:val="nil"/>
              </w:pBdr>
              <w:jc w:val="both"/>
              <w:rPr>
                <w:color w:val="000000"/>
              </w:rPr>
            </w:pPr>
            <w:r w:rsidRPr="0045095C">
              <w:rPr>
                <w:color w:val="000000"/>
              </w:rPr>
              <w:t>Saskaņošanai nosūtītā projekta redakcija (konkrēta punkta (panta) redakcija)</w:t>
            </w:r>
          </w:p>
        </w:tc>
        <w:tc>
          <w:tcPr>
            <w:tcW w:w="259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6EF09FA7" w14:textId="77777777">
            <w:pPr>
              <w:pBdr>
                <w:top w:val="nil"/>
                <w:left w:val="nil"/>
                <w:bottom w:val="nil"/>
                <w:right w:val="nil"/>
                <w:between w:val="nil"/>
              </w:pBdr>
              <w:jc w:val="both"/>
              <w:rPr>
                <w:color w:val="000000"/>
              </w:rPr>
            </w:pPr>
            <w:r w:rsidRPr="0045095C">
              <w:rPr>
                <w:color w:val="000000"/>
              </w:rPr>
              <w:t>Atzinumā norādītais ministrijas (citas institūcijas) iebildums, kā arī saskaņošanā papildus izteiktais iebildums par projekta konkrēto punktu (pantu)</w:t>
            </w:r>
          </w:p>
        </w:tc>
        <w:tc>
          <w:tcPr>
            <w:tcW w:w="2643"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2029C1C8" w14:textId="77777777">
            <w:pPr>
              <w:pBdr>
                <w:top w:val="nil"/>
                <w:left w:val="nil"/>
                <w:bottom w:val="nil"/>
                <w:right w:val="nil"/>
                <w:between w:val="nil"/>
              </w:pBdr>
              <w:jc w:val="both"/>
              <w:rPr>
                <w:color w:val="000000"/>
              </w:rPr>
            </w:pPr>
            <w:r w:rsidRPr="0045095C">
              <w:rPr>
                <w:color w:val="000000"/>
              </w:rPr>
              <w:t>Atbildīgās ministrijas pamatojums iebilduma noraidījumam</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RDefault="00A94AFD" w14:paraId="7CFBCFB9" w14:textId="77777777">
            <w:pPr>
              <w:pBdr>
                <w:top w:val="nil"/>
                <w:left w:val="nil"/>
                <w:bottom w:val="nil"/>
                <w:right w:val="nil"/>
                <w:between w:val="nil"/>
              </w:pBdr>
              <w:jc w:val="both"/>
              <w:rPr>
                <w:color w:val="000000"/>
              </w:rPr>
            </w:pPr>
            <w:r w:rsidRPr="0045095C">
              <w:rPr>
                <w:color w:val="000000"/>
              </w:rPr>
              <w:t>Atzinuma sniedzēja uzturētais iebildums, ja tas atšķiras no atzinumā norādītā iebilduma pamatojuma</w:t>
            </w:r>
          </w:p>
        </w:tc>
        <w:tc>
          <w:tcPr>
            <w:tcW w:w="3492" w:type="dxa"/>
            <w:tcBorders>
              <w:top w:val="single" w:color="000000" w:sz="4" w:space="0"/>
              <w:left w:val="single" w:color="000000" w:sz="4" w:space="0"/>
              <w:bottom w:val="single" w:color="000000" w:sz="4" w:space="0"/>
              <w:right w:val="single" w:color="000000" w:sz="4" w:space="0"/>
            </w:tcBorders>
            <w:vAlign w:val="center"/>
          </w:tcPr>
          <w:p w:rsidRPr="0045095C" w:rsidR="00D41F3C" w:rsidRDefault="00A94AFD" w14:paraId="635CE3A4" w14:textId="77777777">
            <w:pPr>
              <w:pBdr>
                <w:top w:val="nil"/>
                <w:left w:val="nil"/>
                <w:bottom w:val="nil"/>
                <w:right w:val="nil"/>
                <w:between w:val="nil"/>
              </w:pBdr>
              <w:jc w:val="both"/>
              <w:rPr>
                <w:color w:val="000000"/>
              </w:rPr>
            </w:pPr>
            <w:r w:rsidRPr="0045095C">
              <w:rPr>
                <w:color w:val="000000"/>
              </w:rPr>
              <w:t>Projekta attiecīgā punkta (panta) galīgā redakcija</w:t>
            </w:r>
          </w:p>
        </w:tc>
      </w:tr>
      <w:tr w:rsidRPr="0045095C" w:rsidR="00D41F3C" w14:paraId="2DA2046A" w14:textId="77777777">
        <w:tc>
          <w:tcPr>
            <w:tcW w:w="576" w:type="dxa"/>
            <w:tcBorders>
              <w:top w:val="single" w:color="000000" w:sz="6" w:space="0"/>
              <w:left w:val="single" w:color="000000" w:sz="6" w:space="0"/>
              <w:bottom w:val="single" w:color="000000" w:sz="6" w:space="0"/>
              <w:right w:val="single" w:color="000000" w:sz="6" w:space="0"/>
            </w:tcBorders>
          </w:tcPr>
          <w:p w:rsidRPr="0045095C" w:rsidR="00D41F3C" w:rsidRDefault="00A94AFD" w14:paraId="7D820AD8" w14:textId="77777777">
            <w:pPr>
              <w:pBdr>
                <w:top w:val="nil"/>
                <w:left w:val="nil"/>
                <w:bottom w:val="nil"/>
                <w:right w:val="nil"/>
                <w:between w:val="nil"/>
              </w:pBdr>
              <w:jc w:val="both"/>
              <w:rPr>
                <w:color w:val="000000"/>
              </w:rPr>
            </w:pPr>
            <w:r w:rsidRPr="0045095C">
              <w:rPr>
                <w:color w:val="000000"/>
              </w:rPr>
              <w:t>1</w:t>
            </w:r>
          </w:p>
        </w:tc>
        <w:tc>
          <w:tcPr>
            <w:tcW w:w="2626" w:type="dxa"/>
            <w:tcBorders>
              <w:top w:val="single" w:color="000000" w:sz="6" w:space="0"/>
              <w:left w:val="single" w:color="000000" w:sz="6" w:space="0"/>
              <w:bottom w:val="single" w:color="000000" w:sz="6" w:space="0"/>
              <w:right w:val="single" w:color="000000" w:sz="6" w:space="0"/>
            </w:tcBorders>
          </w:tcPr>
          <w:p w:rsidRPr="0045095C" w:rsidR="00D41F3C" w:rsidRDefault="00A94AFD" w14:paraId="00E70DDD" w14:textId="77777777">
            <w:pPr>
              <w:pBdr>
                <w:top w:val="nil"/>
                <w:left w:val="nil"/>
                <w:bottom w:val="nil"/>
                <w:right w:val="nil"/>
                <w:between w:val="nil"/>
              </w:pBdr>
              <w:jc w:val="both"/>
              <w:rPr>
                <w:color w:val="000000"/>
              </w:rPr>
            </w:pPr>
            <w:r w:rsidRPr="0045095C">
              <w:rPr>
                <w:color w:val="000000"/>
              </w:rPr>
              <w:t>2</w:t>
            </w:r>
          </w:p>
        </w:tc>
        <w:tc>
          <w:tcPr>
            <w:tcW w:w="2596" w:type="dxa"/>
            <w:tcBorders>
              <w:top w:val="single" w:color="000000" w:sz="6" w:space="0"/>
              <w:left w:val="single" w:color="000000" w:sz="6" w:space="0"/>
              <w:bottom w:val="single" w:color="000000" w:sz="6" w:space="0"/>
              <w:right w:val="single" w:color="000000" w:sz="6" w:space="0"/>
            </w:tcBorders>
          </w:tcPr>
          <w:p w:rsidRPr="0045095C" w:rsidR="00D41F3C" w:rsidRDefault="00A94AFD" w14:paraId="3B0B8178" w14:textId="77777777">
            <w:pPr>
              <w:pBdr>
                <w:top w:val="nil"/>
                <w:left w:val="nil"/>
                <w:bottom w:val="nil"/>
                <w:right w:val="nil"/>
                <w:between w:val="nil"/>
              </w:pBdr>
              <w:jc w:val="both"/>
              <w:rPr>
                <w:color w:val="000000"/>
              </w:rPr>
            </w:pPr>
            <w:r w:rsidRPr="0045095C">
              <w:rPr>
                <w:color w:val="000000"/>
              </w:rPr>
              <w:t>3</w:t>
            </w:r>
          </w:p>
        </w:tc>
        <w:tc>
          <w:tcPr>
            <w:tcW w:w="2643" w:type="dxa"/>
            <w:tcBorders>
              <w:top w:val="single" w:color="000000" w:sz="6" w:space="0"/>
              <w:left w:val="single" w:color="000000" w:sz="6" w:space="0"/>
              <w:bottom w:val="single" w:color="000000" w:sz="6" w:space="0"/>
              <w:right w:val="single" w:color="000000" w:sz="6" w:space="0"/>
            </w:tcBorders>
          </w:tcPr>
          <w:p w:rsidRPr="0045095C" w:rsidR="00D41F3C" w:rsidRDefault="00A94AFD" w14:paraId="4372BC8D" w14:textId="77777777">
            <w:pPr>
              <w:pBdr>
                <w:top w:val="nil"/>
                <w:left w:val="nil"/>
                <w:bottom w:val="nil"/>
                <w:right w:val="nil"/>
                <w:between w:val="nil"/>
              </w:pBdr>
              <w:jc w:val="both"/>
              <w:rPr>
                <w:color w:val="000000"/>
              </w:rPr>
            </w:pPr>
            <w:r w:rsidRPr="0045095C">
              <w:rPr>
                <w:color w:val="000000"/>
              </w:rPr>
              <w:t>4</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RDefault="00A94AFD" w14:paraId="23B83801" w14:textId="77777777">
            <w:pPr>
              <w:pBdr>
                <w:top w:val="nil"/>
                <w:left w:val="nil"/>
                <w:bottom w:val="nil"/>
                <w:right w:val="nil"/>
                <w:between w:val="nil"/>
              </w:pBdr>
              <w:jc w:val="both"/>
              <w:rPr>
                <w:color w:val="000000"/>
              </w:rPr>
            </w:pPr>
            <w:r w:rsidRPr="0045095C">
              <w:rPr>
                <w:color w:val="000000"/>
              </w:rPr>
              <w:t>5</w:t>
            </w:r>
          </w:p>
        </w:tc>
        <w:tc>
          <w:tcPr>
            <w:tcW w:w="3492" w:type="dxa"/>
            <w:tcBorders>
              <w:top w:val="single" w:color="000000" w:sz="4" w:space="0"/>
              <w:left w:val="single" w:color="000000" w:sz="4" w:space="0"/>
              <w:bottom w:val="single" w:color="000000" w:sz="4" w:space="0"/>
              <w:right w:val="single" w:color="000000" w:sz="4" w:space="0"/>
            </w:tcBorders>
          </w:tcPr>
          <w:p w:rsidRPr="0045095C" w:rsidR="00D41F3C" w:rsidRDefault="00A94AFD" w14:paraId="6D493C7A" w14:textId="77777777">
            <w:pPr>
              <w:pBdr>
                <w:top w:val="nil"/>
                <w:left w:val="nil"/>
                <w:bottom w:val="nil"/>
                <w:right w:val="nil"/>
                <w:between w:val="nil"/>
              </w:pBdr>
              <w:jc w:val="both"/>
              <w:rPr>
                <w:color w:val="000000"/>
              </w:rPr>
            </w:pPr>
            <w:r w:rsidRPr="0045095C">
              <w:rPr>
                <w:color w:val="000000"/>
              </w:rPr>
              <w:t>6</w:t>
            </w:r>
          </w:p>
        </w:tc>
      </w:tr>
    </w:tbl>
    <w:p w:rsidRPr="0045095C" w:rsidR="00D41F3C" w:rsidRDefault="00D41F3C" w14:paraId="3B902628" w14:textId="77777777">
      <w:pPr>
        <w:pBdr>
          <w:top w:val="nil"/>
          <w:left w:val="nil"/>
          <w:bottom w:val="nil"/>
          <w:right w:val="nil"/>
          <w:between w:val="nil"/>
        </w:pBdr>
        <w:jc w:val="both"/>
        <w:rPr>
          <w:b/>
          <w:color w:val="000000"/>
        </w:rPr>
      </w:pPr>
    </w:p>
    <w:p w:rsidRPr="0045095C" w:rsidR="00D41F3C" w:rsidRDefault="00A94AFD" w14:paraId="2414A998" w14:textId="77777777">
      <w:pPr>
        <w:pBdr>
          <w:top w:val="nil"/>
          <w:left w:val="nil"/>
          <w:bottom w:val="nil"/>
          <w:right w:val="nil"/>
          <w:between w:val="nil"/>
        </w:pBdr>
        <w:jc w:val="both"/>
        <w:rPr>
          <w:b/>
          <w:color w:val="000000"/>
        </w:rPr>
      </w:pPr>
      <w:r w:rsidRPr="0045095C">
        <w:rPr>
          <w:b/>
          <w:color w:val="000000"/>
        </w:rPr>
        <w:t xml:space="preserve">Informācija par </w:t>
      </w:r>
      <w:proofErr w:type="spellStart"/>
      <w:r w:rsidRPr="0045095C">
        <w:rPr>
          <w:b/>
          <w:color w:val="000000"/>
        </w:rPr>
        <w:t>starpministriju</w:t>
      </w:r>
      <w:proofErr w:type="spellEnd"/>
      <w:r w:rsidRPr="0045095C">
        <w:rPr>
          <w:b/>
          <w:color w:val="000000"/>
        </w:rPr>
        <w:t xml:space="preserve"> (starpinstitūciju) sanāksmi vai elektronisko saskaņošanu</w:t>
      </w:r>
    </w:p>
    <w:p w:rsidRPr="005F4ED3" w:rsidR="005F4ED3" w:rsidP="005F4ED3" w:rsidRDefault="00A94AFD" w14:paraId="6EE41FD0" w14:textId="77777777">
      <w:pPr>
        <w:jc w:val="both"/>
      </w:pPr>
      <w:r w:rsidRPr="0045095C">
        <w:t>Datums:</w:t>
      </w:r>
      <w:r w:rsidRPr="0045095C">
        <w:tab/>
      </w:r>
      <w:r w:rsidRPr="0045095C">
        <w:tab/>
      </w:r>
      <w:r w:rsidRPr="0045095C">
        <w:tab/>
      </w:r>
      <w:r w:rsidRPr="0045095C">
        <w:tab/>
      </w:r>
      <w:r w:rsidRPr="0045095C">
        <w:tab/>
      </w:r>
      <w:r w:rsidRPr="0045095C">
        <w:tab/>
      </w:r>
      <w:r w:rsidRPr="0045095C">
        <w:tab/>
      </w:r>
      <w:r w:rsidRPr="005F4ED3" w:rsidR="005F4ED3">
        <w:t>2019. gada 20. līdz 26. novembris (elektroniskā saskaņošana)</w:t>
      </w:r>
    </w:p>
    <w:p w:rsidRPr="005F4ED3" w:rsidR="005F4ED3" w:rsidP="005F4ED3" w:rsidRDefault="005F4ED3" w14:paraId="40A55B6F" w14:textId="77777777">
      <w:pPr>
        <w:ind w:left="5040" w:firstLine="720"/>
        <w:jc w:val="both"/>
      </w:pPr>
      <w:r w:rsidRPr="005F4ED3">
        <w:t>2019. gada 6. decembris (</w:t>
      </w:r>
      <w:proofErr w:type="spellStart"/>
      <w:r w:rsidRPr="005F4ED3">
        <w:t>starpministriju</w:t>
      </w:r>
      <w:proofErr w:type="spellEnd"/>
      <w:r w:rsidRPr="005F4ED3">
        <w:t xml:space="preserve"> (starpinstitūciju) sanāksme)</w:t>
      </w:r>
    </w:p>
    <w:p w:rsidRPr="005F4ED3" w:rsidR="005F4ED3" w:rsidP="005F4ED3" w:rsidRDefault="005F4ED3" w14:paraId="22B18851" w14:textId="74304C42">
      <w:pPr>
        <w:jc w:val="both"/>
      </w:pPr>
      <w:r w:rsidRPr="005F4ED3">
        <w:tab/>
      </w:r>
      <w:r w:rsidRPr="005F4ED3">
        <w:tab/>
      </w:r>
      <w:r w:rsidRPr="005F4ED3">
        <w:tab/>
      </w:r>
      <w:r>
        <w:tab/>
      </w:r>
      <w:r>
        <w:tab/>
      </w:r>
      <w:r>
        <w:tab/>
      </w:r>
      <w:r>
        <w:tab/>
      </w:r>
      <w:r>
        <w:tab/>
      </w:r>
      <w:r w:rsidRPr="005F4ED3">
        <w:t>2019. gada 12. līdz 18. decembris (elektroniskā saskaņošana)</w:t>
      </w:r>
    </w:p>
    <w:p w:rsidRPr="0045095C" w:rsidR="00D41F3C" w:rsidP="005F4ED3" w:rsidRDefault="00D41F3C" w14:paraId="4EAD2C2D" w14:textId="2BBF8F2B">
      <w:pPr>
        <w:jc w:val="both"/>
      </w:pPr>
    </w:p>
    <w:p w:rsidRPr="0045095C" w:rsidR="00D41F3C" w:rsidRDefault="00A94AFD" w14:paraId="6484881F" w14:textId="77777777">
      <w:pPr>
        <w:tabs>
          <w:tab w:val="left" w:pos="5760"/>
        </w:tabs>
        <w:ind w:left="5760" w:hanging="5760"/>
        <w:jc w:val="both"/>
      </w:pPr>
      <w:r w:rsidRPr="0045095C">
        <w:t>Saskaņošanas dalībnieki:</w:t>
      </w:r>
      <w:r w:rsidRPr="0045095C">
        <w:tab/>
        <w:t xml:space="preserve">Tieslietu ministrija, Finanšu ministrija, Aizsardzības ministrija, </w:t>
      </w:r>
      <w:proofErr w:type="spellStart"/>
      <w:r w:rsidRPr="0045095C">
        <w:t>Iekšlietu</w:t>
      </w:r>
      <w:proofErr w:type="spellEnd"/>
      <w:r w:rsidRPr="0045095C">
        <w:t xml:space="preserve"> ministrija, Veselības ministrija un Latvijas Pašvaldību savienība</w:t>
      </w:r>
    </w:p>
    <w:p w:rsidRPr="0045095C" w:rsidR="00D41F3C" w:rsidRDefault="00D41F3C" w14:paraId="4B66FBEE" w14:textId="77777777">
      <w:pPr>
        <w:tabs>
          <w:tab w:val="left" w:pos="3600"/>
        </w:tabs>
        <w:jc w:val="both"/>
      </w:pPr>
    </w:p>
    <w:p w:rsidRPr="0045095C" w:rsidR="00D41F3C" w:rsidRDefault="00A94AFD" w14:paraId="48DBBE2A" w14:textId="77777777">
      <w:pPr>
        <w:tabs>
          <w:tab w:val="left" w:pos="3600"/>
        </w:tabs>
        <w:jc w:val="both"/>
      </w:pPr>
      <w:r w:rsidRPr="0045095C">
        <w:t>Saskaņošanas dalībnieki izskatīja šādu ministriju</w:t>
      </w:r>
    </w:p>
    <w:p w:rsidRPr="0045095C" w:rsidR="00D41F3C" w:rsidRDefault="00A94AFD" w14:paraId="311B2FE5" w14:textId="77777777">
      <w:pPr>
        <w:ind w:left="5760" w:hanging="5760"/>
        <w:jc w:val="both"/>
      </w:pPr>
      <w:r w:rsidRPr="0045095C">
        <w:t>(citu institūciju) iebildumus:</w:t>
      </w:r>
      <w:r w:rsidRPr="0045095C">
        <w:tab/>
        <w:t>Tieslietu ministrija</w:t>
      </w:r>
      <w:r w:rsidRPr="0045095C" w:rsidR="00935297">
        <w:t>, Veselības ministrija</w:t>
      </w:r>
    </w:p>
    <w:p w:rsidRPr="0045095C" w:rsidR="00D41F3C" w:rsidRDefault="00D41F3C" w14:paraId="7B092779" w14:textId="77777777">
      <w:pPr>
        <w:tabs>
          <w:tab w:val="left" w:pos="3600"/>
        </w:tabs>
        <w:jc w:val="both"/>
      </w:pPr>
    </w:p>
    <w:p w:rsidRPr="0045095C" w:rsidR="00D41F3C" w:rsidRDefault="00A94AFD" w14:paraId="293C5182" w14:textId="77777777">
      <w:pPr>
        <w:tabs>
          <w:tab w:val="left" w:pos="3600"/>
        </w:tabs>
        <w:jc w:val="both"/>
      </w:pPr>
      <w:r w:rsidRPr="0045095C">
        <w:t>Ministrijas (citas institūcijas), kuras nav ieradušās uz</w:t>
      </w:r>
    </w:p>
    <w:p w:rsidRPr="0045095C" w:rsidR="00D41F3C" w:rsidRDefault="00A94AFD" w14:paraId="0A0FA825" w14:textId="77777777">
      <w:pPr>
        <w:tabs>
          <w:tab w:val="left" w:pos="3600"/>
        </w:tabs>
        <w:jc w:val="both"/>
      </w:pPr>
      <w:r w:rsidRPr="0045095C">
        <w:t>sanāksmi vai kuras nav atbildējušas uz uzaicinājumu</w:t>
      </w:r>
    </w:p>
    <w:p w:rsidRPr="005F4ED3" w:rsidR="005F4ED3" w:rsidP="005F4ED3" w:rsidRDefault="00A94AFD" w14:paraId="7B4D946C" w14:textId="3A128AFE">
      <w:pPr>
        <w:ind w:left="5760" w:hanging="5760"/>
        <w:jc w:val="both"/>
      </w:pPr>
      <w:r w:rsidRPr="0045095C">
        <w:t>piedalīties elektroniskajā saskaņošanā:</w:t>
      </w:r>
      <w:r w:rsidRPr="0045095C">
        <w:tab/>
      </w:r>
      <w:r w:rsidRPr="005F4ED3" w:rsidR="005F4ED3">
        <w:t xml:space="preserve">Aizsardzības ministrija un </w:t>
      </w:r>
      <w:proofErr w:type="spellStart"/>
      <w:r w:rsidRPr="005F4ED3" w:rsidR="005F4ED3">
        <w:t>Iekšlietu</w:t>
      </w:r>
      <w:proofErr w:type="spellEnd"/>
      <w:r w:rsidRPr="005F4ED3" w:rsidR="005F4ED3">
        <w:t xml:space="preserve"> ministrija </w:t>
      </w:r>
      <w:r w:rsidR="005F4ED3">
        <w:t>–</w:t>
      </w:r>
      <w:r w:rsidRPr="005F4ED3" w:rsidR="005F4ED3">
        <w:t xml:space="preserve"> 2019. gada 20. līdz 26. no</w:t>
      </w:r>
      <w:r w:rsidR="00854491">
        <w:t>vembra elektroniskā saskaņošana</w:t>
      </w:r>
    </w:p>
    <w:p w:rsidRPr="005F4ED3" w:rsidR="005F4ED3" w:rsidP="005F4ED3" w:rsidRDefault="005F4ED3" w14:paraId="6A43F322" w14:textId="02D6D8D3">
      <w:pPr>
        <w:ind w:left="5760"/>
        <w:jc w:val="both"/>
      </w:pPr>
      <w:r w:rsidRPr="005F4ED3">
        <w:t xml:space="preserve">Aizsardzības ministrija, </w:t>
      </w:r>
      <w:proofErr w:type="spellStart"/>
      <w:r w:rsidRPr="005F4ED3">
        <w:t>Iekšlietu</w:t>
      </w:r>
      <w:proofErr w:type="spellEnd"/>
      <w:r w:rsidRPr="005F4ED3">
        <w:t xml:space="preserve"> ministrija un Latvijas Pašvaldību savienība </w:t>
      </w:r>
      <w:r>
        <w:t>–</w:t>
      </w:r>
      <w:r w:rsidRPr="005F4ED3">
        <w:t xml:space="preserve"> </w:t>
      </w:r>
      <w:r>
        <w:t>2019. </w:t>
      </w:r>
      <w:r w:rsidRPr="005F4ED3">
        <w:t xml:space="preserve">gada 6. decembra </w:t>
      </w:r>
      <w:proofErr w:type="spellStart"/>
      <w:r w:rsidRPr="005F4ED3">
        <w:t>starpministriju</w:t>
      </w:r>
      <w:proofErr w:type="spellEnd"/>
      <w:r w:rsidRPr="005F4ED3">
        <w:t xml:space="preserve"> (starpinstitūciju) sanāksme</w:t>
      </w:r>
    </w:p>
    <w:p w:rsidRPr="00854491" w:rsidR="00854491" w:rsidP="00854491" w:rsidRDefault="00F934F9" w14:paraId="2A549706" w14:textId="1F336B1E">
      <w:pPr>
        <w:ind w:left="5760"/>
        <w:jc w:val="both"/>
      </w:pPr>
      <w:r w:rsidRPr="007F4497">
        <w:t>Aizsardzības ministrija un</w:t>
      </w:r>
      <w:r w:rsidRPr="007F4497" w:rsidR="00854491">
        <w:t xml:space="preserve"> </w:t>
      </w:r>
      <w:proofErr w:type="spellStart"/>
      <w:r w:rsidRPr="007F4497" w:rsidR="00854491">
        <w:t>Iekšlietu</w:t>
      </w:r>
      <w:proofErr w:type="spellEnd"/>
      <w:r w:rsidRPr="007F4497" w:rsidR="00854491">
        <w:t xml:space="preserve"> ministrija</w:t>
      </w:r>
      <w:r w:rsidRPr="007F4497">
        <w:t xml:space="preserve"> </w:t>
      </w:r>
      <w:r w:rsidRPr="007F4497" w:rsidR="00854491">
        <w:t>– 2019. gada 12. līdz 18. decembra elektroniskā saskaņošana</w:t>
      </w:r>
    </w:p>
    <w:p w:rsidRPr="0045095C" w:rsidR="00D41F3C" w:rsidRDefault="00A94AFD" w14:paraId="5F0740D0" w14:textId="77777777">
      <w:pPr>
        <w:pBdr>
          <w:top w:val="nil"/>
          <w:left w:val="nil"/>
          <w:bottom w:val="nil"/>
          <w:right w:val="nil"/>
          <w:between w:val="nil"/>
        </w:pBdr>
        <w:jc w:val="center"/>
        <w:rPr>
          <w:color w:val="000000"/>
        </w:rPr>
      </w:pPr>
      <w:r w:rsidRPr="0045095C">
        <w:rPr>
          <w:b/>
          <w:color w:val="000000"/>
        </w:rPr>
        <w:lastRenderedPageBreak/>
        <w:t>II. Jautājumi, par kuriem saskaņošanā vienošanās ir panākta</w:t>
      </w:r>
    </w:p>
    <w:p w:rsidRPr="0045095C" w:rsidR="00D41F3C" w:rsidRDefault="00D41F3C" w14:paraId="344E41CE" w14:textId="77777777">
      <w:pPr>
        <w:pBdr>
          <w:top w:val="nil"/>
          <w:left w:val="nil"/>
          <w:bottom w:val="nil"/>
          <w:right w:val="nil"/>
          <w:between w:val="nil"/>
        </w:pBdr>
        <w:ind w:firstLine="720"/>
        <w:jc w:val="both"/>
        <w:rPr>
          <w:color w:val="000000"/>
        </w:rPr>
      </w:pPr>
    </w:p>
    <w:tbl>
      <w:tblPr>
        <w:tblStyle w:val="a0"/>
        <w:tblW w:w="14148"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708"/>
        <w:gridCol w:w="3090"/>
        <w:gridCol w:w="3849"/>
        <w:gridCol w:w="3260"/>
        <w:gridCol w:w="3241"/>
      </w:tblGrid>
      <w:tr w:rsidRPr="0045095C" w:rsidR="00D41F3C" w:rsidTr="00335A95" w14:paraId="6E7D57C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393F584C" w14:textId="77777777">
            <w:pPr>
              <w:pBdr>
                <w:top w:val="nil"/>
                <w:left w:val="nil"/>
                <w:bottom w:val="nil"/>
                <w:right w:val="nil"/>
                <w:between w:val="nil"/>
              </w:pBdr>
              <w:jc w:val="center"/>
              <w:rPr>
                <w:color w:val="000000"/>
              </w:rPr>
            </w:pPr>
            <w:r w:rsidRPr="0045095C">
              <w:rPr>
                <w:color w:val="000000"/>
              </w:rPr>
              <w:t>Nr. p.k.</w:t>
            </w:r>
          </w:p>
        </w:tc>
        <w:tc>
          <w:tcPr>
            <w:tcW w:w="3090"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4E2B3AFE" w14:textId="77777777">
            <w:pPr>
              <w:pBdr>
                <w:top w:val="nil"/>
                <w:left w:val="nil"/>
                <w:bottom w:val="nil"/>
                <w:right w:val="nil"/>
                <w:between w:val="nil"/>
              </w:pBdr>
              <w:ind w:firstLine="12"/>
              <w:jc w:val="center"/>
              <w:rPr>
                <w:color w:val="000000"/>
              </w:rPr>
            </w:pPr>
            <w:r w:rsidRPr="0045095C">
              <w:rPr>
                <w:color w:val="000000"/>
              </w:rPr>
              <w:t>Saskaņošanai nosūtītā projekta redakcija (konkrēta punkta (panta) redakcija)</w:t>
            </w:r>
          </w:p>
        </w:tc>
        <w:tc>
          <w:tcPr>
            <w:tcW w:w="3849"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6B8304E0" w14:textId="77777777">
            <w:pPr>
              <w:pBdr>
                <w:top w:val="nil"/>
                <w:left w:val="nil"/>
                <w:bottom w:val="nil"/>
                <w:right w:val="nil"/>
                <w:between w:val="nil"/>
              </w:pBdr>
              <w:ind w:right="3"/>
              <w:jc w:val="center"/>
              <w:rPr>
                <w:color w:val="000000"/>
              </w:rPr>
            </w:pPr>
            <w:r w:rsidRPr="0045095C">
              <w:rPr>
                <w:color w:val="000000"/>
              </w:rPr>
              <w:t>Atzinumā norādītais ministrijas (citas institūcijas) iebildums, kā arī saskaņošanā papildus izteiktais iebildums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1C5F0714" w14:textId="77777777">
            <w:pPr>
              <w:pBdr>
                <w:top w:val="nil"/>
                <w:left w:val="nil"/>
                <w:bottom w:val="nil"/>
                <w:right w:val="nil"/>
                <w:between w:val="nil"/>
              </w:pBdr>
              <w:ind w:firstLine="21"/>
              <w:jc w:val="center"/>
              <w:rPr>
                <w:color w:val="000000"/>
              </w:rPr>
            </w:pPr>
            <w:r w:rsidRPr="0045095C">
              <w:rPr>
                <w:color w:val="000000"/>
              </w:rPr>
              <w:t>Atbildīgās ministrijas norāde par to, ka iebildums ir ņemts vērā, vai informācija par saskaņošanā panākto alternatīvo risinājumu</w:t>
            </w:r>
          </w:p>
        </w:tc>
        <w:tc>
          <w:tcPr>
            <w:tcW w:w="3241" w:type="dxa"/>
            <w:tcBorders>
              <w:top w:val="single" w:color="000000" w:sz="4" w:space="0"/>
              <w:left w:val="single" w:color="000000" w:sz="4" w:space="0"/>
              <w:bottom w:val="single" w:color="000000" w:sz="4" w:space="0"/>
            </w:tcBorders>
            <w:vAlign w:val="center"/>
          </w:tcPr>
          <w:p w:rsidRPr="0045095C" w:rsidR="00D41F3C" w:rsidRDefault="00A94AFD" w14:paraId="049F4DEE" w14:textId="77777777">
            <w:pPr>
              <w:jc w:val="center"/>
            </w:pPr>
            <w:r w:rsidRPr="0045095C">
              <w:t>Projekta attiecīgā punkta (panta) galīgā redakcija</w:t>
            </w:r>
          </w:p>
        </w:tc>
      </w:tr>
      <w:tr w:rsidRPr="0045095C" w:rsidR="00D41F3C" w:rsidTr="00335A95" w14:paraId="07EB7EA0" w14:textId="77777777">
        <w:tc>
          <w:tcPr>
            <w:tcW w:w="708" w:type="dxa"/>
            <w:tcBorders>
              <w:top w:val="single" w:color="000000" w:sz="6" w:space="0"/>
              <w:left w:val="single" w:color="000000" w:sz="6" w:space="0"/>
              <w:bottom w:val="single" w:color="000000" w:sz="6" w:space="0"/>
              <w:right w:val="single" w:color="000000" w:sz="6" w:space="0"/>
            </w:tcBorders>
          </w:tcPr>
          <w:p w:rsidRPr="0045095C" w:rsidR="00D41F3C" w:rsidRDefault="00A94AFD" w14:paraId="599CA56F" w14:textId="77777777">
            <w:pPr>
              <w:pBdr>
                <w:top w:val="nil"/>
                <w:left w:val="nil"/>
                <w:bottom w:val="nil"/>
                <w:right w:val="nil"/>
                <w:between w:val="nil"/>
              </w:pBdr>
              <w:jc w:val="center"/>
              <w:rPr>
                <w:color w:val="000000"/>
                <w:sz w:val="20"/>
                <w:szCs w:val="20"/>
              </w:rPr>
            </w:pPr>
            <w:r w:rsidRPr="0045095C">
              <w:rPr>
                <w:color w:val="000000"/>
                <w:sz w:val="20"/>
                <w:szCs w:val="20"/>
              </w:rPr>
              <w:t>1</w:t>
            </w:r>
          </w:p>
        </w:tc>
        <w:tc>
          <w:tcPr>
            <w:tcW w:w="3090" w:type="dxa"/>
            <w:tcBorders>
              <w:top w:val="single" w:color="000000" w:sz="6" w:space="0"/>
              <w:left w:val="single" w:color="000000" w:sz="6" w:space="0"/>
              <w:bottom w:val="single" w:color="000000" w:sz="6" w:space="0"/>
              <w:right w:val="single" w:color="000000" w:sz="6" w:space="0"/>
            </w:tcBorders>
          </w:tcPr>
          <w:p w:rsidRPr="0045095C" w:rsidR="00D41F3C" w:rsidRDefault="00A94AFD" w14:paraId="69838C2E" w14:textId="77777777">
            <w:pPr>
              <w:pBdr>
                <w:top w:val="nil"/>
                <w:left w:val="nil"/>
                <w:bottom w:val="nil"/>
                <w:right w:val="nil"/>
                <w:between w:val="nil"/>
              </w:pBdr>
              <w:jc w:val="center"/>
              <w:rPr>
                <w:color w:val="000000"/>
                <w:sz w:val="20"/>
                <w:szCs w:val="20"/>
              </w:rPr>
            </w:pPr>
            <w:r w:rsidRPr="0045095C">
              <w:rPr>
                <w:color w:val="000000"/>
                <w:sz w:val="20"/>
                <w:szCs w:val="20"/>
              </w:rPr>
              <w:t>2</w:t>
            </w:r>
          </w:p>
        </w:tc>
        <w:tc>
          <w:tcPr>
            <w:tcW w:w="3849" w:type="dxa"/>
            <w:tcBorders>
              <w:top w:val="single" w:color="000000" w:sz="6" w:space="0"/>
              <w:left w:val="single" w:color="000000" w:sz="6" w:space="0"/>
              <w:bottom w:val="single" w:color="000000" w:sz="6" w:space="0"/>
              <w:right w:val="single" w:color="000000" w:sz="6" w:space="0"/>
            </w:tcBorders>
          </w:tcPr>
          <w:p w:rsidRPr="0045095C" w:rsidR="00D41F3C" w:rsidRDefault="00A94AFD" w14:paraId="76A5C063" w14:textId="77777777">
            <w:pPr>
              <w:pBdr>
                <w:top w:val="nil"/>
                <w:left w:val="nil"/>
                <w:bottom w:val="nil"/>
                <w:right w:val="nil"/>
                <w:between w:val="nil"/>
              </w:pBdr>
              <w:jc w:val="center"/>
              <w:rPr>
                <w:color w:val="000000"/>
                <w:sz w:val="20"/>
                <w:szCs w:val="20"/>
              </w:rPr>
            </w:pPr>
            <w:r w:rsidRPr="0045095C">
              <w:rPr>
                <w:color w:val="000000"/>
                <w:sz w:val="20"/>
                <w:szCs w:val="20"/>
              </w:rPr>
              <w:t>3</w:t>
            </w:r>
          </w:p>
        </w:tc>
        <w:tc>
          <w:tcPr>
            <w:tcW w:w="3260" w:type="dxa"/>
            <w:tcBorders>
              <w:top w:val="single" w:color="000000" w:sz="6" w:space="0"/>
              <w:left w:val="single" w:color="000000" w:sz="6" w:space="0"/>
              <w:bottom w:val="single" w:color="000000" w:sz="6" w:space="0"/>
              <w:right w:val="single" w:color="000000" w:sz="6" w:space="0"/>
            </w:tcBorders>
          </w:tcPr>
          <w:p w:rsidRPr="0045095C" w:rsidR="00D41F3C" w:rsidRDefault="00A94AFD" w14:paraId="4FD28396" w14:textId="77777777">
            <w:pPr>
              <w:pBdr>
                <w:top w:val="nil"/>
                <w:left w:val="nil"/>
                <w:bottom w:val="nil"/>
                <w:right w:val="nil"/>
                <w:between w:val="nil"/>
              </w:pBdr>
              <w:jc w:val="center"/>
              <w:rPr>
                <w:color w:val="000000"/>
                <w:sz w:val="20"/>
                <w:szCs w:val="20"/>
              </w:rPr>
            </w:pPr>
            <w:r w:rsidRPr="0045095C">
              <w:rPr>
                <w:color w:val="000000"/>
                <w:sz w:val="20"/>
                <w:szCs w:val="20"/>
              </w:rPr>
              <w:t>4</w:t>
            </w:r>
          </w:p>
        </w:tc>
        <w:tc>
          <w:tcPr>
            <w:tcW w:w="3241" w:type="dxa"/>
            <w:tcBorders>
              <w:top w:val="single" w:color="000000" w:sz="4" w:space="0"/>
              <w:left w:val="single" w:color="000000" w:sz="4" w:space="0"/>
              <w:bottom w:val="single" w:color="000000" w:sz="4" w:space="0"/>
            </w:tcBorders>
          </w:tcPr>
          <w:p w:rsidRPr="0045095C" w:rsidR="00D41F3C" w:rsidRDefault="00A94AFD" w14:paraId="5A0EE170" w14:textId="77777777">
            <w:pPr>
              <w:jc w:val="center"/>
              <w:rPr>
                <w:sz w:val="20"/>
                <w:szCs w:val="20"/>
              </w:rPr>
            </w:pPr>
            <w:r w:rsidRPr="0045095C">
              <w:rPr>
                <w:sz w:val="20"/>
                <w:szCs w:val="20"/>
              </w:rPr>
              <w:t>5</w:t>
            </w:r>
          </w:p>
        </w:tc>
      </w:tr>
      <w:tr w:rsidRPr="0045095C" w:rsidR="00D41F3C" w14:paraId="0007E180" w14:textId="77777777">
        <w:tc>
          <w:tcPr>
            <w:tcW w:w="14148" w:type="dxa"/>
            <w:gridSpan w:val="5"/>
            <w:tcBorders>
              <w:left w:val="single" w:color="000000" w:sz="6" w:space="0"/>
              <w:bottom w:val="single" w:color="000000" w:sz="4" w:space="0"/>
            </w:tcBorders>
          </w:tcPr>
          <w:p w:rsidRPr="0045095C" w:rsidR="00D41F3C" w:rsidRDefault="00A94AFD" w14:paraId="70657A0B" w14:textId="77777777">
            <w:pPr>
              <w:jc w:val="center"/>
            </w:pPr>
            <w:r w:rsidRPr="0045095C">
              <w:rPr>
                <w:b/>
              </w:rPr>
              <w:t>Tieslietu ministrija</w:t>
            </w:r>
          </w:p>
        </w:tc>
      </w:tr>
      <w:tr w:rsidRPr="0045095C" w:rsidR="00D41F3C" w:rsidTr="00335A95" w14:paraId="192BAC2A" w14:textId="77777777">
        <w:tc>
          <w:tcPr>
            <w:tcW w:w="708" w:type="dxa"/>
            <w:tcBorders>
              <w:left w:val="single" w:color="000000" w:sz="6" w:space="0"/>
              <w:bottom w:val="single" w:color="000000" w:sz="4" w:space="0"/>
              <w:right w:val="single" w:color="000000" w:sz="6" w:space="0"/>
            </w:tcBorders>
          </w:tcPr>
          <w:p w:rsidRPr="0045095C" w:rsidR="00D41F3C" w:rsidRDefault="00A94AFD" w14:paraId="49629562" w14:textId="77777777">
            <w:pPr>
              <w:pBdr>
                <w:top w:val="nil"/>
                <w:left w:val="nil"/>
                <w:bottom w:val="nil"/>
                <w:right w:val="nil"/>
                <w:between w:val="nil"/>
              </w:pBdr>
              <w:jc w:val="center"/>
            </w:pPr>
            <w:r w:rsidRPr="0045095C">
              <w:t>1.</w:t>
            </w:r>
          </w:p>
        </w:tc>
        <w:tc>
          <w:tcPr>
            <w:tcW w:w="3090" w:type="dxa"/>
            <w:tcBorders>
              <w:left w:val="single" w:color="000000" w:sz="6" w:space="0"/>
              <w:bottom w:val="single" w:color="000000" w:sz="4" w:space="0"/>
              <w:right w:val="single" w:color="000000" w:sz="6" w:space="0"/>
            </w:tcBorders>
          </w:tcPr>
          <w:p w:rsidRPr="0045095C" w:rsidR="00D41F3C" w:rsidP="00935297" w:rsidRDefault="00A94AFD" w14:paraId="6609BF0C" w14:textId="77777777">
            <w:pPr>
              <w:pBdr>
                <w:top w:val="nil"/>
                <w:left w:val="nil"/>
                <w:bottom w:val="nil"/>
                <w:right w:val="nil"/>
                <w:between w:val="nil"/>
              </w:pBdr>
              <w:jc w:val="both"/>
            </w:pPr>
            <w:r w:rsidRPr="0045095C">
              <w:t>1.2. Izteikt 2.6. apakšpunktu šādā redakcijā:</w:t>
            </w:r>
          </w:p>
          <w:p w:rsidRPr="0045095C" w:rsidR="00D41F3C" w:rsidP="00935297" w:rsidRDefault="00D41F3C" w14:paraId="1EF30CCC" w14:textId="77777777">
            <w:pPr>
              <w:pBdr>
                <w:top w:val="nil"/>
                <w:left w:val="nil"/>
                <w:bottom w:val="nil"/>
                <w:right w:val="nil"/>
                <w:between w:val="nil"/>
              </w:pBdr>
              <w:jc w:val="both"/>
            </w:pPr>
          </w:p>
          <w:p w:rsidRPr="0045095C" w:rsidR="00D41F3C" w:rsidP="00935297" w:rsidRDefault="00A94AFD" w14:paraId="6D3EB4FD" w14:textId="77777777">
            <w:pPr>
              <w:pBdr>
                <w:top w:val="nil"/>
                <w:left w:val="nil"/>
                <w:bottom w:val="nil"/>
                <w:right w:val="nil"/>
                <w:between w:val="nil"/>
              </w:pBdr>
              <w:jc w:val="both"/>
            </w:pPr>
            <w:r w:rsidRPr="0045095C">
              <w:t xml:space="preserve">"2.6. kuģošanas kompānija – kuģa īpašnieks vai cita juridiska vai fiziska persona (piemēram, pārvaldnieks vai </w:t>
            </w:r>
            <w:proofErr w:type="spellStart"/>
            <w:r w:rsidRPr="0045095C">
              <w:t>berbouta</w:t>
            </w:r>
            <w:proofErr w:type="spellEnd"/>
            <w:r w:rsidRPr="0045095C">
              <w:t xml:space="preserve"> fraktētājs), kura no kuģa īpašnieka ir pārņēmusi ar kuģa ekspluatāciju saistītos pienākumus un atbildību;".</w:t>
            </w:r>
          </w:p>
        </w:tc>
        <w:tc>
          <w:tcPr>
            <w:tcW w:w="3849" w:type="dxa"/>
            <w:tcBorders>
              <w:left w:val="single" w:color="000000" w:sz="6" w:space="0"/>
              <w:bottom w:val="single" w:color="000000" w:sz="4" w:space="0"/>
              <w:right w:val="single" w:color="000000" w:sz="6" w:space="0"/>
            </w:tcBorders>
          </w:tcPr>
          <w:p w:rsidRPr="0045095C" w:rsidR="00D41F3C" w:rsidP="00935297" w:rsidRDefault="00A94AFD" w14:paraId="19B247AC" w14:textId="77777777">
            <w:pPr>
              <w:tabs>
                <w:tab w:val="left" w:pos="993"/>
              </w:tabs>
              <w:jc w:val="both"/>
            </w:pPr>
            <w:r w:rsidRPr="0045095C">
              <w:t>Projekta 1.2. apakšpunktā izteiktajā Ministru kabineta 2012. gada 15. maija noteikumu Nr. 339 “Noteikumi par ostu formalitātēm” (turpmāk – noteikumi) 2.6. apakšpunktā norādīts, ka kuģošanas kompānija ir kuģa īpašnieks vai cita juridiska vai fiziska persona (..), kura pārņēmusi ar kuģa ekspluatāciju saistītus pienākumus un atbildību.</w:t>
            </w:r>
          </w:p>
          <w:p w:rsidRPr="0045095C" w:rsidR="00D41F3C" w:rsidP="00935297" w:rsidRDefault="00A94AFD" w14:paraId="67744B67" w14:textId="77777777">
            <w:pPr>
              <w:tabs>
                <w:tab w:val="left" w:pos="993"/>
              </w:tabs>
              <w:jc w:val="both"/>
            </w:pPr>
            <w:r w:rsidRPr="0045095C">
              <w:t xml:space="preserve">Pirmkārt, apzināmies, ka vārdu savienojums “kuģošanas kompānija” daudzviet tiek lietots normatīvajos aktos kuģošanas jomā, tomēr vēršam uzmanību, ka minētais vārdu savienojums ir gramatiski nekorekts. Proti, vārds “kompānija” ir anglicisms, kas latviešu valodā drīzāk apzīmētu noteiktu cilvēku kopu, nevis tiesību subjektu. Ievērojot minēto, lūdzam projektam pievienot </w:t>
            </w:r>
            <w:proofErr w:type="spellStart"/>
            <w:r w:rsidRPr="0045095C">
              <w:t>protokollēmumu</w:t>
            </w:r>
            <w:proofErr w:type="spellEnd"/>
            <w:r w:rsidRPr="0045095C">
              <w:t xml:space="preserve">, ar kuru tiktu uzlikts pienākums Satiksmes ministrijai pakāpeniski precizēt visus normatīvos </w:t>
            </w:r>
            <w:r w:rsidRPr="0045095C">
              <w:lastRenderedPageBreak/>
              <w:t>aktus kuģošanas jomā, tai skaitā projektu attiecībā uz vārdu savienojumu “kuģošanas kompānija”, vai arī skaidrot, kāpēc Latvijas normatīvajos aktos nepieciešams lietot tieši šo terminu (anglicismu).</w:t>
            </w:r>
          </w:p>
          <w:p w:rsidRPr="0045095C" w:rsidR="00D41F3C" w:rsidP="00935297" w:rsidRDefault="00A94AFD" w14:paraId="737D97EA" w14:textId="77777777">
            <w:pPr>
              <w:tabs>
                <w:tab w:val="left" w:pos="993"/>
              </w:tabs>
              <w:jc w:val="both"/>
            </w:pPr>
            <w:r w:rsidRPr="0045095C">
              <w:t>Otrkārt, vēršam uzmanību, ka “ar kuģu ekspluatāciju saistītie pienākumi un atbildība” ir savstarpēji dublējoši vārdi. Proti, atbildība ietver arī noteiktus pienākumus. Uzsveram, ka saskaņā ar Ministru kabineta 2009. gada 3. februāra noteikumu Nr. 108 “Normatīvo aktu projektu sagatavošanas noteikumi” (turpmāk – MKN. 108) 3.3. apakšpunktu “normatīvā akta projektā neietver normas, kas dublē pašā normatīvā akta projektā ietverto normatīvo regulējumu”. Ievērojot minēto, lūdzam precizēt projekta 1.2. apakšpunktu.</w:t>
            </w:r>
          </w:p>
        </w:tc>
        <w:tc>
          <w:tcPr>
            <w:tcW w:w="3260" w:type="dxa"/>
            <w:tcBorders>
              <w:left w:val="single" w:color="000000" w:sz="6" w:space="0"/>
              <w:bottom w:val="single" w:color="000000" w:sz="4" w:space="0"/>
              <w:right w:val="single" w:color="000000" w:sz="6" w:space="0"/>
            </w:tcBorders>
          </w:tcPr>
          <w:p w:rsidRPr="00854491" w:rsidR="00854491" w:rsidP="003C78D3" w:rsidRDefault="00234331" w14:paraId="41CACF23" w14:textId="538B9552">
            <w:pPr>
              <w:pBdr>
                <w:top w:val="nil"/>
                <w:left w:val="nil"/>
                <w:bottom w:val="nil"/>
                <w:right w:val="nil"/>
                <w:between w:val="nil"/>
              </w:pBdr>
              <w:jc w:val="center"/>
              <w:rPr>
                <w:b/>
              </w:rPr>
            </w:pPr>
            <w:r w:rsidRPr="0045095C">
              <w:rPr>
                <w:b/>
              </w:rPr>
              <w:lastRenderedPageBreak/>
              <w:t>Panākta vienošanās elektroniskā</w:t>
            </w:r>
            <w:r w:rsidR="003C78D3">
              <w:rPr>
                <w:b/>
              </w:rPr>
              <w:t>s</w:t>
            </w:r>
            <w:r w:rsidRPr="0045095C">
              <w:rPr>
                <w:b/>
              </w:rPr>
              <w:t xml:space="preserve"> saskaņošan</w:t>
            </w:r>
            <w:r w:rsidR="003C78D3">
              <w:rPr>
                <w:b/>
              </w:rPr>
              <w:t>as laik</w:t>
            </w:r>
            <w:r w:rsidRPr="0045095C">
              <w:rPr>
                <w:b/>
              </w:rPr>
              <w:t>ā</w:t>
            </w:r>
          </w:p>
          <w:p w:rsidRPr="0045095C" w:rsidR="0061787D" w:rsidP="000F0D33" w:rsidRDefault="0061787D" w14:paraId="7BFB8C74" w14:textId="746B0C69">
            <w:pPr>
              <w:pBdr>
                <w:top w:val="nil"/>
                <w:left w:val="nil"/>
                <w:bottom w:val="nil"/>
                <w:right w:val="nil"/>
                <w:between w:val="nil"/>
              </w:pBdr>
              <w:jc w:val="both"/>
            </w:pPr>
          </w:p>
        </w:tc>
        <w:tc>
          <w:tcPr>
            <w:tcW w:w="3241" w:type="dxa"/>
            <w:tcBorders>
              <w:left w:val="single" w:color="000000" w:sz="6" w:space="0"/>
              <w:bottom w:val="single" w:color="000000" w:sz="4" w:space="0"/>
              <w:right w:val="single" w:color="000000" w:sz="6" w:space="0"/>
            </w:tcBorders>
          </w:tcPr>
          <w:p w:rsidRPr="0045095C" w:rsidR="00D41F3C" w:rsidP="00935297" w:rsidRDefault="00A94AFD" w14:paraId="7C4843E2" w14:textId="6D777CB2">
            <w:pPr>
              <w:jc w:val="both"/>
            </w:pPr>
            <w:r w:rsidRPr="0045095C">
              <w:t>2. Izteikt 2.6. apakšpunktu šādā redakcijā:</w:t>
            </w:r>
          </w:p>
          <w:p w:rsidRPr="0045095C" w:rsidR="00D41F3C" w:rsidP="00935297" w:rsidRDefault="00D41F3C" w14:paraId="7B613E24" w14:textId="77777777">
            <w:pPr>
              <w:jc w:val="both"/>
            </w:pPr>
          </w:p>
          <w:p w:rsidRPr="0045095C" w:rsidR="00D41F3C" w:rsidP="000F0D33" w:rsidRDefault="00A94AFD" w14:paraId="5C99F3D2" w14:textId="322D2E8D">
            <w:pPr>
              <w:jc w:val="both"/>
            </w:pPr>
            <w:r w:rsidRPr="0045095C">
              <w:t xml:space="preserve">"2.6. kuģošanas kompānija – kuģa īpašnieks vai cita juridiska vai fiziska persona (piemēram, pārvaldnieks vai </w:t>
            </w:r>
            <w:proofErr w:type="spellStart"/>
            <w:r w:rsidRPr="0045095C">
              <w:t>berbouta</w:t>
            </w:r>
            <w:proofErr w:type="spellEnd"/>
            <w:r w:rsidRPr="0045095C">
              <w:t xml:space="preserve"> fraktētājs), kura no kuģa īpašnieka ir pārņēmusi ar kuģa ekspluatāciju saistīto atbildību</w:t>
            </w:r>
            <w:r w:rsidRPr="0045095C" w:rsidR="00E736D5">
              <w:t>;".</w:t>
            </w:r>
          </w:p>
        </w:tc>
      </w:tr>
      <w:tr w:rsidRPr="0045095C" w:rsidR="00D41F3C" w:rsidTr="00335A95" w14:paraId="41CFFEEA" w14:textId="77777777">
        <w:tc>
          <w:tcPr>
            <w:tcW w:w="708" w:type="dxa"/>
            <w:tcBorders>
              <w:left w:val="single" w:color="000000" w:sz="6" w:space="0"/>
              <w:bottom w:val="single" w:color="000000" w:sz="4" w:space="0"/>
              <w:right w:val="single" w:color="000000" w:sz="6" w:space="0"/>
            </w:tcBorders>
          </w:tcPr>
          <w:p w:rsidRPr="0045095C" w:rsidR="00D41F3C" w:rsidRDefault="00A94AFD" w14:paraId="3B7877D0" w14:textId="77777777">
            <w:pPr>
              <w:pBdr>
                <w:top w:val="nil"/>
                <w:left w:val="nil"/>
                <w:bottom w:val="nil"/>
                <w:right w:val="nil"/>
                <w:between w:val="nil"/>
              </w:pBdr>
              <w:jc w:val="center"/>
              <w:rPr>
                <w:color w:val="000000"/>
              </w:rPr>
            </w:pPr>
            <w:r w:rsidRPr="0045095C">
              <w:rPr>
                <w:color w:val="000000"/>
              </w:rPr>
              <w:t>2.</w:t>
            </w:r>
          </w:p>
        </w:tc>
        <w:tc>
          <w:tcPr>
            <w:tcW w:w="3090" w:type="dxa"/>
            <w:tcBorders>
              <w:left w:val="single" w:color="000000" w:sz="6" w:space="0"/>
              <w:bottom w:val="single" w:color="000000" w:sz="4" w:space="0"/>
              <w:right w:val="single" w:color="000000" w:sz="6" w:space="0"/>
            </w:tcBorders>
          </w:tcPr>
          <w:p w:rsidRPr="0045095C" w:rsidR="00D41F3C" w:rsidP="00D37C3C" w:rsidRDefault="00A94AFD" w14:paraId="17993504" w14:textId="77777777">
            <w:pPr>
              <w:jc w:val="both"/>
            </w:pPr>
            <w:r w:rsidRPr="0045095C">
              <w:t>1.3. Izteikt 2.19. apakšpunktu šādā redakcijā:</w:t>
            </w:r>
          </w:p>
          <w:p w:rsidRPr="0045095C" w:rsidR="00D41F3C" w:rsidP="00D37C3C" w:rsidRDefault="00D41F3C" w14:paraId="6B9394BF" w14:textId="77777777">
            <w:pPr>
              <w:ind w:firstLine="709"/>
              <w:jc w:val="both"/>
            </w:pPr>
          </w:p>
          <w:p w:rsidRPr="0045095C" w:rsidR="00D41F3C" w:rsidP="00D37C3C" w:rsidRDefault="00A94AFD" w14:paraId="17BE495E" w14:textId="77777777">
            <w:pPr>
              <w:jc w:val="both"/>
            </w:pPr>
            <w:r w:rsidRPr="0045095C">
              <w:t xml:space="preserve">"2.19. reģistrators – atbildīgā persona, kuru kuģošanas kompānija ir pilnvarojusi veikt ISM kodeksā noteiktos pienākumus (ja attiecināms), vai kāda cita persona, kuru kuģošanas kompānija pilnvarojusi būt par atbildīgo </w:t>
            </w:r>
            <w:r w:rsidRPr="0045095C">
              <w:lastRenderedPageBreak/>
              <w:t>par informācijas par personām, kas atrodas uz kuģošanas kompānijas pasažieru kuģa, paziņošanu.".</w:t>
            </w:r>
          </w:p>
        </w:tc>
        <w:tc>
          <w:tcPr>
            <w:tcW w:w="3849" w:type="dxa"/>
            <w:tcBorders>
              <w:left w:val="single" w:color="000000" w:sz="6" w:space="0"/>
              <w:bottom w:val="single" w:color="000000" w:sz="4" w:space="0"/>
              <w:right w:val="single" w:color="000000" w:sz="6" w:space="0"/>
            </w:tcBorders>
          </w:tcPr>
          <w:p w:rsidRPr="0045095C" w:rsidR="00D41F3C" w:rsidP="00D37C3C" w:rsidRDefault="00A94AFD" w14:paraId="7A1156DD" w14:textId="77777777">
            <w:pPr>
              <w:tabs>
                <w:tab w:val="left" w:pos="993"/>
              </w:tabs>
              <w:jc w:val="both"/>
            </w:pPr>
            <w:r w:rsidRPr="0045095C">
              <w:lastRenderedPageBreak/>
              <w:t xml:space="preserve">Projekta 1.3. apakšpunktā izteiktajā noteikumu 2.19. apakšpunktā norādīts, ka pilnvarotā persona ir atbildīga par informācijas par personām paziņošanu. Vēršam uzmanību, ka minētajā normā nav norādīts informācijas adresāts. Attiecīgi lūdzam precizēt projekta 1.3. apakšpunktu, skaidri norādot informācijas adresātu, tādējādi </w:t>
            </w:r>
            <w:r w:rsidRPr="0045095C">
              <w:lastRenderedPageBreak/>
              <w:t>nodrošinot vienveidīgu normas piemērošanu praksē.</w:t>
            </w:r>
          </w:p>
        </w:tc>
        <w:tc>
          <w:tcPr>
            <w:tcW w:w="3260" w:type="dxa"/>
            <w:tcBorders>
              <w:left w:val="single" w:color="000000" w:sz="6" w:space="0"/>
              <w:bottom w:val="single" w:color="000000" w:sz="4" w:space="0"/>
              <w:right w:val="single" w:color="000000" w:sz="6" w:space="0"/>
            </w:tcBorders>
          </w:tcPr>
          <w:p w:rsidRPr="0045095C" w:rsidR="00D41F3C" w:rsidP="003C78D3" w:rsidRDefault="00A94AFD" w14:paraId="063E5393" w14:textId="77777777">
            <w:pPr>
              <w:pBdr>
                <w:top w:val="nil"/>
                <w:left w:val="nil"/>
                <w:bottom w:val="nil"/>
                <w:right w:val="nil"/>
                <w:between w:val="nil"/>
              </w:pBdr>
              <w:jc w:val="center"/>
              <w:rPr>
                <w:b/>
                <w:color w:val="000000"/>
              </w:rPr>
            </w:pPr>
            <w:r w:rsidRPr="0045095C">
              <w:rPr>
                <w:b/>
                <w:color w:val="000000"/>
              </w:rPr>
              <w:lastRenderedPageBreak/>
              <w:t>Ņemts vērā</w:t>
            </w:r>
          </w:p>
        </w:tc>
        <w:tc>
          <w:tcPr>
            <w:tcW w:w="3241" w:type="dxa"/>
            <w:tcBorders>
              <w:top w:val="single" w:color="000000" w:sz="4" w:space="0"/>
              <w:left w:val="single" w:color="000000" w:sz="4" w:space="0"/>
              <w:bottom w:val="single" w:color="000000" w:sz="4" w:space="0"/>
            </w:tcBorders>
          </w:tcPr>
          <w:p w:rsidRPr="0045095C" w:rsidR="006A2772" w:rsidP="00D37C3C" w:rsidRDefault="006A2772" w14:paraId="2018E879" w14:textId="08ACF7B6">
            <w:pPr>
              <w:jc w:val="both"/>
            </w:pPr>
            <w:r w:rsidRPr="0045095C">
              <w:t>3. Izteikt 2.19. apakšpunktu šādā redakcijā:</w:t>
            </w:r>
          </w:p>
          <w:p w:rsidRPr="0045095C" w:rsidR="006A2772" w:rsidP="00D37C3C" w:rsidRDefault="006A2772" w14:paraId="769B3B07" w14:textId="77777777">
            <w:pPr>
              <w:jc w:val="both"/>
            </w:pPr>
          </w:p>
          <w:p w:rsidRPr="0045095C" w:rsidR="00D41F3C" w:rsidP="000F0D33" w:rsidRDefault="006A2772" w14:paraId="3C3469EA" w14:textId="60E8FF9B">
            <w:pPr>
              <w:jc w:val="both"/>
            </w:pPr>
            <w:r w:rsidRPr="0045095C">
              <w:t xml:space="preserve">"2.19. reģistrators – atbildīgā persona, kuru kuģošanas kompānija ir pilnvarojusi veikt ISM kodeksā noteiktos pienākumus (ja attiecināms), vai kāda cita persona, kuru kuģošanas kompānija pilnvarojusi būt par atbildīgo </w:t>
            </w:r>
            <w:r w:rsidRPr="0045095C">
              <w:lastRenderedPageBreak/>
              <w:t>par informācijas par personām, kas atrodas uz kuģošanas kompānijas pasažieru kuģa, paziņošanu</w:t>
            </w:r>
            <w:r w:rsidRPr="0045095C" w:rsidR="00F535AD">
              <w:t xml:space="preserve"> </w:t>
            </w:r>
            <w:r w:rsidRPr="0045095C" w:rsidR="000F0D33">
              <w:t>saskaņā ar šo noteikumu 9.</w:t>
            </w:r>
            <w:r w:rsidRPr="0045095C" w:rsidR="000F0D33">
              <w:rPr>
                <w:vertAlign w:val="superscript"/>
              </w:rPr>
              <w:t>1</w:t>
            </w:r>
            <w:r w:rsidRPr="0045095C" w:rsidR="000F0D33">
              <w:t xml:space="preserve"> nodaļu.</w:t>
            </w:r>
            <w:r w:rsidRPr="0045095C">
              <w:t>".</w:t>
            </w:r>
          </w:p>
        </w:tc>
      </w:tr>
      <w:tr w:rsidRPr="0045095C" w:rsidR="00D41F3C" w:rsidTr="00335A95" w14:paraId="1F8AAB55" w14:textId="77777777">
        <w:tc>
          <w:tcPr>
            <w:tcW w:w="708" w:type="dxa"/>
            <w:tcBorders>
              <w:left w:val="single" w:color="000000" w:sz="6" w:space="0"/>
              <w:bottom w:val="single" w:color="000000" w:sz="4" w:space="0"/>
              <w:right w:val="single" w:color="000000" w:sz="6" w:space="0"/>
            </w:tcBorders>
          </w:tcPr>
          <w:p w:rsidRPr="0045095C" w:rsidR="00D41F3C" w:rsidRDefault="00A94AFD" w14:paraId="637326BB" w14:textId="77777777">
            <w:pPr>
              <w:pBdr>
                <w:top w:val="nil"/>
                <w:left w:val="nil"/>
                <w:bottom w:val="nil"/>
                <w:right w:val="nil"/>
                <w:between w:val="nil"/>
              </w:pBdr>
              <w:jc w:val="center"/>
              <w:rPr>
                <w:color w:val="000000"/>
              </w:rPr>
            </w:pPr>
            <w:r w:rsidRPr="0045095C">
              <w:rPr>
                <w:color w:val="000000"/>
              </w:rPr>
              <w:lastRenderedPageBreak/>
              <w:t>3.</w:t>
            </w:r>
          </w:p>
        </w:tc>
        <w:tc>
          <w:tcPr>
            <w:tcW w:w="3090" w:type="dxa"/>
            <w:tcBorders>
              <w:left w:val="single" w:color="000000" w:sz="6" w:space="0"/>
              <w:bottom w:val="single" w:color="000000" w:sz="4" w:space="0"/>
              <w:right w:val="single" w:color="000000" w:sz="6" w:space="0"/>
            </w:tcBorders>
          </w:tcPr>
          <w:p w:rsidRPr="0045095C" w:rsidR="00F535AD" w:rsidP="00335A95" w:rsidRDefault="00F535AD" w14:paraId="53A1B7F6" w14:textId="77777777">
            <w:pPr>
              <w:pBdr>
                <w:top w:val="nil"/>
                <w:left w:val="nil"/>
                <w:bottom w:val="nil"/>
                <w:right w:val="nil"/>
                <w:between w:val="nil"/>
              </w:pBdr>
              <w:jc w:val="both"/>
              <w:rPr>
                <w:color w:val="000000"/>
              </w:rPr>
            </w:pPr>
            <w:r w:rsidRPr="0045095C">
              <w:rPr>
                <w:color w:val="000000"/>
              </w:rPr>
              <w:t>1.8. Izteikt 9.</w:t>
            </w:r>
            <w:r w:rsidRPr="0045095C">
              <w:rPr>
                <w:color w:val="000000"/>
                <w:vertAlign w:val="superscript"/>
              </w:rPr>
              <w:t>1</w:t>
            </w:r>
            <w:r w:rsidRPr="0045095C">
              <w:rPr>
                <w:color w:val="000000"/>
              </w:rPr>
              <w:t xml:space="preserve"> nodaļu šādā redakcijā:</w:t>
            </w:r>
          </w:p>
          <w:p w:rsidRPr="0045095C" w:rsidR="00F535AD" w:rsidP="00335A95" w:rsidRDefault="00F535AD" w14:paraId="7E1B4502" w14:textId="77777777">
            <w:pPr>
              <w:pBdr>
                <w:top w:val="nil"/>
                <w:left w:val="nil"/>
                <w:bottom w:val="nil"/>
                <w:right w:val="nil"/>
                <w:between w:val="nil"/>
              </w:pBdr>
              <w:jc w:val="both"/>
              <w:rPr>
                <w:color w:val="000000"/>
              </w:rPr>
            </w:pPr>
          </w:p>
          <w:p w:rsidRPr="0045095C" w:rsidR="007E218A" w:rsidP="00335A95" w:rsidRDefault="00F535AD" w14:paraId="77336C76" w14:textId="77777777">
            <w:pPr>
              <w:pBdr>
                <w:top w:val="nil"/>
                <w:left w:val="nil"/>
                <w:bottom w:val="nil"/>
                <w:right w:val="nil"/>
                <w:between w:val="nil"/>
              </w:pBdr>
              <w:jc w:val="both"/>
              <w:rPr>
                <w:color w:val="000000"/>
              </w:rPr>
            </w:pPr>
            <w:r w:rsidRPr="0045095C">
              <w:rPr>
                <w:color w:val="000000"/>
              </w:rPr>
              <w:t>"</w:t>
            </w:r>
            <w:r w:rsidRPr="0045095C" w:rsidR="007E218A">
              <w:rPr>
                <w:color w:val="000000"/>
              </w:rPr>
              <w:t>(...)</w:t>
            </w:r>
          </w:p>
          <w:p w:rsidRPr="0045095C" w:rsidR="00F535AD" w:rsidP="00335A95" w:rsidRDefault="00F535AD" w14:paraId="0AD4EC1F" w14:textId="77777777">
            <w:pPr>
              <w:pBdr>
                <w:top w:val="nil"/>
                <w:left w:val="nil"/>
                <w:bottom w:val="nil"/>
                <w:right w:val="nil"/>
                <w:between w:val="nil"/>
              </w:pBdr>
              <w:jc w:val="both"/>
              <w:rPr>
                <w:color w:val="000000"/>
              </w:rPr>
            </w:pPr>
            <w:r w:rsidRPr="0045095C">
              <w:rPr>
                <w:color w:val="000000"/>
              </w:rPr>
              <w:t>110.</w:t>
            </w:r>
            <w:r w:rsidRPr="0045095C">
              <w:rPr>
                <w:color w:val="000000"/>
                <w:vertAlign w:val="superscript"/>
              </w:rPr>
              <w:t>11</w:t>
            </w:r>
            <w:r w:rsidRPr="0045095C">
              <w:rPr>
                <w:color w:val="000000"/>
              </w:rPr>
              <w:t> Kuģošanas kompānija, kas ir uzņēmusies atbildību par pasažieru kuģa darbību:</w:t>
            </w:r>
          </w:p>
          <w:p w:rsidRPr="0045095C" w:rsidR="00F535AD" w:rsidP="00335A95" w:rsidRDefault="00F535AD" w14:paraId="2573217A" w14:textId="77777777">
            <w:pPr>
              <w:pBdr>
                <w:top w:val="nil"/>
                <w:left w:val="nil"/>
                <w:bottom w:val="nil"/>
                <w:right w:val="nil"/>
                <w:between w:val="nil"/>
              </w:pBdr>
              <w:jc w:val="both"/>
              <w:rPr>
                <w:color w:val="000000"/>
              </w:rPr>
            </w:pPr>
          </w:p>
          <w:p w:rsidRPr="0045095C" w:rsidR="00F535AD" w:rsidP="00335A95" w:rsidRDefault="00F535AD" w14:paraId="4CD81259" w14:textId="77777777">
            <w:pPr>
              <w:pBdr>
                <w:top w:val="nil"/>
                <w:left w:val="nil"/>
                <w:bottom w:val="nil"/>
                <w:right w:val="nil"/>
                <w:between w:val="nil"/>
              </w:pBdr>
              <w:jc w:val="both"/>
              <w:rPr>
                <w:color w:val="000000"/>
              </w:rPr>
            </w:pPr>
            <w:r w:rsidRPr="0045095C">
              <w:rPr>
                <w:color w:val="000000"/>
              </w:rPr>
              <w:t>110.</w:t>
            </w:r>
            <w:r w:rsidRPr="0045095C">
              <w:rPr>
                <w:color w:val="000000"/>
                <w:vertAlign w:val="superscript"/>
              </w:rPr>
              <w:t>11</w:t>
            </w:r>
            <w:r w:rsidRPr="0045095C">
              <w:rPr>
                <w:color w:val="000000"/>
              </w:rPr>
              <w:t> 1. ieceļ reģistratoru;</w:t>
            </w:r>
          </w:p>
          <w:p w:rsidRPr="0045095C" w:rsidR="00F535AD" w:rsidP="00335A95" w:rsidRDefault="00F535AD" w14:paraId="1844AFAF" w14:textId="77777777">
            <w:pPr>
              <w:pBdr>
                <w:top w:val="nil"/>
                <w:left w:val="nil"/>
                <w:bottom w:val="nil"/>
                <w:right w:val="nil"/>
                <w:between w:val="nil"/>
              </w:pBdr>
              <w:jc w:val="both"/>
              <w:rPr>
                <w:color w:val="000000"/>
              </w:rPr>
            </w:pPr>
          </w:p>
          <w:p w:rsidRPr="0045095C" w:rsidR="00F535AD" w:rsidP="00335A95" w:rsidRDefault="00F535AD" w14:paraId="1E148DC4" w14:textId="77777777">
            <w:pPr>
              <w:pBdr>
                <w:top w:val="nil"/>
                <w:left w:val="nil"/>
                <w:bottom w:val="nil"/>
                <w:right w:val="nil"/>
                <w:between w:val="nil"/>
              </w:pBdr>
              <w:jc w:val="both"/>
              <w:rPr>
                <w:color w:val="000000"/>
              </w:rPr>
            </w:pPr>
            <w:r w:rsidRPr="0045095C">
              <w:rPr>
                <w:color w:val="000000"/>
              </w:rPr>
              <w:t>110.</w:t>
            </w:r>
            <w:r w:rsidRPr="0045095C">
              <w:rPr>
                <w:color w:val="000000"/>
                <w:vertAlign w:val="superscript"/>
              </w:rPr>
              <w:t>11</w:t>
            </w:r>
            <w:r w:rsidRPr="0045095C">
              <w:rPr>
                <w:color w:val="000000"/>
              </w:rPr>
              <w:t> 2. ievieš un uztur informācijas par personām, kas atrodas uz kuģošanas kompānijas pasažieru kuģa, reģistrācijas procedūru, kas nodrošina, lai šajā nodaļā minētā informācijas paziņošana notiek precīzi un laikus;</w:t>
            </w:r>
          </w:p>
          <w:p w:rsidRPr="0045095C" w:rsidR="00F535AD" w:rsidP="00335A95" w:rsidRDefault="00F535AD" w14:paraId="158F4CBB" w14:textId="77777777">
            <w:pPr>
              <w:pBdr>
                <w:top w:val="nil"/>
                <w:left w:val="nil"/>
                <w:bottom w:val="nil"/>
                <w:right w:val="nil"/>
                <w:between w:val="nil"/>
              </w:pBdr>
              <w:jc w:val="both"/>
              <w:rPr>
                <w:color w:val="000000"/>
              </w:rPr>
            </w:pPr>
          </w:p>
          <w:p w:rsidRPr="0045095C" w:rsidR="00F535AD" w:rsidP="00335A95" w:rsidRDefault="00F535AD" w14:paraId="357F6213" w14:textId="77777777">
            <w:pPr>
              <w:pBdr>
                <w:top w:val="nil"/>
                <w:left w:val="nil"/>
                <w:bottom w:val="nil"/>
                <w:right w:val="nil"/>
                <w:between w:val="nil"/>
              </w:pBdr>
              <w:jc w:val="both"/>
              <w:rPr>
                <w:color w:val="000000"/>
              </w:rPr>
            </w:pPr>
            <w:r w:rsidRPr="0045095C">
              <w:rPr>
                <w:color w:val="000000"/>
              </w:rPr>
              <w:t>110.</w:t>
            </w:r>
            <w:r w:rsidRPr="0045095C">
              <w:rPr>
                <w:color w:val="000000"/>
                <w:vertAlign w:val="superscript"/>
              </w:rPr>
              <w:t>11</w:t>
            </w:r>
            <w:r w:rsidRPr="0045095C">
              <w:rPr>
                <w:color w:val="000000"/>
              </w:rPr>
              <w:t> 3. nodrošina, lai informācijas par personām, kas atrodas uz kuģošanas kompānijas pasažieru kuģa, reģistrācijas procedūra neaizkavē pasažieru uzkāpšanu vai nokāpšanu no pasažieru kuģa;</w:t>
            </w:r>
          </w:p>
          <w:p w:rsidRPr="0045095C" w:rsidR="00F535AD" w:rsidP="00335A95" w:rsidRDefault="00F535AD" w14:paraId="72E238F5" w14:textId="77777777">
            <w:pPr>
              <w:pBdr>
                <w:top w:val="nil"/>
                <w:left w:val="nil"/>
                <w:bottom w:val="nil"/>
                <w:right w:val="nil"/>
                <w:between w:val="nil"/>
              </w:pBdr>
              <w:jc w:val="both"/>
              <w:rPr>
                <w:color w:val="000000"/>
              </w:rPr>
            </w:pPr>
          </w:p>
          <w:p w:rsidRPr="0045095C" w:rsidR="00F535AD" w:rsidP="00335A95" w:rsidRDefault="00F535AD" w14:paraId="6BB008D6" w14:textId="77777777">
            <w:pPr>
              <w:pBdr>
                <w:top w:val="nil"/>
                <w:left w:val="nil"/>
                <w:bottom w:val="nil"/>
                <w:right w:val="nil"/>
                <w:between w:val="nil"/>
              </w:pBdr>
              <w:jc w:val="both"/>
              <w:rPr>
                <w:color w:val="000000"/>
              </w:rPr>
            </w:pPr>
            <w:r w:rsidRPr="0045095C">
              <w:rPr>
                <w:color w:val="000000"/>
              </w:rPr>
              <w:t>110.</w:t>
            </w:r>
            <w:r w:rsidRPr="0045095C">
              <w:rPr>
                <w:color w:val="000000"/>
                <w:vertAlign w:val="superscript"/>
              </w:rPr>
              <w:t>11</w:t>
            </w:r>
            <w:r w:rsidRPr="0045095C">
              <w:rPr>
                <w:color w:val="000000"/>
              </w:rPr>
              <w:t> 4. nodrošina, lai nenotiek vairākkārtēja informācijas par personām, kas atrodas uz kuģošanas kompānijas pasažieru kuģa, vākšana vienā vai līdzīgos pasažieru kuģa reisos.</w:t>
            </w:r>
          </w:p>
          <w:p w:rsidRPr="0045095C" w:rsidR="00F535AD" w:rsidP="00335A95" w:rsidRDefault="00F535AD" w14:paraId="5B4FE111" w14:textId="77777777">
            <w:pPr>
              <w:pBdr>
                <w:top w:val="nil"/>
                <w:left w:val="nil"/>
                <w:bottom w:val="nil"/>
                <w:right w:val="nil"/>
                <w:between w:val="nil"/>
              </w:pBdr>
              <w:jc w:val="both"/>
              <w:rPr>
                <w:b/>
                <w:color w:val="000000"/>
              </w:rPr>
            </w:pPr>
          </w:p>
          <w:p w:rsidRPr="0045095C" w:rsidR="00F535AD" w:rsidP="00335A95" w:rsidRDefault="00F535AD" w14:paraId="227A3599" w14:textId="77777777">
            <w:pPr>
              <w:pBdr>
                <w:top w:val="nil"/>
                <w:left w:val="nil"/>
                <w:bottom w:val="nil"/>
                <w:right w:val="nil"/>
                <w:between w:val="nil"/>
              </w:pBdr>
              <w:jc w:val="both"/>
              <w:rPr>
                <w:color w:val="000000"/>
              </w:rPr>
            </w:pPr>
            <w:r w:rsidRPr="0045095C">
              <w:rPr>
                <w:color w:val="000000"/>
              </w:rPr>
              <w:t>110.</w:t>
            </w:r>
            <w:r w:rsidRPr="0045095C">
              <w:rPr>
                <w:color w:val="000000"/>
                <w:vertAlign w:val="superscript"/>
              </w:rPr>
              <w:t>12</w:t>
            </w:r>
            <w:r w:rsidRPr="0045095C">
              <w:rPr>
                <w:color w:val="000000"/>
              </w:rPr>
              <w:t> Latvijas Jūras administrācija regulāri pārbauda kuģošanas kompāniju informācijas par personām, kas atrodas uz kuģošanas kompānijas pasažieru kuģa, reģistrācijas procedūru atbilstību šīs nodaļas noteikumiem. Ja Latvijas Jūras administrācija konstatē neatbilstību, kuģošanas kompānijas pienākums ir nekavējoties to novērst.</w:t>
            </w:r>
          </w:p>
          <w:p w:rsidRPr="0045095C" w:rsidR="00F535AD" w:rsidP="00335A95" w:rsidRDefault="00F535AD" w14:paraId="4567020D" w14:textId="77777777">
            <w:pPr>
              <w:pBdr>
                <w:top w:val="nil"/>
                <w:left w:val="nil"/>
                <w:bottom w:val="nil"/>
                <w:right w:val="nil"/>
                <w:between w:val="nil"/>
              </w:pBdr>
              <w:jc w:val="both"/>
              <w:rPr>
                <w:color w:val="000000"/>
              </w:rPr>
            </w:pPr>
          </w:p>
          <w:p w:rsidRPr="0045095C" w:rsidR="00F535AD" w:rsidP="00335A95" w:rsidRDefault="00F535AD" w14:paraId="1BC693E7" w14:textId="77777777">
            <w:pPr>
              <w:pBdr>
                <w:top w:val="nil"/>
                <w:left w:val="nil"/>
                <w:bottom w:val="nil"/>
                <w:right w:val="nil"/>
                <w:between w:val="nil"/>
              </w:pBdr>
              <w:jc w:val="both"/>
              <w:rPr>
                <w:color w:val="000000"/>
              </w:rPr>
            </w:pPr>
            <w:r w:rsidRPr="0045095C">
              <w:rPr>
                <w:color w:val="000000"/>
              </w:rPr>
              <w:t>110.</w:t>
            </w:r>
            <w:r w:rsidRPr="0045095C">
              <w:rPr>
                <w:color w:val="000000"/>
                <w:vertAlign w:val="superscript"/>
              </w:rPr>
              <w:t>13</w:t>
            </w:r>
            <w:r w:rsidRPr="0045095C">
              <w:rPr>
                <w:color w:val="000000"/>
              </w:rPr>
              <w:t xml:space="preserve"> Šajā nodaļā noteikto ostas formalitāšu ievērošanu kontrolē Krasta apsardzes dienests sadarbībā ar Latvijas Jūras administrāciju. Krasta apsardzes dienests kontrolē, vai informācija par personām, kas atrodas uz kuģošanas kompānijas pasažieru kuģa, ir </w:t>
            </w:r>
            <w:r w:rsidRPr="0045095C">
              <w:rPr>
                <w:color w:val="000000"/>
              </w:rPr>
              <w:lastRenderedPageBreak/>
              <w:t>paziņota Starptautiskajā kravu loģistikas un ostu informācijas sistēmā (SKLOIS). Latvijas Jūras administrācija kontrolē šo noteikumu 110.</w:t>
            </w:r>
            <w:r w:rsidRPr="0045095C">
              <w:rPr>
                <w:color w:val="000000"/>
                <w:vertAlign w:val="superscript"/>
              </w:rPr>
              <w:t>12</w:t>
            </w:r>
            <w:r w:rsidRPr="0045095C">
              <w:rPr>
                <w:color w:val="000000"/>
              </w:rPr>
              <w:t> punktā minēto reģistrācijas procedūru.</w:t>
            </w:r>
          </w:p>
          <w:p w:rsidRPr="0045095C" w:rsidR="00D41F3C" w:rsidP="00335A95" w:rsidRDefault="009C5397" w14:paraId="2C24BCF7" w14:textId="77777777">
            <w:pPr>
              <w:pBdr>
                <w:top w:val="nil"/>
                <w:left w:val="nil"/>
                <w:bottom w:val="nil"/>
                <w:right w:val="nil"/>
                <w:between w:val="nil"/>
              </w:pBdr>
              <w:jc w:val="both"/>
              <w:rPr>
                <w:color w:val="000000"/>
              </w:rPr>
            </w:pPr>
            <w:r w:rsidRPr="0045095C">
              <w:rPr>
                <w:color w:val="000000"/>
              </w:rPr>
              <w:t>(...)</w:t>
            </w:r>
            <w:r w:rsidRPr="0045095C" w:rsidR="00F535AD">
              <w:rPr>
                <w:color w:val="000000"/>
              </w:rPr>
              <w:t>".</w:t>
            </w:r>
          </w:p>
        </w:tc>
        <w:tc>
          <w:tcPr>
            <w:tcW w:w="3849" w:type="dxa"/>
            <w:tcBorders>
              <w:left w:val="single" w:color="000000" w:sz="6" w:space="0"/>
              <w:bottom w:val="single" w:color="000000" w:sz="4" w:space="0"/>
              <w:right w:val="single" w:color="000000" w:sz="6" w:space="0"/>
            </w:tcBorders>
          </w:tcPr>
          <w:p w:rsidRPr="0045095C" w:rsidR="00D41F3C" w:rsidP="00335A95" w:rsidRDefault="00A94AFD" w14:paraId="1872247A" w14:textId="77777777">
            <w:pPr>
              <w:tabs>
                <w:tab w:val="left" w:pos="993"/>
              </w:tabs>
              <w:jc w:val="both"/>
            </w:pPr>
            <w:r w:rsidRPr="0045095C">
              <w:lastRenderedPageBreak/>
              <w:t>Projekta 1.8. apakšpunktā izteiktajā noteikumu 110.</w:t>
            </w:r>
            <w:r w:rsidRPr="0045095C">
              <w:rPr>
                <w:vertAlign w:val="superscript"/>
              </w:rPr>
              <w:t>3</w:t>
            </w:r>
            <w:r w:rsidRPr="0045095C">
              <w:t xml:space="preserve"> punktā un turpmākajās normās norādīts uz noteiktiem pienākumiem, tomēr nav norādīts uz minēto pienākumu veikšanas biežumu, termiņu un tamlīdzīgi. Lai attiecīgās normas tiktu piemērotas vienveidīgi, lūdzam precizēt projekta 1.8. apakšpunktu. Minētais it sevišķi attiecas uz projekta 1.8. apakšpunktā izteikto noteikumu 110.</w:t>
            </w:r>
            <w:r w:rsidRPr="0045095C">
              <w:rPr>
                <w:vertAlign w:val="superscript"/>
              </w:rPr>
              <w:t xml:space="preserve">11 </w:t>
            </w:r>
            <w:r w:rsidRPr="0045095C">
              <w:t>–</w:t>
            </w:r>
            <w:r w:rsidRPr="0045095C">
              <w:rPr>
                <w:vertAlign w:val="superscript"/>
              </w:rPr>
              <w:t xml:space="preserve"> </w:t>
            </w:r>
            <w:r w:rsidRPr="0045095C">
              <w:t>110.</w:t>
            </w:r>
            <w:r w:rsidRPr="0045095C">
              <w:rPr>
                <w:vertAlign w:val="superscript"/>
              </w:rPr>
              <w:t>13 </w:t>
            </w:r>
            <w:r w:rsidRPr="0045095C">
              <w:t>punktu.</w:t>
            </w:r>
          </w:p>
        </w:tc>
        <w:tc>
          <w:tcPr>
            <w:tcW w:w="3260" w:type="dxa"/>
            <w:tcBorders>
              <w:left w:val="single" w:color="000000" w:sz="6" w:space="0"/>
              <w:bottom w:val="single" w:color="000000" w:sz="4" w:space="0"/>
              <w:right w:val="single" w:color="000000" w:sz="6" w:space="0"/>
            </w:tcBorders>
          </w:tcPr>
          <w:p w:rsidRPr="00854491" w:rsidR="009C5397" w:rsidP="00743CCF" w:rsidRDefault="00743CCF" w14:paraId="6CCBA7AB" w14:textId="65A9217B">
            <w:pPr>
              <w:pBdr>
                <w:top w:val="nil"/>
                <w:left w:val="nil"/>
                <w:bottom w:val="nil"/>
                <w:right w:val="nil"/>
                <w:between w:val="nil"/>
              </w:pBdr>
              <w:jc w:val="center"/>
              <w:rPr>
                <w:b/>
                <w:color w:val="000000"/>
              </w:rPr>
            </w:pPr>
            <w:r w:rsidRPr="00743CCF">
              <w:rPr>
                <w:b/>
                <w:color w:val="000000"/>
              </w:rPr>
              <w:t>Panākta vienošanās elektroniskās saskaņošanas laikā</w:t>
            </w:r>
          </w:p>
        </w:tc>
        <w:tc>
          <w:tcPr>
            <w:tcW w:w="3241" w:type="dxa"/>
            <w:tcBorders>
              <w:top w:val="single" w:color="000000" w:sz="4" w:space="0"/>
              <w:left w:val="single" w:color="000000" w:sz="4" w:space="0"/>
              <w:bottom w:val="single" w:color="000000" w:sz="4" w:space="0"/>
            </w:tcBorders>
          </w:tcPr>
          <w:p w:rsidRPr="0045095C" w:rsidR="00767E7F" w:rsidP="00767E7F" w:rsidRDefault="00767E7F" w14:paraId="3A52DD7E" w14:textId="323B233B">
            <w:pPr>
              <w:jc w:val="both"/>
            </w:pPr>
            <w:r w:rsidRPr="0045095C">
              <w:t>8. Izteikt 9.</w:t>
            </w:r>
            <w:r w:rsidRPr="0045095C">
              <w:rPr>
                <w:vertAlign w:val="superscript"/>
              </w:rPr>
              <w:t>1</w:t>
            </w:r>
            <w:r w:rsidRPr="0045095C">
              <w:t xml:space="preserve"> nodaļu šādā redakcijā:</w:t>
            </w:r>
          </w:p>
          <w:p w:rsidRPr="0045095C" w:rsidR="00767E7F" w:rsidP="00767E7F" w:rsidRDefault="00767E7F" w14:paraId="18080956" w14:textId="77777777">
            <w:pPr>
              <w:jc w:val="both"/>
            </w:pPr>
          </w:p>
          <w:p w:rsidRPr="0045095C" w:rsidR="00767E7F" w:rsidP="00767E7F" w:rsidRDefault="00767E7F" w14:paraId="075AE490" w14:textId="77777777">
            <w:pPr>
              <w:jc w:val="both"/>
            </w:pPr>
            <w:r w:rsidRPr="0045095C">
              <w:t>"(...)</w:t>
            </w:r>
          </w:p>
          <w:p w:rsidRPr="0045095C" w:rsidR="00767E7F" w:rsidP="00767E7F" w:rsidRDefault="00767E7F" w14:paraId="44FF2441" w14:textId="77777777">
            <w:pPr>
              <w:jc w:val="both"/>
            </w:pPr>
            <w:r w:rsidRPr="0045095C">
              <w:t>110.</w:t>
            </w:r>
            <w:r w:rsidRPr="0045095C">
              <w:rPr>
                <w:vertAlign w:val="superscript"/>
              </w:rPr>
              <w:t>11</w:t>
            </w:r>
            <w:r w:rsidRPr="0045095C">
              <w:t> Kuģošanas kompānija, kas ir uzņēmusies atbildību par pasažieru kuģa darbību:</w:t>
            </w:r>
          </w:p>
          <w:p w:rsidRPr="0045095C" w:rsidR="00767E7F" w:rsidP="00767E7F" w:rsidRDefault="00767E7F" w14:paraId="0B1EB772" w14:textId="77777777">
            <w:pPr>
              <w:jc w:val="both"/>
            </w:pPr>
          </w:p>
          <w:p w:rsidRPr="0045095C" w:rsidR="00767E7F" w:rsidP="00767E7F" w:rsidRDefault="00767E7F" w14:paraId="34703E1F" w14:textId="77777777">
            <w:pPr>
              <w:jc w:val="both"/>
            </w:pPr>
            <w:r w:rsidRPr="0045095C">
              <w:t>110.</w:t>
            </w:r>
            <w:r w:rsidRPr="0045095C">
              <w:rPr>
                <w:vertAlign w:val="superscript"/>
              </w:rPr>
              <w:t>11</w:t>
            </w:r>
            <w:r w:rsidRPr="0045095C">
              <w:t> 1. ieceļ reģistratoru;</w:t>
            </w:r>
          </w:p>
          <w:p w:rsidRPr="0045095C" w:rsidR="00767E7F" w:rsidP="00767E7F" w:rsidRDefault="00767E7F" w14:paraId="510BFD75" w14:textId="77777777">
            <w:pPr>
              <w:jc w:val="both"/>
            </w:pPr>
          </w:p>
          <w:p w:rsidRPr="0045095C" w:rsidR="00767E7F" w:rsidP="00767E7F" w:rsidRDefault="00767E7F" w14:paraId="5407554F" w14:textId="77777777">
            <w:pPr>
              <w:jc w:val="both"/>
            </w:pPr>
            <w:r w:rsidRPr="0045095C">
              <w:t>110.</w:t>
            </w:r>
            <w:r w:rsidRPr="0045095C">
              <w:rPr>
                <w:vertAlign w:val="superscript"/>
              </w:rPr>
              <w:t>11</w:t>
            </w:r>
            <w:r w:rsidRPr="0045095C">
              <w:t> 2. ievieš un uztur informācijas par personām, kas atrodas uz kuģošanas kompānijas pasažieru kuģa, reģistrācijas procedūru, kas nodrošina, lai šajā nodaļā minētā informācijas paziņošana notiek precīzi un laikus;</w:t>
            </w:r>
          </w:p>
          <w:p w:rsidRPr="0045095C" w:rsidR="00767E7F" w:rsidP="00767E7F" w:rsidRDefault="00767E7F" w14:paraId="38608F71" w14:textId="77777777">
            <w:pPr>
              <w:jc w:val="both"/>
            </w:pPr>
          </w:p>
          <w:p w:rsidRPr="0045095C" w:rsidR="00767E7F" w:rsidP="00767E7F" w:rsidRDefault="00767E7F" w14:paraId="6B6BB06C" w14:textId="77777777">
            <w:pPr>
              <w:jc w:val="both"/>
            </w:pPr>
            <w:r w:rsidRPr="0045095C">
              <w:t>110.</w:t>
            </w:r>
            <w:r w:rsidRPr="0045095C">
              <w:rPr>
                <w:vertAlign w:val="superscript"/>
              </w:rPr>
              <w:t>11</w:t>
            </w:r>
            <w:r w:rsidRPr="0045095C">
              <w:t> 3. nodrošina, lai informācijas par personām, kas atrodas uz kuģošanas kompānijas pasažieru kuģa, reģistrācijas procedūra neaizkavē pasažieru uzkāpšanu vai nokāpšanu no pasažieru kuģa;</w:t>
            </w:r>
          </w:p>
          <w:p w:rsidRPr="0045095C" w:rsidR="00767E7F" w:rsidP="00767E7F" w:rsidRDefault="00767E7F" w14:paraId="1D5C1F4A" w14:textId="77777777">
            <w:pPr>
              <w:jc w:val="both"/>
            </w:pPr>
          </w:p>
          <w:p w:rsidRPr="0045095C" w:rsidR="00767E7F" w:rsidP="00767E7F" w:rsidRDefault="00767E7F" w14:paraId="72291DB1" w14:textId="77777777">
            <w:pPr>
              <w:jc w:val="both"/>
            </w:pPr>
            <w:r w:rsidRPr="0045095C">
              <w:lastRenderedPageBreak/>
              <w:t>110.</w:t>
            </w:r>
            <w:r w:rsidRPr="0045095C">
              <w:rPr>
                <w:vertAlign w:val="superscript"/>
              </w:rPr>
              <w:t>11</w:t>
            </w:r>
            <w:r w:rsidRPr="0045095C">
              <w:t> 4. nodrošina, lai nenotiek vairākkārtēja informācijas par personām, kas atrodas uz kuģošanas kompānijas pasažieru kuģa, vākšana vienā vai līdzīgos pasažieru kuģa reisos.</w:t>
            </w:r>
          </w:p>
          <w:p w:rsidRPr="0045095C" w:rsidR="00767E7F" w:rsidP="00767E7F" w:rsidRDefault="00767E7F" w14:paraId="2E64F7E7" w14:textId="77777777">
            <w:pPr>
              <w:jc w:val="both"/>
              <w:rPr>
                <w:b/>
              </w:rPr>
            </w:pPr>
          </w:p>
          <w:p w:rsidRPr="0045095C" w:rsidR="00767E7F" w:rsidP="00767E7F" w:rsidRDefault="00767E7F" w14:paraId="72872245" w14:textId="77777777">
            <w:pPr>
              <w:jc w:val="both"/>
            </w:pPr>
            <w:r w:rsidRPr="0045095C">
              <w:t>110.</w:t>
            </w:r>
            <w:r w:rsidRPr="0045095C">
              <w:rPr>
                <w:vertAlign w:val="superscript"/>
              </w:rPr>
              <w:t>12</w:t>
            </w:r>
            <w:r w:rsidRPr="0045095C">
              <w:t> Latvijas Jūras administrācija regulāri pārbauda kuģošanas kompāniju informācijas par personām, kas atrodas uz kuģošanas kompānijas pasažieru kuģa, reģistrācijas procedūru atbilstību šīs nodaļas noteikumiem. Ja Latvijas Jūras administrācija konstatē neatbilstību, kuģošanas kompānijas pienākums ir nekavējoties to novērst.</w:t>
            </w:r>
          </w:p>
          <w:p w:rsidRPr="0045095C" w:rsidR="00767E7F" w:rsidP="00767E7F" w:rsidRDefault="00767E7F" w14:paraId="453AAA9A" w14:textId="77777777">
            <w:pPr>
              <w:jc w:val="both"/>
            </w:pPr>
          </w:p>
          <w:p w:rsidRPr="0045095C" w:rsidR="00767E7F" w:rsidP="00767E7F" w:rsidRDefault="00767E7F" w14:paraId="76AFA165" w14:textId="77777777">
            <w:pPr>
              <w:jc w:val="both"/>
            </w:pPr>
            <w:r w:rsidRPr="0045095C">
              <w:t>110.</w:t>
            </w:r>
            <w:r w:rsidRPr="0045095C">
              <w:rPr>
                <w:vertAlign w:val="superscript"/>
              </w:rPr>
              <w:t>13</w:t>
            </w:r>
            <w:r w:rsidRPr="0045095C">
              <w:t xml:space="preserve"> Šajā nodaļā noteikto ostas formalitāšu ievērošanu kontrolē Krasta apsardzes dienests sadarbībā ar Latvijas Jūras administrāciju. Krasta apsardzes dienests kontrolē, vai informācija par personām, kas atrodas uz kuģošanas kompānijas pasažieru kuģa, ir paziņota Starptautiskajā kravu loģistikas un ostu informācijas </w:t>
            </w:r>
            <w:r w:rsidRPr="0045095C">
              <w:lastRenderedPageBreak/>
              <w:t>sistēmā (SKLOIS). Latvijas Jūras administrācija kontrolē šo noteikumu 110.</w:t>
            </w:r>
            <w:r w:rsidRPr="0045095C">
              <w:rPr>
                <w:vertAlign w:val="superscript"/>
              </w:rPr>
              <w:t>12</w:t>
            </w:r>
            <w:r w:rsidRPr="0045095C">
              <w:t> punktā minēto reģistrācijas procedūru.</w:t>
            </w:r>
          </w:p>
          <w:p w:rsidRPr="0045095C" w:rsidR="00D41F3C" w:rsidP="00767E7F" w:rsidRDefault="00767E7F" w14:paraId="796E8253" w14:textId="4ACF9C86">
            <w:pPr>
              <w:jc w:val="both"/>
            </w:pPr>
            <w:r w:rsidRPr="0045095C">
              <w:t>(...)".</w:t>
            </w:r>
          </w:p>
        </w:tc>
      </w:tr>
      <w:tr w:rsidRPr="0045095C" w:rsidR="00D41F3C" w:rsidTr="00335A95" w14:paraId="7C7C3C15" w14:textId="77777777">
        <w:tc>
          <w:tcPr>
            <w:tcW w:w="708" w:type="dxa"/>
            <w:tcBorders>
              <w:left w:val="single" w:color="000000" w:sz="6" w:space="0"/>
              <w:bottom w:val="single" w:color="000000" w:sz="4" w:space="0"/>
              <w:right w:val="single" w:color="000000" w:sz="6" w:space="0"/>
            </w:tcBorders>
          </w:tcPr>
          <w:p w:rsidRPr="0045095C" w:rsidR="00D41F3C" w:rsidRDefault="00A94AFD" w14:paraId="25DBA097" w14:textId="0D7FF805">
            <w:pPr>
              <w:pBdr>
                <w:top w:val="nil"/>
                <w:left w:val="nil"/>
                <w:bottom w:val="nil"/>
                <w:right w:val="nil"/>
                <w:between w:val="nil"/>
              </w:pBdr>
              <w:jc w:val="center"/>
              <w:rPr>
                <w:color w:val="000000"/>
              </w:rPr>
            </w:pPr>
            <w:r w:rsidRPr="0045095C">
              <w:rPr>
                <w:color w:val="000000"/>
              </w:rPr>
              <w:lastRenderedPageBreak/>
              <w:t>4.</w:t>
            </w:r>
          </w:p>
        </w:tc>
        <w:tc>
          <w:tcPr>
            <w:tcW w:w="3090" w:type="dxa"/>
            <w:tcBorders>
              <w:left w:val="single" w:color="000000" w:sz="6" w:space="0"/>
              <w:bottom w:val="single" w:color="000000" w:sz="4" w:space="0"/>
              <w:right w:val="single" w:color="000000" w:sz="6" w:space="0"/>
            </w:tcBorders>
          </w:tcPr>
          <w:p w:rsidRPr="0045095C" w:rsidR="001409B9" w:rsidP="00335A95" w:rsidRDefault="00A94AFD" w14:paraId="75AC89FC" w14:textId="77777777">
            <w:pPr>
              <w:pBdr>
                <w:top w:val="nil"/>
                <w:left w:val="nil"/>
                <w:bottom w:val="nil"/>
                <w:right w:val="nil"/>
                <w:between w:val="nil"/>
              </w:pBdr>
              <w:jc w:val="both"/>
            </w:pPr>
            <w:r w:rsidRPr="0045095C">
              <w:t>Anotācija</w:t>
            </w:r>
          </w:p>
          <w:p w:rsidRPr="0045095C" w:rsidR="001409B9" w:rsidP="00335A95" w:rsidRDefault="001409B9" w14:paraId="77366D2C" w14:textId="77777777">
            <w:pPr>
              <w:pBdr>
                <w:top w:val="nil"/>
                <w:left w:val="nil"/>
                <w:bottom w:val="nil"/>
                <w:right w:val="nil"/>
                <w:between w:val="nil"/>
              </w:pBdr>
              <w:jc w:val="both"/>
              <w:rPr>
                <w:color w:val="000000"/>
              </w:rPr>
            </w:pPr>
          </w:p>
        </w:tc>
        <w:tc>
          <w:tcPr>
            <w:tcW w:w="3849" w:type="dxa"/>
            <w:tcBorders>
              <w:left w:val="single" w:color="000000" w:sz="6" w:space="0"/>
              <w:bottom w:val="single" w:color="000000" w:sz="4" w:space="0"/>
              <w:right w:val="single" w:color="000000" w:sz="6" w:space="0"/>
            </w:tcBorders>
          </w:tcPr>
          <w:p w:rsidRPr="0045095C" w:rsidR="00D41F3C" w:rsidP="00335A95" w:rsidRDefault="00A94AFD" w14:paraId="7E072F16" w14:textId="77777777">
            <w:pPr>
              <w:tabs>
                <w:tab w:val="left" w:pos="993"/>
              </w:tabs>
              <w:jc w:val="both"/>
            </w:pPr>
            <w:r w:rsidRPr="0045095C">
              <w:t>Lūdzam saistībā ar projekta 1.8. apakšpunktā izteikto 10.</w:t>
            </w:r>
            <w:r w:rsidRPr="0045095C">
              <w:rPr>
                <w:vertAlign w:val="superscript"/>
              </w:rPr>
              <w:t xml:space="preserve">4 </w:t>
            </w:r>
            <w:r w:rsidRPr="0045095C">
              <w:t>punktu sniegt izvērstu skaidrojumu projekta anotācijā par minētā regulējuma atbilstību normatīvajiem aktiem datu aizsardzības jomā, nepieciešamības gadījumā papildinot projektu.</w:t>
            </w:r>
          </w:p>
        </w:tc>
        <w:tc>
          <w:tcPr>
            <w:tcW w:w="3260" w:type="dxa"/>
            <w:tcBorders>
              <w:top w:val="single" w:color="000000" w:sz="4" w:space="0"/>
              <w:left w:val="single" w:color="000000" w:sz="4" w:space="0"/>
              <w:bottom w:val="single" w:color="000000" w:sz="4" w:space="0"/>
            </w:tcBorders>
          </w:tcPr>
          <w:p w:rsidRPr="0045095C" w:rsidR="00D41F3C" w:rsidP="00CC75B4" w:rsidRDefault="00335A95" w14:paraId="74A653CD" w14:textId="77777777">
            <w:pPr>
              <w:pBdr>
                <w:top w:val="nil"/>
                <w:left w:val="nil"/>
                <w:bottom w:val="nil"/>
                <w:right w:val="nil"/>
                <w:between w:val="nil"/>
              </w:pBdr>
              <w:jc w:val="center"/>
              <w:rPr>
                <w:b/>
                <w:color w:val="000000"/>
              </w:rPr>
            </w:pPr>
            <w:r w:rsidRPr="0045095C">
              <w:rPr>
                <w:b/>
                <w:color w:val="000000"/>
              </w:rPr>
              <w:t>Ņemts vērā</w:t>
            </w:r>
          </w:p>
        </w:tc>
        <w:tc>
          <w:tcPr>
            <w:tcW w:w="3241" w:type="dxa"/>
            <w:tcBorders>
              <w:left w:val="single" w:color="000000" w:sz="6" w:space="0"/>
              <w:bottom w:val="single" w:color="000000" w:sz="4" w:space="0"/>
              <w:right w:val="single" w:color="000000" w:sz="6" w:space="0"/>
            </w:tcBorders>
          </w:tcPr>
          <w:p w:rsidRPr="0045095C" w:rsidR="008C51F8" w:rsidP="00335A95" w:rsidRDefault="0025662B" w14:paraId="2BE9E692" w14:textId="36940AAD">
            <w:pPr>
              <w:jc w:val="both"/>
            </w:pPr>
            <w:r>
              <w:t>P</w:t>
            </w:r>
            <w:r w:rsidRPr="0045095C">
              <w:t xml:space="preserve">apildināts </w:t>
            </w:r>
            <w:r>
              <w:t>a</w:t>
            </w:r>
            <w:r w:rsidRPr="0045095C" w:rsidR="008C51F8">
              <w:t>notācijas I sadaļas 2. punkts:</w:t>
            </w:r>
          </w:p>
          <w:p w:rsidRPr="0045095C" w:rsidR="00412A32" w:rsidP="00412A32" w:rsidRDefault="00B40D7B" w14:paraId="473F35B2" w14:textId="63168EEF">
            <w:pPr>
              <w:jc w:val="both"/>
            </w:pPr>
            <w:r w:rsidRPr="0045095C">
              <w:t>"</w:t>
            </w:r>
            <w:r w:rsidRPr="0045095C" w:rsidR="00412A32">
              <w:t>Fizisko personu datu apstrāde notiek, pamatojoties uz Eiropas Parlamenta un Padomes 2016. gada 27. aprīļa regulas (ES) 2016/679 par fizisku personu aizsardzību attiecībā uz personas datu apstrādi un šādu d</w:t>
            </w:r>
            <w:r w:rsidRPr="0045095C" w:rsidR="009C1D48">
              <w:t xml:space="preserve">atu brīvu apriti un ar ko atceļ </w:t>
            </w:r>
            <w:r w:rsidRPr="0045095C" w:rsidR="00412A32">
              <w:t>direktīvu 95/46/EK (Vispārīgā datu aizsardzības regula) 6. panta 1. punkta d) apakšpunktā minēto datu apstrādes pamatu – apstrāde ir vajadzīga, lai aizsargātu datu subjekta vai citas fiziskas personas vitālas intereses.</w:t>
            </w:r>
          </w:p>
          <w:p w:rsidRPr="0045095C" w:rsidR="00412A32" w:rsidP="00412A32" w:rsidRDefault="00412A32" w14:paraId="5EFBD284" w14:textId="533F2FE1">
            <w:pPr>
              <w:jc w:val="both"/>
              <w:rPr>
                <w:bCs/>
              </w:rPr>
            </w:pPr>
            <w:r w:rsidRPr="0045095C">
              <w:t xml:space="preserve">Šis tiesiskais pamats izriet no Direktīvas </w:t>
            </w:r>
            <w:r w:rsidRPr="0045095C">
              <w:rPr>
                <w:bCs/>
              </w:rPr>
              <w:t xml:space="preserve">98/41/EK un Direktīvas (ES) 2017/2109 preambulas, kurā ir uzsvērts, ka personām, kas Eiropas </w:t>
            </w:r>
            <w:r w:rsidRPr="0045095C">
              <w:rPr>
                <w:bCs/>
              </w:rPr>
              <w:lastRenderedPageBreak/>
              <w:t>Savienīb</w:t>
            </w:r>
            <w:r w:rsidRPr="0045095C" w:rsidR="006E0FA7">
              <w:rPr>
                <w:bCs/>
              </w:rPr>
              <w:t>ā</w:t>
            </w:r>
            <w:r w:rsidRPr="0045095C">
              <w:rPr>
                <w:bCs/>
              </w:rPr>
              <w:t xml:space="preserve"> izmanto pasažieru kuģus un ātrgaitas pasažieru kuģus, ir tiesības saņemt un paļauties, ka saņems attiecīga līmeņa drošību un pienācīgu informācijas sistēmu, kas sekmē meklēšanas un glābšanas darbus un negadījuma seku efektīvu likvidēšanu.</w:t>
            </w:r>
            <w:r w:rsidRPr="0045095C">
              <w:t xml:space="preserve"> </w:t>
            </w:r>
            <w:r w:rsidRPr="0045095C">
              <w:rPr>
                <w:bCs/>
              </w:rPr>
              <w:t>Precīza un laikus pieejama informācija par personu skaitu uz kuģa vai to identitāti ir būtiska meklēšanas un glābšanas operāciju sagatavošanai un efektivitātei.</w:t>
            </w:r>
          </w:p>
          <w:p w:rsidRPr="0045095C" w:rsidR="00D41F3C" w:rsidP="00412A32" w:rsidRDefault="00412A32" w14:paraId="7DC7FE85" w14:textId="2642FB47">
            <w:pPr>
              <w:jc w:val="both"/>
              <w:rPr>
                <w:bCs/>
              </w:rPr>
            </w:pPr>
            <w:r w:rsidRPr="0045095C">
              <w:rPr>
                <w:bCs/>
              </w:rPr>
              <w:t>Ievērojot pārņemamās un ieviešamās Direktīvās (ES) 2017/2109 prasības, projekts un saistītais Ministru kabineta noteikumu projekts "Starptautiskās kravu loģistikas un ostu informācijas sistēmas noteikumi" cita starpā nodrošina apstrādājamo datu veidu, datu subjektu, datu izpaušanas kārtības un mērķu, glabāšanas termiņu un citu prasību atbilstību normatīvajiem aktiem datu aizsardzības jomā.</w:t>
            </w:r>
            <w:r w:rsidRPr="0045095C" w:rsidR="00B40D7B">
              <w:rPr>
                <w:bCs/>
              </w:rPr>
              <w:t>"</w:t>
            </w:r>
          </w:p>
        </w:tc>
      </w:tr>
      <w:tr w:rsidRPr="0045095C" w:rsidR="00D41F3C" w:rsidTr="00335A95" w14:paraId="0AA2CA0E" w14:textId="77777777">
        <w:tc>
          <w:tcPr>
            <w:tcW w:w="708" w:type="dxa"/>
            <w:tcBorders>
              <w:left w:val="single" w:color="000000" w:sz="6" w:space="0"/>
              <w:bottom w:val="single" w:color="000000" w:sz="4" w:space="0"/>
              <w:right w:val="single" w:color="000000" w:sz="6" w:space="0"/>
            </w:tcBorders>
          </w:tcPr>
          <w:p w:rsidRPr="0045095C" w:rsidR="00D41F3C" w:rsidRDefault="00A94AFD" w14:paraId="4519F6ED" w14:textId="77777777">
            <w:pPr>
              <w:pBdr>
                <w:top w:val="nil"/>
                <w:left w:val="nil"/>
                <w:bottom w:val="nil"/>
                <w:right w:val="nil"/>
                <w:between w:val="nil"/>
              </w:pBdr>
              <w:jc w:val="center"/>
              <w:rPr>
                <w:color w:val="000000"/>
              </w:rPr>
            </w:pPr>
            <w:r w:rsidRPr="0045095C">
              <w:rPr>
                <w:color w:val="000000"/>
              </w:rPr>
              <w:lastRenderedPageBreak/>
              <w:t>5.</w:t>
            </w:r>
          </w:p>
        </w:tc>
        <w:tc>
          <w:tcPr>
            <w:tcW w:w="3090" w:type="dxa"/>
            <w:tcBorders>
              <w:left w:val="single" w:color="000000" w:sz="6" w:space="0"/>
              <w:bottom w:val="single" w:color="000000" w:sz="4" w:space="0"/>
              <w:right w:val="single" w:color="000000" w:sz="6" w:space="0"/>
            </w:tcBorders>
          </w:tcPr>
          <w:p w:rsidRPr="0045095C" w:rsidR="00D41F3C" w:rsidP="00C56308" w:rsidRDefault="00A94AFD" w14:paraId="1022C156" w14:textId="77777777">
            <w:pPr>
              <w:jc w:val="both"/>
            </w:pPr>
            <w:r w:rsidRPr="0045095C">
              <w:t>1.8. Izteikt 9.</w:t>
            </w:r>
            <w:r w:rsidRPr="0045095C">
              <w:rPr>
                <w:vertAlign w:val="superscript"/>
              </w:rPr>
              <w:t>1</w:t>
            </w:r>
            <w:r w:rsidRPr="0045095C">
              <w:t xml:space="preserve"> nodaļu šādā redakcijā:</w:t>
            </w:r>
          </w:p>
          <w:p w:rsidRPr="0045095C" w:rsidR="00D41F3C" w:rsidP="00C56308" w:rsidRDefault="00D41F3C" w14:paraId="205FAE8D" w14:textId="77777777">
            <w:pPr>
              <w:jc w:val="both"/>
            </w:pPr>
          </w:p>
          <w:p w:rsidRPr="0045095C" w:rsidR="00D41F3C" w:rsidP="00C56308" w:rsidRDefault="00A94AFD" w14:paraId="11B81471" w14:textId="77777777">
            <w:pPr>
              <w:jc w:val="both"/>
            </w:pPr>
            <w:r w:rsidRPr="0045095C">
              <w:lastRenderedPageBreak/>
              <w:t>"(..)</w:t>
            </w:r>
          </w:p>
          <w:p w:rsidRPr="0045095C" w:rsidR="00D41F3C" w:rsidP="00C56308" w:rsidRDefault="00A94AFD" w14:paraId="5DF4F5E3" w14:textId="77777777">
            <w:pPr>
              <w:jc w:val="both"/>
            </w:pPr>
            <w:r w:rsidRPr="0045095C">
              <w:t>110.</w:t>
            </w:r>
            <w:r w:rsidRPr="0045095C">
              <w:rPr>
                <w:vertAlign w:val="superscript"/>
              </w:rPr>
              <w:t>10</w:t>
            </w:r>
            <w:r w:rsidRPr="0045095C">
              <w:t> Ja pasažieru kuģis, kas kuģo ar Latvijas karogu, iziet no ostas, kas atrodas ārpus Eiropas Savienības, un tā reisa nākamā osta ir Eiropas Savienībā, tad kuģošanas kompānija nodrošina, lai šo noteikumu 110.</w:t>
            </w:r>
            <w:r w:rsidRPr="0045095C">
              <w:rPr>
                <w:vertAlign w:val="superscript"/>
              </w:rPr>
              <w:t>3</w:t>
            </w:r>
            <w:r w:rsidRPr="0045095C">
              <w:t> un 110.</w:t>
            </w:r>
            <w:r w:rsidRPr="0045095C">
              <w:rPr>
                <w:vertAlign w:val="superscript"/>
              </w:rPr>
              <w:t>4 </w:t>
            </w:r>
            <w:r w:rsidRPr="0045095C">
              <w:t>punktā minētā informācija tiktu paziņota saskaņā ar attiecīgās Eiropas Savienības dalībvalsts tiesību aktiem, kas pārņem Padomes 1998. gada 18. jūnija Direktīvu 98/41/EK par to personu reģistrāciju, kas atrodas uz pasažieru kuģiem, kuri kursē uz Kopienas dalībvalstu ostām vai no tām.</w:t>
            </w:r>
          </w:p>
          <w:p w:rsidRPr="0045095C" w:rsidR="00D41F3C" w:rsidP="00C56308" w:rsidRDefault="00A94AFD" w14:paraId="1989E035" w14:textId="77777777">
            <w:pPr>
              <w:jc w:val="both"/>
            </w:pPr>
            <w:r w:rsidRPr="0045095C">
              <w:t>(..)"</w:t>
            </w:r>
          </w:p>
        </w:tc>
        <w:tc>
          <w:tcPr>
            <w:tcW w:w="3849" w:type="dxa"/>
            <w:tcBorders>
              <w:left w:val="single" w:color="000000" w:sz="6" w:space="0"/>
              <w:bottom w:val="single" w:color="000000" w:sz="4" w:space="0"/>
              <w:right w:val="single" w:color="000000" w:sz="6" w:space="0"/>
            </w:tcBorders>
          </w:tcPr>
          <w:p w:rsidRPr="0045095C" w:rsidR="00D41F3C" w:rsidP="00C56308" w:rsidRDefault="00A94AFD" w14:paraId="596B0374" w14:textId="77777777">
            <w:pPr>
              <w:tabs>
                <w:tab w:val="left" w:pos="993"/>
              </w:tabs>
              <w:jc w:val="both"/>
            </w:pPr>
            <w:r w:rsidRPr="0045095C">
              <w:lastRenderedPageBreak/>
              <w:t>Projekta 1.8. apakšpunktā izteiktajā noteikumu 110.</w:t>
            </w:r>
            <w:r w:rsidRPr="0045095C">
              <w:rPr>
                <w:vertAlign w:val="superscript"/>
              </w:rPr>
              <w:t xml:space="preserve">10 </w:t>
            </w:r>
            <w:r w:rsidRPr="0045095C">
              <w:t xml:space="preserve">punktā ietverta atsauce uz Eiropas Padomes 1998. </w:t>
            </w:r>
            <w:r w:rsidRPr="0045095C">
              <w:lastRenderedPageBreak/>
              <w:t>gada 18. jūnija Direktīvu 98/41/EK par to personu reģistrāciju, kas atrodas uz pasažieru kuģiem, kuri kursē uz Kopienas dalībvalstu ostām vai no tām. Vēršam uzmanību, ka no Līguma par Eiropas Savienības darbību 288. panta izriet, ka Eiropas Savienības direktīvas nav tieši piemērojamas. Attiecīgi atsauce uz tām nacionālo normatīvo aktu tekstā nav pieļaujama. Ievērojot minēto, lūdzam pārņemt attiecīgās direktīvas regulējumu projektā vai norādīt atsauci uz normatīvo aktu vai to jomu, kur ietvertas attiecīgās direktīvas prasības saskaņā ar MKN 108 3.7. apakšnodaļu.</w:t>
            </w:r>
          </w:p>
        </w:tc>
        <w:tc>
          <w:tcPr>
            <w:tcW w:w="3260" w:type="dxa"/>
            <w:tcBorders>
              <w:top w:val="single" w:color="000000" w:sz="4" w:space="0"/>
              <w:left w:val="single" w:color="000000" w:sz="4" w:space="0"/>
              <w:bottom w:val="single" w:color="000000" w:sz="4" w:space="0"/>
            </w:tcBorders>
          </w:tcPr>
          <w:p w:rsidRPr="0045095C" w:rsidR="00D41F3C" w:rsidP="00CC75B4" w:rsidRDefault="00A94AFD" w14:paraId="79706DCD" w14:textId="77777777">
            <w:pPr>
              <w:pBdr>
                <w:top w:val="nil"/>
                <w:left w:val="nil"/>
                <w:bottom w:val="nil"/>
                <w:right w:val="nil"/>
                <w:between w:val="nil"/>
              </w:pBdr>
              <w:jc w:val="center"/>
              <w:rPr>
                <w:b/>
                <w:color w:val="000000"/>
              </w:rPr>
            </w:pPr>
            <w:r w:rsidRPr="0045095C">
              <w:rPr>
                <w:b/>
              </w:rPr>
              <w:lastRenderedPageBreak/>
              <w:t>Ņemts vērā</w:t>
            </w:r>
          </w:p>
        </w:tc>
        <w:tc>
          <w:tcPr>
            <w:tcW w:w="3241" w:type="dxa"/>
            <w:tcBorders>
              <w:left w:val="single" w:color="000000" w:sz="6" w:space="0"/>
              <w:bottom w:val="single" w:color="000000" w:sz="4" w:space="0"/>
              <w:right w:val="single" w:color="000000" w:sz="6" w:space="0"/>
            </w:tcBorders>
          </w:tcPr>
          <w:p w:rsidRPr="0045095C" w:rsidR="00D41F3C" w:rsidP="00C56308" w:rsidRDefault="00A94AFD" w14:paraId="69314A8E" w14:textId="5C3A0881">
            <w:pPr>
              <w:jc w:val="both"/>
            </w:pPr>
            <w:r w:rsidRPr="0045095C">
              <w:t>8. Izteikt 9.</w:t>
            </w:r>
            <w:r w:rsidRPr="0045095C">
              <w:rPr>
                <w:vertAlign w:val="superscript"/>
              </w:rPr>
              <w:t>1</w:t>
            </w:r>
            <w:r w:rsidRPr="0045095C">
              <w:t xml:space="preserve"> nodaļu šādā redakcijā:</w:t>
            </w:r>
          </w:p>
          <w:p w:rsidRPr="0045095C" w:rsidR="00D41F3C" w:rsidP="00C56308" w:rsidRDefault="00D41F3C" w14:paraId="230617CF" w14:textId="77777777">
            <w:pPr>
              <w:jc w:val="both"/>
            </w:pPr>
          </w:p>
          <w:p w:rsidRPr="0045095C" w:rsidR="00D41F3C" w:rsidP="00C56308" w:rsidRDefault="00A94AFD" w14:paraId="3BCC1B18" w14:textId="77777777">
            <w:pPr>
              <w:jc w:val="both"/>
            </w:pPr>
            <w:r w:rsidRPr="0045095C">
              <w:lastRenderedPageBreak/>
              <w:t>"(..)</w:t>
            </w:r>
          </w:p>
          <w:p w:rsidRPr="0045095C" w:rsidR="00D41F3C" w:rsidP="00C56308" w:rsidRDefault="00A94AFD" w14:paraId="203838B8" w14:textId="77777777">
            <w:pPr>
              <w:jc w:val="both"/>
            </w:pPr>
            <w:r w:rsidRPr="0045095C">
              <w:t>110.</w:t>
            </w:r>
            <w:r w:rsidRPr="0045095C">
              <w:rPr>
                <w:vertAlign w:val="superscript"/>
              </w:rPr>
              <w:t>10</w:t>
            </w:r>
            <w:r w:rsidRPr="0045095C">
              <w:t> Ja pasažieru kuģis, kas kuģo ar Latvijas karogu, iziet no ostas, kas atrodas ārpus Eiropas Savienības, un tā reisa nākamā osta ir Eiropas Savienībā, tad kuģošanas kompānija nodrošina, lai šo noteikumu 110.</w:t>
            </w:r>
            <w:r w:rsidRPr="0045095C">
              <w:rPr>
                <w:vertAlign w:val="superscript"/>
              </w:rPr>
              <w:t>3</w:t>
            </w:r>
            <w:r w:rsidRPr="0045095C">
              <w:t> un 110.</w:t>
            </w:r>
            <w:r w:rsidRPr="0045095C">
              <w:rPr>
                <w:vertAlign w:val="superscript"/>
              </w:rPr>
              <w:t>4 </w:t>
            </w:r>
            <w:r w:rsidRPr="0045095C">
              <w:t xml:space="preserve">punktā minētā informācija tiktu paziņota saskaņā ar attiecīgās Eiropas Savienības dalībvalsts normatīvajiem aktiem </w:t>
            </w:r>
            <w:r w:rsidRPr="0045095C" w:rsidR="00FF04D8">
              <w:t xml:space="preserve">par to personu reģistrāciju, kas atrodas uz pasažieru kuģiem, kuri kursē uz </w:t>
            </w:r>
            <w:r w:rsidRPr="0045095C" w:rsidR="00C56308">
              <w:t xml:space="preserve">Eiropas Savienības </w:t>
            </w:r>
            <w:r w:rsidRPr="0045095C" w:rsidR="00FF04D8">
              <w:t>dalībvalstu ostām vai no tām</w:t>
            </w:r>
            <w:r w:rsidRPr="0045095C">
              <w:t>.</w:t>
            </w:r>
          </w:p>
          <w:p w:rsidRPr="0045095C" w:rsidR="00D41F3C" w:rsidP="00C56308" w:rsidRDefault="00A94AFD" w14:paraId="27E4ABE2" w14:textId="77777777">
            <w:pPr>
              <w:jc w:val="both"/>
            </w:pPr>
            <w:r w:rsidRPr="0045095C">
              <w:t>(..)"</w:t>
            </w:r>
          </w:p>
        </w:tc>
      </w:tr>
      <w:tr w:rsidRPr="0045095C" w:rsidR="00D41F3C" w:rsidTr="00335A95" w14:paraId="1E4FCBC4" w14:textId="77777777">
        <w:tc>
          <w:tcPr>
            <w:tcW w:w="708" w:type="dxa"/>
            <w:tcBorders>
              <w:left w:val="single" w:color="000000" w:sz="6" w:space="0"/>
              <w:bottom w:val="single" w:color="000000" w:sz="4" w:space="0"/>
              <w:right w:val="single" w:color="000000" w:sz="6" w:space="0"/>
            </w:tcBorders>
          </w:tcPr>
          <w:p w:rsidRPr="0045095C" w:rsidR="00D41F3C" w:rsidRDefault="00A94AFD" w14:paraId="222E4378" w14:textId="77777777">
            <w:pPr>
              <w:pBdr>
                <w:top w:val="nil"/>
                <w:left w:val="nil"/>
                <w:bottom w:val="nil"/>
                <w:right w:val="nil"/>
                <w:between w:val="nil"/>
              </w:pBdr>
              <w:jc w:val="center"/>
              <w:rPr>
                <w:color w:val="000000"/>
              </w:rPr>
            </w:pPr>
            <w:r w:rsidRPr="0045095C">
              <w:rPr>
                <w:color w:val="000000"/>
              </w:rPr>
              <w:lastRenderedPageBreak/>
              <w:t>6.</w:t>
            </w:r>
          </w:p>
        </w:tc>
        <w:tc>
          <w:tcPr>
            <w:tcW w:w="3090" w:type="dxa"/>
            <w:tcBorders>
              <w:left w:val="single" w:color="000000" w:sz="6" w:space="0"/>
              <w:bottom w:val="single" w:color="000000" w:sz="4" w:space="0"/>
              <w:right w:val="single" w:color="000000" w:sz="6" w:space="0"/>
            </w:tcBorders>
          </w:tcPr>
          <w:p w:rsidRPr="0045095C" w:rsidR="00D41F3C" w:rsidP="00C56308" w:rsidRDefault="00C56308" w14:paraId="63DF17E7" w14:textId="77777777">
            <w:pPr>
              <w:pBdr>
                <w:top w:val="nil"/>
                <w:left w:val="nil"/>
                <w:bottom w:val="nil"/>
                <w:right w:val="nil"/>
                <w:between w:val="nil"/>
              </w:pBdr>
              <w:jc w:val="both"/>
              <w:rPr>
                <w:color w:val="000000"/>
              </w:rPr>
            </w:pPr>
            <w:r w:rsidRPr="0045095C">
              <w:rPr>
                <w:color w:val="000000"/>
              </w:rPr>
              <w:t>Anotācijas V sadaļas 1. tabula</w:t>
            </w:r>
          </w:p>
        </w:tc>
        <w:tc>
          <w:tcPr>
            <w:tcW w:w="3849" w:type="dxa"/>
            <w:tcBorders>
              <w:left w:val="single" w:color="000000" w:sz="6" w:space="0"/>
              <w:bottom w:val="single" w:color="000000" w:sz="4" w:space="0"/>
              <w:right w:val="single" w:color="000000" w:sz="6" w:space="0"/>
            </w:tcBorders>
          </w:tcPr>
          <w:p w:rsidRPr="0045095C" w:rsidR="00D41F3C" w:rsidP="00C56308" w:rsidRDefault="00A94AFD" w14:paraId="00A4D36F" w14:textId="77777777">
            <w:pPr>
              <w:tabs>
                <w:tab w:val="left" w:pos="993"/>
              </w:tabs>
              <w:jc w:val="both"/>
            </w:pPr>
            <w:r w:rsidRPr="0045095C">
              <w:t xml:space="preserve">Projekta anotācijas V sadaļas 1. tabulā norādīts, ka projekta 1.8. apakšpunktā pārņemtas vairākas Eiropas Parlamenta un Padomes 2017. gada 15. novembra Direktīvas (ES) 2017/2109, ar ko groza Padomes Direktīvu 98/41/EK par to personu reģistrāciju, kas atrodas uz pasažieru kuģiem, kuri kursē uz Kopienas dalībvalstu ostām vai no tām, un Eiropas Parlamenta un Padomes Direktīvu 2010/65/ES par ziņošanas </w:t>
            </w:r>
            <w:r w:rsidRPr="0045095C">
              <w:lastRenderedPageBreak/>
              <w:t>formalitātēm kuģiem, kuri ienāk dalībvalstu ostās un/vai iziet no tām, (turpmāk – Direktīva) prasības. Tomēr norādām, ka projekta 1.8. apakšpunktā jaunā redakcijā izteikta noteikumu 9.</w:t>
            </w:r>
            <w:r w:rsidRPr="0045095C">
              <w:rPr>
                <w:vertAlign w:val="superscript"/>
              </w:rPr>
              <w:t xml:space="preserve">1 </w:t>
            </w:r>
            <w:r w:rsidRPr="0045095C">
              <w:t>nodaļa un pašlaik nav iespējams identificēt, kurās 9.</w:t>
            </w:r>
            <w:r w:rsidRPr="0045095C">
              <w:rPr>
                <w:vertAlign w:val="superscript"/>
              </w:rPr>
              <w:t xml:space="preserve">1 </w:t>
            </w:r>
            <w:r w:rsidRPr="0045095C">
              <w:t>nodaļas normās ietvertas attiecīgās Direktīvas prasības. Ievērojot minēto, lūdzam precizēt projekta anotācijas V sadaļas 1. tabulu, norādot konkrētas projekta 1.8. apakšpunkta vienības, kurās ietvertas attiecīgās Direktīvas prasības.</w:t>
            </w:r>
          </w:p>
        </w:tc>
        <w:tc>
          <w:tcPr>
            <w:tcW w:w="3260" w:type="dxa"/>
            <w:tcBorders>
              <w:top w:val="single" w:color="000000" w:sz="4" w:space="0"/>
              <w:left w:val="single" w:color="000000" w:sz="4" w:space="0"/>
              <w:bottom w:val="single" w:color="000000" w:sz="4" w:space="0"/>
            </w:tcBorders>
          </w:tcPr>
          <w:p w:rsidRPr="0045095C" w:rsidR="00D41F3C" w:rsidP="00CC75B4" w:rsidRDefault="00430908" w14:paraId="4E500CFC" w14:textId="77777777">
            <w:pPr>
              <w:pBdr>
                <w:top w:val="nil"/>
                <w:left w:val="nil"/>
                <w:bottom w:val="nil"/>
                <w:right w:val="nil"/>
                <w:between w:val="nil"/>
              </w:pBdr>
              <w:jc w:val="center"/>
              <w:rPr>
                <w:b/>
                <w:color w:val="000000"/>
              </w:rPr>
            </w:pPr>
            <w:r w:rsidRPr="0045095C">
              <w:rPr>
                <w:b/>
                <w:color w:val="000000"/>
              </w:rPr>
              <w:lastRenderedPageBreak/>
              <w:t>Ņemts vērā</w:t>
            </w:r>
          </w:p>
        </w:tc>
        <w:tc>
          <w:tcPr>
            <w:tcW w:w="3241" w:type="dxa"/>
            <w:tcBorders>
              <w:left w:val="single" w:color="000000" w:sz="6" w:space="0"/>
              <w:bottom w:val="single" w:color="000000" w:sz="4" w:space="0"/>
              <w:right w:val="single" w:color="000000" w:sz="6" w:space="0"/>
            </w:tcBorders>
          </w:tcPr>
          <w:p w:rsidRPr="0045095C" w:rsidR="0077735C" w:rsidP="00C56308" w:rsidRDefault="00C56308" w14:paraId="700EFA35" w14:textId="2941E2EB">
            <w:pPr>
              <w:jc w:val="both"/>
            </w:pPr>
            <w:r w:rsidRPr="0045095C">
              <w:t>Precizēta a</w:t>
            </w:r>
            <w:r w:rsidRPr="0045095C" w:rsidR="0077735C">
              <w:t xml:space="preserve">notācijas V sadaļas </w:t>
            </w:r>
            <w:r w:rsidRPr="0045095C" w:rsidR="007645F6">
              <w:t>1</w:t>
            </w:r>
            <w:r w:rsidRPr="0045095C" w:rsidR="0077735C">
              <w:t xml:space="preserve">. </w:t>
            </w:r>
            <w:r w:rsidRPr="0045095C" w:rsidR="007645F6">
              <w:t>tabula</w:t>
            </w:r>
            <w:r w:rsidR="00AA53D4">
              <w:t>.</w:t>
            </w:r>
          </w:p>
          <w:p w:rsidRPr="0045095C" w:rsidR="00D41F3C" w:rsidP="00C56308" w:rsidRDefault="00D41F3C" w14:paraId="09A1C6AF" w14:textId="77777777">
            <w:pPr>
              <w:jc w:val="both"/>
            </w:pPr>
          </w:p>
        </w:tc>
      </w:tr>
      <w:tr w:rsidRPr="0045095C" w:rsidR="00D41F3C" w:rsidTr="00335A95" w14:paraId="300B8A08" w14:textId="77777777">
        <w:tc>
          <w:tcPr>
            <w:tcW w:w="708" w:type="dxa"/>
            <w:tcBorders>
              <w:left w:val="single" w:color="000000" w:sz="6" w:space="0"/>
              <w:bottom w:val="single" w:color="auto" w:sz="4" w:space="0"/>
              <w:right w:val="single" w:color="000000" w:sz="6" w:space="0"/>
            </w:tcBorders>
          </w:tcPr>
          <w:p w:rsidRPr="0045095C" w:rsidR="00D41F3C" w:rsidRDefault="00A94AFD" w14:paraId="7648EDC6" w14:textId="77777777">
            <w:pPr>
              <w:pBdr>
                <w:top w:val="nil"/>
                <w:left w:val="nil"/>
                <w:bottom w:val="nil"/>
                <w:right w:val="nil"/>
                <w:between w:val="nil"/>
              </w:pBdr>
              <w:jc w:val="center"/>
              <w:rPr>
                <w:color w:val="000000"/>
              </w:rPr>
            </w:pPr>
            <w:r w:rsidRPr="0045095C">
              <w:rPr>
                <w:color w:val="000000"/>
              </w:rPr>
              <w:t>7.</w:t>
            </w:r>
          </w:p>
        </w:tc>
        <w:tc>
          <w:tcPr>
            <w:tcW w:w="3090" w:type="dxa"/>
            <w:tcBorders>
              <w:left w:val="single" w:color="000000" w:sz="6" w:space="0"/>
              <w:bottom w:val="single" w:color="auto" w:sz="4" w:space="0"/>
              <w:right w:val="single" w:color="000000" w:sz="6" w:space="0"/>
            </w:tcBorders>
          </w:tcPr>
          <w:p w:rsidRPr="0045095C" w:rsidR="003B1DDB" w:rsidP="00C56308" w:rsidRDefault="00C56308" w14:paraId="66D6C162" w14:textId="77777777">
            <w:pPr>
              <w:pBdr>
                <w:top w:val="nil"/>
                <w:left w:val="nil"/>
                <w:bottom w:val="nil"/>
                <w:right w:val="nil"/>
                <w:between w:val="nil"/>
              </w:pBdr>
              <w:jc w:val="both"/>
              <w:rPr>
                <w:color w:val="000000"/>
              </w:rPr>
            </w:pPr>
            <w:r w:rsidRPr="0045095C">
              <w:rPr>
                <w:color w:val="000000"/>
              </w:rPr>
              <w:t>Anotācijas V sadaļas 2. punkts un 2. tabula</w:t>
            </w:r>
          </w:p>
        </w:tc>
        <w:tc>
          <w:tcPr>
            <w:tcW w:w="3849" w:type="dxa"/>
            <w:tcBorders>
              <w:left w:val="single" w:color="000000" w:sz="6" w:space="0"/>
              <w:bottom w:val="single" w:color="auto" w:sz="4" w:space="0"/>
              <w:right w:val="single" w:color="000000" w:sz="6" w:space="0"/>
            </w:tcBorders>
          </w:tcPr>
          <w:p w:rsidR="00D41F3C" w:rsidP="00C56308" w:rsidRDefault="00A94AFD" w14:paraId="4E947AE1" w14:textId="77777777">
            <w:pPr>
              <w:tabs>
                <w:tab w:val="left" w:pos="993"/>
              </w:tabs>
              <w:jc w:val="both"/>
            </w:pPr>
            <w:r w:rsidRPr="0045095C">
              <w:t>Ņemot vērā, ka projektā ieviesti vairāki starptautiskie tiesību akti, lūdzam aizpildīt projekta anotācijas V sadaļas 2. punktu un 2. tabulu atbilstoši Ministru kabineta 2009. gada 15. decembra instrukcijas Nr. 19 “Tiesību akta projekta sākotnējās ietekmes izvērtēšanas kārtība” 57. un 58. punktam. Vienlaikus izsakām bažas, vai visi starptautiskie tiesību akti  korekti ieviesti Latvijas tiesību sistēmā, proti, to aktuālās versijas  pieejamas ikvienam latviešu valodā. Ievērojot minēto, lūdzam skaidrot minēto starptautisko tiesību aktu pieejamību, nepieciešamības gadījumā to nodrošinot.</w:t>
            </w:r>
          </w:p>
          <w:p w:rsidRPr="0045095C" w:rsidR="00854491" w:rsidP="00C56308" w:rsidRDefault="00854491" w14:paraId="57C5C190" w14:textId="77777777">
            <w:pPr>
              <w:tabs>
                <w:tab w:val="left" w:pos="993"/>
              </w:tabs>
              <w:jc w:val="both"/>
            </w:pPr>
          </w:p>
        </w:tc>
        <w:tc>
          <w:tcPr>
            <w:tcW w:w="3260" w:type="dxa"/>
            <w:tcBorders>
              <w:top w:val="single" w:color="000000" w:sz="4" w:space="0"/>
              <w:left w:val="single" w:color="000000" w:sz="4" w:space="0"/>
              <w:bottom w:val="single" w:color="auto" w:sz="4" w:space="0"/>
            </w:tcBorders>
          </w:tcPr>
          <w:p w:rsidRPr="00854491" w:rsidR="00B40D7B" w:rsidP="00CC75B4" w:rsidRDefault="00CC75B4" w14:paraId="2EA3C29F" w14:textId="038F1E44">
            <w:pPr>
              <w:pBdr>
                <w:top w:val="nil"/>
                <w:left w:val="nil"/>
                <w:bottom w:val="nil"/>
                <w:right w:val="nil"/>
                <w:between w:val="nil"/>
              </w:pBdr>
              <w:jc w:val="center"/>
              <w:rPr>
                <w:b/>
                <w:color w:val="000000"/>
              </w:rPr>
            </w:pPr>
            <w:r w:rsidRPr="00CC75B4">
              <w:rPr>
                <w:b/>
                <w:color w:val="000000"/>
              </w:rPr>
              <w:t>Panākta vienošanās elektroniskās saskaņošanas laikā</w:t>
            </w:r>
          </w:p>
        </w:tc>
        <w:tc>
          <w:tcPr>
            <w:tcW w:w="3241" w:type="dxa"/>
            <w:tcBorders>
              <w:left w:val="single" w:color="000000" w:sz="6" w:space="0"/>
              <w:bottom w:val="single" w:color="auto" w:sz="4" w:space="0"/>
              <w:right w:val="single" w:color="000000" w:sz="6" w:space="0"/>
            </w:tcBorders>
          </w:tcPr>
          <w:p w:rsidRPr="0045095C" w:rsidR="00E3569D" w:rsidP="00C56308" w:rsidRDefault="00703810" w14:paraId="5B6E1A69" w14:textId="79562B19">
            <w:pPr>
              <w:jc w:val="both"/>
            </w:pPr>
            <w:r>
              <w:t>P</w:t>
            </w:r>
            <w:r w:rsidRPr="0045095C">
              <w:t xml:space="preserve">apildināts </w:t>
            </w:r>
            <w:r>
              <w:t>a</w:t>
            </w:r>
            <w:r w:rsidRPr="0045095C" w:rsidR="00E3569D">
              <w:t>notācijas V sadaļas 3. punkts:</w:t>
            </w:r>
          </w:p>
          <w:p w:rsidRPr="0045095C" w:rsidR="00D41F3C" w:rsidP="00C56308" w:rsidRDefault="00B40D7B" w14:paraId="29F82761" w14:textId="390DD7A4">
            <w:pPr>
              <w:jc w:val="both"/>
            </w:pPr>
            <w:r w:rsidRPr="0045095C">
              <w:t>"</w:t>
            </w:r>
            <w:r w:rsidRPr="0045095C" w:rsidR="006002C8">
              <w:t>Projektā minētās saistības, kas izriet no citiem starptautiskiem jūrniecības dokumentiem, Latvija jau ir uzņēmusies un pilda. Ar projektu jaunas saistības uzņemtas netiek. Projektā tiek veidotas atsauces uz starptautiskajiem jūrniecības tiesību aktiem, lai skaidrotu jēdzienus noteikumu piemērošanas nolūkā.</w:t>
            </w:r>
            <w:r w:rsidRPr="0045095C">
              <w:t>"</w:t>
            </w:r>
          </w:p>
        </w:tc>
      </w:tr>
      <w:tr w:rsidRPr="0045095C" w:rsidR="00697611" w:rsidTr="00697611" w14:paraId="38DD887B" w14:textId="77777777">
        <w:tc>
          <w:tcPr>
            <w:tcW w:w="14148" w:type="dxa"/>
            <w:gridSpan w:val="5"/>
            <w:tcBorders>
              <w:top w:val="single" w:color="auto" w:sz="4" w:space="0"/>
              <w:left w:val="single" w:color="auto" w:sz="4" w:space="0"/>
              <w:bottom w:val="single" w:color="auto" w:sz="4" w:space="0"/>
              <w:right w:val="single" w:color="auto" w:sz="4" w:space="0"/>
            </w:tcBorders>
          </w:tcPr>
          <w:p w:rsidRPr="0045095C" w:rsidR="00697611" w:rsidP="00697611" w:rsidRDefault="00697611" w14:paraId="45BB2DEC" w14:textId="77777777">
            <w:pPr>
              <w:jc w:val="center"/>
              <w:rPr>
                <w:b/>
              </w:rPr>
            </w:pPr>
            <w:r w:rsidRPr="0045095C">
              <w:rPr>
                <w:b/>
              </w:rPr>
              <w:lastRenderedPageBreak/>
              <w:t>Veselības ministrija</w:t>
            </w:r>
          </w:p>
        </w:tc>
      </w:tr>
      <w:tr w:rsidRPr="0045095C" w:rsidR="00697611" w:rsidTr="00335A95" w14:paraId="3EFBF11C" w14:textId="77777777">
        <w:tc>
          <w:tcPr>
            <w:tcW w:w="708" w:type="dxa"/>
            <w:tcBorders>
              <w:top w:val="single" w:color="auto" w:sz="4" w:space="0"/>
              <w:left w:val="single" w:color="auto" w:sz="4" w:space="0"/>
              <w:bottom w:val="single" w:color="auto" w:sz="4" w:space="0"/>
              <w:right w:val="single" w:color="auto" w:sz="4" w:space="0"/>
            </w:tcBorders>
          </w:tcPr>
          <w:p w:rsidRPr="0045095C" w:rsidR="00697611" w:rsidRDefault="00C56308" w14:paraId="25C9B70B" w14:textId="77777777">
            <w:pPr>
              <w:pBdr>
                <w:top w:val="nil"/>
                <w:left w:val="nil"/>
                <w:bottom w:val="nil"/>
                <w:right w:val="nil"/>
                <w:between w:val="nil"/>
              </w:pBdr>
              <w:jc w:val="center"/>
              <w:rPr>
                <w:color w:val="000000"/>
              </w:rPr>
            </w:pPr>
            <w:r w:rsidRPr="0045095C">
              <w:rPr>
                <w:color w:val="000000"/>
              </w:rPr>
              <w:t>8.</w:t>
            </w:r>
          </w:p>
        </w:tc>
        <w:tc>
          <w:tcPr>
            <w:tcW w:w="3090" w:type="dxa"/>
            <w:tcBorders>
              <w:top w:val="single" w:color="auto" w:sz="4" w:space="0"/>
              <w:left w:val="single" w:color="auto" w:sz="4" w:space="0"/>
              <w:bottom w:val="single" w:color="auto" w:sz="4" w:space="0"/>
              <w:right w:val="single" w:color="auto" w:sz="4" w:space="0"/>
            </w:tcBorders>
          </w:tcPr>
          <w:p w:rsidRPr="0045095C" w:rsidR="00697611" w:rsidP="00C56308" w:rsidRDefault="00C56308" w14:paraId="467FEB1A" w14:textId="77777777">
            <w:pPr>
              <w:pBdr>
                <w:top w:val="nil"/>
                <w:left w:val="nil"/>
                <w:bottom w:val="nil"/>
                <w:right w:val="nil"/>
                <w:between w:val="nil"/>
              </w:pBdr>
              <w:jc w:val="both"/>
              <w:rPr>
                <w:color w:val="000000"/>
              </w:rPr>
            </w:pPr>
            <w:r w:rsidRPr="0045095C">
              <w:rPr>
                <w:color w:val="000000"/>
              </w:rPr>
              <w:t>Projekta 1.8. apakšpunkts vai anotācija</w:t>
            </w:r>
          </w:p>
        </w:tc>
        <w:tc>
          <w:tcPr>
            <w:tcW w:w="3849" w:type="dxa"/>
            <w:tcBorders>
              <w:top w:val="single" w:color="auto" w:sz="4" w:space="0"/>
              <w:left w:val="single" w:color="auto" w:sz="4" w:space="0"/>
              <w:bottom w:val="single" w:color="auto" w:sz="4" w:space="0"/>
              <w:right w:val="single" w:color="auto" w:sz="4" w:space="0"/>
            </w:tcBorders>
          </w:tcPr>
          <w:p w:rsidRPr="0045095C" w:rsidR="00234331" w:rsidP="00C56308" w:rsidRDefault="00234331" w14:paraId="5E206031" w14:textId="5202C75A">
            <w:pPr>
              <w:tabs>
                <w:tab w:val="left" w:pos="993"/>
              </w:tabs>
              <w:jc w:val="both"/>
              <w:rPr>
                <w:b/>
              </w:rPr>
            </w:pPr>
            <w:r w:rsidRPr="0045095C">
              <w:rPr>
                <w:b/>
              </w:rPr>
              <w:t>06.11.2019. atzinums</w:t>
            </w:r>
          </w:p>
          <w:p w:rsidRPr="0045095C" w:rsidR="00697611" w:rsidP="00C56308" w:rsidRDefault="00697611" w14:paraId="346B1093" w14:textId="77777777">
            <w:pPr>
              <w:tabs>
                <w:tab w:val="left" w:pos="993"/>
              </w:tabs>
              <w:jc w:val="both"/>
            </w:pPr>
            <w:r w:rsidRPr="0045095C">
              <w:t>Projekta 1.8. apakšpunkts paredz izteikt jaunā redakcijā Ministru kabineta 2012. gada 15. maija noteikumu Nr. 339 “Noteikumi par ostu formalitātēm” (turpmāk – Noteikumi) 9.</w:t>
            </w:r>
            <w:r w:rsidRPr="0045095C">
              <w:rPr>
                <w:vertAlign w:val="superscript"/>
              </w:rPr>
              <w:t xml:space="preserve">1 </w:t>
            </w:r>
            <w:r w:rsidRPr="0045095C">
              <w:t xml:space="preserve">nodaļu, tai skaitā paredzot, ka minētajā nodaļā tiek iekļautas tiesību normas attiecībā uz paziņošanu par personām uz pasažieru kuģa cilvēku meklēšanas un glābšanas nolūkiem. </w:t>
            </w:r>
          </w:p>
          <w:p w:rsidRPr="0045095C" w:rsidR="00697611" w:rsidP="00C56308" w:rsidRDefault="00697611" w14:paraId="0A679FDD" w14:textId="77777777">
            <w:pPr>
              <w:tabs>
                <w:tab w:val="left" w:pos="993"/>
              </w:tabs>
              <w:jc w:val="both"/>
            </w:pPr>
            <w:r w:rsidRPr="0045095C">
              <w:t xml:space="preserve">Vēršam uzmanību uz to, ka informācija par pasažieriem ir būtiska, Slimību profilakses un kontroles centram veicot epidemioloģisko izmeklēšanu, </w:t>
            </w:r>
            <w:proofErr w:type="spellStart"/>
            <w:r w:rsidRPr="0045095C">
              <w:t>pretepidēmijas</w:t>
            </w:r>
            <w:proofErr w:type="spellEnd"/>
            <w:r w:rsidRPr="0045095C">
              <w:t xml:space="preserve"> pasākumu organizēšanu, tai skaitā, kontaktpersonu identificēšanu un to medicīniskās pārbaudes un novērošanas organizēšanu. Ja uz kuģa ir persona, kas ir inficējusies ar kādu infekcijas slimības ierosinātāju, pastāv risks, ka infekcija var tikt pārnesta arī citiem kuģa pasažieriem vai apkalpes locekļiem, tādēļ, lai pēc iespējas operatīvāk atrastu infekcijas cēloņus, izplatīšanās ceļus un tos novērstu, epidemiologiem ir nepieciešama brīva pieeja datiem par personām, kuras, iespējams, ir </w:t>
            </w:r>
            <w:r w:rsidRPr="0045095C">
              <w:lastRenderedPageBreak/>
              <w:t xml:space="preserve">nonākušas saskarē ar inficēto personu. Ņemot vērā minēto, dati par kuģa pasažieriem ir nepieciešami arī infekcijas slimību epidemioloģiskajai izmeklēšanai. </w:t>
            </w:r>
          </w:p>
          <w:p w:rsidRPr="0045095C" w:rsidR="00697611" w:rsidP="00C56308" w:rsidRDefault="00697611" w14:paraId="04C290D1" w14:textId="77777777">
            <w:pPr>
              <w:tabs>
                <w:tab w:val="left" w:pos="993"/>
              </w:tabs>
              <w:jc w:val="both"/>
            </w:pPr>
            <w:r w:rsidRPr="0045095C">
              <w:t>Atsaucoties uz iepriekš minēto, lūdzam izvērtēt un sniegt skaidrojumu, vai cilvēku meklēšana un glābšana ietver arī sabiedrības veselības apdraudējuma infekcijas slimību gadījumā novēršanu, attiecīgi papildinot sākotnējās ietekmes novērtējuma ziņojumu (anotāciju) vai precizējot nodaļas nosaukumu.</w:t>
            </w:r>
          </w:p>
          <w:p w:rsidRPr="0045095C" w:rsidR="002C2F05" w:rsidP="00C56308" w:rsidRDefault="002C2F05" w14:paraId="373A4DD6" w14:textId="77777777">
            <w:pPr>
              <w:tabs>
                <w:tab w:val="left" w:pos="993"/>
              </w:tabs>
              <w:jc w:val="both"/>
            </w:pPr>
          </w:p>
          <w:p w:rsidRPr="0045095C" w:rsidR="002C2F05" w:rsidP="00C56308" w:rsidRDefault="002C2F05" w14:paraId="7CBFDEC9" w14:textId="4FA6A62E">
            <w:pPr>
              <w:tabs>
                <w:tab w:val="left" w:pos="993"/>
              </w:tabs>
              <w:jc w:val="both"/>
              <w:rPr>
                <w:b/>
              </w:rPr>
            </w:pPr>
            <w:r w:rsidRPr="0045095C">
              <w:rPr>
                <w:b/>
              </w:rPr>
              <w:t>26.11.2019. atzinums</w:t>
            </w:r>
          </w:p>
          <w:p w:rsidRPr="0045095C" w:rsidR="002C2F05" w:rsidP="002C2F05" w:rsidRDefault="002C2F05" w14:paraId="646A0253" w14:textId="77777777">
            <w:pPr>
              <w:tabs>
                <w:tab w:val="left" w:pos="993"/>
              </w:tabs>
              <w:jc w:val="both"/>
            </w:pPr>
            <w:r w:rsidRPr="0045095C">
              <w:t xml:space="preserve">Projekta precizētā anotācija paredz, ka: </w:t>
            </w:r>
            <w:r w:rsidRPr="0045095C">
              <w:rPr>
                <w:i/>
              </w:rPr>
              <w:t xml:space="preserve">“Personas datu apstrādes mērķis ir ārkārtas situācijā vai negadījumā sekmēt meklēšanas un glābšanas darbus, nodrošināt jebkura negadījuma seku likvidēšanu. Ar ārkārtas situāciju vai negadījumu 1979. gada Starptautiskās konvencijas par meklēšanu un glābšanu uz jūras izpratnē būtu jāsaprot stāvoklis, kad personas atrodas briesmās uz jūras. Glābšanas darbi saskaņā ar minēto konvenciju ir operācija, lai izglābtu personas, kuras atrodas briesmās uz jūras, sniegtu tām pirmo medicīnisko vai citu palīdzību un nogādātu tās drošā </w:t>
            </w:r>
            <w:r w:rsidRPr="0045095C">
              <w:rPr>
                <w:i/>
              </w:rPr>
              <w:lastRenderedPageBreak/>
              <w:t>vietā, tāpēc ar jebkura negadījuma seku likvidēšanu būtu jāsaprot arī turpmāk nepieciešamās palīdzības un aprūpes sniegšana izglābtajām un citām saistītām personām, līdz tiek novērsti draudi  personām, kuri ir jūras negadījuma sekas, piemēram, epidemioloģiskā apdraudējuma novēršana.”</w:t>
            </w:r>
            <w:r w:rsidRPr="0045095C">
              <w:t xml:space="preserve"> </w:t>
            </w:r>
          </w:p>
          <w:p w:rsidRPr="0045095C" w:rsidR="002C2F05" w:rsidP="002C2F05" w:rsidRDefault="002C2F05" w14:paraId="51E80E08" w14:textId="77777777">
            <w:pPr>
              <w:tabs>
                <w:tab w:val="left" w:pos="993"/>
              </w:tabs>
              <w:jc w:val="both"/>
            </w:pPr>
            <w:r w:rsidRPr="0045095C">
              <w:t xml:space="preserve">Veselības ministrija vērš uzmanību uz to, ka izvērtējot atsevišķus 1979. gada Starptautiskās konvencijas par meklēšanu un glābšanu uz jūras (turpmāk – Konvencija) punktus, piemēram, 5.2. “Apdraudējuma pakāpes” vai punktus par meklēšanas un glābšanas darbu organizēšanu un kompetencēm, var secināt, ka epidemioloģiskās drošības pasākumu veikšanai nav viennozīmīgi piemērojams Konvencijas konteksts, kā arī turpmāk var rasties domstarpības, neizpratne vai dažādas interpretācijas normatīvā regulējuma prasību piemērošanas gaitā. Konvencijas apdraudējuma definīcijas orientētas uz situācijām, kad personām, atrodoties uz kuģa draud nopietnas un nenovēršanas briesmas un vajadzīga tūlītēja palīdzība. Tomēr epidemioloģiskās drošības aspektā informācija tiek vākta ne tikai, lai palīdzētu </w:t>
            </w:r>
            <w:r w:rsidRPr="0045095C">
              <w:lastRenderedPageBreak/>
              <w:t>cietušajam, bet arī lai apkārtējos paglābtu no inficēšanās riskiem. Tāpat jāņem vērā, ka infekcijas slimību gadījumā signāls par saslimšanas gadījumu uz kuģa epidemiologu rīcībā var nonākt, kad personas vairs nav uz kuģa. Par piemēru var minēt kontaktpersonu meklēšanu vai medicīniskās izmeklēšanas darbu organizēšanu pēc reisa noslēgšanas. Šajos gadījumos tāpat ir jāveic personas datu apstrāde balstoties uz Ministru kabineta 2012. gada 15.  maija noteikumiem Nr. 339 “Noteikumi par ostu formalitātēm”, lai gan minētie apstākļi neatbilst Konvencijas būtībai.</w:t>
            </w:r>
          </w:p>
          <w:p w:rsidRPr="0045095C" w:rsidR="002C2F05" w:rsidP="002C2F05" w:rsidRDefault="002C2F05" w14:paraId="446C8733" w14:textId="194FA2A8">
            <w:pPr>
              <w:tabs>
                <w:tab w:val="left" w:pos="993"/>
              </w:tabs>
              <w:jc w:val="both"/>
            </w:pPr>
            <w:r w:rsidRPr="0045095C">
              <w:t>Ņemot vērā minēto, atkārtoti lūdzam precizēt Projekta 9.1 nodaļas redakciju un anotāciju, papildinot informācijas par personām uz pasažieru kuģa paziņošanu cilvēku meklēšanas un glābšanas nolūkiem ar epidemioloģiskās drošības nolūku.</w:t>
            </w:r>
          </w:p>
        </w:tc>
        <w:tc>
          <w:tcPr>
            <w:tcW w:w="3260" w:type="dxa"/>
            <w:tcBorders>
              <w:top w:val="single" w:color="auto" w:sz="4" w:space="0"/>
              <w:left w:val="single" w:color="auto" w:sz="4" w:space="0"/>
              <w:bottom w:val="single" w:color="auto" w:sz="4" w:space="0"/>
              <w:right w:val="single" w:color="auto" w:sz="4" w:space="0"/>
            </w:tcBorders>
          </w:tcPr>
          <w:p w:rsidRPr="0045095C" w:rsidR="005B2BE2" w:rsidP="00DD7F45" w:rsidRDefault="005F4ED3" w14:paraId="128B85EC" w14:textId="79CED796">
            <w:pPr>
              <w:pBdr>
                <w:top w:val="nil"/>
                <w:left w:val="nil"/>
                <w:bottom w:val="nil"/>
                <w:right w:val="nil"/>
                <w:between w:val="nil"/>
              </w:pBdr>
              <w:jc w:val="center"/>
              <w:rPr>
                <w:b/>
                <w:color w:val="000000"/>
              </w:rPr>
            </w:pPr>
            <w:r w:rsidRPr="005F4ED3">
              <w:rPr>
                <w:b/>
                <w:color w:val="000000"/>
              </w:rPr>
              <w:lastRenderedPageBreak/>
              <w:t xml:space="preserve">Panākta vienošanās </w:t>
            </w:r>
            <w:proofErr w:type="spellStart"/>
            <w:r w:rsidRPr="005F4ED3">
              <w:rPr>
                <w:b/>
                <w:color w:val="000000"/>
              </w:rPr>
              <w:t>starpministriju</w:t>
            </w:r>
            <w:proofErr w:type="spellEnd"/>
            <w:r w:rsidRPr="005F4ED3">
              <w:rPr>
                <w:b/>
                <w:color w:val="000000"/>
              </w:rPr>
              <w:t xml:space="preserve"> (starpinstitūciju) sanāksmē</w:t>
            </w:r>
          </w:p>
        </w:tc>
        <w:tc>
          <w:tcPr>
            <w:tcW w:w="3241" w:type="dxa"/>
            <w:tcBorders>
              <w:top w:val="single" w:color="auto" w:sz="4" w:space="0"/>
              <w:left w:val="single" w:color="auto" w:sz="4" w:space="0"/>
              <w:bottom w:val="single" w:color="auto" w:sz="4" w:space="0"/>
              <w:right w:val="single" w:color="auto" w:sz="4" w:space="0"/>
            </w:tcBorders>
          </w:tcPr>
          <w:p w:rsidRPr="0045095C" w:rsidR="00C56308" w:rsidP="00C56308" w:rsidRDefault="00485DDD" w14:paraId="0D9D72C6" w14:textId="13F7B975">
            <w:pPr>
              <w:jc w:val="both"/>
            </w:pPr>
            <w:r>
              <w:t>P</w:t>
            </w:r>
            <w:r w:rsidRPr="0045095C">
              <w:t xml:space="preserve">apildināts </w:t>
            </w:r>
            <w:r>
              <w:t>a</w:t>
            </w:r>
            <w:r w:rsidRPr="0045095C" w:rsidR="00C56308">
              <w:t>notācijas I sadaļas 2. punkts:</w:t>
            </w:r>
          </w:p>
          <w:p w:rsidR="005F4ED3" w:rsidP="00793101" w:rsidRDefault="00C56308" w14:paraId="787A2B2D" w14:textId="77777777">
            <w:pPr>
              <w:jc w:val="both"/>
              <w:rPr>
                <w:bCs/>
              </w:rPr>
            </w:pPr>
            <w:r w:rsidRPr="0045095C">
              <w:t>"</w:t>
            </w:r>
            <w:r w:rsidRPr="0045095C" w:rsidR="00573DBA">
              <w:t xml:space="preserve">Personas datu apstrādes mērķis ir </w:t>
            </w:r>
            <w:r w:rsidRPr="0045095C" w:rsidR="004A5E83">
              <w:t xml:space="preserve">ārkārtas situācijā vai negadījumā sekmēt </w:t>
            </w:r>
            <w:r w:rsidRPr="0045095C" w:rsidR="00573DBA">
              <w:t>meklēšanas un glābšanas darb</w:t>
            </w:r>
            <w:r w:rsidRPr="0045095C" w:rsidR="004A5E83">
              <w:t>us</w:t>
            </w:r>
            <w:r w:rsidRPr="0045095C" w:rsidR="00573DBA">
              <w:t xml:space="preserve">, </w:t>
            </w:r>
            <w:r w:rsidRPr="0045095C" w:rsidR="004A5E83">
              <w:t xml:space="preserve">nodrošināt jebkura negadījuma seku likvidēšanu. Ar ārkārtas situāciju vai negadījumu </w:t>
            </w:r>
            <w:r w:rsidRPr="0045095C" w:rsidR="004A5E83">
              <w:rPr>
                <w:bCs/>
              </w:rPr>
              <w:t>1979.</w:t>
            </w:r>
            <w:r w:rsidRPr="0045095C" w:rsidR="00A63334">
              <w:rPr>
                <w:bCs/>
              </w:rPr>
              <w:t> </w:t>
            </w:r>
            <w:r w:rsidRPr="0045095C" w:rsidR="004A5E83">
              <w:rPr>
                <w:bCs/>
              </w:rPr>
              <w:t xml:space="preserve">gada Starptautiskās konvencijas par meklēšanu un glābšanu uz jūras izpratnē </w:t>
            </w:r>
            <w:r w:rsidRPr="0045095C" w:rsidR="00E81A53">
              <w:rPr>
                <w:bCs/>
              </w:rPr>
              <w:t xml:space="preserve">būtu jāsaprot </w:t>
            </w:r>
            <w:r w:rsidRPr="0045095C" w:rsidR="0086736E">
              <w:rPr>
                <w:bCs/>
              </w:rPr>
              <w:t xml:space="preserve">stāvoklis, kad personas atrodas briesmās uz jūras. </w:t>
            </w:r>
            <w:r w:rsidRPr="0045095C" w:rsidR="00E81A53">
              <w:rPr>
                <w:bCs/>
              </w:rPr>
              <w:t>G</w:t>
            </w:r>
            <w:r w:rsidRPr="0045095C" w:rsidR="0086736E">
              <w:rPr>
                <w:bCs/>
              </w:rPr>
              <w:t>lābšanas darbi saskaņā ar minēto konvenciju ir operācija, lai izglābtu personas, kuras atrodas briesmās uz jūras, sniegtu tām pirmo medicīnisko vai citu palīdzību un nogādātu tās drošā vietā, t</w:t>
            </w:r>
            <w:r w:rsidRPr="0045095C" w:rsidR="00E81A53">
              <w:rPr>
                <w:bCs/>
              </w:rPr>
              <w:t>āpēc</w:t>
            </w:r>
            <w:r w:rsidRPr="0045095C" w:rsidR="0086736E">
              <w:t xml:space="preserve"> ar </w:t>
            </w:r>
            <w:r w:rsidRPr="0045095C" w:rsidR="0086736E">
              <w:rPr>
                <w:bCs/>
              </w:rPr>
              <w:t xml:space="preserve">jebkura negadījuma seku likvidēšanu būtu jāsaprot arī turpmāk nepieciešamās palīdzības un aprūpes sniegšana </w:t>
            </w:r>
            <w:r w:rsidRPr="0045095C" w:rsidR="005D03D6">
              <w:rPr>
                <w:bCs/>
              </w:rPr>
              <w:t xml:space="preserve">izglābtajām un </w:t>
            </w:r>
            <w:r w:rsidRPr="0045095C" w:rsidR="00793101">
              <w:rPr>
                <w:bCs/>
              </w:rPr>
              <w:t xml:space="preserve">citām </w:t>
            </w:r>
            <w:r w:rsidRPr="0045095C" w:rsidR="005D03D6">
              <w:rPr>
                <w:bCs/>
              </w:rPr>
              <w:t>saistītām personām</w:t>
            </w:r>
            <w:r w:rsidRPr="0045095C" w:rsidR="00941941">
              <w:rPr>
                <w:bCs/>
              </w:rPr>
              <w:t>, līdz tiek novērst</w:t>
            </w:r>
            <w:r w:rsidRPr="0045095C" w:rsidR="00DD4BD6">
              <w:rPr>
                <w:bCs/>
              </w:rPr>
              <w:t xml:space="preserve">i draudi </w:t>
            </w:r>
            <w:r w:rsidRPr="0045095C" w:rsidR="00941941">
              <w:rPr>
                <w:bCs/>
              </w:rPr>
              <w:t xml:space="preserve"> person</w:t>
            </w:r>
            <w:r w:rsidRPr="0045095C" w:rsidR="00DD4BD6">
              <w:rPr>
                <w:bCs/>
              </w:rPr>
              <w:t>ām</w:t>
            </w:r>
            <w:r w:rsidRPr="0045095C" w:rsidR="00793101">
              <w:rPr>
                <w:bCs/>
              </w:rPr>
              <w:t>, kur</w:t>
            </w:r>
            <w:r w:rsidRPr="0045095C" w:rsidR="00DD4BD6">
              <w:rPr>
                <w:bCs/>
              </w:rPr>
              <w:t>i</w:t>
            </w:r>
            <w:r w:rsidRPr="0045095C" w:rsidR="005D03D6">
              <w:rPr>
                <w:bCs/>
              </w:rPr>
              <w:t xml:space="preserve"> </w:t>
            </w:r>
            <w:r w:rsidRPr="0045095C" w:rsidR="00793101">
              <w:rPr>
                <w:bCs/>
              </w:rPr>
              <w:t xml:space="preserve">ir </w:t>
            </w:r>
            <w:r w:rsidRPr="0045095C" w:rsidR="005D03D6">
              <w:rPr>
                <w:bCs/>
              </w:rPr>
              <w:t xml:space="preserve">jūras negadījuma </w:t>
            </w:r>
            <w:r w:rsidRPr="0045095C" w:rsidR="0086736E">
              <w:rPr>
                <w:bCs/>
              </w:rPr>
              <w:t>sekas</w:t>
            </w:r>
            <w:r w:rsidRPr="0045095C" w:rsidR="005D03D6">
              <w:rPr>
                <w:bCs/>
              </w:rPr>
              <w:t>,</w:t>
            </w:r>
            <w:r w:rsidRPr="0045095C" w:rsidR="0086736E">
              <w:rPr>
                <w:bCs/>
              </w:rPr>
              <w:t xml:space="preserve"> piemēram, </w:t>
            </w:r>
            <w:r w:rsidRPr="0045095C" w:rsidR="005D03D6">
              <w:rPr>
                <w:bCs/>
              </w:rPr>
              <w:t>epidemioloģiskā apdraudējuma novēršana.</w:t>
            </w:r>
          </w:p>
          <w:p w:rsidRPr="0045095C" w:rsidR="004A5E83" w:rsidP="00793101" w:rsidRDefault="0031639A" w14:paraId="6C48C6B5" w14:textId="26AB25C0">
            <w:pPr>
              <w:jc w:val="both"/>
              <w:rPr>
                <w:bCs/>
              </w:rPr>
            </w:pPr>
            <w:r w:rsidRPr="00854491">
              <w:rPr>
                <w:bCs/>
              </w:rPr>
              <w:lastRenderedPageBreak/>
              <w:t>Papildus iepriekš minētajam, kompetentajām iestādēm – Veselības inspekcijai un Slimību profilakses un kontroles centram, kuras atbilstoši Ministru kabineta 2010. gada 16. novembra noteikumiem Nr. 1050 “Sabiedrības veselības aizsardzības pasākumu veikšanas kārtība” īsteno reaģēšanas un izmeklēšanas pasākumus sabiedrības veselības apdraudējuma gadījumā, normatīvajos aktos noteikto funkciju izpildei ir nosakāmas piekļuves tiesības Starptautiskajā kravu loģistikas un ostu informācijas sistēmā (SKLOIS) iesniegtajiem apkalpes un pasažieru sarakstiem (FAL 5. un 6. veidlapa) (Ministru kabineta noteikumu projekts "Starptautiskās kravu loģistikas un ostu informācijas sistēmas noteikumi" (VSS-1077)).”</w:t>
            </w:r>
          </w:p>
        </w:tc>
      </w:tr>
      <w:tr w:rsidRPr="0045095C" w:rsidR="00697611" w:rsidTr="00335A95" w14:paraId="333B50EA" w14:textId="77777777">
        <w:tc>
          <w:tcPr>
            <w:tcW w:w="708" w:type="dxa"/>
            <w:tcBorders>
              <w:top w:val="single" w:color="auto" w:sz="4" w:space="0"/>
              <w:left w:val="single" w:color="auto" w:sz="4" w:space="0"/>
              <w:bottom w:val="single" w:color="auto" w:sz="4" w:space="0"/>
              <w:right w:val="single" w:color="auto" w:sz="4" w:space="0"/>
            </w:tcBorders>
          </w:tcPr>
          <w:p w:rsidRPr="0045095C" w:rsidR="00697611" w:rsidP="00793101" w:rsidRDefault="00793101" w14:paraId="625D939D" w14:textId="77777777">
            <w:pPr>
              <w:pBdr>
                <w:top w:val="nil"/>
                <w:left w:val="nil"/>
                <w:bottom w:val="nil"/>
                <w:right w:val="nil"/>
                <w:between w:val="nil"/>
              </w:pBdr>
              <w:jc w:val="both"/>
              <w:rPr>
                <w:color w:val="000000"/>
              </w:rPr>
            </w:pPr>
            <w:r w:rsidRPr="0045095C">
              <w:rPr>
                <w:color w:val="000000"/>
              </w:rPr>
              <w:lastRenderedPageBreak/>
              <w:t>9.</w:t>
            </w:r>
          </w:p>
        </w:tc>
        <w:tc>
          <w:tcPr>
            <w:tcW w:w="3090" w:type="dxa"/>
            <w:tcBorders>
              <w:top w:val="single" w:color="auto" w:sz="4" w:space="0"/>
              <w:left w:val="single" w:color="auto" w:sz="4" w:space="0"/>
              <w:bottom w:val="single" w:color="auto" w:sz="4" w:space="0"/>
              <w:right w:val="single" w:color="auto" w:sz="4" w:space="0"/>
            </w:tcBorders>
          </w:tcPr>
          <w:p w:rsidRPr="0045095C" w:rsidR="00697611" w:rsidP="00793101" w:rsidRDefault="00793101" w14:paraId="3AF4E313" w14:textId="77777777">
            <w:pPr>
              <w:pBdr>
                <w:top w:val="nil"/>
                <w:left w:val="nil"/>
                <w:bottom w:val="nil"/>
                <w:right w:val="nil"/>
                <w:between w:val="nil"/>
              </w:pBdr>
              <w:jc w:val="both"/>
              <w:rPr>
                <w:color w:val="000000"/>
              </w:rPr>
            </w:pPr>
            <w:r w:rsidRPr="0045095C">
              <w:rPr>
                <w:color w:val="000000"/>
              </w:rPr>
              <w:t>Anotācija</w:t>
            </w:r>
          </w:p>
        </w:tc>
        <w:tc>
          <w:tcPr>
            <w:tcW w:w="3849" w:type="dxa"/>
            <w:tcBorders>
              <w:top w:val="single" w:color="auto" w:sz="4" w:space="0"/>
              <w:left w:val="single" w:color="auto" w:sz="4" w:space="0"/>
              <w:bottom w:val="single" w:color="auto" w:sz="4" w:space="0"/>
              <w:right w:val="single" w:color="auto" w:sz="4" w:space="0"/>
            </w:tcBorders>
          </w:tcPr>
          <w:p w:rsidRPr="0045095C" w:rsidR="002C2F05" w:rsidP="00793101" w:rsidRDefault="002C2F05" w14:paraId="4C302BA9" w14:textId="1622511D">
            <w:pPr>
              <w:tabs>
                <w:tab w:val="left" w:pos="993"/>
              </w:tabs>
              <w:jc w:val="both"/>
              <w:rPr>
                <w:b/>
              </w:rPr>
            </w:pPr>
            <w:r w:rsidRPr="0045095C">
              <w:rPr>
                <w:b/>
              </w:rPr>
              <w:t>06.11.2019. atzinums</w:t>
            </w:r>
          </w:p>
          <w:p w:rsidRPr="0045095C" w:rsidR="003E6BBC" w:rsidP="00793101" w:rsidRDefault="003E6BBC" w14:paraId="5FB81F1A" w14:textId="77777777">
            <w:pPr>
              <w:tabs>
                <w:tab w:val="left" w:pos="993"/>
              </w:tabs>
              <w:jc w:val="both"/>
            </w:pPr>
            <w:r w:rsidRPr="0045095C">
              <w:t>Projekta 1.8. apakšpunktā iekļautais Noteikumu 110.</w:t>
            </w:r>
            <w:r w:rsidRPr="0045095C">
              <w:rPr>
                <w:vertAlign w:val="superscript"/>
              </w:rPr>
              <w:t xml:space="preserve">6 </w:t>
            </w:r>
            <w:r w:rsidRPr="0045095C">
              <w:t xml:space="preserve">punkts paredz, ka informācija par pasažieriem tiktu paziņota Starptautiskajā kravu loģistikas un ostu informācijas sistēmā (SKLOIS). Ņemot vērā minēto, secināms, ka informācija par personām būs pieejama visām </w:t>
            </w:r>
            <w:r w:rsidRPr="0045095C">
              <w:lastRenderedPageBreak/>
              <w:t>institūcijām, kurām ir piekļuve SKLOIS.</w:t>
            </w:r>
          </w:p>
          <w:p w:rsidRPr="0045095C" w:rsidR="00697611" w:rsidP="00793101" w:rsidRDefault="003E6BBC" w14:paraId="358E020F" w14:textId="77777777">
            <w:pPr>
              <w:tabs>
                <w:tab w:val="left" w:pos="993"/>
              </w:tabs>
              <w:jc w:val="both"/>
            </w:pPr>
            <w:r w:rsidRPr="0045095C">
              <w:t>Vienlaikus, ņemot vērā to, ka šā brīža spēkā esošajos Noteikumos (110.</w:t>
            </w:r>
            <w:r w:rsidRPr="0045095C">
              <w:rPr>
                <w:vertAlign w:val="superscript"/>
              </w:rPr>
              <w:t>6</w:t>
            </w:r>
            <w:r w:rsidRPr="0045095C">
              <w:t>2. apakšpunktā) ir konkrēti norādītas institūcijas, kurām tiek nodota informācija par pasažieriem, kā arī, lai padarītu nepārprotamu projektā ietverto tiesību normu piemērošanu, lūdzam papildināt projekta anotāciju, norādot institūcijas, kurām minētā informācija tiek nodota.</w:t>
            </w:r>
          </w:p>
        </w:tc>
        <w:tc>
          <w:tcPr>
            <w:tcW w:w="3260" w:type="dxa"/>
            <w:tcBorders>
              <w:top w:val="single" w:color="auto" w:sz="4" w:space="0"/>
              <w:left w:val="single" w:color="auto" w:sz="4" w:space="0"/>
              <w:bottom w:val="single" w:color="auto" w:sz="4" w:space="0"/>
              <w:right w:val="single" w:color="auto" w:sz="4" w:space="0"/>
            </w:tcBorders>
          </w:tcPr>
          <w:p w:rsidRPr="00854491" w:rsidR="003C25AD" w:rsidP="0025662B" w:rsidRDefault="0025662B" w14:paraId="2DED0531" w14:textId="09B247CF">
            <w:pPr>
              <w:pBdr>
                <w:top w:val="nil"/>
                <w:left w:val="nil"/>
                <w:bottom w:val="nil"/>
                <w:right w:val="nil"/>
                <w:between w:val="nil"/>
              </w:pBdr>
              <w:jc w:val="center"/>
              <w:rPr>
                <w:b/>
                <w:color w:val="000000"/>
              </w:rPr>
            </w:pPr>
            <w:r w:rsidRPr="0025662B">
              <w:rPr>
                <w:b/>
                <w:color w:val="000000"/>
              </w:rPr>
              <w:lastRenderedPageBreak/>
              <w:t>Panākta vienošanās elektroniskās saskaņošanas laikā</w:t>
            </w:r>
          </w:p>
        </w:tc>
        <w:tc>
          <w:tcPr>
            <w:tcW w:w="3241" w:type="dxa"/>
            <w:tcBorders>
              <w:top w:val="single" w:color="auto" w:sz="4" w:space="0"/>
              <w:left w:val="single" w:color="auto" w:sz="4" w:space="0"/>
              <w:bottom w:val="single" w:color="auto" w:sz="4" w:space="0"/>
              <w:right w:val="single" w:color="auto" w:sz="4" w:space="0"/>
            </w:tcBorders>
          </w:tcPr>
          <w:p w:rsidRPr="0045095C" w:rsidR="00697611" w:rsidP="00793101" w:rsidRDefault="00793101" w14:paraId="78ECE5DD" w14:textId="77777777">
            <w:pPr>
              <w:jc w:val="both"/>
            </w:pPr>
            <w:r w:rsidRPr="0045095C">
              <w:t>Anotācijas IV sadaļas 1. punkts</w:t>
            </w:r>
          </w:p>
        </w:tc>
      </w:tr>
      <w:tr w:rsidRPr="0045095C" w:rsidR="00697611" w:rsidTr="00335A95" w14:paraId="6BFD6B78" w14:textId="77777777">
        <w:tc>
          <w:tcPr>
            <w:tcW w:w="708" w:type="dxa"/>
            <w:tcBorders>
              <w:top w:val="single" w:color="auto" w:sz="4" w:space="0"/>
              <w:left w:val="single" w:color="auto" w:sz="4" w:space="0"/>
              <w:bottom w:val="single" w:color="auto" w:sz="4" w:space="0"/>
              <w:right w:val="single" w:color="auto" w:sz="4" w:space="0"/>
            </w:tcBorders>
          </w:tcPr>
          <w:p w:rsidRPr="0045095C" w:rsidR="00697611" w:rsidP="00793101" w:rsidRDefault="00793101" w14:paraId="059BDDC7" w14:textId="77777777">
            <w:pPr>
              <w:pBdr>
                <w:top w:val="nil"/>
                <w:left w:val="nil"/>
                <w:bottom w:val="nil"/>
                <w:right w:val="nil"/>
                <w:between w:val="nil"/>
              </w:pBdr>
              <w:jc w:val="both"/>
              <w:rPr>
                <w:color w:val="000000"/>
              </w:rPr>
            </w:pPr>
            <w:r w:rsidRPr="0045095C">
              <w:rPr>
                <w:color w:val="000000"/>
              </w:rPr>
              <w:t>10.</w:t>
            </w:r>
          </w:p>
        </w:tc>
        <w:tc>
          <w:tcPr>
            <w:tcW w:w="3090" w:type="dxa"/>
            <w:tcBorders>
              <w:top w:val="single" w:color="auto" w:sz="4" w:space="0"/>
              <w:left w:val="single" w:color="auto" w:sz="4" w:space="0"/>
              <w:bottom w:val="single" w:color="auto" w:sz="4" w:space="0"/>
              <w:right w:val="single" w:color="auto" w:sz="4" w:space="0"/>
            </w:tcBorders>
          </w:tcPr>
          <w:p w:rsidRPr="0045095C" w:rsidR="00C75308" w:rsidP="00C75308" w:rsidRDefault="00C75308" w14:paraId="4797DAAF" w14:textId="77777777">
            <w:pPr>
              <w:pBdr>
                <w:top w:val="nil"/>
                <w:left w:val="nil"/>
                <w:bottom w:val="nil"/>
                <w:right w:val="nil"/>
                <w:between w:val="nil"/>
              </w:pBdr>
              <w:jc w:val="both"/>
              <w:rPr>
                <w:color w:val="000000"/>
              </w:rPr>
            </w:pPr>
            <w:r w:rsidRPr="0045095C">
              <w:rPr>
                <w:color w:val="000000"/>
              </w:rPr>
              <w:t>1.8. Izteikt 9.</w:t>
            </w:r>
            <w:r w:rsidRPr="0045095C">
              <w:rPr>
                <w:color w:val="000000"/>
                <w:vertAlign w:val="superscript"/>
              </w:rPr>
              <w:t>1</w:t>
            </w:r>
            <w:r w:rsidRPr="0045095C">
              <w:rPr>
                <w:color w:val="000000"/>
              </w:rPr>
              <w:t xml:space="preserve"> nodaļu šādā redakcijā:</w:t>
            </w:r>
          </w:p>
          <w:p w:rsidRPr="0045095C" w:rsidR="00C75308" w:rsidP="00C75308" w:rsidRDefault="00C75308" w14:paraId="27AD38AD" w14:textId="77777777">
            <w:pPr>
              <w:pBdr>
                <w:top w:val="nil"/>
                <w:left w:val="nil"/>
                <w:bottom w:val="nil"/>
                <w:right w:val="nil"/>
                <w:between w:val="nil"/>
              </w:pBdr>
              <w:jc w:val="both"/>
              <w:rPr>
                <w:color w:val="000000"/>
              </w:rPr>
            </w:pPr>
          </w:p>
          <w:p w:rsidRPr="0045095C" w:rsidR="00C75308" w:rsidP="00C75308" w:rsidRDefault="00C75308" w14:paraId="3B641B2A" w14:textId="77777777">
            <w:pPr>
              <w:pBdr>
                <w:top w:val="nil"/>
                <w:left w:val="nil"/>
                <w:bottom w:val="nil"/>
                <w:right w:val="nil"/>
                <w:between w:val="nil"/>
              </w:pBdr>
              <w:jc w:val="both"/>
              <w:rPr>
                <w:color w:val="000000"/>
              </w:rPr>
            </w:pPr>
            <w:r w:rsidRPr="0045095C">
              <w:rPr>
                <w:color w:val="000000"/>
              </w:rPr>
              <w:t>"(..)</w:t>
            </w:r>
          </w:p>
          <w:p w:rsidRPr="0045095C" w:rsidR="00C75308" w:rsidP="00C75308" w:rsidRDefault="00C75308" w14:paraId="0A72FDB1" w14:textId="77777777">
            <w:pPr>
              <w:pBdr>
                <w:top w:val="nil"/>
                <w:left w:val="nil"/>
                <w:bottom w:val="nil"/>
                <w:right w:val="nil"/>
                <w:between w:val="nil"/>
              </w:pBdr>
              <w:jc w:val="both"/>
              <w:rPr>
                <w:color w:val="000000"/>
                <w:vertAlign w:val="superscript"/>
              </w:rPr>
            </w:pPr>
            <w:r w:rsidRPr="0045095C">
              <w:rPr>
                <w:color w:val="000000"/>
              </w:rPr>
              <w:t>110.</w:t>
            </w:r>
            <w:r w:rsidRPr="0045095C">
              <w:rPr>
                <w:color w:val="000000"/>
                <w:vertAlign w:val="superscript"/>
              </w:rPr>
              <w:t xml:space="preserve">8 </w:t>
            </w:r>
            <w:r w:rsidRPr="0045095C">
              <w:rPr>
                <w:color w:val="000000"/>
              </w:rPr>
              <w:t>Krasta apsardzes dienestam un Latvijas Jūras administrācijai ir tiesības izdarīt šo noteikumu 110.</w:t>
            </w:r>
            <w:r w:rsidRPr="0045095C">
              <w:rPr>
                <w:color w:val="000000"/>
                <w:vertAlign w:val="superscript"/>
              </w:rPr>
              <w:t>7</w:t>
            </w:r>
            <w:r w:rsidRPr="0045095C">
              <w:rPr>
                <w:color w:val="000000"/>
              </w:rPr>
              <w:t> 2. apakšpunktā minēto atzīmi, ja to rīcībā ir atbilstoša informācija.</w:t>
            </w:r>
          </w:p>
          <w:p w:rsidRPr="0045095C" w:rsidR="00C75308" w:rsidP="00C75308" w:rsidRDefault="00C75308" w14:paraId="787B2432" w14:textId="77777777">
            <w:pPr>
              <w:pBdr>
                <w:top w:val="nil"/>
                <w:left w:val="nil"/>
                <w:bottom w:val="nil"/>
                <w:right w:val="nil"/>
                <w:between w:val="nil"/>
              </w:pBdr>
              <w:jc w:val="both"/>
              <w:rPr>
                <w:color w:val="000000"/>
              </w:rPr>
            </w:pPr>
            <w:r w:rsidRPr="0045095C">
              <w:rPr>
                <w:color w:val="000000"/>
              </w:rPr>
              <w:t>(..)"</w:t>
            </w:r>
          </w:p>
          <w:p w:rsidRPr="0045095C" w:rsidR="00C75308" w:rsidP="00C75308" w:rsidRDefault="00C75308" w14:paraId="27289B82" w14:textId="77777777">
            <w:pPr>
              <w:pBdr>
                <w:top w:val="nil"/>
                <w:left w:val="nil"/>
                <w:bottom w:val="nil"/>
                <w:right w:val="nil"/>
                <w:between w:val="nil"/>
              </w:pBdr>
              <w:jc w:val="both"/>
              <w:rPr>
                <w:b/>
                <w:color w:val="000000"/>
              </w:rPr>
            </w:pPr>
          </w:p>
          <w:p w:rsidRPr="0045095C" w:rsidR="00C75308" w:rsidP="00C75308" w:rsidRDefault="00C75308" w14:paraId="5BE2A21E" w14:textId="77777777">
            <w:pPr>
              <w:pBdr>
                <w:top w:val="nil"/>
                <w:left w:val="nil"/>
                <w:bottom w:val="nil"/>
                <w:right w:val="nil"/>
                <w:between w:val="nil"/>
              </w:pBdr>
              <w:jc w:val="both"/>
              <w:rPr>
                <w:b/>
                <w:color w:val="000000"/>
              </w:rPr>
            </w:pPr>
          </w:p>
          <w:p w:rsidRPr="0045095C" w:rsidR="00C75308" w:rsidP="00C75308" w:rsidRDefault="00C75308" w14:paraId="20723536" w14:textId="77777777">
            <w:pPr>
              <w:pBdr>
                <w:top w:val="nil"/>
                <w:left w:val="nil"/>
                <w:bottom w:val="nil"/>
                <w:right w:val="nil"/>
                <w:between w:val="nil"/>
              </w:pBdr>
              <w:jc w:val="both"/>
              <w:rPr>
                <w:b/>
                <w:color w:val="000000"/>
              </w:rPr>
            </w:pPr>
          </w:p>
          <w:p w:rsidRPr="0045095C" w:rsidR="00C75308" w:rsidP="00C75308" w:rsidRDefault="00C75308" w14:paraId="58702A10" w14:textId="77777777">
            <w:pPr>
              <w:pBdr>
                <w:top w:val="nil"/>
                <w:left w:val="nil"/>
                <w:bottom w:val="nil"/>
                <w:right w:val="nil"/>
                <w:between w:val="nil"/>
              </w:pBdr>
              <w:jc w:val="both"/>
              <w:rPr>
                <w:color w:val="000000"/>
              </w:rPr>
            </w:pPr>
            <w:r w:rsidRPr="0045095C">
              <w:rPr>
                <w:color w:val="000000"/>
              </w:rPr>
              <w:t>1.9. Papildināt noteikumus ar 123., 124. un 125. punktu šādā redakcijā:</w:t>
            </w:r>
          </w:p>
          <w:p w:rsidRPr="0045095C" w:rsidR="00C75308" w:rsidP="00C75308" w:rsidRDefault="00C75308" w14:paraId="620A92A9" w14:textId="77777777">
            <w:pPr>
              <w:pBdr>
                <w:top w:val="nil"/>
                <w:left w:val="nil"/>
                <w:bottom w:val="nil"/>
                <w:right w:val="nil"/>
                <w:between w:val="nil"/>
              </w:pBdr>
              <w:jc w:val="both"/>
              <w:rPr>
                <w:color w:val="000000"/>
              </w:rPr>
            </w:pPr>
          </w:p>
          <w:p w:rsidRPr="0045095C" w:rsidR="00C75308" w:rsidP="00C75308" w:rsidRDefault="00C75308" w14:paraId="4AA937FC" w14:textId="77777777">
            <w:pPr>
              <w:pBdr>
                <w:top w:val="nil"/>
                <w:left w:val="nil"/>
                <w:bottom w:val="nil"/>
                <w:right w:val="nil"/>
                <w:between w:val="nil"/>
              </w:pBdr>
              <w:jc w:val="both"/>
              <w:rPr>
                <w:color w:val="000000"/>
              </w:rPr>
            </w:pPr>
            <w:r w:rsidRPr="0045095C">
              <w:rPr>
                <w:color w:val="000000"/>
              </w:rPr>
              <w:t>"(..)</w:t>
            </w:r>
          </w:p>
          <w:p w:rsidRPr="0045095C" w:rsidR="00C75308" w:rsidP="00C75308" w:rsidRDefault="00C75308" w14:paraId="58D5892D" w14:textId="77777777">
            <w:pPr>
              <w:pBdr>
                <w:top w:val="nil"/>
                <w:left w:val="nil"/>
                <w:bottom w:val="nil"/>
                <w:right w:val="nil"/>
                <w:between w:val="nil"/>
              </w:pBdr>
              <w:jc w:val="both"/>
              <w:rPr>
                <w:color w:val="000000"/>
              </w:rPr>
            </w:pPr>
            <w:r w:rsidRPr="0045095C">
              <w:rPr>
                <w:color w:val="000000"/>
              </w:rPr>
              <w:lastRenderedPageBreak/>
              <w:t>124. Līdz šo noteikumu 123. punktā minētās funkcionalitātes izstrādei kuģošanas kompānija nodrošina:</w:t>
            </w:r>
          </w:p>
          <w:p w:rsidRPr="0045095C" w:rsidR="00C75308" w:rsidP="00C75308" w:rsidRDefault="00C75308" w14:paraId="12FC59E5" w14:textId="77777777">
            <w:pPr>
              <w:pBdr>
                <w:top w:val="nil"/>
                <w:left w:val="nil"/>
                <w:bottom w:val="nil"/>
                <w:right w:val="nil"/>
                <w:between w:val="nil"/>
              </w:pBdr>
              <w:jc w:val="both"/>
              <w:rPr>
                <w:color w:val="000000"/>
              </w:rPr>
            </w:pPr>
            <w:r w:rsidRPr="0045095C">
              <w:rPr>
                <w:color w:val="000000"/>
              </w:rPr>
              <w:t>(..)</w:t>
            </w:r>
          </w:p>
          <w:p w:rsidRPr="0045095C" w:rsidR="00C75308" w:rsidP="00C75308" w:rsidRDefault="00C75308" w14:paraId="761151CC" w14:textId="77777777">
            <w:pPr>
              <w:pBdr>
                <w:top w:val="nil"/>
                <w:left w:val="nil"/>
                <w:bottom w:val="nil"/>
                <w:right w:val="nil"/>
                <w:between w:val="nil"/>
              </w:pBdr>
              <w:jc w:val="both"/>
              <w:rPr>
                <w:color w:val="000000"/>
              </w:rPr>
            </w:pPr>
            <w:r w:rsidRPr="0045095C">
              <w:rPr>
                <w:color w:val="000000"/>
              </w:rPr>
              <w:t>124.6. informācijas par personām, kas atrodas uz kuģošanas kompānijas pasažieru kuģa, dzēšanu, tiklīdz tā vairs nav nepieciešama cilvēku meklēšanas un glābšanas nolūkiem un ar ārkārtas situāciju vai negadījumu saistītās izmeklēšanas vai tiesvedības vajadzībām.</w:t>
            </w:r>
          </w:p>
          <w:p w:rsidRPr="0045095C" w:rsidR="00697611" w:rsidP="00C75308" w:rsidRDefault="00C75308" w14:paraId="117BF460" w14:textId="77777777">
            <w:pPr>
              <w:pBdr>
                <w:top w:val="nil"/>
                <w:left w:val="nil"/>
                <w:bottom w:val="nil"/>
                <w:right w:val="nil"/>
                <w:between w:val="nil"/>
              </w:pBdr>
              <w:jc w:val="both"/>
              <w:rPr>
                <w:color w:val="000000"/>
              </w:rPr>
            </w:pPr>
            <w:r w:rsidRPr="0045095C">
              <w:rPr>
                <w:color w:val="000000"/>
              </w:rPr>
              <w:t>(..)"</w:t>
            </w:r>
          </w:p>
        </w:tc>
        <w:tc>
          <w:tcPr>
            <w:tcW w:w="3849" w:type="dxa"/>
            <w:tcBorders>
              <w:top w:val="single" w:color="auto" w:sz="4" w:space="0"/>
              <w:left w:val="single" w:color="auto" w:sz="4" w:space="0"/>
              <w:bottom w:val="single" w:color="auto" w:sz="4" w:space="0"/>
              <w:right w:val="single" w:color="auto" w:sz="4" w:space="0"/>
            </w:tcBorders>
          </w:tcPr>
          <w:p w:rsidRPr="0045095C" w:rsidR="002C2F05" w:rsidP="002C2F05" w:rsidRDefault="002C2F05" w14:paraId="56E92895" w14:textId="77777777">
            <w:pPr>
              <w:tabs>
                <w:tab w:val="left" w:pos="993"/>
              </w:tabs>
              <w:jc w:val="both"/>
              <w:rPr>
                <w:b/>
              </w:rPr>
            </w:pPr>
            <w:r w:rsidRPr="0045095C">
              <w:rPr>
                <w:b/>
              </w:rPr>
              <w:lastRenderedPageBreak/>
              <w:t>06.11.2019. atzinums</w:t>
            </w:r>
          </w:p>
          <w:p w:rsidRPr="0045095C" w:rsidR="003E6BBC" w:rsidP="00793101" w:rsidRDefault="003E6BBC" w14:paraId="5B5AC4B1" w14:textId="77777777">
            <w:pPr>
              <w:tabs>
                <w:tab w:val="left" w:pos="993"/>
              </w:tabs>
              <w:jc w:val="both"/>
            </w:pPr>
            <w:r w:rsidRPr="0045095C">
              <w:t>Projekta 1.8. apakšpunktā iekļautais Noteikumu 110.</w:t>
            </w:r>
            <w:r w:rsidRPr="0045095C">
              <w:rPr>
                <w:vertAlign w:val="superscript"/>
              </w:rPr>
              <w:t xml:space="preserve">14 </w:t>
            </w:r>
            <w:r w:rsidRPr="0045095C">
              <w:t>punkts paredz, ka kuģošanas kompānija nodrošina, lai informācija, kas savākta un reģistrēta saskaņā ar šo nodaļu, tiktu nekavējoši dzēsta, kad attiecīgais pasažieru kuģa reiss ir droši noslēdzies un šo noteikumu 110.</w:t>
            </w:r>
            <w:r w:rsidRPr="0045095C">
              <w:rPr>
                <w:vertAlign w:val="superscript"/>
              </w:rPr>
              <w:t xml:space="preserve">4 </w:t>
            </w:r>
            <w:r w:rsidRPr="0045095C">
              <w:t>punktā minētā informācija ir paziņota Starptautiskajā kravu loģistikas un ostu informācijas sistēmā (SKLOIS), ja citos normatīvajos aktos nav noteikts citādi.</w:t>
            </w:r>
          </w:p>
          <w:p w:rsidRPr="0045095C" w:rsidR="003E6BBC" w:rsidP="00793101" w:rsidRDefault="003E6BBC" w14:paraId="44388E85" w14:textId="77777777">
            <w:pPr>
              <w:tabs>
                <w:tab w:val="left" w:pos="993"/>
              </w:tabs>
              <w:jc w:val="both"/>
            </w:pPr>
            <w:r w:rsidRPr="0045095C">
              <w:t xml:space="preserve">Savukārt projekta 1.9. apakšpunktā iekļautais Noteikumu 124.6. apakšpunkts paredz, ka kuģošanas kompānija nodrošina informācijas par personām, kas atrodas uz kuģošanas kompānijas pasažieru kuģa, dzēšanu, tiklīdz tā vairs nav nepieciešama </w:t>
            </w:r>
            <w:r w:rsidRPr="0045095C">
              <w:lastRenderedPageBreak/>
              <w:t>cilvēku glābšanas nolūkiem un ar ārkārtas situāciju vai negadījumu saistītās izmeklēšanas vai tiesvedības vajadzībām.</w:t>
            </w:r>
          </w:p>
          <w:p w:rsidRPr="0045095C" w:rsidR="003E6BBC" w:rsidP="00793101" w:rsidRDefault="003E6BBC" w14:paraId="48C06473" w14:textId="77777777">
            <w:pPr>
              <w:tabs>
                <w:tab w:val="left" w:pos="993"/>
              </w:tabs>
              <w:jc w:val="both"/>
            </w:pPr>
            <w:r w:rsidRPr="0045095C">
              <w:t xml:space="preserve">Vēršam uzmanību uz to, ka epidemioloģiskās izmeklēšanas vajadzībām, tai skaitā, lai noteiktu un identificētu kontaktpersonas un organizētu to medicīnisko pārbaudi un novērošanu, informācija varētu būt nepieciešama ilgu laiku pēc reisa, piemēram, tuberkulozes gadījumā. </w:t>
            </w:r>
          </w:p>
          <w:p w:rsidRPr="0045095C" w:rsidR="00697611" w:rsidP="00793101" w:rsidRDefault="003E6BBC" w14:paraId="1F1FBABC" w14:textId="77777777">
            <w:pPr>
              <w:tabs>
                <w:tab w:val="left" w:pos="993"/>
              </w:tabs>
              <w:jc w:val="both"/>
            </w:pPr>
            <w:r w:rsidRPr="0045095C">
              <w:t>Ņemot vērā minēto, lūdzam projektā noteikt, ka informācija tiek glabāta 60 dienas pēc kuģa reisa beigšanas un ārkārtas situācijā vai pēc negadījuma – līdz brīdim, kad ir pabeigta jebkāda izmeklēšana.</w:t>
            </w:r>
          </w:p>
          <w:p w:rsidRPr="0045095C" w:rsidR="002C2F05" w:rsidP="00793101" w:rsidRDefault="002C2F05" w14:paraId="1F4B7E83" w14:textId="77777777">
            <w:pPr>
              <w:tabs>
                <w:tab w:val="left" w:pos="993"/>
              </w:tabs>
              <w:jc w:val="both"/>
            </w:pPr>
          </w:p>
          <w:p w:rsidRPr="0045095C" w:rsidR="002C2F05" w:rsidP="002C2F05" w:rsidRDefault="002C2F05" w14:paraId="1C7DBEB3" w14:textId="090CFD5A">
            <w:pPr>
              <w:tabs>
                <w:tab w:val="left" w:pos="993"/>
              </w:tabs>
              <w:jc w:val="both"/>
              <w:rPr>
                <w:b/>
              </w:rPr>
            </w:pPr>
            <w:r w:rsidRPr="0045095C">
              <w:rPr>
                <w:b/>
              </w:rPr>
              <w:t>26.11.2019. atzinums</w:t>
            </w:r>
          </w:p>
          <w:p w:rsidRPr="0045095C" w:rsidR="002C2F05" w:rsidP="002C2F05" w:rsidRDefault="002C2F05" w14:paraId="647A43A2" w14:textId="77777777">
            <w:pPr>
              <w:tabs>
                <w:tab w:val="left" w:pos="993"/>
              </w:tabs>
              <w:jc w:val="both"/>
            </w:pPr>
            <w:r w:rsidRPr="0045095C">
              <w:t>Precizētā Projekta 110.</w:t>
            </w:r>
            <w:r w:rsidRPr="0045095C">
              <w:rPr>
                <w:vertAlign w:val="superscript"/>
              </w:rPr>
              <w:t>8</w:t>
            </w:r>
            <w:r w:rsidRPr="0045095C">
              <w:t>1. un 110.</w:t>
            </w:r>
            <w:r w:rsidRPr="0045095C">
              <w:rPr>
                <w:vertAlign w:val="superscript"/>
              </w:rPr>
              <w:t>8</w:t>
            </w:r>
            <w:r w:rsidRPr="0045095C">
              <w:t>2. apakšpunkts paredz, ka kompetentajai institūcijai, kurai ir piekļuves tiesības šajā nodaļā minētajai informācijai par personas datiem, ir tiesības izdarīt atzīmi par to, ka reisa laikā ir radusies ārkārtas situācija vai noticis negadījums vai institūcija ir uzsākusi ar šo noteikumu 110.</w:t>
            </w:r>
            <w:r w:rsidRPr="0045095C">
              <w:rPr>
                <w:vertAlign w:val="superscript"/>
              </w:rPr>
              <w:t>8</w:t>
            </w:r>
            <w:r w:rsidRPr="0045095C">
              <w:t xml:space="preserve">1. apakšpunktā minēto ārkārtas situāciju vai negadījumu saistītu izmeklēšanu. </w:t>
            </w:r>
          </w:p>
          <w:p w:rsidRPr="0045095C" w:rsidR="002C2F05" w:rsidP="002C2F05" w:rsidRDefault="002C2F05" w14:paraId="41819AFB" w14:textId="77777777">
            <w:pPr>
              <w:tabs>
                <w:tab w:val="left" w:pos="993"/>
              </w:tabs>
              <w:jc w:val="both"/>
            </w:pPr>
            <w:r w:rsidRPr="0045095C">
              <w:t xml:space="preserve">No minētā secināms, ka pasažieru dati būs pieejami, ja </w:t>
            </w:r>
            <w:r w:rsidRPr="0045095C">
              <w:rPr>
                <w:bCs/>
              </w:rPr>
              <w:t>reisa laikā</w:t>
            </w:r>
            <w:r w:rsidRPr="0045095C">
              <w:t xml:space="preserve"> </w:t>
            </w:r>
            <w:r w:rsidRPr="0045095C">
              <w:lastRenderedPageBreak/>
              <w:t xml:space="preserve">kompetentā institūcija ieliek attiecīgās atzīmes sistēmā. Vēršam uzmanību uz to, ka vairumam infekcijas slimību inkubācijas periods ilgst vairākas dienas, piemēram, tuberkulozei tas var būt vairākas nedēļas. Tādējādi informāciju par kuģa pasažiera saslimšanu ar infekcijas slimību epidemiologi saņems jau tad, kad pasažieri būs nokāpuši no kuģa un sistēmā būs veikta atzīme, ka reiss ir droši noslēdzies un dati automātiski no sistēmas tiks dzēsti. Tas nozīmē, ka epidemiologiem būs apgrūtināta pieeja informācijai, kas nepieciešama </w:t>
            </w:r>
            <w:proofErr w:type="spellStart"/>
            <w:r w:rsidRPr="0045095C">
              <w:t>pretepidēmijas</w:t>
            </w:r>
            <w:proofErr w:type="spellEnd"/>
            <w:r w:rsidRPr="0045095C">
              <w:t xml:space="preserve"> pasākumu organizēšanai un operatīvai rīcībai. </w:t>
            </w:r>
          </w:p>
          <w:p w:rsidRPr="0045095C" w:rsidR="002C2F05" w:rsidP="002C2F05" w:rsidRDefault="002C2F05" w14:paraId="24237610" w14:textId="77777777">
            <w:pPr>
              <w:tabs>
                <w:tab w:val="left" w:pos="993"/>
              </w:tabs>
              <w:jc w:val="both"/>
            </w:pPr>
            <w:r w:rsidRPr="0045095C">
              <w:t>Līdz ar to, precizētā Projekta 110.</w:t>
            </w:r>
            <w:r w:rsidRPr="0045095C">
              <w:rPr>
                <w:vertAlign w:val="superscript"/>
              </w:rPr>
              <w:t>8</w:t>
            </w:r>
            <w:r w:rsidRPr="0045095C">
              <w:t xml:space="preserve"> punkta redakcija nenodrošina epidemioloģiskās drošības vajadzības.</w:t>
            </w:r>
          </w:p>
          <w:p w:rsidRPr="0045095C" w:rsidR="002C2F05" w:rsidP="002C2F05" w:rsidRDefault="002C2F05" w14:paraId="7F750658" w14:textId="77777777">
            <w:pPr>
              <w:tabs>
                <w:tab w:val="left" w:pos="993"/>
              </w:tabs>
              <w:jc w:val="both"/>
            </w:pPr>
            <w:r w:rsidRPr="0045095C">
              <w:t>Vienlaikus vēršam uzmanību uz to, ka precizētā 110.</w:t>
            </w:r>
            <w:r w:rsidRPr="0045095C">
              <w:rPr>
                <w:vertAlign w:val="superscript"/>
              </w:rPr>
              <w:t>8</w:t>
            </w:r>
            <w:r w:rsidRPr="0045095C">
              <w:t>3. apakšpunkta redakcija (kas paredz, ka kompetentajai institūcijai nekavējoties izdarīt atzīmi par to, ka institūcija ir pabeigusi ar šo noteikumu 110.</w:t>
            </w:r>
            <w:r w:rsidRPr="0045095C">
              <w:rPr>
                <w:vertAlign w:val="superscript"/>
              </w:rPr>
              <w:t>8</w:t>
            </w:r>
            <w:r w:rsidRPr="0045095C">
              <w:t xml:space="preserve"> 1. apakšpunktā minēto ārkārtas situāciju vai negadījumu saistītu izmeklēšanu un ir pabeigta tai sekojošā tiesvedība) ir pretrunā ar izziņas 10.punktā sniegto </w:t>
            </w:r>
            <w:r w:rsidRPr="0045095C">
              <w:lastRenderedPageBreak/>
              <w:t>Ministru kabineta noteikumu projekta “</w:t>
            </w:r>
            <w:r w:rsidRPr="0045095C">
              <w:rPr>
                <w:bCs/>
              </w:rPr>
              <w:t xml:space="preserve">Starptautiskās kravu loģistikas un ostu informācijas sistēmas noteikumi” (VSS-1077) 11. punkta redakciju, kas nosaka, </w:t>
            </w:r>
            <w:r w:rsidRPr="0045095C">
              <w:t xml:space="preserve">ka paziņojumā par personām uz pasažieru kuģa ietvertos personas datus no Sistēmas automātiski dzēš 60 dienas pēc kuģa faktiskā iziešanas laika no ostas (ATD). </w:t>
            </w:r>
          </w:p>
          <w:p w:rsidRPr="0045095C" w:rsidR="002C2F05" w:rsidP="00793101" w:rsidRDefault="002C2F05" w14:paraId="17DA6B58" w14:textId="4813008C">
            <w:pPr>
              <w:tabs>
                <w:tab w:val="left" w:pos="993"/>
              </w:tabs>
              <w:jc w:val="both"/>
            </w:pPr>
            <w:r w:rsidRPr="0045095C">
              <w:t>Ņemot vērā minēto, Veselības ministrija atkārtoti lūdz Projektā noteikt, ka informācija tiek glabāta 60 dienas pēc kuģa reisa beigšanas un ārkārtas situācijā vai pēc negadījuma – līdz brīdim, kad ir pabeigta jebkāda izmeklēšana.</w:t>
            </w:r>
          </w:p>
        </w:tc>
        <w:tc>
          <w:tcPr>
            <w:tcW w:w="3260" w:type="dxa"/>
            <w:tcBorders>
              <w:top w:val="single" w:color="auto" w:sz="4" w:space="0"/>
              <w:left w:val="single" w:color="auto" w:sz="4" w:space="0"/>
              <w:bottom w:val="single" w:color="auto" w:sz="4" w:space="0"/>
              <w:right w:val="single" w:color="auto" w:sz="4" w:space="0"/>
            </w:tcBorders>
          </w:tcPr>
          <w:p w:rsidRPr="00854491" w:rsidR="0066151E" w:rsidP="0025662B" w:rsidRDefault="005F4ED3" w14:paraId="41CB2624" w14:textId="1F0AE426">
            <w:pPr>
              <w:pBdr>
                <w:top w:val="nil"/>
                <w:left w:val="nil"/>
                <w:bottom w:val="nil"/>
                <w:right w:val="nil"/>
                <w:between w:val="nil"/>
              </w:pBdr>
              <w:jc w:val="center"/>
              <w:rPr>
                <w:b/>
                <w:color w:val="000000"/>
              </w:rPr>
            </w:pPr>
            <w:r w:rsidRPr="005F4ED3">
              <w:rPr>
                <w:b/>
                <w:color w:val="000000"/>
              </w:rPr>
              <w:lastRenderedPageBreak/>
              <w:t xml:space="preserve">Panākta vienošanās </w:t>
            </w:r>
            <w:proofErr w:type="spellStart"/>
            <w:r w:rsidRPr="005F4ED3">
              <w:rPr>
                <w:b/>
                <w:color w:val="000000"/>
              </w:rPr>
              <w:t>starpministriju</w:t>
            </w:r>
            <w:proofErr w:type="spellEnd"/>
            <w:r w:rsidRPr="005F4ED3">
              <w:rPr>
                <w:b/>
                <w:color w:val="000000"/>
              </w:rPr>
              <w:t xml:space="preserve"> (starpinstitūciju) sanāksmē</w:t>
            </w:r>
          </w:p>
        </w:tc>
        <w:tc>
          <w:tcPr>
            <w:tcW w:w="3241" w:type="dxa"/>
            <w:tcBorders>
              <w:top w:val="single" w:color="auto" w:sz="4" w:space="0"/>
              <w:left w:val="single" w:color="auto" w:sz="4" w:space="0"/>
              <w:bottom w:val="single" w:color="auto" w:sz="4" w:space="0"/>
              <w:right w:val="single" w:color="auto" w:sz="4" w:space="0"/>
            </w:tcBorders>
          </w:tcPr>
          <w:p w:rsidRPr="0045095C" w:rsidR="003D2C7F" w:rsidP="003D2C7F" w:rsidRDefault="003D2C7F" w14:paraId="298315C3" w14:textId="76474782">
            <w:pPr>
              <w:jc w:val="both"/>
            </w:pPr>
            <w:r w:rsidRPr="0045095C">
              <w:t>8. Izteikt 9.</w:t>
            </w:r>
            <w:r w:rsidRPr="0045095C">
              <w:rPr>
                <w:vertAlign w:val="superscript"/>
              </w:rPr>
              <w:t>1</w:t>
            </w:r>
            <w:r w:rsidRPr="0045095C">
              <w:t xml:space="preserve"> nodaļu šādā redakcijā:</w:t>
            </w:r>
          </w:p>
          <w:p w:rsidRPr="0045095C" w:rsidR="003D2C7F" w:rsidP="003D2C7F" w:rsidRDefault="003D2C7F" w14:paraId="24E695C9" w14:textId="77777777">
            <w:pPr>
              <w:jc w:val="both"/>
            </w:pPr>
          </w:p>
          <w:p w:rsidRPr="0045095C" w:rsidR="003D2C7F" w:rsidP="003D2C7F" w:rsidRDefault="003D2C7F" w14:paraId="3D0CFF7C" w14:textId="77777777">
            <w:pPr>
              <w:jc w:val="both"/>
            </w:pPr>
            <w:r w:rsidRPr="0045095C">
              <w:t>"(..)</w:t>
            </w:r>
            <w:bookmarkStart w:name="1fob9te" w:colFirst="0" w:colLast="0" w:id="0"/>
            <w:bookmarkStart w:name="2et92p0" w:colFirst="0" w:colLast="0" w:id="1"/>
            <w:bookmarkStart w:name="3znysh7" w:colFirst="0" w:colLast="0" w:id="2"/>
            <w:bookmarkStart w:name="tyjcwt" w:colFirst="0" w:colLast="0" w:id="3"/>
            <w:bookmarkEnd w:id="0"/>
            <w:bookmarkEnd w:id="1"/>
            <w:bookmarkEnd w:id="2"/>
            <w:bookmarkEnd w:id="3"/>
          </w:p>
          <w:p w:rsidRPr="0045095C" w:rsidR="008A40F9" w:rsidP="008A40F9" w:rsidRDefault="008A40F9" w14:paraId="2D2D38D6" w14:textId="77777777">
            <w:pPr>
              <w:jc w:val="both"/>
            </w:pPr>
            <w:r w:rsidRPr="0045095C">
              <w:t>110.</w:t>
            </w:r>
            <w:r w:rsidRPr="0045095C">
              <w:rPr>
                <w:vertAlign w:val="superscript"/>
              </w:rPr>
              <w:t xml:space="preserve">8 </w:t>
            </w:r>
            <w:r w:rsidRPr="0045095C">
              <w:t>Kompetentajai institūcijai, kurai ir piekļuves tiesības šajā nodaļā minētajai informācijai par personas datiem, ir:</w:t>
            </w:r>
          </w:p>
          <w:p w:rsidRPr="0045095C" w:rsidR="008A40F9" w:rsidP="008A40F9" w:rsidRDefault="008A40F9" w14:paraId="3AEA3233" w14:textId="77777777">
            <w:pPr>
              <w:jc w:val="both"/>
            </w:pPr>
          </w:p>
          <w:p w:rsidRPr="0045095C" w:rsidR="008A40F9" w:rsidP="008A40F9" w:rsidRDefault="008A40F9" w14:paraId="45949ACE" w14:textId="77777777">
            <w:pPr>
              <w:jc w:val="both"/>
            </w:pPr>
            <w:r w:rsidRPr="0045095C">
              <w:t>110.</w:t>
            </w:r>
            <w:r w:rsidRPr="0045095C">
              <w:rPr>
                <w:vertAlign w:val="superscript"/>
              </w:rPr>
              <w:t xml:space="preserve">8 </w:t>
            </w:r>
            <w:r w:rsidRPr="0045095C">
              <w:t>1. tiesības izdarīt atzīmi par to, ka reisa laikā ir radusies ārkārtas situācija vai noticis negadījums;</w:t>
            </w:r>
          </w:p>
          <w:p w:rsidRPr="0045095C" w:rsidR="008A40F9" w:rsidP="008A40F9" w:rsidRDefault="008A40F9" w14:paraId="7103A73A" w14:textId="77777777">
            <w:pPr>
              <w:jc w:val="both"/>
            </w:pPr>
          </w:p>
          <w:p w:rsidRPr="0045095C" w:rsidR="008A40F9" w:rsidP="008A40F9" w:rsidRDefault="008A40F9" w14:paraId="34334678" w14:textId="77777777">
            <w:pPr>
              <w:jc w:val="both"/>
            </w:pPr>
            <w:r w:rsidRPr="0045095C">
              <w:t>110.</w:t>
            </w:r>
            <w:r w:rsidRPr="0045095C">
              <w:rPr>
                <w:vertAlign w:val="superscript"/>
              </w:rPr>
              <w:t xml:space="preserve">8 </w:t>
            </w:r>
            <w:r w:rsidRPr="0045095C">
              <w:t>2. tiesības izdarīt atzīmi par to, ka institūcija ir uzsākusi ar šo noteikumu 110.</w:t>
            </w:r>
            <w:r w:rsidRPr="0045095C">
              <w:rPr>
                <w:vertAlign w:val="superscript"/>
              </w:rPr>
              <w:t>8</w:t>
            </w:r>
            <w:r w:rsidRPr="0045095C">
              <w:t xml:space="preserve"> 1. apakšpunktā minēto ārkārtas situāciju vai </w:t>
            </w:r>
            <w:r w:rsidRPr="0045095C">
              <w:lastRenderedPageBreak/>
              <w:t>negadījumu saistītu izmeklēšanu;</w:t>
            </w:r>
          </w:p>
          <w:p w:rsidRPr="0045095C" w:rsidR="008A40F9" w:rsidP="008A40F9" w:rsidRDefault="008A40F9" w14:paraId="2E2340BD" w14:textId="77777777">
            <w:pPr>
              <w:jc w:val="both"/>
            </w:pPr>
          </w:p>
          <w:p w:rsidRPr="0045095C" w:rsidR="008A40F9" w:rsidP="008A40F9" w:rsidRDefault="008A40F9" w14:paraId="19774FA8" w14:textId="77777777">
            <w:pPr>
              <w:jc w:val="both"/>
            </w:pPr>
            <w:r w:rsidRPr="0045095C">
              <w:t>110.</w:t>
            </w:r>
            <w:r w:rsidRPr="0045095C">
              <w:rPr>
                <w:vertAlign w:val="superscript"/>
              </w:rPr>
              <w:t>8</w:t>
            </w:r>
            <w:r w:rsidRPr="0045095C">
              <w:t> 3.  pienākums nekavējoties izdarīt atzīmi par to, ka institūcija ir pabeigusi ar šo noteikumu 110.</w:t>
            </w:r>
            <w:r w:rsidRPr="0045095C">
              <w:rPr>
                <w:vertAlign w:val="superscript"/>
              </w:rPr>
              <w:t>8</w:t>
            </w:r>
            <w:r w:rsidRPr="0045095C">
              <w:t> 1. apakšpunktā minēto ārkārtas situāciju vai negadījumu saistītu izmeklēšanu un ir pabeigta tai sekojošā tiesvedība.</w:t>
            </w:r>
          </w:p>
          <w:p w:rsidRPr="0045095C" w:rsidR="003D2C7F" w:rsidP="008A40F9" w:rsidRDefault="003D2C7F" w14:paraId="6787AD18" w14:textId="1A77EFF2">
            <w:pPr>
              <w:jc w:val="both"/>
            </w:pPr>
            <w:r w:rsidRPr="0045095C">
              <w:t>(..)"</w:t>
            </w:r>
          </w:p>
          <w:p w:rsidRPr="0045095C" w:rsidR="00697611" w:rsidP="00793101" w:rsidRDefault="00697611" w14:paraId="5B085586" w14:textId="77777777">
            <w:pPr>
              <w:jc w:val="both"/>
              <w:rPr>
                <w:b/>
              </w:rPr>
            </w:pPr>
          </w:p>
          <w:p w:rsidRPr="0045095C" w:rsidR="003D2C7F" w:rsidP="003D2C7F" w:rsidRDefault="003D2C7F" w14:paraId="69C5CD6B" w14:textId="77777777">
            <w:pPr>
              <w:jc w:val="both"/>
            </w:pPr>
            <w:bookmarkStart w:name="_GoBack" w:id="4"/>
            <w:bookmarkEnd w:id="4"/>
            <w:r w:rsidRPr="0045095C">
              <w:t>1.9. Papildināt noteikumus ar 123., 124. un 125. punktu šādā redakcijā:</w:t>
            </w:r>
          </w:p>
          <w:p w:rsidRPr="0045095C" w:rsidR="003D2C7F" w:rsidP="003D2C7F" w:rsidRDefault="003D2C7F" w14:paraId="6466769C" w14:textId="77777777">
            <w:pPr>
              <w:jc w:val="both"/>
            </w:pPr>
          </w:p>
          <w:p w:rsidRPr="0045095C" w:rsidR="003D2C7F" w:rsidP="003D2C7F" w:rsidRDefault="003D2C7F" w14:paraId="49E1185C" w14:textId="77777777">
            <w:pPr>
              <w:jc w:val="both"/>
            </w:pPr>
            <w:r w:rsidRPr="0045095C">
              <w:t>"(..)</w:t>
            </w:r>
          </w:p>
          <w:p w:rsidRPr="0045095C" w:rsidR="003D2C7F" w:rsidP="003D2C7F" w:rsidRDefault="003D2C7F" w14:paraId="5B706B85" w14:textId="77777777">
            <w:pPr>
              <w:jc w:val="both"/>
            </w:pPr>
            <w:r w:rsidRPr="0045095C">
              <w:t>124. Līdz šo noteikumu 123. punktā minētās funkcionalitātes izstrādei kuģošanas kompānija nodrošina:</w:t>
            </w:r>
          </w:p>
          <w:p w:rsidRPr="0045095C" w:rsidR="003D2C7F" w:rsidP="003D2C7F" w:rsidRDefault="003D2C7F" w14:paraId="02D9AEF4" w14:textId="77777777">
            <w:pPr>
              <w:jc w:val="both"/>
            </w:pPr>
            <w:r w:rsidRPr="0045095C">
              <w:t>(..)</w:t>
            </w:r>
          </w:p>
          <w:p w:rsidRPr="0045095C" w:rsidR="003D2C7F" w:rsidP="003D2C7F" w:rsidRDefault="003D2C7F" w14:paraId="74196DC0" w14:textId="77777777">
            <w:pPr>
              <w:jc w:val="both"/>
            </w:pPr>
            <w:r w:rsidRPr="0045095C">
              <w:t xml:space="preserve">124.6. informācijas par personām, kas atrodas uz kuģošanas kompānijas pasažieru kuģa, dzēšanu, tiklīdz tā vairs nav nepieciešama cilvēku meklēšanas un glābšanas nolūkiem un ar ārkārtas situāciju vai negadījumu saistītās </w:t>
            </w:r>
            <w:r w:rsidRPr="0045095C">
              <w:lastRenderedPageBreak/>
              <w:t>izmeklēšanas vai tiesvedības vajadzībām.</w:t>
            </w:r>
          </w:p>
          <w:p w:rsidRPr="0045095C" w:rsidR="003D2C7F" w:rsidP="003D2C7F" w:rsidRDefault="003D2C7F" w14:paraId="0E9457EA" w14:textId="77777777">
            <w:pPr>
              <w:jc w:val="both"/>
            </w:pPr>
            <w:r w:rsidRPr="0045095C">
              <w:t>(..)"</w:t>
            </w:r>
          </w:p>
        </w:tc>
      </w:tr>
    </w:tbl>
    <w:p w:rsidRPr="0045095C" w:rsidR="00D41F3C" w:rsidRDefault="00D41F3C" w14:paraId="44C93FE4" w14:textId="77777777">
      <w:pPr>
        <w:pBdr>
          <w:top w:val="nil"/>
          <w:left w:val="nil"/>
          <w:bottom w:val="nil"/>
          <w:right w:val="nil"/>
          <w:between w:val="nil"/>
        </w:pBdr>
        <w:jc w:val="both"/>
        <w:rPr>
          <w:color w:val="000000"/>
        </w:rPr>
      </w:pPr>
    </w:p>
    <w:p w:rsidRPr="0045095C" w:rsidR="00D41F3C" w:rsidRDefault="00A94AFD" w14:paraId="77A4D947" w14:textId="77777777">
      <w:pPr>
        <w:pBdr>
          <w:top w:val="nil"/>
          <w:left w:val="nil"/>
          <w:bottom w:val="nil"/>
          <w:right w:val="nil"/>
          <w:between w:val="nil"/>
        </w:pBdr>
        <w:jc w:val="both"/>
        <w:rPr>
          <w:color w:val="000000"/>
        </w:rPr>
      </w:pPr>
      <w:r w:rsidRPr="0045095C">
        <w:rPr>
          <w:color w:val="000000"/>
        </w:rPr>
        <w:t>Atbildīgā amatpersona _____________________________________________</w:t>
      </w:r>
    </w:p>
    <w:p w:rsidRPr="0045095C" w:rsidR="00D41F3C" w:rsidRDefault="00A94AFD" w14:paraId="0A3075A1" w14:textId="77777777">
      <w:pPr>
        <w:jc w:val="both"/>
      </w:pPr>
      <w:r w:rsidRPr="0045095C">
        <w:tab/>
      </w:r>
      <w:r w:rsidRPr="0045095C">
        <w:tab/>
      </w:r>
      <w:r w:rsidRPr="0045095C">
        <w:tab/>
      </w:r>
      <w:r w:rsidRPr="0045095C">
        <w:tab/>
      </w:r>
      <w:r w:rsidRPr="0045095C">
        <w:tab/>
      </w:r>
      <w:r w:rsidRPr="0045095C">
        <w:tab/>
        <w:t>(paraksts)</w:t>
      </w:r>
    </w:p>
    <w:p w:rsidRPr="0045095C" w:rsidR="00D41F3C" w:rsidRDefault="00A94AFD" w14:paraId="7E1DF2BF" w14:textId="77777777">
      <w:r w:rsidRPr="0045095C">
        <w:t xml:space="preserve">Laima Rituma </w:t>
      </w:r>
    </w:p>
    <w:p w:rsidRPr="0045095C" w:rsidR="00D41F3C" w:rsidRDefault="00A94AFD" w14:paraId="5DF68B3D" w14:textId="77777777">
      <w:r w:rsidRPr="0045095C">
        <w:t>Satiksmes ministrijas</w:t>
      </w:r>
    </w:p>
    <w:p w:rsidRPr="0045095C" w:rsidR="00D41F3C" w:rsidRDefault="00A94AFD" w14:paraId="56488324" w14:textId="77777777">
      <w:r w:rsidRPr="0045095C">
        <w:t>Jūrlietu departamenta direktore</w:t>
      </w:r>
    </w:p>
    <w:p w:rsidRPr="0045095C" w:rsidR="00D41F3C" w:rsidRDefault="00A94AFD" w14:paraId="36DBF011" w14:textId="77777777">
      <w:r w:rsidRPr="0045095C">
        <w:t xml:space="preserve">67028198, </w:t>
      </w:r>
      <w:hyperlink r:id="rId8">
        <w:r w:rsidRPr="0045095C">
          <w:rPr>
            <w:color w:val="0000FF"/>
            <w:u w:val="single"/>
          </w:rPr>
          <w:t>laima.rituma@sam.gov.lv</w:t>
        </w:r>
      </w:hyperlink>
      <w:r w:rsidRPr="0045095C">
        <w:tab/>
      </w:r>
    </w:p>
    <w:p w:rsidRPr="0045095C" w:rsidR="00D41F3C" w:rsidRDefault="00D41F3C" w14:paraId="2E959CE9" w14:textId="77777777"/>
    <w:p w:rsidRPr="0045095C" w:rsidR="00D41F3C" w:rsidRDefault="00A94AFD" w14:paraId="3CB15D3A" w14:textId="77777777">
      <w:r w:rsidRPr="0045095C">
        <w:t xml:space="preserve">Viesturs </w:t>
      </w:r>
      <w:proofErr w:type="spellStart"/>
      <w:r w:rsidRPr="0045095C">
        <w:t>Ruško</w:t>
      </w:r>
      <w:proofErr w:type="spellEnd"/>
    </w:p>
    <w:p w:rsidRPr="0045095C" w:rsidR="00D41F3C" w:rsidRDefault="00A94AFD" w14:paraId="7B5257F4" w14:textId="77777777">
      <w:r w:rsidRPr="0045095C">
        <w:t>VAS “Latvijas Jūras administrācija”</w:t>
      </w:r>
    </w:p>
    <w:p w:rsidRPr="0045095C" w:rsidR="00D41F3C" w:rsidRDefault="00A94AFD" w14:paraId="21051C56" w14:textId="77777777">
      <w:r w:rsidRPr="0045095C">
        <w:t>juriskonsults</w:t>
      </w:r>
    </w:p>
    <w:p w:rsidR="00D41F3C" w:rsidRDefault="00A94AFD" w14:paraId="577AD219" w14:textId="6AE7E262">
      <w:r w:rsidRPr="0045095C">
        <w:t xml:space="preserve">67062127, </w:t>
      </w:r>
      <w:hyperlink r:id="rId9">
        <w:r w:rsidRPr="0045095C">
          <w:rPr>
            <w:color w:val="0000FF"/>
            <w:u w:val="single"/>
          </w:rPr>
          <w:t>viesturs.rusko@lja.lv</w:t>
        </w:r>
      </w:hyperlink>
    </w:p>
    <w:sectPr w:rsidR="00D41F3C">
      <w:headerReference w:type="even" r:id="rId10"/>
      <w:headerReference w:type="default" r:id="rId11"/>
      <w:footerReference w:type="default" r:id="rId12"/>
      <w:footerReference w:type="first" r:id="rId13"/>
      <w:pgSz w:w="16838" w:h="11906"/>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040ED" w14:textId="77777777" w:rsidR="00050ED9" w:rsidRDefault="00050ED9">
      <w:r>
        <w:separator/>
      </w:r>
    </w:p>
  </w:endnote>
  <w:endnote w:type="continuationSeparator" w:id="0">
    <w:p w14:paraId="6F84AE91" w14:textId="77777777" w:rsidR="00050ED9" w:rsidRDefault="00050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30FE" w14:textId="787F5908" w:rsidR="00CD7F17" w:rsidRPr="00854491" w:rsidRDefault="00854491" w:rsidP="00854491">
    <w:pPr>
      <w:pStyle w:val="Footer"/>
      <w:rPr>
        <w:color w:val="000000"/>
        <w:sz w:val="20"/>
        <w:szCs w:val="20"/>
      </w:rPr>
    </w:pPr>
    <w:r w:rsidRPr="00854491">
      <w:rPr>
        <w:color w:val="000000"/>
        <w:sz w:val="20"/>
        <w:szCs w:val="20"/>
      </w:rPr>
      <w:t>SM</w:t>
    </w:r>
    <w:r w:rsidR="00CD6F39">
      <w:rPr>
        <w:color w:val="000000"/>
        <w:sz w:val="20"/>
        <w:szCs w:val="20"/>
      </w:rPr>
      <w:t>i</w:t>
    </w:r>
    <w:r w:rsidRPr="00854491">
      <w:rPr>
        <w:color w:val="000000"/>
        <w:sz w:val="20"/>
        <w:szCs w:val="20"/>
      </w:rPr>
      <w:t>zz_1</w:t>
    </w:r>
    <w:r w:rsidR="007F4497">
      <w:rPr>
        <w:color w:val="000000"/>
        <w:sz w:val="20"/>
        <w:szCs w:val="20"/>
      </w:rPr>
      <w:t>9</w:t>
    </w:r>
    <w:r w:rsidRPr="00854491">
      <w:rPr>
        <w:color w:val="000000"/>
        <w:sz w:val="20"/>
        <w:szCs w:val="20"/>
      </w:rPr>
      <w:t>1219_VSS1035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8C51" w14:textId="77C128CE" w:rsidR="00CD7F17" w:rsidRDefault="00CD7F17">
    <w:pPr>
      <w:pBdr>
        <w:top w:val="nil"/>
        <w:left w:val="nil"/>
        <w:bottom w:val="nil"/>
        <w:right w:val="nil"/>
        <w:between w:val="nil"/>
      </w:pBdr>
      <w:rPr>
        <w:color w:val="000000"/>
        <w:sz w:val="20"/>
        <w:szCs w:val="20"/>
      </w:rPr>
    </w:pPr>
    <w:r>
      <w:rPr>
        <w:color w:val="000000"/>
        <w:sz w:val="20"/>
        <w:szCs w:val="20"/>
      </w:rPr>
      <w:t>SM</w:t>
    </w:r>
    <w:r w:rsidR="00CD6F39">
      <w:rPr>
        <w:color w:val="000000"/>
        <w:sz w:val="20"/>
        <w:szCs w:val="20"/>
      </w:rPr>
      <w:t>i</w:t>
    </w:r>
    <w:r>
      <w:rPr>
        <w:color w:val="000000"/>
        <w:sz w:val="20"/>
        <w:szCs w:val="20"/>
      </w:rPr>
      <w:t>zz_</w:t>
    </w:r>
    <w:r w:rsidR="005F4ED3">
      <w:rPr>
        <w:color w:val="000000"/>
        <w:sz w:val="20"/>
        <w:szCs w:val="20"/>
      </w:rPr>
      <w:t>1</w:t>
    </w:r>
    <w:r w:rsidR="007F4497">
      <w:rPr>
        <w:color w:val="000000"/>
        <w:sz w:val="20"/>
        <w:szCs w:val="20"/>
      </w:rPr>
      <w:t>9</w:t>
    </w:r>
    <w:r>
      <w:rPr>
        <w:color w:val="000000"/>
        <w:sz w:val="20"/>
        <w:szCs w:val="20"/>
      </w:rPr>
      <w:t>1</w:t>
    </w:r>
    <w:r w:rsidR="005F4ED3">
      <w:rPr>
        <w:color w:val="000000"/>
        <w:sz w:val="20"/>
        <w:szCs w:val="20"/>
      </w:rPr>
      <w:t>2</w:t>
    </w:r>
    <w:r w:rsidR="00854491">
      <w:rPr>
        <w:color w:val="000000"/>
        <w:sz w:val="20"/>
        <w:szCs w:val="20"/>
      </w:rPr>
      <w:t>19_VSS</w:t>
    </w:r>
    <w:r>
      <w:rPr>
        <w:color w:val="000000"/>
        <w:sz w:val="20"/>
        <w:szCs w:val="20"/>
      </w:rPr>
      <w:t>1035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6C46" w14:textId="77777777" w:rsidR="00050ED9" w:rsidRDefault="00050ED9">
      <w:r>
        <w:separator/>
      </w:r>
    </w:p>
  </w:footnote>
  <w:footnote w:type="continuationSeparator" w:id="0">
    <w:p w14:paraId="43E81033" w14:textId="77777777" w:rsidR="00050ED9" w:rsidRDefault="00050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F17" w:rsidRDefault="00CD7F17" w14:paraId="070A7E1A"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CD7F17" w:rsidRDefault="00CD7F17" w14:paraId="38945D93" w14:textId="7777777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F17" w:rsidRDefault="00CD7F17" w14:paraId="7987DE23"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F4497">
      <w:rPr>
        <w:noProof/>
        <w:color w:val="000000"/>
      </w:rPr>
      <w:t>1</w:t>
    </w:r>
    <w:r w:rsidR="007F4497">
      <w:rPr>
        <w:noProof/>
        <w:color w:val="000000"/>
      </w:rPr>
      <w:t>7</w:t>
    </w:r>
    <w:r>
      <w:rPr>
        <w:color w:val="000000"/>
      </w:rPr>
      <w:fldChar w:fldCharType="end"/>
    </w:r>
  </w:p>
  <w:p w:rsidR="00CD7F17" w:rsidRDefault="00CD7F17" w14:paraId="6C61D28F" w14:textId="7777777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83AFD"/>
    <w:multiLevelType w:val="multilevel"/>
    <w:tmpl w:val="7EB42FDA"/>
    <w:lvl w:ilvl="0">
      <w:start w:val="1"/>
      <w:numFmt w:val="upperRoman"/>
      <w:lvlText w:val="%1."/>
      <w:lvlJc w:val="left"/>
      <w:pPr>
        <w:ind w:left="1095" w:hanging="72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3C"/>
    <w:rsid w:val="00046D23"/>
    <w:rsid w:val="00050ED9"/>
    <w:rsid w:val="00052694"/>
    <w:rsid w:val="00081AEE"/>
    <w:rsid w:val="000C5D1D"/>
    <w:rsid w:val="000F0D33"/>
    <w:rsid w:val="000F6713"/>
    <w:rsid w:val="00115062"/>
    <w:rsid w:val="001306ED"/>
    <w:rsid w:val="001409B9"/>
    <w:rsid w:val="00183C62"/>
    <w:rsid w:val="001C62AC"/>
    <w:rsid w:val="00216EE4"/>
    <w:rsid w:val="00227414"/>
    <w:rsid w:val="00234331"/>
    <w:rsid w:val="00236F88"/>
    <w:rsid w:val="0025662B"/>
    <w:rsid w:val="00265157"/>
    <w:rsid w:val="002C2F05"/>
    <w:rsid w:val="002E121E"/>
    <w:rsid w:val="002F0BF4"/>
    <w:rsid w:val="0031639A"/>
    <w:rsid w:val="00335A95"/>
    <w:rsid w:val="0039421F"/>
    <w:rsid w:val="003A126C"/>
    <w:rsid w:val="003B1C67"/>
    <w:rsid w:val="003B1DDB"/>
    <w:rsid w:val="003C25AD"/>
    <w:rsid w:val="003C78D3"/>
    <w:rsid w:val="003D2C7F"/>
    <w:rsid w:val="003E6BBC"/>
    <w:rsid w:val="003F4F54"/>
    <w:rsid w:val="00412A32"/>
    <w:rsid w:val="00430908"/>
    <w:rsid w:val="0045020F"/>
    <w:rsid w:val="0045095C"/>
    <w:rsid w:val="004577A3"/>
    <w:rsid w:val="004777B1"/>
    <w:rsid w:val="00485DDD"/>
    <w:rsid w:val="004A409A"/>
    <w:rsid w:val="004A59A9"/>
    <w:rsid w:val="004A5E83"/>
    <w:rsid w:val="00540CE3"/>
    <w:rsid w:val="00553A2E"/>
    <w:rsid w:val="00573DBA"/>
    <w:rsid w:val="005B1DA4"/>
    <w:rsid w:val="005B2BE2"/>
    <w:rsid w:val="005D03D6"/>
    <w:rsid w:val="005F4ED3"/>
    <w:rsid w:val="006002C8"/>
    <w:rsid w:val="0061787D"/>
    <w:rsid w:val="0066151E"/>
    <w:rsid w:val="00697611"/>
    <w:rsid w:val="006A2772"/>
    <w:rsid w:val="006E0FA7"/>
    <w:rsid w:val="006E7906"/>
    <w:rsid w:val="00703810"/>
    <w:rsid w:val="007347FE"/>
    <w:rsid w:val="0074130C"/>
    <w:rsid w:val="00743CCF"/>
    <w:rsid w:val="00755E44"/>
    <w:rsid w:val="007645F6"/>
    <w:rsid w:val="00767B11"/>
    <w:rsid w:val="00767E7F"/>
    <w:rsid w:val="0077735C"/>
    <w:rsid w:val="00793101"/>
    <w:rsid w:val="007C1FF0"/>
    <w:rsid w:val="007C3311"/>
    <w:rsid w:val="007E218A"/>
    <w:rsid w:val="007F4497"/>
    <w:rsid w:val="00836475"/>
    <w:rsid w:val="00854491"/>
    <w:rsid w:val="0086736E"/>
    <w:rsid w:val="008A40F9"/>
    <w:rsid w:val="008C51F8"/>
    <w:rsid w:val="009216D0"/>
    <w:rsid w:val="00935297"/>
    <w:rsid w:val="00941941"/>
    <w:rsid w:val="00955D04"/>
    <w:rsid w:val="009915A5"/>
    <w:rsid w:val="009C1D48"/>
    <w:rsid w:val="009C5397"/>
    <w:rsid w:val="00A25B49"/>
    <w:rsid w:val="00A63334"/>
    <w:rsid w:val="00A6450A"/>
    <w:rsid w:val="00A94AFD"/>
    <w:rsid w:val="00AA53D4"/>
    <w:rsid w:val="00AE464E"/>
    <w:rsid w:val="00B24CA2"/>
    <w:rsid w:val="00B40D7B"/>
    <w:rsid w:val="00B5129C"/>
    <w:rsid w:val="00B56F4F"/>
    <w:rsid w:val="00B94448"/>
    <w:rsid w:val="00BB7ECC"/>
    <w:rsid w:val="00C56308"/>
    <w:rsid w:val="00C75308"/>
    <w:rsid w:val="00C94D4E"/>
    <w:rsid w:val="00CC75B4"/>
    <w:rsid w:val="00CD6F39"/>
    <w:rsid w:val="00CD7F17"/>
    <w:rsid w:val="00D00CCA"/>
    <w:rsid w:val="00D37C3C"/>
    <w:rsid w:val="00D41F3C"/>
    <w:rsid w:val="00D44587"/>
    <w:rsid w:val="00D65FA0"/>
    <w:rsid w:val="00D926B1"/>
    <w:rsid w:val="00DB5D7B"/>
    <w:rsid w:val="00DD0DDB"/>
    <w:rsid w:val="00DD4BD6"/>
    <w:rsid w:val="00DD7F45"/>
    <w:rsid w:val="00DF5410"/>
    <w:rsid w:val="00E00E56"/>
    <w:rsid w:val="00E032CD"/>
    <w:rsid w:val="00E05CBE"/>
    <w:rsid w:val="00E07153"/>
    <w:rsid w:val="00E15A63"/>
    <w:rsid w:val="00E34B5B"/>
    <w:rsid w:val="00E3569D"/>
    <w:rsid w:val="00E7254C"/>
    <w:rsid w:val="00E736D5"/>
    <w:rsid w:val="00E81A53"/>
    <w:rsid w:val="00E93C19"/>
    <w:rsid w:val="00EE5C81"/>
    <w:rsid w:val="00F40660"/>
    <w:rsid w:val="00F535AD"/>
    <w:rsid w:val="00F934F9"/>
    <w:rsid w:val="00FB25F2"/>
    <w:rsid w:val="00FE6E6E"/>
    <w:rsid w:val="00FF0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74A8"/>
  <w15:docId w15:val="{979D683E-C955-4ADB-9718-B70911C7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9216D0"/>
    <w:rPr>
      <w:color w:val="0000FF" w:themeColor="hyperlink"/>
      <w:u w:val="single"/>
    </w:rPr>
  </w:style>
  <w:style w:type="paragraph" w:styleId="Footer">
    <w:name w:val="footer"/>
    <w:basedOn w:val="Normal"/>
    <w:link w:val="FooterChar"/>
    <w:uiPriority w:val="99"/>
    <w:unhideWhenUsed/>
    <w:rsid w:val="00935297"/>
    <w:pPr>
      <w:tabs>
        <w:tab w:val="center" w:pos="4513"/>
        <w:tab w:val="right" w:pos="9026"/>
      </w:tabs>
    </w:pPr>
  </w:style>
  <w:style w:type="character" w:customStyle="1" w:styleId="FooterChar">
    <w:name w:val="Footer Char"/>
    <w:basedOn w:val="DefaultParagraphFont"/>
    <w:link w:val="Footer"/>
    <w:uiPriority w:val="99"/>
    <w:rsid w:val="00935297"/>
  </w:style>
  <w:style w:type="paragraph" w:styleId="Header">
    <w:name w:val="header"/>
    <w:basedOn w:val="Normal"/>
    <w:link w:val="HeaderChar"/>
    <w:uiPriority w:val="99"/>
    <w:unhideWhenUsed/>
    <w:rsid w:val="00935297"/>
    <w:pPr>
      <w:tabs>
        <w:tab w:val="center" w:pos="4513"/>
        <w:tab w:val="right" w:pos="9026"/>
      </w:tabs>
    </w:pPr>
  </w:style>
  <w:style w:type="character" w:customStyle="1" w:styleId="HeaderChar">
    <w:name w:val="Header Char"/>
    <w:basedOn w:val="DefaultParagraphFont"/>
    <w:link w:val="Header"/>
    <w:uiPriority w:val="99"/>
    <w:rsid w:val="00935297"/>
  </w:style>
  <w:style w:type="paragraph" w:styleId="BalloonText">
    <w:name w:val="Balloon Text"/>
    <w:basedOn w:val="Normal"/>
    <w:link w:val="BalloonTextChar"/>
    <w:uiPriority w:val="99"/>
    <w:semiHidden/>
    <w:unhideWhenUsed/>
    <w:rsid w:val="00F40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660"/>
    <w:rPr>
      <w:rFonts w:ascii="Segoe UI" w:hAnsi="Segoe UI" w:cs="Segoe UI"/>
      <w:sz w:val="18"/>
      <w:szCs w:val="18"/>
    </w:rPr>
  </w:style>
  <w:style w:type="character" w:styleId="CommentReference">
    <w:name w:val="annotation reference"/>
    <w:basedOn w:val="DefaultParagraphFont"/>
    <w:uiPriority w:val="99"/>
    <w:semiHidden/>
    <w:unhideWhenUsed/>
    <w:rsid w:val="00F40660"/>
    <w:rPr>
      <w:sz w:val="16"/>
      <w:szCs w:val="16"/>
    </w:rPr>
  </w:style>
  <w:style w:type="paragraph" w:styleId="CommentText">
    <w:name w:val="annotation text"/>
    <w:basedOn w:val="Normal"/>
    <w:link w:val="CommentTextChar"/>
    <w:uiPriority w:val="99"/>
    <w:unhideWhenUsed/>
    <w:rsid w:val="00F40660"/>
    <w:rPr>
      <w:sz w:val="20"/>
      <w:szCs w:val="20"/>
    </w:rPr>
  </w:style>
  <w:style w:type="character" w:customStyle="1" w:styleId="CommentTextChar">
    <w:name w:val="Comment Text Char"/>
    <w:basedOn w:val="DefaultParagraphFont"/>
    <w:link w:val="CommentText"/>
    <w:uiPriority w:val="99"/>
    <w:rsid w:val="00F40660"/>
    <w:rPr>
      <w:sz w:val="20"/>
      <w:szCs w:val="20"/>
    </w:rPr>
  </w:style>
  <w:style w:type="paragraph" w:styleId="CommentSubject">
    <w:name w:val="annotation subject"/>
    <w:basedOn w:val="CommentText"/>
    <w:next w:val="CommentText"/>
    <w:link w:val="CommentSubjectChar"/>
    <w:uiPriority w:val="99"/>
    <w:semiHidden/>
    <w:unhideWhenUsed/>
    <w:rsid w:val="00F40660"/>
    <w:rPr>
      <w:b/>
      <w:bCs/>
    </w:rPr>
  </w:style>
  <w:style w:type="character" w:customStyle="1" w:styleId="CommentSubjectChar">
    <w:name w:val="Comment Subject Char"/>
    <w:basedOn w:val="CommentTextChar"/>
    <w:link w:val="CommentSubject"/>
    <w:uiPriority w:val="99"/>
    <w:semiHidden/>
    <w:rsid w:val="00F406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7148">
      <w:bodyDiv w:val="1"/>
      <w:marLeft w:val="0"/>
      <w:marRight w:val="0"/>
      <w:marTop w:val="0"/>
      <w:marBottom w:val="0"/>
      <w:divBdr>
        <w:top w:val="none" w:sz="0" w:space="0" w:color="auto"/>
        <w:left w:val="none" w:sz="0" w:space="0" w:color="auto"/>
        <w:bottom w:val="none" w:sz="0" w:space="0" w:color="auto"/>
        <w:right w:val="none" w:sz="0" w:space="0" w:color="auto"/>
      </w:divBdr>
    </w:div>
    <w:div w:id="460072761">
      <w:bodyDiv w:val="1"/>
      <w:marLeft w:val="0"/>
      <w:marRight w:val="0"/>
      <w:marTop w:val="0"/>
      <w:marBottom w:val="0"/>
      <w:divBdr>
        <w:top w:val="none" w:sz="0" w:space="0" w:color="auto"/>
        <w:left w:val="none" w:sz="0" w:space="0" w:color="auto"/>
        <w:bottom w:val="none" w:sz="0" w:space="0" w:color="auto"/>
        <w:right w:val="none" w:sz="0" w:space="0" w:color="auto"/>
      </w:divBdr>
    </w:div>
    <w:div w:id="731194520">
      <w:bodyDiv w:val="1"/>
      <w:marLeft w:val="0"/>
      <w:marRight w:val="0"/>
      <w:marTop w:val="0"/>
      <w:marBottom w:val="0"/>
      <w:divBdr>
        <w:top w:val="none" w:sz="0" w:space="0" w:color="auto"/>
        <w:left w:val="none" w:sz="0" w:space="0" w:color="auto"/>
        <w:bottom w:val="none" w:sz="0" w:space="0" w:color="auto"/>
        <w:right w:val="none" w:sz="0" w:space="0" w:color="auto"/>
      </w:divBdr>
    </w:div>
    <w:div w:id="981154269">
      <w:bodyDiv w:val="1"/>
      <w:marLeft w:val="0"/>
      <w:marRight w:val="0"/>
      <w:marTop w:val="0"/>
      <w:marBottom w:val="0"/>
      <w:divBdr>
        <w:top w:val="none" w:sz="0" w:space="0" w:color="auto"/>
        <w:left w:val="none" w:sz="0" w:space="0" w:color="auto"/>
        <w:bottom w:val="none" w:sz="0" w:space="0" w:color="auto"/>
        <w:right w:val="none" w:sz="0" w:space="0" w:color="auto"/>
      </w:divBdr>
    </w:div>
    <w:div w:id="1005791744">
      <w:bodyDiv w:val="1"/>
      <w:marLeft w:val="0"/>
      <w:marRight w:val="0"/>
      <w:marTop w:val="0"/>
      <w:marBottom w:val="0"/>
      <w:divBdr>
        <w:top w:val="none" w:sz="0" w:space="0" w:color="auto"/>
        <w:left w:val="none" w:sz="0" w:space="0" w:color="auto"/>
        <w:bottom w:val="none" w:sz="0" w:space="0" w:color="auto"/>
        <w:right w:val="none" w:sz="0" w:space="0" w:color="auto"/>
      </w:divBdr>
    </w:div>
    <w:div w:id="1041978777">
      <w:bodyDiv w:val="1"/>
      <w:marLeft w:val="0"/>
      <w:marRight w:val="0"/>
      <w:marTop w:val="0"/>
      <w:marBottom w:val="0"/>
      <w:divBdr>
        <w:top w:val="none" w:sz="0" w:space="0" w:color="auto"/>
        <w:left w:val="none" w:sz="0" w:space="0" w:color="auto"/>
        <w:bottom w:val="none" w:sz="0" w:space="0" w:color="auto"/>
        <w:right w:val="none" w:sz="0" w:space="0" w:color="auto"/>
      </w:divBdr>
    </w:div>
    <w:div w:id="1279412443">
      <w:bodyDiv w:val="1"/>
      <w:marLeft w:val="0"/>
      <w:marRight w:val="0"/>
      <w:marTop w:val="0"/>
      <w:marBottom w:val="0"/>
      <w:divBdr>
        <w:top w:val="none" w:sz="0" w:space="0" w:color="auto"/>
        <w:left w:val="none" w:sz="0" w:space="0" w:color="auto"/>
        <w:bottom w:val="none" w:sz="0" w:space="0" w:color="auto"/>
        <w:right w:val="none" w:sz="0" w:space="0" w:color="auto"/>
      </w:divBdr>
    </w:div>
    <w:div w:id="1540625881">
      <w:bodyDiv w:val="1"/>
      <w:marLeft w:val="0"/>
      <w:marRight w:val="0"/>
      <w:marTop w:val="0"/>
      <w:marBottom w:val="0"/>
      <w:divBdr>
        <w:top w:val="none" w:sz="0" w:space="0" w:color="auto"/>
        <w:left w:val="none" w:sz="0" w:space="0" w:color="auto"/>
        <w:bottom w:val="none" w:sz="0" w:space="0" w:color="auto"/>
        <w:right w:val="none" w:sz="0" w:space="0" w:color="auto"/>
      </w:divBdr>
    </w:div>
    <w:div w:id="1696350038">
      <w:bodyDiv w:val="1"/>
      <w:marLeft w:val="0"/>
      <w:marRight w:val="0"/>
      <w:marTop w:val="0"/>
      <w:marBottom w:val="0"/>
      <w:divBdr>
        <w:top w:val="none" w:sz="0" w:space="0" w:color="auto"/>
        <w:left w:val="none" w:sz="0" w:space="0" w:color="auto"/>
        <w:bottom w:val="none" w:sz="0" w:space="0" w:color="auto"/>
        <w:right w:val="none" w:sz="0" w:space="0" w:color="auto"/>
      </w:divBdr>
    </w:div>
    <w:div w:id="1911427238">
      <w:bodyDiv w:val="1"/>
      <w:marLeft w:val="0"/>
      <w:marRight w:val="0"/>
      <w:marTop w:val="0"/>
      <w:marBottom w:val="0"/>
      <w:divBdr>
        <w:top w:val="none" w:sz="0" w:space="0" w:color="auto"/>
        <w:left w:val="none" w:sz="0" w:space="0" w:color="auto"/>
        <w:bottom w:val="none" w:sz="0" w:space="0" w:color="auto"/>
        <w:right w:val="none" w:sz="0" w:space="0" w:color="auto"/>
      </w:divBdr>
    </w:div>
    <w:div w:id="2046635946">
      <w:bodyDiv w:val="1"/>
      <w:marLeft w:val="0"/>
      <w:marRight w:val="0"/>
      <w:marTop w:val="0"/>
      <w:marBottom w:val="0"/>
      <w:divBdr>
        <w:top w:val="none" w:sz="0" w:space="0" w:color="auto"/>
        <w:left w:val="none" w:sz="0" w:space="0" w:color="auto"/>
        <w:bottom w:val="none" w:sz="0" w:space="0" w:color="auto"/>
        <w:right w:val="none" w:sz="0" w:space="0" w:color="auto"/>
      </w:divBdr>
    </w:div>
    <w:div w:id="212573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ima.rituma@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esturs.rusko@l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8CCA-1028-4703-B865-67C2ED12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16946</Words>
  <Characters>9660</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Grozījumi Ministru kabineta 2012. gada 15. maija noteikumos Nr. 339 "Noteikumi par ostu formalitātēm"</vt:lpstr>
    </vt:vector>
  </TitlesOfParts>
  <Company>Satiksmes ministrija</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15. maija noteikumos Nr. 339 "Noteikumi par ostu formalitātēm"</dc:title>
  <dc:subject>Izziņa par atzinumos sniegtajiem iebildumiem</dc:subject>
  <dc:creator>Viesturs Ruško</dc:creator>
  <dc:description>67062127, viesturs.rusko@lja.lv</dc:description>
  <cp:lastModifiedBy>Baiba Jirgena</cp:lastModifiedBy>
  <cp:revision>14</cp:revision>
  <dcterms:created xsi:type="dcterms:W3CDTF">2019-12-16T13:15:00Z</dcterms:created>
  <dcterms:modified xsi:type="dcterms:W3CDTF">2019-12-30T07:19:00Z</dcterms:modified>
</cp:coreProperties>
</file>