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46E66" w:rsidR="004C22AF" w:rsidP="00863627" w:rsidRDefault="007116C7">
      <w:pPr>
        <w:pStyle w:val="naisnod"/>
        <w:spacing w:before="0" w:after="0"/>
        <w:rPr>
          <w:sz w:val="26"/>
          <w:szCs w:val="26"/>
        </w:rPr>
      </w:pPr>
      <w:r w:rsidRPr="00C46E66">
        <w:rPr>
          <w:sz w:val="26"/>
          <w:szCs w:val="26"/>
        </w:rPr>
        <w:t>Izziņa par atzinumos sniegtajiem iebildumiem</w:t>
      </w:r>
      <w:r w:rsidRPr="00C46E66" w:rsidR="004C22AF">
        <w:rPr>
          <w:sz w:val="26"/>
          <w:szCs w:val="26"/>
        </w:rPr>
        <w:t xml:space="preserve"> par </w:t>
      </w:r>
    </w:p>
    <w:p w:rsidRPr="00C46E66" w:rsidR="007116C7" w:rsidP="004C22AF" w:rsidRDefault="004C22AF">
      <w:pPr>
        <w:pStyle w:val="Parastais"/>
        <w:jc w:val="center"/>
        <w:rPr>
          <w:sz w:val="26"/>
          <w:szCs w:val="26"/>
        </w:rPr>
      </w:pPr>
      <w:r w:rsidRPr="00C46E66">
        <w:rPr>
          <w:b/>
          <w:sz w:val="26"/>
          <w:szCs w:val="26"/>
        </w:rPr>
        <w:t xml:space="preserve">likumprojektu </w:t>
      </w:r>
      <w:r w:rsidRPr="00C46E66" w:rsidR="00271E88">
        <w:rPr>
          <w:b/>
          <w:sz w:val="26"/>
          <w:szCs w:val="26"/>
        </w:rPr>
        <w:t>"</w:t>
      </w:r>
      <w:r w:rsidRPr="00C46E66">
        <w:rPr>
          <w:b/>
          <w:sz w:val="26"/>
          <w:szCs w:val="26"/>
        </w:rPr>
        <w:t xml:space="preserve">Grozījumi </w:t>
      </w:r>
      <w:r w:rsidRPr="00C46E66" w:rsidR="00271E88">
        <w:rPr>
          <w:b/>
          <w:sz w:val="26"/>
          <w:szCs w:val="26"/>
        </w:rPr>
        <w:t>Republikas pilsētas domes un novada domes vēlēšanu likumā</w:t>
      </w:r>
      <w:r w:rsidRPr="00C46E66">
        <w:rPr>
          <w:b/>
          <w:sz w:val="26"/>
          <w:szCs w:val="26"/>
        </w:rPr>
        <w:t>"</w:t>
      </w:r>
    </w:p>
    <w:tbl>
      <w:tblPr>
        <w:tblW w:w="0" w:type="auto"/>
        <w:jc w:val="center"/>
        <w:tblLook w:val="00A0" w:firstRow="1" w:lastRow="0" w:firstColumn="1" w:lastColumn="0" w:noHBand="0" w:noVBand="0"/>
      </w:tblPr>
      <w:tblGrid>
        <w:gridCol w:w="10188"/>
      </w:tblGrid>
      <w:tr w:rsidRPr="00C46E66" w:rsidR="007116C7">
        <w:trPr>
          <w:jc w:val="center"/>
        </w:trPr>
        <w:tc>
          <w:tcPr>
            <w:tcW w:w="10188" w:type="dxa"/>
            <w:tcBorders>
              <w:bottom w:val="single" w:color="000000" w:sz="6" w:space="0"/>
            </w:tcBorders>
          </w:tcPr>
          <w:p w:rsidRPr="00C46E66" w:rsidR="007116C7" w:rsidP="00DB7395" w:rsidRDefault="007116C7">
            <w:pPr>
              <w:pStyle w:val="Parastais"/>
              <w:ind w:firstLine="720"/>
              <w:rPr>
                <w:sz w:val="26"/>
                <w:szCs w:val="26"/>
              </w:rPr>
            </w:pPr>
          </w:p>
        </w:tc>
      </w:tr>
    </w:tbl>
    <w:p w:rsidRPr="00C46E66" w:rsidR="007116C7" w:rsidP="00863627" w:rsidRDefault="007116C7">
      <w:pPr>
        <w:pStyle w:val="naisc"/>
        <w:spacing w:before="0" w:after="0"/>
        <w:rPr>
          <w:sz w:val="26"/>
          <w:szCs w:val="26"/>
        </w:rPr>
      </w:pPr>
    </w:p>
    <w:p w:rsidRPr="00C46E66" w:rsidR="007B4C0F" w:rsidP="00DB7395" w:rsidRDefault="007B4C0F">
      <w:pPr>
        <w:pStyle w:val="naisf"/>
        <w:spacing w:before="0" w:after="0"/>
        <w:ind w:firstLine="720"/>
        <w:rPr>
          <w:sz w:val="26"/>
          <w:szCs w:val="26"/>
        </w:rPr>
      </w:pPr>
    </w:p>
    <w:p w:rsidRPr="00C46E66" w:rsidR="007B4C0F" w:rsidP="00863627" w:rsidRDefault="008601B6">
      <w:pPr>
        <w:pStyle w:val="naisf"/>
        <w:spacing w:before="0" w:after="0"/>
        <w:ind w:firstLine="0"/>
        <w:jc w:val="center"/>
        <w:rPr>
          <w:b/>
          <w:sz w:val="26"/>
          <w:szCs w:val="26"/>
        </w:rPr>
      </w:pPr>
      <w:r w:rsidRPr="00C46E66">
        <w:rPr>
          <w:b/>
          <w:sz w:val="26"/>
          <w:szCs w:val="26"/>
        </w:rPr>
        <w:t>I. </w:t>
      </w:r>
      <w:r w:rsidRPr="00C46E66" w:rsidR="007B4C0F">
        <w:rPr>
          <w:b/>
          <w:sz w:val="26"/>
          <w:szCs w:val="26"/>
        </w:rPr>
        <w:t xml:space="preserve">Jautājumi, par kuriem saskaņošanā </w:t>
      </w:r>
      <w:r w:rsidRPr="00C46E66" w:rsidR="00134188">
        <w:rPr>
          <w:b/>
          <w:sz w:val="26"/>
          <w:szCs w:val="26"/>
        </w:rPr>
        <w:t xml:space="preserve">vienošanās </w:t>
      </w:r>
      <w:r w:rsidRPr="00C46E66" w:rsidR="007B4C0F">
        <w:rPr>
          <w:b/>
          <w:sz w:val="26"/>
          <w:szCs w:val="26"/>
        </w:rPr>
        <w:t>nav panākta</w:t>
      </w:r>
    </w:p>
    <w:p w:rsidRPr="00C46E66" w:rsidR="008601B6" w:rsidP="008601B6" w:rsidRDefault="008601B6">
      <w:pPr>
        <w:pStyle w:val="naisf"/>
        <w:spacing w:before="0" w:after="0"/>
        <w:ind w:left="360" w:firstLine="0"/>
        <w:rPr>
          <w:b/>
          <w:sz w:val="26"/>
          <w:szCs w:val="26"/>
        </w:rPr>
      </w:pPr>
    </w:p>
    <w:tbl>
      <w:tblPr>
        <w:tblW w:w="14394"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21"/>
        <w:gridCol w:w="1831"/>
        <w:gridCol w:w="4536"/>
        <w:gridCol w:w="3685"/>
        <w:gridCol w:w="1669"/>
        <w:gridCol w:w="1952"/>
      </w:tblGrid>
      <w:tr w:rsidRPr="00C46E66" w:rsidR="005F4BFD" w:rsidTr="00B20A91">
        <w:tc>
          <w:tcPr>
            <w:tcW w:w="721" w:type="dxa"/>
            <w:tcBorders>
              <w:top w:val="single" w:color="000000" w:sz="6" w:space="0"/>
              <w:left w:val="single" w:color="000000" w:sz="6" w:space="0"/>
              <w:bottom w:val="single" w:color="000000" w:sz="6" w:space="0"/>
              <w:right w:val="single" w:color="000000" w:sz="6" w:space="0"/>
            </w:tcBorders>
            <w:vAlign w:val="center"/>
          </w:tcPr>
          <w:p w:rsidRPr="00C46E66" w:rsidR="005F4BFD" w:rsidP="0036160E" w:rsidRDefault="005F4BFD">
            <w:pPr>
              <w:pStyle w:val="naisc"/>
              <w:spacing w:before="0" w:after="0"/>
              <w:rPr>
                <w:sz w:val="26"/>
                <w:szCs w:val="26"/>
              </w:rPr>
            </w:pPr>
            <w:r w:rsidRPr="00C46E66">
              <w:rPr>
                <w:sz w:val="26"/>
                <w:szCs w:val="26"/>
              </w:rPr>
              <w:t>Nr. p.k.</w:t>
            </w:r>
          </w:p>
        </w:tc>
        <w:tc>
          <w:tcPr>
            <w:tcW w:w="1831" w:type="dxa"/>
            <w:tcBorders>
              <w:top w:val="single" w:color="000000" w:sz="6" w:space="0"/>
              <w:left w:val="single" w:color="000000" w:sz="6" w:space="0"/>
              <w:bottom w:val="single" w:color="000000" w:sz="6" w:space="0"/>
              <w:right w:val="single" w:color="000000" w:sz="6" w:space="0"/>
            </w:tcBorders>
            <w:vAlign w:val="center"/>
          </w:tcPr>
          <w:p w:rsidRPr="00C46E66" w:rsidR="005F4BFD" w:rsidP="00364BB6" w:rsidRDefault="005F4BFD">
            <w:pPr>
              <w:pStyle w:val="naisc"/>
              <w:spacing w:before="0" w:after="0"/>
              <w:ind w:firstLine="12"/>
              <w:rPr>
                <w:sz w:val="26"/>
                <w:szCs w:val="26"/>
              </w:rPr>
            </w:pPr>
            <w:r w:rsidRPr="00C46E66">
              <w:rPr>
                <w:sz w:val="26"/>
                <w:szCs w:val="26"/>
              </w:rPr>
              <w:t>Saskaņošanai nosūtītā projekta redakcija (konkrēta punkta (panta) redakcija)</w:t>
            </w:r>
          </w:p>
        </w:tc>
        <w:tc>
          <w:tcPr>
            <w:tcW w:w="4536" w:type="dxa"/>
            <w:tcBorders>
              <w:top w:val="single" w:color="000000" w:sz="6" w:space="0"/>
              <w:left w:val="single" w:color="000000" w:sz="6" w:space="0"/>
              <w:bottom w:val="single" w:color="000000" w:sz="6" w:space="0"/>
              <w:right w:val="single" w:color="000000" w:sz="6" w:space="0"/>
            </w:tcBorders>
            <w:vAlign w:val="center"/>
          </w:tcPr>
          <w:p w:rsidRPr="00C46E66" w:rsidR="005F4BFD" w:rsidP="00364BB6" w:rsidRDefault="005F4BFD">
            <w:pPr>
              <w:pStyle w:val="naisc"/>
              <w:spacing w:before="0" w:after="0"/>
              <w:ind w:right="3"/>
              <w:rPr>
                <w:sz w:val="26"/>
                <w:szCs w:val="26"/>
              </w:rPr>
            </w:pPr>
            <w:r w:rsidRPr="00C46E66">
              <w:rPr>
                <w:sz w:val="26"/>
                <w:szCs w:val="26"/>
              </w:rPr>
              <w:t>Atzinumā norādītais ministrijas (citas institūcijas) iebildums</w:t>
            </w:r>
            <w:r w:rsidRPr="00C46E66" w:rsidR="00184479">
              <w:rPr>
                <w:sz w:val="26"/>
                <w:szCs w:val="26"/>
              </w:rPr>
              <w:t>,</w:t>
            </w:r>
            <w:r w:rsidRPr="00C46E66" w:rsidR="000E5509">
              <w:rPr>
                <w:sz w:val="26"/>
                <w:szCs w:val="26"/>
              </w:rPr>
              <w:t xml:space="preserve"> kā arī saskaņošanā papildus izteiktais iebildums</w:t>
            </w:r>
            <w:r w:rsidRPr="00C46E66">
              <w:rPr>
                <w:sz w:val="26"/>
                <w:szCs w:val="26"/>
              </w:rPr>
              <w:t xml:space="preserve"> par projekta konkrēto punktu (pantu)</w:t>
            </w:r>
          </w:p>
        </w:tc>
        <w:tc>
          <w:tcPr>
            <w:tcW w:w="3685" w:type="dxa"/>
            <w:tcBorders>
              <w:top w:val="single" w:color="000000" w:sz="6" w:space="0"/>
              <w:left w:val="single" w:color="000000" w:sz="6" w:space="0"/>
              <w:bottom w:val="single" w:color="000000" w:sz="6" w:space="0"/>
              <w:right w:val="single" w:color="000000" w:sz="6" w:space="0"/>
            </w:tcBorders>
            <w:vAlign w:val="center"/>
          </w:tcPr>
          <w:p w:rsidRPr="00C46E66" w:rsidR="005F4BFD" w:rsidP="00364BB6" w:rsidRDefault="005F4BFD">
            <w:pPr>
              <w:pStyle w:val="naisc"/>
              <w:spacing w:before="0" w:after="0"/>
              <w:ind w:firstLine="21"/>
              <w:rPr>
                <w:sz w:val="26"/>
                <w:szCs w:val="26"/>
              </w:rPr>
            </w:pPr>
            <w:r w:rsidRPr="00C46E66">
              <w:rPr>
                <w:sz w:val="26"/>
                <w:szCs w:val="26"/>
              </w:rPr>
              <w:t>Atbildīgās ministrijas pamatojums</w:t>
            </w:r>
            <w:r w:rsidRPr="00C46E66" w:rsidR="009307F2">
              <w:rPr>
                <w:sz w:val="26"/>
                <w:szCs w:val="26"/>
              </w:rPr>
              <w:t xml:space="preserve"> iebilduma noraidījumam</w:t>
            </w:r>
          </w:p>
        </w:tc>
        <w:tc>
          <w:tcPr>
            <w:tcW w:w="1669" w:type="dxa"/>
            <w:tcBorders>
              <w:top w:val="single" w:color="auto" w:sz="4" w:space="0"/>
              <w:left w:val="single" w:color="auto" w:sz="4" w:space="0"/>
              <w:bottom w:val="single" w:color="auto" w:sz="4" w:space="0"/>
              <w:right w:val="single" w:color="auto" w:sz="4" w:space="0"/>
            </w:tcBorders>
            <w:vAlign w:val="center"/>
          </w:tcPr>
          <w:p w:rsidRPr="00C46E66" w:rsidR="005F4BFD" w:rsidP="00364BB6" w:rsidRDefault="005F4BFD">
            <w:pPr>
              <w:pStyle w:val="Parastais"/>
              <w:jc w:val="center"/>
              <w:rPr>
                <w:sz w:val="26"/>
                <w:szCs w:val="26"/>
              </w:rPr>
            </w:pPr>
            <w:r w:rsidRPr="00C46E66">
              <w:rPr>
                <w:sz w:val="26"/>
                <w:szCs w:val="26"/>
              </w:rPr>
              <w:t>Atzinuma sniedzēja uzturētais iebildums, ja tas atšķiras no atzinumā norādītā iebilduma pamatojuma</w:t>
            </w:r>
          </w:p>
        </w:tc>
        <w:tc>
          <w:tcPr>
            <w:tcW w:w="1952" w:type="dxa"/>
            <w:tcBorders>
              <w:top w:val="single" w:color="auto" w:sz="4" w:space="0"/>
              <w:left w:val="single" w:color="auto" w:sz="4" w:space="0"/>
              <w:bottom w:val="single" w:color="auto" w:sz="4" w:space="0"/>
            </w:tcBorders>
            <w:vAlign w:val="center"/>
          </w:tcPr>
          <w:p w:rsidRPr="00C46E66" w:rsidR="005F4BFD" w:rsidP="00364BB6" w:rsidRDefault="005F4BFD">
            <w:pPr>
              <w:pStyle w:val="Parastais"/>
              <w:jc w:val="center"/>
              <w:rPr>
                <w:sz w:val="26"/>
                <w:szCs w:val="26"/>
              </w:rPr>
            </w:pPr>
            <w:r w:rsidRPr="00C46E66">
              <w:rPr>
                <w:sz w:val="26"/>
                <w:szCs w:val="26"/>
              </w:rPr>
              <w:t>Projekta attiecīgā punkta (panta) galīgā redakcija</w:t>
            </w:r>
          </w:p>
        </w:tc>
      </w:tr>
      <w:tr w:rsidRPr="00C46E66" w:rsidR="005F4BFD" w:rsidTr="00B20A91">
        <w:tc>
          <w:tcPr>
            <w:tcW w:w="721" w:type="dxa"/>
            <w:tcBorders>
              <w:top w:val="single" w:color="000000" w:sz="6" w:space="0"/>
              <w:left w:val="single" w:color="000000" w:sz="6" w:space="0"/>
              <w:bottom w:val="single" w:color="000000" w:sz="6" w:space="0"/>
              <w:right w:val="single" w:color="000000" w:sz="6" w:space="0"/>
            </w:tcBorders>
          </w:tcPr>
          <w:p w:rsidRPr="00C46E66" w:rsidR="005F4BFD" w:rsidP="0048022C" w:rsidRDefault="008A36C9">
            <w:pPr>
              <w:pStyle w:val="naisc"/>
              <w:spacing w:before="0" w:after="0"/>
              <w:rPr>
                <w:sz w:val="26"/>
                <w:szCs w:val="26"/>
              </w:rPr>
            </w:pPr>
            <w:r w:rsidRPr="00C46E66">
              <w:rPr>
                <w:sz w:val="26"/>
                <w:szCs w:val="26"/>
              </w:rPr>
              <w:t>1</w:t>
            </w:r>
          </w:p>
        </w:tc>
        <w:tc>
          <w:tcPr>
            <w:tcW w:w="1831" w:type="dxa"/>
            <w:tcBorders>
              <w:top w:val="single" w:color="000000" w:sz="6" w:space="0"/>
              <w:left w:val="single" w:color="000000" w:sz="6" w:space="0"/>
              <w:bottom w:val="single" w:color="000000" w:sz="6" w:space="0"/>
              <w:right w:val="single" w:color="000000" w:sz="6" w:space="0"/>
            </w:tcBorders>
          </w:tcPr>
          <w:p w:rsidRPr="00C46E66" w:rsidR="005F4BFD" w:rsidP="00022D01" w:rsidRDefault="008A36C9">
            <w:pPr>
              <w:pStyle w:val="naisc"/>
              <w:spacing w:before="0" w:after="0"/>
              <w:rPr>
                <w:sz w:val="26"/>
                <w:szCs w:val="26"/>
              </w:rPr>
            </w:pPr>
            <w:r w:rsidRPr="00C46E66">
              <w:rPr>
                <w:sz w:val="26"/>
                <w:szCs w:val="26"/>
              </w:rPr>
              <w:t>2</w:t>
            </w:r>
          </w:p>
        </w:tc>
        <w:tc>
          <w:tcPr>
            <w:tcW w:w="4536" w:type="dxa"/>
            <w:tcBorders>
              <w:top w:val="single" w:color="000000" w:sz="6" w:space="0"/>
              <w:left w:val="single" w:color="000000" w:sz="6" w:space="0"/>
              <w:bottom w:val="single" w:color="000000" w:sz="6" w:space="0"/>
              <w:right w:val="single" w:color="000000" w:sz="6" w:space="0"/>
            </w:tcBorders>
          </w:tcPr>
          <w:p w:rsidRPr="00C46E66" w:rsidR="005F4BFD" w:rsidP="00022D01" w:rsidRDefault="008A36C9">
            <w:pPr>
              <w:pStyle w:val="naisc"/>
              <w:spacing w:before="0" w:after="0"/>
              <w:rPr>
                <w:sz w:val="26"/>
                <w:szCs w:val="26"/>
              </w:rPr>
            </w:pPr>
            <w:r w:rsidRPr="00C46E66">
              <w:rPr>
                <w:sz w:val="26"/>
                <w:szCs w:val="26"/>
              </w:rPr>
              <w:t>3</w:t>
            </w:r>
          </w:p>
        </w:tc>
        <w:tc>
          <w:tcPr>
            <w:tcW w:w="3685" w:type="dxa"/>
            <w:tcBorders>
              <w:top w:val="single" w:color="000000" w:sz="6" w:space="0"/>
              <w:left w:val="single" w:color="000000" w:sz="6" w:space="0"/>
              <w:bottom w:val="single" w:color="000000" w:sz="6" w:space="0"/>
              <w:right w:val="single" w:color="000000" w:sz="6" w:space="0"/>
            </w:tcBorders>
          </w:tcPr>
          <w:p w:rsidRPr="00C46E66" w:rsidR="005F4BFD" w:rsidP="00022D01" w:rsidRDefault="008A36C9">
            <w:pPr>
              <w:pStyle w:val="naisc"/>
              <w:spacing w:before="0" w:after="0"/>
              <w:rPr>
                <w:sz w:val="26"/>
                <w:szCs w:val="26"/>
              </w:rPr>
            </w:pPr>
            <w:r w:rsidRPr="00C46E66">
              <w:rPr>
                <w:sz w:val="26"/>
                <w:szCs w:val="26"/>
              </w:rPr>
              <w:t>4</w:t>
            </w:r>
          </w:p>
        </w:tc>
        <w:tc>
          <w:tcPr>
            <w:tcW w:w="1669" w:type="dxa"/>
            <w:tcBorders>
              <w:top w:val="single" w:color="auto" w:sz="4" w:space="0"/>
              <w:left w:val="single" w:color="auto" w:sz="4" w:space="0"/>
              <w:bottom w:val="single" w:color="auto" w:sz="4" w:space="0"/>
              <w:right w:val="single" w:color="auto" w:sz="4" w:space="0"/>
            </w:tcBorders>
          </w:tcPr>
          <w:p w:rsidRPr="00C46E66" w:rsidR="005F4BFD" w:rsidP="0048022C" w:rsidRDefault="008A36C9">
            <w:pPr>
              <w:pStyle w:val="Parastais"/>
              <w:jc w:val="center"/>
              <w:rPr>
                <w:sz w:val="26"/>
                <w:szCs w:val="26"/>
              </w:rPr>
            </w:pPr>
            <w:r w:rsidRPr="00C46E66">
              <w:rPr>
                <w:sz w:val="26"/>
                <w:szCs w:val="26"/>
              </w:rPr>
              <w:t>5</w:t>
            </w:r>
          </w:p>
        </w:tc>
        <w:tc>
          <w:tcPr>
            <w:tcW w:w="1952" w:type="dxa"/>
            <w:tcBorders>
              <w:top w:val="single" w:color="auto" w:sz="4" w:space="0"/>
              <w:left w:val="single" w:color="auto" w:sz="4" w:space="0"/>
              <w:bottom w:val="single" w:color="auto" w:sz="4" w:space="0"/>
            </w:tcBorders>
          </w:tcPr>
          <w:p w:rsidRPr="00C46E66" w:rsidR="005F4BFD" w:rsidP="0048022C" w:rsidRDefault="008A36C9">
            <w:pPr>
              <w:pStyle w:val="Parastais"/>
              <w:jc w:val="center"/>
              <w:rPr>
                <w:sz w:val="26"/>
                <w:szCs w:val="26"/>
              </w:rPr>
            </w:pPr>
            <w:r w:rsidRPr="00C46E66">
              <w:rPr>
                <w:sz w:val="26"/>
                <w:szCs w:val="26"/>
              </w:rPr>
              <w:t>6</w:t>
            </w:r>
          </w:p>
        </w:tc>
      </w:tr>
      <w:tr w:rsidRPr="00C46E66" w:rsidR="00FE0ED2" w:rsidTr="00B20A91">
        <w:tc>
          <w:tcPr>
            <w:tcW w:w="721" w:type="dxa"/>
            <w:tcBorders>
              <w:top w:val="single" w:color="000000" w:sz="6" w:space="0"/>
              <w:left w:val="single" w:color="000000" w:sz="6" w:space="0"/>
              <w:bottom w:val="single" w:color="000000" w:sz="6" w:space="0"/>
              <w:right w:val="single" w:color="000000" w:sz="6" w:space="0"/>
            </w:tcBorders>
          </w:tcPr>
          <w:p w:rsidRPr="00C46E66" w:rsidR="00FE0ED2" w:rsidP="0048022C" w:rsidRDefault="00FE0ED2">
            <w:pPr>
              <w:pStyle w:val="naisc"/>
              <w:spacing w:before="0" w:after="0"/>
              <w:rPr>
                <w:sz w:val="26"/>
                <w:szCs w:val="26"/>
              </w:rPr>
            </w:pPr>
            <w:r w:rsidRPr="00C46E66">
              <w:rPr>
                <w:sz w:val="26"/>
                <w:szCs w:val="26"/>
              </w:rPr>
              <w:t>1.</w:t>
            </w: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p w:rsidRPr="00C46E66" w:rsidR="00FE0ED2" w:rsidP="0048022C" w:rsidRDefault="00FE0ED2">
            <w:pPr>
              <w:pStyle w:val="naisc"/>
              <w:spacing w:before="0" w:after="0"/>
              <w:rPr>
                <w:sz w:val="26"/>
                <w:szCs w:val="26"/>
              </w:rPr>
            </w:pPr>
          </w:p>
        </w:tc>
        <w:tc>
          <w:tcPr>
            <w:tcW w:w="1831" w:type="dxa"/>
            <w:tcBorders>
              <w:top w:val="single" w:color="000000" w:sz="6" w:space="0"/>
              <w:left w:val="single" w:color="000000" w:sz="6" w:space="0"/>
              <w:bottom w:val="single" w:color="000000" w:sz="6" w:space="0"/>
              <w:right w:val="single" w:color="000000" w:sz="6" w:space="0"/>
            </w:tcBorders>
          </w:tcPr>
          <w:p w:rsidR="00FE0ED2" w:rsidP="00022D01" w:rsidRDefault="00FE0ED2">
            <w:pPr>
              <w:pStyle w:val="naisc"/>
              <w:spacing w:before="0" w:after="0"/>
              <w:rPr>
                <w:sz w:val="26"/>
                <w:szCs w:val="26"/>
              </w:rPr>
            </w:pPr>
          </w:p>
          <w:p w:rsidRPr="00940C06" w:rsidR="00A53C96" w:rsidP="00940C06" w:rsidRDefault="00A53C96">
            <w:pPr>
              <w:pStyle w:val="Parastais"/>
            </w:pPr>
          </w:p>
          <w:p w:rsidRPr="00940C06" w:rsidR="00A53C96" w:rsidP="00940C06" w:rsidRDefault="00A53C96">
            <w:pPr>
              <w:pStyle w:val="Parastais"/>
            </w:pPr>
          </w:p>
          <w:p w:rsidRPr="00940C06" w:rsidR="00A53C96" w:rsidP="00940C06" w:rsidRDefault="00A53C96">
            <w:pPr>
              <w:pStyle w:val="Parastais"/>
            </w:pPr>
          </w:p>
          <w:p w:rsidRPr="00940C06" w:rsidR="00A53C96" w:rsidP="00940C06" w:rsidRDefault="00A53C96">
            <w:pPr>
              <w:pStyle w:val="Parastais"/>
            </w:pPr>
          </w:p>
          <w:p w:rsidRPr="00940C06" w:rsidR="00A53C96" w:rsidP="00940C06" w:rsidRDefault="00A53C96">
            <w:pPr>
              <w:pStyle w:val="Parastais"/>
            </w:pPr>
          </w:p>
          <w:p w:rsidRPr="00940C06" w:rsidR="00A53C96" w:rsidP="00940C06" w:rsidRDefault="00A53C96">
            <w:pPr>
              <w:pStyle w:val="Parastais"/>
            </w:pPr>
          </w:p>
          <w:p w:rsidRPr="00940C06" w:rsidR="00A53C96" w:rsidP="00940C06" w:rsidRDefault="00A53C96">
            <w:pPr>
              <w:pStyle w:val="Parastais"/>
            </w:pPr>
          </w:p>
          <w:p w:rsidRPr="00940C06" w:rsidR="00A53C96" w:rsidP="00940C06" w:rsidRDefault="00A53C96">
            <w:pPr>
              <w:pStyle w:val="Parastais"/>
            </w:pPr>
          </w:p>
          <w:p w:rsidRPr="00940C06" w:rsidR="00A53C96" w:rsidP="00940C06" w:rsidRDefault="00A53C96">
            <w:pPr>
              <w:pStyle w:val="Parastais"/>
            </w:pPr>
          </w:p>
          <w:p w:rsidRPr="00940C06" w:rsidR="00A53C96" w:rsidP="00940C06" w:rsidRDefault="00A53C96">
            <w:pPr>
              <w:pStyle w:val="Parastais"/>
            </w:pPr>
          </w:p>
          <w:p w:rsidRPr="00940C06" w:rsidR="00A53C96" w:rsidP="00940C06" w:rsidRDefault="00A53C96">
            <w:pPr>
              <w:pStyle w:val="Parastais"/>
            </w:pPr>
          </w:p>
          <w:p w:rsidRPr="00940C06" w:rsidR="00A53C96" w:rsidP="00940C06" w:rsidRDefault="00A53C96">
            <w:pPr>
              <w:pStyle w:val="Parastais"/>
            </w:pPr>
          </w:p>
        </w:tc>
        <w:tc>
          <w:tcPr>
            <w:tcW w:w="4536" w:type="dxa"/>
            <w:tcBorders>
              <w:top w:val="single" w:color="000000" w:sz="6" w:space="0"/>
              <w:left w:val="single" w:color="000000" w:sz="6" w:space="0"/>
              <w:bottom w:val="single" w:color="000000" w:sz="6" w:space="0"/>
              <w:right w:val="single" w:color="000000" w:sz="6" w:space="0"/>
            </w:tcBorders>
          </w:tcPr>
          <w:p w:rsidRPr="00C46E66" w:rsidR="00FE0ED2" w:rsidP="00FE0ED2" w:rsidRDefault="00FE0ED2">
            <w:pPr>
              <w:pStyle w:val="naisc"/>
              <w:spacing w:before="0" w:after="0"/>
              <w:jc w:val="both"/>
              <w:rPr>
                <w:bCs/>
                <w:sz w:val="26"/>
                <w:szCs w:val="26"/>
              </w:rPr>
            </w:pPr>
            <w:r w:rsidRPr="00C46E66">
              <w:rPr>
                <w:b/>
                <w:sz w:val="26"/>
                <w:szCs w:val="26"/>
              </w:rPr>
              <w:t xml:space="preserve">Finanšu ministrija </w:t>
            </w:r>
            <w:r w:rsidRPr="00C46E66">
              <w:rPr>
                <w:bCs/>
                <w:sz w:val="26"/>
                <w:szCs w:val="26"/>
              </w:rPr>
              <w:t>(29.05.2019. atzinums Nr.12/A-2-4/2484):</w:t>
            </w:r>
          </w:p>
          <w:p w:rsidRPr="00C46E66" w:rsidR="00FE0ED2" w:rsidP="00FE0ED2" w:rsidRDefault="00FE0ED2">
            <w:pPr>
              <w:pStyle w:val="Parastais"/>
              <w:jc w:val="both"/>
              <w:rPr>
                <w:sz w:val="26"/>
                <w:szCs w:val="26"/>
              </w:rPr>
            </w:pPr>
            <w:r w:rsidRPr="00C46E66">
              <w:rPr>
                <w:sz w:val="26"/>
                <w:szCs w:val="26"/>
              </w:rPr>
              <w:t xml:space="preserve">Norādām, ka Iekšlietu ministrijai valsts pamatbudžeta bāzē 2019.gadam apakšprogrammā 11.01.00 "Pilsonības un migrācijas lietu pārvalde" tika paredzēts finansējums 953 805 </w:t>
            </w:r>
            <w:proofErr w:type="spellStart"/>
            <w:r w:rsidRPr="00C46E66">
              <w:rPr>
                <w:i/>
                <w:iCs/>
                <w:sz w:val="26"/>
                <w:szCs w:val="26"/>
              </w:rPr>
              <w:t>euro</w:t>
            </w:r>
            <w:proofErr w:type="spellEnd"/>
            <w:r w:rsidRPr="00C46E66">
              <w:rPr>
                <w:sz w:val="26"/>
                <w:szCs w:val="26"/>
              </w:rPr>
              <w:t xml:space="preserve"> apmērā Eiropas Parlamenta vēlēšanu norises nodrošināšanai 2019.gadā (paziņojumu sagatavošana un izsūtīšana vēlētājiem, vēlēšanu sarakstu drukāšana, Vēlētāju reģistra sagatavošana). Ņemot vērā Iekšlietu ministrijas norādīto </w:t>
            </w:r>
            <w:r w:rsidRPr="00C46E66">
              <w:rPr>
                <w:sz w:val="26"/>
                <w:szCs w:val="26"/>
              </w:rPr>
              <w:lastRenderedPageBreak/>
              <w:t xml:space="preserve">ekonomiju no Eiropas Parlamenta vēlēšanu norises nodrošināšanai piešķirtā finansējuma, izskatot likumu “Par valsts budžetu 2019.gadam” Saeimā 2.lasījumā, tika atbalstīta līdzekļu pārdale 169 952 </w:t>
            </w:r>
            <w:proofErr w:type="spellStart"/>
            <w:r w:rsidRPr="00C46E66">
              <w:rPr>
                <w:i/>
                <w:iCs/>
                <w:sz w:val="26"/>
                <w:szCs w:val="26"/>
              </w:rPr>
              <w:t>euro</w:t>
            </w:r>
            <w:proofErr w:type="spellEnd"/>
            <w:r w:rsidRPr="00C46E66">
              <w:rPr>
                <w:sz w:val="26"/>
                <w:szCs w:val="26"/>
              </w:rPr>
              <w:t xml:space="preserve"> Centrālajai vēlēšanu komisijai. Arī 2018.gadā Saeimas vēlēšanu un 2017.gadā pašvaldību vēlēšanu norisei paredzēto pasākumu finansēšanas nodrošināšanai ietaupītais finansējums (2018.gadā – 1 031 362 </w:t>
            </w:r>
            <w:proofErr w:type="spellStart"/>
            <w:r w:rsidRPr="00C46E66">
              <w:rPr>
                <w:i/>
                <w:iCs/>
                <w:sz w:val="26"/>
                <w:szCs w:val="26"/>
              </w:rPr>
              <w:t>euro</w:t>
            </w:r>
            <w:proofErr w:type="spellEnd"/>
            <w:r w:rsidRPr="00C46E66">
              <w:rPr>
                <w:sz w:val="26"/>
                <w:szCs w:val="26"/>
              </w:rPr>
              <w:t xml:space="preserve"> un 2017.gadā – 460 472 </w:t>
            </w:r>
            <w:proofErr w:type="spellStart"/>
            <w:r w:rsidRPr="00C46E66">
              <w:rPr>
                <w:i/>
                <w:iCs/>
                <w:sz w:val="26"/>
                <w:szCs w:val="26"/>
              </w:rPr>
              <w:t>euro</w:t>
            </w:r>
            <w:proofErr w:type="spellEnd"/>
            <w:r w:rsidRPr="00C46E66">
              <w:rPr>
                <w:sz w:val="26"/>
                <w:szCs w:val="26"/>
              </w:rPr>
              <w:t xml:space="preserve">) ar Ministru kabineta atļauju tika pārdalīts citu pasākumu īstenošanai. </w:t>
            </w:r>
          </w:p>
          <w:p w:rsidRPr="00C46E66" w:rsidR="00FE0ED2" w:rsidP="00FE0ED2" w:rsidRDefault="00FE0ED2">
            <w:pPr>
              <w:pStyle w:val="Parastais"/>
              <w:ind w:firstLine="567"/>
              <w:jc w:val="both"/>
              <w:rPr>
                <w:sz w:val="26"/>
                <w:szCs w:val="26"/>
              </w:rPr>
            </w:pPr>
            <w:r w:rsidRPr="00C46E66">
              <w:rPr>
                <w:sz w:val="26"/>
                <w:szCs w:val="26"/>
              </w:rPr>
              <w:t xml:space="preserve">Uzskatām, ka nav atbalstāma Likumprojekta tālāka virzība, ja tā īstenošana var netikt nodrošināta nepietiekamā finansējuma dēļ, turklāt katru gadu Iekšlietu ministrijas budžetā veidojas līdzekļu ietaupījums no vēlēšanu norises nodrošināšanai paredzētā finansējuma. Līdz ar to Likumprojekta īstenošanai nepieciešamais finansējums 2020.gadam 60 403 </w:t>
            </w:r>
            <w:proofErr w:type="spellStart"/>
            <w:r w:rsidRPr="00C46E66">
              <w:rPr>
                <w:i/>
                <w:iCs/>
                <w:sz w:val="26"/>
                <w:szCs w:val="26"/>
              </w:rPr>
              <w:t>euro</w:t>
            </w:r>
            <w:proofErr w:type="spellEnd"/>
            <w:r w:rsidRPr="00C46E66">
              <w:rPr>
                <w:sz w:val="26"/>
                <w:szCs w:val="26"/>
              </w:rPr>
              <w:t xml:space="preserve"> apmērā Pilsonības un migrācijas</w:t>
            </w:r>
            <w:bookmarkStart w:name="_GoBack" w:id="0"/>
            <w:bookmarkEnd w:id="0"/>
            <w:r w:rsidRPr="00C46E66">
              <w:rPr>
                <w:sz w:val="26"/>
                <w:szCs w:val="26"/>
              </w:rPr>
              <w:t xml:space="preserve"> lietu pārvaldei (turpmāk – PMLP) Vēlētāju reģistra un e-pakalpojuma “Reģistrācija balsošanai pa pastu vēlētājiem, kuri uzturas ārvalstīs” programmatūras pilnveidošanai ir </w:t>
            </w:r>
            <w:r w:rsidRPr="00C46E66">
              <w:rPr>
                <w:sz w:val="26"/>
                <w:szCs w:val="26"/>
              </w:rPr>
              <w:lastRenderedPageBreak/>
              <w:t>nodrošināms Iekšlietu ministrijai piešķirto valsts budžeta līdzekļu ietvaros, atbilstoši precizējot informāciju Likumprojekta anotācijas III sadaļā vai likumprojekts virzāms izskatīšanai Ministru kabinetā valsts budžeta 2020.gadam likumprojektu paketē tikai pēc tam, kad tā īstenošanai tiks piešķirts papildu nepieciešamais valsts budžeta finansējums.</w:t>
            </w:r>
          </w:p>
          <w:p w:rsidRPr="00C46E66" w:rsidR="00353F56" w:rsidP="00FE0ED2" w:rsidRDefault="00353F56">
            <w:pPr>
              <w:pStyle w:val="Parastais"/>
              <w:ind w:firstLine="567"/>
              <w:jc w:val="both"/>
              <w:rPr>
                <w:sz w:val="26"/>
                <w:szCs w:val="26"/>
              </w:rPr>
            </w:pPr>
          </w:p>
          <w:p w:rsidRPr="00C46E66" w:rsidR="00353F56" w:rsidP="00353F56" w:rsidRDefault="00353F56">
            <w:pPr>
              <w:pStyle w:val="naisc"/>
              <w:spacing w:before="0" w:after="0"/>
              <w:jc w:val="left"/>
              <w:rPr>
                <w:sz w:val="26"/>
                <w:szCs w:val="26"/>
              </w:rPr>
            </w:pPr>
            <w:r w:rsidRPr="00C46E66">
              <w:rPr>
                <w:b/>
                <w:bCs/>
                <w:sz w:val="26"/>
                <w:szCs w:val="26"/>
              </w:rPr>
              <w:t>Finanšu ministrija</w:t>
            </w:r>
            <w:r w:rsidRPr="00C46E66">
              <w:rPr>
                <w:sz w:val="26"/>
                <w:szCs w:val="26"/>
              </w:rPr>
              <w:t xml:space="preserve"> (19.07.2019.atzinums):</w:t>
            </w:r>
          </w:p>
          <w:p w:rsidRPr="00C46E66" w:rsidR="00353F56" w:rsidP="00353F56" w:rsidRDefault="00353F56">
            <w:pPr>
              <w:pStyle w:val="Sarakstarindkopa"/>
              <w:spacing w:after="240" w:line="240" w:lineRule="auto"/>
              <w:ind w:left="0"/>
              <w:contextualSpacing w:val="0"/>
              <w:jc w:val="both"/>
              <w:rPr>
                <w:rFonts w:ascii="Times New Roman" w:hAnsi="Times New Roman" w:eastAsia="Times New Roman"/>
                <w:sz w:val="26"/>
                <w:szCs w:val="26"/>
              </w:rPr>
            </w:pPr>
            <w:r w:rsidRPr="00C46E66">
              <w:rPr>
                <w:rFonts w:ascii="Times New Roman" w:hAnsi="Times New Roman" w:eastAsia="Times New Roman"/>
                <w:sz w:val="26"/>
                <w:szCs w:val="26"/>
              </w:rPr>
              <w:t>Vēršam uzmanību, ka Finanšu ministrijas iepriekšējā atzinumā izteiktie iebildumi attiecībā uz Iekšlietu ministrijai nepieciešamo papildu finansējumu nav ņemti vērā, līdz ar to Finanšu ministrija uztur iepriekš izteiktos iebildumus, vienlaikus lūdzot Tieslietu ministriju atbilstoši aizpildīt izziņas 1.punktu.</w:t>
            </w:r>
          </w:p>
          <w:p w:rsidRPr="00C46E66" w:rsidR="00353F56" w:rsidP="00FE0ED2" w:rsidRDefault="00353F56">
            <w:pPr>
              <w:pStyle w:val="Parastais"/>
              <w:ind w:firstLine="567"/>
              <w:jc w:val="both"/>
              <w:rPr>
                <w:sz w:val="26"/>
                <w:szCs w:val="26"/>
              </w:rPr>
            </w:pPr>
          </w:p>
          <w:p w:rsidRPr="00C46E66" w:rsidR="00FE0ED2" w:rsidP="00793EED" w:rsidRDefault="00FE0ED2">
            <w:pPr>
              <w:pStyle w:val="naisc"/>
              <w:spacing w:before="0" w:after="0"/>
              <w:jc w:val="left"/>
              <w:rPr>
                <w:sz w:val="26"/>
                <w:szCs w:val="26"/>
              </w:rPr>
            </w:pPr>
          </w:p>
        </w:tc>
        <w:tc>
          <w:tcPr>
            <w:tcW w:w="3685" w:type="dxa"/>
            <w:tcBorders>
              <w:top w:val="single" w:color="000000" w:sz="6" w:space="0"/>
              <w:left w:val="single" w:color="000000" w:sz="6" w:space="0"/>
              <w:bottom w:val="single" w:color="000000" w:sz="6" w:space="0"/>
              <w:right w:val="single" w:color="000000" w:sz="6" w:space="0"/>
            </w:tcBorders>
          </w:tcPr>
          <w:p w:rsidRPr="00C46E66" w:rsidR="00F54D61" w:rsidP="003E5A84" w:rsidRDefault="00E35269">
            <w:pPr>
              <w:pStyle w:val="naisc"/>
              <w:spacing w:before="0" w:after="0"/>
              <w:jc w:val="both"/>
              <w:rPr>
                <w:sz w:val="26"/>
                <w:szCs w:val="26"/>
              </w:rPr>
            </w:pPr>
            <w:r w:rsidRPr="00C46E66">
              <w:rPr>
                <w:sz w:val="26"/>
                <w:szCs w:val="26"/>
              </w:rPr>
              <w:lastRenderedPageBreak/>
              <w:t xml:space="preserve">Iekšlietu ministrija ir veikusi izvērtējumu par iespējamajiem resursu avotiem projekta īstenošanas nodrošināšanai un informēja, ka nevar nodrošināt tā īstenošanu Iekšlietu ministrijai izpildei piešķirto valsts budžeta līdzekļu ietvaros. Papildu finansējums ir nepieciešams Vēlētāju reģistra un e-pakalpojuma "Reģistrācija balsošanai pa pastu vēlētājiem, kuri uzturas ārvalstīs" </w:t>
            </w:r>
            <w:r w:rsidRPr="00C46E66">
              <w:rPr>
                <w:sz w:val="26"/>
                <w:szCs w:val="26"/>
              </w:rPr>
              <w:lastRenderedPageBreak/>
              <w:t>programmatūras pilnveidošanai</w:t>
            </w:r>
            <w:r w:rsidRPr="00C46E66" w:rsidR="00F54D61">
              <w:rPr>
                <w:sz w:val="26"/>
                <w:szCs w:val="26"/>
              </w:rPr>
              <w:t>.</w:t>
            </w:r>
          </w:p>
          <w:p w:rsidRPr="00C46E66" w:rsidR="00F54D61" w:rsidP="003E5A84" w:rsidRDefault="00F54D61">
            <w:pPr>
              <w:pStyle w:val="naisc"/>
              <w:spacing w:before="0" w:after="0"/>
              <w:jc w:val="both"/>
              <w:rPr>
                <w:sz w:val="26"/>
                <w:szCs w:val="26"/>
              </w:rPr>
            </w:pPr>
          </w:p>
          <w:p w:rsidRPr="00C46E66" w:rsidR="00B20A91" w:rsidP="003E5A84" w:rsidRDefault="00F54D61">
            <w:pPr>
              <w:pStyle w:val="naisc"/>
              <w:tabs>
                <w:tab w:val="left" w:pos="451"/>
              </w:tabs>
              <w:spacing w:before="0" w:after="0"/>
              <w:ind w:firstLine="455"/>
              <w:jc w:val="both"/>
              <w:rPr>
                <w:sz w:val="26"/>
                <w:szCs w:val="26"/>
              </w:rPr>
            </w:pPr>
            <w:r w:rsidRPr="00C46E66">
              <w:rPr>
                <w:sz w:val="26"/>
                <w:szCs w:val="26"/>
              </w:rPr>
              <w:t>Savukārt Centrālajai vēlēšanu komisijai projektā ietvertā risinājuma ieviešanai papildu finanšu līdzekļi ir nepieciešami pasta balsošanas pieteikumu reģistrēšanai, pieteikumu iesniedzēju pārbaudei Vēlētāju reģistrā, tīmekļa vietnes adreses, kur pieejami balsošanas materiāli, nosūtīšanai vēlētājiem, atbilžu sniegšanai uz vēlētāju, kuri pieteikušies balsot pa pastu, jautājumiem un sūdzībām, projektā paredzētā tehniskā risinājuma sagatavošanai un vēlētāju informēšanai.</w:t>
            </w:r>
            <w:r w:rsidRPr="00C46E66" w:rsidR="00E35269">
              <w:rPr>
                <w:sz w:val="26"/>
                <w:szCs w:val="26"/>
              </w:rPr>
              <w:t xml:space="preserve"> </w:t>
            </w:r>
          </w:p>
          <w:p w:rsidRPr="00C46E66" w:rsidR="003E5A84" w:rsidP="00771C77" w:rsidRDefault="00B20A91">
            <w:pPr>
              <w:pStyle w:val="ParastaisWeb"/>
              <w:ind w:firstLine="455"/>
              <w:jc w:val="both"/>
              <w:rPr>
                <w:color w:val="000000"/>
                <w:sz w:val="26"/>
                <w:szCs w:val="26"/>
              </w:rPr>
            </w:pPr>
            <w:r w:rsidRPr="00C46E66">
              <w:rPr>
                <w:sz w:val="26"/>
                <w:szCs w:val="26"/>
              </w:rPr>
              <w:t>Kā liecina Eiropas Parlamenta vēlēšanas 2019.</w:t>
            </w:r>
            <w:r w:rsidR="00153D5A">
              <w:rPr>
                <w:sz w:val="26"/>
                <w:szCs w:val="26"/>
              </w:rPr>
              <w:t> </w:t>
            </w:r>
            <w:r w:rsidRPr="00C46E66">
              <w:rPr>
                <w:sz w:val="26"/>
                <w:szCs w:val="26"/>
              </w:rPr>
              <w:t>gadā, pasta balsošanai pieteicās 1290</w:t>
            </w:r>
            <w:r w:rsidR="00153D5A">
              <w:rPr>
                <w:sz w:val="26"/>
                <w:szCs w:val="26"/>
              </w:rPr>
              <w:t> </w:t>
            </w:r>
            <w:r w:rsidRPr="00C46E66">
              <w:rPr>
                <w:sz w:val="26"/>
                <w:szCs w:val="26"/>
              </w:rPr>
              <w:t>vēlētāju</w:t>
            </w:r>
            <w:r w:rsidRPr="00C46E66" w:rsidR="00805E23">
              <w:rPr>
                <w:sz w:val="26"/>
                <w:szCs w:val="26"/>
              </w:rPr>
              <w:t xml:space="preserve">. Viņu iesniegumus apstrādāja </w:t>
            </w:r>
            <w:r w:rsidRPr="00C46E66" w:rsidR="00771C77">
              <w:rPr>
                <w:sz w:val="26"/>
                <w:szCs w:val="26"/>
              </w:rPr>
              <w:t>septiņu</w:t>
            </w:r>
            <w:r w:rsidRPr="00C46E66" w:rsidR="00805E23">
              <w:rPr>
                <w:sz w:val="26"/>
                <w:szCs w:val="26"/>
              </w:rPr>
              <w:t xml:space="preserve"> locekļu pasta balsošanas iecirkņa komisija sešas dienas. Papildus tam pasta balsošanas rīkošanā bija iesaistīti Centrālās vēlēšanu komisijas darbinieki pirms pasta </w:t>
            </w:r>
            <w:r w:rsidRPr="00C46E66" w:rsidR="00805E23">
              <w:rPr>
                <w:sz w:val="26"/>
                <w:szCs w:val="26"/>
              </w:rPr>
              <w:lastRenderedPageBreak/>
              <w:t>iecirkņa komisijas darba sākuma un pasta iecirkņa komisija vēl pēc pieteikumu apstrādes. Centrālās vēlēšanu komisijas finansējums 2021.</w:t>
            </w:r>
            <w:r w:rsidR="00153D5A">
              <w:rPr>
                <w:sz w:val="26"/>
                <w:szCs w:val="26"/>
              </w:rPr>
              <w:t> </w:t>
            </w:r>
            <w:r w:rsidRPr="00C46E66" w:rsidR="00805E23">
              <w:rPr>
                <w:sz w:val="26"/>
                <w:szCs w:val="26"/>
              </w:rPr>
              <w:t>gada pašvaldību vēlēšanu nodrošināšanai ir ieplānots 2013.</w:t>
            </w:r>
            <w:r w:rsidR="00153D5A">
              <w:rPr>
                <w:sz w:val="26"/>
                <w:szCs w:val="26"/>
              </w:rPr>
              <w:t> </w:t>
            </w:r>
            <w:r w:rsidRPr="00C46E66" w:rsidR="00805E23">
              <w:rPr>
                <w:sz w:val="26"/>
                <w:szCs w:val="26"/>
              </w:rPr>
              <w:t>gada līmenī (tas ir 362</w:t>
            </w:r>
            <w:r w:rsidR="00153D5A">
              <w:rPr>
                <w:sz w:val="26"/>
                <w:szCs w:val="26"/>
              </w:rPr>
              <w:t> </w:t>
            </w:r>
            <w:r w:rsidRPr="00C46E66" w:rsidR="00805E23">
              <w:rPr>
                <w:sz w:val="26"/>
                <w:szCs w:val="26"/>
              </w:rPr>
              <w:t>000</w:t>
            </w:r>
            <w:r w:rsidR="00153D5A">
              <w:rPr>
                <w:sz w:val="26"/>
                <w:szCs w:val="26"/>
              </w:rPr>
              <w:t> </w:t>
            </w:r>
            <w:proofErr w:type="spellStart"/>
            <w:r w:rsidRPr="00C46E66" w:rsidR="00805E23">
              <w:rPr>
                <w:i/>
                <w:iCs/>
                <w:sz w:val="26"/>
                <w:szCs w:val="26"/>
              </w:rPr>
              <w:t>euro</w:t>
            </w:r>
            <w:proofErr w:type="spellEnd"/>
            <w:r w:rsidRPr="00C46E66" w:rsidR="00805E23">
              <w:rPr>
                <w:sz w:val="26"/>
                <w:szCs w:val="26"/>
              </w:rPr>
              <w:t>)</w:t>
            </w:r>
            <w:r w:rsidRPr="00C46E66" w:rsidR="003E5A84">
              <w:rPr>
                <w:sz w:val="26"/>
                <w:szCs w:val="26"/>
              </w:rPr>
              <w:t>, taču pa šo laiku materiālu iegāde un pakalpojumi ir būtiski sadārdzinājušies, ko rāda arī 2019.</w:t>
            </w:r>
            <w:r w:rsidR="00153D5A">
              <w:rPr>
                <w:sz w:val="26"/>
                <w:szCs w:val="26"/>
              </w:rPr>
              <w:t> </w:t>
            </w:r>
            <w:r w:rsidRPr="00C46E66" w:rsidR="003E5A84">
              <w:rPr>
                <w:sz w:val="26"/>
                <w:szCs w:val="26"/>
              </w:rPr>
              <w:t xml:space="preserve">gada Eiropas Parlamenta vēlēšanu pieredze. </w:t>
            </w:r>
            <w:r w:rsidRPr="00C46E66" w:rsidR="003E5A84">
              <w:rPr>
                <w:color w:val="000000"/>
                <w:sz w:val="26"/>
                <w:szCs w:val="26"/>
              </w:rPr>
              <w:t>Piemēram, vēlēšanu aploksnes 2013.</w:t>
            </w:r>
            <w:r w:rsidR="00153D5A">
              <w:rPr>
                <w:color w:val="000000"/>
                <w:sz w:val="26"/>
                <w:szCs w:val="26"/>
              </w:rPr>
              <w:t> </w:t>
            </w:r>
            <w:r w:rsidRPr="00C46E66" w:rsidR="003E5A84">
              <w:rPr>
                <w:color w:val="000000"/>
                <w:sz w:val="26"/>
                <w:szCs w:val="26"/>
              </w:rPr>
              <w:t>gadā izmaksāja 1,8</w:t>
            </w:r>
            <w:r w:rsidR="00153D5A">
              <w:rPr>
                <w:color w:val="000000"/>
                <w:sz w:val="26"/>
                <w:szCs w:val="26"/>
              </w:rPr>
              <w:t> </w:t>
            </w:r>
            <w:r w:rsidRPr="00C46E66" w:rsidR="003E5A84">
              <w:rPr>
                <w:color w:val="000000"/>
                <w:sz w:val="26"/>
                <w:szCs w:val="26"/>
              </w:rPr>
              <w:t>centi gabalā, bet 2019.</w:t>
            </w:r>
            <w:r w:rsidR="00153D5A">
              <w:rPr>
                <w:color w:val="000000"/>
                <w:sz w:val="26"/>
                <w:szCs w:val="26"/>
              </w:rPr>
              <w:t> </w:t>
            </w:r>
            <w:r w:rsidRPr="00C46E66" w:rsidR="003E5A84">
              <w:rPr>
                <w:color w:val="000000"/>
                <w:sz w:val="26"/>
                <w:szCs w:val="26"/>
              </w:rPr>
              <w:t>gadā</w:t>
            </w:r>
            <w:r w:rsidR="00153D5A">
              <w:rPr>
                <w:color w:val="000000"/>
                <w:sz w:val="26"/>
                <w:szCs w:val="26"/>
              </w:rPr>
              <w:t> –</w:t>
            </w:r>
            <w:r w:rsidRPr="00C46E66" w:rsidR="003E5A84">
              <w:rPr>
                <w:color w:val="000000"/>
                <w:sz w:val="26"/>
                <w:szCs w:val="26"/>
              </w:rPr>
              <w:t xml:space="preserve"> 2,7</w:t>
            </w:r>
            <w:r w:rsidR="00153D5A">
              <w:rPr>
                <w:color w:val="000000"/>
                <w:sz w:val="26"/>
                <w:szCs w:val="26"/>
              </w:rPr>
              <w:t> </w:t>
            </w:r>
            <w:r w:rsidRPr="00C46E66" w:rsidR="003E5A84">
              <w:rPr>
                <w:color w:val="000000"/>
                <w:sz w:val="26"/>
                <w:szCs w:val="26"/>
              </w:rPr>
              <w:t>centi. Tādējādi jaunu funkciju uzņemšanās līdzšinējā budžeta robežās kļuvusi apgrūtināta.</w:t>
            </w:r>
          </w:p>
          <w:p w:rsidRPr="00C46E66" w:rsidR="00B20A91" w:rsidP="003E5A84" w:rsidRDefault="00B20A91">
            <w:pPr>
              <w:pStyle w:val="naisc"/>
              <w:tabs>
                <w:tab w:val="left" w:pos="451"/>
              </w:tabs>
              <w:spacing w:before="0" w:after="0"/>
              <w:ind w:firstLine="455"/>
              <w:jc w:val="both"/>
              <w:rPr>
                <w:sz w:val="26"/>
                <w:szCs w:val="26"/>
              </w:rPr>
            </w:pPr>
          </w:p>
        </w:tc>
        <w:tc>
          <w:tcPr>
            <w:tcW w:w="1669" w:type="dxa"/>
            <w:tcBorders>
              <w:top w:val="single" w:color="auto" w:sz="4" w:space="0"/>
              <w:left w:val="single" w:color="auto" w:sz="4" w:space="0"/>
              <w:bottom w:val="single" w:color="auto" w:sz="4" w:space="0"/>
              <w:right w:val="single" w:color="auto" w:sz="4" w:space="0"/>
            </w:tcBorders>
          </w:tcPr>
          <w:p w:rsidRPr="00C46E66" w:rsidR="00FE0ED2" w:rsidP="0048022C" w:rsidRDefault="00FE0ED2">
            <w:pPr>
              <w:pStyle w:val="Parastais"/>
              <w:jc w:val="center"/>
              <w:rPr>
                <w:sz w:val="26"/>
                <w:szCs w:val="26"/>
              </w:rPr>
            </w:pPr>
          </w:p>
        </w:tc>
        <w:tc>
          <w:tcPr>
            <w:tcW w:w="1952" w:type="dxa"/>
            <w:tcBorders>
              <w:top w:val="single" w:color="auto" w:sz="4" w:space="0"/>
              <w:left w:val="single" w:color="auto" w:sz="4" w:space="0"/>
              <w:bottom w:val="single" w:color="auto" w:sz="4" w:space="0"/>
            </w:tcBorders>
          </w:tcPr>
          <w:p w:rsidRPr="00C46E66" w:rsidR="00FE0ED2" w:rsidP="00FB75FE" w:rsidRDefault="008F3A1C">
            <w:pPr>
              <w:pStyle w:val="Parastais"/>
              <w:jc w:val="both"/>
              <w:rPr>
                <w:sz w:val="26"/>
                <w:szCs w:val="26"/>
              </w:rPr>
            </w:pPr>
            <w:r w:rsidRPr="00C46E66">
              <w:rPr>
                <w:sz w:val="26"/>
                <w:szCs w:val="26"/>
              </w:rPr>
              <w:t xml:space="preserve">Projektam pievienots Ministru kabineta </w:t>
            </w:r>
            <w:r w:rsidR="00153D5A">
              <w:rPr>
                <w:sz w:val="26"/>
                <w:szCs w:val="26"/>
              </w:rPr>
              <w:t xml:space="preserve">sēdes </w:t>
            </w:r>
            <w:r w:rsidRPr="00C46E66">
              <w:rPr>
                <w:sz w:val="26"/>
                <w:szCs w:val="26"/>
              </w:rPr>
              <w:t>protokollēmuma projekts.</w:t>
            </w:r>
          </w:p>
        </w:tc>
      </w:tr>
      <w:tr w:rsidRPr="00C46E66" w:rsidR="00FE0ED2" w:rsidTr="00B20A91">
        <w:tc>
          <w:tcPr>
            <w:tcW w:w="721" w:type="dxa"/>
            <w:tcBorders>
              <w:top w:val="single" w:color="000000" w:sz="6" w:space="0"/>
              <w:left w:val="single" w:color="000000" w:sz="6" w:space="0"/>
              <w:bottom w:val="single" w:color="000000" w:sz="6" w:space="0"/>
              <w:right w:val="single" w:color="000000" w:sz="6" w:space="0"/>
            </w:tcBorders>
          </w:tcPr>
          <w:p w:rsidRPr="00C46E66" w:rsidR="00FE0ED2" w:rsidP="0048022C" w:rsidRDefault="00353F56">
            <w:pPr>
              <w:pStyle w:val="naisc"/>
              <w:spacing w:before="0" w:after="0"/>
              <w:rPr>
                <w:sz w:val="26"/>
                <w:szCs w:val="26"/>
              </w:rPr>
            </w:pPr>
            <w:r w:rsidRPr="00C46E66">
              <w:rPr>
                <w:sz w:val="26"/>
                <w:szCs w:val="26"/>
              </w:rPr>
              <w:lastRenderedPageBreak/>
              <w:t>2.</w:t>
            </w:r>
          </w:p>
        </w:tc>
        <w:tc>
          <w:tcPr>
            <w:tcW w:w="1831" w:type="dxa"/>
            <w:tcBorders>
              <w:top w:val="single" w:color="000000" w:sz="6" w:space="0"/>
              <w:left w:val="single" w:color="000000" w:sz="6" w:space="0"/>
              <w:bottom w:val="single" w:color="000000" w:sz="6" w:space="0"/>
              <w:right w:val="single" w:color="000000" w:sz="6" w:space="0"/>
            </w:tcBorders>
          </w:tcPr>
          <w:p w:rsidRPr="00C46E66" w:rsidR="00FE0ED2" w:rsidP="00022D01" w:rsidRDefault="00FE0ED2">
            <w:pPr>
              <w:pStyle w:val="naisc"/>
              <w:spacing w:before="0" w:after="0"/>
              <w:rPr>
                <w:sz w:val="26"/>
                <w:szCs w:val="26"/>
              </w:rPr>
            </w:pPr>
          </w:p>
        </w:tc>
        <w:tc>
          <w:tcPr>
            <w:tcW w:w="4536" w:type="dxa"/>
            <w:tcBorders>
              <w:top w:val="single" w:color="000000" w:sz="6" w:space="0"/>
              <w:left w:val="single" w:color="000000" w:sz="6" w:space="0"/>
              <w:bottom w:val="single" w:color="000000" w:sz="6" w:space="0"/>
              <w:right w:val="single" w:color="000000" w:sz="6" w:space="0"/>
            </w:tcBorders>
          </w:tcPr>
          <w:p w:rsidRPr="00C46E66" w:rsidR="00FE0ED2" w:rsidP="00353F56" w:rsidRDefault="00FE0ED2">
            <w:pPr>
              <w:pStyle w:val="naisc"/>
              <w:spacing w:before="0" w:after="0"/>
              <w:jc w:val="left"/>
              <w:rPr>
                <w:sz w:val="26"/>
                <w:szCs w:val="26"/>
              </w:rPr>
            </w:pPr>
            <w:r w:rsidRPr="00C46E66">
              <w:rPr>
                <w:b/>
                <w:bCs/>
                <w:sz w:val="26"/>
                <w:szCs w:val="26"/>
              </w:rPr>
              <w:t>Finanšu ministrija</w:t>
            </w:r>
            <w:r w:rsidRPr="00C46E66">
              <w:rPr>
                <w:sz w:val="26"/>
                <w:szCs w:val="26"/>
              </w:rPr>
              <w:t xml:space="preserve"> (19.07.2019.atzinums):</w:t>
            </w:r>
          </w:p>
          <w:p w:rsidRPr="00C46E66" w:rsidR="00FE0ED2" w:rsidP="00FE0ED2" w:rsidRDefault="00FE0ED2">
            <w:pPr>
              <w:pStyle w:val="Sarakstarindkopa"/>
              <w:spacing w:after="240" w:line="240" w:lineRule="auto"/>
              <w:ind w:left="0"/>
              <w:contextualSpacing w:val="0"/>
              <w:jc w:val="both"/>
              <w:rPr>
                <w:rFonts w:ascii="Times New Roman" w:hAnsi="Times New Roman" w:eastAsia="Times New Roman"/>
                <w:sz w:val="26"/>
                <w:szCs w:val="26"/>
              </w:rPr>
            </w:pPr>
            <w:r w:rsidRPr="00C46E66">
              <w:rPr>
                <w:rFonts w:ascii="Times New Roman" w:hAnsi="Times New Roman" w:eastAsia="Times New Roman"/>
                <w:sz w:val="26"/>
                <w:szCs w:val="26"/>
              </w:rPr>
              <w:t>Vienlaikus papildus norādām, ka Centrālās vēlēšanu komisijas (CVK) pamatbudžeta bāzes izdevumos 2020.-</w:t>
            </w:r>
            <w:r w:rsidRPr="00C46E66">
              <w:rPr>
                <w:rFonts w:ascii="Times New Roman" w:hAnsi="Times New Roman" w:eastAsia="Times New Roman"/>
                <w:sz w:val="26"/>
                <w:szCs w:val="26"/>
              </w:rPr>
              <w:lastRenderedPageBreak/>
              <w:t xml:space="preserve">2022.gadam budžeta programmā 03.00.00 “Pašvaldību vēlēšanas” pašvaldību vēlēšanu nodrošināšanai 2021.gadam ieplānots finansējums 362 261 </w:t>
            </w:r>
            <w:proofErr w:type="spellStart"/>
            <w:r w:rsidRPr="00C46E66">
              <w:rPr>
                <w:rFonts w:ascii="Times New Roman" w:hAnsi="Times New Roman" w:eastAsia="Times New Roman"/>
                <w:i/>
                <w:iCs/>
                <w:sz w:val="26"/>
                <w:szCs w:val="26"/>
              </w:rPr>
              <w:t>euro</w:t>
            </w:r>
            <w:proofErr w:type="spellEnd"/>
            <w:r w:rsidRPr="00C46E66">
              <w:rPr>
                <w:rFonts w:ascii="Times New Roman" w:hAnsi="Times New Roman" w:eastAsia="Times New Roman"/>
                <w:sz w:val="26"/>
                <w:szCs w:val="26"/>
              </w:rPr>
              <w:t xml:space="preserve"> apmērā, kura ietvaros plānots informēt sabiedrību par CVK pieņemtajiem lēmumiem, pašvaldību vēlēšanu kārtību un rezultātiem, tādējādi uzskatām, ka CVK ir jāizvērtē iespējas likumprojektā paredzēto risinājumu ieviešanai nepieciešamo finansējumu 2021.gadam 13 000 </w:t>
            </w:r>
            <w:proofErr w:type="spellStart"/>
            <w:r w:rsidRPr="00C46E66">
              <w:rPr>
                <w:rFonts w:ascii="Times New Roman" w:hAnsi="Times New Roman" w:eastAsia="Times New Roman"/>
                <w:i/>
                <w:iCs/>
                <w:sz w:val="26"/>
                <w:szCs w:val="26"/>
              </w:rPr>
              <w:t>euro</w:t>
            </w:r>
            <w:proofErr w:type="spellEnd"/>
            <w:r w:rsidRPr="00C46E66">
              <w:rPr>
                <w:rFonts w:ascii="Times New Roman" w:hAnsi="Times New Roman" w:eastAsia="Times New Roman"/>
                <w:sz w:val="26"/>
                <w:szCs w:val="26"/>
              </w:rPr>
              <w:t xml:space="preserve"> apmērā nodrošināt piešķirto valsts budžeta līdzekļu ietvaros. Turklāt uzskatām, ka atkārtoti ir jāizvērtē nepieciešamība piesaistīt 2 darbiniekus, ņemot vērā, ka nav prognozējams vēlētāju skaits ārvalstīs, kas izmantos iespēju balsot pa pastu, un attiecīgi nav zināma potenciālā darbinieku noslodze. </w:t>
            </w:r>
          </w:p>
          <w:p w:rsidRPr="00C46E66" w:rsidR="00FE0ED2" w:rsidP="00FE0ED2" w:rsidRDefault="00FE0ED2">
            <w:pPr>
              <w:pStyle w:val="Sarakstarindkopa"/>
              <w:spacing w:after="240" w:line="240" w:lineRule="auto"/>
              <w:ind w:left="0"/>
              <w:contextualSpacing w:val="0"/>
              <w:jc w:val="both"/>
              <w:rPr>
                <w:rFonts w:ascii="Times New Roman" w:hAnsi="Times New Roman"/>
                <w:sz w:val="26"/>
                <w:szCs w:val="26"/>
              </w:rPr>
            </w:pPr>
            <w:r w:rsidRPr="00C46E66">
              <w:rPr>
                <w:rFonts w:ascii="Times New Roman" w:hAnsi="Times New Roman"/>
                <w:sz w:val="26"/>
                <w:szCs w:val="26"/>
              </w:rPr>
              <w:t xml:space="preserve">Ievērojot iepriekš minēto, kā arī ņemot vērā, ka nav atbalstāma tādu likumprojektu pieņemšana, kuru izpilde var netikt nodrošināta nepietiekamā finansējuma dēļ, uzskatām, ka Likumprojekta tālāka virzība ir atbalstāma tikai tad, ja tā īstenošanai nepieciešamais finansējums Iekšlietu ministrijai (Pilsonības un migrācijas lietu </w:t>
            </w:r>
            <w:r w:rsidRPr="00C46E66">
              <w:rPr>
                <w:rFonts w:ascii="Times New Roman" w:hAnsi="Times New Roman"/>
                <w:sz w:val="26"/>
                <w:szCs w:val="26"/>
              </w:rPr>
              <w:lastRenderedPageBreak/>
              <w:t xml:space="preserve">pārvaldei) 2020.gadam 60 404 </w:t>
            </w:r>
            <w:proofErr w:type="spellStart"/>
            <w:r w:rsidRPr="00C46E66">
              <w:rPr>
                <w:rFonts w:ascii="Times New Roman" w:hAnsi="Times New Roman"/>
                <w:i/>
                <w:iCs/>
                <w:sz w:val="26"/>
                <w:szCs w:val="26"/>
              </w:rPr>
              <w:t>euro</w:t>
            </w:r>
            <w:proofErr w:type="spellEnd"/>
            <w:r w:rsidRPr="00C46E66">
              <w:rPr>
                <w:rFonts w:ascii="Times New Roman" w:hAnsi="Times New Roman"/>
                <w:sz w:val="26"/>
                <w:szCs w:val="26"/>
              </w:rPr>
              <w:t xml:space="preserve"> apmērā un CVK 2021.gadam 13 000 </w:t>
            </w:r>
            <w:proofErr w:type="spellStart"/>
            <w:r w:rsidRPr="00C46E66">
              <w:rPr>
                <w:rFonts w:ascii="Times New Roman" w:hAnsi="Times New Roman"/>
                <w:i/>
                <w:iCs/>
                <w:sz w:val="26"/>
                <w:szCs w:val="26"/>
              </w:rPr>
              <w:t>euro</w:t>
            </w:r>
            <w:proofErr w:type="spellEnd"/>
            <w:r w:rsidRPr="00C46E66">
              <w:rPr>
                <w:rFonts w:ascii="Times New Roman" w:hAnsi="Times New Roman"/>
                <w:sz w:val="26"/>
                <w:szCs w:val="26"/>
              </w:rPr>
              <w:t xml:space="preserve"> apmērā tiek nodrošināts piešķirto valsts budžeta līdzekļu ietvaros, vai pēc tam, kad IeM un CVK tiks piešķirts papildu nepieciešamais valsts budžeta finansējums.</w:t>
            </w:r>
          </w:p>
          <w:p w:rsidRPr="00C46E66" w:rsidR="00353F56" w:rsidP="00793EED" w:rsidRDefault="00353F56">
            <w:pPr>
              <w:pStyle w:val="naisc"/>
              <w:spacing w:before="0" w:after="0"/>
              <w:jc w:val="left"/>
              <w:rPr>
                <w:sz w:val="26"/>
                <w:szCs w:val="26"/>
              </w:rPr>
            </w:pPr>
            <w:r w:rsidRPr="00C46E66">
              <w:rPr>
                <w:b/>
                <w:bCs/>
                <w:sz w:val="26"/>
                <w:szCs w:val="26"/>
              </w:rPr>
              <w:t>Finanšu ministrija</w:t>
            </w:r>
            <w:r w:rsidRPr="00C46E66">
              <w:rPr>
                <w:sz w:val="26"/>
                <w:szCs w:val="26"/>
              </w:rPr>
              <w:t xml:space="preserve"> (19.07.2019.atzinums):</w:t>
            </w:r>
          </w:p>
          <w:p w:rsidRPr="00C46E66" w:rsidR="00353F56" w:rsidP="00353F56" w:rsidRDefault="00353F56">
            <w:pPr>
              <w:pStyle w:val="Parastais"/>
              <w:jc w:val="both"/>
              <w:rPr>
                <w:sz w:val="26"/>
                <w:szCs w:val="26"/>
              </w:rPr>
            </w:pPr>
            <w:r w:rsidRPr="00C46E66">
              <w:rPr>
                <w:sz w:val="26"/>
                <w:szCs w:val="26"/>
              </w:rPr>
              <w:t>Anotācijas III sadaļas 6.punktā jāsniedz detalizēti aprēķini CVK papildu nepieciešamā finansējuma apmēram.</w:t>
            </w:r>
          </w:p>
          <w:p w:rsidRPr="00C46E66" w:rsidR="00353F56" w:rsidP="00FE0ED2" w:rsidRDefault="00353F56">
            <w:pPr>
              <w:pStyle w:val="Sarakstarindkopa"/>
              <w:spacing w:after="240" w:line="240" w:lineRule="auto"/>
              <w:ind w:left="0"/>
              <w:contextualSpacing w:val="0"/>
              <w:jc w:val="both"/>
              <w:rPr>
                <w:rFonts w:ascii="Times New Roman" w:hAnsi="Times New Roman" w:eastAsia="Times New Roman"/>
                <w:sz w:val="26"/>
                <w:szCs w:val="26"/>
              </w:rPr>
            </w:pPr>
          </w:p>
        </w:tc>
        <w:tc>
          <w:tcPr>
            <w:tcW w:w="3685" w:type="dxa"/>
            <w:tcBorders>
              <w:top w:val="single" w:color="000000" w:sz="6" w:space="0"/>
              <w:left w:val="single" w:color="000000" w:sz="6" w:space="0"/>
              <w:bottom w:val="single" w:color="000000" w:sz="6" w:space="0"/>
              <w:right w:val="single" w:color="000000" w:sz="6" w:space="0"/>
            </w:tcBorders>
          </w:tcPr>
          <w:p w:rsidRPr="00C46E66" w:rsidR="00FE0ED2" w:rsidP="00265E39" w:rsidRDefault="00265E39">
            <w:pPr>
              <w:pStyle w:val="naisc"/>
              <w:spacing w:before="0" w:after="0"/>
              <w:jc w:val="both"/>
              <w:rPr>
                <w:sz w:val="26"/>
                <w:szCs w:val="26"/>
              </w:rPr>
            </w:pPr>
            <w:r w:rsidRPr="00C46E66">
              <w:rPr>
                <w:sz w:val="26"/>
                <w:szCs w:val="26"/>
              </w:rPr>
              <w:lastRenderedPageBreak/>
              <w:t>Skat. izziņas 1.</w:t>
            </w:r>
            <w:r w:rsidR="00153D5A">
              <w:rPr>
                <w:sz w:val="26"/>
                <w:szCs w:val="26"/>
              </w:rPr>
              <w:t> </w:t>
            </w:r>
            <w:r w:rsidRPr="00C46E66">
              <w:rPr>
                <w:sz w:val="26"/>
                <w:szCs w:val="26"/>
              </w:rPr>
              <w:t>punkt</w:t>
            </w:r>
            <w:r w:rsidRPr="00C46E66" w:rsidR="00771C77">
              <w:rPr>
                <w:sz w:val="26"/>
                <w:szCs w:val="26"/>
              </w:rPr>
              <w:t>u</w:t>
            </w:r>
            <w:r w:rsidRPr="00C46E66">
              <w:rPr>
                <w:sz w:val="26"/>
                <w:szCs w:val="26"/>
              </w:rPr>
              <w:t>.</w:t>
            </w:r>
          </w:p>
          <w:p w:rsidRPr="00C46E66" w:rsidR="00353F56" w:rsidP="00265E39" w:rsidRDefault="00353F56">
            <w:pPr>
              <w:pStyle w:val="naisc"/>
              <w:spacing w:before="0" w:after="0"/>
              <w:jc w:val="both"/>
              <w:rPr>
                <w:sz w:val="26"/>
                <w:szCs w:val="26"/>
              </w:rPr>
            </w:pPr>
            <w:r w:rsidRPr="00C46E66">
              <w:rPr>
                <w:sz w:val="26"/>
                <w:szCs w:val="26"/>
              </w:rPr>
              <w:t xml:space="preserve">Anotācijā ir sniegts pietiekams finanšu aprēķins. </w:t>
            </w:r>
            <w:r w:rsidRPr="00C46E66">
              <w:rPr>
                <w:color w:val="000000"/>
                <w:sz w:val="26"/>
                <w:szCs w:val="26"/>
              </w:rPr>
              <w:t>Anotācijas III</w:t>
            </w:r>
            <w:r w:rsidR="00153D5A">
              <w:rPr>
                <w:color w:val="000000"/>
                <w:sz w:val="26"/>
                <w:szCs w:val="26"/>
              </w:rPr>
              <w:t> </w:t>
            </w:r>
            <w:r w:rsidRPr="00C46E66">
              <w:rPr>
                <w:color w:val="000000"/>
                <w:sz w:val="26"/>
                <w:szCs w:val="26"/>
              </w:rPr>
              <w:t>sadaļas 6.</w:t>
            </w:r>
            <w:r w:rsidR="00153D5A">
              <w:rPr>
                <w:color w:val="000000"/>
                <w:sz w:val="26"/>
                <w:szCs w:val="26"/>
              </w:rPr>
              <w:t> </w:t>
            </w:r>
            <w:r w:rsidRPr="00C46E66">
              <w:rPr>
                <w:color w:val="000000"/>
                <w:sz w:val="26"/>
                <w:szCs w:val="26"/>
              </w:rPr>
              <w:t>punktā jau minēts 13</w:t>
            </w:r>
            <w:r w:rsidR="00153D5A">
              <w:rPr>
                <w:color w:val="000000"/>
                <w:sz w:val="26"/>
                <w:szCs w:val="26"/>
              </w:rPr>
              <w:t> </w:t>
            </w:r>
            <w:r w:rsidRPr="00C46E66">
              <w:rPr>
                <w:color w:val="000000"/>
                <w:sz w:val="26"/>
                <w:szCs w:val="26"/>
              </w:rPr>
              <w:t>000</w:t>
            </w:r>
            <w:r w:rsidR="00153D5A">
              <w:rPr>
                <w:color w:val="000000"/>
                <w:sz w:val="26"/>
                <w:szCs w:val="26"/>
              </w:rPr>
              <w:t> </w:t>
            </w:r>
            <w:proofErr w:type="spellStart"/>
            <w:r w:rsidRPr="00C46E66">
              <w:rPr>
                <w:i/>
                <w:iCs/>
                <w:color w:val="000000"/>
                <w:sz w:val="26"/>
                <w:szCs w:val="26"/>
              </w:rPr>
              <w:t>euro</w:t>
            </w:r>
            <w:proofErr w:type="spellEnd"/>
            <w:r w:rsidRPr="00C46E66">
              <w:rPr>
                <w:color w:val="000000"/>
                <w:sz w:val="26"/>
                <w:szCs w:val="26"/>
              </w:rPr>
              <w:t xml:space="preserve"> sadalījums </w:t>
            </w:r>
            <w:r w:rsidRPr="00C46E66">
              <w:rPr>
                <w:color w:val="000000"/>
                <w:sz w:val="26"/>
                <w:szCs w:val="26"/>
              </w:rPr>
              <w:lastRenderedPageBreak/>
              <w:t>pa izdevumu veidiem un darbinieku atlīdzības aplēses formula.</w:t>
            </w:r>
          </w:p>
        </w:tc>
        <w:tc>
          <w:tcPr>
            <w:tcW w:w="1669" w:type="dxa"/>
            <w:tcBorders>
              <w:top w:val="single" w:color="auto" w:sz="4" w:space="0"/>
              <w:left w:val="single" w:color="auto" w:sz="4" w:space="0"/>
              <w:bottom w:val="single" w:color="auto" w:sz="4" w:space="0"/>
              <w:right w:val="single" w:color="auto" w:sz="4" w:space="0"/>
            </w:tcBorders>
          </w:tcPr>
          <w:p w:rsidRPr="00C46E66" w:rsidR="00FE0ED2" w:rsidP="0048022C" w:rsidRDefault="00FE0ED2">
            <w:pPr>
              <w:pStyle w:val="Parastais"/>
              <w:jc w:val="center"/>
              <w:rPr>
                <w:sz w:val="26"/>
                <w:szCs w:val="26"/>
              </w:rPr>
            </w:pPr>
          </w:p>
        </w:tc>
        <w:tc>
          <w:tcPr>
            <w:tcW w:w="1952" w:type="dxa"/>
            <w:tcBorders>
              <w:top w:val="single" w:color="auto" w:sz="4" w:space="0"/>
              <w:left w:val="single" w:color="auto" w:sz="4" w:space="0"/>
              <w:bottom w:val="single" w:color="auto" w:sz="4" w:space="0"/>
            </w:tcBorders>
          </w:tcPr>
          <w:p w:rsidRPr="00C46E66" w:rsidR="00FE0ED2" w:rsidP="0048022C" w:rsidRDefault="00FE0ED2">
            <w:pPr>
              <w:pStyle w:val="Parastais"/>
              <w:jc w:val="center"/>
              <w:rPr>
                <w:sz w:val="26"/>
                <w:szCs w:val="26"/>
              </w:rPr>
            </w:pPr>
          </w:p>
        </w:tc>
      </w:tr>
    </w:tbl>
    <w:p w:rsidRPr="00C46E66" w:rsidR="007B4C0F" w:rsidP="007B4C0F" w:rsidRDefault="007B4C0F">
      <w:pPr>
        <w:pStyle w:val="naisf"/>
        <w:spacing w:before="0" w:after="0"/>
        <w:ind w:firstLine="0"/>
        <w:rPr>
          <w:sz w:val="26"/>
          <w:szCs w:val="26"/>
        </w:rPr>
      </w:pPr>
    </w:p>
    <w:p w:rsidRPr="00C46E66" w:rsidR="00855243" w:rsidP="005D67F7" w:rsidRDefault="00855243">
      <w:pPr>
        <w:pStyle w:val="naisf"/>
        <w:spacing w:before="0" w:after="0"/>
        <w:ind w:firstLine="0"/>
        <w:rPr>
          <w:b/>
          <w:sz w:val="26"/>
          <w:szCs w:val="26"/>
        </w:rPr>
      </w:pPr>
    </w:p>
    <w:p w:rsidR="00153D5A" w:rsidP="005D67F7" w:rsidRDefault="00153D5A">
      <w:pPr>
        <w:pStyle w:val="naisf"/>
        <w:spacing w:before="0" w:after="0"/>
        <w:ind w:firstLine="0"/>
        <w:rPr>
          <w:b/>
          <w:sz w:val="26"/>
          <w:szCs w:val="26"/>
        </w:rPr>
      </w:pPr>
    </w:p>
    <w:p w:rsidR="00153D5A" w:rsidP="005D67F7" w:rsidRDefault="00153D5A">
      <w:pPr>
        <w:pStyle w:val="naisf"/>
        <w:spacing w:before="0" w:after="0"/>
        <w:ind w:firstLine="0"/>
        <w:rPr>
          <w:b/>
          <w:sz w:val="26"/>
          <w:szCs w:val="26"/>
        </w:rPr>
      </w:pPr>
    </w:p>
    <w:p w:rsidRPr="00C46E66" w:rsidR="005D67F7" w:rsidP="005D67F7" w:rsidRDefault="005D67F7">
      <w:pPr>
        <w:pStyle w:val="naisf"/>
        <w:spacing w:before="0" w:after="0"/>
        <w:ind w:firstLine="0"/>
        <w:rPr>
          <w:b/>
          <w:sz w:val="26"/>
          <w:szCs w:val="26"/>
        </w:rPr>
      </w:pPr>
      <w:r w:rsidRPr="00C46E66">
        <w:rPr>
          <w:b/>
          <w:sz w:val="26"/>
          <w:szCs w:val="26"/>
        </w:rPr>
        <w:t>Informācija par starpministriju (starpinstitūciju) sanāksmi vai elektronisko saskaņošanu</w:t>
      </w:r>
    </w:p>
    <w:p w:rsidRPr="00C46E66" w:rsidR="005D67F7" w:rsidP="005D67F7" w:rsidRDefault="005D67F7">
      <w:pPr>
        <w:pStyle w:val="naisf"/>
        <w:spacing w:before="0" w:after="0"/>
        <w:ind w:firstLine="0"/>
        <w:rPr>
          <w:b/>
          <w:sz w:val="26"/>
          <w:szCs w:val="26"/>
        </w:rPr>
      </w:pPr>
    </w:p>
    <w:tbl>
      <w:tblPr>
        <w:tblW w:w="12582" w:type="dxa"/>
        <w:tblLook w:val="00A0" w:firstRow="1" w:lastRow="0" w:firstColumn="1" w:lastColumn="0" w:noHBand="0" w:noVBand="0"/>
      </w:tblPr>
      <w:tblGrid>
        <w:gridCol w:w="6345"/>
        <w:gridCol w:w="363"/>
        <w:gridCol w:w="840"/>
        <w:gridCol w:w="5034"/>
      </w:tblGrid>
      <w:tr w:rsidRPr="00C46E66" w:rsidR="007B4C0F">
        <w:tc>
          <w:tcPr>
            <w:tcW w:w="6345" w:type="dxa"/>
          </w:tcPr>
          <w:p w:rsidRPr="00C46E66" w:rsidR="007B4C0F" w:rsidP="005D67F7" w:rsidRDefault="005D67F7">
            <w:pPr>
              <w:pStyle w:val="naisf"/>
              <w:spacing w:before="0" w:after="0"/>
              <w:ind w:firstLine="0"/>
              <w:rPr>
                <w:sz w:val="26"/>
                <w:szCs w:val="26"/>
              </w:rPr>
            </w:pPr>
            <w:r w:rsidRPr="00C46E66">
              <w:rPr>
                <w:sz w:val="26"/>
                <w:szCs w:val="26"/>
              </w:rPr>
              <w:t>D</w:t>
            </w:r>
            <w:r w:rsidRPr="00C46E66" w:rsidR="007B4C0F">
              <w:rPr>
                <w:sz w:val="26"/>
                <w:szCs w:val="26"/>
              </w:rPr>
              <w:t>atums</w:t>
            </w:r>
          </w:p>
        </w:tc>
        <w:tc>
          <w:tcPr>
            <w:tcW w:w="6237" w:type="dxa"/>
            <w:gridSpan w:val="3"/>
            <w:tcBorders>
              <w:bottom w:val="single" w:color="auto" w:sz="4" w:space="0"/>
            </w:tcBorders>
          </w:tcPr>
          <w:p w:rsidRPr="00C46E66" w:rsidR="007B4C0F" w:rsidP="0036160E" w:rsidRDefault="006B41E6">
            <w:pPr>
              <w:pStyle w:val="ParastaisWeb"/>
              <w:spacing w:before="0" w:beforeAutospacing="0" w:after="0" w:afterAutospacing="0"/>
              <w:ind w:firstLine="720"/>
              <w:rPr>
                <w:sz w:val="26"/>
                <w:szCs w:val="26"/>
              </w:rPr>
            </w:pPr>
            <w:r w:rsidRPr="00C46E66">
              <w:rPr>
                <w:sz w:val="26"/>
                <w:szCs w:val="26"/>
              </w:rPr>
              <w:t>1</w:t>
            </w:r>
            <w:r w:rsidRPr="00C46E66" w:rsidR="00855243">
              <w:rPr>
                <w:sz w:val="26"/>
                <w:szCs w:val="26"/>
              </w:rPr>
              <w:t>2</w:t>
            </w:r>
            <w:r w:rsidRPr="00C46E66" w:rsidR="00DE57FE">
              <w:rPr>
                <w:sz w:val="26"/>
                <w:szCs w:val="26"/>
              </w:rPr>
              <w:t>.06.2019.</w:t>
            </w:r>
          </w:p>
        </w:tc>
      </w:tr>
      <w:tr w:rsidRPr="00C46E66" w:rsidR="003C27A2">
        <w:tc>
          <w:tcPr>
            <w:tcW w:w="6345" w:type="dxa"/>
          </w:tcPr>
          <w:p w:rsidRPr="00C46E66" w:rsidR="003C27A2" w:rsidP="007B4C0F" w:rsidRDefault="003C27A2">
            <w:pPr>
              <w:pStyle w:val="naisf"/>
              <w:spacing w:before="0" w:after="0"/>
              <w:ind w:firstLine="0"/>
              <w:rPr>
                <w:sz w:val="26"/>
                <w:szCs w:val="26"/>
              </w:rPr>
            </w:pPr>
          </w:p>
        </w:tc>
        <w:tc>
          <w:tcPr>
            <w:tcW w:w="6237" w:type="dxa"/>
            <w:gridSpan w:val="3"/>
            <w:tcBorders>
              <w:top w:val="single" w:color="auto" w:sz="4" w:space="0"/>
            </w:tcBorders>
          </w:tcPr>
          <w:p w:rsidRPr="00C46E66" w:rsidR="003C27A2" w:rsidP="0036160E" w:rsidRDefault="003C27A2">
            <w:pPr>
              <w:pStyle w:val="ParastaisWeb"/>
              <w:spacing w:before="0" w:beforeAutospacing="0" w:after="0" w:afterAutospacing="0"/>
              <w:ind w:firstLine="720"/>
              <w:rPr>
                <w:sz w:val="26"/>
                <w:szCs w:val="26"/>
              </w:rPr>
            </w:pPr>
          </w:p>
        </w:tc>
      </w:tr>
      <w:tr w:rsidRPr="00C46E66" w:rsidR="004C22AF">
        <w:tc>
          <w:tcPr>
            <w:tcW w:w="6345" w:type="dxa"/>
          </w:tcPr>
          <w:p w:rsidRPr="00C46E66" w:rsidR="004C22AF" w:rsidP="004C22AF" w:rsidRDefault="004C22AF">
            <w:pPr>
              <w:pStyle w:val="naiskr"/>
              <w:spacing w:before="0" w:after="0"/>
              <w:rPr>
                <w:sz w:val="26"/>
                <w:szCs w:val="26"/>
              </w:rPr>
            </w:pPr>
            <w:r w:rsidRPr="00C46E66">
              <w:rPr>
                <w:sz w:val="26"/>
                <w:szCs w:val="26"/>
              </w:rPr>
              <w:t>Saskaņošanas dalībnieki</w:t>
            </w:r>
          </w:p>
        </w:tc>
        <w:tc>
          <w:tcPr>
            <w:tcW w:w="6237" w:type="dxa"/>
            <w:gridSpan w:val="3"/>
          </w:tcPr>
          <w:p w:rsidRPr="00C46E66" w:rsidR="004C22AF" w:rsidP="00DE57FE" w:rsidRDefault="00DE57FE">
            <w:pPr>
              <w:pStyle w:val="ParastaisWeb"/>
              <w:spacing w:before="0" w:beforeAutospacing="0" w:after="0" w:afterAutospacing="0"/>
              <w:jc w:val="both"/>
              <w:rPr>
                <w:sz w:val="26"/>
                <w:szCs w:val="26"/>
              </w:rPr>
            </w:pPr>
            <w:r w:rsidRPr="00C46E66">
              <w:rPr>
                <w:sz w:val="26"/>
                <w:szCs w:val="26"/>
              </w:rPr>
              <w:t>Ārlietu ministrija; Finanšu ministrija; Iekšlietu ministrija; Vides aizsardzības un reģionālās attīstības ministrija; Centrālā vēlēšanu komisija; Latvijas Pašvaldību savienība; Eiropas Latviešu apvienība; Pasaules brīvo latviešu apvienība</w:t>
            </w:r>
          </w:p>
        </w:tc>
      </w:tr>
      <w:tr w:rsidRPr="00C46E66" w:rsidR="004C22AF">
        <w:tc>
          <w:tcPr>
            <w:tcW w:w="6345" w:type="dxa"/>
          </w:tcPr>
          <w:p w:rsidRPr="00C46E66" w:rsidR="004C22AF" w:rsidP="004C22AF" w:rsidRDefault="004C22AF">
            <w:pPr>
              <w:pStyle w:val="naiskr"/>
              <w:spacing w:before="0" w:after="0"/>
              <w:ind w:firstLine="720"/>
              <w:rPr>
                <w:sz w:val="26"/>
                <w:szCs w:val="26"/>
              </w:rPr>
            </w:pPr>
          </w:p>
        </w:tc>
        <w:tc>
          <w:tcPr>
            <w:tcW w:w="6237" w:type="dxa"/>
            <w:gridSpan w:val="3"/>
            <w:tcBorders>
              <w:top w:val="single" w:color="000000" w:sz="6" w:space="0"/>
              <w:bottom w:val="single" w:color="000000" w:sz="6" w:space="0"/>
            </w:tcBorders>
          </w:tcPr>
          <w:p w:rsidRPr="00C46E66" w:rsidR="004C22AF" w:rsidP="004C22AF" w:rsidRDefault="004C22AF">
            <w:pPr>
              <w:pStyle w:val="naiskr"/>
              <w:spacing w:before="0" w:after="0"/>
              <w:ind w:firstLine="720"/>
              <w:rPr>
                <w:sz w:val="26"/>
                <w:szCs w:val="26"/>
              </w:rPr>
            </w:pPr>
          </w:p>
        </w:tc>
      </w:tr>
      <w:tr w:rsidRPr="00C46E66" w:rsidR="004C22AF">
        <w:trPr>
          <w:trHeight w:val="285"/>
        </w:trPr>
        <w:tc>
          <w:tcPr>
            <w:tcW w:w="6345" w:type="dxa"/>
          </w:tcPr>
          <w:p w:rsidRPr="00C46E66" w:rsidR="004C22AF" w:rsidP="004C22AF" w:rsidRDefault="004C22AF">
            <w:pPr>
              <w:pStyle w:val="naiskr"/>
              <w:spacing w:before="0" w:after="0"/>
              <w:rPr>
                <w:sz w:val="26"/>
                <w:szCs w:val="26"/>
              </w:rPr>
            </w:pPr>
          </w:p>
        </w:tc>
        <w:tc>
          <w:tcPr>
            <w:tcW w:w="1203" w:type="dxa"/>
            <w:gridSpan w:val="2"/>
          </w:tcPr>
          <w:p w:rsidRPr="00C46E66" w:rsidR="004C22AF" w:rsidP="004C22AF" w:rsidRDefault="004C22AF">
            <w:pPr>
              <w:pStyle w:val="naiskr"/>
              <w:spacing w:before="0" w:after="0"/>
              <w:ind w:firstLine="720"/>
              <w:rPr>
                <w:sz w:val="26"/>
                <w:szCs w:val="26"/>
              </w:rPr>
            </w:pPr>
          </w:p>
        </w:tc>
        <w:tc>
          <w:tcPr>
            <w:tcW w:w="5034" w:type="dxa"/>
          </w:tcPr>
          <w:p w:rsidRPr="00C46E66" w:rsidR="004C22AF" w:rsidP="004C22AF" w:rsidRDefault="004C22AF">
            <w:pPr>
              <w:pStyle w:val="naiskr"/>
              <w:spacing w:before="0" w:after="0"/>
              <w:ind w:firstLine="12"/>
              <w:rPr>
                <w:sz w:val="26"/>
                <w:szCs w:val="26"/>
              </w:rPr>
            </w:pPr>
          </w:p>
        </w:tc>
      </w:tr>
      <w:tr w:rsidRPr="00C46E66" w:rsidR="004C22AF">
        <w:trPr>
          <w:trHeight w:val="285"/>
        </w:trPr>
        <w:tc>
          <w:tcPr>
            <w:tcW w:w="6708" w:type="dxa"/>
            <w:gridSpan w:val="2"/>
          </w:tcPr>
          <w:p w:rsidRPr="00C46E66" w:rsidR="004C22AF" w:rsidP="004C22AF" w:rsidRDefault="004C22AF">
            <w:pPr>
              <w:pStyle w:val="naiskr"/>
              <w:spacing w:before="0" w:after="0"/>
              <w:rPr>
                <w:sz w:val="26"/>
                <w:szCs w:val="26"/>
              </w:rPr>
            </w:pPr>
            <w:r w:rsidRPr="00C46E66">
              <w:rPr>
                <w:sz w:val="26"/>
                <w:szCs w:val="26"/>
              </w:rPr>
              <w:lastRenderedPageBreak/>
              <w:t>Saskaņošanas dalībnieki izskatīja šādu ministriju (citu institūciju) iebildumus</w:t>
            </w:r>
          </w:p>
        </w:tc>
        <w:tc>
          <w:tcPr>
            <w:tcW w:w="840" w:type="dxa"/>
          </w:tcPr>
          <w:p w:rsidRPr="00C46E66" w:rsidR="004C22AF" w:rsidP="00DE57FE" w:rsidRDefault="004C22AF">
            <w:pPr>
              <w:pStyle w:val="naiskr"/>
              <w:spacing w:before="0" w:after="0"/>
              <w:ind w:right="-4994"/>
              <w:rPr>
                <w:sz w:val="26"/>
                <w:szCs w:val="26"/>
              </w:rPr>
            </w:pPr>
          </w:p>
        </w:tc>
        <w:tc>
          <w:tcPr>
            <w:tcW w:w="5034" w:type="dxa"/>
          </w:tcPr>
          <w:p w:rsidRPr="00C46E66" w:rsidR="004C22AF" w:rsidP="00DE57FE" w:rsidRDefault="004C22AF">
            <w:pPr>
              <w:pStyle w:val="naiskr"/>
              <w:tabs>
                <w:tab w:val="left" w:pos="4790"/>
              </w:tabs>
              <w:spacing w:before="0" w:after="0"/>
              <w:ind w:left="3939"/>
              <w:rPr>
                <w:sz w:val="26"/>
                <w:szCs w:val="26"/>
              </w:rPr>
            </w:pPr>
          </w:p>
        </w:tc>
      </w:tr>
      <w:tr w:rsidRPr="00C46E66" w:rsidR="004C22AF" w:rsidTr="0048022C">
        <w:trPr>
          <w:trHeight w:val="359"/>
        </w:trPr>
        <w:tc>
          <w:tcPr>
            <w:tcW w:w="6708" w:type="dxa"/>
            <w:gridSpan w:val="2"/>
          </w:tcPr>
          <w:p w:rsidRPr="00C46E66" w:rsidR="004C22AF" w:rsidP="004C22AF" w:rsidRDefault="004C22AF">
            <w:pPr>
              <w:pStyle w:val="naiskr"/>
              <w:spacing w:before="0" w:after="0"/>
              <w:ind w:firstLine="720"/>
              <w:rPr>
                <w:sz w:val="26"/>
                <w:szCs w:val="26"/>
              </w:rPr>
            </w:pPr>
            <w:r w:rsidRPr="00C46E66">
              <w:rPr>
                <w:sz w:val="26"/>
                <w:szCs w:val="26"/>
              </w:rPr>
              <w:t>  </w:t>
            </w:r>
          </w:p>
        </w:tc>
        <w:tc>
          <w:tcPr>
            <w:tcW w:w="5874" w:type="dxa"/>
            <w:gridSpan w:val="2"/>
            <w:tcBorders>
              <w:top w:val="single" w:color="000000" w:sz="6" w:space="0"/>
              <w:bottom w:val="single" w:color="000000" w:sz="6" w:space="0"/>
            </w:tcBorders>
          </w:tcPr>
          <w:p w:rsidRPr="00C46E66" w:rsidR="004C22AF" w:rsidP="00DE57FE" w:rsidRDefault="00DE57FE">
            <w:pPr>
              <w:pStyle w:val="ParastaisWeb"/>
              <w:spacing w:before="0" w:beforeAutospacing="0" w:after="0" w:afterAutospacing="0"/>
              <w:jc w:val="both"/>
              <w:rPr>
                <w:sz w:val="26"/>
                <w:szCs w:val="26"/>
              </w:rPr>
            </w:pPr>
            <w:r w:rsidRPr="00C46E66">
              <w:rPr>
                <w:sz w:val="26"/>
                <w:szCs w:val="26"/>
              </w:rPr>
              <w:t>Finanšu ministrija</w:t>
            </w:r>
            <w:r w:rsidRPr="00C46E66" w:rsidR="006B41E6">
              <w:rPr>
                <w:sz w:val="26"/>
                <w:szCs w:val="26"/>
              </w:rPr>
              <w:t xml:space="preserve"> un </w:t>
            </w:r>
            <w:r w:rsidRPr="00C46E66">
              <w:rPr>
                <w:sz w:val="26"/>
                <w:szCs w:val="26"/>
              </w:rPr>
              <w:t>Iekšlietu ministrija</w:t>
            </w:r>
          </w:p>
        </w:tc>
      </w:tr>
      <w:tr w:rsidRPr="00C46E66" w:rsidR="004C22AF">
        <w:trPr>
          <w:trHeight w:val="465"/>
        </w:trPr>
        <w:tc>
          <w:tcPr>
            <w:tcW w:w="12582" w:type="dxa"/>
            <w:gridSpan w:val="4"/>
          </w:tcPr>
          <w:p w:rsidRPr="00C46E66" w:rsidR="004C22AF" w:rsidP="004C22AF" w:rsidRDefault="004C22AF">
            <w:pPr>
              <w:pStyle w:val="naisc"/>
              <w:spacing w:before="0" w:after="0"/>
              <w:ind w:left="4820" w:firstLine="720"/>
              <w:rPr>
                <w:sz w:val="26"/>
                <w:szCs w:val="26"/>
              </w:rPr>
            </w:pPr>
          </w:p>
        </w:tc>
      </w:tr>
      <w:tr w:rsidRPr="00C46E66" w:rsidR="004C22AF">
        <w:tc>
          <w:tcPr>
            <w:tcW w:w="6708" w:type="dxa"/>
            <w:gridSpan w:val="2"/>
          </w:tcPr>
          <w:p w:rsidRPr="00C46E66" w:rsidR="004C22AF" w:rsidP="004C22AF" w:rsidRDefault="004C22AF">
            <w:pPr>
              <w:pStyle w:val="naiskr"/>
              <w:spacing w:before="0" w:after="0"/>
              <w:rPr>
                <w:sz w:val="26"/>
                <w:szCs w:val="26"/>
              </w:rPr>
            </w:pPr>
            <w:r w:rsidRPr="00C46E66">
              <w:rPr>
                <w:sz w:val="26"/>
                <w:szCs w:val="26"/>
              </w:rPr>
              <w:t>Ministrijas (citas institūcijas), kuras nav ieradušās uz sanāksmi vai kuras nav atbildējušas uz uzaicinājumu piedalīties elektroniskajā saskaņošanā</w:t>
            </w:r>
          </w:p>
        </w:tc>
        <w:tc>
          <w:tcPr>
            <w:tcW w:w="5874" w:type="dxa"/>
            <w:gridSpan w:val="2"/>
          </w:tcPr>
          <w:p w:rsidRPr="00C46E66" w:rsidR="004C22AF" w:rsidP="004C22AF" w:rsidRDefault="004C22AF">
            <w:pPr>
              <w:pStyle w:val="naiskr"/>
              <w:spacing w:before="0" w:after="0"/>
              <w:ind w:firstLine="720"/>
              <w:rPr>
                <w:sz w:val="26"/>
                <w:szCs w:val="26"/>
              </w:rPr>
            </w:pPr>
          </w:p>
        </w:tc>
      </w:tr>
      <w:tr w:rsidRPr="00C46E66" w:rsidR="004C22AF">
        <w:tc>
          <w:tcPr>
            <w:tcW w:w="6708" w:type="dxa"/>
            <w:gridSpan w:val="2"/>
          </w:tcPr>
          <w:p w:rsidRPr="00C46E66" w:rsidR="004C22AF" w:rsidP="004C22AF" w:rsidRDefault="004C22AF">
            <w:pPr>
              <w:pStyle w:val="naiskr"/>
              <w:spacing w:before="0" w:after="0"/>
              <w:ind w:firstLine="720"/>
              <w:rPr>
                <w:sz w:val="26"/>
                <w:szCs w:val="26"/>
              </w:rPr>
            </w:pPr>
            <w:r w:rsidRPr="00C46E66">
              <w:rPr>
                <w:sz w:val="26"/>
                <w:szCs w:val="26"/>
              </w:rPr>
              <w:t>  </w:t>
            </w:r>
          </w:p>
        </w:tc>
        <w:tc>
          <w:tcPr>
            <w:tcW w:w="5874" w:type="dxa"/>
            <w:gridSpan w:val="2"/>
            <w:tcBorders>
              <w:top w:val="single" w:color="000000" w:sz="6" w:space="0"/>
              <w:bottom w:val="single" w:color="000000" w:sz="6" w:space="0"/>
            </w:tcBorders>
          </w:tcPr>
          <w:p w:rsidRPr="00C46E66" w:rsidR="004C22AF" w:rsidP="004C22AF" w:rsidRDefault="004C22AF">
            <w:pPr>
              <w:pStyle w:val="naiskr"/>
              <w:spacing w:before="0" w:after="0"/>
              <w:ind w:firstLine="720"/>
              <w:rPr>
                <w:sz w:val="26"/>
                <w:szCs w:val="26"/>
              </w:rPr>
            </w:pPr>
          </w:p>
        </w:tc>
      </w:tr>
    </w:tbl>
    <w:p w:rsidRPr="00C46E66" w:rsidR="008601B6" w:rsidP="00184479" w:rsidRDefault="008601B6">
      <w:pPr>
        <w:pStyle w:val="naisf"/>
        <w:spacing w:before="0" w:after="0"/>
        <w:ind w:firstLine="0"/>
        <w:jc w:val="center"/>
        <w:rPr>
          <w:b/>
          <w:sz w:val="26"/>
          <w:szCs w:val="26"/>
        </w:rPr>
      </w:pPr>
    </w:p>
    <w:p w:rsidRPr="00C46E66" w:rsidR="00814D46" w:rsidP="00184479" w:rsidRDefault="00814D46">
      <w:pPr>
        <w:pStyle w:val="naisf"/>
        <w:spacing w:before="0" w:after="0"/>
        <w:ind w:firstLine="0"/>
        <w:jc w:val="center"/>
        <w:rPr>
          <w:b/>
          <w:sz w:val="26"/>
          <w:szCs w:val="26"/>
        </w:rPr>
      </w:pPr>
    </w:p>
    <w:p w:rsidRPr="00C46E66" w:rsidR="007B4C0F" w:rsidP="00184479" w:rsidRDefault="007B4C0F">
      <w:pPr>
        <w:pStyle w:val="naisf"/>
        <w:spacing w:before="0" w:after="0"/>
        <w:ind w:firstLine="0"/>
        <w:jc w:val="center"/>
        <w:rPr>
          <w:b/>
          <w:sz w:val="26"/>
          <w:szCs w:val="26"/>
        </w:rPr>
      </w:pPr>
      <w:r w:rsidRPr="00C46E66">
        <w:rPr>
          <w:b/>
          <w:sz w:val="26"/>
          <w:szCs w:val="26"/>
        </w:rPr>
        <w:t>II. </w:t>
      </w:r>
      <w:r w:rsidRPr="00C46E66" w:rsidR="00134188">
        <w:rPr>
          <w:b/>
          <w:sz w:val="26"/>
          <w:szCs w:val="26"/>
        </w:rPr>
        <w:t>Jautājumi, par kuriem saskaņošanā vienošan</w:t>
      </w:r>
      <w:r w:rsidRPr="00C46E66" w:rsidR="00144622">
        <w:rPr>
          <w:b/>
          <w:sz w:val="26"/>
          <w:szCs w:val="26"/>
        </w:rPr>
        <w:t>ā</w:t>
      </w:r>
      <w:r w:rsidRPr="00C46E66" w:rsidR="00134188">
        <w:rPr>
          <w:b/>
          <w:sz w:val="26"/>
          <w:szCs w:val="26"/>
        </w:rPr>
        <w:t>s ir panākta</w:t>
      </w:r>
    </w:p>
    <w:p w:rsidRPr="00C46E66" w:rsidR="008601B6" w:rsidP="00184479" w:rsidRDefault="008601B6">
      <w:pPr>
        <w:pStyle w:val="naisf"/>
        <w:spacing w:before="0" w:after="0"/>
        <w:ind w:firstLine="0"/>
        <w:jc w:val="center"/>
        <w:rPr>
          <w:b/>
          <w:sz w:val="26"/>
          <w:szCs w:val="26"/>
        </w:rPr>
      </w:pPr>
    </w:p>
    <w:tbl>
      <w:tblPr>
        <w:tblpPr w:leftFromText="180" w:rightFromText="180" w:vertAnchor="text" w:tblpY="1"/>
        <w:tblOverlap w:val="never"/>
        <w:tblW w:w="14142"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400"/>
        <w:gridCol w:w="119"/>
        <w:gridCol w:w="4961"/>
        <w:gridCol w:w="1099"/>
        <w:gridCol w:w="2303"/>
        <w:gridCol w:w="2552"/>
      </w:tblGrid>
      <w:tr w:rsidRPr="00C46E66" w:rsidR="00134188" w:rsidTr="00D70D9F">
        <w:tc>
          <w:tcPr>
            <w:tcW w:w="708" w:type="dxa"/>
            <w:tcBorders>
              <w:top w:val="single" w:color="000000" w:sz="6" w:space="0"/>
              <w:left w:val="single" w:color="000000" w:sz="6" w:space="0"/>
              <w:bottom w:val="single" w:color="000000" w:sz="6" w:space="0"/>
              <w:right w:val="single" w:color="000000" w:sz="6" w:space="0"/>
            </w:tcBorders>
            <w:vAlign w:val="center"/>
          </w:tcPr>
          <w:p w:rsidRPr="00C46E66" w:rsidR="00134188" w:rsidP="00D70D9F" w:rsidRDefault="00134188">
            <w:pPr>
              <w:pStyle w:val="naisc"/>
              <w:spacing w:before="0" w:after="0"/>
              <w:rPr>
                <w:sz w:val="26"/>
                <w:szCs w:val="26"/>
              </w:rPr>
            </w:pPr>
            <w:r w:rsidRPr="00C46E66">
              <w:rPr>
                <w:sz w:val="26"/>
                <w:szCs w:val="26"/>
              </w:rPr>
              <w:t>Nr. p.k.</w:t>
            </w:r>
          </w:p>
        </w:tc>
        <w:tc>
          <w:tcPr>
            <w:tcW w:w="2519" w:type="dxa"/>
            <w:gridSpan w:val="2"/>
            <w:tcBorders>
              <w:top w:val="single" w:color="000000" w:sz="6" w:space="0"/>
              <w:left w:val="single" w:color="000000" w:sz="6" w:space="0"/>
              <w:bottom w:val="single" w:color="000000" w:sz="6" w:space="0"/>
              <w:right w:val="single" w:color="000000" w:sz="6" w:space="0"/>
            </w:tcBorders>
            <w:vAlign w:val="center"/>
          </w:tcPr>
          <w:p w:rsidRPr="00C46E66" w:rsidR="00134188" w:rsidP="00D70D9F" w:rsidRDefault="00134188">
            <w:pPr>
              <w:pStyle w:val="naisc"/>
              <w:spacing w:before="0" w:after="0"/>
              <w:ind w:firstLine="12"/>
              <w:rPr>
                <w:sz w:val="26"/>
                <w:szCs w:val="26"/>
              </w:rPr>
            </w:pPr>
            <w:r w:rsidRPr="00C46E66">
              <w:rPr>
                <w:sz w:val="26"/>
                <w:szCs w:val="26"/>
              </w:rPr>
              <w:t>Saskaņošanai nosūtītā projekta redakcija (konkrēta punkta (panta) redakcija)</w:t>
            </w:r>
          </w:p>
        </w:tc>
        <w:tc>
          <w:tcPr>
            <w:tcW w:w="4961" w:type="dxa"/>
            <w:tcBorders>
              <w:top w:val="single" w:color="000000" w:sz="6" w:space="0"/>
              <w:left w:val="single" w:color="000000" w:sz="6" w:space="0"/>
              <w:bottom w:val="single" w:color="000000" w:sz="6" w:space="0"/>
              <w:right w:val="single" w:color="000000" w:sz="6" w:space="0"/>
            </w:tcBorders>
            <w:vAlign w:val="center"/>
          </w:tcPr>
          <w:p w:rsidRPr="00C46E66" w:rsidR="00134188" w:rsidP="00D70D9F" w:rsidRDefault="00134188">
            <w:pPr>
              <w:pStyle w:val="naisc"/>
              <w:spacing w:before="0" w:after="0"/>
              <w:ind w:right="3"/>
              <w:rPr>
                <w:sz w:val="26"/>
                <w:szCs w:val="26"/>
              </w:rPr>
            </w:pPr>
            <w:r w:rsidRPr="00C46E66">
              <w:rPr>
                <w:sz w:val="26"/>
                <w:szCs w:val="26"/>
              </w:rPr>
              <w:t>Atzinumā norādītais ministrijas (citas institūcijas) iebildums, kā arī saskaņošanā papildus izteiktais iebildums par projekta konkrēto punktu (pantu)</w:t>
            </w:r>
          </w:p>
        </w:tc>
        <w:tc>
          <w:tcPr>
            <w:tcW w:w="3402" w:type="dxa"/>
            <w:gridSpan w:val="2"/>
            <w:tcBorders>
              <w:top w:val="single" w:color="000000" w:sz="6" w:space="0"/>
              <w:left w:val="single" w:color="000000" w:sz="6" w:space="0"/>
              <w:bottom w:val="single" w:color="000000" w:sz="6" w:space="0"/>
              <w:right w:val="single" w:color="000000" w:sz="6" w:space="0"/>
            </w:tcBorders>
            <w:vAlign w:val="center"/>
          </w:tcPr>
          <w:p w:rsidRPr="00C46E66" w:rsidR="00134188" w:rsidP="00D70D9F" w:rsidRDefault="00134188">
            <w:pPr>
              <w:pStyle w:val="naisc"/>
              <w:spacing w:before="0" w:after="0"/>
              <w:ind w:firstLine="21"/>
              <w:rPr>
                <w:sz w:val="26"/>
                <w:szCs w:val="26"/>
              </w:rPr>
            </w:pPr>
            <w:r w:rsidRPr="00C46E66">
              <w:rPr>
                <w:sz w:val="26"/>
                <w:szCs w:val="26"/>
              </w:rPr>
              <w:t>Atbildīgās ministrijas norāde</w:t>
            </w:r>
            <w:r w:rsidRPr="00C46E66" w:rsidR="006C1C48">
              <w:rPr>
                <w:sz w:val="26"/>
                <w:szCs w:val="26"/>
              </w:rPr>
              <w:t xml:space="preserve"> par to, ka </w:t>
            </w:r>
            <w:r w:rsidRPr="00C46E66">
              <w:rPr>
                <w:sz w:val="26"/>
                <w:szCs w:val="26"/>
              </w:rPr>
              <w:t>iebildums ir ņemts vērā</w:t>
            </w:r>
            <w:r w:rsidRPr="00C46E66" w:rsidR="006455E7">
              <w:rPr>
                <w:sz w:val="26"/>
                <w:szCs w:val="26"/>
              </w:rPr>
              <w:t>,</w:t>
            </w:r>
            <w:r w:rsidRPr="00C46E66">
              <w:rPr>
                <w:sz w:val="26"/>
                <w:szCs w:val="26"/>
              </w:rPr>
              <w:t xml:space="preserve"> vai </w:t>
            </w:r>
            <w:r w:rsidRPr="00C46E66" w:rsidR="006C1C48">
              <w:rPr>
                <w:sz w:val="26"/>
                <w:szCs w:val="26"/>
              </w:rPr>
              <w:t xml:space="preserve">informācija par saskaņošanā </w:t>
            </w:r>
            <w:r w:rsidRPr="00C46E66" w:rsidR="00022B0F">
              <w:rPr>
                <w:sz w:val="26"/>
                <w:szCs w:val="26"/>
              </w:rPr>
              <w:t>panākto alternatīvo risinājumu</w:t>
            </w:r>
          </w:p>
        </w:tc>
        <w:tc>
          <w:tcPr>
            <w:tcW w:w="2552" w:type="dxa"/>
            <w:tcBorders>
              <w:top w:val="single" w:color="auto" w:sz="4" w:space="0"/>
              <w:left w:val="single" w:color="auto" w:sz="4" w:space="0"/>
              <w:bottom w:val="single" w:color="auto" w:sz="4" w:space="0"/>
            </w:tcBorders>
            <w:vAlign w:val="center"/>
          </w:tcPr>
          <w:p w:rsidRPr="00C46E66" w:rsidR="00134188" w:rsidP="00D70D9F" w:rsidRDefault="00134188">
            <w:pPr>
              <w:pStyle w:val="Parastais"/>
              <w:jc w:val="center"/>
              <w:rPr>
                <w:sz w:val="26"/>
                <w:szCs w:val="26"/>
              </w:rPr>
            </w:pPr>
            <w:r w:rsidRPr="00C46E66">
              <w:rPr>
                <w:sz w:val="26"/>
                <w:szCs w:val="26"/>
              </w:rPr>
              <w:t>Projekta attiecīgā punkta (panta) galīgā redakcija</w:t>
            </w:r>
          </w:p>
        </w:tc>
      </w:tr>
      <w:tr w:rsidRPr="00C46E66" w:rsidR="00134188" w:rsidTr="00D70D9F">
        <w:tc>
          <w:tcPr>
            <w:tcW w:w="708" w:type="dxa"/>
            <w:tcBorders>
              <w:top w:val="single" w:color="000000" w:sz="6" w:space="0"/>
              <w:left w:val="single" w:color="000000" w:sz="6" w:space="0"/>
              <w:bottom w:val="single" w:color="000000" w:sz="6" w:space="0"/>
              <w:right w:val="single" w:color="000000" w:sz="6" w:space="0"/>
            </w:tcBorders>
          </w:tcPr>
          <w:p w:rsidRPr="00C46E66" w:rsidR="00134188" w:rsidP="00D70D9F" w:rsidRDefault="003B71E0">
            <w:pPr>
              <w:pStyle w:val="naisc"/>
              <w:spacing w:before="0" w:after="0"/>
              <w:rPr>
                <w:sz w:val="26"/>
                <w:szCs w:val="26"/>
              </w:rPr>
            </w:pPr>
            <w:r w:rsidRPr="00C46E66">
              <w:rPr>
                <w:sz w:val="26"/>
                <w:szCs w:val="26"/>
              </w:rPr>
              <w:t>1</w:t>
            </w:r>
          </w:p>
        </w:tc>
        <w:tc>
          <w:tcPr>
            <w:tcW w:w="2519" w:type="dxa"/>
            <w:gridSpan w:val="2"/>
            <w:tcBorders>
              <w:top w:val="single" w:color="000000" w:sz="6" w:space="0"/>
              <w:left w:val="single" w:color="000000" w:sz="6" w:space="0"/>
              <w:bottom w:val="single" w:color="000000" w:sz="6" w:space="0"/>
              <w:right w:val="single" w:color="000000" w:sz="6" w:space="0"/>
            </w:tcBorders>
          </w:tcPr>
          <w:p w:rsidRPr="00C46E66" w:rsidR="00134188" w:rsidP="00D70D9F" w:rsidRDefault="00F34AAB">
            <w:pPr>
              <w:pStyle w:val="naisc"/>
              <w:spacing w:before="0" w:after="0"/>
              <w:rPr>
                <w:sz w:val="26"/>
                <w:szCs w:val="26"/>
              </w:rPr>
            </w:pPr>
            <w:r w:rsidRPr="00C46E66">
              <w:rPr>
                <w:sz w:val="26"/>
                <w:szCs w:val="26"/>
              </w:rPr>
              <w:t>2</w:t>
            </w:r>
          </w:p>
        </w:tc>
        <w:tc>
          <w:tcPr>
            <w:tcW w:w="4961" w:type="dxa"/>
            <w:tcBorders>
              <w:top w:val="single" w:color="000000" w:sz="6" w:space="0"/>
              <w:left w:val="single" w:color="000000" w:sz="6" w:space="0"/>
              <w:bottom w:val="single" w:color="000000" w:sz="6" w:space="0"/>
              <w:right w:val="single" w:color="000000" w:sz="6" w:space="0"/>
            </w:tcBorders>
          </w:tcPr>
          <w:p w:rsidRPr="00C46E66" w:rsidR="00134188" w:rsidP="00D70D9F" w:rsidRDefault="003B71E0">
            <w:pPr>
              <w:pStyle w:val="naisc"/>
              <w:spacing w:before="0" w:after="0"/>
              <w:rPr>
                <w:sz w:val="26"/>
                <w:szCs w:val="26"/>
              </w:rPr>
            </w:pPr>
            <w:r w:rsidRPr="00C46E66">
              <w:rPr>
                <w:sz w:val="26"/>
                <w:szCs w:val="26"/>
              </w:rPr>
              <w:t>3</w:t>
            </w:r>
          </w:p>
        </w:tc>
        <w:tc>
          <w:tcPr>
            <w:tcW w:w="3402" w:type="dxa"/>
            <w:gridSpan w:val="2"/>
            <w:tcBorders>
              <w:top w:val="single" w:color="000000" w:sz="6" w:space="0"/>
              <w:left w:val="single" w:color="000000" w:sz="6" w:space="0"/>
              <w:bottom w:val="single" w:color="000000" w:sz="6" w:space="0"/>
              <w:right w:val="single" w:color="000000" w:sz="6" w:space="0"/>
            </w:tcBorders>
          </w:tcPr>
          <w:p w:rsidRPr="00C46E66" w:rsidR="00134188" w:rsidP="00D70D9F" w:rsidRDefault="003B71E0">
            <w:pPr>
              <w:pStyle w:val="naisc"/>
              <w:spacing w:before="0" w:after="0"/>
              <w:rPr>
                <w:sz w:val="26"/>
                <w:szCs w:val="26"/>
              </w:rPr>
            </w:pPr>
            <w:r w:rsidRPr="00C46E66">
              <w:rPr>
                <w:sz w:val="26"/>
                <w:szCs w:val="26"/>
              </w:rPr>
              <w:t>4</w:t>
            </w:r>
          </w:p>
        </w:tc>
        <w:tc>
          <w:tcPr>
            <w:tcW w:w="2552" w:type="dxa"/>
            <w:tcBorders>
              <w:top w:val="single" w:color="auto" w:sz="4" w:space="0"/>
              <w:left w:val="single" w:color="auto" w:sz="4" w:space="0"/>
              <w:bottom w:val="single" w:color="auto" w:sz="4" w:space="0"/>
            </w:tcBorders>
          </w:tcPr>
          <w:p w:rsidRPr="00C46E66" w:rsidR="00134188" w:rsidP="00D70D9F" w:rsidRDefault="003B71E0">
            <w:pPr>
              <w:pStyle w:val="Parastais"/>
              <w:jc w:val="center"/>
              <w:rPr>
                <w:sz w:val="26"/>
                <w:szCs w:val="26"/>
              </w:rPr>
            </w:pPr>
            <w:r w:rsidRPr="00C46E66">
              <w:rPr>
                <w:sz w:val="26"/>
                <w:szCs w:val="26"/>
              </w:rPr>
              <w:t>5</w:t>
            </w:r>
          </w:p>
        </w:tc>
      </w:tr>
      <w:tr w:rsidRPr="00C46E66" w:rsidR="0079111F" w:rsidTr="00D70D9F">
        <w:tc>
          <w:tcPr>
            <w:tcW w:w="708" w:type="dxa"/>
            <w:tcBorders>
              <w:left w:val="single" w:color="000000" w:sz="6" w:space="0"/>
              <w:bottom w:val="single" w:color="auto" w:sz="4" w:space="0"/>
              <w:right w:val="single" w:color="000000" w:sz="6" w:space="0"/>
            </w:tcBorders>
          </w:tcPr>
          <w:p w:rsidRPr="00C46E66" w:rsidR="0079111F" w:rsidP="00D70D9F" w:rsidRDefault="00D8662A">
            <w:pPr>
              <w:pStyle w:val="Parastais"/>
              <w:jc w:val="center"/>
              <w:rPr>
                <w:sz w:val="26"/>
                <w:szCs w:val="26"/>
              </w:rPr>
            </w:pPr>
            <w:r w:rsidRPr="00C46E66">
              <w:rPr>
                <w:sz w:val="26"/>
                <w:szCs w:val="26"/>
              </w:rPr>
              <w:t>1.</w:t>
            </w:r>
          </w:p>
        </w:tc>
        <w:tc>
          <w:tcPr>
            <w:tcW w:w="2519" w:type="dxa"/>
            <w:gridSpan w:val="2"/>
            <w:tcBorders>
              <w:left w:val="single" w:color="000000" w:sz="6" w:space="0"/>
              <w:bottom w:val="single" w:color="auto" w:sz="4" w:space="0"/>
              <w:right w:val="single" w:color="000000" w:sz="6" w:space="0"/>
            </w:tcBorders>
          </w:tcPr>
          <w:p w:rsidRPr="00C46E66" w:rsidR="00F914B1" w:rsidP="00D70D9F" w:rsidRDefault="00F914B1">
            <w:pPr>
              <w:pStyle w:val="Parastais"/>
              <w:ind w:firstLine="1"/>
              <w:jc w:val="both"/>
              <w:rPr>
                <w:sz w:val="26"/>
                <w:szCs w:val="26"/>
              </w:rPr>
            </w:pPr>
            <w:r w:rsidRPr="00C46E66">
              <w:rPr>
                <w:sz w:val="26"/>
                <w:szCs w:val="26"/>
              </w:rPr>
              <w:t xml:space="preserve">2.pants: </w:t>
            </w:r>
          </w:p>
          <w:p w:rsidRPr="00C46E66" w:rsidR="00F914B1" w:rsidP="00D70D9F" w:rsidRDefault="00F914B1">
            <w:pPr>
              <w:pStyle w:val="Parastais"/>
              <w:ind w:firstLine="426"/>
              <w:jc w:val="both"/>
              <w:rPr>
                <w:sz w:val="26"/>
                <w:szCs w:val="26"/>
              </w:rPr>
            </w:pPr>
            <w:r w:rsidRPr="00C46E66">
              <w:rPr>
                <w:sz w:val="26"/>
                <w:szCs w:val="26"/>
              </w:rPr>
              <w:t>33.</w:t>
            </w:r>
            <w:r w:rsidRPr="00C46E66">
              <w:rPr>
                <w:sz w:val="26"/>
                <w:szCs w:val="26"/>
                <w:vertAlign w:val="superscript"/>
              </w:rPr>
              <w:t>2</w:t>
            </w:r>
            <w:r w:rsidR="00A53C96">
              <w:rPr>
                <w:sz w:val="26"/>
                <w:szCs w:val="26"/>
              </w:rPr>
              <w:t> </w:t>
            </w:r>
            <w:r w:rsidRPr="00C46E66">
              <w:rPr>
                <w:sz w:val="26"/>
                <w:szCs w:val="26"/>
              </w:rPr>
              <w:t>panta (2)</w:t>
            </w:r>
            <w:r w:rsidR="00A53C96">
              <w:rPr>
                <w:sz w:val="26"/>
                <w:szCs w:val="26"/>
              </w:rPr>
              <w:t> </w:t>
            </w:r>
            <w:r w:rsidRPr="00C46E66">
              <w:rPr>
                <w:sz w:val="26"/>
                <w:szCs w:val="26"/>
              </w:rPr>
              <w:t xml:space="preserve">Aizlīmēto pasta vēlēšanu aploksni vēlētājs ievieto aploksnē (turpmāk – reģistrācijas aploksne). Reģistrācijas aploksnē vēlētājs ievieto arī pašrocīgi </w:t>
            </w:r>
            <w:r w:rsidRPr="00C46E66">
              <w:rPr>
                <w:sz w:val="26"/>
                <w:szCs w:val="26"/>
              </w:rPr>
              <w:lastRenderedPageBreak/>
              <w:t>parakstītu apliecinājumu, ka balso personīgi un, norāda savu vārdu, uzvārdu un personas kodu. Reģistrācijas aploksni vēlētājs nosūta attiecīgajai republikas pilsētas vai novada vēlēšanu komisijai. Uz reģistrācijas aploksnes atzīmējams, ka tajā ir pasta vēlēšanu aploksne, un norādāms attiecīgā vēlētāja vārds, uzvārds un kārtas numurs, ar kādu vēlētājs reģistrēts vēlētāju sarakstā.</w:t>
            </w:r>
          </w:p>
          <w:p w:rsidRPr="00C46E66" w:rsidR="00E243EB" w:rsidP="00D70D9F" w:rsidRDefault="00E243EB">
            <w:pPr>
              <w:pStyle w:val="Parastais"/>
              <w:ind w:firstLine="282"/>
              <w:jc w:val="both"/>
              <w:rPr>
                <w:sz w:val="26"/>
                <w:szCs w:val="26"/>
              </w:rPr>
            </w:pPr>
          </w:p>
        </w:tc>
        <w:tc>
          <w:tcPr>
            <w:tcW w:w="4961" w:type="dxa"/>
            <w:tcBorders>
              <w:left w:val="single" w:color="000000" w:sz="6" w:space="0"/>
              <w:bottom w:val="single" w:color="auto" w:sz="4" w:space="0"/>
              <w:right w:val="single" w:color="000000" w:sz="6" w:space="0"/>
            </w:tcBorders>
          </w:tcPr>
          <w:p w:rsidRPr="00C46E66" w:rsidR="000C76ED" w:rsidP="00C46E66" w:rsidRDefault="00E243EB">
            <w:pPr>
              <w:pStyle w:val="Parastais"/>
              <w:jc w:val="both"/>
              <w:rPr>
                <w:b/>
                <w:bCs/>
                <w:sz w:val="26"/>
                <w:szCs w:val="26"/>
              </w:rPr>
            </w:pPr>
            <w:r w:rsidRPr="00C46E66">
              <w:rPr>
                <w:b/>
                <w:sz w:val="26"/>
                <w:szCs w:val="26"/>
              </w:rPr>
              <w:lastRenderedPageBreak/>
              <w:t>Iekšlietu ministrija</w:t>
            </w:r>
            <w:r w:rsidRPr="00C46E66" w:rsidR="000C76ED">
              <w:rPr>
                <w:b/>
                <w:sz w:val="26"/>
                <w:szCs w:val="26"/>
              </w:rPr>
              <w:t xml:space="preserve"> </w:t>
            </w:r>
            <w:r w:rsidRPr="00C46E66" w:rsidR="000C76ED">
              <w:rPr>
                <w:sz w:val="26"/>
                <w:szCs w:val="26"/>
              </w:rPr>
              <w:t>(29.05.2019. atzinums Nr.1-57/1250):</w:t>
            </w:r>
          </w:p>
          <w:p w:rsidRPr="00C46E66" w:rsidR="00365809" w:rsidP="00D70D9F" w:rsidRDefault="00365809">
            <w:pPr>
              <w:pStyle w:val="Parastais"/>
              <w:jc w:val="both"/>
              <w:rPr>
                <w:sz w:val="26"/>
                <w:szCs w:val="26"/>
              </w:rPr>
            </w:pPr>
            <w:r w:rsidRPr="00C46E66">
              <w:rPr>
                <w:sz w:val="26"/>
                <w:szCs w:val="26"/>
              </w:rPr>
              <w:t>projekta 2.pantā ietvertā 33.</w:t>
            </w:r>
            <w:r w:rsidRPr="00C46E66">
              <w:rPr>
                <w:sz w:val="26"/>
                <w:szCs w:val="26"/>
                <w:vertAlign w:val="superscript"/>
              </w:rPr>
              <w:t>2</w:t>
            </w:r>
            <w:r w:rsidRPr="00C46E66">
              <w:rPr>
                <w:sz w:val="26"/>
                <w:szCs w:val="26"/>
              </w:rPr>
              <w:t xml:space="preserve"> panta otrā daļa nosaka, ka vēlētājs reģistrācijas aploksni nosūta attiecīgajai republikas pilsētas vai novada vēlēšanu komisijai. Uz reģistrācijas aploksnes ir atzīmējams, ka tajā ir pasta vēlēšanu aploksne, un norādāms attiecīgā vēlētāja vārds, uzvārds un kārtas numurs, ar kādu vēlētājs reģistrēts vēlētāju sarakstā.</w:t>
            </w:r>
          </w:p>
          <w:p w:rsidRPr="00C46E66" w:rsidR="00365809" w:rsidP="00D70D9F" w:rsidRDefault="00365809">
            <w:pPr>
              <w:pStyle w:val="Parastais"/>
              <w:ind w:firstLine="461"/>
              <w:jc w:val="both"/>
              <w:rPr>
                <w:sz w:val="26"/>
                <w:szCs w:val="26"/>
              </w:rPr>
            </w:pPr>
            <w:r w:rsidRPr="00C46E66">
              <w:rPr>
                <w:sz w:val="26"/>
                <w:szCs w:val="26"/>
              </w:rPr>
              <w:t xml:space="preserve">Vēršam uzmanību uz to, ka no projekta </w:t>
            </w:r>
            <w:r w:rsidRPr="00C46E66">
              <w:rPr>
                <w:sz w:val="26"/>
                <w:szCs w:val="26"/>
              </w:rPr>
              <w:lastRenderedPageBreak/>
              <w:t xml:space="preserve">nav saprotams, kādā veidā vēlētājs uzzinās, kurai attiecīgajai vēlēšanu komisijai vēlēšanu aploksne ir adresējama, un kāds ir kārtas numurs, ar kādu vēlētājs reģistrēts vēlētāju sarakstā. </w:t>
            </w:r>
          </w:p>
          <w:p w:rsidRPr="00C46E66" w:rsidR="00365809" w:rsidP="00D70D9F" w:rsidRDefault="00365809">
            <w:pPr>
              <w:pStyle w:val="Parastais"/>
              <w:ind w:firstLine="461"/>
              <w:jc w:val="both"/>
              <w:rPr>
                <w:sz w:val="26"/>
                <w:szCs w:val="26"/>
              </w:rPr>
            </w:pPr>
            <w:r w:rsidRPr="00C46E66">
              <w:rPr>
                <w:sz w:val="26"/>
                <w:szCs w:val="26"/>
              </w:rPr>
              <w:t xml:space="preserve">Ņemot vērā minēto, lūdzam attiecīgi precizēt projektu vai papildināt projekta anotācijas I sadaļas 2.punktu ar informāciju par to, kādā veidā vēlētājs uzzinās, kurai attiecīgajai vēlēšanu komisijai vēlēšanu aploksne ir adresējama, un kāds ir kārtas numurs, ar kādu vēlētājs reģistrēts vēlētāju sarakstā. </w:t>
            </w:r>
          </w:p>
          <w:p w:rsidRPr="00C46E66" w:rsidR="00E243EB" w:rsidP="00D70D9F" w:rsidRDefault="00E243EB">
            <w:pPr>
              <w:pStyle w:val="naisc"/>
              <w:jc w:val="both"/>
              <w:rPr>
                <w:b/>
                <w:sz w:val="26"/>
                <w:szCs w:val="26"/>
              </w:rPr>
            </w:pPr>
          </w:p>
          <w:p w:rsidRPr="00C46E66" w:rsidR="00E243EB" w:rsidP="00D70D9F" w:rsidRDefault="00E243EB">
            <w:pPr>
              <w:pStyle w:val="naisc"/>
              <w:jc w:val="both"/>
              <w:rPr>
                <w:sz w:val="26"/>
                <w:szCs w:val="26"/>
              </w:rPr>
            </w:pPr>
          </w:p>
        </w:tc>
        <w:tc>
          <w:tcPr>
            <w:tcW w:w="3402" w:type="dxa"/>
            <w:gridSpan w:val="2"/>
            <w:tcBorders>
              <w:left w:val="single" w:color="000000" w:sz="6" w:space="0"/>
              <w:bottom w:val="single" w:color="auto" w:sz="4" w:space="0"/>
              <w:right w:val="single" w:color="000000" w:sz="6" w:space="0"/>
            </w:tcBorders>
          </w:tcPr>
          <w:p w:rsidRPr="00C46E66" w:rsidR="0079111F" w:rsidP="00D70D9F" w:rsidRDefault="007810B9">
            <w:pPr>
              <w:pStyle w:val="naisc"/>
              <w:spacing w:before="0" w:after="0"/>
              <w:ind w:firstLine="316"/>
              <w:rPr>
                <w:sz w:val="26"/>
                <w:szCs w:val="26"/>
              </w:rPr>
            </w:pPr>
            <w:r w:rsidRPr="00C46E66">
              <w:rPr>
                <w:sz w:val="26"/>
                <w:szCs w:val="26"/>
              </w:rPr>
              <w:lastRenderedPageBreak/>
              <w:t>Ņemts vērā.</w:t>
            </w:r>
          </w:p>
        </w:tc>
        <w:tc>
          <w:tcPr>
            <w:tcW w:w="2552" w:type="dxa"/>
            <w:tcBorders>
              <w:top w:val="single" w:color="auto" w:sz="4" w:space="0"/>
              <w:left w:val="single" w:color="auto" w:sz="4" w:space="0"/>
              <w:bottom w:val="single" w:color="auto" w:sz="4" w:space="0"/>
            </w:tcBorders>
          </w:tcPr>
          <w:p w:rsidRPr="00C46E66" w:rsidR="00E243EB" w:rsidP="00D70D9F" w:rsidRDefault="007810B9">
            <w:pPr>
              <w:pStyle w:val="naisc"/>
              <w:jc w:val="both"/>
              <w:rPr>
                <w:sz w:val="26"/>
                <w:szCs w:val="26"/>
              </w:rPr>
            </w:pPr>
            <w:r w:rsidRPr="00C46E66">
              <w:rPr>
                <w:sz w:val="26"/>
                <w:szCs w:val="26"/>
              </w:rPr>
              <w:t>Papildināts anotācijas I sadaļas 2.</w:t>
            </w:r>
            <w:r w:rsidR="00153D5A">
              <w:rPr>
                <w:sz w:val="26"/>
                <w:szCs w:val="26"/>
              </w:rPr>
              <w:t> </w:t>
            </w:r>
            <w:r w:rsidRPr="00C46E66">
              <w:rPr>
                <w:sz w:val="26"/>
                <w:szCs w:val="26"/>
              </w:rPr>
              <w:t>punkts</w:t>
            </w:r>
            <w:r w:rsidRPr="00C46E66" w:rsidR="0063730C">
              <w:rPr>
                <w:sz w:val="26"/>
                <w:szCs w:val="26"/>
              </w:rPr>
              <w:t>.</w:t>
            </w:r>
          </w:p>
        </w:tc>
      </w:tr>
      <w:tr w:rsidRPr="00C46E66" w:rsidR="0079111F" w:rsidTr="00D70D9F">
        <w:tc>
          <w:tcPr>
            <w:tcW w:w="708" w:type="dxa"/>
            <w:tcBorders>
              <w:left w:val="single" w:color="000000" w:sz="6" w:space="0"/>
              <w:bottom w:val="single" w:color="auto" w:sz="4" w:space="0"/>
              <w:right w:val="single" w:color="000000" w:sz="6" w:space="0"/>
            </w:tcBorders>
          </w:tcPr>
          <w:p w:rsidRPr="00C46E66" w:rsidR="0079111F" w:rsidP="00D70D9F" w:rsidRDefault="00D8662A">
            <w:pPr>
              <w:pStyle w:val="Parastais"/>
              <w:jc w:val="center"/>
              <w:rPr>
                <w:sz w:val="26"/>
                <w:szCs w:val="26"/>
              </w:rPr>
            </w:pPr>
            <w:r w:rsidRPr="00C46E66">
              <w:rPr>
                <w:sz w:val="26"/>
                <w:szCs w:val="26"/>
              </w:rPr>
              <w:t>2.</w:t>
            </w:r>
          </w:p>
        </w:tc>
        <w:tc>
          <w:tcPr>
            <w:tcW w:w="2519" w:type="dxa"/>
            <w:gridSpan w:val="2"/>
            <w:tcBorders>
              <w:left w:val="single" w:color="000000" w:sz="6" w:space="0"/>
              <w:bottom w:val="single" w:color="auto" w:sz="4" w:space="0"/>
              <w:right w:val="single" w:color="000000" w:sz="6" w:space="0"/>
            </w:tcBorders>
          </w:tcPr>
          <w:p w:rsidRPr="00C46E66" w:rsidR="0079111F" w:rsidP="00D70D9F" w:rsidRDefault="0079111F">
            <w:pPr>
              <w:pStyle w:val="Parastais"/>
              <w:ind w:firstLine="720"/>
              <w:jc w:val="both"/>
              <w:rPr>
                <w:sz w:val="26"/>
                <w:szCs w:val="26"/>
              </w:rPr>
            </w:pPr>
          </w:p>
        </w:tc>
        <w:tc>
          <w:tcPr>
            <w:tcW w:w="4961" w:type="dxa"/>
            <w:tcBorders>
              <w:left w:val="single" w:color="000000" w:sz="6" w:space="0"/>
              <w:bottom w:val="single" w:color="auto" w:sz="4" w:space="0"/>
              <w:right w:val="single" w:color="000000" w:sz="6" w:space="0"/>
            </w:tcBorders>
          </w:tcPr>
          <w:p w:rsidRPr="00C46E66" w:rsidR="000C76ED" w:rsidP="00C46E66" w:rsidRDefault="000C76ED">
            <w:pPr>
              <w:pStyle w:val="Parastais"/>
              <w:jc w:val="both"/>
              <w:rPr>
                <w:b/>
                <w:bCs/>
                <w:sz w:val="26"/>
                <w:szCs w:val="26"/>
              </w:rPr>
            </w:pPr>
            <w:r w:rsidRPr="00C46E66">
              <w:rPr>
                <w:b/>
                <w:bCs/>
                <w:sz w:val="26"/>
                <w:szCs w:val="26"/>
              </w:rPr>
              <w:t xml:space="preserve">Iekšlietu ministrija </w:t>
            </w:r>
            <w:r w:rsidRPr="00C46E66">
              <w:rPr>
                <w:sz w:val="26"/>
                <w:szCs w:val="26"/>
              </w:rPr>
              <w:t>(29.05.2019. atzinums Nr.1-57/1250):</w:t>
            </w:r>
          </w:p>
          <w:p w:rsidRPr="00C46E66" w:rsidR="0079111F" w:rsidP="00C46E66" w:rsidRDefault="006D0B60">
            <w:pPr>
              <w:pStyle w:val="Parastais"/>
              <w:ind w:firstLine="461"/>
              <w:jc w:val="both"/>
              <w:rPr>
                <w:sz w:val="26"/>
                <w:szCs w:val="26"/>
              </w:rPr>
            </w:pPr>
            <w:r w:rsidRPr="00C46E66">
              <w:rPr>
                <w:sz w:val="26"/>
                <w:szCs w:val="26"/>
              </w:rPr>
              <w:t xml:space="preserve">Precizēt projekta anotācijas III sadaļu atbilstoši Ministru kabineta 2009.gada 15.decembra instrukcijas Nr.19 “Tiesību akta projekta sākotnējās ietekmes izvērtēšanas kārtība” prasībām (saskaņā ar pievienoto </w:t>
            </w:r>
            <w:r w:rsidRPr="00C46E66">
              <w:rPr>
                <w:sz w:val="26"/>
                <w:szCs w:val="26"/>
              </w:rPr>
              <w:lastRenderedPageBreak/>
              <w:t>pielikumu).</w:t>
            </w:r>
          </w:p>
          <w:p w:rsidRPr="00C46E66" w:rsidR="00C46E66" w:rsidP="00C46E66" w:rsidRDefault="00C46E66">
            <w:pPr>
              <w:pStyle w:val="Parastais"/>
              <w:ind w:firstLine="461"/>
              <w:jc w:val="both"/>
              <w:rPr>
                <w:sz w:val="26"/>
                <w:szCs w:val="26"/>
              </w:rPr>
            </w:pPr>
          </w:p>
          <w:p w:rsidRPr="00C46E66" w:rsidR="00C46E66" w:rsidP="00C46E66" w:rsidRDefault="00C46E66">
            <w:pPr>
              <w:pStyle w:val="Parastais"/>
              <w:ind w:firstLine="461"/>
              <w:jc w:val="both"/>
              <w:rPr>
                <w:sz w:val="26"/>
                <w:szCs w:val="26"/>
              </w:rPr>
            </w:pPr>
          </w:p>
        </w:tc>
        <w:tc>
          <w:tcPr>
            <w:tcW w:w="3402" w:type="dxa"/>
            <w:gridSpan w:val="2"/>
            <w:tcBorders>
              <w:left w:val="single" w:color="000000" w:sz="6" w:space="0"/>
              <w:bottom w:val="single" w:color="auto" w:sz="4" w:space="0"/>
              <w:right w:val="single" w:color="000000" w:sz="6" w:space="0"/>
            </w:tcBorders>
          </w:tcPr>
          <w:p w:rsidRPr="00C46E66" w:rsidR="0079111F" w:rsidP="00D70D9F" w:rsidRDefault="007810B9">
            <w:pPr>
              <w:pStyle w:val="naisc"/>
              <w:spacing w:before="0" w:after="0"/>
              <w:ind w:firstLine="316"/>
              <w:rPr>
                <w:sz w:val="26"/>
                <w:szCs w:val="26"/>
              </w:rPr>
            </w:pPr>
            <w:r w:rsidRPr="00C46E66">
              <w:rPr>
                <w:sz w:val="26"/>
                <w:szCs w:val="26"/>
              </w:rPr>
              <w:lastRenderedPageBreak/>
              <w:t>Ņemts vērā.</w:t>
            </w:r>
          </w:p>
        </w:tc>
        <w:tc>
          <w:tcPr>
            <w:tcW w:w="2552" w:type="dxa"/>
            <w:tcBorders>
              <w:top w:val="single" w:color="auto" w:sz="4" w:space="0"/>
              <w:left w:val="single" w:color="auto" w:sz="4" w:space="0"/>
              <w:bottom w:val="single" w:color="auto" w:sz="4" w:space="0"/>
            </w:tcBorders>
          </w:tcPr>
          <w:p w:rsidRPr="00C46E66" w:rsidR="0079111F" w:rsidP="00D70D9F" w:rsidRDefault="007810B9">
            <w:pPr>
              <w:pStyle w:val="naisc"/>
              <w:jc w:val="both"/>
              <w:rPr>
                <w:sz w:val="26"/>
                <w:szCs w:val="26"/>
              </w:rPr>
            </w:pPr>
            <w:r w:rsidRPr="00C46E66">
              <w:rPr>
                <w:sz w:val="26"/>
                <w:szCs w:val="26"/>
              </w:rPr>
              <w:t>Precizēta anotācijas III</w:t>
            </w:r>
            <w:r w:rsidR="00153D5A">
              <w:rPr>
                <w:sz w:val="26"/>
                <w:szCs w:val="26"/>
              </w:rPr>
              <w:t> </w:t>
            </w:r>
            <w:r w:rsidRPr="00C46E66">
              <w:rPr>
                <w:sz w:val="26"/>
                <w:szCs w:val="26"/>
              </w:rPr>
              <w:t>sadaļa.</w:t>
            </w:r>
          </w:p>
        </w:tc>
      </w:tr>
      <w:tr w:rsidRPr="00C46E66" w:rsidR="00A02F25" w:rsidTr="00D70D9F">
        <w:tc>
          <w:tcPr>
            <w:tcW w:w="708" w:type="dxa"/>
            <w:tcBorders>
              <w:left w:val="single" w:color="000000" w:sz="6" w:space="0"/>
              <w:bottom w:val="single" w:color="auto" w:sz="4" w:space="0"/>
              <w:right w:val="single" w:color="000000" w:sz="6" w:space="0"/>
            </w:tcBorders>
          </w:tcPr>
          <w:p w:rsidRPr="00C46E66" w:rsidR="00A02F25" w:rsidP="00D70D9F" w:rsidRDefault="00A02F25">
            <w:pPr>
              <w:pStyle w:val="Parastais"/>
              <w:jc w:val="center"/>
              <w:rPr>
                <w:sz w:val="26"/>
                <w:szCs w:val="26"/>
              </w:rPr>
            </w:pPr>
            <w:r w:rsidRPr="00C46E66">
              <w:rPr>
                <w:sz w:val="26"/>
                <w:szCs w:val="26"/>
              </w:rPr>
              <w:t>3.</w:t>
            </w:r>
          </w:p>
        </w:tc>
        <w:tc>
          <w:tcPr>
            <w:tcW w:w="2519" w:type="dxa"/>
            <w:gridSpan w:val="2"/>
            <w:tcBorders>
              <w:left w:val="single" w:color="000000" w:sz="6" w:space="0"/>
              <w:bottom w:val="single" w:color="auto" w:sz="4" w:space="0"/>
              <w:right w:val="single" w:color="000000" w:sz="6" w:space="0"/>
            </w:tcBorders>
          </w:tcPr>
          <w:p w:rsidRPr="00C46E66" w:rsidR="00A02F25" w:rsidP="00D70D9F" w:rsidRDefault="00A02F25">
            <w:pPr>
              <w:pStyle w:val="Parastais"/>
              <w:ind w:firstLine="720"/>
              <w:jc w:val="both"/>
              <w:rPr>
                <w:sz w:val="26"/>
                <w:szCs w:val="26"/>
              </w:rPr>
            </w:pPr>
          </w:p>
        </w:tc>
        <w:tc>
          <w:tcPr>
            <w:tcW w:w="4961" w:type="dxa"/>
            <w:tcBorders>
              <w:left w:val="single" w:color="000000" w:sz="6" w:space="0"/>
              <w:bottom w:val="single" w:color="auto" w:sz="4" w:space="0"/>
              <w:right w:val="single" w:color="000000" w:sz="6" w:space="0"/>
            </w:tcBorders>
          </w:tcPr>
          <w:p w:rsidRPr="00C46E66" w:rsidR="00A02F25" w:rsidP="00C46E66" w:rsidRDefault="00A02F25">
            <w:pPr>
              <w:pStyle w:val="Parastais"/>
              <w:jc w:val="both"/>
              <w:rPr>
                <w:b/>
                <w:bCs/>
                <w:sz w:val="26"/>
                <w:szCs w:val="26"/>
              </w:rPr>
            </w:pPr>
            <w:r w:rsidRPr="00C46E66">
              <w:rPr>
                <w:b/>
                <w:sz w:val="26"/>
                <w:szCs w:val="26"/>
              </w:rPr>
              <w:t xml:space="preserve">Iekšlietu ministrija </w:t>
            </w:r>
            <w:r w:rsidRPr="00C46E66">
              <w:rPr>
                <w:sz w:val="26"/>
                <w:szCs w:val="26"/>
              </w:rPr>
              <w:t>(29.05.2019. atzinums Nr.1-57/1250):</w:t>
            </w:r>
          </w:p>
          <w:p w:rsidRPr="00C46E66" w:rsidR="00A02F25" w:rsidP="00A02F25" w:rsidRDefault="00A02F25">
            <w:pPr>
              <w:pStyle w:val="Parastais"/>
              <w:jc w:val="both"/>
              <w:rPr>
                <w:sz w:val="26"/>
                <w:szCs w:val="26"/>
              </w:rPr>
            </w:pPr>
            <w:r w:rsidRPr="00C46E66">
              <w:rPr>
                <w:sz w:val="26"/>
                <w:szCs w:val="26"/>
              </w:rPr>
              <w:t xml:space="preserve">Ievērojot, ka projektam ir finansiāla ietekme uz valsts budžetu, proti, Iekšlietu ministrijai projekta prasību īstenošanai 2020.gadā nepieciešams papildu finansējums 60 404 </w:t>
            </w:r>
            <w:proofErr w:type="spellStart"/>
            <w:r w:rsidRPr="00C46E66">
              <w:rPr>
                <w:i/>
                <w:sz w:val="26"/>
                <w:szCs w:val="26"/>
              </w:rPr>
              <w:t>euro</w:t>
            </w:r>
            <w:proofErr w:type="spellEnd"/>
            <w:r w:rsidRPr="00C46E66">
              <w:rPr>
                <w:sz w:val="26"/>
                <w:szCs w:val="26"/>
              </w:rPr>
              <w:t xml:space="preserve"> apmērā, projektam ir pievienojams Ministru kabineta protokollēmuma projekts, paredzot, ka jautājumu par Iekšlietu ministrijai papildu nepieciešamo finansējumu Vēlētāju reģistra un e-pakalpojuma “Reģistrācija balsošanai pa pastu vēlētājiem, kuri uzturas ārvalstīs” programmatūras pilnveidošanai izskatīt likumprojekta “Par vidēja termiņa budžeta ietvaru 2020., 2021. un 2022. gadam” un likumprojekta “Par valsts budžetu 2020. gadam” sagatavošanas un izskatīšanas procesā kopā ar visu ministriju un citu centrālo valsts iestāžu prioritāro pasākumu pieteikumiem.</w:t>
            </w:r>
          </w:p>
          <w:p w:rsidRPr="00C46E66" w:rsidR="00A02F25" w:rsidP="00D70D9F" w:rsidRDefault="00A02F25">
            <w:pPr>
              <w:pStyle w:val="Parastais"/>
              <w:ind w:firstLine="461"/>
              <w:jc w:val="both"/>
              <w:rPr>
                <w:b/>
                <w:bCs/>
                <w:sz w:val="26"/>
                <w:szCs w:val="26"/>
              </w:rPr>
            </w:pPr>
          </w:p>
        </w:tc>
        <w:tc>
          <w:tcPr>
            <w:tcW w:w="3402" w:type="dxa"/>
            <w:gridSpan w:val="2"/>
            <w:tcBorders>
              <w:left w:val="single" w:color="000000" w:sz="6" w:space="0"/>
              <w:bottom w:val="single" w:color="auto" w:sz="4" w:space="0"/>
              <w:right w:val="single" w:color="000000" w:sz="6" w:space="0"/>
            </w:tcBorders>
          </w:tcPr>
          <w:p w:rsidRPr="00C46E66" w:rsidR="00A02F25" w:rsidP="00D70D9F" w:rsidRDefault="00A02F25">
            <w:pPr>
              <w:pStyle w:val="naisc"/>
              <w:spacing w:before="0" w:after="0"/>
              <w:ind w:firstLine="316"/>
              <w:rPr>
                <w:sz w:val="26"/>
                <w:szCs w:val="26"/>
              </w:rPr>
            </w:pPr>
            <w:r w:rsidRPr="00C46E66">
              <w:rPr>
                <w:sz w:val="26"/>
                <w:szCs w:val="26"/>
              </w:rPr>
              <w:t>Ņemts vērā.</w:t>
            </w:r>
          </w:p>
        </w:tc>
        <w:tc>
          <w:tcPr>
            <w:tcW w:w="2552" w:type="dxa"/>
            <w:tcBorders>
              <w:top w:val="single" w:color="auto" w:sz="4" w:space="0"/>
              <w:left w:val="single" w:color="auto" w:sz="4" w:space="0"/>
              <w:bottom w:val="single" w:color="auto" w:sz="4" w:space="0"/>
            </w:tcBorders>
          </w:tcPr>
          <w:p w:rsidRPr="00C46E66" w:rsidR="00A02F25" w:rsidP="00D70D9F" w:rsidRDefault="00A02F25">
            <w:pPr>
              <w:pStyle w:val="naisc"/>
              <w:jc w:val="both"/>
              <w:rPr>
                <w:sz w:val="26"/>
                <w:szCs w:val="26"/>
              </w:rPr>
            </w:pPr>
            <w:r w:rsidRPr="00C46E66">
              <w:rPr>
                <w:sz w:val="26"/>
                <w:szCs w:val="26"/>
              </w:rPr>
              <w:t xml:space="preserve">Projektam pievienots Ministru kabineta </w:t>
            </w:r>
            <w:r w:rsidR="00153D5A">
              <w:rPr>
                <w:sz w:val="26"/>
                <w:szCs w:val="26"/>
              </w:rPr>
              <w:t xml:space="preserve">sēdes </w:t>
            </w:r>
            <w:r w:rsidRPr="00C46E66">
              <w:rPr>
                <w:sz w:val="26"/>
                <w:szCs w:val="26"/>
              </w:rPr>
              <w:t>protokollēmuma projekts.</w:t>
            </w:r>
          </w:p>
        </w:tc>
      </w:tr>
      <w:tr w:rsidRPr="00C46E66" w:rsidR="00DD4B15" w:rsidTr="00D70D9F">
        <w:tc>
          <w:tcPr>
            <w:tcW w:w="708" w:type="dxa"/>
            <w:tcBorders>
              <w:left w:val="single" w:color="000000" w:sz="6" w:space="0"/>
              <w:bottom w:val="single" w:color="auto" w:sz="4" w:space="0"/>
              <w:right w:val="single" w:color="000000" w:sz="6" w:space="0"/>
            </w:tcBorders>
          </w:tcPr>
          <w:p w:rsidRPr="00C46E66" w:rsidR="00DD4B15" w:rsidP="00D70D9F" w:rsidRDefault="00A02F25">
            <w:pPr>
              <w:pStyle w:val="Parastais"/>
              <w:jc w:val="center"/>
              <w:rPr>
                <w:sz w:val="26"/>
                <w:szCs w:val="26"/>
              </w:rPr>
            </w:pPr>
            <w:r w:rsidRPr="00C46E66">
              <w:rPr>
                <w:sz w:val="26"/>
                <w:szCs w:val="26"/>
              </w:rPr>
              <w:t>4</w:t>
            </w:r>
            <w:r w:rsidRPr="00C46E66" w:rsidR="00DD4B15">
              <w:rPr>
                <w:sz w:val="26"/>
                <w:szCs w:val="26"/>
              </w:rPr>
              <w:t>.</w:t>
            </w:r>
          </w:p>
          <w:p w:rsidRPr="00C46E66" w:rsidR="00DD4B15" w:rsidP="00D70D9F" w:rsidRDefault="00DD4B15">
            <w:pPr>
              <w:pStyle w:val="Parastais"/>
              <w:jc w:val="center"/>
              <w:rPr>
                <w:sz w:val="26"/>
                <w:szCs w:val="26"/>
              </w:rPr>
            </w:pPr>
          </w:p>
          <w:p w:rsidRPr="00C46E66" w:rsidR="00DD4B15" w:rsidP="00D70D9F" w:rsidRDefault="00DD4B15">
            <w:pPr>
              <w:pStyle w:val="Parastais"/>
              <w:jc w:val="center"/>
              <w:rPr>
                <w:sz w:val="26"/>
                <w:szCs w:val="26"/>
              </w:rPr>
            </w:pPr>
          </w:p>
        </w:tc>
        <w:tc>
          <w:tcPr>
            <w:tcW w:w="2519" w:type="dxa"/>
            <w:gridSpan w:val="2"/>
            <w:tcBorders>
              <w:left w:val="single" w:color="000000" w:sz="6" w:space="0"/>
              <w:bottom w:val="single" w:color="auto" w:sz="4" w:space="0"/>
              <w:right w:val="single" w:color="000000" w:sz="6" w:space="0"/>
            </w:tcBorders>
          </w:tcPr>
          <w:p w:rsidRPr="00C46E66" w:rsidR="00DD4B15" w:rsidP="00D70D9F" w:rsidRDefault="00DD4B15">
            <w:pPr>
              <w:pStyle w:val="Parastais"/>
              <w:jc w:val="both"/>
              <w:rPr>
                <w:sz w:val="26"/>
                <w:szCs w:val="26"/>
              </w:rPr>
            </w:pPr>
            <w:r w:rsidRPr="00C46E66">
              <w:rPr>
                <w:sz w:val="26"/>
                <w:szCs w:val="26"/>
              </w:rPr>
              <w:t>3.</w:t>
            </w:r>
            <w:r w:rsidR="00A53C96">
              <w:rPr>
                <w:sz w:val="26"/>
                <w:szCs w:val="26"/>
              </w:rPr>
              <w:t> </w:t>
            </w:r>
            <w:r w:rsidRPr="00C46E66">
              <w:rPr>
                <w:sz w:val="26"/>
                <w:szCs w:val="26"/>
              </w:rPr>
              <w:t>panta otrās daļas 1.</w:t>
            </w:r>
            <w:r w:rsidR="00A53C96">
              <w:rPr>
                <w:sz w:val="26"/>
                <w:szCs w:val="26"/>
              </w:rPr>
              <w:t xml:space="preserve"> </w:t>
            </w:r>
            <w:r w:rsidRPr="00C46E66">
              <w:rPr>
                <w:sz w:val="26"/>
                <w:szCs w:val="26"/>
              </w:rPr>
              <w:t>un 2.</w:t>
            </w:r>
            <w:r w:rsidR="00A53C96">
              <w:rPr>
                <w:sz w:val="26"/>
                <w:szCs w:val="26"/>
              </w:rPr>
              <w:t> </w:t>
            </w:r>
            <w:r w:rsidRPr="00C46E66">
              <w:rPr>
                <w:sz w:val="26"/>
                <w:szCs w:val="26"/>
              </w:rPr>
              <w:t xml:space="preserve">punkts: </w:t>
            </w:r>
          </w:p>
          <w:p w:rsidRPr="00C46E66" w:rsidR="00DD4B15" w:rsidP="00D70D9F" w:rsidRDefault="00DD4B15">
            <w:pPr>
              <w:pStyle w:val="Parastais"/>
              <w:jc w:val="both"/>
              <w:rPr>
                <w:sz w:val="26"/>
                <w:szCs w:val="26"/>
              </w:rPr>
            </w:pPr>
            <w:r w:rsidRPr="00C46E66">
              <w:rPr>
                <w:sz w:val="26"/>
                <w:szCs w:val="26"/>
              </w:rPr>
              <w:t>(2)</w:t>
            </w:r>
            <w:r w:rsidR="00A53C96">
              <w:rPr>
                <w:sz w:val="26"/>
                <w:szCs w:val="26"/>
              </w:rPr>
              <w:t> </w:t>
            </w:r>
            <w:r w:rsidRPr="00C46E66">
              <w:rPr>
                <w:sz w:val="26"/>
                <w:szCs w:val="26"/>
              </w:rPr>
              <w:t>Pieteikumu balsošanai pa pastu vēlētājs iesniedz:</w:t>
            </w:r>
          </w:p>
          <w:p w:rsidRPr="00C46E66" w:rsidR="00DD4B15" w:rsidP="00855243" w:rsidRDefault="00DD4B15">
            <w:pPr>
              <w:pStyle w:val="Parastais"/>
              <w:jc w:val="both"/>
              <w:rPr>
                <w:rStyle w:val="Hipersaite"/>
                <w:sz w:val="26"/>
                <w:szCs w:val="26"/>
              </w:rPr>
            </w:pPr>
            <w:r w:rsidRPr="00C46E66">
              <w:rPr>
                <w:sz w:val="26"/>
                <w:szCs w:val="26"/>
              </w:rPr>
              <w:t>1)</w:t>
            </w:r>
            <w:r w:rsidR="00A53C96">
              <w:rPr>
                <w:sz w:val="26"/>
                <w:szCs w:val="26"/>
              </w:rPr>
              <w:t> </w:t>
            </w:r>
            <w:r w:rsidRPr="00C46E66">
              <w:rPr>
                <w:sz w:val="26"/>
                <w:szCs w:val="26"/>
              </w:rPr>
              <w:t xml:space="preserve">izmantojot Valsts </w:t>
            </w:r>
            <w:r w:rsidRPr="00C46E66">
              <w:rPr>
                <w:sz w:val="26"/>
                <w:szCs w:val="26"/>
              </w:rPr>
              <w:lastRenderedPageBreak/>
              <w:t xml:space="preserve">pārvaldes pakalpojumu portālā </w:t>
            </w:r>
            <w:hyperlink w:history="1" r:id="rId8">
              <w:r w:rsidRPr="00C46E66">
                <w:rPr>
                  <w:rStyle w:val="Hipersaite"/>
                  <w:sz w:val="26"/>
                  <w:szCs w:val="26"/>
                </w:rPr>
                <w:t>www.latvija.lv</w:t>
              </w:r>
            </w:hyperlink>
            <w:r w:rsidRPr="00C46E66">
              <w:rPr>
                <w:sz w:val="26"/>
                <w:szCs w:val="26"/>
              </w:rPr>
              <w:t xml:space="preserve"> vai Pilsonības un migrācijas lietu pārvaldes oficiālo tīmekļvietni </w:t>
            </w:r>
            <w:hyperlink w:history="1" r:id="rId9">
              <w:r w:rsidRPr="00C46E66">
                <w:rPr>
                  <w:rStyle w:val="Hipersaite"/>
                  <w:sz w:val="26"/>
                  <w:szCs w:val="26"/>
                </w:rPr>
                <w:t>www.pmlp.gov.lv</w:t>
              </w:r>
            </w:hyperlink>
            <w:r w:rsidRPr="00C46E66">
              <w:rPr>
                <w:rStyle w:val="Hipersaite"/>
                <w:sz w:val="26"/>
                <w:szCs w:val="26"/>
              </w:rPr>
              <w:t>;</w:t>
            </w:r>
          </w:p>
          <w:p w:rsidRPr="00C46E66" w:rsidR="00DD4B15" w:rsidP="00855243" w:rsidRDefault="00DD4B15">
            <w:pPr>
              <w:pStyle w:val="Parastais"/>
              <w:jc w:val="both"/>
              <w:rPr>
                <w:sz w:val="26"/>
                <w:szCs w:val="26"/>
              </w:rPr>
            </w:pPr>
            <w:r w:rsidRPr="00C46E66">
              <w:rPr>
                <w:sz w:val="26"/>
                <w:szCs w:val="26"/>
              </w:rPr>
              <w:t>2)</w:t>
            </w:r>
            <w:r w:rsidR="00A53C96">
              <w:rPr>
                <w:sz w:val="26"/>
                <w:szCs w:val="26"/>
              </w:rPr>
              <w:t> </w:t>
            </w:r>
            <w:r w:rsidRPr="00C46E66">
              <w:rPr>
                <w:sz w:val="26"/>
                <w:szCs w:val="26"/>
              </w:rPr>
              <w:t>izmantojot oficiālajā tīmekļvietnē pieejamo bezmaksas elektronisko pakalpojumu;</w:t>
            </w:r>
          </w:p>
          <w:p w:rsidRPr="00C46E66" w:rsidR="00855243" w:rsidP="00855243" w:rsidRDefault="00855243">
            <w:pPr>
              <w:pStyle w:val="Parastais"/>
              <w:ind w:right="-199"/>
              <w:jc w:val="both"/>
              <w:rPr>
                <w:sz w:val="26"/>
                <w:szCs w:val="26"/>
              </w:rPr>
            </w:pPr>
            <w:r w:rsidRPr="00C46E66">
              <w:rPr>
                <w:sz w:val="26"/>
                <w:szCs w:val="26"/>
              </w:rPr>
              <w:t>3)</w:t>
            </w:r>
            <w:r w:rsidR="00A53C96">
              <w:rPr>
                <w:sz w:val="26"/>
                <w:szCs w:val="26"/>
              </w:rPr>
              <w:t> </w:t>
            </w:r>
            <w:r w:rsidRPr="00C46E66">
              <w:rPr>
                <w:sz w:val="26"/>
                <w:szCs w:val="26"/>
              </w:rPr>
              <w:t>Centrālās vēlēšanu komisijas noteiktajās Latvijas Republikas diplomātiskajās vai konsulārajās pārstāvniecībās, ierodoties personiski vai nosūtot to pa pastu. Latvijas Republikas diplomātiskā vai konsulārā pārstāvniecība nosūta vēlētāju pieteikumus Centrālajai vēlēšanu komisijai;</w:t>
            </w:r>
          </w:p>
          <w:p w:rsidRPr="00C46E66" w:rsidR="00855243" w:rsidP="00855243" w:rsidRDefault="00855243">
            <w:pPr>
              <w:pStyle w:val="Parastais"/>
              <w:ind w:right="-199"/>
              <w:jc w:val="both"/>
              <w:rPr>
                <w:sz w:val="26"/>
                <w:szCs w:val="26"/>
              </w:rPr>
            </w:pPr>
            <w:r w:rsidRPr="00C46E66">
              <w:rPr>
                <w:sz w:val="26"/>
                <w:szCs w:val="26"/>
              </w:rPr>
              <w:t>4)</w:t>
            </w:r>
            <w:r w:rsidR="00A53C96">
              <w:rPr>
                <w:sz w:val="26"/>
                <w:szCs w:val="26"/>
              </w:rPr>
              <w:t> </w:t>
            </w:r>
            <w:r w:rsidRPr="00C46E66">
              <w:rPr>
                <w:sz w:val="26"/>
                <w:szCs w:val="26"/>
              </w:rPr>
              <w:t xml:space="preserve">nosūtot pa pastu </w:t>
            </w:r>
            <w:r w:rsidRPr="00C46E66">
              <w:rPr>
                <w:sz w:val="26"/>
                <w:szCs w:val="26"/>
              </w:rPr>
              <w:lastRenderedPageBreak/>
              <w:t>Centrālajai vēlēšanu komisijai.</w:t>
            </w:r>
          </w:p>
          <w:p w:rsidRPr="00C46E66" w:rsidR="00855243" w:rsidP="00855243" w:rsidRDefault="00855243">
            <w:pPr>
              <w:pStyle w:val="Parastais"/>
              <w:jc w:val="both"/>
              <w:rPr>
                <w:sz w:val="26"/>
                <w:szCs w:val="26"/>
              </w:rPr>
            </w:pPr>
          </w:p>
          <w:p w:rsidRPr="00C46E66" w:rsidR="00DD4B15" w:rsidP="00D70D9F" w:rsidRDefault="00DD4B15">
            <w:pPr>
              <w:pStyle w:val="Parastais"/>
              <w:ind w:firstLine="567"/>
              <w:jc w:val="both"/>
              <w:rPr>
                <w:sz w:val="26"/>
                <w:szCs w:val="26"/>
              </w:rPr>
            </w:pPr>
          </w:p>
          <w:p w:rsidRPr="00C46E66" w:rsidR="00DD4B15" w:rsidP="00D70D9F" w:rsidRDefault="00DD4B15">
            <w:pPr>
              <w:pStyle w:val="Parastais"/>
              <w:ind w:firstLine="720"/>
              <w:jc w:val="both"/>
              <w:rPr>
                <w:sz w:val="26"/>
                <w:szCs w:val="26"/>
              </w:rPr>
            </w:pPr>
          </w:p>
        </w:tc>
        <w:tc>
          <w:tcPr>
            <w:tcW w:w="4961" w:type="dxa"/>
            <w:tcBorders>
              <w:left w:val="single" w:color="000000" w:sz="6" w:space="0"/>
              <w:bottom w:val="single" w:color="auto" w:sz="4" w:space="0"/>
              <w:right w:val="single" w:color="000000" w:sz="6" w:space="0"/>
            </w:tcBorders>
          </w:tcPr>
          <w:p w:rsidRPr="00C46E66" w:rsidR="000C76ED" w:rsidP="00855243" w:rsidRDefault="000C76ED">
            <w:pPr>
              <w:pStyle w:val="Sarakstarindkopa"/>
              <w:spacing w:after="0" w:line="240" w:lineRule="auto"/>
              <w:ind w:left="0"/>
              <w:jc w:val="both"/>
              <w:rPr>
                <w:rFonts w:ascii="Times New Roman" w:hAnsi="Times New Roman"/>
                <w:sz w:val="26"/>
                <w:szCs w:val="26"/>
              </w:rPr>
            </w:pPr>
            <w:r w:rsidRPr="00C46E66">
              <w:rPr>
                <w:rFonts w:ascii="Times New Roman" w:hAnsi="Times New Roman"/>
                <w:b/>
                <w:bCs/>
                <w:sz w:val="26"/>
                <w:szCs w:val="26"/>
              </w:rPr>
              <w:lastRenderedPageBreak/>
              <w:t>Iekšlietu ministrija</w:t>
            </w:r>
            <w:r w:rsidRPr="00C46E66">
              <w:rPr>
                <w:rFonts w:ascii="Times New Roman" w:hAnsi="Times New Roman"/>
                <w:sz w:val="26"/>
                <w:szCs w:val="26"/>
              </w:rPr>
              <w:t xml:space="preserve"> (26.06.2019. atzinums Nr.1-57/1481):</w:t>
            </w:r>
          </w:p>
          <w:p w:rsidRPr="00C46E66" w:rsidR="00DD4B15" w:rsidP="00855243" w:rsidRDefault="00DD4B15">
            <w:pPr>
              <w:pStyle w:val="Sarakstarindkopa"/>
              <w:spacing w:after="0" w:line="240" w:lineRule="auto"/>
              <w:ind w:left="0"/>
              <w:jc w:val="both"/>
              <w:rPr>
                <w:rFonts w:ascii="Times New Roman" w:hAnsi="Times New Roman"/>
                <w:sz w:val="26"/>
                <w:szCs w:val="26"/>
              </w:rPr>
            </w:pPr>
            <w:r w:rsidRPr="00C46E66">
              <w:rPr>
                <w:rFonts w:ascii="Times New Roman" w:hAnsi="Times New Roman"/>
                <w:sz w:val="26"/>
                <w:szCs w:val="26"/>
              </w:rPr>
              <w:t>Izteikt Projekta 3.panta otro daļu (Republikas pilsētas domes un novada domes vēlēšanu likuma (turpmāk – Likums) 33.</w:t>
            </w:r>
            <w:r w:rsidRPr="00C46E66">
              <w:rPr>
                <w:rFonts w:ascii="Times New Roman" w:hAnsi="Times New Roman"/>
                <w:sz w:val="26"/>
                <w:szCs w:val="26"/>
                <w:vertAlign w:val="superscript"/>
              </w:rPr>
              <w:t xml:space="preserve">1 </w:t>
            </w:r>
            <w:r w:rsidRPr="00C46E66">
              <w:rPr>
                <w:rFonts w:ascii="Times New Roman" w:hAnsi="Times New Roman"/>
                <w:sz w:val="26"/>
                <w:szCs w:val="26"/>
              </w:rPr>
              <w:t>panta otro daļu) šādā redakcijā:</w:t>
            </w:r>
          </w:p>
          <w:p w:rsidRPr="00C46E66" w:rsidR="00DD4B15" w:rsidP="00855243" w:rsidRDefault="00855243">
            <w:pPr>
              <w:pStyle w:val="Sarakstarindkopa"/>
              <w:spacing w:after="0" w:line="240" w:lineRule="auto"/>
              <w:ind w:left="0"/>
              <w:jc w:val="both"/>
              <w:rPr>
                <w:rFonts w:ascii="Times New Roman" w:hAnsi="Times New Roman"/>
                <w:sz w:val="26"/>
                <w:szCs w:val="26"/>
              </w:rPr>
            </w:pPr>
            <w:r w:rsidRPr="00C46E66">
              <w:rPr>
                <w:rFonts w:ascii="Times New Roman" w:hAnsi="Times New Roman"/>
                <w:sz w:val="26"/>
                <w:szCs w:val="26"/>
              </w:rPr>
              <w:lastRenderedPageBreak/>
              <w:t>"</w:t>
            </w:r>
            <w:r w:rsidRPr="00C46E66" w:rsidR="00DD4B15">
              <w:rPr>
                <w:rFonts w:ascii="Times New Roman" w:hAnsi="Times New Roman"/>
                <w:sz w:val="26"/>
                <w:szCs w:val="26"/>
              </w:rPr>
              <w:t>(2) Pieteikumu balsošanai pa pastu vēlētājs iesniedz:</w:t>
            </w:r>
          </w:p>
          <w:p w:rsidRPr="00C46E66" w:rsidR="00DD4B15" w:rsidP="00855243" w:rsidRDefault="00DD4B15">
            <w:pPr>
              <w:pStyle w:val="Sarakstarindkopa"/>
              <w:spacing w:after="0" w:line="240" w:lineRule="auto"/>
              <w:ind w:left="0"/>
              <w:jc w:val="both"/>
              <w:rPr>
                <w:rFonts w:ascii="Times New Roman" w:hAnsi="Times New Roman"/>
                <w:sz w:val="26"/>
                <w:szCs w:val="26"/>
              </w:rPr>
            </w:pPr>
            <w:r w:rsidRPr="00C46E66">
              <w:rPr>
                <w:rFonts w:ascii="Times New Roman" w:hAnsi="Times New Roman"/>
                <w:sz w:val="26"/>
                <w:szCs w:val="26"/>
              </w:rPr>
              <w:t xml:space="preserve">1) izmantojot Valsts pārvaldes pakalpojumu portālā </w:t>
            </w:r>
            <w:hyperlink w:history="1" r:id="rId10">
              <w:r w:rsidRPr="00C46E66">
                <w:rPr>
                  <w:rStyle w:val="Hipersaite"/>
                  <w:rFonts w:ascii="Times New Roman" w:hAnsi="Times New Roman"/>
                  <w:sz w:val="26"/>
                  <w:szCs w:val="26"/>
                </w:rPr>
                <w:t>www.latvija.lv</w:t>
              </w:r>
            </w:hyperlink>
            <w:r w:rsidRPr="00C46E66">
              <w:rPr>
                <w:rFonts w:ascii="Times New Roman" w:hAnsi="Times New Roman"/>
                <w:sz w:val="26"/>
                <w:szCs w:val="26"/>
              </w:rPr>
              <w:t xml:space="preserve"> vai Pilsonības un migrācijas lietu pārvaldes oficiālajā tīmekļvietnē pieejamo bezmaksas elektronisko pakalpojumu;</w:t>
            </w:r>
          </w:p>
          <w:p w:rsidRPr="00C46E66" w:rsidR="00DD4B15" w:rsidP="00855243" w:rsidRDefault="00DD4B15">
            <w:pPr>
              <w:pStyle w:val="Sarakstarindkopa"/>
              <w:spacing w:after="0" w:line="240" w:lineRule="auto"/>
              <w:ind w:left="0"/>
              <w:jc w:val="both"/>
              <w:rPr>
                <w:rFonts w:ascii="Times New Roman" w:hAnsi="Times New Roman"/>
                <w:sz w:val="26"/>
                <w:szCs w:val="26"/>
              </w:rPr>
            </w:pPr>
            <w:r w:rsidRPr="00C46E66">
              <w:rPr>
                <w:rFonts w:ascii="Times New Roman" w:hAnsi="Times New Roman"/>
                <w:sz w:val="26"/>
                <w:szCs w:val="26"/>
              </w:rPr>
              <w:t>2) izmantojot oficiālo elektronisko adresi;</w:t>
            </w:r>
          </w:p>
          <w:p w:rsidRPr="00C46E66" w:rsidR="00DD4B15" w:rsidP="00855243" w:rsidRDefault="00DD4B15">
            <w:pPr>
              <w:pStyle w:val="Parastais"/>
              <w:ind w:right="-1"/>
              <w:jc w:val="both"/>
              <w:rPr>
                <w:sz w:val="26"/>
                <w:szCs w:val="26"/>
              </w:rPr>
            </w:pPr>
            <w:r w:rsidRPr="00C46E66">
              <w:rPr>
                <w:sz w:val="26"/>
                <w:szCs w:val="26"/>
              </w:rPr>
              <w:t>3) Centrālās vēlēšanu komisijas noteiktajās Latvijas Republikas diplomātiskajās vai konsulārajās pārstāvniecībās, ierodoties personiski vai nosūtot to pa pastu. Latvijas Republikas diplomātiskā vai konsulārā pārstāvniecība nosūta vēlētāju pieteikumus Centrālajai vēlēšanu komisijai;</w:t>
            </w:r>
          </w:p>
          <w:p w:rsidRPr="00C46E66" w:rsidR="00DD4B15" w:rsidP="00855243" w:rsidRDefault="00DD4B15">
            <w:pPr>
              <w:pStyle w:val="Sarakstarindkopa"/>
              <w:spacing w:after="0" w:line="240" w:lineRule="auto"/>
              <w:ind w:left="0"/>
              <w:jc w:val="both"/>
              <w:rPr>
                <w:rFonts w:ascii="Times New Roman" w:hAnsi="Times New Roman"/>
                <w:sz w:val="26"/>
                <w:szCs w:val="26"/>
              </w:rPr>
            </w:pPr>
            <w:r w:rsidRPr="00C46E66">
              <w:rPr>
                <w:rFonts w:ascii="Times New Roman" w:hAnsi="Times New Roman"/>
                <w:sz w:val="26"/>
                <w:szCs w:val="26"/>
              </w:rPr>
              <w:t>4) nosūtot pa pastu Centrālajai vēlēšanu komisijai.</w:t>
            </w:r>
            <w:r w:rsidRPr="00C46E66" w:rsidR="00855243">
              <w:rPr>
                <w:rFonts w:ascii="Times New Roman" w:hAnsi="Times New Roman"/>
                <w:sz w:val="26"/>
                <w:szCs w:val="26"/>
              </w:rPr>
              <w:t>"</w:t>
            </w:r>
          </w:p>
          <w:p w:rsidRPr="00C46E66" w:rsidR="00DD4B15" w:rsidP="00855243" w:rsidRDefault="00DD4B15">
            <w:pPr>
              <w:pStyle w:val="Parastais"/>
              <w:jc w:val="both"/>
              <w:rPr>
                <w:sz w:val="26"/>
                <w:szCs w:val="26"/>
              </w:rPr>
            </w:pPr>
            <w:r w:rsidRPr="00C46E66">
              <w:rPr>
                <w:sz w:val="26"/>
                <w:szCs w:val="26"/>
              </w:rPr>
              <w:t>Tādējādi precizējot Likuma 33.</w:t>
            </w:r>
            <w:r w:rsidRPr="00C46E66">
              <w:rPr>
                <w:sz w:val="26"/>
                <w:szCs w:val="26"/>
                <w:vertAlign w:val="superscript"/>
              </w:rPr>
              <w:t xml:space="preserve">1 </w:t>
            </w:r>
            <w:r w:rsidRPr="00C46E66">
              <w:rPr>
                <w:sz w:val="26"/>
                <w:szCs w:val="26"/>
              </w:rPr>
              <w:t xml:space="preserve">panta otrās daļas 1.punktā lietoto terminoloģiju atbilstoši citos normatīvajos aktos lietotajai – Ministru kabineta 2017.gada 4.jūlija noteikumi Nr.400 “Valsts pārvaldes pakalpojumu portāla noteikumi” un Ministru kabineta 2018.gada 25.septembra noteikumi Nr.611 “Kārtība, kādā iestādes ievieto informāciju internetā”. </w:t>
            </w:r>
          </w:p>
          <w:p w:rsidRPr="00C46E66" w:rsidR="00DD4B15" w:rsidP="00855243" w:rsidRDefault="00DD4B15">
            <w:pPr>
              <w:pStyle w:val="Parastais"/>
              <w:jc w:val="both"/>
              <w:rPr>
                <w:sz w:val="26"/>
                <w:szCs w:val="26"/>
              </w:rPr>
            </w:pPr>
            <w:r w:rsidRPr="00C46E66">
              <w:rPr>
                <w:sz w:val="26"/>
                <w:szCs w:val="26"/>
              </w:rPr>
              <w:t xml:space="preserve">Savukārt, ņemot vērā to, ka no sākotnējās ietekmes novērtējuma ziņojuma (anotācijas) secināms, ka pieteikumu varēs iesniegt, izmantojot oficiālo elektronisko adresi, nepieciešams attiecīgi precizēt Projektā </w:t>
            </w:r>
            <w:r w:rsidRPr="00C46E66">
              <w:rPr>
                <w:sz w:val="26"/>
                <w:szCs w:val="26"/>
              </w:rPr>
              <w:lastRenderedPageBreak/>
              <w:t>ietverto Likuma 33.</w:t>
            </w:r>
            <w:r w:rsidRPr="00C46E66">
              <w:rPr>
                <w:sz w:val="26"/>
                <w:szCs w:val="26"/>
                <w:vertAlign w:val="superscript"/>
              </w:rPr>
              <w:t xml:space="preserve">1 </w:t>
            </w:r>
            <w:r w:rsidRPr="00C46E66">
              <w:rPr>
                <w:sz w:val="26"/>
                <w:szCs w:val="26"/>
              </w:rPr>
              <w:t>panta otrās daļas 2.punktu.</w:t>
            </w:r>
          </w:p>
          <w:p w:rsidRPr="00C46E66" w:rsidR="00DD4B15" w:rsidP="00855243" w:rsidRDefault="00DD4B15">
            <w:pPr>
              <w:pStyle w:val="Parastais"/>
              <w:ind w:firstLine="461"/>
              <w:jc w:val="both"/>
              <w:rPr>
                <w:sz w:val="26"/>
                <w:szCs w:val="26"/>
              </w:rPr>
            </w:pPr>
          </w:p>
        </w:tc>
        <w:tc>
          <w:tcPr>
            <w:tcW w:w="3402" w:type="dxa"/>
            <w:gridSpan w:val="2"/>
            <w:tcBorders>
              <w:left w:val="single" w:color="000000" w:sz="6" w:space="0"/>
              <w:bottom w:val="single" w:color="auto" w:sz="4" w:space="0"/>
              <w:right w:val="single" w:color="000000" w:sz="6" w:space="0"/>
            </w:tcBorders>
          </w:tcPr>
          <w:p w:rsidRPr="00C46E66" w:rsidR="00DD4B15" w:rsidP="00D70D9F" w:rsidRDefault="00DD4B15">
            <w:pPr>
              <w:pStyle w:val="naisc"/>
              <w:spacing w:before="0" w:after="0"/>
              <w:ind w:firstLine="316"/>
              <w:rPr>
                <w:sz w:val="26"/>
                <w:szCs w:val="26"/>
              </w:rPr>
            </w:pPr>
            <w:r w:rsidRPr="00C46E66">
              <w:rPr>
                <w:sz w:val="26"/>
                <w:szCs w:val="26"/>
              </w:rPr>
              <w:lastRenderedPageBreak/>
              <w:t>Ņemts vērā.</w:t>
            </w:r>
          </w:p>
        </w:tc>
        <w:tc>
          <w:tcPr>
            <w:tcW w:w="2552" w:type="dxa"/>
            <w:tcBorders>
              <w:top w:val="single" w:color="auto" w:sz="4" w:space="0"/>
              <w:left w:val="single" w:color="auto" w:sz="4" w:space="0"/>
              <w:bottom w:val="single" w:color="auto" w:sz="4" w:space="0"/>
            </w:tcBorders>
          </w:tcPr>
          <w:p w:rsidRPr="00C46E66" w:rsidR="00DD4B15" w:rsidP="00855243" w:rsidRDefault="00153D5A">
            <w:pPr>
              <w:pStyle w:val="naisc"/>
              <w:jc w:val="both"/>
              <w:rPr>
                <w:sz w:val="26"/>
                <w:szCs w:val="26"/>
              </w:rPr>
            </w:pPr>
            <w:r>
              <w:rPr>
                <w:sz w:val="26"/>
                <w:szCs w:val="26"/>
              </w:rPr>
              <w:t xml:space="preserve">Likumprojekta </w:t>
            </w:r>
            <w:r w:rsidRPr="00C46E66" w:rsidR="00DD4B15">
              <w:rPr>
                <w:sz w:val="26"/>
                <w:szCs w:val="26"/>
              </w:rPr>
              <w:t>3.</w:t>
            </w:r>
            <w:r>
              <w:rPr>
                <w:sz w:val="26"/>
                <w:szCs w:val="26"/>
              </w:rPr>
              <w:t> </w:t>
            </w:r>
            <w:r w:rsidRPr="00C46E66" w:rsidR="00DD4B15">
              <w:rPr>
                <w:sz w:val="26"/>
                <w:szCs w:val="26"/>
              </w:rPr>
              <w:t>pant</w:t>
            </w:r>
            <w:r>
              <w:rPr>
                <w:sz w:val="26"/>
                <w:szCs w:val="26"/>
              </w:rPr>
              <w:t>s (likuma 33.</w:t>
            </w:r>
            <w:r>
              <w:rPr>
                <w:sz w:val="26"/>
                <w:szCs w:val="26"/>
                <w:vertAlign w:val="superscript"/>
              </w:rPr>
              <w:t>1 </w:t>
            </w:r>
            <w:r>
              <w:rPr>
                <w:sz w:val="26"/>
                <w:szCs w:val="26"/>
              </w:rPr>
              <w:t>panta</w:t>
            </w:r>
            <w:r w:rsidRPr="00C46E66" w:rsidR="00DD4B15">
              <w:rPr>
                <w:sz w:val="26"/>
                <w:szCs w:val="26"/>
              </w:rPr>
              <w:t xml:space="preserve"> otrā daļa</w:t>
            </w:r>
            <w:r>
              <w:rPr>
                <w:sz w:val="26"/>
                <w:szCs w:val="26"/>
              </w:rPr>
              <w:t>)</w:t>
            </w:r>
            <w:r w:rsidRPr="00C46E66" w:rsidR="00855243">
              <w:rPr>
                <w:sz w:val="26"/>
                <w:szCs w:val="26"/>
              </w:rPr>
              <w:t>:</w:t>
            </w:r>
          </w:p>
          <w:p w:rsidRPr="00C46E66" w:rsidR="00DD4B15" w:rsidP="00855243" w:rsidRDefault="00DD4B15">
            <w:pPr>
              <w:pStyle w:val="Sarakstarindkopa"/>
              <w:spacing w:after="0" w:line="240" w:lineRule="auto"/>
              <w:ind w:left="0"/>
              <w:jc w:val="both"/>
              <w:rPr>
                <w:rFonts w:ascii="Times New Roman" w:hAnsi="Times New Roman"/>
                <w:sz w:val="26"/>
                <w:szCs w:val="26"/>
              </w:rPr>
            </w:pPr>
            <w:r w:rsidRPr="00C46E66">
              <w:rPr>
                <w:rFonts w:ascii="Times New Roman" w:hAnsi="Times New Roman"/>
                <w:sz w:val="26"/>
                <w:szCs w:val="26"/>
              </w:rPr>
              <w:t>(2)</w:t>
            </w:r>
            <w:r w:rsidR="00A53C96">
              <w:rPr>
                <w:rFonts w:ascii="Times New Roman" w:hAnsi="Times New Roman"/>
                <w:sz w:val="26"/>
                <w:szCs w:val="26"/>
              </w:rPr>
              <w:t> </w:t>
            </w:r>
            <w:r w:rsidRPr="00C46E66">
              <w:rPr>
                <w:rFonts w:ascii="Times New Roman" w:hAnsi="Times New Roman"/>
                <w:sz w:val="26"/>
                <w:szCs w:val="26"/>
              </w:rPr>
              <w:t xml:space="preserve">Pieteikumu balsošanai pa pastu </w:t>
            </w:r>
            <w:r w:rsidRPr="00C46E66">
              <w:rPr>
                <w:rFonts w:ascii="Times New Roman" w:hAnsi="Times New Roman"/>
                <w:sz w:val="26"/>
                <w:szCs w:val="26"/>
              </w:rPr>
              <w:lastRenderedPageBreak/>
              <w:t>vēlētājs iesniedz:</w:t>
            </w:r>
          </w:p>
          <w:p w:rsidRPr="00C46E66" w:rsidR="00DD4B15" w:rsidP="00855243" w:rsidRDefault="00DD4B15">
            <w:pPr>
              <w:pStyle w:val="Sarakstarindkopa"/>
              <w:spacing w:after="0" w:line="240" w:lineRule="auto"/>
              <w:ind w:left="0"/>
              <w:jc w:val="both"/>
              <w:rPr>
                <w:rFonts w:ascii="Times New Roman" w:hAnsi="Times New Roman"/>
                <w:sz w:val="26"/>
                <w:szCs w:val="26"/>
              </w:rPr>
            </w:pPr>
            <w:r w:rsidRPr="00C46E66">
              <w:rPr>
                <w:rFonts w:ascii="Times New Roman" w:hAnsi="Times New Roman"/>
                <w:sz w:val="26"/>
                <w:szCs w:val="26"/>
              </w:rPr>
              <w:t>1)</w:t>
            </w:r>
            <w:r w:rsidR="00A53C96">
              <w:rPr>
                <w:rFonts w:ascii="Times New Roman" w:hAnsi="Times New Roman"/>
                <w:sz w:val="26"/>
                <w:szCs w:val="26"/>
              </w:rPr>
              <w:t> </w:t>
            </w:r>
            <w:r w:rsidRPr="00C46E66">
              <w:rPr>
                <w:rFonts w:ascii="Times New Roman" w:hAnsi="Times New Roman"/>
                <w:sz w:val="26"/>
                <w:szCs w:val="26"/>
              </w:rPr>
              <w:t xml:space="preserve">izmantojot Valsts pārvaldes pakalpojumu portālā </w:t>
            </w:r>
            <w:hyperlink w:history="1" r:id="rId11">
              <w:r w:rsidRPr="00C46E66">
                <w:rPr>
                  <w:rStyle w:val="Hipersaite"/>
                  <w:rFonts w:ascii="Times New Roman" w:hAnsi="Times New Roman"/>
                  <w:sz w:val="26"/>
                  <w:szCs w:val="26"/>
                </w:rPr>
                <w:t>www.latvija.lv</w:t>
              </w:r>
            </w:hyperlink>
            <w:r w:rsidRPr="00C46E66">
              <w:rPr>
                <w:rFonts w:ascii="Times New Roman" w:hAnsi="Times New Roman"/>
                <w:sz w:val="26"/>
                <w:szCs w:val="26"/>
              </w:rPr>
              <w:t xml:space="preserve"> vai Pilsonības un migrācijas lietu pārvaldes oficiālajā tīmekļvietnē pieejamo bezmaksas elektronisko pakalpojumu;</w:t>
            </w:r>
          </w:p>
          <w:p w:rsidRPr="00C46E66" w:rsidR="00DD4B15" w:rsidP="00855243" w:rsidRDefault="00DD4B15">
            <w:pPr>
              <w:pStyle w:val="Sarakstarindkopa"/>
              <w:spacing w:after="0" w:line="240" w:lineRule="auto"/>
              <w:ind w:left="0"/>
              <w:jc w:val="both"/>
              <w:rPr>
                <w:rFonts w:ascii="Times New Roman" w:hAnsi="Times New Roman"/>
                <w:sz w:val="26"/>
                <w:szCs w:val="26"/>
              </w:rPr>
            </w:pPr>
            <w:r w:rsidRPr="00C46E66">
              <w:rPr>
                <w:rFonts w:ascii="Times New Roman" w:hAnsi="Times New Roman"/>
                <w:sz w:val="26"/>
                <w:szCs w:val="26"/>
              </w:rPr>
              <w:t>2)</w:t>
            </w:r>
            <w:r w:rsidR="00A53C96">
              <w:rPr>
                <w:rFonts w:ascii="Times New Roman" w:hAnsi="Times New Roman"/>
                <w:sz w:val="26"/>
                <w:szCs w:val="26"/>
              </w:rPr>
              <w:t> </w:t>
            </w:r>
            <w:r w:rsidRPr="00C46E66">
              <w:rPr>
                <w:rFonts w:ascii="Times New Roman" w:hAnsi="Times New Roman"/>
                <w:sz w:val="26"/>
                <w:szCs w:val="26"/>
              </w:rPr>
              <w:t>izmantojot oficiālo elektronisko adresi;</w:t>
            </w:r>
          </w:p>
          <w:p w:rsidRPr="00C46E66" w:rsidR="00855243" w:rsidP="00153D5A" w:rsidRDefault="00855243">
            <w:pPr>
              <w:pStyle w:val="Parastais"/>
              <w:jc w:val="both"/>
              <w:rPr>
                <w:sz w:val="26"/>
                <w:szCs w:val="26"/>
              </w:rPr>
            </w:pPr>
            <w:r w:rsidRPr="00C46E66">
              <w:rPr>
                <w:sz w:val="26"/>
                <w:szCs w:val="26"/>
              </w:rPr>
              <w:t>3)</w:t>
            </w:r>
            <w:r w:rsidR="00A53C96">
              <w:rPr>
                <w:sz w:val="26"/>
                <w:szCs w:val="26"/>
              </w:rPr>
              <w:t> </w:t>
            </w:r>
            <w:r w:rsidRPr="00C46E66">
              <w:rPr>
                <w:sz w:val="26"/>
                <w:szCs w:val="26"/>
              </w:rPr>
              <w:t xml:space="preserve">Centrālās vēlēšanu komisijas noteiktajās Latvijas Republikas diplomātiskajās vai konsulārajās pārstāvniecībās, ierodoties personiski vai nosūtot </w:t>
            </w:r>
            <w:r w:rsidR="008F2AC3">
              <w:rPr>
                <w:sz w:val="26"/>
                <w:szCs w:val="26"/>
              </w:rPr>
              <w:t>pieteikumu</w:t>
            </w:r>
            <w:r w:rsidRPr="00C46E66">
              <w:rPr>
                <w:sz w:val="26"/>
                <w:szCs w:val="26"/>
              </w:rPr>
              <w:t xml:space="preserve"> pa pastu. Latvijas Republikas diplomātiskā vai konsulārā pārstāvniecība nosūta vēlētāj</w:t>
            </w:r>
            <w:r w:rsidR="008F2AC3">
              <w:rPr>
                <w:sz w:val="26"/>
                <w:szCs w:val="26"/>
              </w:rPr>
              <w:t>a</w:t>
            </w:r>
            <w:r w:rsidRPr="00C46E66">
              <w:rPr>
                <w:sz w:val="26"/>
                <w:szCs w:val="26"/>
              </w:rPr>
              <w:t xml:space="preserve"> pieteikumu Centrālajai vēlēšanu komisijai;</w:t>
            </w:r>
          </w:p>
          <w:p w:rsidRPr="00C46E66" w:rsidR="00855243" w:rsidP="00153D5A" w:rsidRDefault="00855243">
            <w:pPr>
              <w:pStyle w:val="Parastais"/>
              <w:jc w:val="both"/>
              <w:rPr>
                <w:sz w:val="26"/>
                <w:szCs w:val="26"/>
              </w:rPr>
            </w:pPr>
            <w:r w:rsidRPr="00C46E66">
              <w:rPr>
                <w:sz w:val="26"/>
                <w:szCs w:val="26"/>
              </w:rPr>
              <w:lastRenderedPageBreak/>
              <w:t>4)</w:t>
            </w:r>
            <w:r w:rsidR="00A53C96">
              <w:rPr>
                <w:sz w:val="26"/>
                <w:szCs w:val="26"/>
              </w:rPr>
              <w:t> </w:t>
            </w:r>
            <w:r w:rsidRPr="00C46E66">
              <w:rPr>
                <w:sz w:val="26"/>
                <w:szCs w:val="26"/>
              </w:rPr>
              <w:t>nosūtot pa pastu Centrālajai vēlēšanu komisijai.</w:t>
            </w:r>
          </w:p>
          <w:p w:rsidRPr="00C46E66" w:rsidR="00855243" w:rsidP="00153D5A" w:rsidRDefault="00855243">
            <w:pPr>
              <w:pStyle w:val="Sarakstarindkopa"/>
              <w:spacing w:after="0" w:line="240" w:lineRule="auto"/>
              <w:ind w:left="0"/>
              <w:jc w:val="both"/>
              <w:rPr>
                <w:rFonts w:ascii="Times New Roman" w:hAnsi="Times New Roman"/>
                <w:sz w:val="26"/>
                <w:szCs w:val="26"/>
              </w:rPr>
            </w:pPr>
          </w:p>
          <w:p w:rsidRPr="00C46E66" w:rsidR="00DD4B15" w:rsidP="00D70D9F" w:rsidRDefault="00DD4B15">
            <w:pPr>
              <w:pStyle w:val="Parastais"/>
              <w:ind w:firstLine="567"/>
              <w:jc w:val="both"/>
              <w:rPr>
                <w:sz w:val="26"/>
                <w:szCs w:val="26"/>
              </w:rPr>
            </w:pPr>
            <w:r w:rsidRPr="00C46E66">
              <w:rPr>
                <w:sz w:val="26"/>
                <w:szCs w:val="26"/>
              </w:rPr>
              <w:t xml:space="preserve"> </w:t>
            </w:r>
          </w:p>
        </w:tc>
      </w:tr>
      <w:tr w:rsidRPr="00C46E66" w:rsidR="00D70D9F" w:rsidTr="00D70D9F">
        <w:tc>
          <w:tcPr>
            <w:tcW w:w="708" w:type="dxa"/>
            <w:tcBorders>
              <w:left w:val="single" w:color="000000" w:sz="6" w:space="0"/>
              <w:bottom w:val="single" w:color="auto" w:sz="4" w:space="0"/>
              <w:right w:val="single" w:color="000000" w:sz="6" w:space="0"/>
            </w:tcBorders>
          </w:tcPr>
          <w:p w:rsidRPr="00C46E66" w:rsidR="00D70D9F" w:rsidP="00D70D9F" w:rsidRDefault="00A02F25">
            <w:pPr>
              <w:pStyle w:val="Parastais"/>
              <w:jc w:val="center"/>
              <w:rPr>
                <w:sz w:val="26"/>
                <w:szCs w:val="26"/>
              </w:rPr>
            </w:pPr>
            <w:r w:rsidRPr="00C46E66">
              <w:rPr>
                <w:sz w:val="26"/>
                <w:szCs w:val="26"/>
              </w:rPr>
              <w:lastRenderedPageBreak/>
              <w:t>5</w:t>
            </w:r>
            <w:r w:rsidRPr="00C46E66" w:rsidR="00D70D9F">
              <w:rPr>
                <w:sz w:val="26"/>
                <w:szCs w:val="26"/>
              </w:rPr>
              <w:t>.</w:t>
            </w:r>
          </w:p>
          <w:p w:rsidRPr="00C46E66" w:rsidR="00D70D9F" w:rsidP="00D70D9F" w:rsidRDefault="00D70D9F">
            <w:pPr>
              <w:pStyle w:val="Parastais"/>
              <w:jc w:val="center"/>
              <w:rPr>
                <w:sz w:val="26"/>
                <w:szCs w:val="26"/>
              </w:rPr>
            </w:pPr>
          </w:p>
          <w:p w:rsidRPr="00C46E66" w:rsidR="00D70D9F" w:rsidP="00D70D9F" w:rsidRDefault="00D70D9F">
            <w:pPr>
              <w:pStyle w:val="Parastais"/>
              <w:jc w:val="center"/>
              <w:rPr>
                <w:sz w:val="26"/>
                <w:szCs w:val="26"/>
              </w:rPr>
            </w:pPr>
          </w:p>
          <w:p w:rsidRPr="00C46E66" w:rsidR="00D70D9F" w:rsidP="00D70D9F" w:rsidRDefault="00D70D9F">
            <w:pPr>
              <w:pStyle w:val="Parastais"/>
              <w:jc w:val="center"/>
              <w:rPr>
                <w:sz w:val="26"/>
                <w:szCs w:val="26"/>
              </w:rPr>
            </w:pPr>
          </w:p>
        </w:tc>
        <w:tc>
          <w:tcPr>
            <w:tcW w:w="2519" w:type="dxa"/>
            <w:gridSpan w:val="2"/>
            <w:tcBorders>
              <w:left w:val="single" w:color="000000" w:sz="6" w:space="0"/>
              <w:bottom w:val="single" w:color="auto" w:sz="4" w:space="0"/>
              <w:right w:val="single" w:color="000000" w:sz="6" w:space="0"/>
            </w:tcBorders>
          </w:tcPr>
          <w:p w:rsidRPr="00C46E66" w:rsidR="00D70D9F" w:rsidP="00D70D9F" w:rsidRDefault="006007C4">
            <w:pPr>
              <w:pStyle w:val="Parastais"/>
              <w:jc w:val="both"/>
              <w:rPr>
                <w:sz w:val="26"/>
                <w:szCs w:val="26"/>
              </w:rPr>
            </w:pPr>
            <w:r w:rsidRPr="00C46E66">
              <w:rPr>
                <w:sz w:val="26"/>
                <w:szCs w:val="26"/>
              </w:rPr>
              <w:t>3.</w:t>
            </w:r>
            <w:r w:rsidR="00A53C96">
              <w:rPr>
                <w:sz w:val="26"/>
                <w:szCs w:val="26"/>
              </w:rPr>
              <w:t> </w:t>
            </w:r>
            <w:r w:rsidRPr="00C46E66">
              <w:rPr>
                <w:sz w:val="26"/>
                <w:szCs w:val="26"/>
              </w:rPr>
              <w:t>panta ceturtā daļa:</w:t>
            </w:r>
          </w:p>
          <w:p w:rsidRPr="00C46E66" w:rsidR="006007C4" w:rsidP="006007C4" w:rsidRDefault="006007C4">
            <w:pPr>
              <w:pStyle w:val="Parastais"/>
              <w:ind w:firstLine="567"/>
              <w:jc w:val="both"/>
              <w:rPr>
                <w:sz w:val="26"/>
                <w:szCs w:val="26"/>
              </w:rPr>
            </w:pPr>
            <w:r w:rsidRPr="00C46E66">
              <w:rPr>
                <w:sz w:val="26"/>
                <w:szCs w:val="26"/>
              </w:rPr>
              <w:t>(4)</w:t>
            </w:r>
            <w:r w:rsidR="00A53C96">
              <w:rPr>
                <w:sz w:val="26"/>
                <w:szCs w:val="26"/>
              </w:rPr>
              <w:t> </w:t>
            </w:r>
            <w:r w:rsidRPr="00C46E66">
              <w:rPr>
                <w:sz w:val="26"/>
                <w:szCs w:val="26"/>
              </w:rPr>
              <w:t>Saņemot pieteikumu balsošanai pa pastu, Centrālā vēlēšanu komisija pārliecinās, ka vēlētāju reģistrā ir iekļautas ziņas, kas apliecina, ka personai ir tiesības vēlēt attiecīgo domi, un reģistrē pieteikumu vēlētāju reģistrā, ierakstot elektroniskā pasta adresi, uz kuru nosūtāma tīmekļvietnes adrese (saite), kurā būs pieejami balsošanas materiāli.</w:t>
            </w:r>
          </w:p>
          <w:p w:rsidRPr="00C46E66" w:rsidR="006007C4" w:rsidP="00D70D9F" w:rsidRDefault="006007C4">
            <w:pPr>
              <w:pStyle w:val="Parastais"/>
              <w:jc w:val="both"/>
              <w:rPr>
                <w:sz w:val="26"/>
                <w:szCs w:val="26"/>
              </w:rPr>
            </w:pPr>
          </w:p>
        </w:tc>
        <w:tc>
          <w:tcPr>
            <w:tcW w:w="4961" w:type="dxa"/>
            <w:tcBorders>
              <w:left w:val="single" w:color="000000" w:sz="6" w:space="0"/>
              <w:bottom w:val="single" w:color="auto" w:sz="4" w:space="0"/>
              <w:right w:val="single" w:color="000000" w:sz="6" w:space="0"/>
            </w:tcBorders>
          </w:tcPr>
          <w:p w:rsidRPr="00C46E66" w:rsidR="00D70D9F" w:rsidP="00C46E66" w:rsidRDefault="00D70D9F">
            <w:pPr>
              <w:pStyle w:val="Sarakstarindkopa"/>
              <w:spacing w:after="0"/>
              <w:ind w:left="0"/>
              <w:jc w:val="both"/>
              <w:rPr>
                <w:rFonts w:ascii="Times New Roman" w:hAnsi="Times New Roman"/>
                <w:sz w:val="26"/>
                <w:szCs w:val="26"/>
              </w:rPr>
            </w:pPr>
            <w:r w:rsidRPr="00C46E66">
              <w:rPr>
                <w:rFonts w:ascii="Times New Roman" w:hAnsi="Times New Roman"/>
                <w:b/>
                <w:bCs/>
                <w:sz w:val="26"/>
                <w:szCs w:val="26"/>
              </w:rPr>
              <w:t>Iekšlietu ministrija</w:t>
            </w:r>
            <w:r w:rsidRPr="00C46E66">
              <w:rPr>
                <w:rFonts w:ascii="Times New Roman" w:hAnsi="Times New Roman"/>
                <w:sz w:val="26"/>
                <w:szCs w:val="26"/>
              </w:rPr>
              <w:t xml:space="preserve"> (26.06.2019. atzinums Nr.1-57/1481):</w:t>
            </w:r>
          </w:p>
          <w:p w:rsidRPr="00C46E66" w:rsidR="00D70D9F" w:rsidP="00D70D9F" w:rsidRDefault="00D70D9F">
            <w:pPr>
              <w:pStyle w:val="Parastais"/>
              <w:ind w:firstLine="638"/>
              <w:jc w:val="both"/>
              <w:rPr>
                <w:sz w:val="26"/>
                <w:szCs w:val="26"/>
              </w:rPr>
            </w:pPr>
            <w:r w:rsidRPr="00C46E66">
              <w:rPr>
                <w:sz w:val="26"/>
                <w:szCs w:val="26"/>
              </w:rPr>
              <w:t>Izslēgt Projekta 3.panta ceturtajā daļā (Likuma 33.</w:t>
            </w:r>
            <w:r w:rsidRPr="00C46E66">
              <w:rPr>
                <w:sz w:val="26"/>
                <w:szCs w:val="26"/>
                <w:vertAlign w:val="superscript"/>
              </w:rPr>
              <w:t xml:space="preserve">1 </w:t>
            </w:r>
            <w:r w:rsidRPr="00C46E66">
              <w:rPr>
                <w:sz w:val="26"/>
                <w:szCs w:val="26"/>
              </w:rPr>
              <w:t>panta ceturtā daļa) vārdus “ierakstot elektroniskā pasta adresi”.</w:t>
            </w:r>
          </w:p>
          <w:p w:rsidRPr="00C46E66" w:rsidR="00D70D9F" w:rsidP="00D70D9F" w:rsidRDefault="00D70D9F">
            <w:pPr>
              <w:pStyle w:val="Parasta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46E66">
              <w:rPr>
                <w:sz w:val="26"/>
                <w:szCs w:val="26"/>
              </w:rPr>
              <w:tab/>
              <w:t>Projekta 3.pantā (Likuma 33.</w:t>
            </w:r>
            <w:r w:rsidRPr="00C46E66">
              <w:rPr>
                <w:sz w:val="26"/>
                <w:szCs w:val="26"/>
                <w:vertAlign w:val="superscript"/>
              </w:rPr>
              <w:t>1</w:t>
            </w:r>
            <w:r w:rsidRPr="00C46E66">
              <w:rPr>
                <w:sz w:val="26"/>
                <w:szCs w:val="26"/>
              </w:rPr>
              <w:t xml:space="preserve"> panta ceturtā daļa) noteikts, ka, saņemot pieteikumu balsošanai pa pastu, Centrālā vēlēšanu komisija pārliecinās, ka Vēlētāju reģistrā ir iekļautas ziņas, kas apliecina, ka personai ir tiesības vēlēt attiecīgo domi, un reģistrē pieteikumu Vēlētāju reģistrā, </w:t>
            </w:r>
            <w:r w:rsidRPr="00C46E66">
              <w:rPr>
                <w:sz w:val="26"/>
                <w:szCs w:val="26"/>
                <w:u w:val="single"/>
              </w:rPr>
              <w:t>ierakstot elektroniskā pasta adresi</w:t>
            </w:r>
            <w:r w:rsidRPr="00C46E66">
              <w:rPr>
                <w:sz w:val="26"/>
                <w:szCs w:val="26"/>
              </w:rPr>
              <w:t xml:space="preserve">, uz kuru nosūtāma tīmekļvietnes adrese (saite), kurā būs pieejami balsošanas materiāli. </w:t>
            </w:r>
          </w:p>
          <w:p w:rsidRPr="00C46E66" w:rsidR="00D70D9F" w:rsidP="00D70D9F" w:rsidRDefault="00D70D9F">
            <w:pPr>
              <w:pStyle w:val="Parastai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46E66">
              <w:rPr>
                <w:sz w:val="26"/>
                <w:szCs w:val="26"/>
              </w:rPr>
              <w:tab/>
              <w:t>Atbilstoši Vēlētāju reģistra likuma 6.pantā noteiktajam Vēlētāju reģistrā netiek  iekļautas ziņas par vēlētāja elektroniskā pasta adresi, līdz ar to nav tiesiska pamata šādu ziņu iekļaušanai Vēlētāju reģistrā.</w:t>
            </w:r>
          </w:p>
          <w:p w:rsidRPr="00C46E66" w:rsidR="00D70D9F" w:rsidP="00D70D9F" w:rsidRDefault="00D70D9F">
            <w:pPr>
              <w:pStyle w:val="Sarakstarindkopa"/>
              <w:spacing w:after="0"/>
              <w:ind w:left="0" w:firstLine="638"/>
              <w:jc w:val="both"/>
              <w:rPr>
                <w:rFonts w:ascii="Times New Roman" w:hAnsi="Times New Roman"/>
                <w:b/>
                <w:bCs/>
                <w:sz w:val="26"/>
                <w:szCs w:val="26"/>
              </w:rPr>
            </w:pPr>
          </w:p>
        </w:tc>
        <w:tc>
          <w:tcPr>
            <w:tcW w:w="3402" w:type="dxa"/>
            <w:gridSpan w:val="2"/>
            <w:tcBorders>
              <w:left w:val="single" w:color="000000" w:sz="6" w:space="0"/>
              <w:bottom w:val="single" w:color="auto" w:sz="4" w:space="0"/>
              <w:right w:val="single" w:color="000000" w:sz="6" w:space="0"/>
            </w:tcBorders>
          </w:tcPr>
          <w:p w:rsidRPr="00C46E66" w:rsidR="00D70D9F" w:rsidP="00D70D9F" w:rsidRDefault="00771C77">
            <w:pPr>
              <w:pStyle w:val="naisc"/>
              <w:spacing w:before="0" w:after="0"/>
              <w:ind w:firstLine="316"/>
              <w:rPr>
                <w:sz w:val="26"/>
                <w:szCs w:val="26"/>
              </w:rPr>
            </w:pPr>
            <w:r w:rsidRPr="00C46E66">
              <w:rPr>
                <w:sz w:val="26"/>
                <w:szCs w:val="26"/>
              </w:rPr>
              <w:t>Daļēji ņ</w:t>
            </w:r>
            <w:r w:rsidRPr="00C46E66" w:rsidR="007D6B1B">
              <w:rPr>
                <w:sz w:val="26"/>
                <w:szCs w:val="26"/>
              </w:rPr>
              <w:t>emts vērā.</w:t>
            </w:r>
          </w:p>
        </w:tc>
        <w:tc>
          <w:tcPr>
            <w:tcW w:w="2552" w:type="dxa"/>
            <w:tcBorders>
              <w:top w:val="single" w:color="auto" w:sz="4" w:space="0"/>
              <w:left w:val="single" w:color="auto" w:sz="4" w:space="0"/>
              <w:bottom w:val="single" w:color="auto" w:sz="4" w:space="0"/>
            </w:tcBorders>
          </w:tcPr>
          <w:p w:rsidRPr="00C46E66" w:rsidR="00D70D9F" w:rsidP="007D6B1B" w:rsidRDefault="007D6B1B">
            <w:pPr>
              <w:pStyle w:val="naisc"/>
              <w:jc w:val="both"/>
              <w:rPr>
                <w:sz w:val="26"/>
                <w:szCs w:val="26"/>
              </w:rPr>
            </w:pPr>
            <w:r w:rsidRPr="00C46E66">
              <w:rPr>
                <w:sz w:val="26"/>
                <w:szCs w:val="26"/>
              </w:rPr>
              <w:t xml:space="preserve">Projektam pievienotajā Ministru kabineta </w:t>
            </w:r>
            <w:r w:rsidR="008F2AC3">
              <w:rPr>
                <w:sz w:val="26"/>
                <w:szCs w:val="26"/>
              </w:rPr>
              <w:t xml:space="preserve">sēdes </w:t>
            </w:r>
            <w:r w:rsidRPr="00C46E66">
              <w:rPr>
                <w:sz w:val="26"/>
                <w:szCs w:val="26"/>
              </w:rPr>
              <w:t>protokollēmuma projektā ir paredzēts uzdevums Tieslietu ministrijai izstrādāt likumprojektu "Grozījumi Vēlētāju reģistra likumā", kā arī ir aizpildīta anotācijas IV sadaļa "Tiesību akta projekta ietekme uz spēkā esošo tiesību normu sistēmu".</w:t>
            </w:r>
          </w:p>
        </w:tc>
      </w:tr>
      <w:tr w:rsidRPr="00C46E66" w:rsidR="006007C4" w:rsidTr="00D70D9F">
        <w:tc>
          <w:tcPr>
            <w:tcW w:w="708" w:type="dxa"/>
            <w:tcBorders>
              <w:left w:val="single" w:color="000000" w:sz="6" w:space="0"/>
              <w:bottom w:val="single" w:color="auto" w:sz="4" w:space="0"/>
              <w:right w:val="single" w:color="000000" w:sz="6" w:space="0"/>
            </w:tcBorders>
          </w:tcPr>
          <w:p w:rsidRPr="00C46E66" w:rsidR="006007C4" w:rsidP="00D70D9F" w:rsidRDefault="00A02F25">
            <w:pPr>
              <w:pStyle w:val="Parastais"/>
              <w:jc w:val="center"/>
              <w:rPr>
                <w:sz w:val="26"/>
                <w:szCs w:val="26"/>
              </w:rPr>
            </w:pPr>
            <w:r w:rsidRPr="00C46E66">
              <w:rPr>
                <w:sz w:val="26"/>
                <w:szCs w:val="26"/>
              </w:rPr>
              <w:t>6</w:t>
            </w:r>
            <w:r w:rsidRPr="00C46E66" w:rsidR="006007C4">
              <w:rPr>
                <w:sz w:val="26"/>
                <w:szCs w:val="26"/>
              </w:rPr>
              <w:t>.</w:t>
            </w:r>
          </w:p>
          <w:p w:rsidRPr="00C46E66" w:rsidR="006007C4" w:rsidP="00D70D9F" w:rsidRDefault="006007C4">
            <w:pPr>
              <w:pStyle w:val="Parastais"/>
              <w:jc w:val="center"/>
              <w:rPr>
                <w:sz w:val="26"/>
                <w:szCs w:val="26"/>
              </w:rPr>
            </w:pPr>
          </w:p>
          <w:p w:rsidRPr="00C46E66" w:rsidR="006007C4" w:rsidP="00D70D9F" w:rsidRDefault="006007C4">
            <w:pPr>
              <w:pStyle w:val="Parastais"/>
              <w:jc w:val="center"/>
              <w:rPr>
                <w:sz w:val="26"/>
                <w:szCs w:val="26"/>
              </w:rPr>
            </w:pPr>
          </w:p>
        </w:tc>
        <w:tc>
          <w:tcPr>
            <w:tcW w:w="2519" w:type="dxa"/>
            <w:gridSpan w:val="2"/>
            <w:tcBorders>
              <w:left w:val="single" w:color="000000" w:sz="6" w:space="0"/>
              <w:bottom w:val="single" w:color="auto" w:sz="4" w:space="0"/>
              <w:right w:val="single" w:color="000000" w:sz="6" w:space="0"/>
            </w:tcBorders>
          </w:tcPr>
          <w:p w:rsidRPr="00C46E66" w:rsidR="006007C4" w:rsidP="006007C4" w:rsidRDefault="006007C4">
            <w:pPr>
              <w:pStyle w:val="Parastais"/>
              <w:jc w:val="both"/>
              <w:rPr>
                <w:sz w:val="26"/>
                <w:szCs w:val="26"/>
              </w:rPr>
            </w:pPr>
            <w:r w:rsidRPr="00C46E66">
              <w:rPr>
                <w:sz w:val="26"/>
                <w:szCs w:val="26"/>
              </w:rPr>
              <w:t>5.</w:t>
            </w:r>
            <w:r w:rsidR="00A53C96">
              <w:rPr>
                <w:sz w:val="26"/>
                <w:szCs w:val="26"/>
              </w:rPr>
              <w:t> </w:t>
            </w:r>
            <w:r w:rsidRPr="00C46E66">
              <w:rPr>
                <w:sz w:val="26"/>
                <w:szCs w:val="26"/>
              </w:rPr>
              <w:t>Papildināt pārejas noteikumus ar 14.</w:t>
            </w:r>
            <w:r w:rsidR="00A53C96">
              <w:rPr>
                <w:sz w:val="26"/>
                <w:szCs w:val="26"/>
              </w:rPr>
              <w:t> </w:t>
            </w:r>
            <w:r w:rsidRPr="00C46E66">
              <w:rPr>
                <w:sz w:val="26"/>
                <w:szCs w:val="26"/>
              </w:rPr>
              <w:t xml:space="preserve">punktu šādā </w:t>
            </w:r>
            <w:r w:rsidRPr="00C46E66">
              <w:rPr>
                <w:sz w:val="26"/>
                <w:szCs w:val="26"/>
              </w:rPr>
              <w:lastRenderedPageBreak/>
              <w:t>redakcijā:</w:t>
            </w:r>
          </w:p>
          <w:p w:rsidRPr="00C46E66" w:rsidR="006007C4" w:rsidP="006007C4" w:rsidRDefault="006007C4">
            <w:pPr>
              <w:pStyle w:val="Parastais"/>
              <w:jc w:val="both"/>
              <w:rPr>
                <w:sz w:val="26"/>
                <w:szCs w:val="26"/>
              </w:rPr>
            </w:pPr>
            <w:r w:rsidRPr="00C46E66">
              <w:rPr>
                <w:sz w:val="26"/>
                <w:szCs w:val="26"/>
              </w:rPr>
              <w:t>"Grozījumi, kas paredz aizstāt likuma tekstā vārdus "Iedzīvotāju reģistrā" ar vārdiem "Fizisko personu reģistrā" stājas spēkā 2020.</w:t>
            </w:r>
            <w:r w:rsidR="00A53C96">
              <w:rPr>
                <w:sz w:val="26"/>
                <w:szCs w:val="26"/>
              </w:rPr>
              <w:t> </w:t>
            </w:r>
            <w:r w:rsidRPr="00C46E66">
              <w:rPr>
                <w:sz w:val="26"/>
                <w:szCs w:val="26"/>
              </w:rPr>
              <w:t>gada 1.</w:t>
            </w:r>
            <w:r w:rsidR="00A53C96">
              <w:rPr>
                <w:sz w:val="26"/>
                <w:szCs w:val="26"/>
              </w:rPr>
              <w:t> </w:t>
            </w:r>
            <w:r w:rsidRPr="00C46E66">
              <w:rPr>
                <w:sz w:val="26"/>
                <w:szCs w:val="26"/>
              </w:rPr>
              <w:t>jūlijā".</w:t>
            </w:r>
          </w:p>
          <w:p w:rsidRPr="00C46E66" w:rsidR="006007C4" w:rsidP="00D70D9F" w:rsidRDefault="006007C4">
            <w:pPr>
              <w:pStyle w:val="Parastais"/>
              <w:jc w:val="both"/>
              <w:rPr>
                <w:sz w:val="26"/>
                <w:szCs w:val="26"/>
              </w:rPr>
            </w:pPr>
          </w:p>
        </w:tc>
        <w:tc>
          <w:tcPr>
            <w:tcW w:w="4961" w:type="dxa"/>
            <w:tcBorders>
              <w:left w:val="single" w:color="000000" w:sz="6" w:space="0"/>
              <w:bottom w:val="single" w:color="auto" w:sz="4" w:space="0"/>
              <w:right w:val="single" w:color="000000" w:sz="6" w:space="0"/>
            </w:tcBorders>
          </w:tcPr>
          <w:p w:rsidRPr="00C46E66" w:rsidR="006007C4" w:rsidP="00C46E66" w:rsidRDefault="006007C4">
            <w:pPr>
              <w:pStyle w:val="Sarakstarindkopa"/>
              <w:spacing w:after="0"/>
              <w:ind w:left="0"/>
              <w:jc w:val="both"/>
              <w:rPr>
                <w:rFonts w:ascii="Times New Roman" w:hAnsi="Times New Roman"/>
                <w:sz w:val="26"/>
                <w:szCs w:val="26"/>
              </w:rPr>
            </w:pPr>
            <w:r w:rsidRPr="00C46E66">
              <w:rPr>
                <w:rFonts w:ascii="Times New Roman" w:hAnsi="Times New Roman"/>
                <w:b/>
                <w:bCs/>
                <w:sz w:val="26"/>
                <w:szCs w:val="26"/>
              </w:rPr>
              <w:lastRenderedPageBreak/>
              <w:t>Iekšlietu ministrija</w:t>
            </w:r>
            <w:r w:rsidRPr="00C46E66">
              <w:rPr>
                <w:rFonts w:ascii="Times New Roman" w:hAnsi="Times New Roman"/>
                <w:sz w:val="26"/>
                <w:szCs w:val="26"/>
              </w:rPr>
              <w:t xml:space="preserve"> (26.06.2019. atzinums Nr.1-57/1481):</w:t>
            </w:r>
          </w:p>
          <w:p w:rsidRPr="00C46E66" w:rsidR="006007C4" w:rsidP="006007C4" w:rsidRDefault="006007C4">
            <w:pPr>
              <w:pStyle w:val="Parastai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46E66">
              <w:rPr>
                <w:sz w:val="26"/>
                <w:szCs w:val="26"/>
              </w:rPr>
              <w:t xml:space="preserve">Aizstāt Projekta 5.pantā vārdus un skaitļus </w:t>
            </w:r>
            <w:r w:rsidRPr="00C46E66">
              <w:rPr>
                <w:sz w:val="26"/>
                <w:szCs w:val="26"/>
              </w:rPr>
              <w:lastRenderedPageBreak/>
              <w:t xml:space="preserve">“stājas spēkā 2020.gada 1.jūlijā” ar vārdiem “stājas spēkā vienlaikus ar Fizisko personu reģistra </w:t>
            </w:r>
            <w:proofErr w:type="spellStart"/>
            <w:r w:rsidRPr="00C46E66">
              <w:rPr>
                <w:sz w:val="26"/>
                <w:szCs w:val="26"/>
              </w:rPr>
              <w:t>likumu”.Informējam</w:t>
            </w:r>
            <w:proofErr w:type="spellEnd"/>
            <w:r w:rsidRPr="00C46E66">
              <w:rPr>
                <w:sz w:val="26"/>
                <w:szCs w:val="26"/>
              </w:rPr>
              <w:t>, ka ir izstrādāts likumprojekts “Grozījumi Fizisko personu reģistra likumā”, kas tiks izsludināts Valsts sekretāru 2019.gada 11.jūlija sanāksmē un kurā paredzēts grozīt Fizisko personu reģistra likuma spēkā stāšanās termiņu.</w:t>
            </w:r>
          </w:p>
          <w:p w:rsidRPr="00C46E66" w:rsidR="006007C4" w:rsidP="00D70D9F" w:rsidRDefault="006007C4">
            <w:pPr>
              <w:pStyle w:val="Sarakstarindkopa"/>
              <w:spacing w:after="0"/>
              <w:ind w:left="0" w:firstLine="638"/>
              <w:jc w:val="both"/>
              <w:rPr>
                <w:rFonts w:ascii="Times New Roman" w:hAnsi="Times New Roman"/>
                <w:b/>
                <w:bCs/>
                <w:sz w:val="26"/>
                <w:szCs w:val="26"/>
              </w:rPr>
            </w:pPr>
          </w:p>
        </w:tc>
        <w:tc>
          <w:tcPr>
            <w:tcW w:w="3402" w:type="dxa"/>
            <w:gridSpan w:val="2"/>
            <w:tcBorders>
              <w:left w:val="single" w:color="000000" w:sz="6" w:space="0"/>
              <w:bottom w:val="single" w:color="auto" w:sz="4" w:space="0"/>
              <w:right w:val="single" w:color="000000" w:sz="6" w:space="0"/>
            </w:tcBorders>
          </w:tcPr>
          <w:p w:rsidRPr="00C46E66" w:rsidR="006007C4" w:rsidP="00D70D9F" w:rsidRDefault="006007C4">
            <w:pPr>
              <w:pStyle w:val="naisc"/>
              <w:spacing w:before="0" w:after="0"/>
              <w:ind w:firstLine="316"/>
              <w:rPr>
                <w:sz w:val="26"/>
                <w:szCs w:val="26"/>
              </w:rPr>
            </w:pPr>
            <w:r w:rsidRPr="00C46E66">
              <w:rPr>
                <w:sz w:val="26"/>
                <w:szCs w:val="26"/>
              </w:rPr>
              <w:lastRenderedPageBreak/>
              <w:t>Ņemts vērā.</w:t>
            </w:r>
          </w:p>
        </w:tc>
        <w:tc>
          <w:tcPr>
            <w:tcW w:w="2552" w:type="dxa"/>
            <w:tcBorders>
              <w:top w:val="single" w:color="auto" w:sz="4" w:space="0"/>
              <w:left w:val="single" w:color="auto" w:sz="4" w:space="0"/>
              <w:bottom w:val="single" w:color="auto" w:sz="4" w:space="0"/>
            </w:tcBorders>
          </w:tcPr>
          <w:p w:rsidRPr="00C46E66" w:rsidR="006007C4" w:rsidP="00030ABD" w:rsidRDefault="006007C4">
            <w:pPr>
              <w:pStyle w:val="Parastais"/>
              <w:jc w:val="both"/>
              <w:rPr>
                <w:sz w:val="26"/>
                <w:szCs w:val="26"/>
              </w:rPr>
            </w:pPr>
            <w:r w:rsidRPr="00C46E66">
              <w:rPr>
                <w:sz w:val="26"/>
                <w:szCs w:val="26"/>
              </w:rPr>
              <w:t>5.</w:t>
            </w:r>
            <w:r w:rsidR="00A53C96">
              <w:rPr>
                <w:sz w:val="26"/>
                <w:szCs w:val="26"/>
              </w:rPr>
              <w:t> </w:t>
            </w:r>
            <w:r w:rsidRPr="00C46E66">
              <w:rPr>
                <w:sz w:val="26"/>
                <w:szCs w:val="26"/>
              </w:rPr>
              <w:t>Papildināt pārejas noteikumus ar 14.</w:t>
            </w:r>
            <w:r w:rsidR="00A53C96">
              <w:rPr>
                <w:sz w:val="26"/>
                <w:szCs w:val="26"/>
              </w:rPr>
              <w:t> </w:t>
            </w:r>
            <w:r w:rsidRPr="00C46E66">
              <w:rPr>
                <w:sz w:val="26"/>
                <w:szCs w:val="26"/>
              </w:rPr>
              <w:t xml:space="preserve">punktu šādā </w:t>
            </w:r>
            <w:r w:rsidRPr="00C46E66">
              <w:rPr>
                <w:sz w:val="26"/>
                <w:szCs w:val="26"/>
              </w:rPr>
              <w:lastRenderedPageBreak/>
              <w:t>redakcijā:</w:t>
            </w:r>
          </w:p>
          <w:p w:rsidRPr="00C46E66" w:rsidR="006007C4" w:rsidP="00030ABD" w:rsidRDefault="006007C4">
            <w:pPr>
              <w:pStyle w:val="Parastais"/>
              <w:jc w:val="both"/>
              <w:rPr>
                <w:sz w:val="26"/>
                <w:szCs w:val="26"/>
              </w:rPr>
            </w:pPr>
            <w:r w:rsidRPr="00C46E66">
              <w:rPr>
                <w:sz w:val="26"/>
                <w:szCs w:val="26"/>
              </w:rPr>
              <w:t>"</w:t>
            </w:r>
            <w:r w:rsidR="008F2AC3">
              <w:rPr>
                <w:sz w:val="26"/>
                <w:szCs w:val="26"/>
              </w:rPr>
              <w:t>14.</w:t>
            </w:r>
            <w:r w:rsidR="00A53C96">
              <w:t> </w:t>
            </w:r>
            <w:r w:rsidRPr="00C46E66">
              <w:rPr>
                <w:sz w:val="26"/>
                <w:szCs w:val="26"/>
              </w:rPr>
              <w:t>Grozījumi, kas paredz aizstāt likuma tekstā vārdus "Iedzīvotāju reģistrā" ar vārdiem "Fizisko personu reģistrā"</w:t>
            </w:r>
            <w:r w:rsidR="008F2AC3">
              <w:rPr>
                <w:sz w:val="26"/>
                <w:szCs w:val="26"/>
              </w:rPr>
              <w:t>,</w:t>
            </w:r>
            <w:r w:rsidRPr="00C46E66">
              <w:rPr>
                <w:sz w:val="26"/>
                <w:szCs w:val="26"/>
              </w:rPr>
              <w:t xml:space="preserve"> stājas spēkā vienlaikus ar Fizisko personu reģistra likumu".</w:t>
            </w:r>
          </w:p>
          <w:p w:rsidRPr="00C46E66" w:rsidR="006007C4" w:rsidP="006007C4" w:rsidRDefault="006007C4">
            <w:pPr>
              <w:pStyle w:val="Parastais"/>
              <w:jc w:val="both"/>
              <w:rPr>
                <w:color w:val="C00000"/>
                <w:sz w:val="26"/>
                <w:szCs w:val="26"/>
              </w:rPr>
            </w:pPr>
          </w:p>
          <w:p w:rsidRPr="00C46E66" w:rsidR="006007C4" w:rsidP="006007C4" w:rsidRDefault="006007C4">
            <w:pPr>
              <w:pStyle w:val="naisc"/>
              <w:jc w:val="both"/>
              <w:rPr>
                <w:sz w:val="26"/>
                <w:szCs w:val="26"/>
              </w:rPr>
            </w:pPr>
          </w:p>
        </w:tc>
      </w:tr>
      <w:tr w:rsidRPr="00C46E66" w:rsidR="004C55C9" w:rsidTr="00D70D9F">
        <w:tc>
          <w:tcPr>
            <w:tcW w:w="708" w:type="dxa"/>
            <w:tcBorders>
              <w:left w:val="single" w:color="000000" w:sz="6" w:space="0"/>
              <w:bottom w:val="single" w:color="auto" w:sz="4" w:space="0"/>
              <w:right w:val="single" w:color="000000" w:sz="6" w:space="0"/>
            </w:tcBorders>
          </w:tcPr>
          <w:p w:rsidRPr="00C46E66" w:rsidR="004C55C9" w:rsidP="00D70D9F" w:rsidRDefault="00A02F25">
            <w:pPr>
              <w:pStyle w:val="Parastais"/>
              <w:jc w:val="center"/>
              <w:rPr>
                <w:sz w:val="26"/>
                <w:szCs w:val="26"/>
              </w:rPr>
            </w:pPr>
            <w:r w:rsidRPr="00C46E66">
              <w:rPr>
                <w:sz w:val="26"/>
                <w:szCs w:val="26"/>
              </w:rPr>
              <w:lastRenderedPageBreak/>
              <w:t>7</w:t>
            </w:r>
            <w:r w:rsidRPr="00C46E66" w:rsidR="004C55C9">
              <w:rPr>
                <w:sz w:val="26"/>
                <w:szCs w:val="26"/>
              </w:rPr>
              <w:t>.</w:t>
            </w:r>
          </w:p>
          <w:p w:rsidRPr="00C46E66" w:rsidR="004C55C9" w:rsidP="00D70D9F" w:rsidRDefault="004C55C9">
            <w:pPr>
              <w:pStyle w:val="Parastais"/>
              <w:jc w:val="center"/>
              <w:rPr>
                <w:sz w:val="26"/>
                <w:szCs w:val="26"/>
              </w:rPr>
            </w:pPr>
          </w:p>
          <w:p w:rsidRPr="00C46E66" w:rsidR="004C55C9" w:rsidP="00D70D9F" w:rsidRDefault="004C55C9">
            <w:pPr>
              <w:pStyle w:val="Parastais"/>
              <w:jc w:val="center"/>
              <w:rPr>
                <w:sz w:val="26"/>
                <w:szCs w:val="26"/>
              </w:rPr>
            </w:pPr>
          </w:p>
        </w:tc>
        <w:tc>
          <w:tcPr>
            <w:tcW w:w="2519" w:type="dxa"/>
            <w:gridSpan w:val="2"/>
            <w:tcBorders>
              <w:left w:val="single" w:color="000000" w:sz="6" w:space="0"/>
              <w:bottom w:val="single" w:color="auto" w:sz="4" w:space="0"/>
              <w:right w:val="single" w:color="000000" w:sz="6" w:space="0"/>
            </w:tcBorders>
          </w:tcPr>
          <w:p w:rsidRPr="00C46E66" w:rsidR="004C55C9" w:rsidP="006007C4" w:rsidRDefault="004C55C9">
            <w:pPr>
              <w:pStyle w:val="Parastais"/>
              <w:jc w:val="both"/>
              <w:rPr>
                <w:sz w:val="26"/>
                <w:szCs w:val="26"/>
              </w:rPr>
            </w:pPr>
          </w:p>
        </w:tc>
        <w:tc>
          <w:tcPr>
            <w:tcW w:w="4961" w:type="dxa"/>
            <w:tcBorders>
              <w:left w:val="single" w:color="000000" w:sz="6" w:space="0"/>
              <w:bottom w:val="single" w:color="auto" w:sz="4" w:space="0"/>
              <w:right w:val="single" w:color="000000" w:sz="6" w:space="0"/>
            </w:tcBorders>
          </w:tcPr>
          <w:p w:rsidRPr="00C46E66" w:rsidR="004C55C9" w:rsidP="00C46E66" w:rsidRDefault="004C55C9">
            <w:pPr>
              <w:pStyle w:val="Sarakstarindkopa"/>
              <w:spacing w:after="0"/>
              <w:ind w:left="0"/>
              <w:jc w:val="both"/>
              <w:rPr>
                <w:rFonts w:ascii="Times New Roman" w:hAnsi="Times New Roman"/>
                <w:sz w:val="26"/>
                <w:szCs w:val="26"/>
              </w:rPr>
            </w:pPr>
            <w:r w:rsidRPr="00C46E66">
              <w:rPr>
                <w:rFonts w:ascii="Times New Roman" w:hAnsi="Times New Roman"/>
                <w:b/>
                <w:bCs/>
                <w:sz w:val="26"/>
                <w:szCs w:val="26"/>
              </w:rPr>
              <w:t>Iekšlietu ministrija</w:t>
            </w:r>
            <w:r w:rsidRPr="00C46E66">
              <w:rPr>
                <w:rFonts w:ascii="Times New Roman" w:hAnsi="Times New Roman"/>
                <w:sz w:val="26"/>
                <w:szCs w:val="26"/>
              </w:rPr>
              <w:t xml:space="preserve"> (26.06.2019. atzinums Nr.1-57/1481):</w:t>
            </w:r>
          </w:p>
          <w:p w:rsidRPr="00C46E66" w:rsidR="004C55C9" w:rsidP="004C55C9" w:rsidRDefault="004C55C9">
            <w:pPr>
              <w:pStyle w:val="Parastai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46E66">
              <w:rPr>
                <w:sz w:val="26"/>
                <w:szCs w:val="26"/>
              </w:rPr>
              <w:t xml:space="preserve">Iekšlietu ministrija ir veikusi izvērtējumu par iespējamajiem resursu avotiem Projekta īstenošanas nodrošināšanai un informē, ka nevar nodrošināt tā īstenošanu Iekšlietu ministrijai pamatfunkciju izpildei piešķirto valsts budžeta līdzekļu ietvaros, vienlaikus kā alternatīvu risinājumu rosinot Projektam pievienojamajā Ministru kabineta protokollēmuma projektā iekļaut punktu, kas paredz tā īstenošanai papildu nepieciešamo finansējumu Vēlētāju reģistra un e-pakalpojuma “Reģistrācija balsošanai pa pastu vēlētājiem, kuri uzturas ārvalstīs” programmatūras pilnveidošanai nodrošināt, </w:t>
            </w:r>
            <w:r w:rsidRPr="00C46E66">
              <w:rPr>
                <w:sz w:val="26"/>
                <w:szCs w:val="26"/>
              </w:rPr>
              <w:lastRenderedPageBreak/>
              <w:t>veicot Iekšlietu ministrijas bāzes izdevumu precizēšanu (palielināšanu) atbilstoši Ministru kabineta 2012.gada 11.decembra noteikumu Nr.867 “Kārtība, kādā nosakāms maksimāli pieļaujamais valsts budžeta izdevumu kopapjoms un maksimāli pieļaujamais valsts budžeta izde</w:t>
            </w:r>
            <w:r w:rsidRPr="00C46E66" w:rsidR="009C48BF">
              <w:rPr>
                <w:sz w:val="26"/>
                <w:szCs w:val="26"/>
              </w:rPr>
              <w:t>vumu</w:t>
            </w:r>
            <w:r w:rsidRPr="00C46E66">
              <w:rPr>
                <w:sz w:val="26"/>
                <w:szCs w:val="26"/>
              </w:rPr>
              <w:t xml:space="preserve"> kopējais apjoms katrai ministrijai un citām centrālajām valsts iestādēm vidējam termiņam” 10.7.apakšpunktam.</w:t>
            </w:r>
          </w:p>
          <w:p w:rsidRPr="00C46E66" w:rsidR="004C55C9" w:rsidP="006007C4" w:rsidRDefault="004C55C9">
            <w:pPr>
              <w:pStyle w:val="Sarakstarindkopa"/>
              <w:spacing w:after="0"/>
              <w:ind w:left="0" w:firstLine="638"/>
              <w:jc w:val="both"/>
              <w:rPr>
                <w:rFonts w:ascii="Times New Roman" w:hAnsi="Times New Roman"/>
                <w:b/>
                <w:bCs/>
                <w:sz w:val="26"/>
                <w:szCs w:val="26"/>
              </w:rPr>
            </w:pPr>
          </w:p>
        </w:tc>
        <w:tc>
          <w:tcPr>
            <w:tcW w:w="3402" w:type="dxa"/>
            <w:gridSpan w:val="2"/>
            <w:tcBorders>
              <w:left w:val="single" w:color="000000" w:sz="6" w:space="0"/>
              <w:bottom w:val="single" w:color="auto" w:sz="4" w:space="0"/>
              <w:right w:val="single" w:color="000000" w:sz="6" w:space="0"/>
            </w:tcBorders>
          </w:tcPr>
          <w:p w:rsidRPr="00C46E66" w:rsidR="004C55C9" w:rsidP="00D70D9F" w:rsidRDefault="00030ABD">
            <w:pPr>
              <w:pStyle w:val="naisc"/>
              <w:spacing w:before="0" w:after="0"/>
              <w:ind w:firstLine="316"/>
              <w:rPr>
                <w:sz w:val="26"/>
                <w:szCs w:val="26"/>
              </w:rPr>
            </w:pPr>
            <w:r w:rsidRPr="00C46E66">
              <w:rPr>
                <w:sz w:val="26"/>
                <w:szCs w:val="26"/>
              </w:rPr>
              <w:lastRenderedPageBreak/>
              <w:t>Ņemts vērā.</w:t>
            </w:r>
          </w:p>
        </w:tc>
        <w:tc>
          <w:tcPr>
            <w:tcW w:w="2552" w:type="dxa"/>
            <w:tcBorders>
              <w:top w:val="single" w:color="auto" w:sz="4" w:space="0"/>
              <w:left w:val="single" w:color="auto" w:sz="4" w:space="0"/>
              <w:bottom w:val="single" w:color="auto" w:sz="4" w:space="0"/>
            </w:tcBorders>
          </w:tcPr>
          <w:p w:rsidRPr="00C46E66" w:rsidR="004C55C9" w:rsidP="006007C4" w:rsidRDefault="00030ABD">
            <w:pPr>
              <w:pStyle w:val="Parastais"/>
              <w:jc w:val="both"/>
              <w:rPr>
                <w:sz w:val="26"/>
                <w:szCs w:val="26"/>
              </w:rPr>
            </w:pPr>
            <w:r w:rsidRPr="00C46E66">
              <w:rPr>
                <w:sz w:val="26"/>
                <w:szCs w:val="26"/>
              </w:rPr>
              <w:t xml:space="preserve">Projektam pievienots Ministru kabineta </w:t>
            </w:r>
            <w:r w:rsidR="008F2AC3">
              <w:rPr>
                <w:sz w:val="26"/>
                <w:szCs w:val="26"/>
              </w:rPr>
              <w:t xml:space="preserve">sēdes </w:t>
            </w:r>
            <w:r w:rsidRPr="00C46E66">
              <w:rPr>
                <w:sz w:val="26"/>
                <w:szCs w:val="26"/>
              </w:rPr>
              <w:t>protokollēmuma projekts.</w:t>
            </w:r>
          </w:p>
        </w:tc>
      </w:tr>
      <w:tr w:rsidRPr="00C46E66" w:rsidR="0079111F" w:rsidTr="00D70D9F">
        <w:tc>
          <w:tcPr>
            <w:tcW w:w="708" w:type="dxa"/>
            <w:tcBorders>
              <w:left w:val="single" w:color="000000" w:sz="6" w:space="0"/>
              <w:bottom w:val="single" w:color="auto" w:sz="4" w:space="0"/>
              <w:right w:val="single" w:color="000000" w:sz="6" w:space="0"/>
            </w:tcBorders>
          </w:tcPr>
          <w:p w:rsidRPr="00C46E66" w:rsidR="0079111F" w:rsidP="00D70D9F" w:rsidRDefault="00A02F25">
            <w:pPr>
              <w:pStyle w:val="Parastais"/>
              <w:jc w:val="center"/>
              <w:rPr>
                <w:sz w:val="26"/>
                <w:szCs w:val="26"/>
              </w:rPr>
            </w:pPr>
            <w:r w:rsidRPr="00C46E66">
              <w:rPr>
                <w:sz w:val="26"/>
                <w:szCs w:val="26"/>
              </w:rPr>
              <w:t>8</w:t>
            </w:r>
            <w:r w:rsidRPr="00C46E66" w:rsidR="00D8662A">
              <w:rPr>
                <w:sz w:val="26"/>
                <w:szCs w:val="26"/>
              </w:rPr>
              <w:t>.</w:t>
            </w:r>
          </w:p>
        </w:tc>
        <w:tc>
          <w:tcPr>
            <w:tcW w:w="2519" w:type="dxa"/>
            <w:gridSpan w:val="2"/>
            <w:tcBorders>
              <w:left w:val="single" w:color="000000" w:sz="6" w:space="0"/>
              <w:bottom w:val="single" w:color="auto" w:sz="4" w:space="0"/>
              <w:right w:val="single" w:color="000000" w:sz="6" w:space="0"/>
            </w:tcBorders>
          </w:tcPr>
          <w:p w:rsidRPr="00C46E66" w:rsidR="0079111F" w:rsidP="00D70D9F" w:rsidRDefault="00CB7AB8">
            <w:pPr>
              <w:pStyle w:val="naisc"/>
              <w:spacing w:before="0" w:after="0"/>
              <w:jc w:val="both"/>
              <w:rPr>
                <w:sz w:val="26"/>
                <w:szCs w:val="26"/>
              </w:rPr>
            </w:pPr>
            <w:r w:rsidRPr="00C46E66">
              <w:rPr>
                <w:sz w:val="26"/>
                <w:szCs w:val="26"/>
              </w:rPr>
              <w:t>Anotācijas III un VII sadaļa</w:t>
            </w:r>
          </w:p>
        </w:tc>
        <w:tc>
          <w:tcPr>
            <w:tcW w:w="4961" w:type="dxa"/>
            <w:tcBorders>
              <w:left w:val="single" w:color="000000" w:sz="6" w:space="0"/>
              <w:bottom w:val="single" w:color="auto" w:sz="4" w:space="0"/>
              <w:right w:val="single" w:color="000000" w:sz="6" w:space="0"/>
            </w:tcBorders>
          </w:tcPr>
          <w:p w:rsidRPr="00C46E66" w:rsidR="0079111F" w:rsidP="00D70D9F" w:rsidRDefault="00CB7AB8">
            <w:pPr>
              <w:pStyle w:val="naisc"/>
              <w:spacing w:before="0" w:after="0"/>
              <w:jc w:val="both"/>
              <w:rPr>
                <w:bCs/>
                <w:sz w:val="26"/>
                <w:szCs w:val="26"/>
              </w:rPr>
            </w:pPr>
            <w:r w:rsidRPr="00C46E66">
              <w:rPr>
                <w:b/>
                <w:sz w:val="26"/>
                <w:szCs w:val="26"/>
              </w:rPr>
              <w:t>Finanšu ministrija</w:t>
            </w:r>
            <w:r w:rsidRPr="00C46E66" w:rsidR="006C1997">
              <w:rPr>
                <w:b/>
                <w:sz w:val="26"/>
                <w:szCs w:val="26"/>
              </w:rPr>
              <w:t xml:space="preserve"> </w:t>
            </w:r>
            <w:r w:rsidRPr="00C46E66" w:rsidR="006C1997">
              <w:rPr>
                <w:bCs/>
                <w:sz w:val="26"/>
                <w:szCs w:val="26"/>
              </w:rPr>
              <w:t>(29.05.2019. atzinums Nr.12/A-2-4/2484):</w:t>
            </w:r>
          </w:p>
          <w:p w:rsidRPr="00C46E66" w:rsidR="00CB7AB8" w:rsidP="00D70D9F" w:rsidRDefault="00CB7AB8">
            <w:pPr>
              <w:pStyle w:val="naisc"/>
              <w:spacing w:before="0" w:after="0"/>
              <w:jc w:val="both"/>
              <w:rPr>
                <w:sz w:val="26"/>
                <w:szCs w:val="26"/>
              </w:rPr>
            </w:pPr>
            <w:r w:rsidRPr="00C46E66">
              <w:rPr>
                <w:sz w:val="26"/>
                <w:szCs w:val="26"/>
              </w:rPr>
              <w:t>Lūdzam papildināt Likumprojekta anotācijas VII sadaļas 1.punktu, kā projekta izpildē iesaistīto institūciju norādot arī PMLP, kā arī redakcionāli precizēt anotācijas III sadaļu, kā kārtējo gadu norādot 2019.gadu atbilstoši Ministru kabineta 2009.gada 15.decembra instrukcijai Nr.19 “Tiesību akta projekta sākotnējās ietekmes izvērtēšanas kārtība.</w:t>
            </w:r>
          </w:p>
          <w:p w:rsidRPr="00C46E66" w:rsidR="00C46E66" w:rsidP="00D70D9F" w:rsidRDefault="00C46E66">
            <w:pPr>
              <w:pStyle w:val="naisc"/>
              <w:spacing w:before="0" w:after="0"/>
              <w:jc w:val="both"/>
              <w:rPr>
                <w:sz w:val="26"/>
                <w:szCs w:val="26"/>
              </w:rPr>
            </w:pPr>
          </w:p>
        </w:tc>
        <w:tc>
          <w:tcPr>
            <w:tcW w:w="3402" w:type="dxa"/>
            <w:gridSpan w:val="2"/>
            <w:tcBorders>
              <w:left w:val="single" w:color="000000" w:sz="6" w:space="0"/>
              <w:bottom w:val="single" w:color="auto" w:sz="4" w:space="0"/>
              <w:right w:val="single" w:color="000000" w:sz="6" w:space="0"/>
            </w:tcBorders>
          </w:tcPr>
          <w:p w:rsidRPr="00C46E66" w:rsidR="0079111F" w:rsidP="00D70D9F" w:rsidRDefault="00CB7AB8">
            <w:pPr>
              <w:pStyle w:val="naisc"/>
              <w:spacing w:before="0" w:after="0"/>
              <w:ind w:firstLine="316"/>
              <w:rPr>
                <w:sz w:val="26"/>
                <w:szCs w:val="26"/>
              </w:rPr>
            </w:pPr>
            <w:r w:rsidRPr="00C46E66">
              <w:rPr>
                <w:sz w:val="26"/>
                <w:szCs w:val="26"/>
              </w:rPr>
              <w:t>Ņemts vērā</w:t>
            </w:r>
            <w:r w:rsidRPr="00C46E66" w:rsidR="007810B9">
              <w:rPr>
                <w:sz w:val="26"/>
                <w:szCs w:val="26"/>
              </w:rPr>
              <w:t>.</w:t>
            </w:r>
          </w:p>
          <w:p w:rsidRPr="00C46E66" w:rsidR="007810B9" w:rsidP="00D70D9F" w:rsidRDefault="007810B9">
            <w:pPr>
              <w:pStyle w:val="Parastais"/>
              <w:rPr>
                <w:sz w:val="26"/>
                <w:szCs w:val="26"/>
              </w:rPr>
            </w:pPr>
          </w:p>
        </w:tc>
        <w:tc>
          <w:tcPr>
            <w:tcW w:w="2552" w:type="dxa"/>
            <w:tcBorders>
              <w:top w:val="single" w:color="auto" w:sz="4" w:space="0"/>
              <w:left w:val="single" w:color="auto" w:sz="4" w:space="0"/>
              <w:bottom w:val="single" w:color="auto" w:sz="4" w:space="0"/>
            </w:tcBorders>
          </w:tcPr>
          <w:p w:rsidRPr="00C46E66" w:rsidR="002C2184" w:rsidP="00D70D9F" w:rsidRDefault="00CB7AB8">
            <w:pPr>
              <w:pStyle w:val="Parastais"/>
              <w:jc w:val="both"/>
              <w:rPr>
                <w:sz w:val="26"/>
                <w:szCs w:val="26"/>
              </w:rPr>
            </w:pPr>
            <w:r w:rsidRPr="00C46E66">
              <w:rPr>
                <w:sz w:val="26"/>
                <w:szCs w:val="26"/>
              </w:rPr>
              <w:t>Precizēta anotācijas III un VII sadaļa</w:t>
            </w:r>
            <w:r w:rsidRPr="00C46E66" w:rsidR="007810B9">
              <w:rPr>
                <w:sz w:val="26"/>
                <w:szCs w:val="26"/>
              </w:rPr>
              <w:t>.</w:t>
            </w:r>
          </w:p>
        </w:tc>
      </w:tr>
      <w:tr w:rsidRPr="00C46E66" w:rsidR="00575A1F" w:rsidTr="00D70D9F">
        <w:tc>
          <w:tcPr>
            <w:tcW w:w="708" w:type="dxa"/>
            <w:tcBorders>
              <w:left w:val="single" w:color="000000" w:sz="6" w:space="0"/>
              <w:bottom w:val="single" w:color="auto" w:sz="4" w:space="0"/>
              <w:right w:val="single" w:color="000000" w:sz="6" w:space="0"/>
            </w:tcBorders>
          </w:tcPr>
          <w:p w:rsidRPr="00C46E66" w:rsidR="00575A1F" w:rsidP="00D70D9F" w:rsidRDefault="00575A1F">
            <w:pPr>
              <w:pStyle w:val="Parastais"/>
              <w:jc w:val="center"/>
              <w:rPr>
                <w:sz w:val="26"/>
                <w:szCs w:val="26"/>
              </w:rPr>
            </w:pPr>
            <w:r w:rsidRPr="00C46E66">
              <w:rPr>
                <w:sz w:val="26"/>
                <w:szCs w:val="26"/>
              </w:rPr>
              <w:t>9.</w:t>
            </w:r>
          </w:p>
          <w:p w:rsidRPr="00C46E66" w:rsidR="00575A1F" w:rsidP="00D70D9F" w:rsidRDefault="00575A1F">
            <w:pPr>
              <w:pStyle w:val="Parastais"/>
              <w:jc w:val="center"/>
              <w:rPr>
                <w:sz w:val="26"/>
                <w:szCs w:val="26"/>
              </w:rPr>
            </w:pPr>
          </w:p>
          <w:p w:rsidRPr="00C46E66" w:rsidR="00575A1F" w:rsidP="00D70D9F" w:rsidRDefault="00575A1F">
            <w:pPr>
              <w:pStyle w:val="Parastais"/>
              <w:jc w:val="center"/>
              <w:rPr>
                <w:sz w:val="26"/>
                <w:szCs w:val="26"/>
              </w:rPr>
            </w:pPr>
          </w:p>
          <w:p w:rsidRPr="00C46E66" w:rsidR="00575A1F" w:rsidP="00D70D9F" w:rsidRDefault="00575A1F">
            <w:pPr>
              <w:pStyle w:val="Parastais"/>
              <w:jc w:val="center"/>
              <w:rPr>
                <w:sz w:val="26"/>
                <w:szCs w:val="26"/>
              </w:rPr>
            </w:pPr>
          </w:p>
        </w:tc>
        <w:tc>
          <w:tcPr>
            <w:tcW w:w="2519" w:type="dxa"/>
            <w:gridSpan w:val="2"/>
            <w:tcBorders>
              <w:left w:val="single" w:color="000000" w:sz="6" w:space="0"/>
              <w:bottom w:val="single" w:color="auto" w:sz="4" w:space="0"/>
              <w:right w:val="single" w:color="000000" w:sz="6" w:space="0"/>
            </w:tcBorders>
          </w:tcPr>
          <w:p w:rsidRPr="00C46E66" w:rsidR="00575A1F" w:rsidP="00D70D9F" w:rsidRDefault="00575A1F">
            <w:pPr>
              <w:pStyle w:val="naisc"/>
              <w:spacing w:before="0" w:after="0"/>
              <w:jc w:val="both"/>
              <w:rPr>
                <w:sz w:val="26"/>
                <w:szCs w:val="26"/>
              </w:rPr>
            </w:pPr>
            <w:r w:rsidRPr="00C46E66">
              <w:rPr>
                <w:sz w:val="26"/>
                <w:szCs w:val="26"/>
              </w:rPr>
              <w:t>Anotācijas III sadaļas 6.</w:t>
            </w:r>
            <w:r w:rsidR="00A53C96">
              <w:rPr>
                <w:sz w:val="26"/>
                <w:szCs w:val="26"/>
              </w:rPr>
              <w:t> </w:t>
            </w:r>
            <w:r w:rsidRPr="00C46E66">
              <w:rPr>
                <w:sz w:val="26"/>
                <w:szCs w:val="26"/>
              </w:rPr>
              <w:t>punkts:</w:t>
            </w:r>
          </w:p>
          <w:p w:rsidRPr="00C46E66" w:rsidR="00575A1F" w:rsidP="00575A1F" w:rsidRDefault="00575A1F">
            <w:pPr>
              <w:pStyle w:val="Sarakstarindkopa"/>
              <w:spacing w:after="0" w:line="240" w:lineRule="auto"/>
              <w:ind w:left="0"/>
              <w:jc w:val="both"/>
              <w:rPr>
                <w:rFonts w:ascii="Times New Roman" w:hAnsi="Times New Roman"/>
                <w:sz w:val="26"/>
                <w:szCs w:val="26"/>
                <w:lang w:eastAsia="lv-LV"/>
              </w:rPr>
            </w:pPr>
            <w:r w:rsidRPr="00C46E66">
              <w:rPr>
                <w:rFonts w:ascii="Times New Roman" w:hAnsi="Times New Roman"/>
                <w:sz w:val="26"/>
                <w:szCs w:val="26"/>
                <w:lang w:eastAsia="lv-LV"/>
              </w:rPr>
              <w:t>Atbilstoši Diasporas likuma 17.</w:t>
            </w:r>
            <w:r w:rsidR="00A53C96">
              <w:rPr>
                <w:rFonts w:ascii="Times New Roman" w:hAnsi="Times New Roman"/>
                <w:sz w:val="26"/>
                <w:szCs w:val="26"/>
                <w:lang w:eastAsia="lv-LV"/>
              </w:rPr>
              <w:t> </w:t>
            </w:r>
            <w:r w:rsidRPr="00C46E66">
              <w:rPr>
                <w:rFonts w:ascii="Times New Roman" w:hAnsi="Times New Roman"/>
                <w:sz w:val="26"/>
                <w:szCs w:val="26"/>
                <w:lang w:eastAsia="lv-LV"/>
              </w:rPr>
              <w:t>pantam un pārejas noteikumu 11.</w:t>
            </w:r>
            <w:r w:rsidR="00A53C96">
              <w:rPr>
                <w:rFonts w:ascii="Times New Roman" w:hAnsi="Times New Roman"/>
                <w:sz w:val="26"/>
                <w:szCs w:val="26"/>
                <w:lang w:eastAsia="lv-LV"/>
              </w:rPr>
              <w:t> </w:t>
            </w:r>
            <w:r w:rsidRPr="00C46E66">
              <w:rPr>
                <w:rFonts w:ascii="Times New Roman" w:hAnsi="Times New Roman"/>
                <w:sz w:val="26"/>
                <w:szCs w:val="26"/>
                <w:lang w:eastAsia="lv-LV"/>
              </w:rPr>
              <w:t>punktam d</w:t>
            </w:r>
            <w:r w:rsidRPr="00C46E66">
              <w:rPr>
                <w:rFonts w:ascii="Times New Roman" w:hAnsi="Times New Roman"/>
                <w:sz w:val="26"/>
                <w:szCs w:val="26"/>
              </w:rPr>
              <w:t xml:space="preserve">iasporas politiku finansē no valsts </w:t>
            </w:r>
            <w:r w:rsidRPr="00C46E66">
              <w:rPr>
                <w:rFonts w:ascii="Times New Roman" w:hAnsi="Times New Roman"/>
                <w:sz w:val="26"/>
                <w:szCs w:val="26"/>
              </w:rPr>
              <w:lastRenderedPageBreak/>
              <w:t xml:space="preserve">budžeta līdzekļiem, paredzot pienācīgu, ilgtermiņā plānojamu, diasporas skaitliskā sastāva un aktivitāšu dinamikai pielāgojamu finansējumu. Diasporas politiku var finansēt arī no citiem avotiem. Šā likuma </w:t>
            </w:r>
            <w:hyperlink w:history="1" w:anchor="p17" r:id="rId12">
              <w:r w:rsidRPr="00C46E66">
                <w:rPr>
                  <w:rFonts w:ascii="Times New Roman" w:hAnsi="Times New Roman"/>
                  <w:sz w:val="26"/>
                  <w:szCs w:val="26"/>
                </w:rPr>
                <w:t>17.</w:t>
              </w:r>
              <w:r w:rsidR="00A53C96">
                <w:rPr>
                  <w:rFonts w:ascii="Times New Roman" w:hAnsi="Times New Roman"/>
                  <w:sz w:val="26"/>
                  <w:szCs w:val="26"/>
                </w:rPr>
                <w:t> </w:t>
              </w:r>
              <w:r w:rsidRPr="00C46E66">
                <w:rPr>
                  <w:rFonts w:ascii="Times New Roman" w:hAnsi="Times New Roman"/>
                  <w:sz w:val="26"/>
                  <w:szCs w:val="26"/>
                </w:rPr>
                <w:t>pantā</w:t>
              </w:r>
            </w:hyperlink>
            <w:r w:rsidRPr="00C46E66">
              <w:rPr>
                <w:rFonts w:ascii="Times New Roman" w:hAnsi="Times New Roman"/>
                <w:sz w:val="26"/>
                <w:szCs w:val="26"/>
              </w:rPr>
              <w:t xml:space="preserve"> noteikto par to, ka diasporas politiku finansē no valsts budžeta līdzekļiem, paredzot pienācīgu, ilgtermiņā plānojamu, diasporas skaitliskā sastāva un aktivitāšu dinamikai pielāgojamu finansējumu, nodrošina ne vēlāk kā plānojot 2020.</w:t>
            </w:r>
            <w:r w:rsidR="00A53C96">
              <w:rPr>
                <w:rFonts w:ascii="Times New Roman" w:hAnsi="Times New Roman"/>
                <w:sz w:val="26"/>
                <w:szCs w:val="26"/>
              </w:rPr>
              <w:t> </w:t>
            </w:r>
            <w:r w:rsidRPr="00C46E66">
              <w:rPr>
                <w:rFonts w:ascii="Times New Roman" w:hAnsi="Times New Roman"/>
                <w:sz w:val="26"/>
                <w:szCs w:val="26"/>
              </w:rPr>
              <w:t>gada valsts budžetu.</w:t>
            </w:r>
          </w:p>
          <w:p w:rsidRPr="00C46E66" w:rsidR="00575A1F" w:rsidP="00D70D9F" w:rsidRDefault="00575A1F">
            <w:pPr>
              <w:pStyle w:val="naisc"/>
              <w:spacing w:before="0" w:after="0"/>
              <w:jc w:val="both"/>
              <w:rPr>
                <w:sz w:val="26"/>
                <w:szCs w:val="26"/>
              </w:rPr>
            </w:pPr>
          </w:p>
        </w:tc>
        <w:tc>
          <w:tcPr>
            <w:tcW w:w="4961" w:type="dxa"/>
            <w:tcBorders>
              <w:left w:val="single" w:color="000000" w:sz="6" w:space="0"/>
              <w:bottom w:val="single" w:color="auto" w:sz="4" w:space="0"/>
              <w:right w:val="single" w:color="000000" w:sz="6" w:space="0"/>
            </w:tcBorders>
          </w:tcPr>
          <w:p w:rsidRPr="00C46E66" w:rsidR="00575A1F" w:rsidP="00C46E66" w:rsidRDefault="00575A1F">
            <w:pPr>
              <w:pStyle w:val="naisc"/>
              <w:spacing w:before="0" w:after="0"/>
              <w:jc w:val="left"/>
              <w:rPr>
                <w:sz w:val="26"/>
                <w:szCs w:val="26"/>
              </w:rPr>
            </w:pPr>
            <w:r w:rsidRPr="00C46E66">
              <w:rPr>
                <w:b/>
                <w:bCs/>
                <w:sz w:val="26"/>
                <w:szCs w:val="26"/>
              </w:rPr>
              <w:lastRenderedPageBreak/>
              <w:t>Finanšu ministrija</w:t>
            </w:r>
            <w:r w:rsidRPr="00C46E66">
              <w:rPr>
                <w:sz w:val="26"/>
                <w:szCs w:val="26"/>
              </w:rPr>
              <w:t xml:space="preserve"> (19.07.2019.atzinums):</w:t>
            </w:r>
          </w:p>
          <w:p w:rsidRPr="00C46E66" w:rsidR="00575A1F" w:rsidP="00575A1F" w:rsidRDefault="00575A1F">
            <w:pPr>
              <w:pStyle w:val="Parastais"/>
              <w:jc w:val="both"/>
              <w:rPr>
                <w:sz w:val="26"/>
                <w:szCs w:val="26"/>
              </w:rPr>
            </w:pPr>
            <w:r w:rsidRPr="00C46E66">
              <w:rPr>
                <w:sz w:val="26"/>
                <w:szCs w:val="26"/>
              </w:rPr>
              <w:t>Jāsvītro anotācijas III sadaļas 6.punkta pēdējā rindkopā sniegtā informācija par Diasporas likuma 17.pantu un pārejas noteikumu 11.punktu, ņemot vērā, ka tā neattiecas uz nepieciešamā finansējuma aprēķiniem.</w:t>
            </w:r>
          </w:p>
          <w:p w:rsidRPr="00C46E66" w:rsidR="00575A1F" w:rsidP="00D70D9F" w:rsidRDefault="00575A1F">
            <w:pPr>
              <w:pStyle w:val="naisc"/>
              <w:spacing w:before="0" w:after="0"/>
              <w:jc w:val="both"/>
              <w:rPr>
                <w:b/>
                <w:sz w:val="26"/>
                <w:szCs w:val="26"/>
              </w:rPr>
            </w:pPr>
          </w:p>
        </w:tc>
        <w:tc>
          <w:tcPr>
            <w:tcW w:w="3402" w:type="dxa"/>
            <w:gridSpan w:val="2"/>
            <w:tcBorders>
              <w:left w:val="single" w:color="000000" w:sz="6" w:space="0"/>
              <w:bottom w:val="single" w:color="auto" w:sz="4" w:space="0"/>
              <w:right w:val="single" w:color="000000" w:sz="6" w:space="0"/>
            </w:tcBorders>
          </w:tcPr>
          <w:p w:rsidRPr="00C46E66" w:rsidR="00575A1F" w:rsidP="00D70D9F" w:rsidRDefault="00575A1F">
            <w:pPr>
              <w:pStyle w:val="naisc"/>
              <w:spacing w:before="0" w:after="0"/>
              <w:ind w:firstLine="316"/>
              <w:rPr>
                <w:sz w:val="26"/>
                <w:szCs w:val="26"/>
              </w:rPr>
            </w:pPr>
            <w:r w:rsidRPr="00C46E66">
              <w:rPr>
                <w:sz w:val="26"/>
                <w:szCs w:val="26"/>
              </w:rPr>
              <w:t>Ņemts vērā.</w:t>
            </w:r>
          </w:p>
        </w:tc>
        <w:tc>
          <w:tcPr>
            <w:tcW w:w="2552" w:type="dxa"/>
            <w:tcBorders>
              <w:top w:val="single" w:color="auto" w:sz="4" w:space="0"/>
              <w:left w:val="single" w:color="auto" w:sz="4" w:space="0"/>
              <w:bottom w:val="single" w:color="auto" w:sz="4" w:space="0"/>
            </w:tcBorders>
          </w:tcPr>
          <w:p w:rsidRPr="00C46E66" w:rsidR="00575A1F" w:rsidP="00D70D9F" w:rsidRDefault="00575A1F">
            <w:pPr>
              <w:pStyle w:val="Parastais"/>
              <w:jc w:val="both"/>
              <w:rPr>
                <w:sz w:val="26"/>
                <w:szCs w:val="26"/>
              </w:rPr>
            </w:pPr>
            <w:r w:rsidRPr="00C46E66">
              <w:rPr>
                <w:sz w:val="26"/>
                <w:szCs w:val="26"/>
              </w:rPr>
              <w:t xml:space="preserve">Tā kā ir būtiski norādīt, ka likumdevējs ir pieņēmis lēmumu, ka diasporas politiku finansē no valsts budžeta līdzekļiem, paredzot pienācīgu, </w:t>
            </w:r>
            <w:r w:rsidRPr="00C46E66">
              <w:rPr>
                <w:sz w:val="26"/>
                <w:szCs w:val="26"/>
              </w:rPr>
              <w:lastRenderedPageBreak/>
              <w:t>ilgtermiņā plānojamu, diasporas skaitliskā sastāva un aktivitāšu dinamikai pielāgojamu finansējumu</w:t>
            </w:r>
            <w:r w:rsidR="008F2AC3">
              <w:rPr>
                <w:sz w:val="26"/>
                <w:szCs w:val="26"/>
              </w:rPr>
              <w:t>,</w:t>
            </w:r>
            <w:r w:rsidRPr="00C46E66">
              <w:rPr>
                <w:sz w:val="26"/>
                <w:szCs w:val="26"/>
              </w:rPr>
              <w:t xml:space="preserve"> un tas ir jānodrošina ne vēlāk kā plānojot 2020.</w:t>
            </w:r>
            <w:r w:rsidR="008F2AC3">
              <w:rPr>
                <w:sz w:val="26"/>
                <w:szCs w:val="26"/>
              </w:rPr>
              <w:t> </w:t>
            </w:r>
            <w:r w:rsidRPr="00C46E66">
              <w:rPr>
                <w:sz w:val="26"/>
                <w:szCs w:val="26"/>
              </w:rPr>
              <w:t>gada valsts budžetu, atsauce uz Diasporas likumu ir ietverta anotācijas III</w:t>
            </w:r>
            <w:r w:rsidR="008F2AC3">
              <w:rPr>
                <w:sz w:val="26"/>
                <w:szCs w:val="26"/>
              </w:rPr>
              <w:t> </w:t>
            </w:r>
            <w:r w:rsidRPr="00C46E66">
              <w:rPr>
                <w:sz w:val="26"/>
                <w:szCs w:val="26"/>
              </w:rPr>
              <w:t>sadaļas 8.</w:t>
            </w:r>
            <w:r w:rsidR="008F2AC3">
              <w:rPr>
                <w:sz w:val="26"/>
                <w:szCs w:val="26"/>
              </w:rPr>
              <w:t> </w:t>
            </w:r>
            <w:r w:rsidRPr="00C46E66">
              <w:rPr>
                <w:sz w:val="26"/>
                <w:szCs w:val="26"/>
              </w:rPr>
              <w:t>punktā: "Atbilstoši Diasporas likuma 17.</w:t>
            </w:r>
            <w:r w:rsidR="008F2AC3">
              <w:rPr>
                <w:sz w:val="26"/>
                <w:szCs w:val="26"/>
              </w:rPr>
              <w:t> </w:t>
            </w:r>
            <w:r w:rsidRPr="00C46E66">
              <w:rPr>
                <w:sz w:val="26"/>
                <w:szCs w:val="26"/>
              </w:rPr>
              <w:t>pantam un pārejas noteikumu 11.</w:t>
            </w:r>
            <w:r w:rsidR="008F2AC3">
              <w:rPr>
                <w:sz w:val="26"/>
                <w:szCs w:val="26"/>
              </w:rPr>
              <w:t> </w:t>
            </w:r>
            <w:r w:rsidRPr="00C46E66">
              <w:rPr>
                <w:sz w:val="26"/>
                <w:szCs w:val="26"/>
              </w:rPr>
              <w:t xml:space="preserve">punktam diasporas politiku finansē no valsts budžeta līdzekļiem, paredzot pienācīgu, ilgtermiņā plānojamu, diasporas skaitliskā sastāva un aktivitāšu dinamikai pielāgojamu finansējumu. Diasporas politiku var finansēt arī no citiem avotiem. Šā likuma </w:t>
            </w:r>
            <w:hyperlink w:history="1" w:anchor="p17" r:id="rId13">
              <w:r w:rsidRPr="00C46E66">
                <w:rPr>
                  <w:sz w:val="26"/>
                  <w:szCs w:val="26"/>
                </w:rPr>
                <w:t>17.</w:t>
              </w:r>
              <w:r w:rsidR="008F2AC3">
                <w:rPr>
                  <w:sz w:val="26"/>
                  <w:szCs w:val="26"/>
                </w:rPr>
                <w:t> </w:t>
              </w:r>
              <w:r w:rsidRPr="00C46E66">
                <w:rPr>
                  <w:sz w:val="26"/>
                  <w:szCs w:val="26"/>
                </w:rPr>
                <w:t>pantā</w:t>
              </w:r>
            </w:hyperlink>
            <w:r w:rsidRPr="00C46E66">
              <w:rPr>
                <w:sz w:val="26"/>
                <w:szCs w:val="26"/>
              </w:rPr>
              <w:t xml:space="preserve"> noteikto par to, ka diasporas politiku finansē no valsts budžeta līdzekļiem, paredzot pienācīgu, ilgtermiņā plānojamu, diasporas skaitliskā sastāva un aktivitāšu dinamikai pielāgojamu finansējumu, nodrošina ne vēlāk kā plānojot 2020.</w:t>
            </w:r>
            <w:r w:rsidR="008F2AC3">
              <w:rPr>
                <w:sz w:val="26"/>
                <w:szCs w:val="26"/>
              </w:rPr>
              <w:t> </w:t>
            </w:r>
            <w:r w:rsidRPr="00C46E66">
              <w:rPr>
                <w:sz w:val="26"/>
                <w:szCs w:val="26"/>
              </w:rPr>
              <w:t>gada valsts budžetu."</w:t>
            </w:r>
          </w:p>
          <w:p w:rsidRPr="00C46E66" w:rsidR="00575A1F" w:rsidP="00D70D9F" w:rsidRDefault="00575A1F">
            <w:pPr>
              <w:pStyle w:val="Parastais"/>
              <w:jc w:val="both"/>
              <w:rPr>
                <w:sz w:val="26"/>
                <w:szCs w:val="26"/>
              </w:rPr>
            </w:pPr>
          </w:p>
        </w:tc>
      </w:tr>
      <w:tr w:rsidRPr="00C46E66" w:rsidR="00BD518F" w:rsidTr="00D70D9F">
        <w:tblPrEx>
          <w:tblBorders>
            <w:top w:val="none" w:color="auto" w:sz="0" w:space="0"/>
            <w:left w:val="none" w:color="auto" w:sz="0" w:space="0"/>
            <w:bottom w:val="none" w:color="auto" w:sz="0" w:space="0"/>
            <w:right w:val="none" w:color="auto" w:sz="0" w:space="0"/>
          </w:tblBorders>
        </w:tblPrEx>
        <w:trPr>
          <w:gridAfter w:val="2"/>
          <w:wAfter w:w="4855" w:type="dxa"/>
        </w:trPr>
        <w:tc>
          <w:tcPr>
            <w:tcW w:w="3108" w:type="dxa"/>
            <w:gridSpan w:val="2"/>
          </w:tcPr>
          <w:p w:rsidRPr="00C46E66" w:rsidR="00BD518F" w:rsidP="00D70D9F" w:rsidRDefault="00BD518F">
            <w:pPr>
              <w:pStyle w:val="naiskr"/>
              <w:spacing w:before="0" w:after="0"/>
              <w:rPr>
                <w:sz w:val="26"/>
                <w:szCs w:val="26"/>
              </w:rPr>
            </w:pPr>
          </w:p>
          <w:p w:rsidRPr="00C46E66" w:rsidR="00BD518F" w:rsidP="00D70D9F" w:rsidRDefault="00BD518F">
            <w:pPr>
              <w:pStyle w:val="naiskr"/>
              <w:spacing w:before="0" w:after="0"/>
              <w:rPr>
                <w:sz w:val="26"/>
                <w:szCs w:val="26"/>
              </w:rPr>
            </w:pPr>
            <w:r w:rsidRPr="00C46E66">
              <w:rPr>
                <w:sz w:val="26"/>
                <w:szCs w:val="26"/>
              </w:rPr>
              <w:t>Atbildīgā amatpersona</w:t>
            </w:r>
          </w:p>
        </w:tc>
        <w:tc>
          <w:tcPr>
            <w:tcW w:w="6179" w:type="dxa"/>
            <w:gridSpan w:val="3"/>
          </w:tcPr>
          <w:p w:rsidRPr="00C46E66" w:rsidR="00BD518F" w:rsidP="00D70D9F" w:rsidRDefault="00BD518F">
            <w:pPr>
              <w:pStyle w:val="naiskr"/>
              <w:spacing w:before="0" w:after="0"/>
              <w:ind w:firstLine="720"/>
              <w:rPr>
                <w:sz w:val="26"/>
                <w:szCs w:val="26"/>
              </w:rPr>
            </w:pPr>
          </w:p>
        </w:tc>
      </w:tr>
      <w:tr w:rsidRPr="00C46E66" w:rsidR="00BD518F" w:rsidTr="00D70D9F">
        <w:tblPrEx>
          <w:tblBorders>
            <w:top w:val="none" w:color="auto" w:sz="0" w:space="0"/>
            <w:left w:val="none" w:color="auto" w:sz="0" w:space="0"/>
            <w:bottom w:val="none" w:color="auto" w:sz="0" w:space="0"/>
            <w:right w:val="none" w:color="auto" w:sz="0" w:space="0"/>
          </w:tblBorders>
        </w:tblPrEx>
        <w:trPr>
          <w:gridAfter w:val="2"/>
          <w:wAfter w:w="4855" w:type="dxa"/>
        </w:trPr>
        <w:tc>
          <w:tcPr>
            <w:tcW w:w="3108" w:type="dxa"/>
            <w:gridSpan w:val="2"/>
          </w:tcPr>
          <w:p w:rsidR="00BD518F" w:rsidP="00D70D9F" w:rsidRDefault="00BD518F">
            <w:pPr>
              <w:pStyle w:val="naiskr"/>
              <w:spacing w:before="0" w:after="0"/>
              <w:ind w:firstLine="720"/>
              <w:rPr>
                <w:sz w:val="26"/>
                <w:szCs w:val="26"/>
              </w:rPr>
            </w:pPr>
          </w:p>
          <w:p w:rsidRPr="00C46E66" w:rsidR="008F2AC3" w:rsidP="00D70D9F" w:rsidRDefault="008F2AC3">
            <w:pPr>
              <w:pStyle w:val="naiskr"/>
              <w:spacing w:before="0" w:after="0"/>
              <w:ind w:firstLine="720"/>
              <w:rPr>
                <w:sz w:val="26"/>
                <w:szCs w:val="26"/>
              </w:rPr>
            </w:pPr>
          </w:p>
        </w:tc>
        <w:tc>
          <w:tcPr>
            <w:tcW w:w="6179" w:type="dxa"/>
            <w:gridSpan w:val="3"/>
            <w:tcBorders>
              <w:top w:val="single" w:color="000000" w:sz="6" w:space="0"/>
            </w:tcBorders>
          </w:tcPr>
          <w:p w:rsidRPr="00C46E66" w:rsidR="00BD518F" w:rsidP="00D70D9F" w:rsidRDefault="00BD518F">
            <w:pPr>
              <w:pStyle w:val="naisc"/>
              <w:spacing w:before="0" w:after="0"/>
              <w:ind w:firstLine="720"/>
              <w:rPr>
                <w:sz w:val="26"/>
                <w:szCs w:val="26"/>
              </w:rPr>
            </w:pPr>
            <w:r w:rsidRPr="00C46E66">
              <w:rPr>
                <w:sz w:val="26"/>
                <w:szCs w:val="26"/>
              </w:rPr>
              <w:t>(paraksts)</w:t>
            </w:r>
          </w:p>
        </w:tc>
      </w:tr>
    </w:tbl>
    <w:p w:rsidRPr="00C46E66" w:rsidR="001E2F12" w:rsidP="008653FE" w:rsidRDefault="000F530B">
      <w:pPr>
        <w:pStyle w:val="naisf"/>
        <w:spacing w:before="0" w:after="0"/>
        <w:ind w:firstLine="0"/>
        <w:rPr>
          <w:sz w:val="26"/>
          <w:szCs w:val="26"/>
        </w:rPr>
      </w:pPr>
      <w:r w:rsidRPr="00C46E66">
        <w:rPr>
          <w:sz w:val="26"/>
          <w:szCs w:val="26"/>
        </w:rPr>
        <w:t>Inta Salinieka</w:t>
      </w:r>
    </w:p>
    <w:tbl>
      <w:tblPr>
        <w:tblW w:w="0" w:type="auto"/>
        <w:tblLook w:val="00A0" w:firstRow="1" w:lastRow="0" w:firstColumn="1" w:lastColumn="0" w:noHBand="0" w:noVBand="0"/>
      </w:tblPr>
      <w:tblGrid>
        <w:gridCol w:w="8268"/>
      </w:tblGrid>
      <w:tr w:rsidRPr="00C46E66" w:rsidR="001E2F12" w:rsidTr="00B73B69">
        <w:tc>
          <w:tcPr>
            <w:tcW w:w="8268" w:type="dxa"/>
            <w:tcBorders>
              <w:top w:val="single" w:color="000000" w:sz="4" w:space="0"/>
            </w:tcBorders>
          </w:tcPr>
          <w:p w:rsidRPr="00C46E66" w:rsidR="001E2F12" w:rsidP="00B73B69" w:rsidRDefault="001E2F12">
            <w:pPr>
              <w:pStyle w:val="Parastais"/>
              <w:jc w:val="center"/>
              <w:rPr>
                <w:sz w:val="26"/>
                <w:szCs w:val="26"/>
              </w:rPr>
            </w:pPr>
          </w:p>
        </w:tc>
      </w:tr>
      <w:tr w:rsidRPr="00C46E66" w:rsidR="001E2F12" w:rsidTr="00B73B69">
        <w:tc>
          <w:tcPr>
            <w:tcW w:w="8268" w:type="dxa"/>
            <w:tcBorders>
              <w:bottom w:val="single" w:color="000000" w:sz="4" w:space="0"/>
            </w:tcBorders>
          </w:tcPr>
          <w:p w:rsidRPr="00C46E66" w:rsidR="001E2F12" w:rsidP="00B73B69" w:rsidRDefault="001E2F12">
            <w:pPr>
              <w:pStyle w:val="Parastais"/>
              <w:rPr>
                <w:sz w:val="26"/>
                <w:szCs w:val="26"/>
              </w:rPr>
            </w:pPr>
            <w:r w:rsidRPr="00C46E66">
              <w:rPr>
                <w:sz w:val="26"/>
                <w:szCs w:val="26"/>
              </w:rPr>
              <w:t>Tieslietu ministrijas Valststiesību departamenta direktore</w:t>
            </w:r>
          </w:p>
        </w:tc>
      </w:tr>
      <w:tr w:rsidRPr="00C46E66" w:rsidR="001E2F12" w:rsidTr="00B73B69">
        <w:tc>
          <w:tcPr>
            <w:tcW w:w="8268" w:type="dxa"/>
            <w:tcBorders>
              <w:top w:val="single" w:color="000000" w:sz="4" w:space="0"/>
            </w:tcBorders>
          </w:tcPr>
          <w:p w:rsidRPr="00C46E66" w:rsidR="001E2F12" w:rsidP="00B73B69" w:rsidRDefault="001E2F12">
            <w:pPr>
              <w:pStyle w:val="Parastais"/>
              <w:jc w:val="center"/>
              <w:rPr>
                <w:sz w:val="26"/>
                <w:szCs w:val="26"/>
              </w:rPr>
            </w:pPr>
          </w:p>
        </w:tc>
      </w:tr>
      <w:tr w:rsidRPr="00C46E66" w:rsidR="001E2F12" w:rsidTr="00B73B69">
        <w:tc>
          <w:tcPr>
            <w:tcW w:w="8268" w:type="dxa"/>
            <w:tcBorders>
              <w:bottom w:val="single" w:color="000000" w:sz="4" w:space="0"/>
            </w:tcBorders>
          </w:tcPr>
          <w:p w:rsidRPr="00C46E66" w:rsidR="001E2F12" w:rsidP="00B73B69" w:rsidRDefault="000F530B">
            <w:pPr>
              <w:pStyle w:val="Parastais"/>
              <w:rPr>
                <w:sz w:val="26"/>
                <w:szCs w:val="26"/>
              </w:rPr>
            </w:pPr>
            <w:r w:rsidRPr="00C46E66">
              <w:rPr>
                <w:sz w:val="26"/>
                <w:szCs w:val="26"/>
              </w:rPr>
              <w:t>67036980</w:t>
            </w:r>
          </w:p>
        </w:tc>
      </w:tr>
      <w:tr w:rsidRPr="00C46E66" w:rsidR="001E2F12" w:rsidTr="00B73B69">
        <w:tc>
          <w:tcPr>
            <w:tcW w:w="8268" w:type="dxa"/>
            <w:tcBorders>
              <w:top w:val="single" w:color="000000" w:sz="4" w:space="0"/>
            </w:tcBorders>
          </w:tcPr>
          <w:p w:rsidRPr="00C46E66" w:rsidR="001E2F12" w:rsidP="00B73B69" w:rsidRDefault="001E2F12">
            <w:pPr>
              <w:pStyle w:val="Parastais"/>
              <w:jc w:val="center"/>
              <w:rPr>
                <w:sz w:val="26"/>
                <w:szCs w:val="26"/>
              </w:rPr>
            </w:pPr>
          </w:p>
        </w:tc>
      </w:tr>
      <w:tr w:rsidRPr="00C46E66" w:rsidR="001E2F12" w:rsidTr="00B73B69">
        <w:tc>
          <w:tcPr>
            <w:tcW w:w="8268" w:type="dxa"/>
            <w:tcBorders>
              <w:bottom w:val="single" w:color="000000" w:sz="4" w:space="0"/>
            </w:tcBorders>
          </w:tcPr>
          <w:p w:rsidRPr="00C46E66" w:rsidR="001E2F12" w:rsidP="00B73B69" w:rsidRDefault="000F530B">
            <w:pPr>
              <w:pStyle w:val="Parastais"/>
              <w:rPr>
                <w:sz w:val="26"/>
                <w:szCs w:val="26"/>
              </w:rPr>
            </w:pPr>
            <w:r w:rsidRPr="00C46E66">
              <w:rPr>
                <w:sz w:val="26"/>
                <w:szCs w:val="26"/>
              </w:rPr>
              <w:t>Inta</w:t>
            </w:r>
            <w:r w:rsidRPr="00C46E66" w:rsidR="001E2F12">
              <w:rPr>
                <w:sz w:val="26"/>
                <w:szCs w:val="26"/>
              </w:rPr>
              <w:t>.</w:t>
            </w:r>
            <w:r w:rsidRPr="00C46E66">
              <w:rPr>
                <w:sz w:val="26"/>
                <w:szCs w:val="26"/>
              </w:rPr>
              <w:t>Salinieka</w:t>
            </w:r>
            <w:r w:rsidRPr="00C46E66" w:rsidR="001E2F12">
              <w:rPr>
                <w:sz w:val="26"/>
                <w:szCs w:val="26"/>
              </w:rPr>
              <w:t>@tm.gov.lv</w:t>
            </w:r>
          </w:p>
        </w:tc>
      </w:tr>
      <w:tr w:rsidRPr="00C46E66" w:rsidR="001E2F12" w:rsidTr="00B73B69">
        <w:tc>
          <w:tcPr>
            <w:tcW w:w="8268" w:type="dxa"/>
            <w:tcBorders>
              <w:top w:val="single" w:color="000000" w:sz="4" w:space="0"/>
            </w:tcBorders>
          </w:tcPr>
          <w:p w:rsidRPr="00C46E66" w:rsidR="001E2F12" w:rsidP="00B73B69" w:rsidRDefault="001E2F12">
            <w:pPr>
              <w:pStyle w:val="Parastais"/>
              <w:jc w:val="center"/>
              <w:rPr>
                <w:sz w:val="26"/>
                <w:szCs w:val="26"/>
              </w:rPr>
            </w:pPr>
          </w:p>
        </w:tc>
      </w:tr>
    </w:tbl>
    <w:p w:rsidRPr="00C46E66" w:rsidR="007B0674" w:rsidP="008F2AC3" w:rsidRDefault="007B0674">
      <w:pPr>
        <w:pStyle w:val="naisf"/>
        <w:tabs>
          <w:tab w:val="left" w:pos="6840"/>
        </w:tabs>
        <w:spacing w:before="0" w:after="0"/>
        <w:ind w:firstLine="0"/>
        <w:rPr>
          <w:sz w:val="26"/>
          <w:szCs w:val="26"/>
        </w:rPr>
      </w:pPr>
    </w:p>
    <w:sectPr w:rsidRPr="00C46E66" w:rsidR="007B0674" w:rsidSect="00863627">
      <w:headerReference w:type="even" r:id="rId14"/>
      <w:headerReference w:type="default" r:id="rId15"/>
      <w:footerReference w:type="default" r:id="rId16"/>
      <w:footerReference w:type="first" r:id="rId17"/>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DC0" w:rsidRDefault="00A64DC0">
      <w:pPr>
        <w:pStyle w:val="Parastais"/>
      </w:pPr>
      <w:r>
        <w:separator/>
      </w:r>
    </w:p>
  </w:endnote>
  <w:endnote w:type="continuationSeparator" w:id="0">
    <w:p w:rsidR="00A64DC0" w:rsidRDefault="00A64DC0">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62A" w:rsidRPr="004A5B15" w:rsidRDefault="0089741A" w:rsidP="00153D5A">
    <w:pPr>
      <w:pStyle w:val="naisnod"/>
      <w:spacing w:before="0" w:after="0"/>
      <w:jc w:val="both"/>
    </w:pPr>
    <w:r w:rsidRPr="004C22AF">
      <w:rPr>
        <w:b w:val="0"/>
        <w:sz w:val="20"/>
        <w:szCs w:val="20"/>
      </w:rPr>
      <w:fldChar w:fldCharType="begin"/>
    </w:r>
    <w:r w:rsidRPr="004C22AF">
      <w:rPr>
        <w:b w:val="0"/>
        <w:sz w:val="20"/>
        <w:szCs w:val="20"/>
      </w:rPr>
      <w:instrText xml:space="preserve"> FILENAME   \* MERGEFORMAT </w:instrText>
    </w:r>
    <w:r w:rsidRPr="004C22AF">
      <w:rPr>
        <w:b w:val="0"/>
        <w:sz w:val="20"/>
        <w:szCs w:val="20"/>
      </w:rPr>
      <w:fldChar w:fldCharType="separate"/>
    </w:r>
    <w:r w:rsidR="00940C06">
      <w:rPr>
        <w:b w:val="0"/>
        <w:noProof/>
        <w:sz w:val="20"/>
        <w:szCs w:val="20"/>
      </w:rPr>
      <w:t>TMIzz_210819_pasv_veles</w:t>
    </w:r>
    <w:r w:rsidRPr="004C22AF">
      <w:rPr>
        <w:b w:val="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62A" w:rsidRPr="00153D5A" w:rsidRDefault="00D8662A" w:rsidP="004C22AF">
    <w:pPr>
      <w:pStyle w:val="Kjene"/>
      <w:rPr>
        <w:bCs/>
      </w:rPr>
    </w:pPr>
    <w:r w:rsidRPr="00153D5A">
      <w:rPr>
        <w:bCs/>
        <w:sz w:val="20"/>
        <w:szCs w:val="20"/>
      </w:rPr>
      <w:fldChar w:fldCharType="begin"/>
    </w:r>
    <w:r w:rsidRPr="00153D5A">
      <w:rPr>
        <w:bCs/>
        <w:sz w:val="20"/>
        <w:szCs w:val="20"/>
      </w:rPr>
      <w:instrText xml:space="preserve"> FILENAME   \* MERGEFORMAT </w:instrText>
    </w:r>
    <w:r w:rsidRPr="00153D5A">
      <w:rPr>
        <w:bCs/>
        <w:sz w:val="20"/>
        <w:szCs w:val="20"/>
      </w:rPr>
      <w:fldChar w:fldCharType="separate"/>
    </w:r>
    <w:r w:rsidR="00940C06">
      <w:rPr>
        <w:bCs/>
        <w:noProof/>
        <w:sz w:val="20"/>
        <w:szCs w:val="20"/>
      </w:rPr>
      <w:t>TMIzz_210819_pasv_veles</w:t>
    </w:r>
    <w:r w:rsidRPr="00153D5A">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DC0" w:rsidRDefault="00A64DC0">
      <w:pPr>
        <w:pStyle w:val="Parastais"/>
      </w:pPr>
      <w:r>
        <w:separator/>
      </w:r>
    </w:p>
  </w:footnote>
  <w:footnote w:type="continuationSeparator" w:id="0">
    <w:p w:rsidR="00A64DC0" w:rsidRDefault="00A64DC0">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62A" w:rsidP="00364BB6" w:rsidRDefault="00D8662A">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8662A" w:rsidRDefault="00D8662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62A" w:rsidP="00364BB6" w:rsidRDefault="00D8662A">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A6ECF">
      <w:rPr>
        <w:rStyle w:val="Lappusesnumurs"/>
        <w:noProof/>
      </w:rPr>
      <w:t>50</w:t>
    </w:r>
    <w:r>
      <w:rPr>
        <w:rStyle w:val="Lappusesnumurs"/>
      </w:rPr>
      <w:fldChar w:fldCharType="end"/>
    </w:r>
  </w:p>
  <w:p w:rsidR="00D8662A" w:rsidRDefault="00D8662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4717A"/>
    <w:multiLevelType w:val="hybridMultilevel"/>
    <w:tmpl w:val="9F38AF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369447C"/>
    <w:multiLevelType w:val="hybridMultilevel"/>
    <w:tmpl w:val="C8DE8FB2"/>
    <w:lvl w:ilvl="0" w:tplc="519420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3914468"/>
    <w:multiLevelType w:val="hybridMultilevel"/>
    <w:tmpl w:val="99C82AD2"/>
    <w:lvl w:ilvl="0" w:tplc="95E61B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3"/>
  </w:num>
  <w:num w:numId="5">
    <w:abstractNumId w:val="2"/>
  </w:num>
  <w:num w:numId="6">
    <w:abstractNumId w:val="5"/>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CE4"/>
    <w:rsid w:val="00000FCB"/>
    <w:rsid w:val="00001F89"/>
    <w:rsid w:val="00003C53"/>
    <w:rsid w:val="0000456E"/>
    <w:rsid w:val="000055EA"/>
    <w:rsid w:val="000058B4"/>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2D01"/>
    <w:rsid w:val="00023FD6"/>
    <w:rsid w:val="0002416A"/>
    <w:rsid w:val="00024CCD"/>
    <w:rsid w:val="00024D20"/>
    <w:rsid w:val="000253DB"/>
    <w:rsid w:val="00025E34"/>
    <w:rsid w:val="000278E7"/>
    <w:rsid w:val="00027A63"/>
    <w:rsid w:val="00027F9D"/>
    <w:rsid w:val="000304A6"/>
    <w:rsid w:val="000307B5"/>
    <w:rsid w:val="00030ABD"/>
    <w:rsid w:val="00032457"/>
    <w:rsid w:val="0003413A"/>
    <w:rsid w:val="000348F5"/>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44E1"/>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646"/>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6ED"/>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30B"/>
    <w:rsid w:val="000F57C3"/>
    <w:rsid w:val="000F5C37"/>
    <w:rsid w:val="000F5DF0"/>
    <w:rsid w:val="000F6A0B"/>
    <w:rsid w:val="000F7695"/>
    <w:rsid w:val="001012E3"/>
    <w:rsid w:val="00101EEB"/>
    <w:rsid w:val="001023BB"/>
    <w:rsid w:val="0010375A"/>
    <w:rsid w:val="001038ED"/>
    <w:rsid w:val="001042B0"/>
    <w:rsid w:val="0010535B"/>
    <w:rsid w:val="00106F4F"/>
    <w:rsid w:val="001071D3"/>
    <w:rsid w:val="001075A8"/>
    <w:rsid w:val="00107963"/>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5B5C"/>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D5A"/>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6F61"/>
    <w:rsid w:val="00197533"/>
    <w:rsid w:val="001977E7"/>
    <w:rsid w:val="00197CCA"/>
    <w:rsid w:val="001A0D8A"/>
    <w:rsid w:val="001A1758"/>
    <w:rsid w:val="001A192D"/>
    <w:rsid w:val="001A7C72"/>
    <w:rsid w:val="001B084B"/>
    <w:rsid w:val="001B0BF4"/>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2A2F"/>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2F12"/>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8C9"/>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9D7"/>
    <w:rsid w:val="00256E55"/>
    <w:rsid w:val="00257E0E"/>
    <w:rsid w:val="00257FF4"/>
    <w:rsid w:val="00260FCB"/>
    <w:rsid w:val="002615F5"/>
    <w:rsid w:val="002616B9"/>
    <w:rsid w:val="0026217B"/>
    <w:rsid w:val="002629E4"/>
    <w:rsid w:val="002635A8"/>
    <w:rsid w:val="00263FE3"/>
    <w:rsid w:val="00265593"/>
    <w:rsid w:val="00265E39"/>
    <w:rsid w:val="002675EA"/>
    <w:rsid w:val="00267BC5"/>
    <w:rsid w:val="00267CBE"/>
    <w:rsid w:val="00267E0B"/>
    <w:rsid w:val="00270680"/>
    <w:rsid w:val="00271103"/>
    <w:rsid w:val="00271E88"/>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4246"/>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184"/>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6AD7"/>
    <w:rsid w:val="002E7562"/>
    <w:rsid w:val="002F071F"/>
    <w:rsid w:val="002F16D5"/>
    <w:rsid w:val="002F1A90"/>
    <w:rsid w:val="002F1C2F"/>
    <w:rsid w:val="002F1F4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641"/>
    <w:rsid w:val="00350797"/>
    <w:rsid w:val="00351A85"/>
    <w:rsid w:val="003522E8"/>
    <w:rsid w:val="00353989"/>
    <w:rsid w:val="00353F56"/>
    <w:rsid w:val="00355B7A"/>
    <w:rsid w:val="0035617C"/>
    <w:rsid w:val="00356613"/>
    <w:rsid w:val="00356E7E"/>
    <w:rsid w:val="00356EB8"/>
    <w:rsid w:val="00357B83"/>
    <w:rsid w:val="003614A8"/>
    <w:rsid w:val="0036160E"/>
    <w:rsid w:val="003623E0"/>
    <w:rsid w:val="00362610"/>
    <w:rsid w:val="00363830"/>
    <w:rsid w:val="00363D2D"/>
    <w:rsid w:val="00364BB6"/>
    <w:rsid w:val="00364D6B"/>
    <w:rsid w:val="00365408"/>
    <w:rsid w:val="00365809"/>
    <w:rsid w:val="00365CC0"/>
    <w:rsid w:val="003668DF"/>
    <w:rsid w:val="00367688"/>
    <w:rsid w:val="00372221"/>
    <w:rsid w:val="00372CF2"/>
    <w:rsid w:val="00374C7E"/>
    <w:rsid w:val="00375650"/>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593"/>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C7B51"/>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A84"/>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088"/>
    <w:rsid w:val="0040578B"/>
    <w:rsid w:val="00406393"/>
    <w:rsid w:val="004065D6"/>
    <w:rsid w:val="0040687D"/>
    <w:rsid w:val="0040709D"/>
    <w:rsid w:val="0040713F"/>
    <w:rsid w:val="004075A3"/>
    <w:rsid w:val="00410C48"/>
    <w:rsid w:val="00412159"/>
    <w:rsid w:val="00416277"/>
    <w:rsid w:val="00416E24"/>
    <w:rsid w:val="0042063D"/>
    <w:rsid w:val="00422B23"/>
    <w:rsid w:val="00423A60"/>
    <w:rsid w:val="0042651C"/>
    <w:rsid w:val="00426E9B"/>
    <w:rsid w:val="00427D55"/>
    <w:rsid w:val="0043233C"/>
    <w:rsid w:val="004345A6"/>
    <w:rsid w:val="00434D50"/>
    <w:rsid w:val="00435B2F"/>
    <w:rsid w:val="00435E03"/>
    <w:rsid w:val="004373E1"/>
    <w:rsid w:val="004374A3"/>
    <w:rsid w:val="00437A7E"/>
    <w:rsid w:val="00437B6C"/>
    <w:rsid w:val="00440144"/>
    <w:rsid w:val="0044064E"/>
    <w:rsid w:val="00440805"/>
    <w:rsid w:val="00440EEA"/>
    <w:rsid w:val="004412E1"/>
    <w:rsid w:val="00441554"/>
    <w:rsid w:val="00442E48"/>
    <w:rsid w:val="00443DCD"/>
    <w:rsid w:val="00443E7E"/>
    <w:rsid w:val="00444C06"/>
    <w:rsid w:val="004454DF"/>
    <w:rsid w:val="00446804"/>
    <w:rsid w:val="00446832"/>
    <w:rsid w:val="004478D4"/>
    <w:rsid w:val="00450380"/>
    <w:rsid w:val="004505C6"/>
    <w:rsid w:val="004517C4"/>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173E"/>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22C"/>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C5E"/>
    <w:rsid w:val="00495EF1"/>
    <w:rsid w:val="00496ED4"/>
    <w:rsid w:val="00497D4A"/>
    <w:rsid w:val="004A0441"/>
    <w:rsid w:val="004A084C"/>
    <w:rsid w:val="004A15B3"/>
    <w:rsid w:val="004A1D01"/>
    <w:rsid w:val="004A2A54"/>
    <w:rsid w:val="004A2EF3"/>
    <w:rsid w:val="004A3B0D"/>
    <w:rsid w:val="004A52F5"/>
    <w:rsid w:val="004A5B15"/>
    <w:rsid w:val="004A5D29"/>
    <w:rsid w:val="004A5D3A"/>
    <w:rsid w:val="004A6897"/>
    <w:rsid w:val="004A692B"/>
    <w:rsid w:val="004A6EB6"/>
    <w:rsid w:val="004A794C"/>
    <w:rsid w:val="004B3EC7"/>
    <w:rsid w:val="004B473A"/>
    <w:rsid w:val="004B5664"/>
    <w:rsid w:val="004C2107"/>
    <w:rsid w:val="004C22AF"/>
    <w:rsid w:val="004C55C9"/>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484"/>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17EED"/>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4A49"/>
    <w:rsid w:val="00546747"/>
    <w:rsid w:val="00547510"/>
    <w:rsid w:val="00547D9C"/>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600C"/>
    <w:rsid w:val="00567E8F"/>
    <w:rsid w:val="005702D6"/>
    <w:rsid w:val="00572588"/>
    <w:rsid w:val="00573A50"/>
    <w:rsid w:val="005746D2"/>
    <w:rsid w:val="00574E8A"/>
    <w:rsid w:val="00575A1F"/>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0334"/>
    <w:rsid w:val="005F1EAC"/>
    <w:rsid w:val="005F308F"/>
    <w:rsid w:val="005F4869"/>
    <w:rsid w:val="005F4BFD"/>
    <w:rsid w:val="005F5748"/>
    <w:rsid w:val="005F5834"/>
    <w:rsid w:val="005F5E11"/>
    <w:rsid w:val="006003E5"/>
    <w:rsid w:val="006007C4"/>
    <w:rsid w:val="00600E63"/>
    <w:rsid w:val="00601561"/>
    <w:rsid w:val="00601E55"/>
    <w:rsid w:val="00602037"/>
    <w:rsid w:val="006029DD"/>
    <w:rsid w:val="00602C6A"/>
    <w:rsid w:val="00603AF5"/>
    <w:rsid w:val="00606C66"/>
    <w:rsid w:val="00610145"/>
    <w:rsid w:val="00610D1F"/>
    <w:rsid w:val="00612364"/>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32F"/>
    <w:rsid w:val="00634542"/>
    <w:rsid w:val="00635E4D"/>
    <w:rsid w:val="0063620C"/>
    <w:rsid w:val="006373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5BC2"/>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1E6"/>
    <w:rsid w:val="006B48EB"/>
    <w:rsid w:val="006B4C00"/>
    <w:rsid w:val="006B56FC"/>
    <w:rsid w:val="006B6DDA"/>
    <w:rsid w:val="006B73D9"/>
    <w:rsid w:val="006B7DF0"/>
    <w:rsid w:val="006B7E74"/>
    <w:rsid w:val="006C0D75"/>
    <w:rsid w:val="006C1997"/>
    <w:rsid w:val="006C1C48"/>
    <w:rsid w:val="006C3C1D"/>
    <w:rsid w:val="006C41FF"/>
    <w:rsid w:val="006C5145"/>
    <w:rsid w:val="006C65A8"/>
    <w:rsid w:val="006D05AD"/>
    <w:rsid w:val="006D0B60"/>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81C"/>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1C77"/>
    <w:rsid w:val="007722ED"/>
    <w:rsid w:val="0077408B"/>
    <w:rsid w:val="00774AF6"/>
    <w:rsid w:val="00774EC8"/>
    <w:rsid w:val="00776781"/>
    <w:rsid w:val="00776FFC"/>
    <w:rsid w:val="007776CC"/>
    <w:rsid w:val="00777CE9"/>
    <w:rsid w:val="00780D05"/>
    <w:rsid w:val="007810B9"/>
    <w:rsid w:val="00783C7B"/>
    <w:rsid w:val="0078556C"/>
    <w:rsid w:val="007855C5"/>
    <w:rsid w:val="007856D3"/>
    <w:rsid w:val="00785ABD"/>
    <w:rsid w:val="007860C6"/>
    <w:rsid w:val="00786254"/>
    <w:rsid w:val="00786DB0"/>
    <w:rsid w:val="00787D47"/>
    <w:rsid w:val="0079014E"/>
    <w:rsid w:val="0079111F"/>
    <w:rsid w:val="0079148B"/>
    <w:rsid w:val="00792971"/>
    <w:rsid w:val="007935C6"/>
    <w:rsid w:val="00793EED"/>
    <w:rsid w:val="00794129"/>
    <w:rsid w:val="00794516"/>
    <w:rsid w:val="00794878"/>
    <w:rsid w:val="00795512"/>
    <w:rsid w:val="00795AB7"/>
    <w:rsid w:val="00795E37"/>
    <w:rsid w:val="0079694C"/>
    <w:rsid w:val="00796D89"/>
    <w:rsid w:val="00796DA2"/>
    <w:rsid w:val="0079751B"/>
    <w:rsid w:val="007A0415"/>
    <w:rsid w:val="007A06BA"/>
    <w:rsid w:val="007A27BD"/>
    <w:rsid w:val="007A294A"/>
    <w:rsid w:val="007A4C96"/>
    <w:rsid w:val="007A51A6"/>
    <w:rsid w:val="007A523D"/>
    <w:rsid w:val="007A5629"/>
    <w:rsid w:val="007A56E5"/>
    <w:rsid w:val="007A60CA"/>
    <w:rsid w:val="007A6ECF"/>
    <w:rsid w:val="007A6F0F"/>
    <w:rsid w:val="007A708C"/>
    <w:rsid w:val="007A75B5"/>
    <w:rsid w:val="007A7985"/>
    <w:rsid w:val="007A7A98"/>
    <w:rsid w:val="007A7ABE"/>
    <w:rsid w:val="007B03C5"/>
    <w:rsid w:val="007B0674"/>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6B1B"/>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22E9"/>
    <w:rsid w:val="00804BCF"/>
    <w:rsid w:val="00804FA4"/>
    <w:rsid w:val="00805275"/>
    <w:rsid w:val="00805E23"/>
    <w:rsid w:val="00806A62"/>
    <w:rsid w:val="00806E55"/>
    <w:rsid w:val="008075CE"/>
    <w:rsid w:val="00812179"/>
    <w:rsid w:val="008124E2"/>
    <w:rsid w:val="008136FA"/>
    <w:rsid w:val="00813928"/>
    <w:rsid w:val="00814D46"/>
    <w:rsid w:val="00815321"/>
    <w:rsid w:val="008166DB"/>
    <w:rsid w:val="008173E0"/>
    <w:rsid w:val="008175C1"/>
    <w:rsid w:val="008200D4"/>
    <w:rsid w:val="00820370"/>
    <w:rsid w:val="00820CC6"/>
    <w:rsid w:val="00822C41"/>
    <w:rsid w:val="00825043"/>
    <w:rsid w:val="00825267"/>
    <w:rsid w:val="0082646A"/>
    <w:rsid w:val="008264EC"/>
    <w:rsid w:val="00827889"/>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243"/>
    <w:rsid w:val="0085540B"/>
    <w:rsid w:val="00855511"/>
    <w:rsid w:val="0085582C"/>
    <w:rsid w:val="00855FD3"/>
    <w:rsid w:val="00857086"/>
    <w:rsid w:val="00857572"/>
    <w:rsid w:val="008601B6"/>
    <w:rsid w:val="00860F4D"/>
    <w:rsid w:val="008611DE"/>
    <w:rsid w:val="00861375"/>
    <w:rsid w:val="00861C56"/>
    <w:rsid w:val="00861F29"/>
    <w:rsid w:val="008620A2"/>
    <w:rsid w:val="00862741"/>
    <w:rsid w:val="00862BBD"/>
    <w:rsid w:val="00863627"/>
    <w:rsid w:val="00863C9F"/>
    <w:rsid w:val="008645D6"/>
    <w:rsid w:val="008653FE"/>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41A"/>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07E"/>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65F"/>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2AC3"/>
    <w:rsid w:val="008F3A1C"/>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0C06"/>
    <w:rsid w:val="009412CC"/>
    <w:rsid w:val="00943373"/>
    <w:rsid w:val="0094388B"/>
    <w:rsid w:val="00943D09"/>
    <w:rsid w:val="00944826"/>
    <w:rsid w:val="009457A1"/>
    <w:rsid w:val="00946A2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67380"/>
    <w:rsid w:val="00971116"/>
    <w:rsid w:val="00972E28"/>
    <w:rsid w:val="00973030"/>
    <w:rsid w:val="009733F3"/>
    <w:rsid w:val="009748E4"/>
    <w:rsid w:val="00974D88"/>
    <w:rsid w:val="00975EC7"/>
    <w:rsid w:val="00976D65"/>
    <w:rsid w:val="00977CE6"/>
    <w:rsid w:val="009807AC"/>
    <w:rsid w:val="00980C18"/>
    <w:rsid w:val="009810E9"/>
    <w:rsid w:val="0098141C"/>
    <w:rsid w:val="00981AA9"/>
    <w:rsid w:val="00981C91"/>
    <w:rsid w:val="00983132"/>
    <w:rsid w:val="00983314"/>
    <w:rsid w:val="009835CC"/>
    <w:rsid w:val="00983DF2"/>
    <w:rsid w:val="0098433A"/>
    <w:rsid w:val="0098529F"/>
    <w:rsid w:val="00985675"/>
    <w:rsid w:val="00985939"/>
    <w:rsid w:val="0098637F"/>
    <w:rsid w:val="00986A9B"/>
    <w:rsid w:val="00986B9C"/>
    <w:rsid w:val="00987BAB"/>
    <w:rsid w:val="009906BF"/>
    <w:rsid w:val="009913F3"/>
    <w:rsid w:val="00991DA1"/>
    <w:rsid w:val="009927F1"/>
    <w:rsid w:val="009936C4"/>
    <w:rsid w:val="009948ED"/>
    <w:rsid w:val="00995376"/>
    <w:rsid w:val="00995ADA"/>
    <w:rsid w:val="0099643A"/>
    <w:rsid w:val="00997959"/>
    <w:rsid w:val="009A0BAF"/>
    <w:rsid w:val="009A1431"/>
    <w:rsid w:val="009A153D"/>
    <w:rsid w:val="009A1634"/>
    <w:rsid w:val="009A3A34"/>
    <w:rsid w:val="009A3FE2"/>
    <w:rsid w:val="009A400C"/>
    <w:rsid w:val="009A4B2C"/>
    <w:rsid w:val="009A5592"/>
    <w:rsid w:val="009A59BA"/>
    <w:rsid w:val="009A62B9"/>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8BF"/>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25"/>
    <w:rsid w:val="00A02F9D"/>
    <w:rsid w:val="00A03767"/>
    <w:rsid w:val="00A04834"/>
    <w:rsid w:val="00A05628"/>
    <w:rsid w:val="00A07361"/>
    <w:rsid w:val="00A07DCF"/>
    <w:rsid w:val="00A12113"/>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3C96"/>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824"/>
    <w:rsid w:val="00A64B5F"/>
    <w:rsid w:val="00A64DC0"/>
    <w:rsid w:val="00A65EA0"/>
    <w:rsid w:val="00A6618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3D34"/>
    <w:rsid w:val="00AB44A8"/>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220"/>
    <w:rsid w:val="00AF3AC0"/>
    <w:rsid w:val="00AF4F4A"/>
    <w:rsid w:val="00AF52B7"/>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0A91"/>
    <w:rsid w:val="00B20C6C"/>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0D05"/>
    <w:rsid w:val="00B41071"/>
    <w:rsid w:val="00B425C0"/>
    <w:rsid w:val="00B42DB6"/>
    <w:rsid w:val="00B46957"/>
    <w:rsid w:val="00B47B54"/>
    <w:rsid w:val="00B50E99"/>
    <w:rsid w:val="00B51561"/>
    <w:rsid w:val="00B51926"/>
    <w:rsid w:val="00B51F9A"/>
    <w:rsid w:val="00B54DA7"/>
    <w:rsid w:val="00B600C6"/>
    <w:rsid w:val="00B60167"/>
    <w:rsid w:val="00B60FC0"/>
    <w:rsid w:val="00B61665"/>
    <w:rsid w:val="00B63528"/>
    <w:rsid w:val="00B63DAF"/>
    <w:rsid w:val="00B63E98"/>
    <w:rsid w:val="00B6566E"/>
    <w:rsid w:val="00B65754"/>
    <w:rsid w:val="00B661AA"/>
    <w:rsid w:val="00B66242"/>
    <w:rsid w:val="00B670D3"/>
    <w:rsid w:val="00B67958"/>
    <w:rsid w:val="00B701D1"/>
    <w:rsid w:val="00B716BB"/>
    <w:rsid w:val="00B716FD"/>
    <w:rsid w:val="00B734C2"/>
    <w:rsid w:val="00B73B69"/>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00F3"/>
    <w:rsid w:val="00BA27F4"/>
    <w:rsid w:val="00BA2E40"/>
    <w:rsid w:val="00BA3CB7"/>
    <w:rsid w:val="00BA41DE"/>
    <w:rsid w:val="00BA556C"/>
    <w:rsid w:val="00BA684F"/>
    <w:rsid w:val="00BB0F31"/>
    <w:rsid w:val="00BB15AB"/>
    <w:rsid w:val="00BB189B"/>
    <w:rsid w:val="00BB1D21"/>
    <w:rsid w:val="00BB2E51"/>
    <w:rsid w:val="00BB4BEA"/>
    <w:rsid w:val="00BB4C1A"/>
    <w:rsid w:val="00BB50AB"/>
    <w:rsid w:val="00BB6664"/>
    <w:rsid w:val="00BB67EF"/>
    <w:rsid w:val="00BC01FC"/>
    <w:rsid w:val="00BC1F79"/>
    <w:rsid w:val="00BC2201"/>
    <w:rsid w:val="00BC3C7A"/>
    <w:rsid w:val="00BC7DC6"/>
    <w:rsid w:val="00BD1039"/>
    <w:rsid w:val="00BD13B5"/>
    <w:rsid w:val="00BD2EFC"/>
    <w:rsid w:val="00BD340E"/>
    <w:rsid w:val="00BD518F"/>
    <w:rsid w:val="00BD60AD"/>
    <w:rsid w:val="00BD6C02"/>
    <w:rsid w:val="00BE1244"/>
    <w:rsid w:val="00BE165D"/>
    <w:rsid w:val="00BE2394"/>
    <w:rsid w:val="00BE2702"/>
    <w:rsid w:val="00BE4326"/>
    <w:rsid w:val="00BE57ED"/>
    <w:rsid w:val="00BE5F4F"/>
    <w:rsid w:val="00BE60DB"/>
    <w:rsid w:val="00BF0191"/>
    <w:rsid w:val="00BF13EC"/>
    <w:rsid w:val="00BF1C07"/>
    <w:rsid w:val="00BF3DEE"/>
    <w:rsid w:val="00BF54AC"/>
    <w:rsid w:val="00BF54BD"/>
    <w:rsid w:val="00BF6B8E"/>
    <w:rsid w:val="00C025A5"/>
    <w:rsid w:val="00C03C78"/>
    <w:rsid w:val="00C04FD3"/>
    <w:rsid w:val="00C05E41"/>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E66"/>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3AE7"/>
    <w:rsid w:val="00C94228"/>
    <w:rsid w:val="00C945D6"/>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7AB8"/>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103"/>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D9F"/>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662A"/>
    <w:rsid w:val="00D8732E"/>
    <w:rsid w:val="00D91294"/>
    <w:rsid w:val="00D9186A"/>
    <w:rsid w:val="00D92D47"/>
    <w:rsid w:val="00D94213"/>
    <w:rsid w:val="00D94BEB"/>
    <w:rsid w:val="00D94EA5"/>
    <w:rsid w:val="00D95F32"/>
    <w:rsid w:val="00DA024A"/>
    <w:rsid w:val="00DA0673"/>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32FB"/>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4B15"/>
    <w:rsid w:val="00DD60D0"/>
    <w:rsid w:val="00DD6200"/>
    <w:rsid w:val="00DD686C"/>
    <w:rsid w:val="00DD6E86"/>
    <w:rsid w:val="00DE0E5D"/>
    <w:rsid w:val="00DE447F"/>
    <w:rsid w:val="00DE48F0"/>
    <w:rsid w:val="00DE4A77"/>
    <w:rsid w:val="00DE57FE"/>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2B33"/>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243EB"/>
    <w:rsid w:val="00E31367"/>
    <w:rsid w:val="00E3181C"/>
    <w:rsid w:val="00E32929"/>
    <w:rsid w:val="00E32EF3"/>
    <w:rsid w:val="00E33E21"/>
    <w:rsid w:val="00E34BC4"/>
    <w:rsid w:val="00E35269"/>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4971"/>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40D8"/>
    <w:rsid w:val="00E94D15"/>
    <w:rsid w:val="00E968FD"/>
    <w:rsid w:val="00E96D55"/>
    <w:rsid w:val="00E97993"/>
    <w:rsid w:val="00EA0D5D"/>
    <w:rsid w:val="00EA1192"/>
    <w:rsid w:val="00EA153F"/>
    <w:rsid w:val="00EA2788"/>
    <w:rsid w:val="00EA2C6E"/>
    <w:rsid w:val="00EA4964"/>
    <w:rsid w:val="00EA4F1A"/>
    <w:rsid w:val="00EA6540"/>
    <w:rsid w:val="00EB02DE"/>
    <w:rsid w:val="00EB0A07"/>
    <w:rsid w:val="00EB1B69"/>
    <w:rsid w:val="00EB1C78"/>
    <w:rsid w:val="00EB1E82"/>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56"/>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D61"/>
    <w:rsid w:val="00F54DA3"/>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4B1"/>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B75FE"/>
    <w:rsid w:val="00FB7B6F"/>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0ED2"/>
    <w:rsid w:val="00FE1186"/>
    <w:rsid w:val="00FE146B"/>
    <w:rsid w:val="00FE177A"/>
    <w:rsid w:val="00FE240A"/>
    <w:rsid w:val="00FE3E3C"/>
    <w:rsid w:val="00FE43E7"/>
    <w:rsid w:val="00FE4B66"/>
    <w:rsid w:val="00FE4F6E"/>
    <w:rsid w:val="00FE583F"/>
    <w:rsid w:val="00FE5CC4"/>
    <w:rsid w:val="00FE6B13"/>
    <w:rsid w:val="00FE7575"/>
    <w:rsid w:val="00FF1070"/>
    <w:rsid w:val="00FF13E2"/>
    <w:rsid w:val="00FF1C88"/>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B7A2A33-6438-452B-8A69-52A7D92D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ai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944826"/>
    <w:rPr>
      <w:sz w:val="24"/>
      <w:szCs w:val="24"/>
    </w:rPr>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Veidlapasz-auga">
    <w:name w:val="HTML Top of Form"/>
    <w:basedOn w:val="Parastais"/>
    <w:next w:val="Parastai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ais"/>
    <w:next w:val="Parastai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customStyle="1" w:styleId="ParastaisWeb">
    <w:name w:val="Parastais (Web)"/>
    <w:basedOn w:val="Parastais"/>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ai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ai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ai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ai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Sarakstarindkopa1">
    <w:name w:val="Saraksta rindkopa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ai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styleId="Sarakstarindkopa">
    <w:name w:val="List Paragraph"/>
    <w:basedOn w:val="Parastais"/>
    <w:uiPriority w:val="34"/>
    <w:qFormat/>
    <w:rsid w:val="00FB7B6F"/>
    <w:pPr>
      <w:spacing w:after="200" w:line="276" w:lineRule="auto"/>
      <w:ind w:left="720"/>
      <w:contextualSpacing/>
    </w:pPr>
    <w:rPr>
      <w:rFonts w:ascii="Calibri" w:eastAsia="Calibri" w:hAnsi="Calibri"/>
      <w:sz w:val="22"/>
      <w:szCs w:val="22"/>
      <w:lang w:eastAsia="en-US"/>
    </w:rPr>
  </w:style>
  <w:style w:type="paragraph" w:styleId="Vresteksts">
    <w:name w:val="footnote text"/>
    <w:basedOn w:val="Parastais"/>
    <w:link w:val="VrestekstsRakstz"/>
    <w:uiPriority w:val="99"/>
    <w:semiHidden/>
    <w:unhideWhenUsed/>
    <w:rsid w:val="0056600C"/>
    <w:rPr>
      <w:rFonts w:ascii="Calibri" w:eastAsia="Calibri" w:hAnsi="Calibri"/>
      <w:sz w:val="20"/>
      <w:szCs w:val="20"/>
      <w:lang w:eastAsia="en-US"/>
    </w:rPr>
  </w:style>
  <w:style w:type="character" w:customStyle="1" w:styleId="VrestekstsRakstz">
    <w:name w:val="Vēres teksts Rakstz."/>
    <w:link w:val="Vresteksts"/>
    <w:uiPriority w:val="99"/>
    <w:semiHidden/>
    <w:rsid w:val="0056600C"/>
    <w:rPr>
      <w:rFonts w:ascii="Calibri" w:eastAsia="Calibri" w:hAnsi="Calibri"/>
      <w:lang w:eastAsia="en-US"/>
    </w:rPr>
  </w:style>
  <w:style w:type="character" w:styleId="Vresatsauce">
    <w:name w:val="footnote reference"/>
    <w:uiPriority w:val="99"/>
    <w:semiHidden/>
    <w:unhideWhenUsed/>
    <w:rsid w:val="005660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926451952">
      <w:bodyDiv w:val="1"/>
      <w:marLeft w:val="0"/>
      <w:marRight w:val="0"/>
      <w:marTop w:val="0"/>
      <w:marBottom w:val="0"/>
      <w:divBdr>
        <w:top w:val="none" w:sz="0" w:space="0" w:color="auto"/>
        <w:left w:val="none" w:sz="0" w:space="0" w:color="auto"/>
        <w:bottom w:val="none" w:sz="0" w:space="0" w:color="auto"/>
        <w:right w:val="none" w:sz="0" w:space="0" w:color="auto"/>
      </w:divBdr>
    </w:div>
    <w:div w:id="213379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https://likumi.lv/ta/id/30299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0299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atvi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mlp.gov.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41BD5-0BBD-4BD6-A50C-C41FCAEB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12447</Words>
  <Characters>7096</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Republikas pilsētas domes un novada domes vēlēšanu likumā"</vt:lpstr>
      <vt:lpstr>MK noteikumu projekts "Ministru kabineta kārtības rullis"</vt:lpstr>
    </vt:vector>
  </TitlesOfParts>
  <Company>Tieslietu ministrija</Company>
  <LinksUpToDate>false</LinksUpToDate>
  <CharactersWithSpaces>19504</CharactersWithSpaces>
  <SharedDoc>false</SharedDoc>
  <HLinks>
    <vt:vector size="36" baseType="variant">
      <vt:variant>
        <vt:i4>5</vt:i4>
      </vt:variant>
      <vt:variant>
        <vt:i4>15</vt:i4>
      </vt:variant>
      <vt:variant>
        <vt:i4>0</vt:i4>
      </vt:variant>
      <vt:variant>
        <vt:i4>5</vt:i4>
      </vt:variant>
      <vt:variant>
        <vt:lpwstr>https://likumi.lv/ta/id/302998</vt:lpwstr>
      </vt:variant>
      <vt:variant>
        <vt:lpwstr>p17</vt:lpwstr>
      </vt:variant>
      <vt:variant>
        <vt:i4>5</vt:i4>
      </vt:variant>
      <vt:variant>
        <vt:i4>12</vt:i4>
      </vt:variant>
      <vt:variant>
        <vt:i4>0</vt:i4>
      </vt:variant>
      <vt:variant>
        <vt:i4>5</vt:i4>
      </vt:variant>
      <vt:variant>
        <vt:lpwstr>https://likumi.lv/ta/id/302998</vt:lpwstr>
      </vt:variant>
      <vt:variant>
        <vt:lpwstr>p17</vt:lpwstr>
      </vt:variant>
      <vt:variant>
        <vt:i4>7864437</vt:i4>
      </vt:variant>
      <vt:variant>
        <vt:i4>9</vt:i4>
      </vt:variant>
      <vt:variant>
        <vt:i4>0</vt:i4>
      </vt:variant>
      <vt:variant>
        <vt:i4>5</vt:i4>
      </vt:variant>
      <vt:variant>
        <vt:lpwstr>http://www.latvija.lv/</vt:lpwstr>
      </vt:variant>
      <vt:variant>
        <vt:lpwstr/>
      </vt:variant>
      <vt:variant>
        <vt:i4>7864437</vt:i4>
      </vt:variant>
      <vt:variant>
        <vt:i4>6</vt:i4>
      </vt:variant>
      <vt:variant>
        <vt:i4>0</vt:i4>
      </vt:variant>
      <vt:variant>
        <vt:i4>5</vt:i4>
      </vt:variant>
      <vt:variant>
        <vt:lpwstr>http://www.latvija.lv/</vt:lpwstr>
      </vt:variant>
      <vt:variant>
        <vt:lpwstr/>
      </vt:variant>
      <vt:variant>
        <vt:i4>3014704</vt:i4>
      </vt:variant>
      <vt:variant>
        <vt:i4>3</vt:i4>
      </vt:variant>
      <vt:variant>
        <vt:i4>0</vt:i4>
      </vt:variant>
      <vt:variant>
        <vt:i4>5</vt:i4>
      </vt:variant>
      <vt:variant>
        <vt:lpwstr>http://www.pmlp.gov.lv/</vt:lpwstr>
      </vt:variant>
      <vt:variant>
        <vt:lpwstr/>
      </vt:variant>
      <vt:variant>
        <vt:i4>7864437</vt:i4>
      </vt:variant>
      <vt:variant>
        <vt:i4>0</vt:i4>
      </vt:variant>
      <vt:variant>
        <vt:i4>0</vt:i4>
      </vt:variant>
      <vt:variant>
        <vt:i4>5</vt:i4>
      </vt:variant>
      <vt:variant>
        <vt:lpwstr>http://www.latvija.lv/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Republikas pilsētas domes un novada domes vēlēšanu likumā"</dc:title>
  <dc:subject>Izziņa par atzinumos sniegtajiem iebildumiem</dc:subject>
  <dc:creator>Agnese Sermā</dc:creator>
  <cp:keywords/>
  <dc:description>67036982_x000d_
agnese.serma@tm.gov.lv</dc:description>
  <cp:lastModifiedBy>Lelde Stepanova</cp:lastModifiedBy>
  <cp:revision>3</cp:revision>
  <cp:lastPrinted>2019-08-21T10:35:00Z</cp:lastPrinted>
  <dcterms:created xsi:type="dcterms:W3CDTF">2019-08-23T05:17:00Z</dcterms:created>
  <dcterms:modified xsi:type="dcterms:W3CDTF">2019-08-23T09:18:00Z</dcterms:modified>
</cp:coreProperties>
</file>